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苏州工业园区政府采购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采购编号：JSZC-320591-CJZB-C2025-0173</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项目名称：苏州工业园区扬贤路东、扬泰路北地块（DK20240242）土壤修复项目</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采购单位：苏州工业园区土地储备中心</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采购类别：服务类</w:t>
      </w:r>
      <w:r/>
    </w:p>
    <w:p>
      <w:pPr>
        <w:pStyle w:val="1044"/>
        <w:spacing w:after="0" w:line="360" w:lineRule="auto"/>
        <w:rPr>
          <w:rFonts w:ascii="宋体" w:hAnsi="宋体" w:cs="宋体"/>
        </w:rPr>
      </w:pPr>
      <w:r>
        <w:rPr>
          <w:rFonts w:ascii="宋体" w:hAnsi="宋体" w:cs="宋体"/>
        </w:rPr>
      </w:r>
      <w:r/>
    </w:p>
    <w:p>
      <w:pPr>
        <w:pStyle w:val="1044"/>
        <w:spacing w:after="0" w:line="360" w:lineRule="auto"/>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8"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sectPr>
          <w:headerReference w:type="default" r:id="rId9"/>
          <w:headerReference w:type="first" r:id="rId10"/>
          <w:footerReference w:type="default" r:id="rId13"/>
          <w:footerReference w:type="even" r:id="rId14"/>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0"/>
          <w:szCs w:val="30"/>
        </w:rPr>
        <w:t xml:space="preserve">二O二五年九月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JSZC-320591-CJZB-C2025-0173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苏州工业园区扬贤路东、扬泰路北地块（DK20240242）土壤修复项目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采购代理机构</w:t>
            </w:r>
            <w:r/>
          </w:p>
          <w:p>
            <w:pP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 系 人：朱晓芹  潘莉莉  路丽丽  卢君悦</w:t>
            </w:r>
            <w:r/>
          </w:p>
          <w:p>
            <w:pPr>
              <w:jc w:val="left"/>
              <w:spacing w:line="360" w:lineRule="auto"/>
              <w:rPr>
                <w:rFonts w:ascii="宋体" w:hAnsi="宋体" w:cs="宋体"/>
              </w:rPr>
            </w:pPr>
            <w:r>
              <w:rPr>
                <w:rFonts w:hint="eastAsia" w:ascii="宋体" w:hAnsi="宋体" w:cs="宋体"/>
                <w:szCs w:val="21"/>
              </w:rPr>
              <w:t xml:space="preserve">联系电话：0512-68669209</w:t>
            </w:r>
            <w:r/>
          </w:p>
        </w:tc>
      </w:tr>
      <w:tr>
        <w:trPr>
          <w:trHeight w:val="125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宋体"/>
                <w:szCs w:val="21"/>
              </w:rPr>
              <w:t xml:space="preserve">苏州工业园区土地储备中心</w:t>
            </w:r>
            <w:r/>
          </w:p>
          <w:p>
            <w:pPr>
              <w:jc w:val="left"/>
              <w:spacing w:line="360" w:lineRule="auto"/>
              <w:widowControl/>
              <w:rPr>
                <w:rFonts w:ascii="宋体" w:hAnsi="宋体" w:cs="宋体"/>
                <w:szCs w:val="21"/>
              </w:rPr>
            </w:pPr>
            <w:r>
              <w:rPr>
                <w:rFonts w:hint="eastAsia" w:ascii="宋体" w:hAnsi="宋体" w:cs="宋体"/>
                <w:szCs w:val="21"/>
              </w:rPr>
              <w:t xml:space="preserve">地    址：苏州工业园区旺墩路 158 号新能大厦 18 楼</w:t>
            </w:r>
            <w:r/>
          </w:p>
          <w:p>
            <w:pPr>
              <w:jc w:val="left"/>
              <w:spacing w:line="360" w:lineRule="auto"/>
              <w:widowControl/>
              <w:rPr>
                <w:rFonts w:ascii="宋体" w:hAnsi="宋体" w:cs="宋体"/>
                <w:szCs w:val="21"/>
                <w:lang w:val="zh-CN"/>
              </w:rPr>
            </w:pPr>
            <w:r>
              <w:rPr>
                <w:rFonts w:hint="eastAsia" w:ascii="宋体" w:hAnsi="宋体" w:cs="宋体"/>
                <w:szCs w:val="21"/>
              </w:rPr>
              <w:t xml:space="preserve">联系电话：0512-66685023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获取采购文件时间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2025年10月16日14点00分（北京时间）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开启时间</w:t>
            </w:r>
            <w:r/>
          </w:p>
          <w:p>
            <w:pP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2025年10月16日14点00分（北京时间）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评审时间</w:t>
            </w:r>
            <w:r/>
          </w:p>
          <w:p>
            <w:pP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2025年10月16日14点00分（北京时间）</w:t>
            </w:r>
            <w:r/>
          </w:p>
          <w:p>
            <w:pPr>
              <w:jc w:val="left"/>
              <w:spacing w:line="360" w:lineRule="auto"/>
              <w:rPr>
                <w:rFonts w:ascii="宋体" w:hAnsi="宋体" w:cs="宋体"/>
                <w:szCs w:val="21"/>
              </w:rPr>
            </w:pPr>
            <w:r>
              <w:rPr>
                <w:rFonts w:hint="eastAsia" w:ascii="宋体" w:hAnsi="宋体" w:cs="宋体"/>
                <w:szCs w:val="21"/>
              </w:rPr>
              <w:t xml:space="preserve">苏州工业园区公共资源交易中心，星塘大厦（园区市民服务中心）3楼北（苏州大道136号，地铁1号线星塘站4号口出站即到）</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磋商响应</w:t>
            </w:r>
            <w:r/>
          </w:p>
          <w:p>
            <w:pP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b/>
                <w:bCs/>
                <w:szCs w:val="21"/>
              </w:rPr>
              <w:t xml:space="preserve">本项目采购单位未要求收取履约保证金。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068"/>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68"/>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苏州工业园区扬贤路东、扬泰路北地块（DK20240242）土壤修复项目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2025年10月16日14点00分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2"/>
        <w:spacing w:line="360" w:lineRule="auto"/>
        <w:rPr>
          <w:rFonts w:ascii="宋体" w:hAnsi="宋体" w:cs="宋体"/>
          <w:b/>
          <w:bCs/>
          <w:szCs w:val="21"/>
        </w:rPr>
      </w:pPr>
      <w:r>
        <w:rPr>
          <w:rFonts w:hint="eastAsia" w:ascii="宋体" w:hAnsi="宋体" w:cs="宋体"/>
          <w:b/>
          <w:bCs/>
          <w:szCs w:val="21"/>
        </w:rPr>
        <w:t xml:space="preserve">采购编号：JSZC-320591-CJZB-C2025-0173</w:t>
      </w:r>
      <w:r/>
    </w:p>
    <w:p>
      <w:pPr>
        <w:ind w:firstLine="422"/>
        <w:spacing w:line="360" w:lineRule="auto"/>
        <w:rPr>
          <w:rFonts w:ascii="宋体" w:hAnsi="宋体" w:cs="宋体"/>
          <w:b/>
          <w:bCs/>
          <w:szCs w:val="21"/>
        </w:rPr>
      </w:pPr>
      <w:r>
        <w:rPr>
          <w:rFonts w:hint="eastAsia" w:ascii="宋体" w:hAnsi="宋体" w:cs="宋体"/>
          <w:b/>
          <w:bCs/>
          <w:szCs w:val="21"/>
        </w:rPr>
        <w:t xml:space="preserve">项目名称：苏州工业园区扬贤路东、扬泰路北地块（DK20240242）土壤修复项目</w:t>
      </w:r>
      <w:r/>
    </w:p>
    <w:p>
      <w:pPr>
        <w:ind w:firstLine="422"/>
        <w:spacing w:line="360" w:lineRule="auto"/>
        <w:rPr>
          <w:rFonts w:ascii="宋体" w:hAnsi="宋体" w:cs="宋体"/>
          <w:b/>
          <w:bCs/>
          <w:szCs w:val="21"/>
        </w:rPr>
      </w:pPr>
      <w:r>
        <w:rPr>
          <w:rFonts w:hint="eastAsia" w:ascii="宋体" w:hAnsi="宋体" w:cs="宋体"/>
          <w:b/>
          <w:bCs/>
          <w:szCs w:val="21"/>
        </w:rPr>
        <w:t xml:space="preserve">采购方式：竞争性磋商</w:t>
      </w:r>
      <w:r/>
    </w:p>
    <w:p>
      <w:pPr>
        <w:ind w:firstLine="420"/>
        <w:spacing w:line="360" w:lineRule="auto"/>
        <w:rPr>
          <w:rFonts w:ascii="宋体" w:hAnsi="宋体" w:cs="宋体"/>
        </w:rPr>
      </w:pPr>
      <w:r>
        <w:rPr>
          <w:rFonts w:hint="eastAsia" w:ascii="宋体" w:hAnsi="宋体" w:cs="宋体"/>
        </w:rPr>
        <w:t xml:space="preserve">预算金额：人民币陆拾万元整（小写：600000.00元）；</w:t>
      </w:r>
      <w:r/>
    </w:p>
    <w:p>
      <w:pPr>
        <w:ind w:firstLine="420"/>
        <w:spacing w:line="360" w:lineRule="auto"/>
        <w:rPr>
          <w:rFonts w:ascii="宋体" w:hAnsi="宋体" w:cs="宋体"/>
        </w:rPr>
      </w:pPr>
      <w:r>
        <w:rPr>
          <w:rFonts w:hint="eastAsia" w:ascii="宋体" w:hAnsi="宋体" w:cs="宋体"/>
        </w:rPr>
        <w:t xml:space="preserve">最高限价：人民币伍拾伍万玖仟叁佰元整（小写：</w:t>
      </w:r>
      <w:bookmarkStart w:id="0" w:name="OLE_LINK6"/>
      <w:r/>
      <w:bookmarkStart w:id="1" w:name="OLE_LINK7"/>
      <w:r>
        <w:rPr>
          <w:rFonts w:hint="eastAsia" w:ascii="宋体" w:hAnsi="宋体" w:cs="宋体"/>
        </w:rPr>
        <w:t xml:space="preserve">559300</w:t>
      </w:r>
      <w:bookmarkEnd w:id="0"/>
      <w:r/>
      <w:bookmarkEnd w:id="1"/>
      <w:r>
        <w:rPr>
          <w:rFonts w:hint="eastAsia" w:ascii="宋体" w:hAnsi="宋体" w:cs="宋体"/>
        </w:rPr>
        <w:t xml:space="preserve">.00元）；</w:t>
      </w:r>
      <w:r/>
    </w:p>
    <w:p>
      <w:pPr>
        <w:ind w:firstLine="420"/>
        <w:spacing w:line="360" w:lineRule="auto"/>
        <w:rPr>
          <w:rFonts w:ascii="宋体" w:hAnsi="宋体" w:cs="宋体"/>
        </w:rPr>
      </w:pPr>
      <w:r>
        <w:rPr>
          <w:rFonts w:hint="eastAsia" w:ascii="宋体" w:hAnsi="宋体" w:cs="宋体"/>
        </w:rPr>
        <w:t xml:space="preserve">采购需求：按要求完成苏州工业园区扬贤路东、扬泰路北地块（DK20240242）土壤修复并通过效果评估。</w:t>
      </w:r>
      <w:r/>
    </w:p>
    <w:p>
      <w:pPr>
        <w:ind w:firstLine="420"/>
        <w:spacing w:line="360" w:lineRule="auto"/>
        <w:rPr>
          <w:rFonts w:ascii="宋体" w:hAnsi="宋体" w:cs="宋体"/>
          <w:szCs w:val="21"/>
        </w:rPr>
      </w:pPr>
      <w:r>
        <w:rPr>
          <w:rFonts w:hint="eastAsia" w:ascii="宋体" w:hAnsi="宋体" w:cs="宋体"/>
        </w:rPr>
        <w:t xml:space="preserve">合同履约期限：</w:t>
      </w:r>
      <w:r>
        <w:rPr>
          <w:rFonts w:hint="eastAsia" w:ascii="宋体" w:hAnsi="宋体" w:cs="宋体"/>
          <w:bCs/>
          <w:szCs w:val="21"/>
        </w:rPr>
        <w:t xml:space="preserve">治理总工期为35个自然日（具体从合同签署之日起至具备验收条件时止）</w:t>
      </w:r>
      <w:r>
        <w:rPr>
          <w:rFonts w:hint="eastAsia" w:ascii="宋体" w:hAnsi="宋体" w:cs="宋体"/>
        </w:rPr>
        <w:t xml:space="preserve">（详细进度见采购合同约定）</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2"/>
        <w:spacing w:line="360" w:lineRule="auto"/>
        <w:rPr>
          <w:rFonts w:ascii="宋体" w:hAnsi="宋体" w:cs="宋体"/>
          <w:b/>
          <w:bCs/>
          <w:szCs w:val="21"/>
        </w:rPr>
      </w:pPr>
      <w:r>
        <w:rPr>
          <w:rFonts w:hint="eastAsia" w:ascii="宋体" w:hAnsi="宋体" w:cs="宋体"/>
          <w:b/>
          <w:bCs/>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2"/>
        <w:spacing w:line="360" w:lineRule="auto"/>
        <w:rPr>
          <w:rFonts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p>
    <w:p>
      <w:pPr>
        <w:ind w:firstLine="422"/>
        <w:spacing w:line="360" w:lineRule="auto"/>
        <w:rPr>
          <w:rFonts w:ascii="宋体" w:hAnsi="宋体" w:cs="宋体"/>
          <w:b/>
          <w:bCs/>
          <w:szCs w:val="21"/>
        </w:rPr>
      </w:pPr>
      <w:r>
        <w:rPr>
          <w:rFonts w:hint="eastAsia" w:ascii="宋体" w:hAnsi="宋体" w:cs="宋体"/>
          <w:b/>
          <w:bCs/>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w:t>
      </w:r>
      <w:r>
        <w:rPr>
          <w:rFonts w:hint="eastAsia" w:ascii="宋体" w:hAnsi="宋体" w:cs="宋体"/>
          <w:szCs w:val="21"/>
        </w:rPr>
        <w:t xml:space="preserve">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t xml:space="preserve">法人的分支机构不得参加政府采购活动（除银行、保险、石油石化、电力、电信等行业特殊情况外）；</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szCs w:val="21"/>
          <w:shd w:val="clear" w:color="auto" w:fill="ffffff"/>
        </w:rPr>
      </w:pPr>
      <w:r>
        <w:rPr>
          <w:rFonts w:hint="eastAsia" w:ascii="宋体" w:hAnsi="宋体" w:cs="宋体"/>
        </w:rPr>
        <w:t xml:space="preserve">（4）</w:t>
      </w:r>
      <w:r>
        <w:rPr>
          <w:rFonts w:hint="eastAsia" w:ascii="宋体" w:hAnsi="宋体" w:cs="宋体"/>
          <w:szCs w:val="21"/>
          <w:shd w:val="clear" w:color="auto" w:fill="ffffff"/>
        </w:rPr>
        <w:t xml:space="preserve">其他特定资格要求：</w:t>
      </w:r>
      <w:r/>
    </w:p>
    <w:p>
      <w:pPr>
        <w:ind w:firstLine="420"/>
        <w:spacing w:line="360" w:lineRule="auto"/>
        <w:rPr>
          <w:rFonts w:ascii="宋体" w:hAnsi="宋体" w:cs="宋体"/>
          <w:szCs w:val="21"/>
        </w:rPr>
      </w:pPr>
      <w:r>
        <w:rPr>
          <w:rFonts w:hint="eastAsia" w:ascii="宋体" w:hAnsi="宋体" w:cs="宋体"/>
          <w:szCs w:val="21"/>
        </w:rPr>
        <w:t xml:space="preserve">1）响应单位须具有污染土壤修复及深化设计能力，具有建设主管部门颁发的环境工程设计专项乙级</w:t>
      </w:r>
      <w:r>
        <w:rPr>
          <w:rFonts w:hint="eastAsia" w:ascii="宋体" w:hAnsi="宋体" w:cs="宋体"/>
          <w:szCs w:val="21"/>
        </w:rPr>
        <w:t xml:space="preserve">或以上资质，及建设主管部门颁发的环保工程专业承包叁级或以上资质； </w:t>
      </w:r>
      <w:r/>
    </w:p>
    <w:p>
      <w:pPr>
        <w:ind w:firstLine="420"/>
        <w:spacing w:line="360" w:lineRule="auto"/>
        <w:rPr>
          <w:rFonts w:ascii="宋体" w:hAnsi="宋体" w:cs="宋体"/>
          <w:szCs w:val="21"/>
        </w:rPr>
      </w:pPr>
      <w:r>
        <w:rPr>
          <w:rFonts w:hint="eastAsia" w:ascii="宋体" w:hAnsi="宋体" w:cs="宋体"/>
          <w:szCs w:val="21"/>
        </w:rPr>
        <w:t xml:space="preserve">2）响应单位须具备安全生产条件，有建设主管部门颁发的安全生产许可证并在有效期内；</w:t>
      </w:r>
      <w:r/>
    </w:p>
    <w:p>
      <w:pPr>
        <w:ind w:firstLine="420"/>
        <w:spacing w:line="360" w:lineRule="auto"/>
        <w:rPr>
          <w:rFonts w:ascii="宋体" w:hAnsi="宋体" w:cs="宋体"/>
          <w:szCs w:val="21"/>
        </w:rPr>
      </w:pPr>
      <w:r>
        <w:rPr>
          <w:rFonts w:hint="eastAsia" w:ascii="宋体" w:hAnsi="宋体" w:cs="宋体"/>
          <w:szCs w:val="21"/>
        </w:rPr>
        <w:t xml:space="preserve">3）响应单位须具有有经验的项目现场负责人，该负责人需具备建筑工程或市政工程贰级或以上注册建造师执业证书以及安全生产考核合格证（B）类证件且在有效期内，且在项目执行期间该负责人不得同时担任其他项目的负责人，项目现场负责人与项目总负责人、技术负责人、安全负责人不得为同一人；</w:t>
      </w:r>
      <w:r/>
    </w:p>
    <w:p>
      <w:pPr>
        <w:ind w:firstLine="420"/>
        <w:spacing w:line="360" w:lineRule="auto"/>
        <w:rPr>
          <w:rFonts w:ascii="宋体" w:hAnsi="宋体" w:cs="宋体"/>
          <w:szCs w:val="21"/>
        </w:rPr>
      </w:pPr>
      <w:r>
        <w:rPr>
          <w:rFonts w:hint="eastAsia" w:ascii="宋体" w:hAnsi="宋体" w:cs="宋体"/>
          <w:szCs w:val="21"/>
        </w:rPr>
        <w:t xml:space="preserve">4）响应单位具有就本项目取得的与水泥窑协同处置单位的合作的处置协议（协议格式自拟），加盖双方企业公章；并须提供水泥窑协同处置单位水泥窑技改项目的环评批复（复印件加盖公章）及生产线日生产能力证明和本项目日处理污染土壤能力的盖章承诺。</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2" w:name="_Toc28359005"/>
      <w:r/>
      <w:bookmarkStart w:id="3" w:name="_Toc35393793"/>
      <w:r/>
      <w:bookmarkStart w:id="4" w:name="_Toc35393624"/>
      <w:r/>
      <w:bookmarkStart w:id="5" w:name="_Toc28359082"/>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苏州现场办理地址：苏州市姑苏区平泷路251号政务服务中心4楼公共交易中心窗口，咨询电话：0512-69820834。</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10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10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10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0512-69820854；智能客服：登录苏采云系统后，联系系统右下方</w:t>
      </w:r>
      <w:r>
        <w:rPr>
          <w:rFonts w:hint="eastAsia" w:ascii="宋体" w:hAnsi="宋体" w:cs="宋体"/>
          <w:szCs w:val="21"/>
          <w:shd w:val="clear" w:color="auto" w:fill="ffffff"/>
        </w:rPr>
        <w:t xml:space="preserve">智能客服图标进行咨询</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：2025年10月16日14点00分（北京时间）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1.时间：2025年10月16日14点00分（北京时间）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苏州工业园区政府采购监督电话：0512-66681110。</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1.采购单位信息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称：苏州工业园区土地储备中心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址：苏州工业园区旺墩路 158 号新能大厦18楼</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人：魏蓝</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bookmarkStart w:id="6" w:name="OLE_LINK1"/>
      <w:r>
        <w:rPr>
          <w:rFonts w:hint="eastAsia" w:ascii="宋体" w:hAnsi="宋体" w:cs="宋体"/>
          <w:szCs w:val="21"/>
        </w:rPr>
        <w:t xml:space="preserve">0512-</w:t>
      </w:r>
      <w:bookmarkEnd w:id="6"/>
      <w:r>
        <w:rPr>
          <w:rFonts w:hint="eastAsia" w:ascii="宋体" w:hAnsi="宋体" w:cs="宋体"/>
          <w:szCs w:val="21"/>
        </w:rPr>
        <w:t xml:space="preserve">66685023</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人：朱晓芹  卢君悦  潘莉莉  路丽丽</w:t>
      </w:r>
      <w:r/>
    </w:p>
    <w:p>
      <w:pPr>
        <w:ind w:firstLine="420"/>
        <w:spacing w:line="360" w:lineRule="auto"/>
        <w:rPr>
          <w:rFonts w:ascii="宋体" w:hAnsi="宋体" w:cs="宋体"/>
          <w:szCs w:val="21"/>
        </w:rPr>
      </w:pPr>
      <w:r>
        <w:rPr>
          <w:rFonts w:hint="eastAsia" w:ascii="宋体" w:hAnsi="宋体" w:cs="宋体"/>
          <w:szCs w:val="21"/>
        </w:rPr>
        <w:t xml:space="preserve">联系方式：0512-68669209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0512-68669209</w:t>
      </w:r>
      <w:r/>
    </w:p>
    <w:p>
      <w:pPr>
        <w:ind w:firstLine="420"/>
        <w:jc w:val="right"/>
        <w:spacing w:line="360" w:lineRule="auto"/>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工业园区土地储备中心之委托，苏州市创杰招投标咨询服务有限公司对其需采购的苏州工业园区扬贤路东、扬泰路北地块（DK20240242）土壤修复项目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JSZC-320591-CJZB-C2025-0173</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苏州工业园区扬贤路东、扬泰路北地块（DK20240242）土壤修复项目</w:t>
      </w:r>
      <w:r/>
    </w:p>
    <w:p>
      <w:pPr>
        <w:spacing w:line="360" w:lineRule="auto"/>
        <w:rPr>
          <w:rFonts w:ascii="宋体" w:hAnsi="宋体" w:cs="宋体"/>
          <w:szCs w:val="21"/>
        </w:rPr>
      </w:pPr>
      <w:r>
        <w:rPr>
          <w:rFonts w:hint="eastAsia" w:ascii="宋体" w:hAnsi="宋体" w:cs="宋体"/>
          <w:b/>
          <w:szCs w:val="21"/>
        </w:rPr>
        <w:t xml:space="preserve">★三、采购预算：</w:t>
      </w:r>
      <w:r>
        <w:rPr>
          <w:rFonts w:hint="eastAsia" w:ascii="宋体" w:hAnsi="宋体" w:cs="宋体"/>
          <w:szCs w:val="21"/>
        </w:rPr>
        <w:t xml:space="preserve">人民币陆拾万元整（小写：600000.00元）；</w:t>
      </w:r>
      <w:r/>
    </w:p>
    <w:p>
      <w:pPr>
        <w:spacing w:line="360" w:lineRule="auto"/>
        <w:rPr>
          <w:rFonts w:ascii="宋体" w:hAnsi="宋体" w:cs="宋体"/>
          <w:szCs w:val="21"/>
        </w:rPr>
      </w:pPr>
      <w:r>
        <w:rPr>
          <w:rFonts w:hint="eastAsia" w:ascii="宋体" w:hAnsi="宋体" w:cs="宋体"/>
          <w:b/>
          <w:bCs/>
          <w:szCs w:val="21"/>
        </w:rPr>
        <w:t xml:space="preserve">★四、最高限价：</w:t>
      </w:r>
      <w:r>
        <w:rPr>
          <w:rFonts w:hint="eastAsia" w:ascii="宋体" w:hAnsi="宋体" w:cs="宋体"/>
          <w:szCs w:val="21"/>
        </w:rPr>
        <w:t xml:space="preserve">人民币</w:t>
      </w:r>
      <w:r>
        <w:rPr>
          <w:rFonts w:hint="eastAsia" w:ascii="宋体" w:hAnsi="宋体" w:cs="宋体"/>
        </w:rPr>
        <w:t xml:space="preserve">伍拾伍万玖仟叁佰元</w:t>
      </w:r>
      <w:r>
        <w:rPr>
          <w:rFonts w:hint="eastAsia" w:ascii="宋体" w:hAnsi="宋体" w:cs="宋体"/>
          <w:szCs w:val="21"/>
        </w:rPr>
        <w:t xml:space="preserve">整（小写：559300.00元）；</w:t>
      </w:r>
      <w:r/>
    </w:p>
    <w:p>
      <w:pPr>
        <w:spacing w:line="360" w:lineRule="auto"/>
        <w:rPr>
          <w:rFonts w:ascii="宋体" w:hAnsi="宋体" w:cs="宋体"/>
          <w:b/>
          <w:szCs w:val="21"/>
        </w:rPr>
        <w:outlineLvl w:val="1"/>
      </w:pPr>
      <w:r>
        <w:rPr>
          <w:rFonts w:hint="eastAsia" w:ascii="宋体" w:hAnsi="宋体" w:cs="宋体"/>
          <w:b/>
          <w:szCs w:val="21"/>
        </w:rPr>
        <w:t xml:space="preserve">★五、采购需求：（本文件中★标示内容为实质性要求）</w:t>
      </w:r>
      <w:r/>
    </w:p>
    <w:p>
      <w:pPr>
        <w:keepLines/>
        <w:keepNext/>
        <w:spacing w:line="360" w:lineRule="auto"/>
        <w:tabs>
          <w:tab w:val="left" w:pos="0" w:leader="none"/>
        </w:tabs>
        <w:rPr>
          <w:rFonts w:ascii="宋体" w:hAnsi="宋体" w:cs="宋体"/>
          <w:b/>
          <w:szCs w:val="21"/>
        </w:rPr>
        <w:outlineLvl w:val="0"/>
      </w:pPr>
      <w:r/>
      <w:bookmarkStart w:id="7" w:name="_Toc28034"/>
      <w:r>
        <w:rPr>
          <w:rFonts w:hint="eastAsia" w:ascii="宋体" w:hAnsi="宋体" w:cs="宋体"/>
          <w:b/>
          <w:szCs w:val="21"/>
        </w:rPr>
        <w:t xml:space="preserve">1.项目背景</w:t>
      </w:r>
      <w:r/>
    </w:p>
    <w:p>
      <w:pPr>
        <w:jc w:val="left"/>
        <w:spacing w:line="360" w:lineRule="auto"/>
        <w:rPr>
          <w:rFonts w:ascii="宋体" w:hAnsi="宋体" w:cs="宋体"/>
          <w:szCs w:val="21"/>
        </w:rPr>
      </w:pPr>
      <w:r>
        <w:rPr>
          <w:rFonts w:hint="eastAsia" w:ascii="宋体" w:hAnsi="宋体" w:cs="宋体"/>
          <w:szCs w:val="21"/>
        </w:rPr>
        <w:t xml:space="preserve">1.1任务由来</w:t>
      </w:r>
      <w:r/>
    </w:p>
    <w:p>
      <w:pPr>
        <w:ind w:firstLine="420"/>
        <w:jc w:val="left"/>
        <w:spacing w:line="360" w:lineRule="auto"/>
        <w:rPr>
          <w:rFonts w:ascii="宋体" w:hAnsi="宋体" w:cs="宋体"/>
          <w:szCs w:val="21"/>
        </w:rPr>
      </w:pPr>
      <w:r>
        <w:rPr>
          <w:rFonts w:hint="eastAsia" w:ascii="宋体" w:hAnsi="宋体" w:cs="宋体"/>
          <w:szCs w:val="21"/>
        </w:rPr>
        <w:t xml:space="preserve">地块位于苏州工业园区扬贤路东侧、扬泰路北侧，占地面积8639.63m</w:t>
      </w:r>
      <w:r>
        <w:rPr>
          <w:rFonts w:hint="eastAsia" w:ascii="宋体" w:hAnsi="宋体" w:cs="宋体"/>
          <w:szCs w:val="21"/>
          <w:vertAlign w:val="superscript"/>
        </w:rPr>
        <w:t xml:space="preserve">2</w:t>
      </w:r>
      <w:r>
        <w:rPr>
          <w:rFonts w:hint="eastAsia" w:ascii="宋体" w:hAnsi="宋体" w:cs="宋体"/>
          <w:szCs w:val="21"/>
        </w:rPr>
        <w:t xml:space="preserve">。地块历史用途主要包括宅基地、农用地、工业用地、河流等。根据《苏州工业园区总体规划（2012-2030）》，本地块规划用途为工业用地（M），属于《土壤环境质量建设用地土壤污染风险管控标准（试行）》（GB36600-2018）中的第二类用地。</w:t>
      </w:r>
      <w:r/>
    </w:p>
    <w:p>
      <w:pPr>
        <w:ind w:firstLine="420"/>
        <w:jc w:val="left"/>
        <w:spacing w:line="360" w:lineRule="auto"/>
        <w:rPr>
          <w:rFonts w:ascii="宋体" w:hAnsi="宋体" w:cs="宋体"/>
          <w:szCs w:val="21"/>
        </w:rPr>
      </w:pPr>
      <w:r>
        <w:rPr>
          <w:rFonts w:hint="eastAsia" w:ascii="宋体" w:hAnsi="宋体" w:cs="宋体"/>
          <w:szCs w:val="21"/>
        </w:rPr>
        <w:t xml:space="preserve">2025年6月，地块原施工单位现场开挖至修复方案设计边界后发现基坑开挖断面处土壤颜色异常，后经补充调查，结果表明原定修复范围外仍存在砷污染土壤，需进行补充修复。</w:t>
      </w:r>
      <w:r/>
    </w:p>
    <w:p>
      <w:pPr>
        <w:jc w:val="left"/>
        <w:spacing w:line="360" w:lineRule="auto"/>
        <w:rPr>
          <w:rFonts w:ascii="宋体" w:hAnsi="宋体" w:cs="宋体"/>
          <w:szCs w:val="21"/>
        </w:rPr>
      </w:pPr>
      <w:r>
        <w:rPr>
          <w:rFonts w:hint="eastAsia" w:ascii="宋体" w:hAnsi="宋体" w:cs="宋体"/>
          <w:szCs w:val="21"/>
        </w:rPr>
        <w:t xml:space="preserve">1.2 地块现状</w:t>
      </w:r>
      <w:r/>
    </w:p>
    <w:p>
      <w:pPr>
        <w:ind w:firstLine="420"/>
        <w:jc w:val="left"/>
        <w:spacing w:line="360" w:lineRule="auto"/>
        <w:rPr>
          <w:rFonts w:ascii="宋体" w:hAnsi="宋体" w:cs="宋体"/>
          <w:szCs w:val="21"/>
        </w:rPr>
      </w:pPr>
      <w:r>
        <w:rPr>
          <w:rFonts w:hint="eastAsia" w:ascii="宋体" w:hAnsi="宋体" w:cs="宋体"/>
          <w:szCs w:val="21"/>
        </w:rPr>
        <w:t xml:space="preserve">空地，地面覆盖有草皮，具体可自行踏勘现场。</w:t>
      </w:r>
      <w:r/>
    </w:p>
    <w:p>
      <w:pPr>
        <w:jc w:val="left"/>
        <w:spacing w:line="360" w:lineRule="auto"/>
        <w:rPr>
          <w:rFonts w:ascii="宋体" w:hAnsi="宋体" w:cs="宋体"/>
          <w:szCs w:val="21"/>
        </w:rPr>
      </w:pPr>
      <w:r>
        <w:rPr>
          <w:rFonts w:hint="eastAsia" w:ascii="宋体" w:hAnsi="宋体" w:cs="宋体"/>
          <w:szCs w:val="21"/>
        </w:rPr>
        <w:t xml:space="preserve">1.3 地块未来规划</w:t>
      </w:r>
      <w:r/>
    </w:p>
    <w:p>
      <w:pPr>
        <w:ind w:firstLine="420"/>
        <w:jc w:val="left"/>
        <w:spacing w:line="360" w:lineRule="auto"/>
        <w:rPr>
          <w:rFonts w:ascii="宋体" w:hAnsi="宋体" w:cs="宋体"/>
          <w:szCs w:val="21"/>
        </w:rPr>
      </w:pPr>
      <w:r>
        <w:rPr>
          <w:rFonts w:hint="eastAsia" w:ascii="宋体" w:hAnsi="宋体" w:cs="宋体"/>
          <w:szCs w:val="21"/>
        </w:rPr>
        <w:t xml:space="preserve">地块未来规划为工业用地，属于GB36600-2018中的“第二类用地”。</w:t>
      </w:r>
      <w:r/>
    </w:p>
    <w:p>
      <w:pPr>
        <w:jc w:val="left"/>
        <w:spacing w:line="360" w:lineRule="auto"/>
        <w:rPr>
          <w:rFonts w:ascii="宋体" w:hAnsi="宋体" w:cs="宋体"/>
          <w:szCs w:val="21"/>
        </w:rPr>
      </w:pPr>
      <w:r>
        <w:rPr>
          <w:rFonts w:hint="eastAsia" w:ascii="宋体" w:hAnsi="宋体" w:cs="宋体"/>
          <w:szCs w:val="21"/>
        </w:rPr>
        <w:t xml:space="preserve">1.4 周边环境概况</w:t>
      </w:r>
      <w:r/>
    </w:p>
    <w:p>
      <w:pPr>
        <w:ind w:firstLine="420"/>
        <w:jc w:val="left"/>
        <w:spacing w:line="360" w:lineRule="auto"/>
        <w:rPr>
          <w:rFonts w:ascii="宋体" w:hAnsi="宋体" w:cs="宋体"/>
          <w:szCs w:val="21"/>
        </w:rPr>
      </w:pPr>
      <w:r>
        <w:rPr>
          <w:rFonts w:hint="eastAsia" w:ascii="宋体" w:hAnsi="宋体" w:cs="宋体"/>
          <w:szCs w:val="21"/>
        </w:rPr>
        <w:t xml:space="preserve">地块相邻地块主要为企业和道路；地块周边500m范围内主要敏感目标为地表水体，为位于西侧360m的大水泾，流向为由北向南。</w:t>
      </w:r>
      <w:r/>
    </w:p>
    <w:p>
      <w:pPr>
        <w:keepLines/>
        <w:keepNext/>
        <w:spacing w:line="360" w:lineRule="auto"/>
        <w:tabs>
          <w:tab w:val="left" w:pos="0" w:leader="none"/>
        </w:tabs>
        <w:rPr>
          <w:rFonts w:ascii="宋体" w:hAnsi="宋体" w:cs="宋体"/>
          <w:b/>
          <w:szCs w:val="21"/>
        </w:rPr>
        <w:outlineLvl w:val="0"/>
      </w:pPr>
      <w:r>
        <w:rPr>
          <w:rFonts w:hint="eastAsia" w:ascii="宋体" w:hAnsi="宋体" w:cs="宋体"/>
          <w:b/>
          <w:szCs w:val="21"/>
        </w:rPr>
        <w:t xml:space="preserve">2.土壤污染状况调查及风险评估情况</w:t>
      </w:r>
      <w:r/>
    </w:p>
    <w:p>
      <w:pPr>
        <w:pStyle w:val="1030"/>
        <w:spacing w:before="0" w:after="0" w:line="360" w:lineRule="auto"/>
        <w:rPr>
          <w:rFonts w:ascii="宋体" w:hAnsi="宋体" w:cs="宋体"/>
          <w:b w:val="0"/>
          <w:sz w:val="21"/>
          <w:szCs w:val="21"/>
        </w:rPr>
      </w:pPr>
      <w:r>
        <w:rPr>
          <w:rFonts w:hint="eastAsia" w:ascii="宋体" w:hAnsi="宋体" w:cs="宋体"/>
          <w:b w:val="0"/>
          <w:sz w:val="21"/>
          <w:szCs w:val="21"/>
        </w:rPr>
        <w:t xml:space="preserve">2.1 土壤污染状况调查情况</w:t>
      </w:r>
      <w:r/>
    </w:p>
    <w:p>
      <w:pPr>
        <w:pStyle w:val="1030"/>
        <w:spacing w:before="0" w:after="0" w:line="360" w:lineRule="auto"/>
        <w:rPr>
          <w:rFonts w:ascii="宋体" w:hAnsi="宋体" w:cs="宋体"/>
          <w:b w:val="0"/>
          <w:sz w:val="21"/>
          <w:szCs w:val="21"/>
        </w:rPr>
      </w:pPr>
      <w:r>
        <w:rPr>
          <w:rFonts w:hint="eastAsia" w:ascii="宋体" w:hAnsi="宋体" w:cs="宋体"/>
          <w:b w:val="0"/>
          <w:sz w:val="21"/>
          <w:szCs w:val="21"/>
        </w:rPr>
        <w:t xml:space="preserve">（1）前期土壤污染状况调查情况</w:t>
      </w:r>
      <w:r/>
    </w:p>
    <w:p>
      <w:pPr>
        <w:ind w:firstLine="420"/>
        <w:spacing w:line="360" w:lineRule="auto"/>
        <w:rPr>
          <w:rFonts w:ascii="宋体" w:hAnsi="宋体" w:cs="宋体"/>
          <w:bCs/>
          <w:szCs w:val="21"/>
        </w:rPr>
      </w:pPr>
      <w:r>
        <w:rPr>
          <w:rFonts w:hint="eastAsia" w:ascii="宋体" w:hAnsi="宋体" w:cs="宋体"/>
          <w:bCs/>
          <w:szCs w:val="21"/>
        </w:rPr>
        <w:t xml:space="preserve">前期调查土壤砷超标深度为0~0.5m、0.5~1.0m、1.0~1.5m，超标样品主要位于填土中。采用不超标点位连线法绘制出整体超标范围、土壤超标面积约为191m</w:t>
      </w:r>
      <w:r>
        <w:rPr>
          <w:rFonts w:hint="eastAsia" w:ascii="宋体" w:hAnsi="宋体" w:cs="宋体"/>
          <w:bCs/>
          <w:szCs w:val="21"/>
          <w:vertAlign w:val="superscript"/>
        </w:rPr>
        <w:t xml:space="preserve">2</w:t>
      </w:r>
      <w:r>
        <w:rPr>
          <w:rFonts w:hint="eastAsia" w:ascii="宋体" w:hAnsi="宋体" w:cs="宋体"/>
          <w:bCs/>
          <w:szCs w:val="21"/>
        </w:rPr>
        <w:t xml:space="preserve">。</w:t>
      </w:r>
      <w:r/>
    </w:p>
    <w:p>
      <w:pPr>
        <w:pStyle w:val="1030"/>
        <w:spacing w:before="0" w:after="0" w:line="360" w:lineRule="auto"/>
        <w:rPr>
          <w:rFonts w:ascii="宋体" w:hAnsi="宋体" w:cs="宋体"/>
          <w:b w:val="0"/>
          <w:sz w:val="21"/>
          <w:szCs w:val="21"/>
        </w:rPr>
      </w:pPr>
      <w:r>
        <w:rPr>
          <w:rFonts w:hint="eastAsia" w:ascii="宋体" w:hAnsi="宋体" w:cs="宋体"/>
          <w:b w:val="0"/>
          <w:sz w:val="21"/>
          <w:szCs w:val="21"/>
        </w:rPr>
        <w:t xml:space="preserve">（2）补充调查情况</w:t>
      </w:r>
      <w:r/>
    </w:p>
    <w:p>
      <w:pPr>
        <w:ind w:firstLine="420"/>
        <w:spacing w:line="360" w:lineRule="auto"/>
        <w:rPr>
          <w:rFonts w:ascii="宋体" w:hAnsi="宋体" w:cs="宋体"/>
          <w:bCs/>
          <w:szCs w:val="21"/>
        </w:rPr>
      </w:pPr>
      <w:r>
        <w:rPr>
          <w:rFonts w:hint="eastAsia" w:ascii="宋体" w:hAnsi="宋体" w:cs="宋体"/>
          <w:bCs/>
          <w:szCs w:val="21"/>
        </w:rPr>
        <w:t xml:space="preserve">补充调查有16个土壤点位（共有21个土壤样品）砷检出含量超过修复目标，最大超标倍数为2.97倍，最大超标深度范围为1.5m，超标深度主要集中在表层0-0.5m范围。补充调查超标点位主要集中在修复区基坑周边，修复区基坑西侧及南侧部分区域。</w:t>
      </w:r>
      <w:r/>
    </w:p>
    <w:p>
      <w:pPr>
        <w:pStyle w:val="1030"/>
        <w:spacing w:before="0" w:after="0" w:line="360" w:lineRule="auto"/>
        <w:rPr>
          <w:rFonts w:ascii="宋体" w:hAnsi="宋体" w:cs="宋体"/>
          <w:b w:val="0"/>
          <w:sz w:val="21"/>
          <w:szCs w:val="21"/>
        </w:rPr>
      </w:pPr>
      <w:r>
        <w:rPr>
          <w:rFonts w:hint="eastAsia" w:ascii="宋体" w:hAnsi="宋体" w:cs="宋体"/>
          <w:b w:val="0"/>
          <w:sz w:val="21"/>
          <w:szCs w:val="21"/>
        </w:rPr>
        <w:t xml:space="preserve">2.2 风险评估情况</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根据风险评估污染物筛选本地块土壤关注污染物为砷。经风险评估土壤中关注污染物砷的人体健康风险超过可接受水平，需采取修复措施。根据地块实际情况进行进一步分析，确定砷的修复目标值为60mg/kg。</w:t>
      </w:r>
      <w:r/>
    </w:p>
    <w:p>
      <w:pPr>
        <w:numPr>
          <w:ilvl w:val="1"/>
          <w:numId w:val="0"/>
        </w:numPr>
        <w:keepLines/>
        <w:keepNext/>
        <w:spacing w:line="360" w:lineRule="auto"/>
        <w:tabs>
          <w:tab w:val="left" w:pos="73" w:leader="none"/>
        </w:tabs>
        <w:rPr>
          <w:rFonts w:ascii="宋体" w:hAnsi="宋体" w:cs="宋体"/>
          <w:bCs/>
          <w:szCs w:val="21"/>
        </w:rPr>
        <w:outlineLvl w:val="1"/>
      </w:pPr>
      <w:r>
        <w:rPr>
          <w:rFonts w:hint="eastAsia" w:ascii="宋体" w:hAnsi="宋体" w:cs="宋体"/>
          <w:bCs/>
          <w:szCs w:val="21"/>
        </w:rPr>
        <w:t xml:space="preserve">2.3 修复范围及工作量</w:t>
      </w:r>
      <w:r/>
    </w:p>
    <w:p>
      <w:pPr>
        <w:ind w:firstLine="480"/>
        <w:spacing w:line="360" w:lineRule="auto"/>
        <w:rPr>
          <w:rFonts w:ascii="宋体" w:hAnsi="宋体" w:cs="宋体"/>
          <w:szCs w:val="21"/>
        </w:rPr>
      </w:pPr>
      <w:r>
        <w:rPr>
          <w:rFonts w:hint="eastAsia" w:ascii="宋体" w:hAnsi="宋体" w:cs="宋体"/>
          <w:bCs/>
          <w:szCs w:val="21"/>
        </w:rPr>
        <w:t xml:space="preserve">本地块补充修复面积叠加约为980.5m</w:t>
      </w:r>
      <w:r>
        <w:rPr>
          <w:rFonts w:hint="eastAsia" w:ascii="宋体" w:hAnsi="宋体" w:cs="宋体"/>
          <w:bCs/>
          <w:szCs w:val="21"/>
          <w:vertAlign w:val="superscript"/>
        </w:rPr>
        <w:t xml:space="preserve">2</w:t>
      </w:r>
      <w:r>
        <w:rPr>
          <w:rFonts w:hint="eastAsia" w:ascii="宋体" w:hAnsi="宋体" w:cs="宋体"/>
          <w:bCs/>
          <w:szCs w:val="21"/>
        </w:rPr>
        <w:t xml:space="preserve">，投影面积约为961m</w:t>
      </w:r>
      <w:r>
        <w:rPr>
          <w:rFonts w:hint="eastAsia" w:ascii="宋体" w:hAnsi="宋体" w:cs="宋体"/>
          <w:bCs/>
          <w:szCs w:val="21"/>
          <w:vertAlign w:val="superscript"/>
        </w:rPr>
        <w:t xml:space="preserve">2</w:t>
      </w:r>
      <w:r>
        <w:rPr>
          <w:rFonts w:hint="eastAsia" w:ascii="宋体" w:hAnsi="宋体" w:cs="宋体"/>
          <w:bCs/>
          <w:szCs w:val="21"/>
        </w:rPr>
        <w:t xml:space="preserve">，补充修复工作量为594.5m</w:t>
      </w:r>
      <w:r>
        <w:rPr>
          <w:rFonts w:hint="eastAsia" w:ascii="宋体" w:hAnsi="宋体" w:cs="宋体"/>
          <w:bCs/>
          <w:szCs w:val="21"/>
          <w:vertAlign w:val="superscript"/>
        </w:rPr>
        <w:t xml:space="preserve">3</w:t>
      </w:r>
      <w:r>
        <w:rPr>
          <w:rFonts w:hint="eastAsia" w:ascii="宋体" w:hAnsi="宋体" w:cs="宋体"/>
          <w:bCs/>
          <w:szCs w:val="21"/>
        </w:rPr>
        <w:t xml:space="preserve">，最大补充修复深度为1</w:t>
      </w:r>
      <w:r>
        <w:rPr>
          <w:rFonts w:hint="eastAsia" w:ascii="宋体" w:hAnsi="宋体" w:cs="宋体"/>
          <w:szCs w:val="21"/>
        </w:rPr>
        <w:t xml:space="preserve">.5m，补充修复范围及工作量统计、清洁土工作量统计详见表2-1、2-2，修复范围总图详见图2-1。修复区域拐点坐标根据中标后领取《</w:t>
      </w:r>
      <w:r>
        <w:rPr>
          <w:rFonts w:hint="eastAsia" w:ascii="宋体" w:hAnsi="宋体" w:cs="宋体"/>
          <w:bCs/>
          <w:szCs w:val="21"/>
        </w:rPr>
        <w:t xml:space="preserve">扬贤路东、扬泰路北地块土壤修复项目补充调查报告</w:t>
      </w:r>
      <w:r>
        <w:rPr>
          <w:rFonts w:hint="eastAsia" w:ascii="宋体" w:hAnsi="宋体" w:cs="宋体"/>
          <w:szCs w:val="21"/>
        </w:rPr>
        <w:t xml:space="preserve">》（简称补充调查报告）为准。</w:t>
      </w:r>
      <w:r/>
    </w:p>
    <w:p>
      <w:pPr>
        <w:pStyle w:val="1039"/>
        <w:ind w:firstLine="420"/>
        <w:rPr>
          <w:rFonts w:ascii="宋体" w:hAnsi="宋体" w:cs="宋体"/>
          <w:szCs w:val="21"/>
        </w:rPr>
      </w:pPr>
      <w:r>
        <w:rPr>
          <w:rFonts w:hint="eastAsia" w:ascii="宋体" w:hAnsi="宋体" w:cs="宋体"/>
          <w:szCs w:val="21"/>
        </w:rPr>
        <w:t xml:space="preserve">表2-</w:t>
      </w:r>
      <w:r>
        <w:rPr>
          <w:rFonts w:hint="eastAsia" w:ascii="宋体" w:hAnsi="宋体" w:cs="宋体"/>
          <w:szCs w:val="21"/>
        </w:rPr>
        <w:fldChar w:fldCharType="begin"/>
      </w:r>
      <w:r>
        <w:rPr>
          <w:rFonts w:hint="eastAsia" w:ascii="宋体" w:hAnsi="宋体" w:cs="宋体"/>
          <w:szCs w:val="21"/>
        </w:rPr>
        <w:instrText xml:space="preserve"> SEQ 表 \* ARABIC \s 2 </w:instrText>
      </w:r>
      <w:r>
        <w:rPr>
          <w:rFonts w:hint="eastAsia" w:ascii="宋体" w:hAnsi="宋体" w:cs="宋体"/>
          <w:szCs w:val="21"/>
        </w:rPr>
        <w:fldChar w:fldCharType="separate"/>
      </w:r>
      <w:r>
        <w:rPr>
          <w:rFonts w:hint="eastAsia" w:ascii="宋体" w:hAnsi="宋体" w:cs="宋体"/>
          <w:szCs w:val="21"/>
        </w:rPr>
        <w:t xml:space="preserve">1</w:t>
      </w:r>
      <w:r>
        <w:rPr>
          <w:rFonts w:hint="eastAsia" w:ascii="宋体" w:hAnsi="宋体" w:cs="宋体"/>
          <w:szCs w:val="21"/>
        </w:rPr>
        <w:fldChar w:fldCharType="end"/>
      </w:r>
      <w:r>
        <w:rPr>
          <w:rFonts w:hint="eastAsia" w:ascii="宋体" w:hAnsi="宋体" w:cs="宋体"/>
          <w:szCs w:val="21"/>
        </w:rPr>
        <w:t xml:space="preserve">补充修复范围及工作量统计</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30"/>
        <w:gridCol w:w="2130"/>
        <w:gridCol w:w="2131"/>
        <w:gridCol w:w="3504"/>
      </w:tblGrid>
      <w:tr>
        <w:trPr/>
        <w:tc>
          <w:tcPr>
            <w:shd w:val="clear" w:color="auto" w:fill="d9d9d9"/>
            <w:tcW w:w="2130" w:type="dxa"/>
            <w:vAlign w:val="center"/>
            <w:textDirection w:val="lrTb"/>
            <w:noWrap/>
          </w:tcPr>
          <w:p>
            <w:pPr>
              <w:jc w:val="center"/>
              <w:spacing w:line="360" w:lineRule="auto"/>
              <w:rPr>
                <w:rFonts w:ascii="宋体" w:hAnsi="宋体" w:cs="宋体"/>
                <w:szCs w:val="21"/>
              </w:rPr>
            </w:pPr>
            <w:r>
              <w:rPr>
                <w:rFonts w:hint="eastAsia" w:ascii="宋体" w:hAnsi="宋体" w:cs="宋体"/>
                <w:b/>
                <w:bCs/>
                <w:szCs w:val="21"/>
              </w:rPr>
              <w:t xml:space="preserve">修复深度/m</w:t>
            </w:r>
            <w:r/>
          </w:p>
        </w:tc>
        <w:tc>
          <w:tcPr>
            <w:shd w:val="clear" w:color="auto" w:fill="d9d9d9"/>
            <w:tcW w:w="2130" w:type="dxa"/>
            <w:vAlign w:val="center"/>
            <w:textDirection w:val="lrTb"/>
            <w:noWrap/>
          </w:tcPr>
          <w:p>
            <w:pPr>
              <w:jc w:val="center"/>
              <w:spacing w:line="360" w:lineRule="auto"/>
              <w:rPr>
                <w:rFonts w:ascii="宋体" w:hAnsi="宋体" w:cs="宋体"/>
                <w:szCs w:val="21"/>
              </w:rPr>
            </w:pPr>
            <w:r>
              <w:rPr>
                <w:rFonts w:hint="eastAsia" w:ascii="宋体" w:hAnsi="宋体" w:cs="宋体"/>
                <w:b/>
                <w:bCs/>
                <w:szCs w:val="21"/>
              </w:rPr>
              <w:t xml:space="preserve">修复区块</w:t>
            </w:r>
            <w:r/>
          </w:p>
        </w:tc>
        <w:tc>
          <w:tcPr>
            <w:shd w:val="clear" w:color="auto" w:fill="d9d9d9"/>
            <w:tcW w:w="2131" w:type="dxa"/>
            <w:vAlign w:val="center"/>
            <w:textDirection w:val="lrTb"/>
            <w:noWrap/>
          </w:tcPr>
          <w:p>
            <w:pPr>
              <w:jc w:val="center"/>
              <w:spacing w:line="360" w:lineRule="auto"/>
              <w:rPr>
                <w:rFonts w:ascii="宋体" w:hAnsi="宋体" w:cs="宋体"/>
                <w:szCs w:val="21"/>
              </w:rPr>
            </w:pPr>
            <w:r>
              <w:rPr>
                <w:rFonts w:hint="eastAsia" w:ascii="宋体" w:hAnsi="宋体" w:cs="宋体"/>
                <w:b/>
                <w:bCs/>
                <w:szCs w:val="21"/>
              </w:rPr>
              <w:t xml:space="preserve">修复面积/m</w:t>
            </w:r>
            <w:r>
              <w:rPr>
                <w:rFonts w:hint="eastAsia" w:ascii="宋体" w:hAnsi="宋体" w:cs="宋体"/>
                <w:b/>
                <w:bCs/>
                <w:szCs w:val="21"/>
                <w:vertAlign w:val="superscript"/>
              </w:rPr>
              <w:t xml:space="preserve">2</w:t>
            </w:r>
            <w:r/>
          </w:p>
        </w:tc>
        <w:tc>
          <w:tcPr>
            <w:shd w:val="clear" w:color="auto" w:fill="d9d9d9"/>
            <w:tcW w:w="3504" w:type="dxa"/>
            <w:vAlign w:val="center"/>
            <w:textDirection w:val="lrTb"/>
            <w:noWrap/>
          </w:tcPr>
          <w:p>
            <w:pPr>
              <w:jc w:val="center"/>
              <w:spacing w:line="360" w:lineRule="auto"/>
              <w:rPr>
                <w:rFonts w:ascii="宋体" w:hAnsi="宋体" w:cs="宋体"/>
                <w:szCs w:val="21"/>
              </w:rPr>
            </w:pPr>
            <w:r>
              <w:rPr>
                <w:rFonts w:hint="eastAsia" w:ascii="宋体" w:hAnsi="宋体" w:cs="宋体"/>
                <w:b/>
                <w:bCs/>
                <w:szCs w:val="21"/>
              </w:rPr>
              <w:t xml:space="preserve">修复工作量/m</w:t>
            </w:r>
            <w:r>
              <w:rPr>
                <w:rFonts w:hint="eastAsia" w:ascii="宋体" w:hAnsi="宋体" w:cs="宋体"/>
                <w:b/>
                <w:bCs/>
                <w:szCs w:val="21"/>
                <w:vertAlign w:val="superscript"/>
              </w:rPr>
              <w:t xml:space="preserve">3</w:t>
            </w:r>
            <w:r/>
          </w:p>
        </w:tc>
      </w:tr>
      <w:tr>
        <w:trPr/>
        <w:tc>
          <w:tcPr>
            <w:tcW w:w="213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0-0.5</w:t>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BX1-1</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42.2</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21.1</w:t>
            </w:r>
            <w:r/>
          </w:p>
        </w:tc>
      </w:tr>
      <w:tr>
        <w:trPr/>
        <w:tc>
          <w:tcPr>
            <w:tcW w:w="213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BX1-2</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322.5</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161.25</w:t>
            </w:r>
            <w:r/>
          </w:p>
        </w:tc>
      </w:tr>
      <w:tr>
        <w:trPr/>
        <w:tc>
          <w:tcPr>
            <w:tcW w:w="213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BX1-3</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273.2</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136.6</w:t>
            </w:r>
            <w:r/>
          </w:p>
        </w:tc>
      </w:tr>
      <w:tr>
        <w:trPr/>
        <w:tc>
          <w:tcPr>
            <w:tcW w:w="213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0-1.0</w:t>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BX2-1</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60.8</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60.8</w:t>
            </w:r>
            <w:r/>
          </w:p>
        </w:tc>
      </w:tr>
      <w:tr>
        <w:trPr/>
        <w:tc>
          <w:tcPr>
            <w:tcW w:w="213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BX2-2</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37.2</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37.2</w:t>
            </w:r>
            <w:r/>
          </w:p>
        </w:tc>
      </w:tr>
      <w:tr>
        <w:trPr/>
        <w:tc>
          <w:tcPr>
            <w:tcW w:w="213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BX2-3</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95.9</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95.9</w:t>
            </w:r>
            <w:r/>
          </w:p>
        </w:tc>
      </w:tr>
      <w:tr>
        <w:trPr/>
        <w:tc>
          <w:tcPr>
            <w:tcW w:w="213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1.0-1.5</w:t>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BX3-1</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35.5</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17.75</w:t>
            </w:r>
            <w:r/>
          </w:p>
        </w:tc>
      </w:tr>
      <w:tr>
        <w:trPr/>
        <w:tc>
          <w:tcPr>
            <w:tcW w:w="213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BX3-2</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84</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42</w:t>
            </w:r>
            <w:r/>
          </w:p>
        </w:tc>
      </w:tr>
      <w:tr>
        <w:trPr/>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0-1.5</w:t>
            </w:r>
            <w:r/>
          </w:p>
        </w:tc>
        <w:tc>
          <w:tcPr>
            <w:tcW w:w="21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BX4-1</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29.2</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21.9</w:t>
            </w:r>
            <w:r/>
          </w:p>
        </w:tc>
      </w:tr>
      <w:tr>
        <w:trPr/>
        <w:tc>
          <w:tcPr>
            <w:gridSpan w:val="2"/>
            <w:tcW w:w="42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合计</w:t>
            </w:r>
            <w:r/>
          </w:p>
        </w:tc>
        <w:tc>
          <w:tcPr>
            <w:tcW w:w="213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980.5</w:t>
            </w:r>
            <w:r/>
          </w:p>
        </w:tc>
        <w:tc>
          <w:tcPr>
            <w:tcW w:w="35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594.5</w:t>
            </w:r>
            <w:r/>
          </w:p>
        </w:tc>
      </w:tr>
    </w:tbl>
    <w:p>
      <w:pPr>
        <w:pStyle w:val="1039"/>
        <w:ind w:firstLine="0"/>
        <w:rPr>
          <w:rFonts w:ascii="宋体" w:hAnsi="宋体" w:cs="宋体"/>
          <w:szCs w:val="21"/>
        </w:rPr>
      </w:pPr>
      <w:r>
        <w:rPr>
          <w:rFonts w:hint="eastAsia" w:ascii="宋体" w:hAnsi="宋体" w:cs="宋体"/>
          <w:szCs w:val="21"/>
        </w:rPr>
        <w:t xml:space="preserve">表2-</w:t>
      </w:r>
      <w:r>
        <w:rPr>
          <w:rFonts w:hint="eastAsia" w:ascii="宋体" w:hAnsi="宋体" w:cs="宋体"/>
          <w:szCs w:val="21"/>
        </w:rPr>
        <w:fldChar w:fldCharType="begin"/>
      </w:r>
      <w:r>
        <w:rPr>
          <w:rFonts w:hint="eastAsia" w:ascii="宋体" w:hAnsi="宋体" w:cs="宋体"/>
          <w:szCs w:val="21"/>
        </w:rPr>
        <w:instrText xml:space="preserve"> SEQ 表 \* ARABIC \s 2 </w:instrText>
      </w:r>
      <w:r>
        <w:rPr>
          <w:rFonts w:hint="eastAsia" w:ascii="宋体" w:hAnsi="宋体" w:cs="宋体"/>
          <w:szCs w:val="21"/>
        </w:rPr>
        <w:fldChar w:fldCharType="separate"/>
      </w:r>
      <w:r>
        <w:rPr>
          <w:rFonts w:hint="eastAsia" w:ascii="宋体" w:hAnsi="宋体" w:cs="宋体"/>
          <w:szCs w:val="21"/>
        </w:rPr>
        <w:t xml:space="preserve">2</w:t>
      </w:r>
      <w:r>
        <w:rPr>
          <w:rFonts w:hint="eastAsia" w:ascii="宋体" w:hAnsi="宋体" w:cs="宋体"/>
          <w:szCs w:val="21"/>
        </w:rPr>
        <w:fldChar w:fldCharType="end"/>
      </w:r>
      <w:r>
        <w:rPr>
          <w:rFonts w:hint="eastAsia" w:ascii="宋体" w:hAnsi="宋体" w:cs="宋体"/>
          <w:szCs w:val="21"/>
        </w:rPr>
        <w:t xml:space="preserve">清洁土工作量统计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98"/>
        <w:gridCol w:w="2552"/>
        <w:gridCol w:w="2335"/>
        <w:gridCol w:w="2977"/>
      </w:tblGrid>
      <w:tr>
        <w:trPr>
          <w:trHeight w:val="20"/>
          <w:tblHeader/>
        </w:trPr>
        <w:tc>
          <w:tcPr>
            <w:shd w:val="clear" w:color="000000" w:fill="d9d9d9"/>
            <w:tcW w:w="1053" w:type="pct"/>
            <w:vAlign w:val="center"/>
            <w:textDirection w:val="lrTb"/>
            <w:noWrap/>
          </w:tcPr>
          <w:p>
            <w:pPr>
              <w:pStyle w:val="1102"/>
              <w:jc w:val="center"/>
              <w:spacing w:line="360" w:lineRule="auto"/>
              <w:rPr>
                <w:rFonts w:ascii="宋体" w:hAnsi="宋体" w:cs="宋体"/>
                <w:b/>
                <w:bCs/>
                <w:szCs w:val="21"/>
              </w:rPr>
            </w:pPr>
            <w:r>
              <w:rPr>
                <w:rFonts w:hint="eastAsia" w:ascii="宋体" w:hAnsi="宋体" w:cs="宋体"/>
                <w:b/>
                <w:bCs/>
                <w:szCs w:val="21"/>
              </w:rPr>
              <w:t xml:space="preserve">修复区块</w:t>
            </w:r>
            <w:r/>
          </w:p>
        </w:tc>
        <w:tc>
          <w:tcPr>
            <w:shd w:val="clear" w:color="000000" w:fill="d9d9d9"/>
            <w:tcW w:w="1281" w:type="pct"/>
            <w:vAlign w:val="center"/>
            <w:textDirection w:val="lrTb"/>
            <w:noWrap/>
          </w:tcPr>
          <w:p>
            <w:pPr>
              <w:pStyle w:val="1102"/>
              <w:jc w:val="center"/>
              <w:spacing w:line="360" w:lineRule="auto"/>
              <w:rPr>
                <w:rFonts w:ascii="宋体" w:hAnsi="宋体" w:cs="宋体"/>
                <w:b/>
                <w:bCs/>
                <w:szCs w:val="21"/>
              </w:rPr>
            </w:pPr>
            <w:r>
              <w:rPr>
                <w:rFonts w:hint="eastAsia" w:ascii="宋体" w:hAnsi="宋体" w:cs="宋体"/>
                <w:b/>
                <w:bCs/>
                <w:szCs w:val="21"/>
              </w:rPr>
              <w:t xml:space="preserve">修复深度/m</w:t>
            </w:r>
            <w:r/>
          </w:p>
        </w:tc>
        <w:tc>
          <w:tcPr>
            <w:shd w:val="clear" w:color="000000" w:fill="d9d9d9"/>
            <w:tcW w:w="1172" w:type="pct"/>
            <w:vAlign w:val="center"/>
            <w:textDirection w:val="lrTb"/>
            <w:noWrap/>
          </w:tcPr>
          <w:p>
            <w:pPr>
              <w:pStyle w:val="1102"/>
              <w:jc w:val="center"/>
              <w:spacing w:line="360" w:lineRule="auto"/>
              <w:rPr>
                <w:rFonts w:ascii="宋体" w:hAnsi="宋体" w:cs="宋体"/>
                <w:b/>
                <w:bCs/>
                <w:szCs w:val="21"/>
              </w:rPr>
            </w:pPr>
            <w:r>
              <w:rPr>
                <w:rFonts w:hint="eastAsia" w:ascii="宋体" w:hAnsi="宋体" w:cs="宋体"/>
                <w:b/>
                <w:bCs/>
                <w:szCs w:val="21"/>
              </w:rPr>
              <w:t xml:space="preserve">修复面积/m</w:t>
            </w:r>
            <w:r>
              <w:rPr>
                <w:rFonts w:hint="eastAsia" w:ascii="宋体" w:hAnsi="宋体" w:cs="宋体"/>
                <w:b/>
                <w:bCs/>
                <w:szCs w:val="21"/>
                <w:vertAlign w:val="superscript"/>
              </w:rPr>
              <w:t xml:space="preserve">2</w:t>
            </w:r>
            <w:r/>
          </w:p>
        </w:tc>
        <w:tc>
          <w:tcPr>
            <w:shd w:val="clear" w:color="000000" w:fill="d9d9d9"/>
            <w:tcW w:w="1494" w:type="pct"/>
            <w:vAlign w:val="center"/>
            <w:textDirection w:val="lrTb"/>
            <w:noWrap/>
          </w:tcPr>
          <w:p>
            <w:pPr>
              <w:pStyle w:val="1102"/>
              <w:jc w:val="center"/>
              <w:spacing w:line="360" w:lineRule="auto"/>
              <w:rPr>
                <w:rFonts w:ascii="宋体" w:hAnsi="宋体" w:cs="宋体"/>
                <w:b/>
                <w:bCs/>
                <w:szCs w:val="21"/>
              </w:rPr>
            </w:pPr>
            <w:r>
              <w:rPr>
                <w:rFonts w:hint="eastAsia" w:ascii="宋体" w:hAnsi="宋体" w:cs="宋体"/>
                <w:b/>
                <w:bCs/>
                <w:szCs w:val="21"/>
              </w:rPr>
              <w:t xml:space="preserve">修复工作量/m</w:t>
            </w:r>
            <w:r>
              <w:rPr>
                <w:rFonts w:hint="eastAsia" w:ascii="宋体" w:hAnsi="宋体" w:cs="宋体"/>
                <w:b/>
                <w:bCs/>
                <w:szCs w:val="21"/>
                <w:vertAlign w:val="superscript"/>
              </w:rPr>
              <w:t xml:space="preserve">3</w:t>
            </w:r>
            <w:r/>
          </w:p>
        </w:tc>
      </w:tr>
      <w:tr>
        <w:trPr>
          <w:trHeight w:val="439"/>
        </w:trPr>
        <w:tc>
          <w:tcPr>
            <w:tcW w:w="1053"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BX3-1</w:t>
            </w:r>
            <w:r/>
          </w:p>
        </w:tc>
        <w:tc>
          <w:tcPr>
            <w:tcW w:w="1281"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0-1.0</w:t>
            </w:r>
            <w:r/>
          </w:p>
        </w:tc>
        <w:tc>
          <w:tcPr>
            <w:tcW w:w="1172"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35.5</w:t>
            </w:r>
            <w:r/>
          </w:p>
        </w:tc>
        <w:tc>
          <w:tcPr>
            <w:tcW w:w="1494"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35.5</w:t>
            </w:r>
            <w:r/>
          </w:p>
        </w:tc>
      </w:tr>
      <w:tr>
        <w:trPr>
          <w:trHeight w:val="20"/>
        </w:trPr>
        <w:tc>
          <w:tcPr>
            <w:tcW w:w="1053" w:type="pct"/>
            <w:vAlign w:val="center"/>
            <w:vMerge w:val="restart"/>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BX3-2</w:t>
            </w:r>
            <w:r/>
          </w:p>
        </w:tc>
        <w:tc>
          <w:tcPr>
            <w:tcW w:w="1281"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0.5-1.0</w:t>
            </w:r>
            <w:r/>
          </w:p>
        </w:tc>
        <w:tc>
          <w:tcPr>
            <w:tcW w:w="1172"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19.5</w:t>
            </w:r>
            <w:r/>
          </w:p>
        </w:tc>
        <w:tc>
          <w:tcPr>
            <w:tcW w:w="1494"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9.75</w:t>
            </w:r>
            <w:r/>
          </w:p>
        </w:tc>
      </w:tr>
      <w:tr>
        <w:trPr>
          <w:trHeight w:val="20"/>
        </w:trPr>
        <w:tc>
          <w:tcPr>
            <w:tcW w:w="1053" w:type="pct"/>
            <w:vAlign w:val="center"/>
            <w:vMerge w:val="continue"/>
            <w:textDirection w:val="lrTb"/>
            <w:noWrap/>
          </w:tcPr>
          <w:p>
            <w:pPr>
              <w:pStyle w:val="1102"/>
              <w:jc w:val="center"/>
              <w:spacing w:line="360" w:lineRule="auto"/>
              <w:rPr>
                <w:rFonts w:ascii="宋体" w:hAnsi="宋体" w:cs="宋体"/>
                <w:szCs w:val="21"/>
              </w:rPr>
            </w:pPr>
            <w:r>
              <w:rPr>
                <w:rFonts w:ascii="宋体" w:hAnsi="宋体" w:cs="宋体"/>
                <w:szCs w:val="21"/>
              </w:rPr>
            </w:r>
            <w:r/>
          </w:p>
        </w:tc>
        <w:tc>
          <w:tcPr>
            <w:tcW w:w="1281"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0-1.0</w:t>
            </w:r>
            <w:r/>
          </w:p>
        </w:tc>
        <w:tc>
          <w:tcPr>
            <w:tcW w:w="1172"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64.5</w:t>
            </w:r>
            <w:r/>
          </w:p>
        </w:tc>
        <w:tc>
          <w:tcPr>
            <w:tcW w:w="1494"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64.5</w:t>
            </w:r>
            <w:r/>
          </w:p>
        </w:tc>
      </w:tr>
      <w:tr>
        <w:trPr>
          <w:trHeight w:val="20"/>
        </w:trPr>
        <w:tc>
          <w:tcPr>
            <w:gridSpan w:val="2"/>
            <w:tcW w:w="2334"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合计</w:t>
            </w:r>
            <w:r/>
          </w:p>
        </w:tc>
        <w:tc>
          <w:tcPr>
            <w:tcW w:w="1172"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119.5</w:t>
            </w:r>
            <w:r/>
          </w:p>
        </w:tc>
        <w:tc>
          <w:tcPr>
            <w:tcW w:w="1494" w:type="pct"/>
            <w:vAlign w:val="center"/>
            <w:textDirection w:val="lrTb"/>
            <w:noWrap/>
          </w:tcPr>
          <w:p>
            <w:pPr>
              <w:pStyle w:val="1102"/>
              <w:jc w:val="center"/>
              <w:spacing w:line="360" w:lineRule="auto"/>
              <w:rPr>
                <w:rFonts w:ascii="宋体" w:hAnsi="宋体" w:cs="宋体"/>
                <w:szCs w:val="21"/>
              </w:rPr>
            </w:pPr>
            <w:r>
              <w:rPr>
                <w:rFonts w:hint="eastAsia" w:ascii="宋体" w:hAnsi="宋体" w:cs="宋体"/>
                <w:szCs w:val="21"/>
              </w:rPr>
              <w:t xml:space="preserve">109.75</w:t>
            </w:r>
            <w:r/>
          </w:p>
        </w:tc>
      </w:tr>
    </w:tbl>
    <w:p>
      <w:pPr>
        <w:pStyle w:val="1037"/>
        <w:ind w:firstLine="0"/>
        <w:spacing w:line="360" w:lineRule="auto"/>
        <w:rPr>
          <w:rFonts w:ascii="宋体" w:hAnsi="宋体" w:cs="宋体"/>
          <w:sz w:val="21"/>
          <w:szCs w:val="21"/>
        </w:rPr>
      </w:pPr>
      <w:r>
        <w:rPr>
          <w:rFonts w:hint="eastAsia" w:ascii="宋体" w:hAnsi="宋体" w:cs="宋体"/>
          <w:sz w:val="21"/>
          <w:szCs w:val="21"/>
        </w:rPr>
        <w:t xml:space="preserve">项目报价工作量清单：</w:t>
      </w:r>
      <w:r/>
    </w:p>
    <w:tbl>
      <w:tblPr>
        <w:tblW w:w="9956" w:type="dxa"/>
        <w:tblInd w:w="-17" w:type="dxa"/>
        <w:tblLook w:val="04A0" w:firstRow="1" w:lastRow="0" w:firstColumn="1" w:lastColumn="0" w:noHBand="0" w:noVBand="1"/>
      </w:tblPr>
      <w:tblGrid>
        <w:gridCol w:w="885"/>
        <w:gridCol w:w="1076"/>
        <w:gridCol w:w="6140"/>
        <w:gridCol w:w="1155"/>
        <w:gridCol w:w="700"/>
      </w:tblGrid>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方案编制</w:t>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实施方案编制及评审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项目实施</w:t>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临时设施及二次污染防治措施建设</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土方开挖、短驳、预处理、堆置等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704.3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m³</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污染土壤运输、水泥窑处置</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594.5</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m³</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基坑降水及设备清洗废水处理（若满足回用要求，用于降尘；不</w:t>
            </w:r>
            <w:r>
              <w:rPr>
                <w:rFonts w:hint="eastAsia" w:ascii="宋体" w:hAnsi="宋体" w:cs="宋体"/>
                <w:szCs w:val="21"/>
              </w:rPr>
              <w:t xml:space="preserve">满足回用要求，但满足污水厂入场水质要求，则委外处理）</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过程环境监测、自检等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614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项目实施所需的其他费用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r>
    </w:tbl>
    <w:p>
      <w:pPr>
        <w:pStyle w:val="1037"/>
        <w:ind w:firstLine="0"/>
        <w:spacing w:line="360" w:lineRule="auto"/>
        <w:rPr>
          <w:rFonts w:ascii="宋体" w:hAnsi="宋体" w:cs="宋体"/>
        </w:rPr>
        <w:sectPr>
          <w:headerReference w:type="default" r:id="rId11"/>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rPr>
      </w:r>
      <w:r/>
    </w:p>
    <w:p>
      <w:pPr>
        <w:jc w:val="center"/>
        <w:spacing w:line="360" w:lineRule="auto"/>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6450965" cy="5219065"/>
                <wp:effectExtent l="0" t="0" r="6985" b="63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0"/>
                        <a:stretch/>
                      </pic:blipFill>
                      <pic:spPr bwMode="auto">
                        <a:xfrm>
                          <a:off x="0" y="0"/>
                          <a:ext cx="6450965" cy="5219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07.9pt;height:410.9pt;mso-wrap-distance-left:0.0pt;mso-wrap-distance-top:0.0pt;mso-wrap-distance-right:0.0pt;mso-wrap-distance-bottom:0.0pt;" stroked="f">
                <v:path textboxrect="0,0,0,0"/>
                <v:imagedata r:id="rId20" o:title=""/>
              </v:shape>
            </w:pict>
          </mc:Fallback>
        </mc:AlternateContent>
      </w:r>
      <w:r/>
    </w:p>
    <w:p>
      <w:pPr>
        <w:pStyle w:val="1039"/>
        <w:ind w:firstLine="420"/>
        <w:rPr>
          <w:rFonts w:ascii="宋体" w:hAnsi="宋体" w:cs="宋体"/>
        </w:rPr>
      </w:pPr>
      <w:r>
        <w:rPr>
          <w:rFonts w:hint="eastAsia" w:ascii="宋体" w:hAnsi="宋体" w:cs="宋体"/>
        </w:rPr>
        <w:t xml:space="preserve">图2</w:t>
      </w:r>
      <w:r>
        <w:rPr>
          <w:rFonts w:hint="eastAsia" w:ascii="宋体" w:hAnsi="宋体" w:cs="宋体"/>
        </w:rPr>
        <w:noBreakHyphen/>
      </w:r>
      <w:r>
        <w:rPr>
          <w:rFonts w:hint="eastAsia" w:ascii="宋体" w:hAnsi="宋体" w:cs="宋体"/>
        </w:rPr>
        <w:fldChar w:fldCharType="begin"/>
      </w:r>
      <w:r>
        <w:rPr>
          <w:rFonts w:hint="eastAsia" w:ascii="宋体" w:hAnsi="宋体" w:cs="宋体"/>
        </w:rPr>
        <w:instrText xml:space="preserve"> SEQ 图 \* ARABIC \s 2 </w:instrText>
      </w:r>
      <w:r>
        <w:rPr>
          <w:rFonts w:hint="eastAsia" w:ascii="宋体" w:hAnsi="宋体" w:cs="宋体"/>
        </w:rPr>
        <w:fldChar w:fldCharType="separate"/>
      </w:r>
      <w:r>
        <w:rPr>
          <w:rFonts w:hint="eastAsia" w:ascii="宋体" w:hAnsi="宋体" w:cs="宋体"/>
        </w:rPr>
        <w:t xml:space="preserve">1</w:t>
      </w:r>
      <w:r>
        <w:rPr>
          <w:rFonts w:hint="eastAsia" w:ascii="宋体" w:hAnsi="宋体" w:cs="宋体"/>
        </w:rPr>
        <w:fldChar w:fldCharType="end"/>
      </w:r>
      <w:r>
        <w:rPr>
          <w:rFonts w:hint="eastAsia" w:ascii="宋体" w:hAnsi="宋体" w:cs="宋体"/>
        </w:rPr>
        <w:t xml:space="preserve">补充修复范围总图</w:t>
      </w:r>
      <w:r/>
    </w:p>
    <w:p>
      <w:pPr>
        <w:spacing w:line="360" w:lineRule="auto"/>
        <w:tabs>
          <w:tab w:val="center" w:pos="4153" w:leader="none"/>
          <w:tab w:val="right" w:pos="8306" w:leader="none"/>
        </w:tabs>
        <w:rPr>
          <w:rFonts w:ascii="宋体" w:hAnsi="宋体" w:cs="宋体"/>
          <w:szCs w:val="21"/>
        </w:rPr>
        <w:pBdr>
          <w:bottom w:val="single" w:color="auto" w:sz="6" w:space="1"/>
        </w:pBdr>
        <w:sectPr>
          <w:footnotePr/>
          <w:endnotePr/>
          <w:type w:val="nextPage"/>
          <w:pgSz w:w="16838" w:h="11906" w:orient="landscape"/>
          <w:pgMar w:top="1440" w:right="1800" w:bottom="1440" w:left="1800" w:header="851" w:footer="992" w:gutter="0"/>
          <w:cols w:num="1" w:sep="0" w:space="720" w:equalWidth="1"/>
          <w:docGrid w:linePitch="360"/>
        </w:sectPr>
      </w:pPr>
      <w:r>
        <w:rPr>
          <w:rFonts w:ascii="宋体" w:hAnsi="宋体" w:cs="宋体"/>
          <w:szCs w:val="21"/>
        </w:rPr>
      </w:r>
      <w:r/>
    </w:p>
    <w:p>
      <w:pPr>
        <w:keepLines/>
        <w:keepNext/>
        <w:spacing w:line="360" w:lineRule="auto"/>
        <w:tabs>
          <w:tab w:val="left" w:pos="0" w:leader="none"/>
        </w:tabs>
        <w:rPr>
          <w:rFonts w:ascii="宋体" w:hAnsi="宋体" w:cs="宋体"/>
          <w:b/>
          <w:szCs w:val="21"/>
        </w:rPr>
        <w:outlineLvl w:val="0"/>
      </w:pPr>
      <w:r>
        <w:rPr>
          <w:rFonts w:hint="eastAsia" w:ascii="宋体" w:hAnsi="宋体" w:cs="宋体"/>
          <w:b/>
          <w:szCs w:val="21"/>
        </w:rPr>
        <w:t xml:space="preserve">3.污染土壤鉴别情况</w:t>
      </w:r>
      <w:r/>
    </w:p>
    <w:p>
      <w:pPr>
        <w:keepLines/>
        <w:keepNext/>
        <w:spacing w:line="360" w:lineRule="auto"/>
        <w:tabs>
          <w:tab w:val="left" w:pos="0" w:leader="none"/>
        </w:tabs>
        <w:rPr>
          <w:rFonts w:ascii="宋体" w:hAnsi="宋体" w:cs="宋体"/>
          <w:szCs w:val="21"/>
        </w:rPr>
      </w:pPr>
      <w:r>
        <w:rPr>
          <w:rFonts w:hint="eastAsia" w:ascii="宋体" w:hAnsi="宋体" w:cs="宋体"/>
          <w:szCs w:val="21"/>
        </w:rPr>
        <w:t xml:space="preserve">建议按照一般固废进行管理。</w:t>
      </w:r>
      <w:r/>
    </w:p>
    <w:p>
      <w:pPr>
        <w:keepLines/>
        <w:keepNext/>
        <w:spacing w:line="360" w:lineRule="auto"/>
        <w:tabs>
          <w:tab w:val="left" w:pos="0" w:leader="none"/>
        </w:tabs>
        <w:rPr>
          <w:rFonts w:ascii="宋体" w:hAnsi="宋体" w:cs="宋体"/>
          <w:b/>
          <w:szCs w:val="21"/>
        </w:rPr>
        <w:outlineLvl w:val="0"/>
      </w:pPr>
      <w:r/>
      <w:bookmarkStart w:id="8" w:name="_Toc2919"/>
      <w:r/>
      <w:bookmarkEnd w:id="7"/>
      <w:r>
        <w:rPr>
          <w:rFonts w:hint="eastAsia" w:ascii="宋体" w:hAnsi="宋体" w:cs="宋体"/>
          <w:b/>
          <w:szCs w:val="21"/>
        </w:rPr>
        <w:t xml:space="preserve">4.招标内容与基本要求</w:t>
      </w:r>
      <w:r/>
    </w:p>
    <w:p>
      <w:pPr>
        <w:jc w:val="left"/>
        <w:spacing w:line="360" w:lineRule="auto"/>
        <w:rPr>
          <w:rFonts w:ascii="宋体" w:hAnsi="宋体" w:cs="宋体"/>
          <w:szCs w:val="21"/>
        </w:rPr>
      </w:pPr>
      <w:r>
        <w:rPr>
          <w:rFonts w:hint="eastAsia" w:ascii="宋体" w:hAnsi="宋体" w:cs="宋体"/>
          <w:szCs w:val="21"/>
        </w:rPr>
        <w:t xml:space="preserve">4.1采购内容：苏州工业园区</w:t>
      </w:r>
      <w:r>
        <w:rPr>
          <w:rFonts w:hint="eastAsia" w:ascii="宋体" w:hAnsi="宋体" w:cs="宋体"/>
          <w:bCs/>
          <w:szCs w:val="21"/>
        </w:rPr>
        <w:t xml:space="preserve">扬贤路东、扬泰路北地块（DK20240242）土壤修复，并通过效果评估</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4.2治理技术方案：水泥窑协同处置技术。</w:t>
      </w:r>
      <w:r/>
    </w:p>
    <w:p>
      <w:pPr>
        <w:spacing w:line="360" w:lineRule="auto"/>
        <w:rPr>
          <w:rFonts w:ascii="宋体" w:hAnsi="宋体" w:cs="宋体"/>
          <w:szCs w:val="21"/>
        </w:rPr>
      </w:pPr>
      <w:r>
        <w:rPr>
          <w:rFonts w:hint="eastAsia" w:ascii="宋体" w:hAnsi="宋体" w:cs="宋体"/>
          <w:szCs w:val="21"/>
        </w:rPr>
        <w:t xml:space="preserve">4.3履约期限要求：治理总工期为自合同签署之日起35个自然日（其中全部污染土壤开挖且运输至水泥窑协同处置单位等工作时限以成交单位承诺时间为准，响应单位在投标文件中提供响应承诺的时间），具体详见合同约定。</w:t>
      </w:r>
      <w:r/>
    </w:p>
    <w:p>
      <w:pPr>
        <w:spacing w:line="360" w:lineRule="auto"/>
        <w:rPr>
          <w:rFonts w:ascii="宋体" w:hAnsi="宋体" w:cs="宋体"/>
          <w:szCs w:val="21"/>
        </w:rPr>
      </w:pPr>
      <w:r>
        <w:rPr>
          <w:rFonts w:hint="eastAsia" w:ascii="宋体" w:hAnsi="宋体" w:cs="宋体"/>
          <w:szCs w:val="21"/>
        </w:rPr>
        <w:t xml:space="preserve">4.4污染土壤运输要求：为保障项目进度并降低运输过程二次污染的发生率，项目涉及的污染土壤不得运出江苏省范围。污染土壤运输必须符合所在地、外运沿线和接受地生态环境、城管、卫生防疫、交通运输等相关部门的要求，相关手续由成交单位自行办理，费用由成交单位自行支付。同时，做好污染土壤清挖、转运等的全过程留痕及修复全过程的污染防控。</w:t>
      </w:r>
      <w:r/>
    </w:p>
    <w:p>
      <w:pPr>
        <w:jc w:val="left"/>
        <w:spacing w:line="360" w:lineRule="auto"/>
        <w:rPr>
          <w:rFonts w:ascii="宋体" w:hAnsi="宋体" w:cs="宋体"/>
          <w:szCs w:val="21"/>
        </w:rPr>
      </w:pPr>
      <w:r>
        <w:rPr>
          <w:rFonts w:hint="eastAsia" w:ascii="宋体" w:hAnsi="宋体" w:cs="宋体"/>
          <w:szCs w:val="21"/>
        </w:rPr>
        <w:t xml:space="preserve">4.5如成交单位成交后实际工作与响应投标文件、相关承诺内容、合同及附件不符，采购单位有权取消其成交资格，重新招标，成交单位已缴纳费用不予退还。</w:t>
      </w:r>
      <w:r/>
    </w:p>
    <w:p>
      <w:pPr>
        <w:keepLines/>
        <w:keepNext/>
        <w:spacing w:line="360" w:lineRule="auto"/>
        <w:tabs>
          <w:tab w:val="left" w:pos="0" w:leader="none"/>
        </w:tabs>
        <w:rPr>
          <w:rFonts w:ascii="宋体" w:hAnsi="宋体" w:cs="宋体"/>
          <w:b/>
          <w:szCs w:val="21"/>
        </w:rPr>
        <w:outlineLvl w:val="0"/>
      </w:pPr>
      <w:r/>
      <w:bookmarkStart w:id="9" w:name="_Toc5092"/>
      <w:r/>
      <w:bookmarkStart w:id="10" w:name="_Toc10861"/>
      <w:r>
        <w:rPr>
          <w:rFonts w:hint="eastAsia" w:ascii="宋体" w:hAnsi="宋体" w:cs="宋体"/>
          <w:b/>
          <w:szCs w:val="21"/>
        </w:rPr>
        <w:t xml:space="preserve">5.项目实施现场要求</w:t>
      </w:r>
      <w:r/>
    </w:p>
    <w:p>
      <w:pPr>
        <w:jc w:val="left"/>
        <w:spacing w:line="360" w:lineRule="auto"/>
        <w:rPr>
          <w:rFonts w:ascii="宋体" w:hAnsi="宋体" w:cs="宋体"/>
          <w:szCs w:val="21"/>
        </w:rPr>
      </w:pPr>
      <w:r>
        <w:rPr>
          <w:rFonts w:hint="eastAsia" w:ascii="宋体" w:hAnsi="宋体" w:cs="宋体"/>
          <w:szCs w:val="21"/>
        </w:rPr>
        <w:t xml:space="preserve">5.1可以在采购单位指定区域搭设项目实施用临时设施，费用在报价中考虑。现场临时设施在修复效果评估结束后7天内自行拆除，费用在报价中考虑。</w:t>
      </w:r>
      <w:r/>
    </w:p>
    <w:p>
      <w:pPr>
        <w:jc w:val="left"/>
        <w:spacing w:line="360" w:lineRule="auto"/>
        <w:rPr>
          <w:rFonts w:ascii="宋体" w:hAnsi="宋体" w:cs="宋体"/>
          <w:szCs w:val="21"/>
        </w:rPr>
      </w:pPr>
      <w:r>
        <w:rPr>
          <w:rFonts w:hint="eastAsia" w:ascii="宋体" w:hAnsi="宋体" w:cs="宋体"/>
          <w:szCs w:val="21"/>
        </w:rPr>
        <w:t xml:space="preserve">5.2采购单位将协助成交单位办理项目实施临时用水、临时用电。项目实施用水、用电所需费用由成交单位自行承担且包含在投标报价中。</w:t>
      </w:r>
      <w:r/>
    </w:p>
    <w:p>
      <w:pPr>
        <w:jc w:val="left"/>
        <w:spacing w:line="360" w:lineRule="auto"/>
        <w:rPr>
          <w:rFonts w:ascii="宋体" w:hAnsi="宋体" w:cs="宋体"/>
          <w:szCs w:val="21"/>
        </w:rPr>
      </w:pPr>
      <w:r>
        <w:rPr>
          <w:rFonts w:hint="eastAsia" w:ascii="宋体" w:hAnsi="宋体" w:cs="宋体"/>
          <w:szCs w:val="21"/>
        </w:rPr>
        <w:t xml:space="preserve">5.3现场清挖时应做好二次污染的防治措施，杜绝在清挖时出现因污染物质、有害气体、扬尘以及地表水和基坑废水等对周围环境和居民造成影响的事情发生。同时应对现场操作人员做好必要的防护措施，做到安全文明施工，并能提供满足相关职能部门现场监督必备的安全防护装备。</w:t>
      </w:r>
      <w:r/>
    </w:p>
    <w:p>
      <w:pPr>
        <w:jc w:val="left"/>
        <w:spacing w:line="360" w:lineRule="auto"/>
        <w:rPr>
          <w:rFonts w:ascii="宋体" w:hAnsi="宋体" w:cs="宋体"/>
          <w:szCs w:val="21"/>
        </w:rPr>
      </w:pPr>
      <w:r>
        <w:rPr>
          <w:rFonts w:hint="eastAsia" w:ascii="宋体" w:hAnsi="宋体" w:cs="宋体"/>
          <w:szCs w:val="21"/>
        </w:rPr>
        <w:t xml:space="preserve">5.4项目实施前应编制实施方案，并通过专家评审，项目实施应按照修复方案及实施方案进行，实施过程中的监理也应在本实施方案的基础上进行监理工作更新细化等工作。地下是否存在地下管线、地下障碍物及疑似危险废物，均由成交单位自行考虑，费用在报价中考虑。</w:t>
      </w:r>
      <w:r/>
    </w:p>
    <w:p>
      <w:pPr>
        <w:pStyle w:val="1042"/>
        <w:spacing w:after="0" w:line="360" w:lineRule="auto"/>
        <w:rPr>
          <w:rFonts w:ascii="宋体" w:hAnsi="宋体" w:cs="宋体"/>
          <w:szCs w:val="21"/>
        </w:rPr>
      </w:pPr>
      <w:r>
        <w:rPr>
          <w:rFonts w:hint="eastAsia" w:ascii="宋体" w:hAnsi="宋体" w:cs="宋体"/>
          <w:szCs w:val="21"/>
        </w:rPr>
        <w:t xml:space="preserve">5.5事故风险及应急预案</w:t>
      </w:r>
      <w:r/>
    </w:p>
    <w:p>
      <w:pPr>
        <w:spacing w:line="360" w:lineRule="auto"/>
        <w:rPr>
          <w:rFonts w:ascii="宋体" w:hAnsi="宋体" w:cs="宋体"/>
          <w:szCs w:val="21"/>
        </w:rPr>
      </w:pPr>
      <w:r>
        <w:rPr>
          <w:rFonts w:hint="eastAsia" w:ascii="宋体" w:hAnsi="宋体" w:cs="宋体"/>
          <w:szCs w:val="21"/>
        </w:rPr>
        <w:t xml:space="preserve">（1）制定事故风险防范措施，包括污染场地治理现场风险防范管理措施，水污染风险防范管理措施，大气污染事故风险防范措施，噪声事故风险防范措施，火灾和爆炸事故风险防范,疫情防控应急措施。</w:t>
      </w:r>
      <w:r/>
    </w:p>
    <w:p>
      <w:pPr>
        <w:spacing w:line="360" w:lineRule="auto"/>
        <w:rPr>
          <w:rFonts w:ascii="宋体" w:hAnsi="宋体" w:cs="宋体"/>
          <w:szCs w:val="21"/>
        </w:rPr>
      </w:pPr>
      <w:r>
        <w:rPr>
          <w:rFonts w:hint="eastAsia" w:ascii="宋体" w:hAnsi="宋体" w:cs="宋体"/>
          <w:szCs w:val="21"/>
        </w:rPr>
        <w:t xml:space="preserve">（2）做好工伤事故防范措施，包括现场安全布置措施，人员安全健康风险防范措施。</w:t>
      </w:r>
      <w:r/>
    </w:p>
    <w:p>
      <w:pPr>
        <w:spacing w:line="360" w:lineRule="auto"/>
        <w:rPr>
          <w:rFonts w:ascii="宋体" w:hAnsi="宋体" w:cs="宋体"/>
          <w:szCs w:val="21"/>
        </w:rPr>
      </w:pPr>
      <w:r>
        <w:rPr>
          <w:rFonts w:hint="eastAsia" w:ascii="宋体" w:hAnsi="宋体" w:cs="宋体"/>
          <w:szCs w:val="21"/>
        </w:rPr>
        <w:t xml:space="preserve">（3）做好群体事件风险防范措施。</w:t>
      </w:r>
      <w:r/>
    </w:p>
    <w:p>
      <w:pPr>
        <w:pStyle w:val="1042"/>
        <w:spacing w:after="0" w:line="360" w:lineRule="auto"/>
        <w:rPr>
          <w:rFonts w:ascii="宋体" w:hAnsi="宋体" w:cs="宋体"/>
          <w:szCs w:val="21"/>
        </w:rPr>
      </w:pPr>
      <w:r>
        <w:rPr>
          <w:rFonts w:hint="eastAsia" w:ascii="宋体" w:hAnsi="宋体" w:cs="宋体"/>
          <w:szCs w:val="21"/>
        </w:rPr>
        <w:t xml:space="preserve">（4）做好事故发生后应急预案及措施，包括环境污染应急预案及措施，人员安全事故应急措施，群体事件应急措施。</w:t>
      </w:r>
      <w:r/>
    </w:p>
    <w:p>
      <w:pPr>
        <w:pStyle w:val="1042"/>
        <w:spacing w:after="0" w:line="360" w:lineRule="auto"/>
        <w:rPr>
          <w:rFonts w:ascii="宋体" w:hAnsi="宋体" w:cs="宋体"/>
          <w:szCs w:val="21"/>
        </w:rPr>
      </w:pPr>
      <w:r>
        <w:rPr>
          <w:rFonts w:hint="eastAsia" w:ascii="宋体" w:hAnsi="宋体" w:cs="宋体"/>
          <w:szCs w:val="21"/>
        </w:rPr>
        <w:t xml:space="preserve">5.6污染土壤清挖过程中若遇到土层中出现疑似危险废物时，必须按照相关法规流程及时向环境监理以及业主等汇报，并提出合理的处置建议，待相关部门同意后进行安全处置。</w:t>
      </w:r>
      <w:r/>
    </w:p>
    <w:p>
      <w:pPr>
        <w:pStyle w:val="1042"/>
        <w:spacing w:after="0" w:line="360" w:lineRule="auto"/>
        <w:rPr>
          <w:rFonts w:ascii="宋体" w:hAnsi="宋体" w:cs="宋体"/>
          <w:szCs w:val="21"/>
        </w:rPr>
      </w:pPr>
      <w:r>
        <w:rPr>
          <w:rFonts w:hint="eastAsia" w:ascii="宋体" w:hAnsi="宋体" w:cs="宋体"/>
          <w:szCs w:val="21"/>
        </w:rPr>
        <w:t xml:space="preserve">5.7本地块修复完成后基坑无需回填，但需采取覆盖防尘措施，地块效果评估完成前，成交单位负责加强对地块的现场管理工作。</w:t>
      </w:r>
      <w:r/>
    </w:p>
    <w:p>
      <w:pPr>
        <w:pStyle w:val="1042"/>
        <w:spacing w:after="0" w:line="360" w:lineRule="auto"/>
        <w:rPr>
          <w:rFonts w:ascii="宋体" w:hAnsi="宋体" w:cs="宋体"/>
          <w:szCs w:val="21"/>
        </w:rPr>
      </w:pPr>
      <w:r>
        <w:rPr>
          <w:rFonts w:hint="eastAsia" w:ascii="宋体" w:hAnsi="宋体" w:cs="宋体"/>
          <w:szCs w:val="21"/>
        </w:rPr>
        <w:t xml:space="preserve">5.8前期成果材料提及的和管理部门提出的其他相关要求。</w:t>
      </w:r>
      <w:r/>
    </w:p>
    <w:p>
      <w:pPr>
        <w:keepLines/>
        <w:keepNext/>
        <w:spacing w:line="360" w:lineRule="auto"/>
        <w:tabs>
          <w:tab w:val="left" w:pos="0" w:leader="none"/>
        </w:tabs>
        <w:rPr>
          <w:rFonts w:ascii="宋体" w:hAnsi="宋体" w:cs="宋体"/>
          <w:b/>
          <w:szCs w:val="21"/>
        </w:rPr>
        <w:outlineLvl w:val="0"/>
      </w:pPr>
      <w:r>
        <w:rPr>
          <w:rFonts w:hint="eastAsia" w:ascii="宋体" w:hAnsi="宋体" w:cs="宋体"/>
          <w:b/>
          <w:szCs w:val="21"/>
        </w:rPr>
        <w:t xml:space="preserve">6.修复过程污染防控要求</w:t>
      </w:r>
      <w:r/>
    </w:p>
    <w:p>
      <w:pPr>
        <w:keepLines/>
        <w:keepNext/>
        <w:spacing w:line="360" w:lineRule="auto"/>
        <w:tabs>
          <w:tab w:val="left" w:pos="73" w:leader="none"/>
        </w:tabs>
        <w:rPr>
          <w:rFonts w:ascii="宋体" w:hAnsi="宋体" w:cs="宋体"/>
          <w:b/>
          <w:szCs w:val="21"/>
        </w:rPr>
        <w:outlineLvl w:val="1"/>
      </w:pPr>
      <w:r>
        <w:rPr>
          <w:rFonts w:hint="eastAsia" w:ascii="宋体" w:hAnsi="宋体" w:cs="宋体"/>
          <w:b/>
          <w:szCs w:val="21"/>
        </w:rPr>
        <w:t xml:space="preserve">6.1评价标准</w:t>
      </w:r>
      <w:r/>
    </w:p>
    <w:p>
      <w:pPr>
        <w:ind w:firstLine="420"/>
        <w:spacing w:line="360" w:lineRule="auto"/>
        <w:widowControl/>
        <w:rPr>
          <w:rFonts w:ascii="宋体" w:hAnsi="宋体" w:cs="宋体"/>
          <w:szCs w:val="21"/>
        </w:rPr>
      </w:pPr>
      <w:r/>
      <w:bookmarkStart w:id="11" w:name="_Toc11316"/>
      <w:r/>
      <w:bookmarkEnd w:id="11"/>
      <w:r>
        <w:rPr>
          <w:rFonts w:hint="eastAsia" w:ascii="宋体" w:hAnsi="宋体" w:cs="宋体"/>
          <w:szCs w:val="21"/>
        </w:rPr>
        <w:t xml:space="preserve">调查地块</w:t>
      </w:r>
      <w:bookmarkStart w:id="12" w:name="OLE_LINK37"/>
      <w:r>
        <w:rPr>
          <w:rFonts w:hint="eastAsia" w:ascii="宋体" w:hAnsi="宋体" w:cs="宋体"/>
          <w:szCs w:val="21"/>
        </w:rPr>
        <w:t xml:space="preserve">未来土地利用规划为工业用地（M），属于建设用地中的第二类用地。本地块土壤砷评价标准参照</w:t>
      </w:r>
      <w:r>
        <w:rPr>
          <w:rFonts w:hint="eastAsia" w:ascii="宋体" w:hAnsi="宋体" w:cs="宋体"/>
          <w:szCs w:val="21"/>
        </w:rPr>
        <w:t xml:space="preserve">《扬贤路东、扬泰路北地块土壤修复方案》（简称</w:t>
      </w:r>
      <w:r>
        <w:rPr>
          <w:rFonts w:hint="eastAsia" w:ascii="宋体" w:hAnsi="宋体" w:cs="宋体"/>
          <w:szCs w:val="21"/>
        </w:rPr>
        <w:t xml:space="preserve">修复方案</w:t>
      </w:r>
      <w:r>
        <w:rPr>
          <w:rFonts w:hint="eastAsia" w:ascii="宋体" w:hAnsi="宋体" w:cs="宋体"/>
        </w:rPr>
        <w:t xml:space="preserve">）</w:t>
      </w:r>
      <w:r>
        <w:rPr>
          <w:rFonts w:hint="eastAsia" w:ascii="宋体" w:hAnsi="宋体" w:cs="宋体"/>
          <w:szCs w:val="21"/>
        </w:rPr>
        <w:t xml:space="preserve">确定的修复目标值</w:t>
      </w:r>
      <w:bookmarkEnd w:id="12"/>
      <w:r>
        <w:rPr>
          <w:rFonts w:hint="eastAsia" w:ascii="宋体" w:hAnsi="宋体" w:cs="宋体"/>
          <w:szCs w:val="21"/>
        </w:rPr>
        <w:t xml:space="preserve">，其他土壤指标评价标准参照GB36600-2018筛选值。</w:t>
      </w:r>
      <w:r/>
    </w:p>
    <w:p>
      <w:pPr>
        <w:ind w:firstLine="420"/>
        <w:spacing w:line="360" w:lineRule="auto"/>
        <w:widowControl/>
        <w:rPr>
          <w:rFonts w:ascii="宋体" w:hAnsi="宋体" w:cs="宋体"/>
          <w:szCs w:val="21"/>
        </w:rPr>
      </w:pPr>
      <w:r>
        <w:rPr>
          <w:rFonts w:hint="eastAsia" w:ascii="宋体" w:hAnsi="宋体" w:cs="宋体"/>
          <w:szCs w:val="21"/>
        </w:rPr>
        <w:t xml:space="preserve">本项目土壤样品中砷筛选标准值参见下表。</w:t>
      </w:r>
      <w:r/>
    </w:p>
    <w:p>
      <w:pPr>
        <w:jc w:val="center"/>
        <w:spacing w:line="360" w:lineRule="auto"/>
        <w:widowControl/>
        <w:rPr>
          <w:rFonts w:ascii="宋体" w:hAnsi="宋体" w:cs="宋体"/>
          <w:bCs/>
          <w:szCs w:val="21"/>
        </w:rPr>
      </w:pPr>
      <w:r>
        <w:rPr>
          <w:rFonts w:hint="eastAsia" w:ascii="宋体" w:hAnsi="宋体" w:cs="宋体"/>
          <w:bCs/>
          <w:szCs w:val="21"/>
        </w:rPr>
        <w:t xml:space="preserve">表 6</w:t>
      </w:r>
      <w:r>
        <w:rPr>
          <w:rFonts w:hint="eastAsia" w:ascii="宋体" w:hAnsi="宋体" w:cs="宋体"/>
          <w:bCs/>
          <w:szCs w:val="21"/>
        </w:rPr>
        <w:noBreakHyphen/>
        <w:t xml:space="preserve">1土壤污染风险筛选值（单位：mg/kg）</w:t>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744"/>
        <w:gridCol w:w="2112"/>
        <w:gridCol w:w="948"/>
        <w:gridCol w:w="4552"/>
      </w:tblGrid>
      <w:tr>
        <w:trPr>
          <w:jc w:val="center"/>
          <w:trHeight w:val="607"/>
        </w:trPr>
        <w:tc>
          <w:tcPr>
            <w:shd w:val="clear" w:color="auto" w:fill="bfbfbf"/>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污染物</w:t>
            </w:r>
            <w:r/>
          </w:p>
        </w:tc>
        <w:tc>
          <w:tcPr>
            <w:shd w:val="clear" w:color="auto" w:fill="bfbfbf"/>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筛选值</w:t>
            </w:r>
            <w:r/>
          </w:p>
        </w:tc>
        <w:tc>
          <w:tcPr>
            <w:shd w:val="clear" w:color="auto" w:fill="bfbfbf"/>
            <w:tcBorders>
              <w:top w:val="single" w:color="auto" w:sz="4" w:space="0"/>
              <w:left w:val="single" w:color="auto" w:sz="4" w:space="0"/>
              <w:bottom w:val="single" w:color="auto" w:sz="4" w:space="0"/>
              <w:right w:val="single" w:color="auto" w:sz="4" w:space="0"/>
            </w:tcBorders>
            <w:tcW w:w="455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标准来源</w:t>
            </w:r>
            <w:r/>
          </w:p>
        </w:tc>
      </w:tr>
      <w:tr>
        <w:trPr>
          <w:jc w:val="center"/>
          <w:trHeight w:val="482"/>
        </w:trPr>
        <w:tc>
          <w:tcPr>
            <w:shd w:val="clear" w:color="auto" w:fill="auto"/>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砷</w:t>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55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修复目标值</w:t>
            </w:r>
            <w:r/>
          </w:p>
        </w:tc>
      </w:tr>
    </w:tbl>
    <w:p>
      <w:pPr>
        <w:jc w:val="left"/>
        <w:spacing w:line="360" w:lineRule="auto"/>
        <w:rPr>
          <w:rFonts w:ascii="宋体" w:hAnsi="宋体" w:cs="宋体"/>
          <w:b/>
          <w:szCs w:val="21"/>
        </w:rPr>
      </w:pPr>
      <w:r>
        <w:rPr>
          <w:rFonts w:hint="eastAsia" w:ascii="宋体" w:hAnsi="宋体" w:cs="宋体"/>
          <w:b/>
          <w:szCs w:val="21"/>
        </w:rPr>
        <w:t xml:space="preserve">6.2 二次污染防治措施</w:t>
      </w:r>
      <w:r/>
    </w:p>
    <w:p>
      <w:pPr>
        <w:pStyle w:val="1030"/>
        <w:spacing w:before="0" w:after="0" w:line="360" w:lineRule="auto"/>
        <w:widowControl/>
        <w:rPr>
          <w:rFonts w:ascii="宋体" w:hAnsi="宋体" w:cs="宋体"/>
          <w:bCs w:val="0"/>
          <w:sz w:val="21"/>
          <w:szCs w:val="21"/>
        </w:rPr>
      </w:pPr>
      <w:r/>
      <w:bookmarkStart w:id="13" w:name="_Toc117858793"/>
      <w:r/>
      <w:bookmarkStart w:id="14" w:name="_Toc139549704"/>
      <w:r/>
      <w:bookmarkEnd w:id="13"/>
      <w:r/>
      <w:bookmarkEnd w:id="14"/>
      <w:r>
        <w:rPr>
          <w:rFonts w:hint="eastAsia" w:ascii="宋体" w:hAnsi="宋体" w:cs="宋体"/>
          <w:bCs w:val="0"/>
          <w:sz w:val="21"/>
          <w:szCs w:val="21"/>
        </w:rPr>
        <w:t xml:space="preserve">（1）大气环境二次污染防治措施</w:t>
      </w:r>
      <w:r/>
    </w:p>
    <w:p>
      <w:pPr>
        <w:pStyle w:val="1141"/>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本项目实施过程中可能会造成大气环境污染的环节有：污染土清挖、装车、运输等过程可能会产生扬尘、废气等大气污染。成交单位应采取合理控制机械、湿法作业、洒水降尘、密闭运输、定期清扫、大气监测等措施进行大气二次污染防治。</w:t>
      </w:r>
      <w:r/>
    </w:p>
    <w:p>
      <w:pPr>
        <w:pStyle w:val="1030"/>
        <w:spacing w:before="0" w:after="0" w:line="360" w:lineRule="auto"/>
        <w:widowControl/>
        <w:rPr>
          <w:rFonts w:ascii="宋体" w:hAnsi="宋体" w:cs="宋体"/>
          <w:bCs w:val="0"/>
          <w:sz w:val="21"/>
          <w:szCs w:val="21"/>
        </w:rPr>
      </w:pPr>
      <w:r>
        <w:rPr>
          <w:rFonts w:hint="eastAsia" w:ascii="宋体" w:hAnsi="宋体" w:cs="宋体"/>
          <w:bCs w:val="0"/>
          <w:sz w:val="21"/>
          <w:szCs w:val="21"/>
        </w:rPr>
        <w:t xml:space="preserve">（2）固废及危废管理措施</w:t>
      </w:r>
      <w:r/>
    </w:p>
    <w:p>
      <w:pPr>
        <w:pStyle w:val="1058"/>
        <w:ind w:firstLine="420"/>
        <w:jc w:val="both"/>
        <w:spacing w:before="0" w:beforeAutospacing="0" w:after="0" w:afterAutospacing="0" w:line="360" w:lineRule="auto"/>
        <w:widowControl w:val="off"/>
        <w:rPr>
          <w:sz w:val="21"/>
          <w:szCs w:val="21"/>
        </w:rPr>
      </w:pPr>
      <w:r>
        <w:rPr>
          <w:rFonts w:hint="eastAsia"/>
          <w:sz w:val="21"/>
          <w:szCs w:val="21"/>
        </w:rPr>
        <w:t xml:space="preserve">本项目实施中产生的固废包括车辆清理过程中产生的废抹布、污染土装载区废弃铺设用防水布及少量生活垃圾，成交单位应委托第三方有资质单位进行终端处置。</w:t>
      </w:r>
      <w:r/>
    </w:p>
    <w:p>
      <w:pPr>
        <w:pStyle w:val="1030"/>
        <w:spacing w:before="0" w:after="0" w:line="360" w:lineRule="auto"/>
        <w:widowControl/>
        <w:rPr>
          <w:rFonts w:ascii="宋体" w:hAnsi="宋体" w:cs="宋体"/>
          <w:bCs w:val="0"/>
          <w:sz w:val="21"/>
          <w:szCs w:val="21"/>
        </w:rPr>
      </w:pPr>
      <w:r/>
      <w:bookmarkStart w:id="15" w:name="_Toc197699617"/>
      <w:r/>
      <w:bookmarkEnd w:id="15"/>
      <w:r>
        <w:rPr>
          <w:rFonts w:hint="eastAsia" w:ascii="宋体" w:hAnsi="宋体" w:cs="宋体"/>
          <w:bCs w:val="0"/>
          <w:sz w:val="21"/>
          <w:szCs w:val="21"/>
        </w:rPr>
        <w:t xml:space="preserve">（3）水环境二次污染防治措施</w:t>
      </w:r>
      <w:r/>
    </w:p>
    <w:p>
      <w:pPr>
        <w:pStyle w:val="1141"/>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项目实施期间，其中对水环境构成影响的主要是基坑废水。成交单位负责对基坑废水进行收集抽送至支架水池统一收集，并负责根据检测结果进行处置。</w:t>
      </w:r>
      <w:r/>
    </w:p>
    <w:p>
      <w:pPr>
        <w:pStyle w:val="1030"/>
        <w:spacing w:before="0" w:after="0" w:line="360" w:lineRule="auto"/>
        <w:widowControl/>
        <w:rPr>
          <w:rFonts w:ascii="宋体" w:hAnsi="宋体" w:cs="宋体"/>
          <w:bCs w:val="0"/>
          <w:sz w:val="21"/>
          <w:szCs w:val="21"/>
        </w:rPr>
      </w:pPr>
      <w:r/>
      <w:bookmarkStart w:id="16" w:name="_Toc197699618"/>
      <w:r/>
      <w:bookmarkEnd w:id="16"/>
      <w:r>
        <w:rPr>
          <w:rFonts w:hint="eastAsia" w:ascii="宋体" w:hAnsi="宋体" w:cs="宋体"/>
          <w:bCs w:val="0"/>
          <w:sz w:val="21"/>
          <w:szCs w:val="21"/>
        </w:rPr>
        <w:t xml:space="preserve">（4）噪声二次污染防治措施</w:t>
      </w:r>
      <w:r/>
    </w:p>
    <w:p>
      <w:pPr>
        <w:pStyle w:val="1058"/>
        <w:ind w:firstLine="420"/>
        <w:jc w:val="both"/>
        <w:spacing w:before="0" w:beforeAutospacing="0" w:after="0" w:afterAutospacing="0" w:line="360" w:lineRule="auto"/>
        <w:widowControl w:val="off"/>
        <w:rPr>
          <w:sz w:val="21"/>
          <w:szCs w:val="21"/>
        </w:rPr>
      </w:pPr>
      <w:r>
        <w:rPr>
          <w:rFonts w:hint="eastAsia"/>
          <w:sz w:val="21"/>
          <w:szCs w:val="21"/>
        </w:rPr>
        <w:t xml:space="preserve">本项目实施</w:t>
      </w:r>
      <w:r>
        <w:rPr>
          <w:rFonts w:hint="eastAsia"/>
          <w:sz w:val="21"/>
          <w:szCs w:val="21"/>
        </w:rPr>
        <w:t xml:space="preserve">现场的噪声主要分为机械噪声、施工作业噪声和施工车辆噪声，成交单位应采取人为噪声控制、强噪声作业时间控制、强噪声机械的降噪措施、加强实施现场的噪声监测等措施。</w:t>
      </w:r>
      <w:r/>
    </w:p>
    <w:p>
      <w:pPr>
        <w:pStyle w:val="1030"/>
        <w:spacing w:before="0" w:after="0" w:line="360" w:lineRule="auto"/>
        <w:widowControl/>
        <w:rPr>
          <w:rFonts w:ascii="宋体" w:hAnsi="宋体" w:cs="宋体"/>
          <w:bCs w:val="0"/>
          <w:sz w:val="21"/>
          <w:szCs w:val="21"/>
        </w:rPr>
      </w:pPr>
      <w:r>
        <w:rPr>
          <w:rFonts w:hint="eastAsia" w:ascii="宋体" w:hAnsi="宋体" w:cs="宋体"/>
          <w:bCs w:val="0"/>
          <w:sz w:val="21"/>
          <w:szCs w:val="21"/>
        </w:rPr>
        <w:t xml:space="preserve">（5）土壤二次污染防治措施</w:t>
      </w:r>
      <w:r/>
    </w:p>
    <w:p>
      <w:pPr>
        <w:ind w:firstLine="420"/>
        <w:spacing w:line="360" w:lineRule="auto"/>
        <w:rPr>
          <w:rFonts w:ascii="宋体" w:hAnsi="宋体" w:cs="宋体"/>
          <w:szCs w:val="21"/>
        </w:rPr>
      </w:pPr>
      <w:r>
        <w:rPr>
          <w:rFonts w:hint="eastAsia" w:ascii="宋体" w:hAnsi="宋体" w:cs="宋体"/>
          <w:szCs w:val="21"/>
        </w:rPr>
        <w:t xml:space="preserve">本项目污染土清挖过程应避免对土壤造成二次污染，具体防治措施包括：</w:t>
      </w:r>
      <w:r/>
    </w:p>
    <w:p>
      <w:pPr>
        <w:ind w:firstLine="420"/>
        <w:spacing w:line="360" w:lineRule="auto"/>
        <w:rPr>
          <w:rFonts w:ascii="宋体" w:hAnsi="宋体" w:cs="宋体"/>
          <w:szCs w:val="21"/>
        </w:rPr>
      </w:pPr>
      <w:r>
        <w:rPr>
          <w:rFonts w:hint="eastAsia" w:ascii="宋体" w:hAnsi="宋体" w:cs="宋体"/>
          <w:szCs w:val="21"/>
        </w:rPr>
        <w:t xml:space="preserve">&lt;1&gt;污染场地上的施工机械和设备等，在移动到其他场地之前，需要清除机械和设备上残留的污染土及污染土壤。防止污染土及污染土壤随之迁移到其他场地，造成二次污染。</w:t>
      </w:r>
      <w:r/>
    </w:p>
    <w:p>
      <w:pPr>
        <w:ind w:firstLine="420"/>
        <w:spacing w:line="360" w:lineRule="auto"/>
        <w:rPr>
          <w:rFonts w:ascii="宋体" w:hAnsi="宋体" w:cs="宋体"/>
          <w:szCs w:val="21"/>
        </w:rPr>
      </w:pPr>
      <w:r>
        <w:rPr>
          <w:rFonts w:hint="eastAsia" w:ascii="宋体" w:hAnsi="宋体" w:cs="宋体"/>
          <w:szCs w:val="21"/>
        </w:rPr>
        <w:t xml:space="preserve">&lt;2&gt;对场内区域进行合理规划，减少污染土场内的转运距离；合理安排施工工序，处理后污染土及时进行抽样监测，减少暂存时间。</w:t>
      </w:r>
      <w:r/>
    </w:p>
    <w:p>
      <w:pPr>
        <w:ind w:firstLine="420"/>
        <w:spacing w:line="360" w:lineRule="auto"/>
        <w:rPr>
          <w:rFonts w:ascii="宋体" w:hAnsi="宋体" w:cs="宋体"/>
          <w:szCs w:val="21"/>
        </w:rPr>
      </w:pPr>
      <w:r>
        <w:rPr>
          <w:rFonts w:hint="eastAsia" w:ascii="宋体" w:hAnsi="宋体" w:cs="宋体"/>
          <w:szCs w:val="21"/>
        </w:rPr>
        <w:t xml:space="preserve">&lt;3&gt;在挖土施工过程中，为防止尘土飞扬，对暴露在大气中的污染土需采用防尘网覆盖的方式防尘，并</w:t>
      </w:r>
      <w:r>
        <w:rPr>
          <w:rFonts w:hint="eastAsia" w:ascii="宋体" w:hAnsi="宋体" w:cs="宋体"/>
          <w:szCs w:val="21"/>
        </w:rPr>
        <w:t xml:space="preserve">定期进行洒水降尘。</w:t>
      </w:r>
      <w:r/>
    </w:p>
    <w:p>
      <w:pPr>
        <w:keepLines/>
        <w:keepNext/>
        <w:spacing w:line="360" w:lineRule="auto"/>
        <w:tabs>
          <w:tab w:val="left" w:pos="73" w:leader="none"/>
        </w:tabs>
        <w:rPr>
          <w:rFonts w:ascii="宋体" w:hAnsi="宋体" w:cs="宋体"/>
          <w:b/>
          <w:szCs w:val="21"/>
        </w:rPr>
        <w:outlineLvl w:val="1"/>
      </w:pPr>
      <w:r>
        <w:rPr>
          <w:rFonts w:hint="eastAsia" w:ascii="宋体" w:hAnsi="宋体" w:cs="宋体"/>
          <w:b/>
          <w:szCs w:val="21"/>
        </w:rPr>
        <w:t xml:space="preserve">6.3修复工程监理</w:t>
      </w:r>
      <w:r/>
    </w:p>
    <w:p>
      <w:pPr>
        <w:pStyle w:val="1058"/>
        <w:ind w:firstLine="420"/>
        <w:jc w:val="both"/>
        <w:spacing w:before="0" w:beforeAutospacing="0" w:after="0" w:afterAutospacing="0" w:line="360" w:lineRule="auto"/>
        <w:widowControl w:val="off"/>
        <w:rPr>
          <w:sz w:val="21"/>
          <w:szCs w:val="21"/>
        </w:rPr>
      </w:pPr>
      <w:r>
        <w:rPr>
          <w:rFonts w:hint="eastAsia"/>
          <w:sz w:val="21"/>
          <w:szCs w:val="21"/>
        </w:rPr>
        <w:t xml:space="preserve">修复工程监理要求以成交后向采购单位领取的《扬贤路东、扬泰路北地块土壤修复方案》为准。</w:t>
      </w:r>
      <w:r/>
    </w:p>
    <w:p>
      <w:pPr>
        <w:keepLines/>
        <w:keepNext/>
        <w:spacing w:line="360" w:lineRule="auto"/>
        <w:tabs>
          <w:tab w:val="left" w:pos="73" w:leader="none"/>
        </w:tabs>
        <w:rPr>
          <w:rFonts w:ascii="宋体" w:hAnsi="宋体" w:cs="宋体"/>
          <w:b/>
          <w:szCs w:val="21"/>
        </w:rPr>
        <w:outlineLvl w:val="1"/>
      </w:pPr>
      <w:r>
        <w:rPr>
          <w:rFonts w:hint="eastAsia" w:ascii="宋体" w:hAnsi="宋体" w:cs="宋体"/>
          <w:b/>
          <w:szCs w:val="21"/>
        </w:rPr>
        <w:t xml:space="preserve">6.4环境应急方案</w:t>
      </w:r>
      <w:r/>
    </w:p>
    <w:p>
      <w:pPr>
        <w:pStyle w:val="1058"/>
        <w:ind w:firstLine="420"/>
        <w:jc w:val="both"/>
        <w:spacing w:before="0" w:beforeAutospacing="0" w:after="0" w:afterAutospacing="0" w:line="360" w:lineRule="auto"/>
        <w:widowControl w:val="off"/>
        <w:rPr>
          <w:sz w:val="21"/>
          <w:szCs w:val="21"/>
        </w:rPr>
      </w:pPr>
      <w:r>
        <w:rPr>
          <w:rFonts w:hint="eastAsia"/>
          <w:sz w:val="21"/>
          <w:szCs w:val="21"/>
        </w:rPr>
        <w:t xml:space="preserve">环境应急方案要求以成交后向采购单位领取的《扬贤路东、扬泰路北地块土壤修复方案》为准。</w:t>
      </w:r>
      <w:r/>
    </w:p>
    <w:p>
      <w:pPr>
        <w:keepLines/>
        <w:keepNext/>
        <w:spacing w:line="360" w:lineRule="auto"/>
        <w:tabs>
          <w:tab w:val="left" w:pos="0" w:leader="none"/>
        </w:tabs>
        <w:rPr>
          <w:rFonts w:ascii="宋体" w:hAnsi="宋体" w:cs="宋体"/>
          <w:b/>
          <w:szCs w:val="21"/>
        </w:rPr>
        <w:outlineLvl w:val="0"/>
      </w:pPr>
      <w:r>
        <w:rPr>
          <w:rFonts w:hint="eastAsia" w:ascii="宋体" w:hAnsi="宋体" w:cs="宋体"/>
          <w:b/>
          <w:szCs w:val="21"/>
        </w:rPr>
        <w:t xml:space="preserve">7.其他要求</w:t>
      </w:r>
      <w:r/>
    </w:p>
    <w:p>
      <w:pPr>
        <w:keepLines/>
        <w:keepNext/>
        <w:spacing w:line="360" w:lineRule="auto"/>
        <w:tabs>
          <w:tab w:val="left" w:pos="73" w:leader="none"/>
        </w:tabs>
        <w:rPr>
          <w:rFonts w:ascii="宋体" w:hAnsi="宋体" w:cs="宋体"/>
          <w:b/>
          <w:szCs w:val="21"/>
        </w:rPr>
        <w:outlineLvl w:val="1"/>
      </w:pPr>
      <w:r>
        <w:rPr>
          <w:rFonts w:hint="eastAsia" w:ascii="宋体" w:hAnsi="宋体" w:cs="宋体"/>
          <w:b/>
          <w:szCs w:val="21"/>
        </w:rPr>
        <w:t xml:space="preserve">7.1成交单位自检</w:t>
      </w:r>
      <w:r/>
    </w:p>
    <w:p>
      <w:pPr>
        <w:ind w:firstLine="420"/>
        <w:spacing w:line="360" w:lineRule="auto"/>
        <w:rPr>
          <w:rFonts w:ascii="宋体" w:hAnsi="宋体" w:cs="宋体"/>
          <w:szCs w:val="21"/>
        </w:rPr>
      </w:pPr>
      <w:r>
        <w:rPr>
          <w:rFonts w:hint="eastAsia" w:ascii="宋体" w:hAnsi="宋体" w:cs="宋体"/>
          <w:szCs w:val="21"/>
        </w:rPr>
        <w:t xml:space="preserve">项目实施过程期间，成交单位应针对大气环境、废水、噪声和土壤进行监测。</w:t>
      </w:r>
      <w:r/>
    </w:p>
    <w:p>
      <w:pPr>
        <w:pStyle w:val="1058"/>
        <w:jc w:val="center"/>
        <w:keepNext/>
        <w:spacing w:before="0" w:beforeAutospacing="0" w:after="0" w:afterAutospacing="0" w:line="360" w:lineRule="auto"/>
        <w:widowControl w:val="off"/>
        <w:rPr>
          <w:sz w:val="21"/>
          <w:szCs w:val="21"/>
        </w:rPr>
      </w:pPr>
      <w:r>
        <w:rPr>
          <w:rFonts w:hint="eastAsia"/>
          <w:sz w:val="21"/>
          <w:szCs w:val="21"/>
        </w:rPr>
        <w:t xml:space="preserve">表7-1 修复工程自检内容</w:t>
      </w:r>
      <w:r/>
    </w:p>
    <w:tbl>
      <w:tblPr>
        <w:tblW w:w="51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5"/>
        <w:gridCol w:w="1362"/>
        <w:gridCol w:w="2903"/>
        <w:gridCol w:w="4607"/>
      </w:tblGrid>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1140"/>
              <w:spacing w:line="360" w:lineRule="auto"/>
              <w:widowControl/>
              <w:rPr>
                <w:rFonts w:hint="default" w:ascii="宋体" w:hAnsi="宋体" w:eastAsia="宋体" w:cs="宋体"/>
                <w:b/>
                <w:bCs/>
              </w:rPr>
            </w:pPr>
            <w:r>
              <w:rPr>
                <w:rFonts w:ascii="宋体" w:hAnsi="宋体" w:eastAsia="宋体" w:cs="宋体"/>
                <w:b/>
                <w:bCs/>
              </w:rPr>
              <w:t xml:space="preserve">修复工程自检内容</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40"/>
              <w:spacing w:line="360" w:lineRule="auto"/>
              <w:widowControl/>
              <w:rPr>
                <w:rFonts w:hint="default" w:ascii="宋体" w:hAnsi="宋体" w:eastAsia="宋体" w:cs="宋体"/>
                <w:b/>
                <w:bCs/>
              </w:rPr>
            </w:pPr>
            <w:r>
              <w:rPr>
                <w:rFonts w:ascii="宋体" w:hAnsi="宋体" w:eastAsia="宋体" w:cs="宋体"/>
                <w:b/>
                <w:bCs/>
              </w:rPr>
              <w:t xml:space="preserve">监测环节</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140"/>
              <w:spacing w:line="360" w:lineRule="auto"/>
              <w:widowControl/>
              <w:rPr>
                <w:rFonts w:hint="default" w:ascii="宋体" w:hAnsi="宋体" w:eastAsia="宋体" w:cs="宋体"/>
                <w:b/>
                <w:bCs/>
              </w:rPr>
            </w:pPr>
            <w:r>
              <w:rPr>
                <w:rFonts w:ascii="宋体" w:hAnsi="宋体" w:eastAsia="宋体" w:cs="宋体"/>
                <w:b/>
                <w:bCs/>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3944" w:type="dxa"/>
            <w:vAlign w:val="center"/>
            <w:textDirection w:val="lrTb"/>
            <w:noWrap w:val="false"/>
          </w:tcPr>
          <w:p>
            <w:pPr>
              <w:pStyle w:val="1140"/>
              <w:spacing w:line="360" w:lineRule="auto"/>
              <w:widowControl/>
              <w:rPr>
                <w:rFonts w:hint="default" w:ascii="宋体" w:hAnsi="宋体" w:eastAsia="宋体" w:cs="宋体"/>
                <w:b/>
                <w:bCs/>
              </w:rPr>
            </w:pPr>
            <w:r>
              <w:rPr>
                <w:rFonts w:ascii="宋体" w:hAnsi="宋体" w:eastAsia="宋体" w:cs="宋体"/>
                <w:b/>
                <w:bCs/>
              </w:rPr>
              <w:t xml:space="preserve">监测内容及监测标准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大气环境监测</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土壤清挖、运输</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在地块下风向场地边界3个、上风向地块边界1个共布置4个监测点位</w:t>
            </w:r>
            <w:r/>
          </w:p>
        </w:tc>
        <w:tc>
          <w:tcPr>
            <w:shd w:val="clear" w:color="auto" w:fill="auto"/>
            <w:tcBorders>
              <w:top w:val="single" w:color="000000" w:sz="4" w:space="0"/>
              <w:left w:val="single" w:color="000000" w:sz="4" w:space="0"/>
              <w:bottom w:val="single" w:color="000000" w:sz="4" w:space="0"/>
              <w:right w:val="single" w:color="000000" w:sz="4" w:space="0"/>
            </w:tcBorders>
            <w:tcW w:w="3944" w:type="dxa"/>
            <w:vAlign w:val="center"/>
            <w:textDirection w:val="lrTb"/>
            <w:noWrap w:val="false"/>
          </w:tcPr>
          <w:p>
            <w:pPr>
              <w:pStyle w:val="1140"/>
              <w:jc w:val="both"/>
              <w:spacing w:line="360" w:lineRule="auto"/>
              <w:widowControl/>
              <w:rPr>
                <w:rFonts w:hint="default" w:ascii="宋体" w:hAnsi="宋体" w:eastAsia="宋体" w:cs="宋体"/>
              </w:rPr>
            </w:pPr>
            <w:r>
              <w:rPr>
                <w:rFonts w:ascii="宋体" w:hAnsi="宋体" w:eastAsia="宋体" w:cs="宋体"/>
              </w:rPr>
              <w:t xml:space="preserve">检测指标包括TSP、PM10、PM2.5、砷及其化合物、非甲烷总烃，执行《大气污染物综合排放标准》（DB32/4041-2021）、根据《环境空气质量标准》（GB 3095-2012）等相关标准。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运输</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抽检废水样品</w:t>
            </w:r>
            <w:r/>
          </w:p>
        </w:tc>
        <w:tc>
          <w:tcPr>
            <w:shd w:val="clear" w:color="auto" w:fill="auto"/>
            <w:tcBorders>
              <w:top w:val="single" w:color="000000" w:sz="4" w:space="0"/>
              <w:left w:val="single" w:color="000000" w:sz="4" w:space="0"/>
              <w:bottom w:val="single" w:color="000000" w:sz="4" w:space="0"/>
              <w:right w:val="single" w:color="000000" w:sz="4" w:space="0"/>
            </w:tcBorders>
            <w:tcW w:w="3944" w:type="dxa"/>
            <w:vAlign w:val="center"/>
            <w:textDirection w:val="lrTb"/>
            <w:noWrap w:val="false"/>
          </w:tcPr>
          <w:p>
            <w:pPr>
              <w:pStyle w:val="1140"/>
              <w:jc w:val="both"/>
              <w:spacing w:line="360" w:lineRule="auto"/>
              <w:widowControl/>
              <w:rPr>
                <w:rFonts w:hint="default" w:ascii="宋体" w:hAnsi="宋体" w:eastAsia="宋体" w:cs="宋体"/>
              </w:rPr>
            </w:pPr>
            <w:r>
              <w:rPr>
                <w:rFonts w:ascii="宋体" w:hAnsi="宋体" w:eastAsia="宋体" w:cs="宋体"/>
              </w:rPr>
              <w:t xml:space="preserve">监测指标包括pH、COD</w:t>
            </w:r>
            <w:r>
              <w:rPr>
                <w:rFonts w:ascii="宋体" w:hAnsi="宋体" w:eastAsia="宋体" w:cs="宋体"/>
                <w:vertAlign w:val="subscript"/>
              </w:rPr>
              <w:t xml:space="preserve">Mn</w:t>
            </w:r>
            <w:r>
              <w:rPr>
                <w:rFonts w:ascii="宋体" w:hAnsi="宋体" w:eastAsia="宋体" w:cs="宋体"/>
              </w:rPr>
              <w:t xml:space="preserve">、溶解性总固体、氨氮（以N计）、砷，执行《地下水质量标准》（GB/T 14848-2017）的IV类标准、《污水排入城镇下水管道水质标准》（GB T31962-2015）等标准。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噪声</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清挖、运输</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合理安排施工机械，选用低噪音设备，设立声障</w:t>
            </w:r>
            <w:r/>
          </w:p>
        </w:tc>
        <w:tc>
          <w:tcPr>
            <w:shd w:val="clear" w:color="auto" w:fill="auto"/>
            <w:tcBorders>
              <w:top w:val="single" w:color="000000" w:sz="4" w:space="0"/>
              <w:left w:val="single" w:color="000000" w:sz="4" w:space="0"/>
              <w:bottom w:val="single" w:color="000000" w:sz="4" w:space="0"/>
              <w:right w:val="single" w:color="000000" w:sz="4" w:space="0"/>
            </w:tcBorders>
            <w:tcW w:w="3944" w:type="dxa"/>
            <w:vAlign w:val="center"/>
            <w:textDirection w:val="lrTb"/>
            <w:noWrap w:val="false"/>
          </w:tcPr>
          <w:p>
            <w:pPr>
              <w:pStyle w:val="1140"/>
              <w:jc w:val="both"/>
              <w:spacing w:line="360" w:lineRule="auto"/>
              <w:widowControl/>
              <w:rPr>
                <w:rFonts w:hint="default" w:ascii="宋体" w:hAnsi="宋体" w:eastAsia="宋体" w:cs="宋体"/>
              </w:rPr>
            </w:pPr>
            <w:r>
              <w:rPr>
                <w:rFonts w:ascii="宋体" w:hAnsi="宋体" w:eastAsia="宋体" w:cs="宋体"/>
              </w:rPr>
              <w:t xml:space="preserve">地块根据《建筑施工场界环境噪声排放标准》（GB12523-2011）建筑施工场界环境噪声昼间不得超过70dB（A），夜间不得超过55dB（A）。</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土壤自检</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基坑自检</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根据《污染地块风险管控与土壤修复效果评估技术导则（试行）》（HJ25.5-2018）进行采样检测</w:t>
            </w:r>
            <w:r/>
          </w:p>
        </w:tc>
        <w:tc>
          <w:tcPr>
            <w:shd w:val="clear" w:color="auto" w:fill="auto"/>
            <w:tcBorders>
              <w:top w:val="single" w:color="000000" w:sz="4" w:space="0"/>
              <w:left w:val="single" w:color="000000" w:sz="4" w:space="0"/>
              <w:bottom w:val="single" w:color="000000" w:sz="4" w:space="0"/>
              <w:right w:val="single" w:color="000000" w:sz="4" w:space="0"/>
            </w:tcBorders>
            <w:tcW w:w="3944" w:type="dxa"/>
            <w:vAlign w:val="center"/>
            <w:textDirection w:val="lrTb"/>
            <w:noWrap w:val="false"/>
          </w:tcPr>
          <w:p>
            <w:pPr>
              <w:pStyle w:val="1140"/>
              <w:jc w:val="both"/>
              <w:spacing w:line="360" w:lineRule="auto"/>
              <w:widowControl/>
              <w:rPr>
                <w:rFonts w:hint="default" w:ascii="宋体" w:hAnsi="宋体" w:eastAsia="宋体" w:cs="宋体"/>
              </w:rPr>
            </w:pPr>
            <w:r>
              <w:rPr>
                <w:rFonts w:ascii="宋体" w:hAnsi="宋体" w:eastAsia="宋体" w:cs="宋体"/>
              </w:rPr>
              <w:t xml:space="preserve">执行《土壤环境质量 建设用地土壤污染风险管控标准（试行）(GB36600—2018)》</w:t>
            </w:r>
            <w:r/>
          </w:p>
        </w:tc>
      </w:tr>
    </w:tbl>
    <w:p>
      <w:pPr>
        <w:pStyle w:val="1030"/>
        <w:spacing w:before="0" w:after="0" w:line="360" w:lineRule="auto"/>
        <w:widowControl/>
        <w:rPr>
          <w:rFonts w:ascii="宋体" w:hAnsi="宋体" w:cs="宋体"/>
          <w:bCs w:val="0"/>
          <w:sz w:val="21"/>
          <w:szCs w:val="21"/>
        </w:rPr>
      </w:pPr>
      <w:r>
        <w:rPr>
          <w:rFonts w:hint="eastAsia" w:ascii="宋体" w:hAnsi="宋体" w:cs="宋体"/>
          <w:bCs w:val="0"/>
          <w:sz w:val="21"/>
          <w:szCs w:val="21"/>
        </w:rPr>
        <w:t xml:space="preserve">（1）大气环境监测</w:t>
      </w:r>
      <w:r/>
    </w:p>
    <w:p>
      <w:pPr>
        <w:pStyle w:val="1058"/>
        <w:ind w:firstLine="560"/>
        <w:jc w:val="both"/>
        <w:spacing w:before="0" w:beforeAutospacing="0" w:after="0" w:afterAutospacing="0" w:line="360" w:lineRule="auto"/>
        <w:widowControl w:val="off"/>
        <w:rPr>
          <w:sz w:val="21"/>
          <w:szCs w:val="21"/>
        </w:rPr>
      </w:pPr>
      <w:r>
        <w:rPr>
          <w:rFonts w:hint="eastAsia"/>
          <w:sz w:val="21"/>
          <w:szCs w:val="21"/>
        </w:rPr>
        <w:t xml:space="preserve">项目实施开始前、项目实施期间和项目完成后，应开展大气环境监测内容监测，一般包括污染土壤清挖过程中污染物无组织排放空气样品的采集、分析及质量评价。</w:t>
      </w:r>
      <w:r/>
    </w:p>
    <w:p>
      <w:pPr>
        <w:pStyle w:val="1058"/>
        <w:ind w:firstLine="560"/>
        <w:jc w:val="both"/>
        <w:spacing w:before="0" w:beforeAutospacing="0" w:after="0" w:afterAutospacing="0" w:line="360" w:lineRule="auto"/>
        <w:widowControl w:val="off"/>
        <w:rPr>
          <w:sz w:val="21"/>
          <w:szCs w:val="21"/>
        </w:rPr>
      </w:pPr>
      <w:r>
        <w:rPr>
          <w:rFonts w:hint="eastAsia"/>
          <w:sz w:val="21"/>
          <w:szCs w:val="21"/>
        </w:rPr>
        <w:t xml:space="preserve">无组织排放大气污染物的采集根据大气污染物综合排放标准（DB32/4041-2021）执行，采用连续监测1小时采集1个样品的方法。采样频次参照《建设用地土壤污染修复工程环境监理规范》（DB32/T 3943-2020）中要求。在地块下风向场地边界3个和上风向地块边界1个共布置4个监测点位。</w:t>
      </w:r>
      <w:r/>
    </w:p>
    <w:p>
      <w:pPr>
        <w:pStyle w:val="1058"/>
        <w:ind w:firstLine="560"/>
        <w:jc w:val="both"/>
        <w:spacing w:before="0" w:beforeAutospacing="0" w:after="0" w:afterAutospacing="0" w:line="360" w:lineRule="auto"/>
        <w:widowControl w:val="off"/>
        <w:rPr>
          <w:sz w:val="21"/>
          <w:szCs w:val="21"/>
        </w:rPr>
      </w:pPr>
      <w:r>
        <w:rPr>
          <w:rFonts w:hint="eastAsia"/>
          <w:sz w:val="21"/>
          <w:szCs w:val="21"/>
        </w:rPr>
        <w:t xml:space="preserve">大气环境检测指标包括TSP、PM10、PM2.5、砷及其化合物、非甲烷总烃，执行《大气污染物综合排放标准》（DB32/4041-2021）、根据《环境空气质量标准》（GB 3095-2012）等相关标准。</w:t>
      </w:r>
      <w:r/>
    </w:p>
    <w:p>
      <w:pPr>
        <w:pStyle w:val="1030"/>
        <w:spacing w:before="0" w:after="0" w:line="360" w:lineRule="auto"/>
        <w:widowControl/>
        <w:rPr>
          <w:rFonts w:ascii="宋体" w:hAnsi="宋体" w:cs="宋体"/>
          <w:bCs w:val="0"/>
          <w:sz w:val="21"/>
          <w:szCs w:val="21"/>
        </w:rPr>
      </w:pPr>
      <w:r>
        <w:rPr>
          <w:rFonts w:hint="eastAsia" w:ascii="宋体" w:hAnsi="宋体" w:cs="宋体"/>
          <w:bCs w:val="0"/>
          <w:sz w:val="21"/>
          <w:szCs w:val="21"/>
        </w:rPr>
        <w:t xml:space="preserve">（2）水污染排放监测</w:t>
      </w:r>
      <w:r/>
    </w:p>
    <w:p>
      <w:pPr>
        <w:pStyle w:val="1058"/>
        <w:ind w:firstLine="560"/>
        <w:jc w:val="both"/>
        <w:spacing w:before="0" w:beforeAutospacing="0" w:after="0" w:afterAutospacing="0" w:line="360" w:lineRule="auto"/>
        <w:widowControl w:val="off"/>
        <w:rPr>
          <w:sz w:val="21"/>
          <w:szCs w:val="21"/>
        </w:rPr>
      </w:pPr>
      <w:r>
        <w:rPr>
          <w:rFonts w:hint="eastAsia"/>
          <w:sz w:val="21"/>
          <w:szCs w:val="21"/>
        </w:rPr>
        <w:t xml:space="preserve">本项目实施期间，产生的废水主要为车辆清洗废水、基坑废水。抽检废水样品，pH、COD</w:t>
      </w:r>
      <w:r>
        <w:rPr>
          <w:rFonts w:hint="eastAsia"/>
          <w:sz w:val="21"/>
          <w:szCs w:val="21"/>
          <w:vertAlign w:val="subscript"/>
        </w:rPr>
        <w:t xml:space="preserve">Mn</w:t>
      </w:r>
      <w:r>
        <w:rPr>
          <w:rFonts w:hint="eastAsia"/>
          <w:sz w:val="21"/>
          <w:szCs w:val="21"/>
        </w:rPr>
        <w:t xml:space="preserve">、溶解性总固体、氨氮（以N计）、砷，满足《地下水质量标准》（GB/T 14848-2017）的IV类标准，则回用，若不满足回用标准，若满足《污水排入城镇下水管道水质标准》（GB T31962-2015），则成交单位负责依法依规委外处置。</w:t>
      </w:r>
      <w:r/>
    </w:p>
    <w:p>
      <w:pPr>
        <w:pStyle w:val="1058"/>
        <w:jc w:val="center"/>
        <w:keepNext/>
        <w:spacing w:before="0" w:beforeAutospacing="0" w:after="0" w:afterAutospacing="0" w:line="360" w:lineRule="auto"/>
        <w:widowControl w:val="off"/>
        <w:rPr>
          <w:sz w:val="21"/>
          <w:szCs w:val="21"/>
        </w:rPr>
      </w:pPr>
      <w:r>
        <w:rPr>
          <w:rFonts w:hint="eastAsia"/>
          <w:sz w:val="21"/>
          <w:szCs w:val="21"/>
        </w:rPr>
        <w:t xml:space="preserve">表7-2废水排放监测因子评价标准（单位：mg/L）</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68"/>
        <w:gridCol w:w="3013"/>
        <w:gridCol w:w="3572"/>
        <w:gridCol w:w="1270"/>
      </w:tblGrid>
      <w:tr>
        <w:trPr>
          <w:jc w:val="center"/>
          <w:trHeight w:val="729"/>
        </w:trPr>
        <w:tc>
          <w:tcPr>
            <w:shd w:val="clear" w:color="auto" w:fill="auto"/>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污染物指标</w:t>
            </w:r>
            <w:r/>
          </w:p>
        </w:tc>
        <w:tc>
          <w:tcPr>
            <w:shd w:val="clear" w:color="auto" w:fill="auto"/>
            <w:tcBorders>
              <w:top w:val="single" w:color="auto" w:sz="4" w:space="0"/>
              <w:left w:val="none" w:color="000000" w:sz="4" w:space="0"/>
              <w:bottom w:val="single" w:color="auto" w:sz="4" w:space="0"/>
              <w:right w:val="single" w:color="auto" w:sz="4" w:space="0"/>
            </w:tcBorders>
            <w:tcW w:w="30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《地下水质量标准》（GB/T 14848-2017）的IV类标准</w:t>
            </w:r>
            <w:r/>
          </w:p>
        </w:tc>
        <w:tc>
          <w:tcPr>
            <w:shd w:val="clear" w:color="auto" w:fill="auto"/>
            <w:tcBorders>
              <w:top w:val="single" w:color="auto"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《污水排入城镇下水管道水质标准》（GB T31962-2015）中B级标准</w:t>
            </w:r>
            <w:r/>
          </w:p>
        </w:tc>
        <w:tc>
          <w:tcPr>
            <w:shd w:val="clear" w:color="auto" w:fill="auto"/>
            <w:tcBorders>
              <w:top w:val="single" w:color="auto" w:sz="4" w:space="0"/>
              <w:left w:val="none" w:color="000000" w:sz="4" w:space="0"/>
              <w:bottom w:val="single" w:color="auto" w:sz="4" w:space="0"/>
              <w:right w:val="single" w:color="auto" w:sz="4" w:space="0"/>
            </w:tcBorders>
            <w:tcW w:w="127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r>
      <w:tr>
        <w:trPr>
          <w:jc w:val="center"/>
          <w:trHeight w:val="581"/>
        </w:trPr>
        <w:tc>
          <w:tcPr>
            <w:shd w:val="clear" w:color="auto" w:fill="auto"/>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COD</w:t>
            </w:r>
            <w:r>
              <w:rPr>
                <w:rFonts w:hint="eastAsia" w:ascii="宋体" w:hAnsi="宋体" w:cs="宋体"/>
                <w:szCs w:val="21"/>
                <w:vertAlign w:val="subscript"/>
              </w:rPr>
              <w:t xml:space="preserve">Mn</w:t>
            </w:r>
            <w:r/>
          </w:p>
        </w:tc>
        <w:tc>
          <w:tcPr>
            <w:shd w:val="clear" w:color="auto" w:fill="auto"/>
            <w:tcBorders>
              <w:top w:val="single" w:color="auto" w:sz="4" w:space="0"/>
              <w:left w:val="none" w:color="000000" w:sz="4" w:space="0"/>
              <w:bottom w:val="single" w:color="auto" w:sz="4" w:space="0"/>
              <w:right w:val="single" w:color="auto" w:sz="4" w:space="0"/>
            </w:tcBorders>
            <w:tcW w:w="30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mg/L</w:t>
            </w:r>
            <w:r/>
          </w:p>
        </w:tc>
      </w:tr>
      <w:tr>
        <w:trPr>
          <w:jc w:val="center"/>
          <w:trHeight w:val="566"/>
        </w:trPr>
        <w:tc>
          <w:tcPr>
            <w:shd w:val="clear" w:color="auto" w:fill="auto"/>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NH</w:t>
            </w:r>
            <w:r>
              <w:rPr>
                <w:rFonts w:hint="eastAsia" w:ascii="宋体" w:hAnsi="宋体" w:cs="宋体"/>
                <w:szCs w:val="21"/>
                <w:vertAlign w:val="subscript"/>
              </w:rPr>
              <w:t xml:space="preserve">3</w:t>
            </w:r>
            <w:r>
              <w:rPr>
                <w:rFonts w:hint="eastAsia" w:ascii="宋体" w:hAnsi="宋体" w:cs="宋体"/>
                <w:szCs w:val="21"/>
              </w:rPr>
              <w:t xml:space="preserve">-N</w:t>
            </w:r>
            <w:r/>
          </w:p>
        </w:tc>
        <w:tc>
          <w:tcPr>
            <w:shd w:val="clear" w:color="auto" w:fill="auto"/>
            <w:tcBorders>
              <w:top w:val="single" w:color="auto" w:sz="4" w:space="0"/>
              <w:left w:val="none" w:color="000000" w:sz="4" w:space="0"/>
              <w:bottom w:val="single" w:color="auto" w:sz="4" w:space="0"/>
              <w:right w:val="single" w:color="auto" w:sz="4" w:space="0"/>
            </w:tcBorders>
            <w:tcW w:w="30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12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mg/L</w:t>
            </w:r>
            <w:r/>
          </w:p>
        </w:tc>
      </w:tr>
      <w:tr>
        <w:trPr>
          <w:jc w:val="center"/>
          <w:trHeight w:val="617"/>
        </w:trPr>
        <w:tc>
          <w:tcPr>
            <w:shd w:val="clear" w:color="auto" w:fill="auto"/>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溶解性总固体</w:t>
            </w:r>
            <w:r/>
          </w:p>
        </w:tc>
        <w:tc>
          <w:tcPr>
            <w:shd w:val="clear" w:color="auto" w:fill="auto"/>
            <w:tcBorders>
              <w:top w:val="single" w:color="auto" w:sz="4" w:space="0"/>
              <w:left w:val="none" w:color="000000" w:sz="4" w:space="0"/>
              <w:bottom w:val="single" w:color="auto" w:sz="4" w:space="0"/>
              <w:right w:val="single" w:color="auto" w:sz="4" w:space="0"/>
            </w:tcBorders>
            <w:tcW w:w="30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2000</w:t>
            </w:r>
            <w:r/>
          </w:p>
        </w:tc>
        <w:tc>
          <w:tcPr>
            <w:shd w:val="clear" w:color="auto" w:fill="auto"/>
            <w:tcBorders>
              <w:top w:val="single" w:color="auto" w:sz="4" w:space="0"/>
              <w:left w:val="none" w:color="000000" w:sz="4" w:space="0"/>
              <w:bottom w:val="single" w:color="auto" w:sz="4" w:space="0"/>
              <w:right w:val="single" w:color="auto" w:sz="4" w:space="0"/>
            </w:tcBorders>
            <w:tcW w:w="12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mg/L</w:t>
            </w:r>
            <w:r/>
          </w:p>
        </w:tc>
      </w:tr>
      <w:tr>
        <w:trPr>
          <w:jc w:val="center"/>
          <w:trHeight w:val="627"/>
        </w:trPr>
        <w:tc>
          <w:tcPr>
            <w:shd w:val="clear" w:color="auto" w:fill="auto"/>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砷</w:t>
            </w:r>
            <w:r/>
          </w:p>
        </w:tc>
        <w:tc>
          <w:tcPr>
            <w:shd w:val="clear" w:color="auto" w:fill="auto"/>
            <w:tcBorders>
              <w:top w:val="single" w:color="auto" w:sz="4" w:space="0"/>
              <w:left w:val="none" w:color="000000" w:sz="4" w:space="0"/>
              <w:bottom w:val="single" w:color="auto" w:sz="4" w:space="0"/>
              <w:right w:val="single" w:color="auto" w:sz="4" w:space="0"/>
            </w:tcBorders>
            <w:tcW w:w="30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0.05</w:t>
            </w:r>
            <w:r/>
          </w:p>
        </w:tc>
        <w:tc>
          <w:tcPr>
            <w:shd w:val="clear" w:color="auto" w:fill="auto"/>
            <w:tcBorders>
              <w:top w:val="single" w:color="auto"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0.3</w:t>
            </w:r>
            <w:r/>
          </w:p>
        </w:tc>
        <w:tc>
          <w:tcPr>
            <w:shd w:val="clear" w:color="auto" w:fill="auto"/>
            <w:tcBorders>
              <w:top w:val="single" w:color="auto" w:sz="4" w:space="0"/>
              <w:left w:val="none" w:color="000000" w:sz="4" w:space="0"/>
              <w:bottom w:val="single" w:color="auto" w:sz="4" w:space="0"/>
              <w:right w:val="single" w:color="auto" w:sz="4" w:space="0"/>
            </w:tcBorders>
            <w:tcW w:w="12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mg/L</w:t>
            </w:r>
            <w:r/>
          </w:p>
        </w:tc>
      </w:tr>
      <w:tr>
        <w:trPr>
          <w:jc w:val="center"/>
          <w:trHeight w:val="632"/>
        </w:trPr>
        <w:tc>
          <w:tcPr>
            <w:shd w:val="clear" w:color="auto" w:fill="auto"/>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pH值</w:t>
            </w:r>
            <w:r/>
          </w:p>
        </w:tc>
        <w:tc>
          <w:tcPr>
            <w:shd w:val="clear" w:color="auto" w:fill="auto"/>
            <w:tcBorders>
              <w:top w:val="single" w:color="auto" w:sz="4" w:space="0"/>
              <w:left w:val="none" w:color="000000" w:sz="4" w:space="0"/>
              <w:bottom w:val="single" w:color="auto" w:sz="4" w:space="0"/>
              <w:right w:val="single" w:color="auto" w:sz="4" w:space="0"/>
            </w:tcBorders>
            <w:tcW w:w="30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5.5~9.0</w:t>
            </w:r>
            <w:r/>
          </w:p>
        </w:tc>
        <w:tc>
          <w:tcPr>
            <w:shd w:val="clear" w:color="auto" w:fill="auto"/>
            <w:tcBorders>
              <w:top w:val="single" w:color="auto" w:sz="4" w:space="0"/>
              <w:left w:val="none" w:color="000000" w:sz="4" w:space="0"/>
              <w:bottom w:val="single" w:color="auto" w:sz="4" w:space="0"/>
              <w:right w:val="single" w:color="auto" w:sz="4" w:space="0"/>
            </w:tcBorders>
            <w:tcW w:w="35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6.5~9.5</w:t>
            </w:r>
            <w:r/>
          </w:p>
        </w:tc>
        <w:tc>
          <w:tcPr>
            <w:shd w:val="clear" w:color="auto" w:fill="auto"/>
            <w:tcBorders>
              <w:top w:val="single" w:color="auto" w:sz="4" w:space="0"/>
              <w:left w:val="none" w:color="000000" w:sz="4" w:space="0"/>
              <w:bottom w:val="single" w:color="auto" w:sz="4" w:space="0"/>
              <w:right w:val="single" w:color="auto" w:sz="4" w:space="0"/>
            </w:tcBorders>
            <w:tcW w:w="12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无量纲</w:t>
            </w:r>
            <w:r/>
          </w:p>
        </w:tc>
      </w:tr>
    </w:tbl>
    <w:p>
      <w:pPr>
        <w:pStyle w:val="1030"/>
        <w:spacing w:before="0" w:after="0" w:line="360" w:lineRule="auto"/>
        <w:widowControl/>
        <w:rPr>
          <w:rFonts w:ascii="宋体" w:hAnsi="宋体" w:cs="宋体"/>
          <w:bCs w:val="0"/>
          <w:sz w:val="21"/>
          <w:szCs w:val="21"/>
        </w:rPr>
      </w:pPr>
      <w:r>
        <w:rPr>
          <w:rFonts w:hint="eastAsia" w:ascii="宋体" w:hAnsi="宋体" w:cs="宋体"/>
          <w:bCs w:val="0"/>
          <w:sz w:val="21"/>
          <w:szCs w:val="21"/>
        </w:rPr>
        <w:t xml:space="preserve">（3）噪声污染源监测</w:t>
      </w:r>
      <w:r/>
    </w:p>
    <w:p>
      <w:pPr>
        <w:pStyle w:val="1058"/>
        <w:ind w:firstLine="560"/>
        <w:jc w:val="both"/>
        <w:spacing w:before="0" w:beforeAutospacing="0" w:after="0" w:afterAutospacing="0" w:line="360" w:lineRule="auto"/>
        <w:widowControl w:val="off"/>
        <w:rPr>
          <w:sz w:val="21"/>
          <w:szCs w:val="21"/>
        </w:rPr>
      </w:pPr>
      <w:r>
        <w:rPr>
          <w:rFonts w:hint="eastAsia"/>
          <w:sz w:val="21"/>
          <w:szCs w:val="21"/>
        </w:rPr>
        <w:t xml:space="preserve">项目组织实施期间，成交单位应定期开展噪声监测工作。地块噪声监测方法与评价标准参考《建筑施工场界噪声测量方法》（GB12524-1990）和《建筑施工场界环境噪声排放标准》（GB12523-2011）。地块根据《建筑施工场界环境噪声排放标准》（GB12523-2011）建筑施工场界环境噪声昼间不得超过70dB（A），夜间不得超过55dB（A）。</w:t>
      </w:r>
      <w:r/>
    </w:p>
    <w:p>
      <w:pPr>
        <w:ind w:firstLine="560"/>
        <w:spacing w:line="360" w:lineRule="auto"/>
        <w:rPr>
          <w:rFonts w:ascii="宋体" w:hAnsi="宋体" w:cs="宋体"/>
          <w:szCs w:val="21"/>
        </w:rPr>
      </w:pPr>
      <w:r>
        <w:rPr>
          <w:rFonts w:hint="eastAsia" w:ascii="宋体" w:hAnsi="宋体" w:cs="宋体"/>
          <w:szCs w:val="21"/>
        </w:rPr>
        <w:t xml:space="preserve">①布点采样</w:t>
      </w:r>
      <w:r/>
    </w:p>
    <w:p>
      <w:pPr>
        <w:ind w:firstLine="560"/>
        <w:spacing w:line="360" w:lineRule="auto"/>
        <w:rPr>
          <w:rFonts w:ascii="宋体" w:hAnsi="宋体" w:cs="宋体"/>
          <w:szCs w:val="21"/>
        </w:rPr>
      </w:pPr>
      <w:r>
        <w:rPr>
          <w:rFonts w:hint="eastAsia" w:ascii="宋体" w:hAnsi="宋体" w:cs="宋体"/>
          <w:szCs w:val="21"/>
        </w:rPr>
        <w:t xml:space="preserve">噪声污染源的监测布点方法按照《建筑施工场界环境噪声排放标准》（GB 12523-2011）执行。根据被测建筑施工场地的建筑作业方位和活动形式，确定噪声敏感建筑或区域的方位，并在建筑施工场地边界线上选择离敏感建筑物或区域最近的点作为测点。</w:t>
      </w:r>
      <w:r/>
    </w:p>
    <w:p>
      <w:pPr>
        <w:ind w:firstLine="560"/>
        <w:spacing w:line="360" w:lineRule="auto"/>
        <w:rPr>
          <w:rFonts w:ascii="宋体" w:hAnsi="宋体" w:cs="宋体"/>
          <w:szCs w:val="21"/>
        </w:rPr>
      </w:pPr>
      <w:r>
        <w:rPr>
          <w:rFonts w:hint="eastAsia" w:ascii="宋体" w:hAnsi="宋体" w:cs="宋体"/>
          <w:szCs w:val="21"/>
        </w:rPr>
        <w:t xml:space="preserve">②测量条件</w:t>
      </w:r>
      <w:r/>
    </w:p>
    <w:p>
      <w:pPr>
        <w:ind w:firstLine="560"/>
        <w:spacing w:line="360" w:lineRule="auto"/>
        <w:rPr>
          <w:rFonts w:ascii="宋体" w:hAnsi="宋体" w:cs="宋体"/>
          <w:szCs w:val="21"/>
        </w:rPr>
      </w:pPr>
      <w:r>
        <w:rPr>
          <w:rFonts w:hint="eastAsia" w:ascii="宋体" w:hAnsi="宋体" w:cs="宋体"/>
          <w:szCs w:val="21"/>
        </w:rPr>
        <w:t xml:space="preserve">测量条件应该符合《建筑施工场界环境噪声排放标准》（GB 12523-2011）中规定条件。测量仪器为积分声级计，其性能至少应符合《电声学声级计》（GB/T 3785-2010）中对Ⅲ型仪器的要求。</w:t>
      </w:r>
      <w:r/>
    </w:p>
    <w:p>
      <w:pPr>
        <w:ind w:firstLine="560"/>
        <w:spacing w:line="360" w:lineRule="auto"/>
        <w:rPr>
          <w:rFonts w:ascii="宋体" w:hAnsi="宋体" w:cs="宋体"/>
          <w:szCs w:val="21"/>
        </w:rPr>
      </w:pPr>
      <w:r>
        <w:rPr>
          <w:rFonts w:hint="eastAsia" w:ascii="宋体" w:hAnsi="宋体" w:cs="宋体"/>
          <w:szCs w:val="21"/>
        </w:rPr>
        <w:t xml:space="preserve">③测量方法与频次</w:t>
      </w:r>
      <w:r/>
    </w:p>
    <w:p>
      <w:pPr>
        <w:ind w:firstLine="560"/>
        <w:spacing w:line="360" w:lineRule="auto"/>
        <w:rPr>
          <w:rFonts w:ascii="宋体" w:hAnsi="宋体" w:cs="宋体"/>
          <w:szCs w:val="21"/>
        </w:rPr>
      </w:pPr>
      <w:r>
        <w:rPr>
          <w:rFonts w:hint="eastAsia" w:ascii="宋体" w:hAnsi="宋体" w:cs="宋体"/>
          <w:szCs w:val="21"/>
        </w:rPr>
        <w:t xml:space="preserve">按照《建筑施工场界环境噪声排放标准》（GB 12523-2011）执行。以20min的等效A声级表征该点的昼、夜间噪声值。测量时间分为白天和夜间两个时间段。白天测量选在8:00～12:00时或14:00～18:00时，夜间选在22:00～6:00时。</w:t>
      </w:r>
      <w:r/>
    </w:p>
    <w:p>
      <w:pPr>
        <w:ind w:firstLine="560"/>
        <w:spacing w:line="360" w:lineRule="auto"/>
        <w:rPr>
          <w:rFonts w:ascii="宋体" w:hAnsi="宋体" w:cs="宋体"/>
          <w:szCs w:val="21"/>
        </w:rPr>
      </w:pPr>
      <w:r>
        <w:rPr>
          <w:rFonts w:hint="eastAsia" w:ascii="宋体" w:hAnsi="宋体" w:cs="宋体"/>
          <w:szCs w:val="21"/>
        </w:rPr>
        <w:t xml:space="preserve">④评价标准</w:t>
      </w:r>
      <w:r/>
    </w:p>
    <w:p>
      <w:pPr>
        <w:ind w:firstLine="560"/>
        <w:spacing w:line="360" w:lineRule="auto"/>
        <w:rPr>
          <w:rFonts w:ascii="宋体" w:hAnsi="宋体" w:cs="宋体"/>
          <w:szCs w:val="21"/>
        </w:rPr>
      </w:pPr>
      <w:r>
        <w:rPr>
          <w:rFonts w:hint="eastAsia" w:ascii="宋体" w:hAnsi="宋体" w:cs="宋体"/>
          <w:szCs w:val="21"/>
        </w:rPr>
        <w:t xml:space="preserve">按照《建筑施工场界环境噪声排放标准》（GB 12523-2011）。</w:t>
      </w:r>
      <w:r/>
    </w:p>
    <w:p>
      <w:pPr>
        <w:pStyle w:val="1058"/>
        <w:jc w:val="center"/>
        <w:keepNext/>
        <w:spacing w:before="0" w:beforeAutospacing="0" w:after="0" w:afterAutospacing="0" w:line="360" w:lineRule="auto"/>
        <w:widowControl w:val="off"/>
        <w:rPr>
          <w:sz w:val="21"/>
          <w:szCs w:val="21"/>
        </w:rPr>
      </w:pPr>
      <w:r>
        <w:rPr>
          <w:rFonts w:hint="eastAsia"/>
          <w:sz w:val="21"/>
          <w:szCs w:val="21"/>
        </w:rPr>
        <w:t xml:space="preserve">表7-3环境噪声排放标准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81"/>
        <w:gridCol w:w="4981"/>
      </w:tblGrid>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tcPr>
          <w:p>
            <w:pPr>
              <w:pStyle w:val="1140"/>
              <w:spacing w:line="360" w:lineRule="auto"/>
              <w:widowControl/>
              <w:rPr>
                <w:rFonts w:hint="default" w:ascii="宋体" w:hAnsi="宋体" w:eastAsia="宋体" w:cs="宋体"/>
                <w:b/>
                <w:bCs/>
              </w:rPr>
            </w:pPr>
            <w:r>
              <w:rPr>
                <w:rFonts w:ascii="宋体" w:hAnsi="宋体" w:eastAsia="宋体" w:cs="宋体"/>
                <w:b/>
                <w:bCs/>
              </w:rPr>
              <w:t xml:space="preserve">昼间dB（A）</w:t>
            </w:r>
            <w:r/>
          </w:p>
        </w:tc>
        <w:tc>
          <w:tcPr>
            <w:shd w:val="clear" w:color="auto" w:fill="auto"/>
            <w:tcBorders>
              <w:top w:val="single" w:color="auto" w:sz="4" w:space="0"/>
              <w:left w:val="single" w:color="auto" w:sz="4" w:space="0"/>
              <w:bottom w:val="single" w:color="auto" w:sz="4" w:space="0"/>
              <w:right w:val="single" w:color="auto" w:sz="4" w:space="0"/>
            </w:tcBorders>
            <w:tcW w:w="2500" w:type="pct"/>
            <w:textDirection w:val="lrTb"/>
            <w:noWrap w:val="false"/>
          </w:tcPr>
          <w:p>
            <w:pPr>
              <w:pStyle w:val="1140"/>
              <w:spacing w:line="360" w:lineRule="auto"/>
              <w:widowControl/>
              <w:rPr>
                <w:rFonts w:hint="default" w:ascii="宋体" w:hAnsi="宋体" w:eastAsia="宋体" w:cs="宋体"/>
                <w:b/>
                <w:bCs/>
              </w:rPr>
            </w:pPr>
            <w:r>
              <w:rPr>
                <w:rFonts w:ascii="宋体" w:hAnsi="宋体" w:eastAsia="宋体" w:cs="宋体"/>
                <w:b/>
                <w:bCs/>
              </w:rPr>
              <w:t xml:space="preserve">夜间dB（A）</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tcPr>
          <w:p>
            <w:pPr>
              <w:pStyle w:val="1140"/>
              <w:spacing w:line="360" w:lineRule="auto"/>
              <w:widowControl/>
              <w:rPr>
                <w:rFonts w:hint="default" w:ascii="宋体" w:hAnsi="宋体" w:eastAsia="宋体" w:cs="宋体"/>
              </w:rPr>
            </w:pPr>
            <w:r>
              <w:rPr>
                <w:rFonts w:ascii="宋体" w:hAnsi="宋体" w:eastAsia="宋体" w:cs="宋体"/>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pStyle w:val="1140"/>
              <w:spacing w:line="360" w:lineRule="auto"/>
              <w:widowControl/>
              <w:rPr>
                <w:rFonts w:hint="default" w:ascii="宋体" w:hAnsi="宋体" w:eastAsia="宋体" w:cs="宋体"/>
              </w:rPr>
            </w:pPr>
            <w:r>
              <w:rPr>
                <w:rFonts w:ascii="宋体" w:hAnsi="宋体" w:eastAsia="宋体" w:cs="宋体"/>
              </w:rPr>
              <w:t xml:space="preserve">55</w:t>
            </w:r>
            <w:r/>
          </w:p>
        </w:tc>
      </w:tr>
    </w:tbl>
    <w:p>
      <w:pPr>
        <w:pStyle w:val="1030"/>
        <w:spacing w:before="0" w:after="0" w:line="360" w:lineRule="auto"/>
        <w:widowControl/>
        <w:rPr>
          <w:rFonts w:ascii="宋体" w:hAnsi="宋体" w:cs="宋体"/>
          <w:bCs w:val="0"/>
          <w:sz w:val="21"/>
          <w:szCs w:val="21"/>
        </w:rPr>
      </w:pPr>
      <w:r>
        <w:rPr>
          <w:rFonts w:hint="eastAsia" w:ascii="宋体" w:hAnsi="宋体" w:cs="宋体"/>
          <w:bCs w:val="0"/>
          <w:sz w:val="21"/>
          <w:szCs w:val="21"/>
        </w:rPr>
        <w:t xml:space="preserve">（4）地块土壤自检</w:t>
      </w:r>
      <w:r/>
    </w:p>
    <w:p>
      <w:pPr>
        <w:ind w:firstLine="560"/>
        <w:spacing w:line="360" w:lineRule="auto"/>
        <w:rPr>
          <w:rFonts w:ascii="宋体" w:hAnsi="宋体" w:cs="宋体"/>
          <w:szCs w:val="21"/>
        </w:rPr>
      </w:pPr>
      <w:r>
        <w:rPr>
          <w:rFonts w:hint="eastAsia" w:ascii="宋体" w:hAnsi="宋体" w:cs="宋体"/>
          <w:szCs w:val="21"/>
        </w:rPr>
        <w:t xml:space="preserve">自检是在地块修复完成后，对地块内土壤修复效果进行自我检查和自我评价的过程，主要是通过文件自我审核、现场勘察、现场自采样和自检测分析等，进行修复效果自我评价，判断是否达到效果评估标准，为修复项目第三方效果评估做好准备，减少因第三方验收不合格造成的返工现象，为最后修复工程第三方效果评估顺利通过提供必要的保障。</w:t>
      </w:r>
      <w:r/>
    </w:p>
    <w:p>
      <w:pPr>
        <w:ind w:firstLine="560"/>
        <w:spacing w:line="360" w:lineRule="auto"/>
        <w:rPr>
          <w:rFonts w:ascii="宋体" w:hAnsi="宋体" w:cs="宋体"/>
          <w:szCs w:val="21"/>
        </w:rPr>
      </w:pPr>
      <w:r>
        <w:rPr>
          <w:rFonts w:hint="eastAsia" w:ascii="宋体" w:hAnsi="宋体" w:cs="宋体"/>
          <w:szCs w:val="21"/>
        </w:rPr>
        <w:t xml:space="preserve">本项目自检内容主要包括土壤清挖基坑自检、潜在二次污染区域自检自检。自检项目主要为本地块修复目标污染物砷。</w:t>
      </w:r>
      <w:r/>
    </w:p>
    <w:p>
      <w:pPr>
        <w:ind w:firstLine="560"/>
        <w:spacing w:line="360" w:lineRule="auto"/>
        <w:rPr>
          <w:rFonts w:ascii="宋体" w:hAnsi="宋体" w:cs="宋体"/>
          <w:szCs w:val="21"/>
        </w:rPr>
      </w:pPr>
      <w:r>
        <w:rPr>
          <w:rFonts w:hint="eastAsia" w:ascii="宋体" w:hAnsi="宋体" w:cs="宋体"/>
          <w:szCs w:val="21"/>
        </w:rPr>
        <w:t xml:space="preserve">当土壤清挖至修复深度后，对清挖后基坑进行侧壁和底部的自检工作，若基坑非污染区交接面修复的目标因子满足相应修复目标，则无需进一步清挖，若不达标，则继续清挖至达标深度。</w:t>
      </w:r>
      <w:r/>
    </w:p>
    <w:p>
      <w:pPr>
        <w:ind w:firstLine="560"/>
        <w:spacing w:line="360" w:lineRule="auto"/>
        <w:rPr>
          <w:rFonts w:ascii="宋体" w:hAnsi="宋体" w:cs="宋体"/>
          <w:szCs w:val="21"/>
        </w:rPr>
      </w:pPr>
      <w:r>
        <w:rPr>
          <w:rFonts w:hint="eastAsia" w:ascii="宋体" w:hAnsi="宋体" w:cs="宋体"/>
          <w:szCs w:val="21"/>
        </w:rPr>
        <w:t xml:space="preserve">针对地块内原地面以下污染土壤，清挖产生的基坑，基坑底部采用系统布点法，基坑侧壁采用等距离布点法，当基坑深度大于1m时，侧壁应进行垂向分层采样，应考虑地块土壤性质与污染垂向分布，在污染物易富集位置设置采样点。基坑坑底和侧壁、堆土清理后露出的原地面高程土壤样品，以去除杂质后的土壤表层样为主（0~20cm），不排除深层采样。</w:t>
      </w:r>
      <w:r/>
    </w:p>
    <w:p>
      <w:pPr>
        <w:pStyle w:val="1058"/>
        <w:jc w:val="center"/>
        <w:keepNext/>
        <w:spacing w:before="0" w:beforeAutospacing="0" w:after="0" w:afterAutospacing="0" w:line="360" w:lineRule="auto"/>
        <w:widowControl w:val="off"/>
        <w:rPr>
          <w:sz w:val="21"/>
          <w:szCs w:val="21"/>
        </w:rPr>
      </w:pPr>
      <w:r>
        <w:rPr>
          <w:rFonts w:hint="eastAsia"/>
          <w:sz w:val="21"/>
          <w:szCs w:val="21"/>
        </w:rPr>
        <w:t xml:space="preserve">表7-4基坑底部和侧壁最少采样点数量</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003"/>
        <w:gridCol w:w="3312"/>
        <w:gridCol w:w="3437"/>
      </w:tblGrid>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基坑面积（m</w:t>
            </w:r>
            <w:r>
              <w:rPr>
                <w:rFonts w:hint="eastAsia" w:ascii="宋体" w:hAnsi="宋体" w:cs="宋体"/>
                <w:b/>
                <w:bCs/>
                <w:szCs w:val="21"/>
                <w:vertAlign w:val="superscript"/>
              </w:rPr>
              <w:t xml:space="preserve">2</w:t>
            </w:r>
            <w:r>
              <w:rPr>
                <w:rFonts w:hint="eastAsia" w:ascii="宋体" w:hAnsi="宋体" w:cs="宋体"/>
                <w:b/>
                <w:bCs/>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pacing w:val="10"/>
                <w:szCs w:val="21"/>
              </w:rPr>
              <w:t xml:space="preserve">坑底采样点数量（个）</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pacing w:val="11"/>
                <w:szCs w:val="21"/>
              </w:rPr>
              <w:t xml:space="preserve">侧壁采样点数量</w:t>
            </w:r>
            <w:r>
              <w:rPr>
                <w:rFonts w:hint="eastAsia" w:ascii="宋体" w:hAnsi="宋体" w:cs="宋体"/>
                <w:b/>
                <w:bCs/>
                <w:spacing w:val="10"/>
                <w:szCs w:val="21"/>
              </w:rPr>
              <w:t xml:space="preserve">（个）</w:t>
            </w:r>
            <w:r/>
          </w:p>
        </w:tc>
      </w:tr>
      <w:tr>
        <w:trPr>
          <w:jc w:val="center"/>
          <w:trHeight w:val="443"/>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x＜100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r>
      <w:tr>
        <w:trPr>
          <w:jc w:val="center"/>
          <w:trHeight w:val="486"/>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4"/>
                <w:szCs w:val="21"/>
              </w:rPr>
              <w:t xml:space="preserve">1</w:t>
            </w:r>
            <w:r>
              <w:rPr>
                <w:rFonts w:hint="eastAsia" w:ascii="宋体" w:hAnsi="宋体" w:cs="宋体"/>
                <w:spacing w:val="-2"/>
                <w:szCs w:val="21"/>
              </w:rPr>
              <w:t xml:space="preserve">00≤x＜1000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2"/>
                <w:szCs w:val="21"/>
              </w:rPr>
              <w:t xml:space="preserve">1000≤x＜1500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r>
      <w:tr>
        <w:trPr>
          <w:jc w:val="center"/>
          <w:trHeight w:val="486"/>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2"/>
                <w:szCs w:val="21"/>
              </w:rPr>
              <w:t xml:space="preserve">1500≤x＜2500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zCs w:val="21"/>
              </w:rPr>
              <w:t xml:space="preserve">500≤x＜5000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r>
      <w:tr>
        <w:trPr>
          <w:jc w:val="center"/>
          <w:trHeight w:val="486"/>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1"/>
                <w:szCs w:val="21"/>
              </w:rPr>
              <w:t xml:space="preserve">5000≤</w:t>
            </w:r>
            <w:r>
              <w:rPr>
                <w:rFonts w:hint="eastAsia" w:ascii="宋体" w:hAnsi="宋体" w:cs="宋体"/>
                <w:szCs w:val="21"/>
              </w:rPr>
              <w:t xml:space="preserve">x</w:t>
            </w:r>
            <w:r>
              <w:rPr>
                <w:rFonts w:hint="eastAsia" w:ascii="宋体" w:hAnsi="宋体" w:cs="宋体"/>
                <w:spacing w:val="-1"/>
                <w:szCs w:val="21"/>
              </w:rPr>
              <w:t xml:space="preserve">＜7</w:t>
            </w:r>
            <w:r>
              <w:rPr>
                <w:rFonts w:hint="eastAsia" w:ascii="宋体" w:hAnsi="宋体" w:cs="宋体"/>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1"/>
                <w:szCs w:val="21"/>
              </w:rPr>
              <w:t xml:space="preserve">7500≤</w:t>
            </w:r>
            <w:r>
              <w:rPr>
                <w:rFonts w:hint="eastAsia" w:ascii="宋体" w:hAnsi="宋体" w:cs="宋体"/>
                <w:szCs w:val="21"/>
              </w:rPr>
              <w:t xml:space="preserve">x＜12500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6"/>
                <w:szCs w:val="21"/>
              </w:rPr>
              <w:t xml:space="preserve">10</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X</w:t>
            </w:r>
            <w:r>
              <w:rPr>
                <w:rFonts w:hint="eastAsia" w:ascii="宋体" w:hAnsi="宋体" w:cs="宋体"/>
                <w:spacing w:val="1"/>
                <w:szCs w:val="21"/>
              </w:rPr>
              <w:t xml:space="preserve">＞</w:t>
            </w:r>
            <w:r>
              <w:rPr>
                <w:rFonts w:hint="eastAsia" w:ascii="宋体" w:hAnsi="宋体" w:cs="宋体"/>
                <w:szCs w:val="21"/>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10"/>
                <w:szCs w:val="21"/>
              </w:rPr>
              <w:t xml:space="preserve">网格</w:t>
            </w:r>
            <w:r>
              <w:rPr>
                <w:rFonts w:hint="eastAsia" w:ascii="宋体" w:hAnsi="宋体" w:cs="宋体"/>
                <w:spacing w:val="-7"/>
                <w:szCs w:val="21"/>
              </w:rPr>
              <w:t xml:space="preserve">大</w:t>
            </w:r>
            <w:r>
              <w:rPr>
                <w:rFonts w:hint="eastAsia" w:ascii="宋体" w:hAnsi="宋体" w:cs="宋体"/>
                <w:spacing w:val="-5"/>
                <w:szCs w:val="21"/>
              </w:rPr>
              <w:t xml:space="preserve">小不超过40mx40m</w:t>
            </w:r>
            <w:r/>
          </w:p>
        </w:tc>
        <w:tc>
          <w:tcPr>
            <w:shd w:val="clear" w:color="auto" w:fill="auto"/>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jc w:val="center"/>
              <w:spacing w:line="360" w:lineRule="auto"/>
              <w:rPr>
                <w:rFonts w:ascii="宋体" w:hAnsi="宋体" w:cs="宋体"/>
                <w:szCs w:val="21"/>
              </w:rPr>
            </w:pPr>
            <w:r>
              <w:rPr>
                <w:rFonts w:hint="eastAsia" w:ascii="宋体" w:hAnsi="宋体" w:cs="宋体"/>
                <w:spacing w:val="-8"/>
                <w:szCs w:val="21"/>
              </w:rPr>
              <w:t xml:space="preserve">采</w:t>
            </w:r>
            <w:r>
              <w:rPr>
                <w:rFonts w:hint="eastAsia" w:ascii="宋体" w:hAnsi="宋体" w:cs="宋体"/>
                <w:spacing w:val="-6"/>
                <w:szCs w:val="21"/>
              </w:rPr>
              <w:t xml:space="preserve">样</w:t>
            </w:r>
            <w:r>
              <w:rPr>
                <w:rFonts w:hint="eastAsia" w:ascii="宋体" w:hAnsi="宋体" w:cs="宋体"/>
                <w:spacing w:val="-4"/>
                <w:szCs w:val="21"/>
              </w:rPr>
              <w:t xml:space="preserve">点间隔不超过40m</w:t>
            </w:r>
            <w:r/>
          </w:p>
        </w:tc>
      </w:tr>
    </w:tbl>
    <w:p>
      <w:pPr>
        <w:pStyle w:val="1058"/>
        <w:jc w:val="center"/>
        <w:keepNext/>
        <w:spacing w:before="0" w:beforeAutospacing="0" w:after="0" w:afterAutospacing="0" w:line="360" w:lineRule="auto"/>
        <w:widowControl w:val="off"/>
        <w:rPr>
          <w:sz w:val="21"/>
          <w:szCs w:val="21"/>
        </w:rPr>
      </w:pPr>
      <w:r>
        <w:rPr>
          <w:rFonts w:hint="eastAsia"/>
          <w:sz w:val="21"/>
          <w:szCs w:val="21"/>
        </w:rPr>
        <w:t xml:space="preserve">表7-5本地块土壤清挖效果自检因子评价标准</w:t>
      </w:r>
      <w:r/>
    </w:p>
    <w:tbl>
      <w:tblPr>
        <w:tblW w:w="50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3663"/>
        <w:gridCol w:w="6109"/>
      </w:tblGrid>
      <w:tr>
        <w:trPr>
          <w:jc w:val="center"/>
          <w:trHeight w:val="549"/>
        </w:trPr>
        <w:tc>
          <w:tcPr>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自检因子</w:t>
            </w:r>
            <w:r/>
          </w:p>
        </w:tc>
        <w:tc>
          <w:tcPr>
            <w:shd w:val="clear" w:color="auto" w:fill="auto"/>
            <w:tcBorders>
              <w:top w:val="single" w:color="000000" w:sz="4" w:space="0"/>
              <w:left w:val="none" w:color="000000" w:sz="4" w:space="0"/>
              <w:bottom w:val="single" w:color="000000" w:sz="4" w:space="0"/>
              <w:right w:val="single" w:color="000000" w:sz="4" w:space="0"/>
            </w:tcBorders>
            <w:tcW w:w="521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处置目标值（mg/kg）</w:t>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砷</w:t>
            </w:r>
            <w:r/>
          </w:p>
        </w:tc>
        <w:tc>
          <w:tcPr>
            <w:shd w:val="clear" w:color="auto" w:fill="auto"/>
            <w:tcBorders>
              <w:top w:val="single" w:color="000000" w:sz="4" w:space="0"/>
              <w:left w:val="none" w:color="000000" w:sz="4" w:space="0"/>
              <w:bottom w:val="single" w:color="000000" w:sz="4" w:space="0"/>
              <w:right w:val="single" w:color="000000" w:sz="4" w:space="0"/>
            </w:tcBorders>
            <w:tcW w:w="52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60</w:t>
            </w:r>
            <w:r/>
          </w:p>
        </w:tc>
      </w:tr>
    </w:tbl>
    <w:p>
      <w:pPr>
        <w:keepLines/>
        <w:keepNext/>
        <w:spacing w:line="360" w:lineRule="auto"/>
        <w:tabs>
          <w:tab w:val="left" w:pos="73" w:leader="none"/>
        </w:tabs>
        <w:rPr>
          <w:rFonts w:ascii="宋体" w:hAnsi="宋体" w:cs="宋体"/>
          <w:b/>
          <w:szCs w:val="21"/>
        </w:rPr>
        <w:outlineLvl w:val="1"/>
      </w:pPr>
      <w:r>
        <w:rPr>
          <w:rFonts w:hint="eastAsia" w:ascii="宋体" w:hAnsi="宋体" w:cs="宋体"/>
          <w:b/>
          <w:szCs w:val="21"/>
        </w:rPr>
        <w:t xml:space="preserve">7.2效果评估</w:t>
      </w:r>
      <w:r/>
    </w:p>
    <w:p>
      <w:pPr>
        <w:ind w:firstLine="560"/>
        <w:spacing w:line="360" w:lineRule="auto"/>
        <w:rPr>
          <w:rFonts w:ascii="宋体" w:hAnsi="宋体" w:cs="宋体"/>
          <w:szCs w:val="21"/>
        </w:rPr>
      </w:pPr>
      <w:r>
        <w:rPr>
          <w:rFonts w:hint="eastAsia" w:ascii="宋体" w:hAnsi="宋体" w:cs="宋体"/>
          <w:szCs w:val="21"/>
        </w:rPr>
        <w:t xml:space="preserve">污染地块修复效果评估工作内容包括：更新地块概念模型、布点采样与实验室检测、风险管控与修复</w:t>
      </w:r>
      <w:r>
        <w:rPr>
          <w:rFonts w:hint="eastAsia" w:ascii="宋体" w:hAnsi="宋体" w:cs="宋体"/>
          <w:szCs w:val="21"/>
        </w:rPr>
        <w:t xml:space="preserve">效果评估、提出后期环境监管建议、编制效果评估报告。</w:t>
      </w:r>
      <w:r/>
    </w:p>
    <w:p>
      <w:pPr>
        <w:pStyle w:val="1030"/>
        <w:spacing w:before="0" w:after="0" w:line="360" w:lineRule="auto"/>
        <w:widowControl/>
        <w:rPr>
          <w:rFonts w:ascii="宋体" w:hAnsi="宋体" w:cs="宋体"/>
          <w:bCs w:val="0"/>
          <w:sz w:val="21"/>
          <w:szCs w:val="21"/>
        </w:rPr>
      </w:pPr>
      <w:r/>
      <w:bookmarkStart w:id="17" w:name="_Toc162606511"/>
      <w:r/>
      <w:bookmarkStart w:id="18" w:name="_Toc58267381"/>
      <w:r/>
      <w:bookmarkStart w:id="19" w:name="_Toc13258"/>
      <w:r/>
      <w:bookmarkStart w:id="20" w:name="_Toc196140582"/>
      <w:r/>
      <w:bookmarkEnd w:id="17"/>
      <w:r/>
      <w:bookmarkEnd w:id="18"/>
      <w:r/>
      <w:bookmarkEnd w:id="19"/>
      <w:r/>
      <w:bookmarkEnd w:id="20"/>
      <w:r>
        <w:rPr>
          <w:rFonts w:hint="eastAsia" w:ascii="宋体" w:hAnsi="宋体" w:cs="宋体"/>
          <w:bCs w:val="0"/>
          <w:sz w:val="21"/>
          <w:szCs w:val="21"/>
        </w:rPr>
        <w:t xml:space="preserve">（1）资料回顾</w:t>
      </w:r>
      <w:r/>
    </w:p>
    <w:p>
      <w:pPr>
        <w:ind w:firstLine="560"/>
        <w:spacing w:line="360" w:lineRule="auto"/>
        <w:rPr>
          <w:rFonts w:ascii="宋体" w:hAnsi="宋体" w:cs="宋体"/>
          <w:szCs w:val="21"/>
        </w:rPr>
      </w:pPr>
      <w:r>
        <w:rPr>
          <w:rFonts w:hint="eastAsia" w:ascii="宋体" w:hAnsi="宋体" w:cs="宋体"/>
          <w:szCs w:val="21"/>
        </w:rPr>
        <w:t xml:space="preserve">&lt;1&gt;文件收集</w:t>
      </w:r>
      <w:r/>
    </w:p>
    <w:p>
      <w:pPr>
        <w:ind w:firstLine="560"/>
        <w:spacing w:line="360" w:lineRule="auto"/>
        <w:rPr>
          <w:rFonts w:ascii="宋体" w:hAnsi="宋体" w:cs="宋体"/>
          <w:szCs w:val="21"/>
        </w:rPr>
      </w:pPr>
      <w:r>
        <w:rPr>
          <w:rFonts w:hint="eastAsia" w:ascii="宋体" w:hAnsi="宋体" w:cs="宋体"/>
          <w:szCs w:val="21"/>
        </w:rPr>
        <w:t xml:space="preserve">在效果评估工作开展之前，应收集与地块环境污染和修复相关的资料，主要包括：</w:t>
      </w:r>
      <w:r/>
    </w:p>
    <w:p>
      <w:pPr>
        <w:ind w:firstLine="560"/>
        <w:spacing w:line="360" w:lineRule="auto"/>
        <w:rPr>
          <w:rFonts w:ascii="宋体" w:hAnsi="宋体" w:cs="宋体"/>
          <w:szCs w:val="21"/>
        </w:rPr>
      </w:pPr>
      <w:r>
        <w:rPr>
          <w:rFonts w:hint="eastAsia" w:ascii="宋体" w:hAnsi="宋体" w:cs="宋体"/>
          <w:szCs w:val="21"/>
        </w:rPr>
        <w:t xml:space="preserve">①地块环境调查评估及修复技术方案等相关文件：地块环境调查评估报告及其备案意见、地块修复技术方案及其备案意见、地块修复施工组织设计及其专家评审意见、地块修复工程环境监理方案及其专家评审意见、其他相关资料。</w:t>
      </w:r>
      <w:r/>
    </w:p>
    <w:p>
      <w:pPr>
        <w:ind w:firstLine="560"/>
        <w:spacing w:line="360" w:lineRule="auto"/>
        <w:rPr>
          <w:rFonts w:ascii="宋体" w:hAnsi="宋体" w:cs="宋体"/>
          <w:szCs w:val="21"/>
        </w:rPr>
      </w:pPr>
      <w:r>
        <w:rPr>
          <w:rFonts w:hint="eastAsia" w:ascii="宋体" w:hAnsi="宋体" w:cs="宋体"/>
          <w:szCs w:val="21"/>
        </w:rPr>
        <w:t xml:space="preserve">②地块修复工程资料：工程测量放线记录、污染土壤清挖记录、污染土壤运输记录、修复设施运行记录、土壤外运手续文件、固废转移台账及手续文件、监测采集方案、采样记录及结果报告（包括施工单位和环境监理单位）；修复实施过程的施工日志等记录文件、修复施工单位修复工程竣工报告等。</w:t>
      </w:r>
      <w:r/>
    </w:p>
    <w:p>
      <w:pPr>
        <w:ind w:firstLine="560"/>
        <w:spacing w:line="360" w:lineRule="auto"/>
        <w:rPr>
          <w:rFonts w:ascii="宋体" w:hAnsi="宋体" w:cs="宋体"/>
          <w:szCs w:val="21"/>
        </w:rPr>
      </w:pPr>
      <w:r>
        <w:rPr>
          <w:rFonts w:hint="eastAsia" w:ascii="宋体" w:hAnsi="宋体" w:cs="宋体"/>
          <w:szCs w:val="21"/>
        </w:rPr>
        <w:t xml:space="preserve">③环境管理资料：二次污染防治措施台账、二次污染现场检测记录及结果，二次污染防治自检报告。</w:t>
      </w:r>
      <w:r/>
    </w:p>
    <w:p>
      <w:pPr>
        <w:ind w:firstLine="560"/>
        <w:spacing w:line="360" w:lineRule="auto"/>
        <w:rPr>
          <w:rFonts w:ascii="宋体" w:hAnsi="宋体" w:cs="宋体"/>
          <w:szCs w:val="21"/>
        </w:rPr>
      </w:pPr>
      <w:r>
        <w:rPr>
          <w:rFonts w:hint="eastAsia" w:ascii="宋体" w:hAnsi="宋体" w:cs="宋体"/>
          <w:szCs w:val="21"/>
        </w:rPr>
        <w:t xml:space="preserve">④环境监理文件：环境监理记录和监理报告。监理对清挖工程量的核定。</w:t>
      </w:r>
      <w:r/>
    </w:p>
    <w:p>
      <w:pPr>
        <w:ind w:firstLine="560"/>
        <w:spacing w:line="360" w:lineRule="auto"/>
        <w:rPr>
          <w:rFonts w:ascii="宋体" w:hAnsi="宋体" w:cs="宋体"/>
          <w:szCs w:val="21"/>
        </w:rPr>
      </w:pPr>
      <w:r>
        <w:rPr>
          <w:rFonts w:hint="eastAsia" w:ascii="宋体" w:hAnsi="宋体" w:cs="宋体"/>
          <w:szCs w:val="21"/>
        </w:rPr>
        <w:t xml:space="preserve">⑤其它文件：其它服务于工程验收需要提供的资料，如环境管理组织机构等。</w:t>
      </w:r>
      <w:r/>
    </w:p>
    <w:p>
      <w:pPr>
        <w:ind w:firstLine="560"/>
        <w:spacing w:line="360" w:lineRule="auto"/>
        <w:rPr>
          <w:rFonts w:ascii="宋体" w:hAnsi="宋体" w:cs="宋体"/>
          <w:szCs w:val="21"/>
        </w:rPr>
      </w:pPr>
      <w:r>
        <w:rPr>
          <w:rFonts w:hint="eastAsia" w:ascii="宋体" w:hAnsi="宋体" w:cs="宋体"/>
          <w:szCs w:val="21"/>
        </w:rPr>
        <w:t xml:space="preserve">⑥相关图件：地块地理位置示意图、总平面布置图、修复范围图、污染修复工艺流程图、修复过程照片和影像记录等。</w:t>
      </w:r>
      <w:r/>
    </w:p>
    <w:p>
      <w:pPr>
        <w:ind w:firstLine="560"/>
        <w:spacing w:line="360" w:lineRule="auto"/>
        <w:rPr>
          <w:rFonts w:ascii="宋体" w:hAnsi="宋体" w:cs="宋体"/>
          <w:szCs w:val="21"/>
        </w:rPr>
      </w:pPr>
      <w:r>
        <w:rPr>
          <w:rFonts w:hint="eastAsia" w:ascii="宋体" w:hAnsi="宋体" w:cs="宋体"/>
          <w:szCs w:val="21"/>
        </w:rPr>
        <w:t xml:space="preserve">&lt;2&gt;人员访谈与文件核审</w:t>
      </w:r>
      <w:r/>
    </w:p>
    <w:p>
      <w:pPr>
        <w:ind w:firstLine="560"/>
        <w:spacing w:line="360" w:lineRule="auto"/>
        <w:rPr>
          <w:rFonts w:ascii="宋体" w:hAnsi="宋体" w:cs="宋体"/>
          <w:szCs w:val="21"/>
        </w:rPr>
      </w:pPr>
      <w:r>
        <w:rPr>
          <w:rFonts w:hint="eastAsia" w:ascii="宋体" w:hAnsi="宋体" w:cs="宋体"/>
          <w:szCs w:val="21"/>
        </w:rPr>
        <w:t xml:space="preserve">对收集的资料进行整理和分析，并通过与现场负责人、修复实施人员、监理人员等相关人员进行访谈，明确以下内容：</w:t>
      </w:r>
      <w:r/>
    </w:p>
    <w:p>
      <w:pPr>
        <w:ind w:firstLine="560"/>
        <w:spacing w:line="360" w:lineRule="auto"/>
        <w:rPr>
          <w:rFonts w:ascii="宋体" w:hAnsi="宋体" w:cs="宋体"/>
          <w:szCs w:val="21"/>
        </w:rPr>
      </w:pPr>
      <w:r>
        <w:rPr>
          <w:rFonts w:hint="eastAsia" w:ascii="宋体" w:hAnsi="宋体" w:cs="宋体"/>
          <w:szCs w:val="21"/>
        </w:rPr>
        <w:t xml:space="preserve">①根据地块环境调查评估报告、修复技术方案、补充调查报告等前期资料及相关行政文件，确定地块的目标污染物、修复范围和修复目标，作为验收依据。</w:t>
      </w:r>
      <w:r/>
    </w:p>
    <w:p>
      <w:pPr>
        <w:ind w:firstLine="560"/>
        <w:spacing w:line="360" w:lineRule="auto"/>
        <w:rPr>
          <w:rFonts w:ascii="宋体" w:hAnsi="宋体" w:cs="宋体"/>
          <w:szCs w:val="21"/>
        </w:rPr>
      </w:pPr>
      <w:r>
        <w:rPr>
          <w:rFonts w:hint="eastAsia" w:ascii="宋体" w:hAnsi="宋体" w:cs="宋体"/>
          <w:szCs w:val="21"/>
        </w:rPr>
        <w:t xml:space="preserve">②通过审查地块修复过程监理记录和二次污染防治监测数据，核实修复方案和环保措施的落实情况。</w:t>
      </w:r>
      <w:r/>
    </w:p>
    <w:p>
      <w:pPr>
        <w:ind w:firstLine="560"/>
        <w:spacing w:line="360" w:lineRule="auto"/>
        <w:rPr>
          <w:rFonts w:ascii="宋体" w:hAnsi="宋体" w:cs="宋体"/>
          <w:szCs w:val="21"/>
        </w:rPr>
      </w:pPr>
      <w:r>
        <w:rPr>
          <w:rFonts w:hint="eastAsia" w:ascii="宋体" w:hAnsi="宋体" w:cs="宋体"/>
          <w:szCs w:val="21"/>
        </w:rPr>
        <w:t xml:space="preserve">③通过审查相关运输清单和接收函件，结合修复过程监理记录，核实污染土壤的数量和去向。</w:t>
      </w:r>
      <w:r/>
    </w:p>
    <w:p>
      <w:pPr>
        <w:ind w:firstLine="560"/>
        <w:spacing w:line="360" w:lineRule="auto"/>
        <w:rPr>
          <w:rFonts w:ascii="宋体" w:hAnsi="宋体" w:cs="宋体"/>
          <w:szCs w:val="21"/>
        </w:rPr>
      </w:pPr>
      <w:r>
        <w:rPr>
          <w:rFonts w:hint="eastAsia" w:ascii="宋体" w:hAnsi="宋体" w:cs="宋体"/>
          <w:szCs w:val="21"/>
        </w:rPr>
        <w:t xml:space="preserve">④通过审查关于修复过程修复质量完成情况的相关文件，核实是否达到修复目标值。</w:t>
      </w:r>
      <w:r/>
    </w:p>
    <w:p>
      <w:pPr>
        <w:pStyle w:val="1030"/>
        <w:spacing w:before="0" w:after="0" w:line="360" w:lineRule="auto"/>
        <w:widowControl/>
        <w:rPr>
          <w:rFonts w:ascii="宋体" w:hAnsi="宋体" w:cs="宋体"/>
          <w:bCs w:val="0"/>
          <w:sz w:val="21"/>
          <w:szCs w:val="21"/>
        </w:rPr>
      </w:pPr>
      <w:r/>
      <w:bookmarkStart w:id="21" w:name="_Toc162606512"/>
      <w:r/>
      <w:bookmarkStart w:id="22" w:name="_Toc58267382"/>
      <w:r/>
      <w:bookmarkStart w:id="23" w:name="_Toc32058"/>
      <w:r/>
      <w:bookmarkStart w:id="24" w:name="_Toc58267605"/>
      <w:r/>
      <w:bookmarkEnd w:id="21"/>
      <w:r/>
      <w:bookmarkEnd w:id="22"/>
      <w:r/>
      <w:bookmarkEnd w:id="23"/>
      <w:r/>
      <w:bookmarkEnd w:id="24"/>
      <w:r>
        <w:rPr>
          <w:rFonts w:hint="eastAsia" w:ascii="宋体" w:hAnsi="宋体" w:cs="宋体"/>
          <w:bCs w:val="0"/>
          <w:sz w:val="21"/>
          <w:szCs w:val="21"/>
        </w:rPr>
        <w:t xml:space="preserve">（2）现场踏勘</w:t>
      </w:r>
      <w:r/>
    </w:p>
    <w:p>
      <w:pPr>
        <w:ind w:firstLine="560"/>
        <w:spacing w:line="360" w:lineRule="auto"/>
        <w:rPr>
          <w:rFonts w:ascii="宋体" w:hAnsi="宋体" w:cs="宋体"/>
          <w:szCs w:val="21"/>
        </w:rPr>
      </w:pPr>
      <w:r>
        <w:rPr>
          <w:rFonts w:hint="eastAsia" w:ascii="宋体" w:hAnsi="宋体" w:cs="宋体"/>
          <w:szCs w:val="21"/>
        </w:rPr>
        <w:t xml:space="preserve">根据地块前期资料，结合修复过程工程监理与环境监理出具的相关报告，勘察确定土壤区块的修复范围和深度、污染土壤清运、现场基坑降水处理的需求，核实修复范围是否符合地块修复方案、补充调查报告等的要求。</w:t>
      </w:r>
      <w:r/>
    </w:p>
    <w:p>
      <w:pPr>
        <w:ind w:firstLine="560"/>
        <w:spacing w:line="360" w:lineRule="auto"/>
        <w:rPr>
          <w:rFonts w:ascii="宋体" w:hAnsi="宋体" w:cs="宋体"/>
          <w:szCs w:val="21"/>
        </w:rPr>
      </w:pPr>
      <w:r>
        <w:rPr>
          <w:rFonts w:hint="eastAsia" w:ascii="宋体" w:hAnsi="宋体" w:cs="宋体"/>
          <w:szCs w:val="21"/>
        </w:rPr>
        <w:t xml:space="preserve">对地块表层土壤及侧面裸露土壤状况、遗留物品等进行观察和判断，可使用便携式测试仪器进行现场测试，辅以目视、嗅觉等方法，识别现场遗留污染痕迹。</w:t>
      </w:r>
      <w:r/>
    </w:p>
    <w:p>
      <w:pPr>
        <w:pStyle w:val="1030"/>
        <w:spacing w:before="0" w:after="0" w:line="360" w:lineRule="auto"/>
        <w:widowControl/>
        <w:rPr>
          <w:rFonts w:ascii="宋体" w:hAnsi="宋体" w:cs="宋体"/>
          <w:bCs w:val="0"/>
          <w:sz w:val="21"/>
          <w:szCs w:val="21"/>
        </w:rPr>
      </w:pPr>
      <w:r/>
      <w:bookmarkStart w:id="25" w:name="_Toc96003208"/>
      <w:r/>
      <w:bookmarkEnd w:id="25"/>
      <w:r>
        <w:rPr>
          <w:rFonts w:hint="eastAsia" w:ascii="宋体" w:hAnsi="宋体" w:cs="宋体"/>
          <w:bCs w:val="0"/>
          <w:sz w:val="21"/>
          <w:szCs w:val="21"/>
        </w:rPr>
        <w:t xml:space="preserve">（3）土壤修复效果评估</w:t>
      </w:r>
      <w:r/>
    </w:p>
    <w:p>
      <w:pPr>
        <w:ind w:firstLine="560"/>
        <w:spacing w:line="360" w:lineRule="auto"/>
        <w:rPr>
          <w:rFonts w:ascii="宋体" w:hAnsi="宋体" w:cs="宋体"/>
          <w:szCs w:val="21"/>
        </w:rPr>
      </w:pPr>
      <w:r>
        <w:rPr>
          <w:rFonts w:hint="eastAsia" w:ascii="宋体" w:hAnsi="宋体" w:cs="宋体"/>
          <w:szCs w:val="21"/>
        </w:rPr>
        <w:t xml:space="preserve">本地块补充修复区域的效果评估范围为补充调查中确定的范围。</w:t>
      </w:r>
      <w:r/>
    </w:p>
    <w:p>
      <w:pPr>
        <w:pStyle w:val="1031"/>
        <w:ind w:firstLine="422"/>
        <w:spacing w:before="0" w:after="0" w:line="360" w:lineRule="auto"/>
        <w:widowControl/>
        <w:tabs>
          <w:tab w:val="left" w:pos="1080" w:leader="none"/>
        </w:tabs>
        <w:rPr>
          <w:rFonts w:ascii="宋体" w:hAnsi="宋体" w:cs="宋体"/>
          <w:bCs w:val="0"/>
          <w:sz w:val="21"/>
          <w:szCs w:val="21"/>
        </w:rPr>
      </w:pPr>
      <w:r>
        <w:rPr>
          <w:rFonts w:hint="eastAsia" w:ascii="宋体" w:hAnsi="宋体" w:cs="宋体"/>
          <w:bCs w:val="0"/>
          <w:sz w:val="21"/>
          <w:szCs w:val="21"/>
        </w:rPr>
        <w:t xml:space="preserve">&lt;1&gt;基坑清理效果评估布点</w:t>
      </w:r>
      <w:r/>
    </w:p>
    <w:p>
      <w:pPr>
        <w:ind w:firstLine="560"/>
        <w:spacing w:line="360" w:lineRule="auto"/>
        <w:rPr>
          <w:rFonts w:ascii="宋体" w:hAnsi="宋体" w:cs="宋体"/>
          <w:szCs w:val="21"/>
        </w:rPr>
      </w:pPr>
      <w:r>
        <w:rPr>
          <w:rFonts w:hint="eastAsia" w:ascii="宋体" w:hAnsi="宋体" w:cs="宋体"/>
          <w:szCs w:val="21"/>
        </w:rPr>
        <w:t xml:space="preserve">坑底表层采用系统布点法，基坑侧壁采用等距离布点法，采样点数量见表7-6。由于基坑开挖过程中可能遇到障碍，且存在很多不确定因素，因此坑底和坑壁的采样点应该根据现场的实际情况布设。</w:t>
      </w:r>
      <w:r/>
    </w:p>
    <w:p>
      <w:pPr>
        <w:ind w:firstLine="560"/>
        <w:spacing w:line="360" w:lineRule="auto"/>
        <w:rPr>
          <w:rFonts w:ascii="宋体" w:hAnsi="宋体" w:cs="宋体"/>
          <w:szCs w:val="21"/>
        </w:rPr>
      </w:pPr>
      <w:r>
        <w:rPr>
          <w:rFonts w:hint="eastAsia" w:ascii="宋体" w:hAnsi="宋体" w:cs="宋体"/>
          <w:szCs w:val="21"/>
        </w:rPr>
        <w:t xml:space="preserve">当基坑深度大于1m时，侧壁应进行垂向分层采样，应考虑地块土层性质与污染垂向分布特征，在污染物易富集位置设置采样点，各层采样点之间垂向距离不大于3m，具体根据实际情况确定。</w:t>
      </w:r>
      <w:r/>
    </w:p>
    <w:p>
      <w:pPr>
        <w:ind w:firstLine="560"/>
        <w:spacing w:line="360" w:lineRule="auto"/>
        <w:rPr>
          <w:rFonts w:ascii="宋体" w:hAnsi="宋体" w:cs="宋体"/>
          <w:szCs w:val="21"/>
        </w:rPr>
      </w:pPr>
      <w:r>
        <w:rPr>
          <w:rFonts w:hint="eastAsia" w:ascii="宋体" w:hAnsi="宋体" w:cs="宋体"/>
          <w:szCs w:val="21"/>
        </w:rPr>
        <w:t xml:space="preserve">修复范围内部和侧壁的样品以去除杂质后的土壤层样为主（0~20cm），不排除深层采样。</w:t>
      </w:r>
      <w:r/>
    </w:p>
    <w:p>
      <w:pPr>
        <w:pStyle w:val="1058"/>
        <w:ind w:firstLine="420"/>
        <w:jc w:val="center"/>
        <w:keepNext/>
        <w:spacing w:before="0" w:beforeAutospacing="0" w:after="0" w:afterAutospacing="0" w:line="360" w:lineRule="auto"/>
        <w:widowControl w:val="off"/>
        <w:rPr>
          <w:sz w:val="21"/>
          <w:szCs w:val="21"/>
        </w:rPr>
      </w:pPr>
      <w:r>
        <w:rPr>
          <w:rFonts w:hint="eastAsia"/>
          <w:sz w:val="21"/>
          <w:szCs w:val="21"/>
        </w:rPr>
        <w:t xml:space="preserve">表7-6基坑推荐采样点数量</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90"/>
        <w:gridCol w:w="2919"/>
        <w:gridCol w:w="3178"/>
      </w:tblGrid>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基坑面积（m</w:t>
            </w:r>
            <w:r>
              <w:rPr>
                <w:rFonts w:hint="eastAsia" w:ascii="宋体" w:hAnsi="宋体" w:cs="宋体"/>
                <w:vertAlign w:val="superscript"/>
              </w:rPr>
              <w:t xml:space="preserve">2</w:t>
            </w:r>
            <w:r>
              <w:rPr>
                <w:rFonts w:hint="eastAsia" w:ascii="宋体" w:hAnsi="宋体" w:cs="宋体"/>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坑底采样点数量（个）</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侧壁采样点数量（个）</w:t>
            </w:r>
            <w:r/>
          </w:p>
        </w:tc>
      </w:tr>
      <w:tr>
        <w:trPr>
          <w:jc w:val="center"/>
          <w:trHeight w:val="605"/>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x＜100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4</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100≤x＜1000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5</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1000≤x＜2500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6</w:t>
            </w:r>
            <w:r/>
          </w:p>
        </w:tc>
      </w:tr>
      <w:tr>
        <w:trPr>
          <w:jc w:val="center"/>
          <w:trHeight w:val="605"/>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2500≤x＜2500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7</w:t>
            </w:r>
            <w:r/>
          </w:p>
        </w:tc>
      </w:tr>
      <w:tr>
        <w:trPr>
          <w:jc w:val="center"/>
          <w:trHeight w:val="585"/>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2500≤x＜5000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8</w:t>
            </w:r>
            <w:r/>
          </w:p>
        </w:tc>
      </w:tr>
      <w:tr>
        <w:trPr>
          <w:jc w:val="center"/>
          <w:trHeight w:val="635"/>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5000≤x＜7500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9</w:t>
            </w:r>
            <w:r/>
          </w:p>
        </w:tc>
      </w:tr>
      <w:tr>
        <w:trPr>
          <w:jc w:val="center"/>
          <w:trHeight w:val="650"/>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7500≤x＜12500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10</w:t>
            </w:r>
            <w:r/>
          </w:p>
        </w:tc>
      </w:tr>
      <w:tr>
        <w:trPr>
          <w:jc w:val="center"/>
          <w:trHeight w:val="520"/>
        </w:trPr>
        <w:tc>
          <w:tcPr>
            <w:shd w:val="clear" w:color="auto" w:fill="auto"/>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≥12500</w:t>
            </w:r>
            <w:r/>
          </w:p>
        </w:tc>
        <w:tc>
          <w:tcPr>
            <w:shd w:val="clear" w:color="auto" w:fill="auto"/>
            <w:tcBorders>
              <w:top w:val="single" w:color="auto" w:sz="4" w:space="0"/>
              <w:left w:val="single" w:color="auto" w:sz="4" w:space="0"/>
              <w:bottom w:val="single" w:color="auto" w:sz="4" w:space="0"/>
              <w:right w:val="single" w:color="auto" w:sz="4" w:space="0"/>
            </w:tcBorders>
            <w:tcW w:w="2919"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网格大小不超过40m×40m</w:t>
            </w:r>
            <w:r/>
          </w:p>
        </w:tc>
        <w:tc>
          <w:tcPr>
            <w:shd w:val="clear" w:color="auto" w:fill="auto"/>
            <w:tcBorders>
              <w:top w:val="single" w:color="auto" w:sz="4" w:space="0"/>
              <w:left w:val="single" w:color="auto" w:sz="4" w:space="0"/>
              <w:bottom w:val="single" w:color="auto" w:sz="4" w:space="0"/>
              <w:right w:val="single" w:color="auto" w:sz="4" w:space="0"/>
            </w:tcBorders>
            <w:tcW w:w="3178" w:type="dxa"/>
            <w:vAlign w:val="center"/>
            <w:textDirection w:val="lrTb"/>
            <w:noWrap w:val="false"/>
          </w:tcPr>
          <w:p>
            <w:pPr>
              <w:pStyle w:val="1142"/>
              <w:contextualSpacing w:val="0"/>
              <w:spacing w:line="360" w:lineRule="auto"/>
              <w:widowControl/>
              <w:rPr>
                <w:rFonts w:ascii="宋体" w:hAnsi="宋体" w:cs="宋体"/>
              </w:rPr>
            </w:pPr>
            <w:r>
              <w:rPr>
                <w:rFonts w:hint="eastAsia" w:ascii="宋体" w:hAnsi="宋体" w:cs="宋体"/>
              </w:rPr>
              <w:t xml:space="preserve">采样点间隔不超过40m</w:t>
            </w:r>
            <w:r/>
          </w:p>
        </w:tc>
      </w:tr>
    </w:tbl>
    <w:p>
      <w:pPr>
        <w:pStyle w:val="1140"/>
        <w:spacing w:line="360" w:lineRule="auto"/>
        <w:widowControl/>
        <w:rPr>
          <w:rFonts w:hint="default"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5133975" cy="1960880"/>
                <wp:effectExtent l="0" t="0" r="9525" b="1270"/>
                <wp:docPr id="10"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IMG_256"/>
                        <pic:cNvPicPr>
                          <a:picLocks noChangeAspect="1"/>
                        </pic:cNvPicPr>
                        <pic:nvPr/>
                      </pic:nvPicPr>
                      <pic:blipFill>
                        <a:blip r:embed="rId21"/>
                        <a:stretch/>
                      </pic:blipFill>
                      <pic:spPr bwMode="auto">
                        <a:xfrm>
                          <a:off x="0" y="0"/>
                          <a:ext cx="5133975" cy="1960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4.2pt;height:154.4pt;mso-wrap-distance-left:0.0pt;mso-wrap-distance-top:0.0pt;mso-wrap-distance-right:0.0pt;mso-wrap-distance-bottom:0.0pt;" stroked="f" strokeweight="0.75pt">
                <v:path textboxrect="0,0,0,0"/>
                <v:imagedata r:id="rId21" o:title=""/>
              </v:shape>
            </w:pict>
          </mc:Fallback>
        </mc:AlternateContent>
      </w:r>
      <w:r/>
    </w:p>
    <w:p>
      <w:pPr>
        <w:pStyle w:val="1058"/>
        <w:ind w:firstLine="420"/>
        <w:jc w:val="center"/>
        <w:spacing w:before="0" w:beforeAutospacing="0" w:after="0" w:afterAutospacing="0" w:line="360" w:lineRule="auto"/>
        <w:widowControl w:val="off"/>
        <w:rPr>
          <w:b/>
          <w:bCs/>
          <w:sz w:val="21"/>
          <w:szCs w:val="21"/>
        </w:rPr>
      </w:pPr>
      <w:r>
        <w:rPr>
          <w:rFonts w:hint="eastAsia"/>
          <w:sz w:val="21"/>
          <w:szCs w:val="21"/>
        </w:rPr>
        <w:t xml:space="preserve">图7-1</w:t>
      </w:r>
      <w:r>
        <w:rPr>
          <w:rFonts w:hint="eastAsia"/>
          <w:bCs/>
          <w:sz w:val="21"/>
          <w:szCs w:val="21"/>
        </w:rPr>
        <w:t xml:space="preserve">基坑底部与侧壁采样点布点示意图</w:t>
      </w:r>
      <w:r/>
    </w:p>
    <w:p>
      <w:pPr>
        <w:pStyle w:val="1031"/>
        <w:ind w:firstLine="422"/>
        <w:spacing w:before="0" w:after="0" w:line="360" w:lineRule="auto"/>
        <w:widowControl/>
        <w:tabs>
          <w:tab w:val="left" w:pos="1080" w:leader="none"/>
        </w:tabs>
        <w:rPr>
          <w:rFonts w:ascii="宋体" w:hAnsi="宋体" w:cs="宋体"/>
          <w:bCs w:val="0"/>
          <w:sz w:val="21"/>
          <w:szCs w:val="21"/>
        </w:rPr>
      </w:pPr>
      <w:r>
        <w:rPr>
          <w:rFonts w:hint="eastAsia" w:ascii="宋体" w:hAnsi="宋体" w:cs="宋体"/>
          <w:bCs w:val="0"/>
          <w:sz w:val="21"/>
          <w:szCs w:val="21"/>
        </w:rPr>
        <w:t xml:space="preserve">&lt;2&gt;二次污染区域</w:t>
      </w:r>
      <w:r/>
    </w:p>
    <w:p>
      <w:pPr>
        <w:ind w:firstLine="560"/>
        <w:spacing w:line="360" w:lineRule="auto"/>
        <w:rPr>
          <w:rFonts w:ascii="宋体" w:hAnsi="宋体" w:cs="宋体"/>
          <w:szCs w:val="21"/>
        </w:rPr>
      </w:pPr>
      <w:r>
        <w:rPr>
          <w:rFonts w:hint="eastAsia" w:ascii="宋体" w:hAnsi="宋体" w:cs="宋体"/>
          <w:szCs w:val="21"/>
        </w:rPr>
        <w:t xml:space="preserve">潜在二次污染区域包括但不限于：运输车辆临时道路、废水暂存区、修复过程中污染物迁移涉及的区域、其他可能的二次污染区域。</w:t>
      </w:r>
      <w:r/>
    </w:p>
    <w:p>
      <w:pPr>
        <w:ind w:firstLine="560"/>
        <w:spacing w:line="360" w:lineRule="auto"/>
        <w:rPr>
          <w:rFonts w:ascii="宋体" w:hAnsi="宋体" w:cs="宋体"/>
          <w:szCs w:val="21"/>
        </w:rPr>
      </w:pPr>
      <w:r>
        <w:rPr>
          <w:rFonts w:hint="eastAsia" w:ascii="宋体" w:hAnsi="宋体" w:cs="宋体"/>
          <w:szCs w:val="21"/>
        </w:rPr>
        <w:t xml:space="preserve">建议在开展修复施工前和修复施工完毕后分别进行采样。</w:t>
      </w:r>
      <w:r/>
    </w:p>
    <w:p>
      <w:pPr>
        <w:ind w:firstLine="560"/>
        <w:spacing w:line="360" w:lineRule="auto"/>
        <w:rPr>
          <w:rFonts w:ascii="宋体" w:hAnsi="宋体" w:cs="宋体"/>
          <w:szCs w:val="21"/>
        </w:rPr>
      </w:pPr>
      <w:r>
        <w:rPr>
          <w:rFonts w:hint="eastAsia" w:ascii="宋体" w:hAnsi="宋体" w:cs="宋体"/>
          <w:szCs w:val="21"/>
        </w:rPr>
        <w:t xml:space="preserve">对于潜在二次污染区域土壤，原则上采用判断布点法根据修复设施设置、潜在二次污染来源等资料设置采样点，也可采用系统布点法设置采样点。</w:t>
      </w:r>
      <w:r/>
    </w:p>
    <w:p>
      <w:pPr>
        <w:ind w:firstLine="560"/>
        <w:spacing w:line="360" w:lineRule="auto"/>
        <w:rPr>
          <w:rFonts w:ascii="宋体" w:hAnsi="宋体" w:cs="宋体"/>
          <w:szCs w:val="21"/>
        </w:rPr>
      </w:pPr>
      <w:r>
        <w:rPr>
          <w:rFonts w:hint="eastAsia" w:ascii="宋体" w:hAnsi="宋体" w:cs="宋体"/>
          <w:szCs w:val="21"/>
        </w:rPr>
        <w:t xml:space="preserve">潜在二次污染区域样品以去除杂质后的土壤表层样为主（0~20cm），不排除深层采样。</w:t>
      </w:r>
      <w:r/>
    </w:p>
    <w:p>
      <w:pPr>
        <w:pStyle w:val="1031"/>
        <w:ind w:firstLine="422"/>
        <w:spacing w:before="0" w:after="0" w:line="360" w:lineRule="auto"/>
        <w:widowControl/>
        <w:tabs>
          <w:tab w:val="left" w:pos="1080" w:leader="none"/>
        </w:tabs>
        <w:rPr>
          <w:rFonts w:ascii="宋体" w:hAnsi="宋体" w:cs="宋体"/>
          <w:bCs w:val="0"/>
          <w:sz w:val="21"/>
          <w:szCs w:val="21"/>
        </w:rPr>
      </w:pPr>
      <w:r>
        <w:rPr>
          <w:rFonts w:hint="eastAsia" w:ascii="宋体" w:hAnsi="宋体" w:cs="宋体"/>
          <w:bCs w:val="0"/>
          <w:sz w:val="21"/>
          <w:szCs w:val="21"/>
        </w:rPr>
        <w:t xml:space="preserve">&lt;3&gt;非处置区布点</w:t>
      </w:r>
      <w:r/>
    </w:p>
    <w:p>
      <w:pPr>
        <w:ind w:firstLine="560"/>
        <w:spacing w:line="360" w:lineRule="auto"/>
        <w:rPr>
          <w:rFonts w:ascii="宋体" w:hAnsi="宋体" w:cs="宋体"/>
          <w:szCs w:val="21"/>
        </w:rPr>
      </w:pPr>
      <w:r>
        <w:rPr>
          <w:rFonts w:hint="eastAsia" w:ascii="宋体" w:hAnsi="宋体" w:cs="宋体"/>
          <w:szCs w:val="21"/>
        </w:rPr>
        <w:t xml:space="preserve">参照《江苏省建设用地土壤污染状况调查和效果评估报告编制补充技术要点（征求意见稿）》（2023年8月10日），“土壤与地下水修复效果评估范围应包括地块全部区域，其中非修复区土壤采样可按照40m×40m网格布点，每个非修复区的点位不宜少于2个，临近修复区域位置应布设点位，非修复区面积大于修复区域面积的点位可酌情减少。非修复区域其中不少于20%的点位采样深度宜达到修复深度。”</w:t>
      </w:r>
      <w:r/>
    </w:p>
    <w:p>
      <w:pPr>
        <w:pStyle w:val="1031"/>
        <w:ind w:firstLine="422"/>
        <w:spacing w:before="0" w:after="0" w:line="360" w:lineRule="auto"/>
        <w:widowControl/>
        <w:tabs>
          <w:tab w:val="left" w:pos="1080" w:leader="none"/>
        </w:tabs>
        <w:rPr>
          <w:rFonts w:ascii="宋体" w:hAnsi="宋体" w:cs="宋体"/>
          <w:bCs w:val="0"/>
          <w:sz w:val="21"/>
          <w:szCs w:val="21"/>
        </w:rPr>
      </w:pPr>
      <w:r>
        <w:rPr>
          <w:rFonts w:hint="eastAsia" w:ascii="宋体" w:hAnsi="宋体" w:cs="宋体"/>
          <w:bCs w:val="0"/>
          <w:sz w:val="21"/>
          <w:szCs w:val="21"/>
        </w:rPr>
        <w:t xml:space="preserve">&lt;4&gt;检测指标</w:t>
      </w:r>
      <w:r/>
    </w:p>
    <w:p>
      <w:pPr>
        <w:ind w:firstLine="560"/>
        <w:spacing w:line="360" w:lineRule="auto"/>
        <w:rPr>
          <w:rFonts w:ascii="宋体" w:hAnsi="宋体" w:cs="宋体"/>
          <w:szCs w:val="21"/>
        </w:rPr>
      </w:pPr>
      <w:r>
        <w:rPr>
          <w:rFonts w:hint="eastAsia" w:ascii="宋体" w:hAnsi="宋体" w:cs="宋体"/>
          <w:szCs w:val="21"/>
        </w:rPr>
        <w:t xml:space="preserve">①基坑修复范围内：基坑土壤的检测指标一般为对应修复范围内土壤中目标污染物。存在相邻基坑时，应考虑相邻基坑土壤中的目标污染物。</w:t>
      </w:r>
      <w:r/>
    </w:p>
    <w:p>
      <w:pPr>
        <w:ind w:firstLine="560"/>
        <w:spacing w:line="360" w:lineRule="auto"/>
        <w:rPr>
          <w:rFonts w:ascii="宋体" w:hAnsi="宋体" w:cs="宋体"/>
          <w:szCs w:val="21"/>
        </w:rPr>
      </w:pPr>
      <w:r>
        <w:rPr>
          <w:rFonts w:hint="eastAsia" w:ascii="宋体" w:hAnsi="宋体" w:cs="宋体"/>
          <w:szCs w:val="21"/>
        </w:rPr>
        <w:t xml:space="preserve">②参照《江苏省建设用地土壤污染状况调查和效果评估报告编制补充技术要点（征求意见稿）》（2023年8月10日）：“效果评估的检测因子应包含修复目标污染物和前期调查发现超标但风险评估表明无人体健康风险的污染物，且应有20%样品的检测因子涵盖GB36600表1的45项和地块特征因子。”</w:t>
      </w:r>
      <w:r/>
    </w:p>
    <w:p>
      <w:pPr>
        <w:ind w:firstLine="560"/>
        <w:spacing w:line="360" w:lineRule="auto"/>
        <w:rPr>
          <w:rFonts w:ascii="宋体" w:hAnsi="宋体" w:cs="宋体"/>
          <w:szCs w:val="21"/>
        </w:rPr>
      </w:pPr>
      <w:r>
        <w:rPr>
          <w:rFonts w:hint="eastAsia" w:ascii="宋体" w:hAnsi="宋体" w:cs="宋体"/>
          <w:szCs w:val="21"/>
        </w:rPr>
        <w:t xml:space="preserve">③其他项目：必要时增加修复过程二次污染物、土壤理化指标、设施运行参数等。同时考虑地下水水位、地下水流速、地球化学等参数。</w:t>
      </w:r>
      <w:r/>
    </w:p>
    <w:p>
      <w:pPr>
        <w:pStyle w:val="1031"/>
        <w:spacing w:before="0" w:after="0" w:line="360" w:lineRule="auto"/>
        <w:widowControl/>
        <w:tabs>
          <w:tab w:val="left" w:pos="1080" w:leader="none"/>
        </w:tabs>
        <w:rPr>
          <w:rFonts w:ascii="宋体" w:hAnsi="宋体" w:cs="宋体"/>
          <w:bCs w:val="0"/>
          <w:sz w:val="21"/>
          <w:szCs w:val="21"/>
        </w:rPr>
      </w:pPr>
      <w:r>
        <w:rPr>
          <w:rFonts w:hint="eastAsia" w:ascii="宋体" w:hAnsi="宋体" w:cs="宋体"/>
          <w:bCs w:val="0"/>
          <w:sz w:val="21"/>
          <w:szCs w:val="21"/>
        </w:rPr>
        <w:t xml:space="preserve">&lt;5&gt;评估标准和方法</w:t>
      </w:r>
      <w:r/>
    </w:p>
    <w:p>
      <w:pPr>
        <w:ind w:firstLine="560"/>
        <w:spacing w:line="360" w:lineRule="auto"/>
        <w:rPr>
          <w:rFonts w:ascii="宋体" w:hAnsi="宋体" w:cs="宋体"/>
          <w:szCs w:val="21"/>
        </w:rPr>
      </w:pPr>
      <w:r>
        <w:rPr>
          <w:rFonts w:hint="eastAsia" w:ascii="宋体" w:hAnsi="宋体" w:cs="宋体"/>
          <w:szCs w:val="21"/>
        </w:rPr>
        <w:t xml:space="preserve">①评估标准</w:t>
      </w:r>
      <w:r/>
    </w:p>
    <w:p>
      <w:pPr>
        <w:ind w:firstLine="560"/>
        <w:spacing w:line="360" w:lineRule="auto"/>
        <w:rPr>
          <w:rFonts w:ascii="宋体" w:hAnsi="宋体" w:cs="宋体"/>
          <w:szCs w:val="21"/>
        </w:rPr>
      </w:pPr>
      <w:r>
        <w:rPr>
          <w:rFonts w:hint="eastAsia" w:ascii="宋体" w:hAnsi="宋体" w:cs="宋体"/>
          <w:szCs w:val="21"/>
        </w:rPr>
        <w:t xml:space="preserve">土壤修复效果评估标准为土壤中污染物浓度达到修复目标值。</w:t>
      </w:r>
      <w:r/>
    </w:p>
    <w:p>
      <w:pPr>
        <w:ind w:firstLine="560"/>
        <w:spacing w:line="360" w:lineRule="auto"/>
        <w:rPr>
          <w:rFonts w:ascii="宋体" w:hAnsi="宋体" w:cs="宋体"/>
          <w:szCs w:val="21"/>
        </w:rPr>
      </w:pPr>
      <w:r>
        <w:rPr>
          <w:rFonts w:hint="eastAsia" w:ascii="宋体" w:hAnsi="宋体" w:cs="宋体"/>
          <w:szCs w:val="21"/>
        </w:rPr>
        <w:t xml:space="preserve">②评估方法</w:t>
      </w:r>
      <w:r/>
    </w:p>
    <w:p>
      <w:pPr>
        <w:ind w:firstLine="560"/>
        <w:spacing w:line="360" w:lineRule="auto"/>
        <w:rPr>
          <w:rFonts w:ascii="宋体" w:hAnsi="宋体" w:cs="宋体"/>
          <w:szCs w:val="21"/>
        </w:rPr>
      </w:pPr>
      <w:r>
        <w:rPr>
          <w:rFonts w:hint="eastAsia" w:ascii="宋体" w:hAnsi="宋体" w:cs="宋体"/>
          <w:szCs w:val="21"/>
        </w:rPr>
        <w:t xml:space="preserve">采用逐一对比和统计分析的方法进行土壤修复效果评估。</w:t>
      </w:r>
      <w:r/>
    </w:p>
    <w:p>
      <w:pPr>
        <w:ind w:firstLine="560"/>
        <w:spacing w:line="360" w:lineRule="auto"/>
        <w:rPr>
          <w:rFonts w:ascii="宋体" w:hAnsi="宋体" w:cs="宋体"/>
          <w:szCs w:val="21"/>
        </w:rPr>
      </w:pPr>
      <w:r>
        <w:rPr>
          <w:rFonts w:hint="eastAsia" w:ascii="宋体" w:hAnsi="宋体" w:cs="宋体"/>
          <w:szCs w:val="21"/>
        </w:rPr>
        <w:t xml:space="preserve">当样品数量＜8个时，应将样品的检测值与评估标准值逐个对比。</w:t>
      </w:r>
      <w:r/>
    </w:p>
    <w:p>
      <w:pPr>
        <w:ind w:firstLine="560"/>
        <w:spacing w:line="360" w:lineRule="auto"/>
        <w:rPr>
          <w:rFonts w:ascii="宋体" w:hAnsi="宋体" w:cs="宋体"/>
          <w:szCs w:val="21"/>
        </w:rPr>
      </w:pPr>
      <w:r>
        <w:rPr>
          <w:rFonts w:hint="eastAsia" w:ascii="宋体" w:hAnsi="宋体" w:cs="宋体"/>
          <w:szCs w:val="21"/>
        </w:rPr>
        <w:t xml:space="preserve">a)若检测值低于或等于评估标准值，则认为达到修复效果；</w:t>
      </w:r>
      <w:r/>
    </w:p>
    <w:p>
      <w:pPr>
        <w:ind w:firstLine="560"/>
        <w:spacing w:line="360" w:lineRule="auto"/>
        <w:rPr>
          <w:rFonts w:ascii="宋体" w:hAnsi="宋体" w:cs="宋体"/>
          <w:szCs w:val="21"/>
        </w:rPr>
      </w:pPr>
      <w:r>
        <w:rPr>
          <w:rFonts w:hint="eastAsia" w:ascii="宋体" w:hAnsi="宋体" w:cs="宋体"/>
          <w:szCs w:val="21"/>
        </w:rPr>
        <w:t xml:space="preserve">b)若检测值高于评估标准值，则认为未达到修复效果。</w:t>
      </w:r>
      <w:r/>
    </w:p>
    <w:p>
      <w:pPr>
        <w:ind w:firstLine="560"/>
        <w:spacing w:line="360" w:lineRule="auto"/>
        <w:rPr>
          <w:rFonts w:ascii="宋体" w:hAnsi="宋体" w:cs="宋体"/>
          <w:szCs w:val="21"/>
        </w:rPr>
      </w:pPr>
      <w:r>
        <w:rPr>
          <w:rFonts w:hint="eastAsia" w:ascii="宋体" w:hAnsi="宋体" w:cs="宋体"/>
          <w:szCs w:val="21"/>
        </w:rPr>
        <w:t xml:space="preserve">当样品数量≥8个时，可在修复单元内采用统计分析方法进行修复效果评估。一般采用样品均值的95%置信上限与修复效果评估标准值进行比较：</w:t>
      </w:r>
      <w:r/>
    </w:p>
    <w:p>
      <w:pPr>
        <w:ind w:firstLine="560"/>
        <w:spacing w:line="360" w:lineRule="auto"/>
        <w:rPr>
          <w:rFonts w:ascii="宋体" w:hAnsi="宋体" w:cs="宋体"/>
          <w:szCs w:val="21"/>
        </w:rPr>
      </w:pPr>
      <w:r>
        <w:rPr>
          <w:rFonts w:hint="eastAsia" w:ascii="宋体" w:hAnsi="宋体" w:cs="宋体"/>
          <w:szCs w:val="21"/>
        </w:rPr>
        <w:t xml:space="preserve">a)样品均值的95%置信上限小于等于修复效果评估标准值；</w:t>
      </w:r>
      <w:r/>
    </w:p>
    <w:p>
      <w:pPr>
        <w:ind w:firstLine="560"/>
        <w:spacing w:line="360" w:lineRule="auto"/>
        <w:rPr>
          <w:rFonts w:ascii="宋体" w:hAnsi="宋体" w:cs="宋体"/>
          <w:szCs w:val="21"/>
        </w:rPr>
      </w:pPr>
      <w:r>
        <w:rPr>
          <w:rFonts w:hint="eastAsia" w:ascii="宋体" w:hAnsi="宋体" w:cs="宋体"/>
          <w:szCs w:val="21"/>
        </w:rPr>
        <w:t xml:space="preserve">b)样品浓度最大值不超过修复效果评估标准值的2倍。</w:t>
      </w:r>
      <w:r/>
    </w:p>
    <w:p>
      <w:pPr>
        <w:ind w:firstLine="560"/>
        <w:spacing w:line="360" w:lineRule="auto"/>
        <w:rPr>
          <w:rFonts w:ascii="宋体" w:hAnsi="宋体" w:cs="宋体"/>
          <w:szCs w:val="21"/>
        </w:rPr>
      </w:pPr>
      <w:r>
        <w:rPr>
          <w:rFonts w:hint="eastAsia" w:ascii="宋体" w:hAnsi="宋体" w:cs="宋体"/>
          <w:szCs w:val="21"/>
        </w:rPr>
        <w:t xml:space="preserve">上述条件全部符合方可认为地块达到修复效果，否则认为未达到修复效果。</w:t>
      </w:r>
      <w:r/>
    </w:p>
    <w:p>
      <w:pPr>
        <w:pStyle w:val="1030"/>
        <w:spacing w:before="0" w:after="0" w:line="360" w:lineRule="auto"/>
        <w:widowControl/>
        <w:rPr>
          <w:rFonts w:ascii="宋体" w:hAnsi="宋体" w:cs="宋体"/>
          <w:bCs w:val="0"/>
          <w:sz w:val="21"/>
          <w:szCs w:val="21"/>
        </w:rPr>
      </w:pPr>
      <w:r/>
      <w:bookmarkStart w:id="26" w:name="_Toc22555"/>
      <w:r/>
      <w:bookmarkStart w:id="27" w:name="_Toc58267607"/>
      <w:r/>
      <w:bookmarkEnd w:id="26"/>
      <w:r/>
      <w:bookmarkEnd w:id="27"/>
      <w:r>
        <w:rPr>
          <w:rFonts w:hint="eastAsia" w:ascii="宋体" w:hAnsi="宋体" w:cs="宋体"/>
          <w:bCs w:val="0"/>
          <w:sz w:val="21"/>
          <w:szCs w:val="21"/>
        </w:rPr>
        <w:t xml:space="preserve">（4）水泥窑协同处置的环境管理工作</w:t>
      </w:r>
      <w:r/>
    </w:p>
    <w:p>
      <w:pPr>
        <w:ind w:firstLine="560"/>
        <w:spacing w:line="360" w:lineRule="auto"/>
        <w:rPr>
          <w:rFonts w:ascii="宋体" w:hAnsi="宋体" w:cs="宋体"/>
          <w:szCs w:val="21"/>
        </w:rPr>
      </w:pPr>
      <w:r>
        <w:rPr>
          <w:rFonts w:hint="eastAsia" w:ascii="宋体" w:hAnsi="宋体" w:cs="宋体"/>
          <w:szCs w:val="21"/>
        </w:rPr>
        <w:t xml:space="preserve">审核水泥窑出具的污染土壤接收和消纳证明，核对是否所有污染土壤均外运至水泥窑并完成水泥窑协同处置。</w:t>
      </w:r>
      <w:r/>
    </w:p>
    <w:p>
      <w:pPr>
        <w:ind w:firstLine="560"/>
        <w:spacing w:line="360" w:lineRule="auto"/>
        <w:rPr>
          <w:rFonts w:ascii="宋体" w:hAnsi="宋体" w:cs="宋体"/>
          <w:szCs w:val="21"/>
        </w:rPr>
      </w:pPr>
      <w:r>
        <w:rPr>
          <w:rFonts w:hint="eastAsia" w:ascii="宋体" w:hAnsi="宋体" w:cs="宋体"/>
          <w:b/>
          <w:bCs/>
          <w:szCs w:val="21"/>
        </w:rPr>
        <w:t xml:space="preserve">具体以效果评估实际制定的方案及实施内容为准。</w:t>
      </w:r>
      <w:bookmarkEnd w:id="8"/>
      <w:r/>
      <w:bookmarkEnd w:id="9"/>
      <w:r/>
      <w:bookmarkEnd w:id="10"/>
      <w:r/>
      <w:r/>
    </w:p>
    <w:p>
      <w:pPr>
        <w:spacing w:line="360" w:lineRule="auto"/>
        <w:widowControl/>
        <w:rPr>
          <w:rFonts w:ascii="宋体" w:hAnsi="宋体" w:cs="宋体"/>
          <w:b/>
          <w:bCs/>
        </w:rPr>
      </w:pPr>
      <w:r>
        <w:rPr>
          <w:rFonts w:hint="eastAsia" w:ascii="宋体" w:hAnsi="宋体" w:cs="宋体"/>
          <w:b/>
          <w:bCs/>
        </w:rPr>
        <w:t xml:space="preserve">六、主要商务条款：</w:t>
      </w:r>
      <w:r/>
    </w:p>
    <w:p>
      <w:pPr>
        <w:spacing w:line="360" w:lineRule="auto"/>
        <w:rPr>
          <w:rFonts w:ascii="宋体" w:hAnsi="宋体" w:cs="宋体"/>
          <w:szCs w:val="21"/>
        </w:rPr>
      </w:pPr>
      <w:r>
        <w:rPr>
          <w:rFonts w:hint="eastAsia" w:ascii="宋体" w:hAnsi="宋体" w:cs="宋体"/>
          <w:b/>
          <w:bCs/>
        </w:rPr>
        <w:t xml:space="preserve">1、报价说明：</w:t>
      </w:r>
      <w:r>
        <w:rPr>
          <w:rFonts w:hint="eastAsia" w:ascii="宋体" w:hAnsi="宋体" w:cs="宋体"/>
          <w:szCs w:val="21"/>
          <w:lang w:val="zh-CN"/>
        </w:rPr>
        <w:t xml:space="preserve">响应单位应对所投项目的全部内容进行报价，只投其中部分内容者，其响应投标文件将被拒绝。</w:t>
      </w:r>
      <w:r>
        <w:rPr>
          <w:rFonts w:hint="eastAsia" w:ascii="宋体" w:hAnsi="宋体" w:cs="宋体"/>
          <w:szCs w:val="21"/>
        </w:rPr>
        <w:t xml:space="preserve">除非合同中另有规定，</w:t>
      </w:r>
      <w:r>
        <w:rPr>
          <w:rFonts w:hint="eastAsia" w:ascii="宋体" w:hAnsi="宋体" w:cs="宋体"/>
          <w:szCs w:val="21"/>
          <w:lang w:val="zh-CN"/>
        </w:rPr>
        <w:t xml:space="preserve">响应单位</w:t>
      </w:r>
      <w:r>
        <w:rPr>
          <w:rFonts w:hint="eastAsia" w:ascii="宋体" w:hAnsi="宋体" w:cs="宋体"/>
          <w:szCs w:val="21"/>
        </w:rPr>
        <w:t xml:space="preserve">对开标一览表中的全部货物和服务的报价应包括但不限于</w:t>
      </w:r>
      <w:r>
        <w:rPr>
          <w:rFonts w:hint="eastAsia" w:ascii="宋体" w:hAnsi="宋体" w:cs="宋体"/>
          <w:szCs w:val="21"/>
        </w:rPr>
        <w:t xml:space="preserve">项目实施方案编制、论证、评审，工程实施，基坑监测，废水、废气、噪声、固废等的处理，污染土壤的清挖、运输、</w:t>
      </w:r>
      <w:r>
        <w:rPr>
          <w:rFonts w:hint="eastAsia" w:ascii="宋体" w:hAnsi="宋体" w:cs="宋体"/>
          <w:szCs w:val="21"/>
        </w:rPr>
        <w:t xml:space="preserve">存储、预处理、二次搬运、有害物处置、检验验收、监控、二次污染防治以及水泥窑协同处置（包括污染土壤运输、堆放暂存、处置）技术等对污染土壤治理全过程发生的所有费用，</w:t>
      </w:r>
      <w:r>
        <w:rPr>
          <w:rFonts w:hint="eastAsia" w:ascii="宋体" w:hAnsi="宋体" w:cs="宋体"/>
          <w:szCs w:val="21"/>
        </w:rPr>
        <w:t xml:space="preserve">以及项目所需的物品、设备、工具费用，保险、现场吊装、检测验收、安装调试、技术支持与培训、售后服务与维保及相关劳务支出等工作所发生的全部费用以及响应单位企业利润、税金和政策性文件规定及合同包含的所有风险（包括但不限于项目实施期间价格的涨跌，政策性调整，项目未知事宜等）、责任等各项应有费用。本项目为“交钥匙”项目，总价包干。投标报价为最终报价，除非因特殊原因并经采购单位同意，响应单位不得再要求追加任何费用。同时，除非合同条款中另有规定，否则，响应单位所报价格在合同实施期间不因市场变化因素而变动。</w:t>
      </w:r>
      <w:r/>
    </w:p>
    <w:p>
      <w:pPr>
        <w:spacing w:line="360" w:lineRule="auto"/>
        <w:widowControl/>
        <w:rPr>
          <w:rFonts w:ascii="宋体" w:hAnsi="宋体" w:cs="宋体"/>
          <w:b/>
          <w:bCs/>
        </w:rPr>
      </w:pPr>
      <w:r>
        <w:rPr>
          <w:rFonts w:hint="eastAsia" w:ascii="宋体" w:hAnsi="宋体" w:cs="宋体"/>
          <w:b/>
          <w:bCs/>
        </w:rPr>
        <w:t xml:space="preserve">2、付款方式：按合同条款约定。</w:t>
      </w:r>
      <w:r/>
    </w:p>
    <w:p>
      <w:pPr>
        <w:spacing w:line="360" w:lineRule="auto"/>
        <w:widowControl/>
        <w:rPr>
          <w:rFonts w:ascii="宋体" w:hAnsi="宋体" w:cs="宋体"/>
          <w:b/>
          <w:bCs/>
        </w:rPr>
      </w:pPr>
      <w:r>
        <w:rPr>
          <w:rFonts w:hint="eastAsia" w:ascii="宋体" w:hAnsi="宋体" w:cs="宋体"/>
          <w:b/>
          <w:bCs/>
        </w:rPr>
        <w:t xml:space="preserve">3、合同履约期限：</w:t>
      </w:r>
      <w:r>
        <w:rPr>
          <w:rFonts w:hint="eastAsia" w:ascii="宋体" w:hAnsi="宋体" w:cs="宋体"/>
          <w:szCs w:val="21"/>
        </w:rPr>
        <w:t xml:space="preserve">治理总工期为自合同签署之日起35个自然日（其中全部污染土壤开挖且运输至水泥窑协同处置单位等工作时限以成交单位承诺时间为准，响应单位在投标文件中提供响应承诺的时间），详细说明见合同约定。</w:t>
      </w:r>
      <w:r/>
    </w:p>
    <w:p>
      <w:pPr>
        <w:spacing w:line="360" w:lineRule="auto"/>
        <w:widowControl/>
        <w:rPr>
          <w:rFonts w:ascii="宋体" w:hAnsi="宋体" w:cs="宋体"/>
          <w:b/>
          <w:bCs/>
        </w:rPr>
      </w:pPr>
      <w:r>
        <w:rPr>
          <w:rFonts w:hint="eastAsia" w:ascii="宋体" w:hAnsi="宋体" w:cs="宋体"/>
          <w:b/>
          <w:bCs/>
        </w:rPr>
        <w:t xml:space="preserve">    履约地点：</w:t>
      </w:r>
      <w:r>
        <w:rPr>
          <w:rFonts w:hint="eastAsia" w:ascii="宋体" w:hAnsi="宋体" w:cs="宋体"/>
          <w:bCs/>
          <w:szCs w:val="21"/>
        </w:rPr>
        <w:t xml:space="preserve">苏州工业园区扬贤路东、扬泰路北地块（DK20240242），详见合同约定。</w:t>
      </w:r>
      <w:r/>
    </w:p>
    <w:p>
      <w:pPr>
        <w:spacing w:line="360" w:lineRule="auto"/>
        <w:widowControl/>
        <w:rPr>
          <w:rFonts w:ascii="宋体" w:hAnsi="宋体" w:cs="宋体"/>
          <w:b/>
          <w:bCs/>
        </w:rPr>
      </w:pPr>
      <w:r>
        <w:rPr>
          <w:rFonts w:hint="eastAsia" w:ascii="宋体" w:hAnsi="宋体" w:cs="宋体"/>
          <w:b/>
          <w:bCs/>
        </w:rPr>
        <w:t xml:space="preserve">4、项目验收：按合同条款约定。</w:t>
      </w:r>
      <w:r/>
    </w:p>
    <w:p>
      <w:pPr>
        <w:spacing w:line="360" w:lineRule="auto"/>
        <w:widowControl/>
        <w:rPr>
          <w:rFonts w:ascii="宋体" w:hAnsi="宋体" w:cs="宋体"/>
          <w:b/>
          <w:bCs/>
        </w:rPr>
      </w:pPr>
      <w:r>
        <w:rPr>
          <w:rFonts w:hint="eastAsia" w:ascii="宋体" w:hAnsi="宋体" w:cs="宋体"/>
          <w:b/>
          <w:bCs/>
        </w:rPr>
        <w:t xml:space="preserve">七、综合说明及其他要求</w:t>
      </w:r>
      <w:r/>
    </w:p>
    <w:p>
      <w:pPr>
        <w:spacing w:line="360" w:lineRule="auto"/>
        <w:widowControl/>
        <w:rPr>
          <w:rFonts w:ascii="宋体" w:hAnsi="宋体" w:cs="宋体"/>
          <w:szCs w:val="21"/>
          <w:lang w:val="zh-CN"/>
        </w:rPr>
      </w:pPr>
      <w:r>
        <w:rPr>
          <w:rFonts w:hint="eastAsia" w:ascii="宋体" w:hAnsi="宋体" w:cs="宋体"/>
          <w:szCs w:val="21"/>
          <w:lang w:val="zh-CN"/>
        </w:rPr>
        <w:t xml:space="preserve">1、供应商提供的服务能够至少达到以上要求，同时明确详细的</w:t>
      </w:r>
      <w:r>
        <w:rPr>
          <w:rFonts w:hint="eastAsia" w:ascii="宋体" w:hAnsi="宋体" w:cs="宋体"/>
          <w:szCs w:val="21"/>
        </w:rPr>
        <w:t xml:space="preserve">项目</w:t>
      </w:r>
      <w:r>
        <w:rPr>
          <w:rFonts w:hint="eastAsia" w:ascii="宋体" w:hAnsi="宋体" w:cs="宋体"/>
          <w:szCs w:val="21"/>
          <w:lang w:val="zh-CN"/>
        </w:rPr>
        <w:t xml:space="preserve">技术及实施方案。供应商须具备独立完成本项目的能力，因此供应商可在投标前自行进行</w:t>
      </w:r>
      <w:r>
        <w:rPr>
          <w:rFonts w:hint="eastAsia" w:ascii="宋体" w:hAnsi="宋体" w:cs="宋体"/>
          <w:szCs w:val="21"/>
        </w:rPr>
        <w:t xml:space="preserve">勘察现场及</w:t>
      </w:r>
      <w:r>
        <w:rPr>
          <w:rFonts w:hint="eastAsia" w:ascii="宋体" w:hAnsi="宋体" w:cs="宋体"/>
          <w:szCs w:val="21"/>
          <w:lang w:val="zh-CN"/>
        </w:rPr>
        <w:t xml:space="preserve">调研，了解项目情况及详细需求，但供应商不得因此使采购单位承担有关的责任和蒙受损失。供应商</w:t>
      </w:r>
      <w:r>
        <w:rPr>
          <w:rFonts w:hint="eastAsia" w:ascii="宋体" w:hAnsi="宋体" w:cs="宋体"/>
          <w:szCs w:val="21"/>
        </w:rPr>
        <w:t xml:space="preserve">自行</w:t>
      </w:r>
      <w:r>
        <w:rPr>
          <w:rFonts w:hint="eastAsia" w:ascii="宋体" w:hAnsi="宋体" w:cs="宋体"/>
          <w:szCs w:val="21"/>
          <w:lang w:val="zh-CN"/>
        </w:rPr>
        <w:t xml:space="preserve">担前期</w:t>
      </w:r>
      <w:r>
        <w:rPr>
          <w:rFonts w:hint="eastAsia" w:ascii="宋体" w:hAnsi="宋体" w:cs="宋体"/>
          <w:szCs w:val="21"/>
        </w:rPr>
        <w:t xml:space="preserve">勘察现场</w:t>
      </w:r>
      <w:r>
        <w:rPr>
          <w:rFonts w:hint="eastAsia" w:ascii="宋体" w:hAnsi="宋体" w:cs="宋体"/>
          <w:szCs w:val="21"/>
          <w:lang w:val="zh-CN"/>
        </w:rPr>
        <w:t xml:space="preserve">调研的责任和风险。供应商中标（成交）后，不得以不了解项目情况及详细需求为理由而向采购单位提出任何索赔的要求，对此采购单位不再承担任何责任。</w:t>
      </w:r>
      <w:r/>
    </w:p>
    <w:p>
      <w:pPr>
        <w:spacing w:line="360" w:lineRule="auto"/>
        <w:widowControl/>
        <w:rPr>
          <w:rFonts w:ascii="宋体" w:hAnsi="宋体" w:cs="宋体"/>
          <w:szCs w:val="21"/>
          <w:lang w:val="zh-CN"/>
        </w:rPr>
      </w:pPr>
      <w:r>
        <w:rPr>
          <w:rFonts w:hint="eastAsia" w:ascii="宋体" w:hAnsi="宋体" w:cs="宋体"/>
          <w:szCs w:val="21"/>
          <w:lang w:val="zh-CN"/>
        </w:rPr>
        <w:t xml:space="preserve">2、供应商必须承诺采购文件中提出的全部要求，如果其中某些条款不响应时，应在文件中逐条列出，未列出的视同响应。</w:t>
      </w:r>
      <w:r/>
    </w:p>
    <w:p>
      <w:pPr>
        <w:spacing w:line="360" w:lineRule="auto"/>
        <w:widowControl/>
        <w:rPr>
          <w:rFonts w:ascii="宋体" w:hAnsi="宋体" w:cs="宋体"/>
          <w:szCs w:val="21"/>
          <w:lang w:val="zh-CN"/>
        </w:rPr>
      </w:pPr>
      <w:r>
        <w:rPr>
          <w:rFonts w:hint="eastAsia" w:ascii="宋体" w:hAnsi="宋体" w:cs="宋体"/>
          <w:szCs w:val="21"/>
          <w:lang w:val="zh-CN"/>
        </w:rPr>
        <w:t xml:space="preserve">3、供应商在响应投标文件中应充分体现自身提供服务及管理的能力、服务质量保障、应急保障、技术能力、公司与本项目服务相关的履行经验能力（若有） 及获得表彰、荣誉（若有）等内容。</w:t>
      </w:r>
      <w:r/>
    </w:p>
    <w:p>
      <w:pPr>
        <w:spacing w:line="360" w:lineRule="auto"/>
        <w:widowControl/>
        <w:rPr>
          <w:rFonts w:ascii="宋体" w:hAnsi="宋体" w:cs="宋体"/>
          <w:szCs w:val="21"/>
          <w:lang w:val="zh-CN"/>
        </w:rPr>
      </w:pPr>
      <w:r>
        <w:rPr>
          <w:rFonts w:hint="eastAsia" w:ascii="宋体" w:hAnsi="宋体" w:cs="宋体"/>
          <w:szCs w:val="21"/>
          <w:lang w:val="zh-CN"/>
        </w:rPr>
        <w:t xml:space="preserve">4、供应商应对所投全部内容进行报价，只投其中部分内容者，其响应投标文件将被拒绝。中标（成交）单位对服务缺陷不予更正，采购单位有权另请其他单位更正，所发生的费用由</w:t>
      </w:r>
      <w:r>
        <w:rPr>
          <w:rFonts w:hint="eastAsia" w:ascii="宋体" w:hAnsi="宋体" w:cs="宋体"/>
          <w:szCs w:val="21"/>
        </w:rPr>
        <w:t xml:space="preserve">中标（成交)单位</w:t>
      </w:r>
      <w:r>
        <w:rPr>
          <w:rFonts w:hint="eastAsia" w:ascii="宋体" w:hAnsi="宋体" w:cs="宋体"/>
          <w:szCs w:val="21"/>
          <w:lang w:val="zh-CN"/>
        </w:rPr>
        <w:t xml:space="preserve">承担。</w:t>
      </w:r>
      <w:r/>
    </w:p>
    <w:p>
      <w:pPr>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5、响应单位应能保证所提供的成果涉及到的知识产权是合法取得，并享有完整的知识产权，不会因为采购单位的使用而被责令停止使用、追偿或要求赔偿损失，如出现此情况，一切经济和法律责任均由响应单位承担。</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、中标（成交）单位自行承担合同实施期间其所有服务人员的人身安全、仪器设备的使用正常及其一切可能产生的后果。</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中标（成交）单位须按照本采购文件的要求对该招标项目进行服务工作，不得转包。</w:t>
      </w:r>
      <w:r/>
    </w:p>
    <w:p>
      <w:pPr>
        <w:spacing w:line="360" w:lineRule="auto"/>
        <w:tabs>
          <w:tab w:val="left" w:pos="0" w:leader="none"/>
        </w:tabs>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采购文件最终解释权归采购单位及招标代理机构所有。</w:t>
      </w:r>
      <w:r/>
    </w:p>
    <w:p>
      <w:pPr>
        <w:spacing w:line="360" w:lineRule="auto"/>
        <w:rPr>
          <w:rFonts w:ascii="宋体" w:hAnsi="宋体" w:cs="宋体"/>
          <w:szCs w:val="21"/>
        </w:rPr>
        <w:outlineLvl w:val="1"/>
      </w:pPr>
      <w:r>
        <w:rPr>
          <w:rFonts w:hint="eastAsia" w:ascii="宋体" w:hAnsi="宋体" w:cs="宋体"/>
          <w:b/>
          <w:szCs w:val="21"/>
        </w:rPr>
        <w:t xml:space="preserve">八、响应文件的组成及要求</w:t>
      </w:r>
      <w:r/>
    </w:p>
    <w:p>
      <w:pPr>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103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103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103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3、磋商报价分析表（如有）</w:t>
      </w:r>
      <w:r/>
    </w:p>
    <w:p>
      <w:pPr>
        <w:pStyle w:val="103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2023年度或2024年度）财务审计报告或最近一期（2025年3月以来任意一期）财务报表，其他组织、自然人及成立未满一年的法人应提供银行出具的资信证明）；</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4.1.6法律、行政法规规定的其他条件。承诺符合；</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4.2落实政府采购政策需满足的资格要求：《中小企业声明函》或《残疾人福利性单位声明函》或</w:t>
      </w:r>
      <w:r>
        <w:rPr>
          <w:rFonts w:hint="eastAsia" w:ascii="宋体" w:hAnsi="宋体" w:eastAsia="宋体" w:cs="宋体"/>
          <w:bCs/>
          <w:sz w:val="21"/>
          <w:szCs w:val="21"/>
          <w:lang w:val="zh-CN"/>
        </w:rPr>
        <w:t xml:space="preserve">省级以上监狱管理局、戒毒管理局（含新疆生产建设兵团）出具的属于监狱企业的证明文件（本项目专门面向中小企业采购。</w:t>
      </w:r>
      <w:r>
        <w:rPr>
          <w:rFonts w:hint="eastAsia" w:ascii="宋体" w:hAnsi="宋体" w:eastAsia="宋体" w:cs="宋体"/>
          <w:bCs/>
          <w:sz w:val="21"/>
          <w:szCs w:val="21"/>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Cs/>
          <w:sz w:val="21"/>
          <w:szCs w:val="21"/>
          <w:lang w:val="zh-CN"/>
        </w:rPr>
        <w:t xml:space="preserve">）；</w:t>
      </w:r>
      <w:r/>
    </w:p>
    <w:p>
      <w:pPr>
        <w:pStyle w:val="1131"/>
        <w:ind w:firstLine="0"/>
        <w:widowControl w:val="off"/>
        <w:rPr>
          <w:rFonts w:ascii="宋体" w:hAnsi="宋体" w:eastAsia="宋体" w:cs="宋体"/>
          <w:bCs/>
          <w:sz w:val="21"/>
          <w:szCs w:val="21"/>
        </w:rPr>
      </w:pPr>
      <w:r>
        <w:rPr>
          <w:rFonts w:hint="eastAsia" w:ascii="宋体" w:hAnsi="宋体" w:eastAsia="宋体" w:cs="宋体"/>
          <w:bCs/>
          <w:sz w:val="21"/>
          <w:szCs w:val="21"/>
        </w:rPr>
        <w:t xml:space="preserve">4.3合格响应单位特定资格要求证明文件：</w:t>
      </w:r>
      <w:r/>
    </w:p>
    <w:p>
      <w:pPr>
        <w:spacing w:line="360" w:lineRule="auto"/>
        <w:rPr>
          <w:rFonts w:ascii="宋体" w:hAnsi="宋体" w:cs="宋体"/>
          <w:szCs w:val="21"/>
        </w:rPr>
      </w:pPr>
      <w:r/>
      <w:bookmarkStart w:id="28" w:name="OLE_LINK8"/>
      <w:r/>
      <w:bookmarkStart w:id="29" w:name="OLE_LINK9"/>
      <w:r>
        <w:rPr>
          <w:rFonts w:hint="eastAsia" w:ascii="宋体" w:hAnsi="宋体" w:cs="宋体"/>
          <w:szCs w:val="21"/>
        </w:rPr>
        <w:t xml:space="preserve">（1）</w:t>
      </w:r>
      <w:bookmarkStart w:id="30" w:name="OLE_LINK5"/>
      <w:r/>
      <w:bookmarkStart w:id="31" w:name="OLE_LINK2"/>
      <w:r/>
      <w:bookmarkStart w:id="32" w:name="OLE_LINK10"/>
      <w:r/>
      <w:bookmarkStart w:id="33" w:name="OLE_LINK11"/>
      <w:r>
        <w:rPr>
          <w:rFonts w:hint="eastAsia" w:ascii="宋体" w:hAnsi="宋体" w:cs="宋体"/>
          <w:szCs w:val="21"/>
        </w:rPr>
        <w:t xml:space="preserve">响应单位须具有污染土壤修复及深化设计能力，具有建设主管部门颁发的环境工程设计专项乙级或以上资质，及建设主管部门颁发的环保工程专业承包叁级或以上资质；</w:t>
      </w:r>
      <w:bookmarkEnd w:id="32"/>
      <w:r/>
      <w:bookmarkEnd w:id="33"/>
      <w:r>
        <w:rPr>
          <w:rFonts w:hint="eastAsia" w:ascii="宋体" w:hAnsi="宋体" w:cs="宋体"/>
          <w:szCs w:val="21"/>
        </w:rPr>
        <w:t xml:space="preserve"> </w:t>
      </w:r>
      <w:bookmarkEnd w:id="30"/>
      <w:r/>
      <w:bookmarkEnd w:id="31"/>
      <w:r/>
      <w:r/>
    </w:p>
    <w:p>
      <w:pPr>
        <w:spacing w:line="360" w:lineRule="auto"/>
        <w:rPr>
          <w:rFonts w:ascii="宋体" w:hAnsi="宋体" w:cs="宋体"/>
          <w:szCs w:val="21"/>
        </w:rPr>
      </w:pPr>
      <w:r>
        <w:rPr>
          <w:rFonts w:hint="eastAsia" w:ascii="宋体" w:hAnsi="宋体" w:cs="宋体"/>
          <w:szCs w:val="21"/>
        </w:rPr>
        <w:t xml:space="preserve">（2）响应单位须具备安全生产条件，有建设主管部门颁发的安全生产许可证并在有效期内；</w:t>
      </w:r>
      <w:r/>
    </w:p>
    <w:p>
      <w:pPr>
        <w:spacing w:line="360" w:lineRule="auto"/>
        <w:rPr>
          <w:rFonts w:ascii="宋体" w:hAnsi="宋体" w:cs="宋体"/>
          <w:szCs w:val="21"/>
        </w:rPr>
      </w:pPr>
      <w:r>
        <w:rPr>
          <w:rFonts w:hint="eastAsia" w:ascii="宋体" w:hAnsi="宋体" w:cs="宋体"/>
          <w:szCs w:val="21"/>
        </w:rPr>
        <w:t xml:space="preserve">（3）响应单位须具有有经验的项目现场负责人，该负责人需具备建筑工程或市政工程贰级或以上注册建造师执业证书以及安全生产考核合格证（B）类证件且在有效期内，且在项目执行期间该负责人不得同时担任其他项目的负责人，项目现场负责人与项目总负责人、技术负责人、安全负责人不得为同一人；</w:t>
      </w:r>
      <w:r/>
    </w:p>
    <w:p>
      <w:pPr>
        <w:spacing w:line="360" w:lineRule="auto"/>
        <w:rPr>
          <w:rFonts w:ascii="宋体" w:hAnsi="宋体" w:cs="宋体"/>
          <w:szCs w:val="21"/>
        </w:rPr>
      </w:pPr>
      <w:r>
        <w:rPr>
          <w:rFonts w:hint="eastAsia" w:ascii="宋体" w:hAnsi="宋体" w:cs="宋体"/>
          <w:szCs w:val="21"/>
        </w:rPr>
        <w:t xml:space="preserve">（4）响应单位具有就本项目取得的与水泥窑协同处置单位的合作的处置协议（协议格式自拟），加盖双方企业公章；并须提供水泥窑协同处置单位水泥窑技改项目的环评批复（复印件加盖公章）及生产线日生产能力证明和本项目日处理污染土壤能力的盖章承诺。</w:t>
      </w:r>
      <w:bookmarkEnd w:id="28"/>
      <w:r/>
      <w:bookmarkEnd w:id="29"/>
      <w:r/>
      <w:r/>
    </w:p>
    <w:p>
      <w:pPr>
        <w:pStyle w:val="1038"/>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5.2技术或服务偏离表；</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5.3商务条款偏离表；</w:t>
      </w:r>
      <w:r/>
    </w:p>
    <w:p>
      <w:pPr>
        <w:pStyle w:val="1038"/>
        <w:ind w:firstLine="0"/>
        <w:spacing w:line="360" w:lineRule="auto"/>
        <w:rPr>
          <w:rFonts w:ascii="宋体" w:hAnsi="宋体" w:eastAsia="宋体" w:cs="宋体"/>
          <w:bCs/>
          <w:sz w:val="21"/>
          <w:szCs w:val="21"/>
        </w:rPr>
      </w:pPr>
      <w:r>
        <w:rPr>
          <w:rFonts w:hint="eastAsia" w:ascii="宋体" w:hAnsi="宋体" w:eastAsia="宋体" w:cs="宋体"/>
          <w:sz w:val="21"/>
          <w:szCs w:val="21"/>
        </w:rPr>
        <w:t xml:space="preserve">5.4</w:t>
      </w:r>
      <w:r>
        <w:rPr>
          <w:rFonts w:hint="eastAsia" w:ascii="宋体" w:hAnsi="宋体" w:eastAsia="宋体" w:cs="宋体"/>
          <w:bCs/>
          <w:sz w:val="21"/>
          <w:szCs w:val="21"/>
        </w:rPr>
        <w:t xml:space="preserve">关于资格文件的声明函；</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5.5磋商响应单位基本情况表；</w:t>
      </w:r>
      <w:r/>
    </w:p>
    <w:p>
      <w:pPr>
        <w:pStyle w:val="103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5.6磋商响应单位法定代表人身份证复印件；法人授权委托书（如有授权）；磋商响应单位授权代理人身份证复印件（如有授权）；</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5.7投标（响应）保证承诺书；</w:t>
      </w:r>
      <w:r/>
    </w:p>
    <w:p>
      <w:pPr>
        <w:pStyle w:val="1115"/>
        <w:ind w:firstLine="0"/>
        <w:spacing w:line="360" w:lineRule="auto"/>
        <w:rPr>
          <w:rFonts w:ascii="宋体" w:hAnsi="宋体" w:cs="宋体"/>
          <w:szCs w:val="21"/>
        </w:rPr>
      </w:pPr>
      <w:r>
        <w:rPr>
          <w:rFonts w:hint="eastAsia" w:ascii="宋体" w:hAnsi="宋体" w:cs="宋体"/>
          <w:szCs w:val="21"/>
        </w:rPr>
        <w:t xml:space="preserve">5.8其他有关符合性证明的文件：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103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6、综合评审响应文件（具体模块以系统生成为准）</w:t>
      </w:r>
      <w:r/>
    </w:p>
    <w:p>
      <w:pPr>
        <w:spacing w:line="360" w:lineRule="auto"/>
        <w:rPr>
          <w:rFonts w:ascii="宋体" w:hAnsi="宋体" w:cs="宋体"/>
          <w:szCs w:val="21"/>
          <w:lang w:val="zh-CN"/>
        </w:rPr>
      </w:pPr>
      <w:r>
        <w:rPr>
          <w:rFonts w:hint="eastAsia" w:ascii="宋体" w:hAnsi="宋体" w:cs="宋体"/>
          <w:szCs w:val="21"/>
        </w:rPr>
        <w:t xml:space="preserve">6.1</w:t>
      </w:r>
      <w:r>
        <w:rPr>
          <w:rFonts w:hint="eastAsia" w:ascii="宋体" w:hAnsi="宋体" w:cs="宋体"/>
          <w:szCs w:val="21"/>
          <w:lang w:val="zh-CN"/>
        </w:rPr>
        <w:t xml:space="preserve">项目技术及实施方案</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lang w:val="zh-CN"/>
        </w:rPr>
        <w:t xml:space="preserve">拟投入项目设备配置、</w:t>
      </w:r>
      <w:r>
        <w:rPr>
          <w:rFonts w:hint="eastAsia" w:ascii="宋体" w:hAnsi="宋体" w:cs="宋体"/>
          <w:szCs w:val="21"/>
        </w:rPr>
        <w:t xml:space="preserve">场地配置说明及证明资料</w:t>
      </w:r>
      <w:r>
        <w:rPr>
          <w:rFonts w:hint="eastAsia" w:ascii="宋体" w:hAnsi="宋体" w:cs="宋体"/>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项目组人员一览表以及项目人员配备方案；为本项目配备的项目总负责人情况表；为本项目配备的技术负责人情况表等；</w:t>
      </w:r>
      <w:r/>
    </w:p>
    <w:p>
      <w:pPr>
        <w:spacing w:line="360" w:lineRule="auto"/>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典型项目一览表；</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6.5污染土壤运输承诺函等（具体见评分标准要求）；</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6.6评分标准中要求的其他相关资料；</w:t>
      </w:r>
      <w:r/>
    </w:p>
    <w:p>
      <w:pPr>
        <w:pStyle w:val="10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7、价格折扣文件格式（本项目专门面向中小企业采购，不涉及价格折扣，无需提供）</w:t>
      </w:r>
      <w:r/>
    </w:p>
    <w:p>
      <w:pPr>
        <w:pStyle w:val="1038"/>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1038"/>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38"/>
        <w:spacing w:line="360" w:lineRule="auto"/>
        <w:rPr>
          <w:rFonts w:ascii="宋体" w:hAnsi="宋体" w:eastAsia="宋体" w:cs="宋体"/>
          <w:sz w:val="21"/>
          <w:szCs w:val="21"/>
        </w:rPr>
      </w:pPr>
      <w:r>
        <w:rPr>
          <w:rFonts w:hint="eastAsia" w:ascii="宋体" w:hAnsi="宋体" w:eastAsia="宋体" w:cs="宋体"/>
          <w:b/>
          <w:bCs/>
          <w:sz w:val="21"/>
          <w:szCs w:val="21"/>
        </w:rPr>
        <w:t xml:space="preserve">（4）磋商响应文件编制要求：本</w:t>
      </w:r>
      <w:r>
        <w:rPr>
          <w:rFonts w:hint="eastAsia" w:ascii="宋体" w:hAnsi="宋体" w:eastAsia="宋体" w:cs="宋体"/>
          <w:sz w:val="21"/>
          <w:szCs w:val="21"/>
        </w:rPr>
        <w:t xml:space="preserve">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pStyle w:val="1038"/>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九、磋商程序</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106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38"/>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38"/>
        <w:ind w:firstLine="422"/>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已提交响应文件的供应商，在提交最后报价之前，可以根据磋商情况退出磋商，并在“苏采云”系统中提交“退出磋商函”并加盖CA电子公章。</w:t>
      </w:r>
      <w:r/>
    </w:p>
    <w:p>
      <w:pPr>
        <w:pStyle w:val="103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*进入项目评审流程后，建议各供应商法定代表人或授权委托人始终保持通讯顺畅，时刻关注不见面开标大厅，不离开不见面开标大厅。</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十、综合说明</w:t>
      </w:r>
      <w:r/>
    </w:p>
    <w:p>
      <w:pPr>
        <w:spacing w:line="360" w:lineRule="auto"/>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响应单位应对所投项目的全部内容进行报价，只投其中部分内容者，其响应投标文件将被拒绝。</w:t>
      </w:r>
      <w:r/>
    </w:p>
    <w:p>
      <w:pPr>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117"/>
          <w:rFonts w:ascii="宋体" w:hAnsi="宋体" w:cs="宋体"/>
          <w:b/>
          <w:szCs w:val="21"/>
        </w:rPr>
      </w:pPr>
      <w:r>
        <w:rPr>
          <w:rStyle w:val="1117"/>
          <w:rFonts w:ascii="Wingdings" w:hAnsi="Wingdings" w:eastAsia="Wingdings" w:cs="Wingdings"/>
          <w:b/>
          <w:szCs w:val="21"/>
        </w:rPr>
        <w:t xml:space="preserve">þ</w:t>
      </w:r>
      <w:r>
        <w:rPr>
          <w:rStyle w:val="1117"/>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spacing w:line="360" w:lineRule="auto"/>
        <w:rPr>
          <w:rFonts w:ascii="宋体" w:hAnsi="宋体" w:cs="宋体"/>
        </w:rPr>
      </w:pPr>
      <w:r>
        <w:rPr>
          <w:rFonts w:hint="eastAsia" w:ascii="宋体" w:hAnsi="宋体" w:cs="宋体"/>
          <w:bCs/>
          <w:szCs w:val="21"/>
        </w:rPr>
        <w:t xml:space="preserve">4、成交服务费：</w:t>
      </w:r>
      <w:r>
        <w:rPr>
          <w:rStyle w:val="1117"/>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由成交单位按照预算金额计算并支付，具体为100万元以内1.5%、100万元～500万元以内1.1%差额定率累进法计算并支付成交服务费，该费用应在领取成交通知书时付清。本项目服务费金额</w:t>
      </w:r>
      <w:r>
        <w:rPr>
          <w:rFonts w:hint="eastAsia" w:ascii="宋体" w:hAnsi="宋体" w:cs="宋体"/>
          <w:szCs w:val="21"/>
        </w:rPr>
        <w:t xml:space="preserve">为人民币玖仟元整</w:t>
      </w:r>
      <w:r>
        <w:rPr>
          <w:rStyle w:val="1117"/>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spacing w:line="360" w:lineRule="auto"/>
        <w:rPr>
          <w:rFonts w:ascii="宋体" w:hAnsi="宋体" w:cs="宋体"/>
          <w:bCs/>
          <w:szCs w:val="21"/>
        </w:rPr>
      </w:pPr>
      <w:r>
        <w:rPr>
          <w:rFonts w:hint="eastAsia" w:ascii="宋体" w:hAnsi="宋体" w:cs="宋体"/>
          <w:bCs/>
          <w:szCs w:val="21"/>
        </w:rPr>
        <w:t xml:space="preserve">5、磋商说明：</w:t>
      </w:r>
      <w:r/>
    </w:p>
    <w:p>
      <w:pPr>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spacing w:line="360" w:lineRule="auto"/>
        <w:rPr>
          <w:rFonts w:ascii="宋体" w:hAnsi="宋体" w:cs="宋体"/>
          <w:b/>
          <w:szCs w:val="21"/>
        </w:rPr>
      </w:pPr>
      <w:r>
        <w:rPr>
          <w:rFonts w:hint="eastAsia" w:ascii="宋体" w:hAnsi="宋体" w:cs="宋体"/>
          <w:b/>
          <w:szCs w:val="21"/>
        </w:rPr>
        <w:t xml:space="preserve">（2）机器码检查中，不同供应商使用同一台电脑编制响应文件的，响应文件将被认定为无效响应；</w:t>
      </w:r>
      <w:r/>
    </w:p>
    <w:p>
      <w:pPr>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115"/>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115"/>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115"/>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联合体各方共同与采购单位签订合同，就采购合同约定的事项对采购单位承担连带责任。</w:t>
      </w:r>
      <w:r/>
    </w:p>
    <w:p>
      <w:pPr>
        <w:pStyle w:val="1115"/>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本项目</w:t>
      </w:r>
      <w:r>
        <w:rPr>
          <w:rFonts w:hint="eastAsia" w:ascii="宋体" w:hAnsi="宋体" w:cs="宋体"/>
          <w:szCs w:val="21"/>
          <w:u w:val="single"/>
        </w:rPr>
        <w:t xml:space="preserve">不</w:t>
      </w:r>
      <w:r>
        <w:rPr>
          <w:rFonts w:hint="eastAsia" w:ascii="宋体" w:hAnsi="宋体" w:cs="宋体"/>
          <w:szCs w:val="21"/>
        </w:rPr>
        <w:t xml:space="preserve">接受联合体投标。</w:t>
      </w:r>
      <w:r/>
    </w:p>
    <w:p>
      <w:pPr>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（4）对存在失信信息的供应商，由失信供应商进行确认。同时，采购代理机构工作人员应根据评审小组确认的失信信息，登陆到相关来源网站页面进行复核并打印，作为证据留存。</w:t>
      </w:r>
      <w:r/>
    </w:p>
    <w:p>
      <w:pPr>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w:t>
      </w:r>
      <w:r>
        <w:rPr>
          <w:rFonts w:hint="eastAsia" w:ascii="宋体" w:hAnsi="宋体" w:cs="宋体"/>
          <w:szCs w:val="21"/>
        </w:rPr>
        <w:t xml:space="preserve">（响应）文件日未满三年的。</w:t>
      </w:r>
      <w:r/>
    </w:p>
    <w:p>
      <w:pPr>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34" w:name="_Hlk132389804"/>
      <w:r/>
      <w:bookmarkStart w:id="35" w:name="_Hlk132385577"/>
      <w:r/>
      <w:bookmarkStart w:id="36"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4"/>
      <w:r/>
      <w:bookmarkEnd w:id="35"/>
      <w:r/>
      <w:bookmarkEnd w:id="36"/>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szCs w:val="21"/>
        </w:rPr>
      </w:pPr>
      <w:r>
        <w:rPr>
          <w:rFonts w:hint="eastAsia" w:ascii="宋体" w:hAnsi="宋体" w:cs="宋体"/>
          <w:szCs w:val="21"/>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p>
    <w:p>
      <w:pPr>
        <w:spacing w:line="360" w:lineRule="auto"/>
        <w:rPr>
          <w:rFonts w:ascii="宋体" w:hAnsi="宋体" w:cs="宋体"/>
          <w:szCs w:val="21"/>
        </w:rPr>
      </w:pPr>
      <w:r>
        <w:rPr>
          <w:rFonts w:hint="eastAsia" w:ascii="宋体" w:hAnsi="宋体" w:cs="宋体"/>
          <w:szCs w:val="21"/>
        </w:rPr>
        <w:t xml:space="preserve">13、质疑处理</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1038"/>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朱晓芹  潘莉莉    路丽丽  卢君悦</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68669209</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苏州市干将西路399号银海大厦303室</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苏州市干将西路399号银海大厦303室</w:t>
      </w:r>
      <w:r/>
    </w:p>
    <w:p>
      <w:pPr>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w:t>
      </w:r>
      <w:r>
        <w:rPr>
          <w:rFonts w:hint="eastAsia" w:ascii="宋体" w:hAnsi="宋体" w:cs="宋体"/>
          <w:szCs w:val="21"/>
        </w:rPr>
        <w:t xml:space="preserve">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8"/>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headerReference w:type="default" r:id="rId12"/>
          <w:footerReference w:type="default" r:id="rId16"/>
          <w:footnotePr/>
          <w:endnotePr/>
          <w:type w:val="nextPage"/>
          <w:pgSz w:w="11906" w:h="16838" w:orient="portrait"/>
          <w:pgMar w:top="1440" w:right="1080" w:bottom="1440" w:left="1080" w:header="850" w:footer="850"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spacing w:line="360" w:lineRule="auto"/>
        <w:rPr>
          <w:rFonts w:ascii="宋体" w:hAnsi="宋体" w:cs="宋体"/>
          <w:b/>
          <w:bCs/>
          <w:szCs w:val="21"/>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4、根据《苏财购〔2025〕62号》文，评审委员会启动异常低价投标（响应）审查的情形和具体要求，包括：</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A、评审过程中出现下列情形之一的，评审委员会应当启动异常低价投标（响应）审查程序：</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（1）投标（响应）报价低于采购项目预算50%的，即投标（响应）报价&lt;采购项目预算×50%；</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（2）投标（响应）报价低于采购项目最高限价45%的，即投标（响应）报价&lt;采购项目最高限价×45%；</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（3）评审委员会认定的供应商报价过低、有可能影响产品质量或者不能诚信履约的其他情形。</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Cs w:val="21"/>
          <w:lang w:val="zh-CN"/>
        </w:rPr>
      </w:pPr>
      <w:r>
        <w:rPr>
          <w:rFonts w:hint="eastAsia" w:ascii="宋体" w:hAnsi="宋体" w:cs="宋体"/>
          <w:b/>
          <w:bCs/>
          <w:szCs w:val="21"/>
          <w:lang w:val="zh-CN"/>
        </w:rPr>
        <w:t xml:space="preserve">二、评分标准：</w:t>
      </w:r>
      <w:r/>
    </w:p>
    <w:p>
      <w:pPr>
        <w:spacing w:line="360" w:lineRule="auto"/>
        <w:rPr>
          <w:rFonts w:ascii="宋体" w:hAnsi="宋体" w:cs="宋体"/>
          <w:b/>
        </w:rPr>
      </w:pPr>
      <w:r>
        <w:rPr>
          <w:rFonts w:hint="eastAsia" w:ascii="宋体" w:hAnsi="宋体" w:cs="宋体"/>
          <w:b/>
        </w:rPr>
        <w:t xml:space="preserve">（一）投标报价：20分</w:t>
      </w:r>
      <w:r>
        <w:rPr>
          <w:rFonts w:hint="eastAsia" w:ascii="宋体" w:hAnsi="宋体" w:cs="宋体"/>
          <w:b/>
          <w:bCs/>
          <w:szCs w:val="21"/>
        </w:rPr>
        <w:t xml:space="preserve">（以磋商最后报价作为价格分计算依据）</w:t>
      </w:r>
      <w:r/>
    </w:p>
    <w:p>
      <w:pPr>
        <w:spacing w:line="360" w:lineRule="auto"/>
        <w:rPr>
          <w:rFonts w:ascii="宋体" w:hAnsi="宋体" w:cs="宋体"/>
        </w:rPr>
      </w:pPr>
      <w:r>
        <w:rPr>
          <w:rFonts w:hint="eastAsia" w:ascii="宋体" w:hAnsi="宋体" w:cs="宋体"/>
        </w:rPr>
        <w:t xml:space="preserve">投标报价低于或等于最高限价价格的，为有效投标报价。超最高限价的投标报价为无效投标报价。无效投标报价的响应投标文件不进行评分。</w:t>
      </w:r>
      <w:r/>
    </w:p>
    <w:p>
      <w:pPr>
        <w:spacing w:line="360" w:lineRule="auto"/>
        <w:rPr>
          <w:rFonts w:ascii="宋体" w:hAnsi="宋体" w:cs="宋体"/>
          <w:b/>
          <w:szCs w:val="21"/>
        </w:rPr>
      </w:pPr>
      <w:r>
        <w:rPr>
          <w:rFonts w:hint="eastAsia" w:ascii="宋体" w:hAnsi="宋体" w:cs="宋体"/>
        </w:rPr>
        <w:t xml:space="preserve">价格分采用低价优先法计算，即满足采购文件要求且投标评审价格最低的价格为相应评标基准价，其价格分为满分。其他响应单位的价格分统一按照下列公式计算：投标报价得分=（评标基准价/投标评审价格）*价格权值*100（本次招标价格权值为20%），</w:t>
      </w:r>
      <w:r>
        <w:rPr>
          <w:rFonts w:hint="eastAsia" w:ascii="宋体" w:hAnsi="宋体" w:cs="宋体"/>
          <w:szCs w:val="21"/>
        </w:rPr>
        <w:t xml:space="preserve">小数点后四舍五入保留两位小数。</w:t>
      </w:r>
      <w:r/>
    </w:p>
    <w:p>
      <w:pPr>
        <w:pStyle w:val="1044"/>
        <w:contextualSpacing/>
        <w:ind w:left="0" w:firstLine="0"/>
        <w:spacing w:after="0" w:line="360" w:lineRule="auto"/>
        <w:rPr>
          <w:rFonts w:ascii="宋体" w:hAnsi="宋体" w:cs="宋体"/>
          <w:b/>
          <w:bCs/>
          <w:szCs w:val="21"/>
        </w:rPr>
      </w:pPr>
      <w:r>
        <w:rPr>
          <w:rFonts w:hint="eastAsia" w:ascii="宋体" w:hAnsi="宋体" w:cs="宋体"/>
          <w:b/>
          <w:bCs/>
          <w:szCs w:val="21"/>
        </w:rPr>
        <w:t xml:space="preserve">（二）项目总体组织方案及技术方案:43分</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2.1项目总体概述：4分</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项目概况描述清楚准确，项目背景及地块水文地质条件和污染分布情况了解透彻，项目部组织机构布局合理，项目实施步骤、部署科学合理，服务体系完善的，得4分；项目概况描述清楚，项目背景及地块水文地质条件和污染分布情况了解较透彻，项目部组织机构布局较为合理，项目实施步骤、部署较为合理，服</w:t>
      </w:r>
      <w:r>
        <w:rPr>
          <w:rFonts w:hint="eastAsia" w:ascii="宋体" w:hAnsi="宋体" w:eastAsia="宋体" w:cs="宋体"/>
          <w:sz w:val="21"/>
          <w:szCs w:val="21"/>
        </w:rPr>
        <w:t xml:space="preserve">务体系较为完善的，得3分；项目概况描述及项目背景等了解相对含糊，项目部组织机构布局不清晰，项目实施步骤、部署、服务体系不完善的，得1分；未提供相关内容的不得分。</w:t>
      </w:r>
      <w:r/>
    </w:p>
    <w:p>
      <w:pPr>
        <w:spacing w:line="360" w:lineRule="auto"/>
        <w:rPr>
          <w:rFonts w:ascii="宋体" w:hAnsi="宋体" w:cs="宋体"/>
          <w:szCs w:val="21"/>
        </w:rPr>
      </w:pPr>
      <w:r>
        <w:rPr>
          <w:rFonts w:hint="eastAsia" w:ascii="宋体" w:hAnsi="宋体" w:cs="宋体"/>
          <w:szCs w:val="21"/>
        </w:rPr>
        <w:t xml:space="preserve">2.2修复方案细化：4分</w:t>
      </w:r>
      <w:r/>
    </w:p>
    <w:p>
      <w:pPr>
        <w:spacing w:line="360" w:lineRule="auto"/>
        <w:rPr>
          <w:rFonts w:ascii="宋体" w:hAnsi="宋体" w:cs="宋体"/>
          <w:szCs w:val="21"/>
        </w:rPr>
      </w:pPr>
      <w:r>
        <w:rPr>
          <w:rFonts w:hint="eastAsia" w:ascii="宋体" w:hAnsi="宋体" w:cs="宋体"/>
          <w:szCs w:val="21"/>
        </w:rPr>
        <w:t xml:space="preserve">工作内容、服务步骤及部署、工艺流程、技术参数、污染土壤清运处置计划安排、二次污染防治细化合理、完整、可实施性强，细节完善，针对性强，具有系统性、可操作性的，得4分；细节较完善，针对性较强，可操作性较好的，得3分；细节基本完善，可操作性和针对性较差的，得1分；未提供相关内容的不得分。</w:t>
      </w:r>
      <w:r/>
    </w:p>
    <w:p>
      <w:pPr>
        <w:spacing w:line="360" w:lineRule="auto"/>
        <w:rPr>
          <w:rFonts w:ascii="宋体" w:hAnsi="宋体" w:cs="宋体"/>
          <w:szCs w:val="21"/>
        </w:rPr>
      </w:pPr>
      <w:r>
        <w:rPr>
          <w:rFonts w:hint="eastAsia" w:ascii="宋体" w:hAnsi="宋体" w:cs="宋体"/>
          <w:szCs w:val="21"/>
        </w:rPr>
        <w:t xml:space="preserve">2.3项目进度保障：4分</w:t>
      </w:r>
      <w:r/>
    </w:p>
    <w:p>
      <w:pPr>
        <w:spacing w:line="360" w:lineRule="auto"/>
        <w:rPr>
          <w:rFonts w:ascii="宋体" w:hAnsi="宋体" w:cs="宋体"/>
          <w:szCs w:val="21"/>
        </w:rPr>
      </w:pPr>
      <w:r>
        <w:rPr>
          <w:rFonts w:hint="eastAsia" w:ascii="宋体" w:hAnsi="宋体" w:cs="宋体"/>
          <w:szCs w:val="21"/>
        </w:rPr>
        <w:t xml:space="preserve">进度安排合理有效，计划开、竣工日期、项目实施进度计划横道图或网络图、工期保证等措施完善的，得4分；进度安排较为合理，具有计划开、竣工日期、项目实施进度计划横道图或网络图、工期保证等措施较为完善的，得3分；进度安排基本满足要求，具有计划开、竣工日期、项目实施进度计划横道图或网络图、工期保证等措施但较差的，得1分；未提供相关内容的不得分。</w:t>
      </w:r>
      <w:r/>
    </w:p>
    <w:p>
      <w:pPr>
        <w:spacing w:line="360" w:lineRule="auto"/>
        <w:rPr>
          <w:rFonts w:ascii="宋体" w:hAnsi="宋体" w:cs="宋体"/>
          <w:szCs w:val="21"/>
        </w:rPr>
      </w:pPr>
      <w:r>
        <w:rPr>
          <w:rFonts w:hint="eastAsia" w:ascii="宋体" w:hAnsi="宋体" w:cs="宋体"/>
          <w:szCs w:val="21"/>
        </w:rPr>
        <w:t xml:space="preserve">2.4项目实施现场配备：2分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现场配备评分，劳动力、机械、材料等配备合理，设备配置及能源供给的安全性与可行性论证合理的，得2分；劳动力、机械、材料等配备满足要求，设备配置及能源供给的安全性与可行性论证较为合理的，得1分；劳动力、机械、材料等配备不完善，设备配置及能源供给的安全性与可行性论证较差的得0.5分；未提供相关内容的不得分。</w:t>
      </w:r>
      <w:r/>
    </w:p>
    <w:p>
      <w:pPr>
        <w:spacing w:line="360" w:lineRule="auto"/>
        <w:rPr>
          <w:rFonts w:ascii="宋体" w:hAnsi="宋体" w:cs="宋体"/>
          <w:szCs w:val="21"/>
        </w:rPr>
      </w:pPr>
      <w:r>
        <w:rPr>
          <w:rFonts w:hint="eastAsia" w:ascii="宋体" w:hAnsi="宋体" w:cs="宋体"/>
          <w:szCs w:val="21"/>
        </w:rPr>
        <w:t xml:space="preserve">2.5项目实施现场总平面布置：2分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现场总平面布置评分，布置科学规划，可操作性强，内容详细的，得2分；布置相对科学合理，内容描述较简单的，得1分；布置不够合理或内容提供简单的得0.5分；未提供相关内容的不得分。</w:t>
      </w:r>
      <w:r/>
    </w:p>
    <w:p>
      <w:pPr>
        <w:spacing w:line="360" w:lineRule="auto"/>
        <w:rPr>
          <w:rFonts w:ascii="宋体" w:hAnsi="宋体" w:cs="宋体"/>
          <w:szCs w:val="21"/>
        </w:rPr>
      </w:pPr>
      <w:r>
        <w:rPr>
          <w:rFonts w:hint="eastAsia" w:ascii="宋体" w:hAnsi="宋体" w:cs="宋体"/>
          <w:szCs w:val="21"/>
        </w:rPr>
        <w:t xml:space="preserve">2.6主要实施方法、实施工艺等及水泥窑协同处置单位对本项目污染土壤的存储和安全处置方案及可行性论证：4分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主要实施方法、实施工艺等及水泥窑协同处置单位对本项目污染土壤的存储和安全处置方案及可行性论证内容评分，论证内容可操作性强，内容描述详细的，得4分；论证内容描述较为详细，可行性较好的，得3分；论证内容描述简单或可行性较差的，得1分；未提供相关内容的不得分。</w:t>
      </w:r>
      <w:r/>
    </w:p>
    <w:p>
      <w:pPr>
        <w:spacing w:line="360" w:lineRule="auto"/>
        <w:rPr>
          <w:rFonts w:ascii="宋体" w:hAnsi="宋体" w:cs="宋体"/>
          <w:szCs w:val="21"/>
        </w:rPr>
      </w:pPr>
      <w:r>
        <w:rPr>
          <w:rFonts w:hint="eastAsia" w:ascii="宋体" w:hAnsi="宋体" w:cs="宋体"/>
          <w:szCs w:val="21"/>
        </w:rPr>
        <w:t xml:space="preserve">2.7项目实施现场污染土壤开挖，基坑采样检测、基坑废水治理及达标排放等自检、自评估，项目竣工、验收申请、移交等方案：4分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相关内容评分，方案及过程规范合理，内容描述详细，各项工作嵌套衔接到位，可操作性强的，得4分；方案及过程规范较合理，内容描述充足，各项工作嵌套衔接得当，可操作性较强的，得3分；方案及过程规范较合理，内容描述简单，各项工作嵌套衔接，具有可操作性的，得1分；未提供相关内容的不得分。</w:t>
      </w:r>
      <w:r/>
    </w:p>
    <w:p>
      <w:pPr>
        <w:spacing w:line="360" w:lineRule="auto"/>
        <w:rPr>
          <w:rFonts w:ascii="宋体" w:hAnsi="宋体" w:cs="宋体"/>
          <w:szCs w:val="21"/>
        </w:rPr>
      </w:pPr>
      <w:r>
        <w:rPr>
          <w:rFonts w:hint="eastAsia" w:ascii="宋体" w:hAnsi="宋体" w:cs="宋体"/>
          <w:szCs w:val="21"/>
        </w:rPr>
        <w:t xml:space="preserve">2.8运输方案、运输线路计划：4分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根据响应单位提供的项目实施方案中的运输方案、运输线路计划评分，运输方案完善合理，运输路线明确，</w:t>
      </w:r>
      <w:r>
        <w:rPr>
          <w:rFonts w:hint="eastAsia" w:ascii="宋体" w:hAnsi="宋体" w:cs="宋体"/>
          <w:szCs w:val="21"/>
        </w:rPr>
        <w:t xml:space="preserve">可实施性强的，得4分；运输方案较完善，运输路线较明确，可操作性较好的，得3分；运输方案合理性或运输路线可实施较差的，得1分；未提供相关内容的不得分。</w:t>
      </w:r>
      <w:r/>
    </w:p>
    <w:p>
      <w:pPr>
        <w:spacing w:line="360" w:lineRule="auto"/>
        <w:rPr>
          <w:rFonts w:ascii="宋体" w:hAnsi="宋体" w:cs="宋体"/>
          <w:szCs w:val="21"/>
        </w:rPr>
      </w:pPr>
      <w:r>
        <w:rPr>
          <w:rFonts w:hint="eastAsia" w:ascii="宋体" w:hAnsi="宋体" w:cs="宋体"/>
          <w:szCs w:val="21"/>
        </w:rPr>
        <w:t xml:space="preserve">2.9项目实施现场二次污染防治措施和环境监测方案,运输过程中的二次污染防治措施：3分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实施现场二次污染防治措施和环境监测方案,运输过程中的二次污染防治措施评分，措施可操作性强，内容详实具体的，得3分；措施内容描述较为详细，可实施性较好的，得2分；措施内容描述简单、不清晰或可实施性较差的得1分；未提供相关内容的不得分。</w:t>
      </w:r>
      <w:r/>
    </w:p>
    <w:p>
      <w:pPr>
        <w:spacing w:line="360" w:lineRule="auto"/>
        <w:rPr>
          <w:rFonts w:ascii="宋体" w:hAnsi="宋体" w:cs="宋体"/>
          <w:szCs w:val="21"/>
        </w:rPr>
      </w:pPr>
      <w:r>
        <w:rPr>
          <w:rFonts w:hint="eastAsia" w:ascii="宋体" w:hAnsi="宋体" w:cs="宋体"/>
          <w:szCs w:val="21"/>
        </w:rPr>
        <w:t xml:space="preserve">2.10安全、文明措施（包括雨季施工、地块降排水、土方开挖、现场安全防护等）：2分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安全、文明措施（包括雨季施工、地块降排水、土方开挖、现场安全防护等）评分，措施可操作性强，内容描述详细的，得2分；措施内容描述较为详细，可实施性较好的，得1分；措施内容描述简单、不清晰或可实施性较差的得0.5分；未提供相关内容的不得分。</w:t>
      </w:r>
      <w:r/>
    </w:p>
    <w:p>
      <w:pPr>
        <w:spacing w:line="360" w:lineRule="auto"/>
        <w:rPr>
          <w:rFonts w:ascii="宋体" w:hAnsi="宋体" w:cs="宋体"/>
          <w:szCs w:val="21"/>
        </w:rPr>
      </w:pPr>
      <w:r>
        <w:rPr>
          <w:rFonts w:hint="eastAsia" w:ascii="宋体" w:hAnsi="宋体" w:cs="宋体"/>
          <w:szCs w:val="21"/>
        </w:rPr>
        <w:t xml:space="preserve">2.11质量保证措施、风险防范措施、应急预案：3分</w:t>
      </w:r>
      <w:r/>
    </w:p>
    <w:p>
      <w:pPr>
        <w:spacing w:line="360" w:lineRule="auto"/>
        <w:rPr>
          <w:rFonts w:ascii="宋体" w:hAnsi="宋体" w:cs="宋体"/>
          <w:szCs w:val="21"/>
        </w:rPr>
      </w:pPr>
      <w:r>
        <w:rPr>
          <w:rFonts w:hint="eastAsia" w:ascii="宋体" w:hAnsi="宋体" w:cs="宋体"/>
          <w:szCs w:val="21"/>
        </w:rPr>
        <w:t xml:space="preserve">根据响应单位提供的项目实施方案中的质量保证措施、风险防范措施、应急预案评分，修复质量的保证措施、项目全过程风险防范措施、应急预案等内容完善合理，针对性适应性强的，得3分；修复质量的保证措施、项目全过程风险防范措施、应急预案等内容基本完善合理，针对性适应性较强的，得2分；修复质量的保证措施、项目全过程风险防范措施、应急预案等较差的得1分；未提供相关内容的不得分。</w:t>
      </w:r>
      <w:r/>
    </w:p>
    <w:p>
      <w:pPr>
        <w:spacing w:line="360" w:lineRule="auto"/>
        <w:rPr>
          <w:rFonts w:ascii="宋体" w:hAnsi="宋体" w:cs="宋体"/>
          <w:szCs w:val="21"/>
        </w:rPr>
      </w:pPr>
      <w:r>
        <w:rPr>
          <w:rFonts w:hint="eastAsia" w:ascii="宋体" w:hAnsi="宋体" w:cs="宋体"/>
          <w:szCs w:val="21"/>
        </w:rPr>
        <w:t xml:space="preserve">2.12项目实施重难点分析：7分</w:t>
      </w:r>
      <w:r/>
    </w:p>
    <w:p>
      <w:pPr>
        <w:spacing w:line="360" w:lineRule="auto"/>
        <w:rPr>
          <w:rFonts w:ascii="宋体" w:hAnsi="宋体" w:cs="宋体"/>
          <w:szCs w:val="21"/>
        </w:rPr>
      </w:pPr>
      <w:r>
        <w:rPr>
          <w:rFonts w:hint="eastAsia" w:ascii="宋体" w:hAnsi="宋体" w:cs="宋体"/>
          <w:szCs w:val="21"/>
        </w:rPr>
        <w:t xml:space="preserve">根据响应单位提供的项目实施重难点分析以及应对策略评分，重点、难点分析全面准确合理，有突出性、针对性，对可能产生的情况、问题分析及解决方案科学合理、操作性强、考虑周全的，得7分；重点、难点分析较合理，较有针对性，对可能产生的情况、问题分析及解决方案较合理、操作性较强的，得5分；重点、难点分析基本符合实际，对可能产生的情况、问题分析及解决方案基本合理、操作性基本满足要求的，得3分；重点、难点分析含糊不清，对可能产生的情况、问题分析及解决方案可行性不强的，得1分；未提供相关内容的不得分。</w:t>
      </w:r>
      <w:r/>
    </w:p>
    <w:p>
      <w:pPr>
        <w:spacing w:line="360" w:lineRule="auto"/>
        <w:rPr>
          <w:rFonts w:ascii="宋体" w:hAnsi="宋体" w:cs="宋体"/>
          <w:b/>
          <w:bCs/>
          <w:szCs w:val="21"/>
        </w:rPr>
      </w:pPr>
      <w:r>
        <w:rPr>
          <w:rFonts w:hint="eastAsia" w:ascii="宋体" w:hAnsi="宋体" w:cs="宋体"/>
          <w:b/>
          <w:bCs/>
          <w:szCs w:val="21"/>
        </w:rPr>
        <w:t xml:space="preserve">（三）项目人员及设备配备：10分</w:t>
      </w:r>
      <w:r/>
    </w:p>
    <w:p>
      <w:pPr>
        <w:spacing w:line="360" w:lineRule="auto"/>
        <w:rPr>
          <w:rFonts w:ascii="宋体" w:hAnsi="宋体" w:cs="宋体"/>
          <w:szCs w:val="21"/>
        </w:rPr>
      </w:pPr>
      <w:r>
        <w:rPr>
          <w:rFonts w:hint="eastAsia" w:ascii="宋体" w:hAnsi="宋体" w:cs="宋体"/>
          <w:szCs w:val="21"/>
        </w:rPr>
        <w:t xml:space="preserve">3.1项目总负责人配置情况：2分；</w:t>
      </w:r>
      <w:r/>
    </w:p>
    <w:p>
      <w:pPr>
        <w:spacing w:line="360" w:lineRule="auto"/>
        <w:rPr>
          <w:rFonts w:ascii="宋体" w:hAnsi="宋体" w:cs="宋体"/>
          <w:szCs w:val="21"/>
        </w:rPr>
      </w:pPr>
      <w:r>
        <w:rPr>
          <w:rFonts w:hint="eastAsia" w:ascii="宋体" w:hAnsi="宋体" w:cs="宋体"/>
          <w:szCs w:val="21"/>
        </w:rPr>
        <w:t xml:space="preserve">项目总负责人（1人）具有正高级工程师职称的，得1分；具备有效的注册环保工程师执业证书或具备建筑工程或市政工程壹级注册建造师执业证书或具备环保类博士学位的，得1分。总计最高为2分，提供对应人员（人员不得兼任岗位且要求为在职人员）对应评分内容的相关证书及响应单位为其缴纳的</w:t>
      </w:r>
      <w:r>
        <w:rPr>
          <w:rFonts w:ascii="宋体" w:hAnsi="宋体" w:cs="宋体"/>
          <w:szCs w:val="21"/>
        </w:rPr>
        <w:t xml:space="preserve">最近三个月内</w:t>
      </w:r>
      <w:r>
        <w:rPr>
          <w:rFonts w:hint="eastAsia" w:ascii="宋体" w:hAnsi="宋体" w:cs="宋体"/>
          <w:szCs w:val="21"/>
        </w:rPr>
        <w:t xml:space="preserve">任意一期的社保缴纳证明复印件，资料未提供或所提供资料无法证明对应评分内容的对应项不得分。</w:t>
      </w:r>
      <w:r/>
    </w:p>
    <w:p>
      <w:pPr>
        <w:spacing w:line="360" w:lineRule="auto"/>
        <w:rPr>
          <w:rFonts w:ascii="宋体" w:hAnsi="宋体" w:cs="宋体"/>
          <w:szCs w:val="21"/>
        </w:rPr>
      </w:pPr>
      <w:r>
        <w:rPr>
          <w:rFonts w:hint="eastAsia" w:ascii="宋体" w:hAnsi="宋体" w:cs="宋体"/>
          <w:szCs w:val="21"/>
        </w:rPr>
        <w:t xml:space="preserve">3.2技术负责人配置情况：1分；</w:t>
      </w:r>
      <w:r/>
    </w:p>
    <w:p>
      <w:pPr>
        <w:spacing w:line="360" w:lineRule="auto"/>
        <w:rPr>
          <w:rFonts w:ascii="宋体" w:hAnsi="宋体" w:cs="宋体"/>
          <w:szCs w:val="21"/>
        </w:rPr>
      </w:pPr>
      <w:r>
        <w:rPr>
          <w:rFonts w:hint="eastAsia" w:ascii="宋体" w:hAnsi="宋体" w:cs="宋体"/>
          <w:szCs w:val="21"/>
        </w:rPr>
        <w:t xml:space="preserve">项目技术负责人（1人）具有环保类高级（或以上）工程师职称的得1分，最高为1分，提供对应人员（人员不得兼任岗位且要求为在职人员）对应评分内容的相关证书及响应单位为其缴纳的</w:t>
      </w:r>
      <w:r>
        <w:rPr>
          <w:rFonts w:ascii="宋体" w:hAnsi="宋体" w:cs="宋体"/>
          <w:szCs w:val="21"/>
        </w:rPr>
        <w:t xml:space="preserve">最近三个月内</w:t>
      </w:r>
      <w:r>
        <w:rPr>
          <w:rFonts w:hint="eastAsia" w:ascii="宋体" w:hAnsi="宋体" w:cs="宋体"/>
          <w:szCs w:val="21"/>
        </w:rPr>
        <w:t xml:space="preserve">任意一期的社保缴纳证明复印件，资料未提供或所提供资料无法证明对应评分内容的对应项不得分。</w:t>
      </w:r>
      <w:r/>
    </w:p>
    <w:p>
      <w:pPr>
        <w:spacing w:line="360" w:lineRule="auto"/>
        <w:rPr>
          <w:rFonts w:ascii="宋体" w:hAnsi="宋体" w:cs="宋体"/>
          <w:szCs w:val="21"/>
        </w:rPr>
      </w:pPr>
      <w:r>
        <w:rPr>
          <w:rFonts w:hint="eastAsia" w:ascii="宋体" w:hAnsi="宋体" w:cs="宋体"/>
          <w:szCs w:val="21"/>
        </w:rPr>
        <w:t xml:space="preserve">3.3安全负责人配置情况：1分；</w:t>
      </w:r>
      <w:r/>
    </w:p>
    <w:p>
      <w:pPr>
        <w:spacing w:line="360" w:lineRule="auto"/>
        <w:rPr>
          <w:rFonts w:ascii="宋体" w:hAnsi="宋体" w:cs="宋体"/>
          <w:szCs w:val="21"/>
        </w:rPr>
      </w:pPr>
      <w:r>
        <w:rPr>
          <w:rFonts w:hint="eastAsia" w:ascii="宋体" w:hAnsi="宋体" w:cs="宋体"/>
          <w:szCs w:val="21"/>
        </w:rPr>
        <w:t xml:space="preserve">项目安全负责人（1人）具有中级（或以上）工程师职称，并具备安全生产考核合格证（C）类证件且在有</w:t>
      </w:r>
      <w:r>
        <w:rPr>
          <w:rFonts w:hint="eastAsia" w:ascii="宋体" w:hAnsi="宋体" w:cs="宋体"/>
          <w:szCs w:val="21"/>
        </w:rPr>
        <w:t xml:space="preserve">效期内的得1分，最高为1分，提供对应人员（人员不得兼任岗位且要求为在职人员）对应评分内容的相关证书及响应单位为其缴纳的</w:t>
      </w:r>
      <w:r>
        <w:rPr>
          <w:rFonts w:ascii="宋体" w:hAnsi="宋体" w:cs="宋体"/>
          <w:szCs w:val="21"/>
        </w:rPr>
        <w:t xml:space="preserve">最近三个月内</w:t>
      </w:r>
      <w:r>
        <w:rPr>
          <w:rFonts w:hint="eastAsia" w:ascii="宋体" w:hAnsi="宋体" w:cs="宋体"/>
          <w:szCs w:val="21"/>
        </w:rPr>
        <w:t xml:space="preserve">任意一期的社保缴纳证明复印件，资料未提供或所提供资料无法证明对应评分内容的对应项不得分。</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3.4项目组其他成员配置情况：2分；</w:t>
      </w:r>
      <w:r/>
    </w:p>
    <w:p>
      <w:pPr>
        <w:spacing w:line="360" w:lineRule="auto"/>
        <w:rPr>
          <w:rFonts w:ascii="宋体" w:hAnsi="宋体" w:cs="宋体"/>
          <w:szCs w:val="21"/>
        </w:rPr>
      </w:pPr>
      <w:r>
        <w:rPr>
          <w:rFonts w:hint="eastAsia" w:ascii="宋体" w:hAnsi="宋体" w:cs="宋体"/>
          <w:szCs w:val="21"/>
        </w:rPr>
        <w:t xml:space="preserve">项目组其他成员具有环保类中级（或以上）工程师职称且具备有效的注册环保工程师执业证书的，每具备一人得1分，最高为2分，提供对应人员（人员不得兼任岗位且要求为在职人员）对应评分内容的相关证书及响应单位为其缴纳的最近三个月内任意一期的社保缴纳证明复印件，资料未提供或所提供资料无法证明对应评分内容的对应项不得分。</w:t>
      </w:r>
      <w:r/>
    </w:p>
    <w:p>
      <w:pPr>
        <w:pStyle w:val="1036"/>
        <w:spacing w:after="0" w:line="360" w:lineRule="auto"/>
        <w:rPr>
          <w:rFonts w:ascii="宋体" w:hAnsi="宋体" w:cs="宋体"/>
          <w:szCs w:val="21"/>
        </w:rPr>
      </w:pPr>
      <w:r>
        <w:rPr>
          <w:rFonts w:hint="eastAsia" w:ascii="宋体" w:hAnsi="宋体" w:cs="宋体"/>
          <w:szCs w:val="21"/>
        </w:rPr>
        <w:t xml:space="preserve">3.5针对本项目的现场工作设备的配置情况：4分；</w:t>
      </w:r>
      <w:r/>
    </w:p>
    <w:p>
      <w:pPr>
        <w:pStyle w:val="1036"/>
        <w:spacing w:after="0" w:line="360" w:lineRule="auto"/>
        <w:rPr>
          <w:rFonts w:ascii="宋体" w:hAnsi="宋体" w:cs="宋体"/>
          <w:szCs w:val="21"/>
        </w:rPr>
      </w:pPr>
      <w:r>
        <w:rPr>
          <w:rFonts w:hint="eastAsia" w:ascii="宋体" w:hAnsi="宋体" w:cs="宋体"/>
          <w:szCs w:val="21"/>
        </w:rPr>
        <w:t xml:space="preserve">针对本项目配置具有X射线荧光光谱仪（XRF）现场快速检测设备的，得1分；具有光离子化检测仪（PID）现场快速检测设备的，得1分；具有航拍无人飞机的，得1分；具有GPS定位设备的，得1分。此项最高得4分，且每类设备最多得1分；提供上述设备清单明细表及响应单位购置上述设备的发票证明材料，资料未提供或所提供资料无法证明对应评分内容的对应项不得分。</w:t>
      </w:r>
      <w:r/>
    </w:p>
    <w:p>
      <w:pPr>
        <w:spacing w:line="360" w:lineRule="auto"/>
        <w:rPr>
          <w:rFonts w:ascii="宋体" w:hAnsi="宋体" w:cs="宋体"/>
          <w:b/>
          <w:bCs/>
          <w:szCs w:val="21"/>
        </w:rPr>
      </w:pPr>
      <w:r>
        <w:rPr>
          <w:rFonts w:hint="eastAsia" w:ascii="宋体" w:hAnsi="宋体" w:cs="宋体"/>
          <w:b/>
          <w:bCs/>
          <w:szCs w:val="21"/>
        </w:rPr>
        <w:t xml:space="preserve">（四）响应单位针对本项目服务的综合能力：27分</w:t>
      </w:r>
      <w:r/>
    </w:p>
    <w:p>
      <w:pPr>
        <w:spacing w:line="360" w:lineRule="auto"/>
        <w:rPr>
          <w:rFonts w:ascii="宋体" w:hAnsi="宋体" w:cs="宋体"/>
          <w:szCs w:val="21"/>
        </w:rPr>
      </w:pPr>
      <w:r>
        <w:rPr>
          <w:rFonts w:hint="eastAsia" w:ascii="宋体" w:hAnsi="宋体" w:cs="宋体"/>
          <w:szCs w:val="21"/>
        </w:rPr>
        <w:t xml:space="preserve">4.1污染土壤运输承诺：5分</w:t>
      </w:r>
      <w:r/>
    </w:p>
    <w:p>
      <w:pPr>
        <w:spacing w:line="360" w:lineRule="auto"/>
        <w:rPr>
          <w:rFonts w:ascii="宋体" w:hAnsi="宋体" w:cs="宋体"/>
          <w:szCs w:val="21"/>
        </w:rPr>
      </w:pPr>
      <w:r>
        <w:rPr>
          <w:rFonts w:hint="eastAsia" w:ascii="宋体" w:hAnsi="宋体" w:cs="宋体"/>
          <w:szCs w:val="21"/>
        </w:rPr>
        <w:t xml:space="preserve">响应单位承诺自合</w:t>
      </w:r>
      <w:r>
        <w:rPr>
          <w:rFonts w:hint="eastAsia" w:ascii="宋体" w:hAnsi="宋体" w:cs="宋体"/>
          <w:szCs w:val="21"/>
        </w:rPr>
        <w:t xml:space="preserve">同签订之日起，在20（含）个自然日内完成全部污染土壤开挖且运输至水泥窑协同处置单位的，得5分；响应单位承诺自合同签订之日起，在25（含）个自然日内完成全部污染土壤开挖且运输至水泥窑协同处置单位的，得3分；响应单位承诺自合同签订之日起，在30（含）个自然日内完成全部污染土壤开挖且运输至水泥窑协同处置单位的，得1分。（响应单位或水泥窑协同处置单位提供运输能力证明文件，如拟投入车辆（或船只）吨位、数量、线路（涉及码头的也应写明）、运输时段等并证明可行性。如未提供证明文件或证明材料经评委评审不可行的，此项不得分。）</w:t>
      </w:r>
      <w:r/>
    </w:p>
    <w:p>
      <w:pPr>
        <w:spacing w:line="360" w:lineRule="auto"/>
        <w:rPr>
          <w:rFonts w:ascii="宋体" w:hAnsi="宋体" w:cs="宋体"/>
          <w:szCs w:val="21"/>
        </w:rPr>
      </w:pPr>
      <w:r>
        <w:rPr>
          <w:rFonts w:hint="eastAsia" w:ascii="宋体" w:hAnsi="宋体" w:cs="宋体"/>
          <w:szCs w:val="21"/>
        </w:rPr>
        <w:t xml:space="preserve">4.2水泥窑协同处置单位的污染土壤安全存放容量材料：3分</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水泥窑协同处置单位承诺，自响</w:t>
      </w:r>
      <w:r>
        <w:rPr>
          <w:rFonts w:hint="eastAsia" w:ascii="宋体" w:hAnsi="宋体" w:eastAsia="宋体" w:cs="宋体"/>
          <w:sz w:val="21"/>
          <w:szCs w:val="21"/>
        </w:rPr>
        <w:t xml:space="preserve">应单位签订合同之日起，在20（含）个自然日内能够接收本项目的全部污染土壤并安全存放的，得3分；水泥窑协同处置单位承诺，自响应单位签订合同之日起，在25（含）个自然日内能够接收本项目的全部污染土壤并安全存放的，得2分；水泥窑协同处置单位承诺，自响应单位签订合同之日起，在30（含）个自然日内能够接收本项目的全部污染土壤并安全存放的，得1分。（水泥窑协同处置单位提供盖章承诺书及污染土壤存放场地容量的能力证明文件，如仓储位置、面积、防护器具等并证明可行性。如未提供证明文件或证明材料经评委评审不可行的，此项不得分。）</w:t>
      </w:r>
      <w:r/>
    </w:p>
    <w:p>
      <w:pPr>
        <w:spacing w:line="360" w:lineRule="auto"/>
        <w:rPr>
          <w:rFonts w:ascii="宋体" w:hAnsi="宋体" w:cs="宋体"/>
          <w:szCs w:val="21"/>
        </w:rPr>
      </w:pPr>
      <w:r>
        <w:rPr>
          <w:rFonts w:hint="eastAsia" w:ascii="宋体" w:hAnsi="宋体" w:cs="宋体"/>
          <w:szCs w:val="21"/>
        </w:rPr>
        <w:t xml:space="preserve">4.3类似业绩证明材料：10分</w:t>
      </w:r>
      <w:r/>
    </w:p>
    <w:p>
      <w:pPr>
        <w:spacing w:line="360" w:lineRule="auto"/>
        <w:rPr>
          <w:rFonts w:ascii="宋体" w:hAnsi="宋体" w:cs="宋体"/>
          <w:szCs w:val="21"/>
        </w:rPr>
      </w:pPr>
      <w:r>
        <w:rPr>
          <w:rFonts w:hint="eastAsia" w:ascii="宋体" w:hAnsi="宋体" w:cs="宋体"/>
          <w:szCs w:val="21"/>
        </w:rPr>
        <w:t xml:space="preserve">响应单位自2022年1月1日（以项目效果评估报告通过生态环境部门组织评审的专家复核意见最晚时间为准）至今，独立总承包身份承担污染土壤修复采用水泥窑协同处置技术的类似项目业绩，有一项得3分；独立总承包身份承担污染土壤修复采用非水泥窑协同处置技术的类似项目业绩，有一项得1分，最高为7分。上述总计最高为10分。</w:t>
      </w:r>
      <w:r/>
    </w:p>
    <w:p>
      <w:pPr>
        <w:spacing w:line="360" w:lineRule="auto"/>
        <w:rPr>
          <w:rFonts w:ascii="宋体" w:hAnsi="宋体" w:cs="宋体"/>
          <w:szCs w:val="21"/>
        </w:rPr>
      </w:pPr>
      <w:r>
        <w:rPr>
          <w:rFonts w:hint="eastAsia" w:ascii="宋体" w:hAnsi="宋体" w:cs="宋体"/>
          <w:szCs w:val="21"/>
        </w:rPr>
        <w:t xml:space="preserve">类似项目业绩，是指成功实施并通过验收的土壤修复或治理项目，矿山修复、固体废物处理处置、生活垃</w:t>
      </w:r>
      <w:r>
        <w:rPr>
          <w:rFonts w:hint="eastAsia" w:ascii="宋体" w:hAnsi="宋体" w:cs="宋体"/>
          <w:szCs w:val="21"/>
        </w:rPr>
        <w:t xml:space="preserve">圾处理处置、水体修复、生态修复、底泥治理、农田治理、应急处置等业绩不作为类似项目业绩。需同时提供中标通知书（如为招标项目提供）、项目合</w:t>
      </w:r>
      <w:r>
        <w:rPr>
          <w:rFonts w:hint="eastAsia" w:ascii="宋体" w:hAnsi="宋体" w:cs="宋体"/>
          <w:szCs w:val="21"/>
        </w:rPr>
        <w:t xml:space="preserve">同、竣工验收证明、效果评估报告通过生态环境部门组织评审的专家意见及其复核意见或生态环境部门出具的效果评估报告等资料的备案证明等复印件，提供不全为无效业绩。所提供业绩材料须能反映工程时间、造价、工程类型、修复治理技术等项目特征。如为非公开招投标项目或要求提供的业绩证明材料不能反映项目内容，需提供甲方证明材料复印件和通过生态环境部门验收的专家意见及复核意见或生态环境部门出具的备案证明，否则不得分。若同一土壤修复或治理项目同时包含水泥窑协同处置及其他技术等多种修复技术，仅按采用水泥窑协同处置技术项目业绩计算得分。</w:t>
      </w:r>
      <w:r/>
    </w:p>
    <w:p>
      <w:pPr>
        <w:spacing w:line="360" w:lineRule="auto"/>
        <w:rPr>
          <w:rFonts w:ascii="宋体" w:hAnsi="宋体" w:cs="宋体"/>
          <w:szCs w:val="21"/>
        </w:rPr>
      </w:pPr>
      <w:r>
        <w:rPr>
          <w:rFonts w:hint="eastAsia" w:ascii="宋体" w:hAnsi="宋体" w:cs="宋体"/>
          <w:szCs w:val="21"/>
        </w:rPr>
        <w:t xml:space="preserve">4.4响应单位其他技术能力证书情况：8分</w:t>
      </w:r>
      <w:r/>
    </w:p>
    <w:p>
      <w:pPr>
        <w:spacing w:line="360" w:lineRule="auto"/>
        <w:rPr>
          <w:rFonts w:ascii="宋体" w:hAnsi="宋体" w:cs="宋体"/>
          <w:bCs/>
          <w:szCs w:val="21"/>
        </w:rPr>
      </w:pPr>
      <w:r>
        <w:rPr>
          <w:rFonts w:hint="eastAsia" w:ascii="宋体" w:hAnsi="宋体" w:cs="宋体"/>
          <w:bCs/>
          <w:szCs w:val="21"/>
        </w:rPr>
        <w:t xml:space="preserve">①响应单位自2022年1月1日至今，具有污染土壤修复或治理相关专利的（以授权公告日期为准）：发明专利，有一项得1分；实用新型专利，有一项得0.5分；限评3个专利，最高得3分；提供证书复印件或扫描件，资料未提供或所提供资料无法证明的对应项不得分。②响应单位自2022年1月1日至今（时间以发行或发布日期为准，日期冲突的则以较早时间为准）：响应单位作为主要起草单位参与省</w:t>
      </w:r>
      <w:r>
        <w:rPr>
          <w:rFonts w:hint="eastAsia" w:ascii="宋体" w:hAnsi="宋体" w:cs="宋体"/>
          <w:bCs/>
          <w:szCs w:val="21"/>
        </w:rPr>
        <w:t xml:space="preserve">级以下土壤修复相关规范标准、技术指南、规程、导则等的制修订且已报批并现行适用的，有一项得1分；响应单位作为主要起草单位参与省级或以上土壤修复相关规范标准、技术指南、规程、导则等的制修订且已报批并现行适用的，有一项得2分；此项最高得2分。（提供在全国标准信息公共服务平台下相关模块中检索的标准查询页完整截图（含标准号、发布日期等基础信息及起草单位信息）及正式文件的封面页（含名称及标准号）、目录页、前言页（含主要起草单位）等的证明材料，上述资料未提供或所提供资料无法证明的不得分）③响应单位获得过省级以下相关部门颁</w:t>
      </w:r>
      <w:r>
        <w:rPr>
          <w:rFonts w:hint="eastAsia" w:ascii="宋体" w:hAnsi="宋体" w:cs="宋体"/>
          <w:bCs/>
          <w:szCs w:val="21"/>
        </w:rPr>
        <w:t xml:space="preserve">发的与本项目土壤修复或治理相关的奖项的，有一项得1分；响应单位获得过省级或以上相关部门颁发的与本项目土壤修复或治理相关的奖项的，有一项得2分；此项最高得2分。提供相关证明材料，资料未提供或所提供资料无法证明的不得分。④响应单位具有省级以下修复相关工程技术研究中心（或工程研究中心）且未被撤销资格的得0.5分；具有省级或以上修复相关工程技术研究中心（或工程研究中心）且未被撤销资格的得1分；此项最高得1分。提供相关证明材料以及未被撤销相应资格的承诺书加盖响应单位公章，否则不得分。上述序号①-④总计最高不超过8分。</w:t>
      </w:r>
      <w:r/>
    </w:p>
    <w:p>
      <w:pPr>
        <w:pStyle w:val="1031"/>
        <w:spacing w:before="0" w:after="0" w:line="360" w:lineRule="auto"/>
        <w:tabs>
          <w:tab w:val="left" w:pos="1080" w:leader="none"/>
        </w:tabs>
        <w:rPr>
          <w:rFonts w:ascii="宋体" w:hAnsi="宋体" w:cs="宋体"/>
          <w:b w:val="0"/>
          <w:sz w:val="21"/>
          <w:szCs w:val="21"/>
        </w:rPr>
      </w:pPr>
      <w:r>
        <w:rPr>
          <w:rFonts w:hint="eastAsia" w:ascii="宋体" w:hAnsi="宋体" w:cs="宋体"/>
          <w:b w:val="0"/>
          <w:sz w:val="21"/>
          <w:szCs w:val="21"/>
        </w:rPr>
        <w:t xml:space="preserve">4.5响应单位管理体系情况：1分</w:t>
      </w:r>
      <w:r/>
    </w:p>
    <w:p>
      <w:pPr>
        <w:pStyle w:val="1031"/>
        <w:spacing w:before="0" w:after="0" w:line="360" w:lineRule="auto"/>
        <w:tabs>
          <w:tab w:val="left" w:pos="1080" w:leader="none"/>
        </w:tabs>
        <w:rPr>
          <w:rFonts w:ascii="宋体" w:hAnsi="宋体" w:cs="宋体"/>
          <w:b w:val="0"/>
          <w:sz w:val="21"/>
          <w:szCs w:val="21"/>
        </w:rPr>
      </w:pPr>
      <w:r>
        <w:rPr>
          <w:rFonts w:hint="eastAsia" w:ascii="宋体" w:hAnsi="宋体" w:cs="宋体"/>
          <w:b w:val="0"/>
          <w:sz w:val="21"/>
          <w:szCs w:val="21"/>
        </w:rPr>
        <w:t xml:space="preserve">响应单位同时具有有效的质量管理体系认证、环境管理体系认证、职业健康安全管理体系认证的得1分，响应文件中需提供证书扫描件及证书在全国认证认可信息公共服务平台上查询到的清晰页面截图加盖响应单位公章，资料未提供或所提供资料无法证明的不得分。</w:t>
      </w:r>
      <w:r/>
    </w:p>
    <w:p>
      <w:pPr>
        <w:spacing w:line="360" w:lineRule="auto"/>
        <w:tabs>
          <w:tab w:val="left" w:pos="567" w:leader="none"/>
        </w:tabs>
        <w:rPr>
          <w:rFonts w:ascii="宋体" w:hAnsi="宋体" w:cs="宋体"/>
          <w:b/>
          <w:bCs/>
          <w:szCs w:val="21"/>
        </w:rPr>
      </w:pPr>
      <w:r>
        <w:rPr>
          <w:rFonts w:ascii="宋体" w:hAnsi="宋体" w:cs="宋体"/>
          <w:b/>
          <w:bCs/>
          <w:szCs w:val="21"/>
        </w:rPr>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三、其他说明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1.付款步骤、服务期限如有负偏离的不得中标（成交）。</w:t>
      </w:r>
      <w:r/>
    </w:p>
    <w:p>
      <w:pPr>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响应单位在响应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w:t>
      </w:r>
      <w:r/>
    </w:p>
    <w:p>
      <w:pPr>
        <w:spacing w:line="360" w:lineRule="auto"/>
        <w:tabs>
          <w:tab w:val="left" w:pos="567" w:leader="none"/>
        </w:tabs>
        <w:rPr>
          <w:rFonts w:ascii="宋体" w:hAnsi="宋体" w:cs="宋体"/>
          <w:szCs w:val="21"/>
        </w:rPr>
      </w:pPr>
      <w:r>
        <w:rPr>
          <w:rFonts w:hint="eastAsia" w:ascii="宋体" w:hAnsi="宋体" w:cs="宋体"/>
          <w:szCs w:val="21"/>
        </w:rPr>
        <w:t xml:space="preserve">4.响应单位必须保证全部投标资料的真实性，采购单位有权在采购的任何阶段进行调查和核实，如有虚假或对采购文件所要求说明的情况故意隐瞒或虚报，视为不实质性响应采购文件，为无效投标。已中标（成交）的将取消中标（成交）资格，并按《中华人民共和国政府采购法》第七十七条“提供虚假材料谋取中标、成交”相关处理办法处理。</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ind w:firstLine="420"/>
        <w:jc w:val="cente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甲方（采购单位）： </w:t>
      </w:r>
      <w:r/>
    </w:p>
    <w:p>
      <w:pPr>
        <w:spacing w:line="360" w:lineRule="auto"/>
        <w:rPr>
          <w:rFonts w:ascii="宋体" w:hAnsi="宋体" w:cs="宋体"/>
          <w:b/>
          <w:bCs/>
          <w:szCs w:val="21"/>
        </w:rPr>
      </w:pPr>
      <w:r>
        <w:rPr>
          <w:rFonts w:hint="eastAsia" w:ascii="宋体" w:hAnsi="宋体" w:cs="宋体"/>
          <w:b/>
          <w:bCs/>
          <w:szCs w:val="21"/>
        </w:rPr>
        <w:t xml:space="preserve">地  址：</w:t>
      </w:r>
      <w:r/>
    </w:p>
    <w:p>
      <w:pPr>
        <w:spacing w:line="360" w:lineRule="auto"/>
        <w:rPr>
          <w:rFonts w:ascii="宋体" w:hAnsi="宋体" w:cs="宋体"/>
          <w:b/>
          <w:bCs/>
          <w:szCs w:val="21"/>
        </w:rPr>
      </w:pPr>
      <w:r>
        <w:rPr>
          <w:rFonts w:hint="eastAsia" w:ascii="宋体" w:hAnsi="宋体" w:cs="宋体"/>
          <w:b/>
          <w:bCs/>
          <w:szCs w:val="21"/>
        </w:rPr>
        <w:t xml:space="preserve">联 系 人：</w:t>
      </w:r>
      <w:r/>
    </w:p>
    <w:p>
      <w:pPr>
        <w:spacing w:line="360" w:lineRule="auto"/>
        <w:rPr>
          <w:rFonts w:ascii="宋体" w:hAnsi="宋体" w:cs="宋体"/>
          <w:b/>
          <w:bCs/>
          <w:szCs w:val="21"/>
        </w:rPr>
      </w:pPr>
      <w:r>
        <w:rPr>
          <w:rFonts w:hint="eastAsia" w:ascii="宋体" w:hAnsi="宋体" w:cs="宋体"/>
          <w:b/>
          <w:bCs/>
          <w:szCs w:val="21"/>
        </w:rPr>
        <w:t xml:space="preserve">联系电话：</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乙方（成交单位）：</w:t>
      </w:r>
      <w:r/>
    </w:p>
    <w:p>
      <w:pPr>
        <w:spacing w:line="360" w:lineRule="auto"/>
        <w:rPr>
          <w:rFonts w:ascii="宋体" w:hAnsi="宋体" w:cs="宋体"/>
          <w:b/>
          <w:bCs/>
          <w:szCs w:val="21"/>
        </w:rPr>
      </w:pPr>
      <w:r>
        <w:rPr>
          <w:rFonts w:hint="eastAsia" w:ascii="宋体" w:hAnsi="宋体" w:cs="宋体"/>
          <w:b/>
          <w:bCs/>
          <w:szCs w:val="21"/>
        </w:rPr>
        <w:t xml:space="preserve">地  址：</w:t>
      </w:r>
      <w:r/>
    </w:p>
    <w:p>
      <w:pPr>
        <w:spacing w:line="360" w:lineRule="auto"/>
        <w:rPr>
          <w:rFonts w:ascii="宋体" w:hAnsi="宋体" w:cs="宋体"/>
          <w:b/>
          <w:bCs/>
          <w:szCs w:val="21"/>
        </w:rPr>
      </w:pPr>
      <w:r>
        <w:rPr>
          <w:rFonts w:hint="eastAsia" w:ascii="宋体" w:hAnsi="宋体" w:cs="宋体"/>
          <w:b/>
          <w:bCs/>
          <w:szCs w:val="21"/>
        </w:rPr>
        <w:t xml:space="preserve">联系人：</w:t>
      </w:r>
      <w:r/>
    </w:p>
    <w:p>
      <w:pPr>
        <w:spacing w:line="360" w:lineRule="auto"/>
        <w:rPr>
          <w:rFonts w:ascii="宋体" w:hAnsi="宋体" w:cs="宋体"/>
          <w:b/>
          <w:bCs/>
          <w:szCs w:val="21"/>
        </w:rPr>
      </w:pPr>
      <w:r>
        <w:rPr>
          <w:rFonts w:hint="eastAsia" w:ascii="宋体" w:hAnsi="宋体" w:cs="宋体"/>
          <w:b/>
          <w:bCs/>
          <w:szCs w:val="21"/>
        </w:rPr>
        <w:t xml:space="preserve">联系电话：</w:t>
      </w:r>
      <w:r/>
    </w:p>
    <w:p>
      <w:pPr>
        <w:ind w:firstLine="424"/>
        <w:jc w:val="left"/>
        <w:spacing w:line="360" w:lineRule="auto"/>
        <w:widowControl/>
        <w:rPr>
          <w:rFonts w:ascii="宋体" w:hAnsi="宋体" w:cs="宋体"/>
          <w:szCs w:val="21"/>
        </w:rPr>
      </w:pPr>
      <w:r>
        <w:rPr>
          <w:rFonts w:ascii="宋体" w:hAnsi="宋体" w:cs="宋体"/>
          <w:szCs w:val="21"/>
        </w:rPr>
      </w:r>
      <w:r/>
    </w:p>
    <w:p>
      <w:pPr>
        <w:ind w:firstLine="420"/>
        <w:spacing w:line="360" w:lineRule="auto"/>
        <w:widowControl/>
        <w:rPr>
          <w:rFonts w:ascii="宋体" w:hAnsi="宋体" w:cs="宋体"/>
          <w:szCs w:val="21"/>
        </w:rPr>
      </w:pPr>
      <w:r>
        <w:rPr>
          <w:rFonts w:hint="eastAsia" w:ascii="宋体" w:hAnsi="宋体" w:cs="宋体"/>
          <w:szCs w:val="21"/>
        </w:rPr>
        <w:t xml:space="preserve">根据苏州市工业园区政府采购编号为【  】号苏州工业园区扬贤路东、扬泰路北地块（DK20240242）土壤修复项目的采购文件及该文件的响应投标文件和中标通知书，甲乙双方就甲方聘用乙方从事苏州工业园区扬清路北、扬帆路东地块土壤修复工作，为明确甲方和乙方服务过程中的权利、义务和经济责任，经双方友好协商，签订以下条款，以兹共同遵守。</w:t>
      </w:r>
      <w:r/>
    </w:p>
    <w:p>
      <w:pPr>
        <w:ind w:firstLine="422"/>
        <w:spacing w:line="360" w:lineRule="auto"/>
        <w:widowControl/>
        <w:rPr>
          <w:rFonts w:ascii="宋体" w:hAnsi="宋体" w:cs="宋体"/>
          <w:b/>
          <w:szCs w:val="21"/>
        </w:rPr>
      </w:pPr>
      <w:r>
        <w:rPr>
          <w:rFonts w:hint="eastAsia" w:ascii="宋体" w:hAnsi="宋体" w:cs="宋体"/>
          <w:b/>
          <w:szCs w:val="21"/>
        </w:rPr>
        <w:t xml:space="preserve">一、合同的标的物</w:t>
      </w:r>
      <w:r/>
    </w:p>
    <w:p>
      <w:pPr>
        <w:ind w:firstLine="420"/>
        <w:spacing w:line="360" w:lineRule="auto"/>
        <w:widowControl/>
        <w:rPr>
          <w:rFonts w:ascii="宋体" w:hAnsi="宋体" w:cs="宋体"/>
          <w:szCs w:val="21"/>
        </w:rPr>
      </w:pPr>
      <w:r>
        <w:rPr>
          <w:rFonts w:hint="eastAsia" w:ascii="宋体" w:hAnsi="宋体" w:cs="宋体"/>
          <w:szCs w:val="21"/>
        </w:rPr>
        <w:t xml:space="preserve">甲方向乙方采购内容要求如下：苏州工业园区</w:t>
      </w:r>
      <w:r>
        <w:rPr>
          <w:rFonts w:hint="eastAsia" w:ascii="宋体" w:hAnsi="宋体" w:cs="宋体"/>
          <w:bCs/>
          <w:szCs w:val="21"/>
        </w:rPr>
        <w:t xml:space="preserve">扬贤路东、扬泰路北地块（DK20240242）土壤修复</w:t>
      </w:r>
      <w:r>
        <w:rPr>
          <w:rFonts w:hint="eastAsia" w:ascii="宋体" w:hAnsi="宋体" w:cs="宋体"/>
          <w:szCs w:val="21"/>
        </w:rPr>
        <w:t xml:space="preserve">，界址范围、工作内容及详细工作量详见《</w:t>
      </w:r>
      <w:r>
        <w:rPr>
          <w:rFonts w:hint="eastAsia" w:ascii="宋体" w:hAnsi="宋体" w:cs="宋体"/>
          <w:bCs/>
          <w:szCs w:val="21"/>
        </w:rPr>
        <w:t xml:space="preserve">扬贤路东、扬泰路北地块土壤修复项目补充调查报告</w:t>
      </w:r>
      <w:r>
        <w:rPr>
          <w:rFonts w:hint="eastAsia" w:ascii="宋体" w:hAnsi="宋体" w:cs="宋体"/>
          <w:szCs w:val="21"/>
        </w:rPr>
        <w:t xml:space="preserve">》。</w:t>
      </w:r>
      <w:r/>
    </w:p>
    <w:p>
      <w:pPr>
        <w:ind w:firstLine="422"/>
        <w:spacing w:line="360" w:lineRule="auto"/>
        <w:widowControl/>
        <w:rPr>
          <w:rFonts w:ascii="宋体" w:hAnsi="宋体" w:cs="宋体"/>
          <w:b/>
          <w:szCs w:val="21"/>
        </w:rPr>
      </w:pPr>
      <w:r>
        <w:rPr>
          <w:rFonts w:hint="eastAsia" w:ascii="宋体" w:hAnsi="宋体" w:cs="宋体"/>
          <w:b/>
          <w:szCs w:val="21"/>
        </w:rPr>
        <w:t xml:space="preserve">二、 合同价格与支付</w:t>
      </w:r>
      <w:r/>
    </w:p>
    <w:p>
      <w:pPr>
        <w:ind w:firstLine="420"/>
        <w:spacing w:line="360" w:lineRule="auto"/>
        <w:widowControl/>
        <w:rPr>
          <w:rFonts w:ascii="宋体" w:hAnsi="宋体" w:cs="宋体"/>
          <w:szCs w:val="21"/>
        </w:rPr>
      </w:pPr>
      <w:r>
        <w:rPr>
          <w:rFonts w:hint="eastAsia" w:ascii="宋体" w:hAnsi="宋体" w:cs="宋体"/>
          <w:szCs w:val="21"/>
        </w:rPr>
        <w:t xml:space="preserve">2.1合同价格按此次中标价格执行, 合同含税总金额为人民币：大写【】元整；小写￥【】,该合同价格包含了为完成苏州工业园区</w:t>
      </w:r>
      <w:r>
        <w:rPr>
          <w:rFonts w:hint="eastAsia" w:ascii="宋体" w:hAnsi="宋体" w:cs="宋体"/>
          <w:bCs/>
          <w:szCs w:val="21"/>
        </w:rPr>
        <w:t xml:space="preserve">扬贤路东、扬泰路北地块（DK20240242）</w:t>
      </w:r>
      <w:r>
        <w:rPr>
          <w:rFonts w:hint="eastAsia" w:ascii="宋体" w:hAnsi="宋体" w:cs="宋体"/>
          <w:szCs w:val="21"/>
        </w:rPr>
        <w:t xml:space="preserve">土壤修复方案内以及本合同和采购文件、补充文件约定工作的所有内容，其</w:t>
      </w:r>
      <w:r>
        <w:rPr>
          <w:rFonts w:hint="eastAsia" w:ascii="宋体" w:hAnsi="宋体" w:cs="宋体"/>
          <w:szCs w:val="21"/>
        </w:rPr>
        <w:t xml:space="preserve">包括但不限于</w:t>
      </w:r>
      <w:r>
        <w:rPr>
          <w:rFonts w:hint="eastAsia" w:ascii="宋体" w:hAnsi="宋体" w:cs="宋体"/>
          <w:szCs w:val="21"/>
        </w:rPr>
        <w:t xml:space="preserve">项目实施方案编制、论证、评审，工程实施，基坑监测，废水、废气、噪声、固废等的处理，污染土壤的清挖、运输、存储、预处理、二次搬运、有害物处置、检验验收、监控、二次污染防治以及水泥窑协同处置（包括污染土壤运输、堆放暂存、处置）技术等对污染土壤治理全过程发生的所有费用，</w:t>
      </w:r>
      <w:r>
        <w:rPr>
          <w:rFonts w:hint="eastAsia" w:ascii="宋体" w:hAnsi="宋体" w:cs="宋体"/>
          <w:szCs w:val="21"/>
        </w:rPr>
        <w:t xml:space="preserve">以及项目所需的物品、设备、工具费用，保险、现场吊装、检测验收、安装调试、技术支持与培训、售后服务与维保及相关劳务支出等工作所发生的全部费用以及乙方企业利润、税金和政策性文件规定及合同包含的所有风险（包括但不限于项目实施期间价格的涨跌，政策性调整，项目未知事宜等）、责任等各项应有费用。本项目为“交钥匙”项目，总价包干。投标报价为最终报价，除非因特殊原因并经甲方同意，乙方不得再要求追加任何费用。同时，除非合同条款中另有规定，否则，合同价格在合同实施期间不因市场变化因素而变动。</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2.2 在政府采购合同履行中，甲方确需追加与合同标的相同服务的，在不改变合同其他条款的前提下，可以与乙方协商签订补充合同，但所有补充合同的采购金额不得超过原合同采购金额的百分之十。</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实质性响应条款：</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（1）追加费用不得超过原合同金额的10%。</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（2）原合同金额10%以内的追加费用，限于原合同内清单数量调整增加的费用，原合同外内容不得计入。</w:t>
      </w:r>
      <w:r/>
    </w:p>
    <w:p>
      <w:pPr>
        <w:ind w:firstLine="422"/>
        <w:spacing w:line="360" w:lineRule="auto"/>
        <w:widowControl/>
        <w:rPr>
          <w:rFonts w:ascii="宋体" w:hAnsi="宋体" w:cs="宋体"/>
          <w:b/>
          <w:bCs/>
          <w:szCs w:val="21"/>
        </w:rPr>
      </w:pPr>
      <w:r>
        <w:rPr>
          <w:rFonts w:hint="eastAsia" w:ascii="宋体" w:hAnsi="宋体" w:cs="宋体"/>
          <w:b/>
          <w:bCs/>
          <w:szCs w:val="21"/>
        </w:rPr>
        <w:t xml:space="preserve">2.3 付款方式（具体以最终签订合同为准）： </w:t>
      </w:r>
      <w:r/>
    </w:p>
    <w:p>
      <w:pPr>
        <w:ind w:left="2" w:right="-153" w:firstLine="372"/>
        <w:spacing w:line="360" w:lineRule="auto"/>
        <w:rPr>
          <w:rFonts w:ascii="宋体" w:hAnsi="宋体" w:cs="宋体"/>
          <w:szCs w:val="21"/>
        </w:rPr>
      </w:pPr>
      <w:r>
        <w:rPr>
          <w:rFonts w:hint="eastAsia" w:ascii="宋体" w:hAnsi="宋体" w:cs="宋体"/>
          <w:szCs w:val="21"/>
        </w:rPr>
        <w:t xml:space="preserve">甲方根据乙方在本合同中所提供银行开户信息转账支付。</w:t>
      </w:r>
      <w:r/>
    </w:p>
    <w:p>
      <w:pPr>
        <w:ind w:left="2" w:right="-153" w:firstLine="372"/>
        <w:spacing w:line="360" w:lineRule="auto"/>
        <w:rPr>
          <w:rFonts w:ascii="宋体" w:hAnsi="宋体" w:cs="宋体"/>
          <w:szCs w:val="21"/>
        </w:rPr>
      </w:pPr>
      <w:r>
        <w:rPr>
          <w:rFonts w:hint="eastAsia" w:ascii="宋体" w:hAnsi="宋体" w:cs="宋体"/>
          <w:szCs w:val="21"/>
        </w:rPr>
        <w:t xml:space="preserve">乙方开户名称：</w:t>
      </w:r>
      <w:r/>
    </w:p>
    <w:p>
      <w:pPr>
        <w:ind w:left="2" w:right="-153" w:firstLine="372"/>
        <w:spacing w:line="360" w:lineRule="auto"/>
        <w:rPr>
          <w:rFonts w:ascii="宋体" w:hAnsi="宋体" w:cs="宋体"/>
          <w:szCs w:val="21"/>
        </w:rPr>
      </w:pPr>
      <w:r>
        <w:rPr>
          <w:rFonts w:hint="eastAsia" w:ascii="宋体" w:hAnsi="宋体" w:cs="宋体"/>
          <w:szCs w:val="21"/>
        </w:rPr>
        <w:t xml:space="preserve">开户银行：</w:t>
      </w:r>
      <w:r/>
    </w:p>
    <w:p>
      <w:pPr>
        <w:ind w:left="2" w:right="-153" w:firstLine="372"/>
        <w:spacing w:line="360" w:lineRule="auto"/>
        <w:rPr>
          <w:rFonts w:ascii="宋体" w:hAnsi="宋体" w:cs="宋体"/>
          <w:szCs w:val="21"/>
        </w:rPr>
      </w:pPr>
      <w:r>
        <w:rPr>
          <w:rFonts w:hint="eastAsia" w:ascii="宋体" w:hAnsi="宋体" w:cs="宋体"/>
          <w:szCs w:val="21"/>
        </w:rPr>
        <w:t xml:space="preserve">银行账号：</w:t>
      </w:r>
      <w:r/>
    </w:p>
    <w:p>
      <w:pPr>
        <w:ind w:left="2" w:right="-153" w:firstLine="372"/>
        <w:spacing w:line="360" w:lineRule="auto"/>
        <w:rPr>
          <w:rFonts w:ascii="宋体" w:hAnsi="宋体" w:cs="宋体"/>
          <w:szCs w:val="21"/>
        </w:rPr>
      </w:pPr>
      <w:r>
        <w:rPr>
          <w:rFonts w:hint="eastAsia" w:ascii="宋体" w:hAnsi="宋体" w:cs="宋体"/>
          <w:szCs w:val="21"/>
        </w:rPr>
        <w:t xml:space="preserve">数字钱包ID：</w:t>
      </w:r>
      <w:r/>
    </w:p>
    <w:p>
      <w:pPr>
        <w:ind w:firstLine="420"/>
        <w:spacing w:line="360" w:lineRule="auto"/>
        <w:widowControl/>
        <w:rPr>
          <w:rFonts w:ascii="宋体" w:hAnsi="宋体" w:cs="宋体"/>
          <w:szCs w:val="21"/>
        </w:rPr>
      </w:pPr>
      <w:r>
        <w:rPr>
          <w:rFonts w:hint="eastAsia" w:ascii="宋体" w:hAnsi="宋体" w:cs="宋体"/>
          <w:szCs w:val="21"/>
        </w:rPr>
        <w:t xml:space="preserve">经双方协商一致同意，在本合同签订后，若因乙方办理“园采贷”信用融资的需要，本合同2.3条中约定的收款账号可作变更，变更后的账号为甲方付款时中征应收账款融资服务平台中资金提供方指定的回款账户，甲方支付至该账号的款项，亦视为已向乙方履行完毕支付义务。各采购人（采购单位）同时应与办理“园采贷”的供应商签订变更账号的补充协议或由供应商提供账号的变更申请。乙方银行账户如需变更，应至少于付款期限届满前 10 个工作日书面通知甲方，否则产生的一切责任、因变更引起的额外费用由乙方承担。</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2.3.1 付款步骤：</w:t>
      </w:r>
      <w:r/>
    </w:p>
    <w:p>
      <w:pPr>
        <w:ind w:firstLine="420"/>
        <w:jc w:val="left"/>
        <w:spacing w:line="360" w:lineRule="auto"/>
        <w:widowControl/>
        <w:rPr>
          <w:rFonts w:ascii="宋体" w:hAnsi="宋体" w:cs="宋体"/>
          <w:szCs w:val="21"/>
        </w:rPr>
      </w:pPr>
      <w:r>
        <w:rPr>
          <w:rFonts w:hint="eastAsia" w:ascii="宋体" w:hAnsi="宋体" w:cs="宋体"/>
          <w:szCs w:val="21"/>
        </w:rPr>
        <w:t xml:space="preserve">合同总金额分三期支付：</w:t>
      </w:r>
      <w:r/>
    </w:p>
    <w:p>
      <w:pPr>
        <w:ind w:firstLine="420"/>
        <w:spacing w:line="360" w:lineRule="auto"/>
        <w:widowControl/>
        <w:rPr>
          <w:rFonts w:ascii="宋体" w:hAnsi="宋体" w:cs="宋体"/>
          <w:szCs w:val="21"/>
        </w:rPr>
      </w:pPr>
      <w:r>
        <w:rPr>
          <w:rFonts w:hint="eastAsia" w:ascii="宋体" w:hAnsi="宋体" w:cs="宋体"/>
          <w:szCs w:val="21"/>
        </w:rPr>
        <w:t xml:space="preserve">（1）本合同签订之日起15个工作日内，甲方向乙方预付合同约定总金额的10%款项，同时乙方向甲方提供等额保函，乙方明确不需要预付款的，甲方可以不支付预付款；</w:t>
      </w:r>
      <w:r/>
    </w:p>
    <w:p>
      <w:pPr>
        <w:ind w:firstLine="420"/>
        <w:jc w:val="left"/>
        <w:spacing w:line="360" w:lineRule="auto"/>
        <w:widowControl/>
        <w:rPr>
          <w:rFonts w:ascii="宋体" w:hAnsi="宋体" w:cs="宋体"/>
          <w:szCs w:val="21"/>
        </w:rPr>
      </w:pPr>
      <w:r>
        <w:rPr>
          <w:rFonts w:hint="eastAsia" w:ascii="宋体" w:hAnsi="宋体" w:cs="宋体"/>
          <w:szCs w:val="21"/>
        </w:rPr>
        <w:t xml:space="preserve">（2）土方挖掘、运输完成且自评估具备效果评估验收条件，材料齐全，经甲方确认后，甲方向乙方支付合同约定总金额的40%款项；</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（3）项目通过总体效果评估验收，配合完成效果评估备案且材料齐全，完成项目结算审计后，甲方向乙方支付项目修复审计总金额的剩余款项。</w:t>
      </w:r>
      <w:r/>
    </w:p>
    <w:p>
      <w:pPr>
        <w:ind w:firstLine="420"/>
        <w:jc w:val="left"/>
        <w:spacing w:line="360" w:lineRule="auto"/>
        <w:widowControl/>
        <w:rPr>
          <w:rFonts w:ascii="宋体" w:hAnsi="宋体" w:cs="宋体"/>
          <w:szCs w:val="21"/>
        </w:rPr>
      </w:pPr>
      <w:r>
        <w:rPr>
          <w:rFonts w:hint="eastAsia" w:ascii="宋体" w:hAnsi="宋体" w:cs="宋体"/>
          <w:szCs w:val="21"/>
        </w:rPr>
        <w:t xml:space="preserve">2.3.2 甲方每次付款时，乙方应根据甲方确认的付款金额出具符合甲方要求的等额发票。乙方逾期提供发票的，甲方有权相应顺延付款时间且不视为甲方违约，乙方仍应按约履行合同义务。</w:t>
      </w:r>
      <w:r/>
    </w:p>
    <w:p>
      <w:pPr>
        <w:ind w:firstLine="422"/>
        <w:spacing w:line="360" w:lineRule="auto"/>
        <w:widowControl/>
        <w:rPr>
          <w:rFonts w:ascii="宋体" w:hAnsi="宋体" w:cs="宋体"/>
          <w:b/>
          <w:bCs/>
          <w:szCs w:val="21"/>
        </w:rPr>
      </w:pPr>
      <w:r>
        <w:rPr>
          <w:rFonts w:hint="eastAsia" w:ascii="宋体" w:hAnsi="宋体" w:cs="宋体"/>
          <w:b/>
          <w:bCs/>
          <w:szCs w:val="21"/>
        </w:rPr>
        <w:t xml:space="preserve">2.3.3项目履约验收方案说明：</w:t>
      </w:r>
      <w:r/>
    </w:p>
    <w:p>
      <w:pPr>
        <w:ind w:firstLine="420"/>
        <w:spacing w:line="360" w:lineRule="auto"/>
        <w:widowControl/>
        <w:rPr>
          <w:rFonts w:ascii="宋体" w:hAnsi="宋体" w:cs="宋体"/>
          <w:szCs w:val="21"/>
        </w:rPr>
      </w:pPr>
      <w:r>
        <w:rPr>
          <w:rFonts w:hint="eastAsia" w:ascii="宋体" w:hAnsi="宋体" w:cs="宋体"/>
          <w:szCs w:val="21"/>
        </w:rPr>
        <w:t xml:space="preserve">（1）具备验收条件是指乙方现场已完成全部治理修复实施工作，向甲方提出书面验收（效果评估）申请，并提供相应的自检合格报告，甲方、监理方、效果评估方确认后，视为具备验收条件。一次性验收（效果评估）不通过的，再次（或多次）验收（效果评估）产生的费用由乙方承担。</w:t>
      </w:r>
      <w:r/>
    </w:p>
    <w:p>
      <w:pPr>
        <w:ind w:firstLine="420"/>
        <w:spacing w:line="360" w:lineRule="auto"/>
        <w:widowControl/>
        <w:rPr>
          <w:rFonts w:ascii="宋体" w:hAnsi="宋体" w:cs="宋体"/>
          <w:szCs w:val="21"/>
        </w:rPr>
      </w:pPr>
      <w:r>
        <w:rPr>
          <w:rFonts w:hint="eastAsia" w:ascii="宋体" w:hAnsi="宋体" w:cs="宋体"/>
          <w:szCs w:val="21"/>
        </w:rPr>
        <w:t xml:space="preserve">（2）验收（效果评估）是否全部合格以甲方委托的第三方验收（效果评估）单位出具的通过专家评审的报告为准。</w:t>
      </w:r>
      <w:r/>
    </w:p>
    <w:p>
      <w:pPr>
        <w:ind w:firstLine="420"/>
        <w:spacing w:line="360" w:lineRule="auto"/>
        <w:widowControl/>
      </w:pPr>
      <w:r>
        <w:rPr>
          <w:rFonts w:hint="eastAsia" w:ascii="宋体" w:hAnsi="宋体" w:cs="宋体"/>
          <w:szCs w:val="21"/>
        </w:rPr>
        <w:t xml:space="preserve">（3）其他履约验收要求按</w:t>
      </w:r>
      <w:r>
        <w:rPr>
          <w:rFonts w:ascii="宋体" w:hAnsi="宋体" w:cs="宋体"/>
        </w:rPr>
        <w:t xml:space="preserve">《江</w:t>
      </w:r>
      <w:bookmarkStart w:id="37" w:name="_GoBack"/>
      <w:r/>
      <w:bookmarkEnd w:id="37"/>
      <w:r>
        <w:rPr>
          <w:rFonts w:ascii="宋体" w:hAnsi="宋体" w:cs="宋体"/>
        </w:rPr>
        <w:t xml:space="preserve">苏省政府采购履约验收管理办法》和《苏州工业园区政府采购履约验收管理暂行办法》</w:t>
      </w:r>
      <w:r>
        <w:rPr>
          <w:rFonts w:hint="eastAsia" w:ascii="宋体" w:hAnsi="宋体" w:cs="宋体"/>
        </w:rPr>
        <w:t xml:space="preserve">的相关规定执行。</w:t>
      </w:r>
      <w:r/>
    </w:p>
    <w:p>
      <w:pPr>
        <w:ind w:firstLine="420"/>
        <w:spacing w:line="360" w:lineRule="auto"/>
        <w:widowControl/>
        <w:rPr>
          <w:rFonts w:ascii="宋体" w:hAnsi="宋体" w:cs="宋体"/>
          <w:szCs w:val="21"/>
        </w:rPr>
      </w:pPr>
      <w:r>
        <w:rPr>
          <w:rFonts w:hint="eastAsia" w:ascii="宋体" w:hAnsi="宋体" w:cs="宋体"/>
          <w:szCs w:val="21"/>
        </w:rPr>
        <w:t xml:space="preserve">2.3.4项目结算：</w:t>
      </w:r>
      <w:r/>
    </w:p>
    <w:p>
      <w:pPr>
        <w:numPr>
          <w:ilvl w:val="0"/>
          <w:numId w:val="4"/>
        </w:numPr>
        <w:ind w:firstLine="420"/>
        <w:spacing w:line="360" w:lineRule="auto"/>
        <w:widowControl/>
        <w:rPr>
          <w:rFonts w:ascii="宋体" w:hAnsi="宋体" w:cs="宋体"/>
          <w:szCs w:val="21"/>
        </w:rPr>
      </w:pPr>
      <w:r>
        <w:rPr>
          <w:rFonts w:hint="eastAsia" w:ascii="宋体" w:hAnsi="宋体" w:cs="宋体"/>
          <w:szCs w:val="21"/>
        </w:rPr>
        <w:t xml:space="preserve">以审计结果为本项目价款结算依据；</w:t>
      </w:r>
      <w:r/>
    </w:p>
    <w:p>
      <w:pPr>
        <w:numPr>
          <w:ilvl w:val="0"/>
          <w:numId w:val="4"/>
        </w:numPr>
        <w:ind w:firstLine="420"/>
        <w:spacing w:line="360" w:lineRule="auto"/>
        <w:widowControl/>
        <w:rPr>
          <w:rFonts w:ascii="宋体" w:hAnsi="宋体" w:cs="宋体"/>
          <w:szCs w:val="21"/>
        </w:rPr>
      </w:pPr>
      <w:r>
        <w:rPr>
          <w:rFonts w:hint="eastAsia" w:ascii="宋体" w:hAnsi="宋体" w:cs="宋体"/>
          <w:szCs w:val="21"/>
        </w:rPr>
        <w:t xml:space="preserve">如项目结算、决算核减金额超过总价的7％，则其结算、决算审计费用的浮动部分中，超过7％部分按核减造价4％计算确定的审计费用由乙方承担，甲方有权在向乙方支付的任何合同价款中直接进行代扣。</w:t>
      </w:r>
      <w:r/>
    </w:p>
    <w:p>
      <w:pPr>
        <w:ind w:firstLine="404"/>
        <w:spacing w:line="360" w:lineRule="auto"/>
        <w:widowControl/>
        <w:rPr>
          <w:rFonts w:ascii="宋体" w:hAnsi="宋体" w:cs="宋体"/>
          <w:szCs w:val="21"/>
        </w:rPr>
      </w:pPr>
      <w:r>
        <w:rPr>
          <w:rFonts w:hint="eastAsia" w:ascii="宋体" w:hAnsi="宋体" w:cs="宋体"/>
          <w:spacing w:val="-4"/>
          <w:szCs w:val="21"/>
        </w:rPr>
        <w:t xml:space="preserve">2.3.5履约保证金</w:t>
      </w:r>
      <w:r/>
    </w:p>
    <w:p>
      <w:pPr>
        <w:ind w:firstLine="404"/>
        <w:spacing w:line="360" w:lineRule="auto"/>
        <w:widowControl/>
        <w:rPr>
          <w:rFonts w:ascii="宋体" w:hAnsi="宋体" w:cs="宋体"/>
          <w:spacing w:val="-4"/>
          <w:szCs w:val="21"/>
        </w:rPr>
      </w:pPr>
      <w:r>
        <w:rPr>
          <w:rFonts w:hint="eastAsia" w:ascii="宋体" w:hAnsi="宋体" w:cs="宋体"/>
          <w:spacing w:val="-4"/>
          <w:szCs w:val="21"/>
        </w:rPr>
        <w:t xml:space="preserve">本项目：</w:t>
      </w:r>
      <w:r/>
    </w:p>
    <w:p>
      <w:pPr>
        <w:ind w:firstLine="406"/>
        <w:spacing w:line="360" w:lineRule="auto"/>
        <w:widowControl/>
        <w:rPr>
          <w:rFonts w:ascii="宋体" w:hAnsi="宋体" w:cs="宋体"/>
          <w:b/>
          <w:bCs/>
          <w:szCs w:val="21"/>
        </w:rPr>
      </w:pPr>
      <w:r>
        <w:rPr>
          <w:rFonts w:hint="eastAsia" w:ascii="宋体" w:hAnsi="宋体" w:cs="宋体"/>
          <w:b/>
          <w:bCs/>
          <w:spacing w:val="-4"/>
          <w:szCs w:val="21"/>
        </w:rPr>
        <w:t xml:space="preserve">√不要求提交履约保证金；</w:t>
      </w:r>
      <w:r/>
    </w:p>
    <w:p>
      <w:pPr>
        <w:ind w:firstLine="416"/>
        <w:spacing w:line="360" w:lineRule="auto"/>
        <w:widowControl/>
        <w:rPr>
          <w:rFonts w:ascii="宋体" w:hAnsi="宋体" w:cs="宋体"/>
          <w:szCs w:val="21"/>
        </w:rPr>
      </w:pPr>
      <w:r>
        <w:rPr>
          <w:rFonts w:hint="eastAsia" w:ascii="宋体" w:hAnsi="宋体" w:cs="宋体"/>
          <w:spacing w:val="-1"/>
          <w:szCs w:val="21"/>
        </w:rPr>
        <w:t xml:space="preserve">□要求提交履约保证金，金额：合同金额的</w:t>
      </w:r>
      <w:r>
        <w:rPr>
          <w:rFonts w:hint="eastAsia" w:ascii="宋体" w:hAnsi="宋体" w:cs="宋体"/>
          <w:spacing w:val="-2"/>
          <w:szCs w:val="21"/>
        </w:rPr>
        <w:t xml:space="preserve">【】%，要求如下：</w:t>
      </w:r>
      <w:r/>
    </w:p>
    <w:p>
      <w:pPr>
        <w:ind w:right="72" w:firstLine="388"/>
        <w:spacing w:line="360" w:lineRule="auto"/>
        <w:widowControl/>
        <w:rPr>
          <w:rFonts w:ascii="宋体" w:hAnsi="宋体" w:cs="宋体"/>
          <w:szCs w:val="21"/>
        </w:rPr>
      </w:pPr>
      <w:r>
        <w:rPr>
          <w:rFonts w:hint="eastAsia" w:ascii="宋体" w:hAnsi="宋体" w:cs="宋体"/>
          <w:spacing w:val="-8"/>
          <w:szCs w:val="21"/>
        </w:rPr>
        <w:t xml:space="preserve">（1）在签订合同前，乙方应当以支票、汇票、本票或者金融机构、担保机构出具的保</w:t>
      </w:r>
      <w:r>
        <w:rPr>
          <w:rFonts w:hint="eastAsia" w:ascii="宋体" w:hAnsi="宋体" w:cs="宋体"/>
          <w:spacing w:val="1"/>
          <w:szCs w:val="21"/>
        </w:rPr>
        <w:t xml:space="preserve">函等非现金形式提交。联合体成交的，其履</w:t>
      </w:r>
      <w:r>
        <w:rPr>
          <w:rFonts w:hint="eastAsia" w:ascii="宋体" w:hAnsi="宋体" w:cs="宋体"/>
          <w:szCs w:val="21"/>
        </w:rPr>
        <w:t xml:space="preserve">约保证金以联合体各方或者联合体中牵头人的名</w:t>
      </w:r>
      <w:r>
        <w:rPr>
          <w:rFonts w:hint="eastAsia" w:ascii="宋体" w:hAnsi="宋体" w:cs="宋体"/>
          <w:spacing w:val="-2"/>
          <w:szCs w:val="21"/>
        </w:rPr>
        <w:t xml:space="preserve">义提交。履约保证金的数额不超过合同金额的10%。</w:t>
      </w:r>
      <w:r/>
    </w:p>
    <w:p>
      <w:pPr>
        <w:ind w:right="72" w:firstLine="210"/>
        <w:spacing w:line="360" w:lineRule="auto"/>
        <w:widowControl/>
        <w:rPr>
          <w:rFonts w:ascii="宋体" w:hAnsi="宋体" w:cs="宋体"/>
          <w:szCs w:val="21"/>
        </w:rPr>
      </w:pPr>
      <w:r>
        <w:rPr>
          <w:rFonts w:hint="eastAsia" w:ascii="宋体" w:hAnsi="宋体" w:cs="宋体"/>
          <w:szCs w:val="21"/>
        </w:rPr>
        <w:t xml:space="preserve">（2）乙方无故拖延或拒不提交履约保证金的，视为拒绝与甲方签订合同，甲方有权另行采购，由此发生的费用均由乙方承担。</w:t>
      </w:r>
      <w:r/>
    </w:p>
    <w:p>
      <w:pPr>
        <w:ind w:right="72" w:firstLine="210"/>
        <w:spacing w:line="360" w:lineRule="auto"/>
        <w:widowControl/>
        <w:rPr>
          <w:rFonts w:ascii="宋体" w:hAnsi="宋体" w:cs="宋体"/>
          <w:szCs w:val="21"/>
        </w:rPr>
      </w:pPr>
      <w:r>
        <w:rPr>
          <w:rFonts w:hint="eastAsia" w:ascii="宋体" w:hAnsi="宋体" w:cs="宋体"/>
          <w:szCs w:val="21"/>
        </w:rPr>
        <w:t xml:space="preserve">（3）履约保证金将在乙方合同履行完毕且验收合格后，甲方在五个工作日内无息退返乙方。</w:t>
      </w:r>
      <w:r/>
    </w:p>
    <w:p>
      <w:pPr>
        <w:ind w:right="72" w:firstLine="210"/>
        <w:spacing w:line="360" w:lineRule="auto"/>
        <w:widowControl/>
        <w:rPr>
          <w:rFonts w:ascii="宋体" w:hAnsi="宋体" w:cs="宋体"/>
          <w:szCs w:val="21"/>
        </w:rPr>
      </w:pPr>
      <w:r>
        <w:rPr>
          <w:rFonts w:hint="eastAsia" w:ascii="宋体" w:hAnsi="宋体" w:cs="宋体"/>
          <w:szCs w:val="21"/>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ind w:firstLine="422"/>
        <w:spacing w:line="360" w:lineRule="auto"/>
        <w:widowControl/>
        <w:rPr>
          <w:rFonts w:ascii="宋体" w:hAnsi="宋体" w:cs="宋体"/>
          <w:b/>
          <w:szCs w:val="21"/>
        </w:rPr>
      </w:pPr>
      <w:r>
        <w:rPr>
          <w:rFonts w:hint="eastAsia" w:ascii="宋体" w:hAnsi="宋体" w:cs="宋体"/>
          <w:b/>
          <w:szCs w:val="21"/>
        </w:rPr>
        <w:t xml:space="preserve">三、合同履约期限</w:t>
      </w:r>
      <w:r/>
    </w:p>
    <w:p>
      <w:pPr>
        <w:ind w:firstLine="422"/>
        <w:spacing w:line="360" w:lineRule="auto"/>
        <w:widowControl/>
        <w:rPr>
          <w:rFonts w:ascii="宋体" w:hAnsi="宋体" w:cs="宋体"/>
          <w:b/>
          <w:szCs w:val="21"/>
        </w:rPr>
      </w:pPr>
      <w:r>
        <w:rPr>
          <w:rFonts w:hint="eastAsia" w:ascii="宋体" w:hAnsi="宋体" w:cs="宋体"/>
          <w:b/>
          <w:szCs w:val="21"/>
        </w:rPr>
        <w:t xml:space="preserve">3.1污染地块治理总工期为合同签订之日起35个自然日（具体从合同签署之日起至具备验收条件时止），其中，全部污染土壤开挖且运输至水泥窑协同处置单位等工作时限以乙方中标承诺时间自合同签署之日起</w:t>
      </w:r>
      <w:r>
        <w:rPr>
          <w:rFonts w:hint="eastAsia" w:ascii="宋体" w:hAnsi="宋体" w:cs="宋体"/>
          <w:szCs w:val="21"/>
        </w:rPr>
        <w:t xml:space="preserve">【】</w:t>
      </w:r>
      <w:r>
        <w:rPr>
          <w:rFonts w:hint="eastAsia" w:ascii="宋体" w:hAnsi="宋体" w:cs="宋体"/>
          <w:b/>
          <w:szCs w:val="21"/>
        </w:rPr>
        <w:t xml:space="preserve">个自然日为准；总工期包括修复效果自评估时间，不包括甲方组织的验收（效果评估）时间，</w:t>
      </w:r>
      <w:bookmarkStart w:id="38" w:name="OLE_LINK3"/>
      <w:r/>
      <w:bookmarkStart w:id="39" w:name="OLE_LINK4"/>
      <w:r>
        <w:rPr>
          <w:rFonts w:hint="eastAsia" w:ascii="宋体" w:hAnsi="宋体" w:cs="宋体"/>
          <w:b/>
          <w:szCs w:val="21"/>
        </w:rPr>
        <w:t xml:space="preserve">但因乙方原因导致验收未通过的，乙方整改期间按工期逾期处理。</w:t>
      </w:r>
      <w:bookmarkEnd w:id="38"/>
      <w:r/>
      <w:bookmarkEnd w:id="39"/>
      <w:r/>
      <w:r/>
    </w:p>
    <w:p>
      <w:pPr>
        <w:ind w:firstLine="420"/>
        <w:spacing w:line="360" w:lineRule="auto"/>
        <w:widowControl/>
        <w:rPr>
          <w:rFonts w:ascii="宋体" w:hAnsi="宋体" w:cs="宋体"/>
          <w:szCs w:val="21"/>
        </w:rPr>
      </w:pPr>
      <w:r>
        <w:rPr>
          <w:rFonts w:hint="eastAsia" w:ascii="宋体" w:hAnsi="宋体" w:cs="宋体"/>
          <w:szCs w:val="21"/>
        </w:rPr>
        <w:t xml:space="preserve">3.2因甲方原因未按计划开工日期开工的，甲方应按实际开工日期顺延竣工日期，除此以外，甲方无需再承担任何其他责任。因甲方原因或不可抗力等导致工期延误需要修订项目实施进度计划的，甲乙双方应根据实际必要的延误周期修改项目实施进度计划。但项目实施进度计划的调整，不减轻或免除乙方根据法律规定和本合同约定应承担的任何责任或义务。</w:t>
      </w:r>
      <w:r/>
    </w:p>
    <w:p>
      <w:pPr>
        <w:ind w:firstLine="422"/>
        <w:spacing w:line="360" w:lineRule="auto"/>
        <w:widowControl/>
        <w:rPr>
          <w:rFonts w:ascii="宋体" w:hAnsi="宋体" w:cs="宋体"/>
          <w:b/>
          <w:szCs w:val="21"/>
        </w:rPr>
      </w:pPr>
      <w:r>
        <w:rPr>
          <w:rFonts w:hint="eastAsia" w:ascii="宋体" w:hAnsi="宋体" w:cs="宋体"/>
          <w:b/>
          <w:szCs w:val="21"/>
        </w:rPr>
        <w:t xml:space="preserve">四、项目地点</w:t>
      </w:r>
      <w:r/>
    </w:p>
    <w:p>
      <w:pPr>
        <w:ind w:firstLine="422"/>
        <w:spacing w:line="360" w:lineRule="auto"/>
        <w:widowControl/>
        <w:rPr>
          <w:rFonts w:ascii="宋体" w:hAnsi="宋体" w:cs="宋体"/>
          <w:b/>
          <w:szCs w:val="21"/>
        </w:rPr>
      </w:pPr>
      <w:r>
        <w:rPr>
          <w:rFonts w:hint="eastAsia" w:ascii="宋体" w:hAnsi="宋体" w:cs="宋体"/>
          <w:b/>
          <w:szCs w:val="21"/>
        </w:rPr>
        <w:t xml:space="preserve">地块现场地点：苏州工业园区扬贤路东、扬泰路北，具体范围按照甲方提供的《扬贤路东、扬泰路北地块土壤修复项目补充调查报告》为准。</w:t>
      </w:r>
      <w:r/>
    </w:p>
    <w:p>
      <w:pPr>
        <w:ind w:firstLine="422"/>
        <w:spacing w:line="360" w:lineRule="auto"/>
        <w:widowControl/>
        <w:rPr>
          <w:rFonts w:ascii="宋体" w:hAnsi="宋体" w:cs="宋体"/>
          <w:b/>
          <w:szCs w:val="21"/>
        </w:rPr>
      </w:pPr>
      <w:r>
        <w:rPr>
          <w:rFonts w:hint="eastAsia" w:ascii="宋体" w:hAnsi="宋体" w:cs="宋体"/>
          <w:b/>
          <w:szCs w:val="21"/>
        </w:rPr>
        <w:t xml:space="preserve">五、工程师及现场其他管理人员</w:t>
      </w:r>
      <w:r/>
    </w:p>
    <w:p>
      <w:pPr>
        <w:ind w:firstLine="420"/>
        <w:spacing w:line="360" w:lineRule="auto"/>
        <w:widowControl/>
        <w:rPr>
          <w:rFonts w:ascii="宋体" w:hAnsi="宋体" w:cs="宋体"/>
          <w:szCs w:val="21"/>
        </w:rPr>
      </w:pPr>
      <w:r>
        <w:rPr>
          <w:rFonts w:hint="eastAsia" w:ascii="宋体" w:hAnsi="宋体" w:cs="宋体"/>
          <w:szCs w:val="21"/>
        </w:rPr>
        <w:t xml:space="preserve">5.1监理单位委派的工程师（若有）</w:t>
      </w:r>
      <w:r/>
    </w:p>
    <w:p>
      <w:pPr>
        <w:ind w:firstLine="420"/>
        <w:spacing w:line="360" w:lineRule="auto"/>
        <w:widowControl/>
        <w:rPr>
          <w:rFonts w:ascii="宋体" w:hAnsi="宋体" w:cs="宋体"/>
          <w:szCs w:val="21"/>
        </w:rPr>
      </w:pPr>
      <w:r>
        <w:rPr>
          <w:rFonts w:hint="eastAsia" w:ascii="宋体" w:hAnsi="宋体" w:cs="宋体"/>
          <w:szCs w:val="21"/>
        </w:rPr>
        <w:t xml:space="preserve">地块现场施工监理 姓名：     职务： </w:t>
      </w:r>
      <w:r/>
    </w:p>
    <w:p>
      <w:pPr>
        <w:ind w:firstLine="420"/>
        <w:spacing w:line="360" w:lineRule="auto"/>
        <w:widowControl/>
        <w:rPr>
          <w:rFonts w:ascii="宋体" w:hAnsi="宋体" w:cs="宋体"/>
          <w:szCs w:val="21"/>
        </w:rPr>
      </w:pPr>
      <w:r>
        <w:rPr>
          <w:rFonts w:hint="eastAsia" w:ascii="宋体" w:hAnsi="宋体" w:cs="宋体"/>
          <w:szCs w:val="21"/>
        </w:rPr>
        <w:t xml:space="preserve">土壤修复环境监理 姓名：     职务： </w:t>
      </w:r>
      <w:r/>
    </w:p>
    <w:p>
      <w:pPr>
        <w:ind w:firstLine="420"/>
        <w:spacing w:line="360" w:lineRule="auto"/>
        <w:widowControl/>
        <w:rPr>
          <w:rFonts w:ascii="宋体" w:hAnsi="宋体" w:cs="宋体"/>
          <w:szCs w:val="21"/>
        </w:rPr>
      </w:pPr>
      <w:r>
        <w:rPr>
          <w:rFonts w:hint="eastAsia" w:ascii="宋体" w:hAnsi="宋体" w:cs="宋体"/>
          <w:szCs w:val="21"/>
        </w:rPr>
        <w:t xml:space="preserve">（1）监理工程师的职责：详见甲方与监理单位签订的工程监理委托合同。</w:t>
      </w:r>
      <w:r/>
    </w:p>
    <w:p>
      <w:pPr>
        <w:ind w:firstLine="420"/>
        <w:spacing w:line="360" w:lineRule="auto"/>
        <w:widowControl/>
        <w:rPr>
          <w:rFonts w:ascii="宋体" w:hAnsi="宋体" w:cs="宋体"/>
          <w:szCs w:val="21"/>
        </w:rPr>
      </w:pPr>
      <w:r>
        <w:rPr>
          <w:rFonts w:hint="eastAsia" w:ascii="宋体" w:hAnsi="宋体" w:cs="宋体"/>
          <w:szCs w:val="21"/>
        </w:rPr>
        <w:t xml:space="preserve">（2）监理工程师需要取得甲方批准才能行使的职权：涉及设计变更、工期顺延、材料价格、停/复工令、工程索赔等可能影响工程价款或工期的签证或者任何减免乙方责任的文件，需经甲方签证同意后，签证和文件才有效。</w:t>
      </w:r>
      <w:r/>
    </w:p>
    <w:p>
      <w:pPr>
        <w:ind w:firstLine="420"/>
        <w:spacing w:line="360" w:lineRule="auto"/>
        <w:widowControl/>
        <w:rPr>
          <w:rFonts w:ascii="宋体" w:hAnsi="宋体" w:cs="宋体"/>
          <w:szCs w:val="21"/>
        </w:rPr>
      </w:pPr>
      <w:r>
        <w:rPr>
          <w:rFonts w:hint="eastAsia" w:ascii="宋体" w:hAnsi="宋体" w:cs="宋体"/>
          <w:szCs w:val="21"/>
        </w:rPr>
        <w:t xml:space="preserve">5.2乙方项目负责人及其负责人</w:t>
      </w:r>
      <w:r/>
    </w:p>
    <w:p>
      <w:pPr>
        <w:ind w:firstLine="420"/>
        <w:spacing w:line="360" w:lineRule="auto"/>
        <w:widowControl/>
        <w:rPr>
          <w:rFonts w:ascii="宋体" w:hAnsi="宋体" w:cs="宋体"/>
          <w:szCs w:val="21"/>
        </w:rPr>
      </w:pPr>
      <w:r>
        <w:rPr>
          <w:rFonts w:hint="eastAsia" w:ascii="宋体" w:hAnsi="宋体" w:cs="宋体"/>
          <w:szCs w:val="21"/>
        </w:rPr>
        <w:t xml:space="preserve">5.2.1乙方任命为本项目总负责人，任命为该地块项目现场负责人，任命为工程技术负责人，任命为安全负责人。未经甲方同意，乙方不得擅自更换上述人员，乙方擅自更换的，除按合同要求派驻人员外，每变更一人次还需按合同总价的1‰-5‰向甲方支付违约金，具体金额由甲方确定。如确需变更人员的，乙方需提出书面申请，经甲方同意后变更。</w:t>
      </w:r>
      <w:r/>
    </w:p>
    <w:p>
      <w:pPr>
        <w:ind w:firstLine="420"/>
        <w:spacing w:line="360" w:lineRule="auto"/>
        <w:widowControl/>
        <w:rPr>
          <w:rFonts w:ascii="宋体" w:hAnsi="宋体" w:cs="宋体"/>
          <w:szCs w:val="21"/>
        </w:rPr>
      </w:pPr>
      <w:r>
        <w:rPr>
          <w:rFonts w:hint="eastAsia" w:ascii="宋体" w:hAnsi="宋体" w:cs="宋体"/>
          <w:szCs w:val="21"/>
        </w:rPr>
        <w:t xml:space="preserve">5.2.2乙方派驻项目现场人员有下列情形之一的，甲方有权提出更换，乙方须在甲方提出要求后24小时内用资格和经验可为甲方接受的人员代替，由此发生的一切费用由乙方承担：</w:t>
      </w:r>
      <w:r/>
    </w:p>
    <w:p>
      <w:pPr>
        <w:ind w:firstLine="420"/>
        <w:spacing w:line="360" w:lineRule="auto"/>
        <w:widowControl/>
        <w:rPr>
          <w:rFonts w:ascii="宋体" w:hAnsi="宋体" w:cs="宋体"/>
          <w:szCs w:val="21"/>
        </w:rPr>
      </w:pPr>
      <w:r>
        <w:rPr>
          <w:rFonts w:hint="eastAsia" w:ascii="宋体" w:hAnsi="宋体" w:cs="宋体"/>
          <w:szCs w:val="21"/>
        </w:rPr>
        <w:t xml:space="preserve">（1）现场人员不胜任岗位的；</w:t>
      </w:r>
      <w:r/>
    </w:p>
    <w:p>
      <w:pPr>
        <w:ind w:firstLine="420"/>
        <w:spacing w:line="360" w:lineRule="auto"/>
        <w:widowControl/>
        <w:rPr>
          <w:rFonts w:ascii="宋体" w:hAnsi="宋体" w:cs="宋体"/>
          <w:szCs w:val="21"/>
        </w:rPr>
      </w:pPr>
      <w:r>
        <w:rPr>
          <w:rFonts w:hint="eastAsia" w:ascii="宋体" w:hAnsi="宋体" w:cs="宋体"/>
          <w:szCs w:val="21"/>
        </w:rPr>
        <w:t xml:space="preserve">（2）不能积极配合监理人员及甲方的；</w:t>
      </w:r>
      <w:r/>
    </w:p>
    <w:p>
      <w:pPr>
        <w:ind w:firstLine="420"/>
        <w:spacing w:line="360" w:lineRule="auto"/>
        <w:widowControl/>
        <w:rPr>
          <w:rFonts w:ascii="宋体" w:hAnsi="宋体" w:cs="宋体"/>
          <w:szCs w:val="21"/>
        </w:rPr>
      </w:pPr>
      <w:r>
        <w:rPr>
          <w:rFonts w:hint="eastAsia" w:ascii="宋体" w:hAnsi="宋体" w:cs="宋体"/>
          <w:szCs w:val="21"/>
        </w:rPr>
        <w:t xml:space="preserve">（3）违反甲方工地现场管理规定的；</w:t>
      </w:r>
      <w:r/>
    </w:p>
    <w:p>
      <w:pPr>
        <w:ind w:firstLine="420"/>
        <w:spacing w:line="360" w:lineRule="auto"/>
        <w:widowControl/>
        <w:rPr>
          <w:rFonts w:ascii="宋体" w:hAnsi="宋体" w:cs="宋体"/>
          <w:szCs w:val="21"/>
        </w:rPr>
      </w:pPr>
      <w:r>
        <w:rPr>
          <w:rFonts w:hint="eastAsia" w:ascii="宋体" w:hAnsi="宋体" w:cs="宋体"/>
          <w:szCs w:val="21"/>
        </w:rPr>
        <w:t xml:space="preserve">（4）无证上岗的（适用于按规定必须有上岗证）；</w:t>
      </w:r>
      <w:r/>
    </w:p>
    <w:p>
      <w:pPr>
        <w:ind w:firstLine="420"/>
        <w:spacing w:line="360" w:lineRule="auto"/>
        <w:widowControl/>
        <w:rPr>
          <w:rFonts w:ascii="宋体" w:hAnsi="宋体" w:cs="宋体"/>
          <w:szCs w:val="21"/>
        </w:rPr>
      </w:pPr>
      <w:r>
        <w:rPr>
          <w:rFonts w:hint="eastAsia" w:ascii="宋体" w:hAnsi="宋体" w:cs="宋体"/>
          <w:szCs w:val="21"/>
        </w:rPr>
        <w:t xml:space="preserve">（5）与本合同规定人员名称不符的；</w:t>
      </w:r>
      <w:r/>
    </w:p>
    <w:p>
      <w:pPr>
        <w:ind w:firstLine="420"/>
        <w:spacing w:line="360" w:lineRule="auto"/>
        <w:widowControl/>
        <w:rPr>
          <w:rFonts w:ascii="宋体" w:hAnsi="宋体" w:cs="宋体"/>
          <w:szCs w:val="21"/>
        </w:rPr>
      </w:pPr>
      <w:r>
        <w:rPr>
          <w:rFonts w:hint="eastAsia" w:ascii="宋体" w:hAnsi="宋体" w:cs="宋体"/>
          <w:szCs w:val="21"/>
        </w:rPr>
        <w:t xml:space="preserve">（6）与本项目实施工作无关的人员；</w:t>
      </w:r>
      <w:r/>
    </w:p>
    <w:p>
      <w:pPr>
        <w:ind w:firstLine="420"/>
        <w:spacing w:line="360" w:lineRule="auto"/>
        <w:widowControl/>
        <w:rPr>
          <w:rFonts w:ascii="宋体" w:hAnsi="宋体" w:cs="宋体"/>
          <w:szCs w:val="21"/>
        </w:rPr>
      </w:pPr>
      <w:r>
        <w:rPr>
          <w:rFonts w:hint="eastAsia" w:ascii="宋体" w:hAnsi="宋体" w:cs="宋体"/>
          <w:szCs w:val="21"/>
        </w:rPr>
        <w:t xml:space="preserve">（7）非乙方在职职工的（合同签订后应提供派驻项目现场人员与乙方单位签订的劳动合同复印件或乙方单位为该人员缴纳的最近期的社保缴纳证明复印件）</w:t>
      </w:r>
      <w:r/>
    </w:p>
    <w:p>
      <w:pPr>
        <w:ind w:firstLine="420"/>
        <w:spacing w:line="360" w:lineRule="auto"/>
        <w:widowControl/>
        <w:rPr>
          <w:rFonts w:ascii="宋体" w:hAnsi="宋体" w:cs="宋体"/>
          <w:szCs w:val="21"/>
        </w:rPr>
      </w:pPr>
      <w:r>
        <w:rPr>
          <w:rFonts w:hint="eastAsia" w:ascii="宋体" w:hAnsi="宋体" w:cs="宋体"/>
          <w:szCs w:val="21"/>
        </w:rPr>
        <w:t xml:space="preserve">5.2.3乙方现场的项目部人员到岗率须达到100%，项目现场负责人到岗率须达到90%以上，项目总负责人、技术负责人、安全专职人员等到岗率须达到80%，</w:t>
      </w:r>
      <w:r>
        <w:rPr>
          <w:rFonts w:hint="eastAsia" w:ascii="宋体" w:hAnsi="宋体" w:cs="宋体"/>
          <w:b/>
          <w:bCs/>
          <w:szCs w:val="21"/>
        </w:rPr>
        <w:t xml:space="preserve">乙方在响应投标文件中需提供相应盖章承诺。</w:t>
      </w:r>
      <w:r/>
    </w:p>
    <w:p>
      <w:pPr>
        <w:ind w:firstLine="420"/>
        <w:spacing w:line="360" w:lineRule="auto"/>
        <w:widowControl/>
        <w:rPr>
          <w:rFonts w:ascii="宋体" w:hAnsi="宋体" w:cs="宋体"/>
          <w:szCs w:val="21"/>
        </w:rPr>
      </w:pPr>
      <w:r>
        <w:rPr>
          <w:rFonts w:hint="eastAsia" w:ascii="宋体" w:hAnsi="宋体" w:cs="宋体"/>
          <w:szCs w:val="21"/>
        </w:rPr>
        <w:t xml:space="preserve">5.2.4项目总负责人、项目现场负责人、技术负责人必须参加每次工程例会，因故不能到工地或不能参加例会，应提前24小时向甲方请假并在获得批准后方可缺席。未经请假缺席的，每发生一次需按合同总价的1‰向甲方支付违约金。 </w:t>
      </w:r>
      <w:r/>
    </w:p>
    <w:p>
      <w:pPr>
        <w:ind w:firstLine="420"/>
        <w:spacing w:line="360" w:lineRule="auto"/>
        <w:widowControl/>
        <w:rPr>
          <w:rFonts w:ascii="宋体" w:hAnsi="宋体" w:cs="宋体"/>
          <w:szCs w:val="21"/>
        </w:rPr>
      </w:pPr>
      <w:r>
        <w:rPr>
          <w:rFonts w:hint="eastAsia" w:ascii="宋体" w:hAnsi="宋体" w:cs="宋体"/>
          <w:szCs w:val="21"/>
        </w:rPr>
        <w:t xml:space="preserve">5.2.5乙方委派的上述人员均为乙方代表，按以下要求行使合同约定的权力，履行合同约定的职责：</w:t>
      </w:r>
      <w:r/>
    </w:p>
    <w:p>
      <w:pPr>
        <w:ind w:firstLine="420"/>
        <w:spacing w:line="360" w:lineRule="auto"/>
        <w:widowControl/>
        <w:rPr>
          <w:rFonts w:ascii="宋体" w:hAnsi="宋体" w:cs="宋体"/>
          <w:szCs w:val="21"/>
        </w:rPr>
      </w:pPr>
      <w:r>
        <w:rPr>
          <w:rFonts w:hint="eastAsia" w:ascii="宋体" w:hAnsi="宋体" w:cs="宋体"/>
          <w:szCs w:val="21"/>
        </w:rPr>
        <w:t xml:space="preserve">（1）按经批准的土壤修复方案、实施方案、进度计划组织项目的具体实施，对项目质量、安全、进度负责；</w:t>
      </w:r>
      <w:r/>
    </w:p>
    <w:p>
      <w:pPr>
        <w:ind w:firstLine="420"/>
        <w:spacing w:line="360" w:lineRule="auto"/>
        <w:widowControl/>
        <w:rPr>
          <w:rFonts w:ascii="宋体" w:hAnsi="宋体" w:cs="宋体"/>
          <w:szCs w:val="21"/>
        </w:rPr>
      </w:pPr>
      <w:r>
        <w:rPr>
          <w:rFonts w:hint="eastAsia" w:ascii="宋体" w:hAnsi="宋体" w:cs="宋体"/>
          <w:szCs w:val="21"/>
        </w:rPr>
        <w:t xml:space="preserve">（2）乙方的要求、请求和通知，以书面形式由项目现场负责人或驻施工现场代表签字后送交甲方代表，甲方在回执上签署姓名和收到时间。</w:t>
      </w:r>
      <w:r/>
    </w:p>
    <w:p>
      <w:pPr>
        <w:ind w:firstLine="420"/>
        <w:spacing w:line="360" w:lineRule="auto"/>
        <w:widowControl/>
        <w:rPr>
          <w:rFonts w:ascii="宋体" w:hAnsi="宋体" w:cs="宋体"/>
          <w:szCs w:val="21"/>
        </w:rPr>
      </w:pPr>
      <w:r>
        <w:rPr>
          <w:rFonts w:hint="eastAsia" w:ascii="宋体" w:hAnsi="宋体" w:cs="宋体"/>
          <w:szCs w:val="21"/>
        </w:rPr>
        <w:t xml:space="preserve">5.2.6联系单、通知等签收代表</w:t>
      </w:r>
      <w:r/>
    </w:p>
    <w:p>
      <w:pPr>
        <w:ind w:firstLine="420"/>
        <w:spacing w:line="360" w:lineRule="auto"/>
        <w:widowControl/>
        <w:rPr>
          <w:rFonts w:ascii="宋体" w:hAnsi="宋体" w:cs="宋体"/>
          <w:szCs w:val="21"/>
        </w:rPr>
      </w:pPr>
      <w:r>
        <w:rPr>
          <w:rFonts w:hint="eastAsia" w:ascii="宋体" w:hAnsi="宋体" w:cs="宋体"/>
          <w:szCs w:val="21"/>
        </w:rPr>
        <w:t xml:space="preserve">乙方指派作为本项目中联系单、通知等材料的签收代表，未经甲方同意的，乙方不得变更。如确需变更的，乙方需提出书面申请，经甲方书面同意后才能变更。</w:t>
      </w:r>
      <w:r/>
    </w:p>
    <w:p>
      <w:pPr>
        <w:ind w:firstLine="422"/>
        <w:spacing w:line="360" w:lineRule="auto"/>
        <w:widowControl/>
        <w:rPr>
          <w:rFonts w:ascii="宋体" w:hAnsi="宋体" w:cs="宋体"/>
          <w:b/>
          <w:szCs w:val="21"/>
        </w:rPr>
      </w:pPr>
      <w:r>
        <w:rPr>
          <w:rFonts w:hint="eastAsia" w:ascii="宋体" w:hAnsi="宋体" w:cs="宋体"/>
          <w:b/>
          <w:szCs w:val="21"/>
        </w:rPr>
        <w:t xml:space="preserve">六、甲方工作</w:t>
      </w:r>
      <w:r/>
    </w:p>
    <w:p>
      <w:pPr>
        <w:ind w:firstLine="420"/>
        <w:spacing w:line="360" w:lineRule="auto"/>
        <w:widowControl/>
        <w:rPr>
          <w:rFonts w:ascii="宋体" w:hAnsi="宋体" w:cs="宋体"/>
          <w:szCs w:val="21"/>
        </w:rPr>
      </w:pPr>
      <w:r>
        <w:rPr>
          <w:rFonts w:hint="eastAsia" w:ascii="宋体" w:hAnsi="宋体" w:cs="宋体"/>
          <w:szCs w:val="21"/>
        </w:rPr>
        <w:t xml:space="preserve">甲方应按约定的时间和要求完成以下工作：</w:t>
      </w:r>
      <w:r/>
    </w:p>
    <w:p>
      <w:pPr>
        <w:ind w:firstLine="420"/>
        <w:spacing w:line="360" w:lineRule="auto"/>
        <w:widowControl/>
        <w:rPr>
          <w:rFonts w:ascii="宋体" w:hAnsi="宋体" w:cs="宋体"/>
          <w:szCs w:val="21"/>
        </w:rPr>
      </w:pPr>
      <w:r>
        <w:rPr>
          <w:rFonts w:hint="eastAsia" w:ascii="宋体" w:hAnsi="宋体" w:cs="宋体"/>
          <w:szCs w:val="21"/>
        </w:rPr>
        <w:t xml:space="preserve">6.1甲方负责协调项目现场的接水、接电、市政排水等相关工作，协助乙方协调周边单位及居民关系。</w:t>
      </w:r>
      <w:r/>
    </w:p>
    <w:p>
      <w:pPr>
        <w:ind w:firstLine="420"/>
        <w:spacing w:line="360" w:lineRule="auto"/>
        <w:widowControl/>
        <w:rPr>
          <w:rFonts w:ascii="宋体" w:hAnsi="宋体" w:cs="宋体"/>
          <w:szCs w:val="21"/>
        </w:rPr>
      </w:pPr>
      <w:r>
        <w:rPr>
          <w:rFonts w:hint="eastAsia" w:ascii="宋体" w:hAnsi="宋体" w:cs="宋体"/>
          <w:szCs w:val="21"/>
        </w:rPr>
        <w:t xml:space="preserve">6.2在乙方按约履行义务的情况下，甲方按合同约定支付乙方费用。</w:t>
      </w:r>
      <w:r/>
    </w:p>
    <w:p>
      <w:pPr>
        <w:ind w:firstLine="420"/>
        <w:spacing w:line="360" w:lineRule="auto"/>
        <w:widowControl/>
        <w:rPr>
          <w:rFonts w:ascii="宋体" w:hAnsi="宋体" w:cs="宋体"/>
          <w:szCs w:val="21"/>
        </w:rPr>
      </w:pPr>
      <w:r>
        <w:rPr>
          <w:rFonts w:hint="eastAsia" w:ascii="宋体" w:hAnsi="宋体" w:cs="宋体"/>
          <w:szCs w:val="21"/>
        </w:rPr>
        <w:t xml:space="preserve">6.3 负责验收沟通工作，审核乙方申报的本项目检测单位，及时与上级管理部门、审批部门沟通协调。</w:t>
      </w:r>
      <w:r/>
    </w:p>
    <w:p>
      <w:pPr>
        <w:ind w:firstLine="420"/>
        <w:spacing w:line="360" w:lineRule="auto"/>
        <w:widowControl/>
        <w:rPr>
          <w:rFonts w:ascii="宋体" w:hAnsi="宋体" w:cs="宋体"/>
          <w:szCs w:val="21"/>
        </w:rPr>
      </w:pPr>
      <w:r>
        <w:rPr>
          <w:rFonts w:hint="eastAsia" w:ascii="宋体" w:hAnsi="宋体" w:cs="宋体"/>
          <w:szCs w:val="21"/>
        </w:rPr>
        <w:t xml:space="preserve">6.4如实施中涉及到地下管线等障碍物，帮助乙方协调有关部门办理相关审批手续。</w:t>
      </w:r>
      <w:r/>
    </w:p>
    <w:p>
      <w:pPr>
        <w:ind w:firstLine="420"/>
        <w:spacing w:line="360" w:lineRule="auto"/>
        <w:widowControl/>
        <w:rPr>
          <w:rFonts w:ascii="宋体" w:hAnsi="宋体" w:cs="宋体"/>
          <w:szCs w:val="21"/>
        </w:rPr>
      </w:pPr>
      <w:r>
        <w:rPr>
          <w:rFonts w:hint="eastAsia" w:ascii="宋体" w:hAnsi="宋体" w:cs="宋体"/>
          <w:szCs w:val="21"/>
        </w:rPr>
        <w:t xml:space="preserve">6.5负责办理现场技术变更及超出评估报告的工作量确认。</w:t>
      </w:r>
      <w:r/>
    </w:p>
    <w:p>
      <w:pPr>
        <w:ind w:firstLine="422"/>
        <w:spacing w:line="360" w:lineRule="auto"/>
        <w:widowControl/>
        <w:rPr>
          <w:rFonts w:ascii="宋体" w:hAnsi="宋体" w:cs="宋体"/>
          <w:b/>
          <w:szCs w:val="21"/>
        </w:rPr>
      </w:pPr>
      <w:r>
        <w:rPr>
          <w:rFonts w:hint="eastAsia" w:ascii="宋体" w:hAnsi="宋体" w:cs="宋体"/>
          <w:b/>
          <w:szCs w:val="21"/>
        </w:rPr>
        <w:t xml:space="preserve">七、乙方工作</w:t>
      </w:r>
      <w:r/>
    </w:p>
    <w:p>
      <w:pPr>
        <w:ind w:firstLine="420"/>
        <w:spacing w:line="360" w:lineRule="auto"/>
        <w:widowControl/>
        <w:rPr>
          <w:rFonts w:ascii="宋体" w:hAnsi="宋体" w:cs="宋体"/>
          <w:szCs w:val="21"/>
        </w:rPr>
      </w:pPr>
      <w:r>
        <w:rPr>
          <w:rFonts w:hint="eastAsia" w:ascii="宋体" w:hAnsi="宋体" w:cs="宋体"/>
          <w:szCs w:val="21"/>
        </w:rPr>
        <w:t xml:space="preserve">7.1严格按响应投标文件技术方案及建设、规划、城管、交通、生态环境等相关管理部门要求开展实施；</w:t>
      </w:r>
      <w:r/>
    </w:p>
    <w:p>
      <w:pPr>
        <w:ind w:firstLine="420"/>
        <w:spacing w:line="360" w:lineRule="auto"/>
        <w:widowControl/>
        <w:rPr>
          <w:rFonts w:ascii="宋体" w:hAnsi="宋体" w:cs="宋体"/>
          <w:szCs w:val="21"/>
        </w:rPr>
      </w:pPr>
      <w:r>
        <w:rPr>
          <w:rFonts w:hint="eastAsia" w:ascii="宋体" w:hAnsi="宋体" w:cs="宋体"/>
          <w:szCs w:val="21"/>
        </w:rPr>
        <w:t xml:space="preserve">7.2乙方编制项目实施方案（包括安全措施）并通过专家论证后，报甲方留存，但甲方对方案实施过程中的调整的知悉不降低或免除乙方责任，乙方需要对方案的可行性承担全部责任；</w:t>
      </w:r>
      <w:r/>
    </w:p>
    <w:p>
      <w:pPr>
        <w:ind w:firstLine="420"/>
        <w:spacing w:line="360" w:lineRule="auto"/>
        <w:widowControl/>
        <w:rPr>
          <w:rFonts w:ascii="宋体" w:hAnsi="宋体" w:cs="宋体"/>
          <w:szCs w:val="21"/>
        </w:rPr>
      </w:pPr>
      <w:r>
        <w:rPr>
          <w:rFonts w:hint="eastAsia" w:ascii="宋体" w:hAnsi="宋体" w:cs="宋体"/>
          <w:szCs w:val="21"/>
        </w:rPr>
        <w:t xml:space="preserve">7.3乙方编制的项目实施方案、项目具体实施的图纸，通过专家论证，并报监理同意后，方可组织实施。</w:t>
      </w:r>
      <w:r/>
    </w:p>
    <w:p>
      <w:pPr>
        <w:ind w:firstLine="420"/>
        <w:spacing w:line="360" w:lineRule="auto"/>
        <w:widowControl/>
        <w:rPr>
          <w:rFonts w:ascii="宋体" w:hAnsi="宋体" w:cs="宋体"/>
          <w:szCs w:val="21"/>
        </w:rPr>
      </w:pPr>
      <w:r>
        <w:rPr>
          <w:rFonts w:hint="eastAsia" w:ascii="宋体" w:hAnsi="宋体" w:cs="宋体"/>
          <w:szCs w:val="21"/>
        </w:rPr>
        <w:t xml:space="preserve">7.4按合同履约期限要求编制详细的总进度计划。</w:t>
      </w:r>
      <w:r/>
    </w:p>
    <w:p>
      <w:pPr>
        <w:ind w:firstLine="420"/>
        <w:spacing w:line="360" w:lineRule="auto"/>
        <w:widowControl/>
        <w:rPr>
          <w:rFonts w:ascii="宋体" w:hAnsi="宋体" w:cs="宋体"/>
          <w:szCs w:val="21"/>
        </w:rPr>
      </w:pPr>
      <w:r>
        <w:rPr>
          <w:rFonts w:hint="eastAsia" w:ascii="宋体" w:hAnsi="宋体" w:cs="宋体"/>
          <w:szCs w:val="21"/>
        </w:rPr>
        <w:t xml:space="preserve">7.5项目部管理人员须参加各类项目组织实施的协调、配合会，服从甲方及监理人（如有）现场总协调做出的决定。</w:t>
      </w:r>
      <w:r/>
    </w:p>
    <w:p>
      <w:pPr>
        <w:ind w:firstLine="420"/>
        <w:spacing w:line="360" w:lineRule="auto"/>
        <w:widowControl/>
        <w:rPr>
          <w:rFonts w:ascii="宋体" w:hAnsi="宋体" w:cs="宋体"/>
          <w:szCs w:val="21"/>
        </w:rPr>
      </w:pPr>
      <w:r>
        <w:rPr>
          <w:rFonts w:hint="eastAsia" w:ascii="宋体" w:hAnsi="宋体" w:cs="宋体"/>
          <w:szCs w:val="21"/>
        </w:rPr>
        <w:t xml:space="preserve">7.6乙方治理服务范围内的项目现场安全保卫工作由乙方负责，对已完工程被毁损，或滞留的家具、陈设等被盗或毁损的，由乙方承担责任。</w:t>
      </w:r>
      <w:r/>
    </w:p>
    <w:p>
      <w:pPr>
        <w:ind w:firstLine="420"/>
        <w:spacing w:line="360" w:lineRule="auto"/>
        <w:widowControl/>
        <w:rPr>
          <w:rFonts w:ascii="宋体" w:hAnsi="宋体" w:cs="宋体"/>
          <w:szCs w:val="21"/>
        </w:rPr>
      </w:pPr>
      <w:r>
        <w:rPr>
          <w:rFonts w:hint="eastAsia" w:ascii="宋体" w:hAnsi="宋体" w:cs="宋体"/>
          <w:szCs w:val="21"/>
        </w:rPr>
        <w:t xml:space="preserve">7.7乙方承包的工程完工交付甲方之前，乙方应做好已完工程保护工作，甲方对已完工程保护有特殊要求的，乙方应无条件按甲方要求采取相应保护措施，相关费用均由乙方予以承担。</w:t>
      </w:r>
      <w:r/>
    </w:p>
    <w:p>
      <w:pPr>
        <w:ind w:firstLine="420"/>
        <w:spacing w:line="360" w:lineRule="auto"/>
        <w:widowControl/>
        <w:rPr>
          <w:rFonts w:ascii="宋体" w:hAnsi="宋体" w:cs="宋体"/>
          <w:szCs w:val="21"/>
        </w:rPr>
      </w:pPr>
      <w:r>
        <w:rPr>
          <w:rFonts w:hint="eastAsia" w:ascii="宋体" w:hAnsi="宋体" w:cs="宋体"/>
          <w:szCs w:val="21"/>
        </w:rPr>
        <w:t xml:space="preserve">7.8乙方没有按合同及附件要求完成工作，造成工期延误的，责任由乙方负责。</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7.9 乙方负责清运现场、清运途中及处置地的实施组织，安全防护和应急措施，严格遵守相关安全管理规定，落实安全措施，防止造成二次污染和扰民事件的发生，并配合甲方进行相关舆情处理。</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7.10 乙方应具备应付各类运输过程中突发情况的能力，建立各类应急预案，确保污染土壤能及时高效的处理。在处置企业出现处置能力下降时，乙方应采取有效措施，不得影响甲方污染土壤的清运处置。乙方采取各类应急预案所产生的费用由乙方承担。</w:t>
      </w:r>
      <w:r/>
    </w:p>
    <w:p>
      <w:pPr>
        <w:ind w:firstLine="420"/>
        <w:spacing w:line="360" w:lineRule="auto"/>
        <w:widowControl/>
        <w:rPr>
          <w:rFonts w:ascii="宋体" w:hAnsi="宋体" w:cs="宋体"/>
          <w:szCs w:val="21"/>
        </w:rPr>
      </w:pPr>
      <w:r>
        <w:rPr>
          <w:rFonts w:hint="eastAsia" w:ascii="宋体" w:hAnsi="宋体" w:cs="宋体"/>
          <w:szCs w:val="21"/>
        </w:rPr>
        <w:t xml:space="preserve">7.11 乙方应制定土壤运输专项措施，满足污染土壤运输要求。使用车辆装运污染土壤，沿途不得有洒落滴漏，杜绝二次污染，所有运输车辆需安装监控及GPS定位系统，双方随时可监控运输车辆的行驶路线。</w:t>
      </w:r>
      <w:r/>
    </w:p>
    <w:p>
      <w:pPr>
        <w:ind w:firstLine="420"/>
        <w:spacing w:line="360" w:lineRule="auto"/>
        <w:widowControl/>
        <w:rPr>
          <w:rFonts w:ascii="宋体" w:hAnsi="宋体" w:cs="宋体"/>
          <w:szCs w:val="21"/>
        </w:rPr>
      </w:pPr>
      <w:r>
        <w:rPr>
          <w:rFonts w:hint="eastAsia" w:ascii="宋体" w:hAnsi="宋体" w:cs="宋体"/>
          <w:szCs w:val="21"/>
        </w:rPr>
        <w:t xml:space="preserve">7.12 乙方负责协调相关管理部门对本项目工程实施的监督管理，完成本项目验收；</w:t>
      </w:r>
      <w:r/>
    </w:p>
    <w:p>
      <w:pPr>
        <w:ind w:firstLine="420"/>
        <w:spacing w:line="360" w:lineRule="auto"/>
        <w:widowControl/>
        <w:rPr>
          <w:rFonts w:ascii="宋体" w:hAnsi="宋体" w:cs="宋体"/>
          <w:szCs w:val="21"/>
        </w:rPr>
      </w:pPr>
      <w:r>
        <w:rPr>
          <w:rFonts w:hint="eastAsia" w:ascii="宋体" w:hAnsi="宋体" w:cs="宋体"/>
          <w:szCs w:val="21"/>
        </w:rPr>
        <w:t xml:space="preserve">7.13 乙方负责处理污染土壤清运、存放及原位和异位处置中引起的外部因素干扰影响等，并自行承担因此产生的一切费用。</w:t>
      </w:r>
      <w:r/>
    </w:p>
    <w:p>
      <w:pPr>
        <w:ind w:firstLine="420"/>
        <w:spacing w:line="360" w:lineRule="auto"/>
        <w:widowControl/>
        <w:rPr>
          <w:rFonts w:ascii="宋体" w:hAnsi="宋体" w:cs="宋体"/>
          <w:szCs w:val="21"/>
        </w:rPr>
      </w:pPr>
      <w:r>
        <w:rPr>
          <w:rFonts w:hint="eastAsia" w:ascii="宋体" w:hAnsi="宋体" w:cs="宋体"/>
          <w:szCs w:val="21"/>
        </w:rPr>
        <w:t xml:space="preserve">7.14 乙方在修复过程中，发现现场与定量报告、采购文件不符，应及时报监理、甲方进行确认，如需进行工程变更的，需书面提供变更单等材料，经监理审核通过、报甲方确认后方可变更。</w:t>
      </w:r>
      <w:r/>
    </w:p>
    <w:p>
      <w:pPr>
        <w:ind w:firstLine="420"/>
        <w:spacing w:line="360" w:lineRule="auto"/>
        <w:widowControl/>
        <w:rPr>
          <w:rFonts w:ascii="宋体" w:hAnsi="宋体" w:cs="宋体"/>
          <w:szCs w:val="21"/>
        </w:rPr>
      </w:pPr>
      <w:r>
        <w:rPr>
          <w:rFonts w:hint="eastAsia" w:ascii="宋体" w:hAnsi="宋体" w:cs="宋体"/>
          <w:szCs w:val="21"/>
        </w:rPr>
        <w:t xml:space="preserve">7.15 乙方自检的检测单位（必须具备合法检测资质）必须经甲方认可，若甲方不满意乙方申报的检测单位，甲方有权指定检测单位，乙方必须配合其开展检测工作，检测费用不得调整。</w:t>
      </w:r>
      <w:r/>
    </w:p>
    <w:p>
      <w:pPr>
        <w:ind w:firstLine="420"/>
        <w:spacing w:line="360" w:lineRule="auto"/>
        <w:widowControl/>
        <w:rPr>
          <w:rFonts w:ascii="宋体" w:hAnsi="宋体" w:cs="宋体"/>
          <w:szCs w:val="21"/>
        </w:rPr>
      </w:pPr>
      <w:r>
        <w:rPr>
          <w:rFonts w:hint="eastAsia" w:ascii="宋体" w:hAnsi="宋体" w:cs="宋体"/>
          <w:szCs w:val="21"/>
        </w:rPr>
        <w:t xml:space="preserve">7.16 乙方应对本项目的安全负全责，如发生任何安全事故，全部责任及费用均由乙方予以承担。</w:t>
      </w:r>
      <w:r/>
    </w:p>
    <w:p>
      <w:pPr>
        <w:ind w:firstLine="420"/>
        <w:spacing w:line="360" w:lineRule="auto"/>
        <w:widowControl/>
        <w:rPr>
          <w:rFonts w:ascii="宋体" w:hAnsi="宋体" w:cs="宋体"/>
          <w:szCs w:val="21"/>
        </w:rPr>
      </w:pPr>
      <w:r>
        <w:rPr>
          <w:rFonts w:hint="eastAsia" w:ascii="宋体" w:hAnsi="宋体" w:cs="宋体"/>
          <w:szCs w:val="21"/>
        </w:rPr>
        <w:t xml:space="preserve">7.17 乙方应制定完备的二次污染防护方案，预防土壤修复过程中对场地及周边环境、清运线路等造成二次污染。项目实施过程中任何环保责任均由乙方自行承担。</w:t>
      </w:r>
      <w:r/>
    </w:p>
    <w:p>
      <w:pPr>
        <w:ind w:firstLine="420"/>
        <w:spacing w:line="360" w:lineRule="auto"/>
        <w:widowControl/>
        <w:rPr>
          <w:rFonts w:ascii="宋体" w:hAnsi="宋体" w:cs="宋体"/>
          <w:szCs w:val="21"/>
        </w:rPr>
      </w:pPr>
      <w:r>
        <w:rPr>
          <w:rFonts w:hint="eastAsia" w:ascii="宋体" w:hAnsi="宋体" w:cs="宋体"/>
          <w:szCs w:val="21"/>
        </w:rPr>
        <w:t xml:space="preserve">7.18 甲方于招标时已告知乙方项目现场的现状及周边情况，乙方应自行负责对项目现场进行勘察，并对现状进行实况了解。乙方项目实施需要的全部场内道路和交通设施均由乙方自行负责处理、建设，并承担相关费用。</w:t>
      </w:r>
      <w:r/>
    </w:p>
    <w:p>
      <w:pPr>
        <w:ind w:firstLine="420"/>
        <w:spacing w:line="360" w:lineRule="auto"/>
        <w:widowControl/>
        <w:rPr>
          <w:rFonts w:ascii="宋体" w:hAnsi="宋体" w:cs="宋体"/>
          <w:szCs w:val="21"/>
        </w:rPr>
      </w:pPr>
      <w:r>
        <w:rPr>
          <w:rFonts w:hint="eastAsia" w:ascii="宋体" w:hAnsi="宋体" w:cs="宋体"/>
          <w:szCs w:val="21"/>
        </w:rPr>
        <w:t xml:space="preserve">7.19 乙方应配合本项目的相关审计工作，乙方认可并同意接受甲方委托的审计单位对本项目价款的审计意见。</w:t>
      </w:r>
      <w:r/>
    </w:p>
    <w:p>
      <w:pPr>
        <w:ind w:firstLine="420"/>
        <w:spacing w:line="360" w:lineRule="auto"/>
        <w:widowControl/>
        <w:rPr>
          <w:rFonts w:ascii="宋体" w:hAnsi="宋体" w:cs="宋体"/>
          <w:szCs w:val="21"/>
        </w:rPr>
      </w:pPr>
      <w:r>
        <w:rPr>
          <w:rFonts w:hint="eastAsia" w:ascii="宋体" w:hAnsi="宋体" w:cs="宋体"/>
          <w:szCs w:val="21"/>
        </w:rPr>
        <w:t xml:space="preserve">7.20 乙方的项目实施全过程资料应根据甲方要求在园区土壤环境信息化管理平台中录入。</w:t>
      </w:r>
      <w:r/>
    </w:p>
    <w:p>
      <w:pPr>
        <w:ind w:firstLine="420"/>
        <w:spacing w:line="360" w:lineRule="auto"/>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.21 乙方的实施方案中如涉及使用任何第三方知识产权等他方权益时，则乙方应对该些权益使用的合法性负责，如涉及相关费用的，均由乙方予以承担，且甲方无需再增加任何合同价款。如实施过程中或实施完毕后，本项目遭受任何权利方主张相关使用费或侵权责任的，乙方有义务使甲方和本项目免于承担该等费用和责任，否则，甲方有权就因此而产生的相关费用、责任和损失向乙方进行全部追偿（包括甲方为处理上述纠纷而产生的律师费、诉讼费、调查等合理费用），并有权直接在任何需支付给乙方的费用中扣除该等款项。发生上述情形时，甲方有权选择解除本合同。</w:t>
      </w:r>
      <w:r/>
    </w:p>
    <w:p>
      <w:pPr>
        <w:ind w:firstLine="420"/>
        <w:spacing w:line="360" w:lineRule="auto"/>
        <w:widowControl/>
        <w:rPr>
          <w:rFonts w:ascii="宋体" w:hAnsi="宋体" w:cs="宋体"/>
          <w:szCs w:val="21"/>
        </w:rPr>
      </w:pPr>
      <w:r>
        <w:rPr>
          <w:rFonts w:hint="eastAsia" w:ascii="宋体" w:hAnsi="宋体" w:cs="宋体"/>
          <w:szCs w:val="21"/>
        </w:rPr>
        <w:t xml:space="preserve">7.22 为及时响应甲方工作安排，乙方应在苏州工业园区设立办事机构。</w:t>
      </w:r>
      <w:r/>
    </w:p>
    <w:p>
      <w:pPr>
        <w:ind w:firstLine="422"/>
        <w:spacing w:line="360" w:lineRule="auto"/>
        <w:widowControl/>
        <w:rPr>
          <w:rFonts w:ascii="宋体" w:hAnsi="宋体" w:cs="宋体"/>
          <w:b/>
          <w:szCs w:val="21"/>
        </w:rPr>
      </w:pPr>
      <w:r>
        <w:rPr>
          <w:rFonts w:hint="eastAsia" w:ascii="宋体" w:hAnsi="宋体" w:cs="宋体"/>
          <w:b/>
          <w:szCs w:val="21"/>
        </w:rPr>
        <w:t xml:space="preserve">八、工程质量</w:t>
      </w:r>
      <w:r/>
    </w:p>
    <w:p>
      <w:pPr>
        <w:ind w:firstLine="420"/>
        <w:spacing w:line="360" w:lineRule="auto"/>
        <w:widowControl/>
        <w:rPr>
          <w:rFonts w:ascii="宋体" w:hAnsi="宋体" w:cs="宋体"/>
          <w:szCs w:val="21"/>
        </w:rPr>
      </w:pPr>
      <w:r>
        <w:rPr>
          <w:rFonts w:hint="eastAsia" w:ascii="宋体" w:hAnsi="宋体" w:cs="宋体"/>
          <w:szCs w:val="21"/>
        </w:rPr>
        <w:t xml:space="preserve">8.1污染地块治理工程实施后，修复后土壤质量标准符合采购文件及技术规范要求。</w:t>
      </w:r>
      <w:r/>
    </w:p>
    <w:p>
      <w:pPr>
        <w:ind w:firstLine="420"/>
        <w:spacing w:line="360" w:lineRule="auto"/>
        <w:widowControl/>
        <w:rPr>
          <w:rFonts w:ascii="宋体" w:hAnsi="宋体" w:cs="宋体"/>
          <w:szCs w:val="21"/>
        </w:rPr>
      </w:pPr>
      <w:r>
        <w:rPr>
          <w:rFonts w:hint="eastAsia" w:ascii="宋体" w:hAnsi="宋体" w:cs="宋体"/>
          <w:szCs w:val="21"/>
        </w:rPr>
        <w:t xml:space="preserve">8.2双方对工程质量有争议，由双方同意的检测机构鉴定，所需费用及因此造成的损失，由责任方承担，双方都有责任由双方根据责任分别承担。双方对工程质量有争议，选择检测机构达不成一致意见的，由甲方选择的检测机构予以实施鉴定，检测结果对乙方有约束力。</w:t>
      </w:r>
      <w:r/>
    </w:p>
    <w:p>
      <w:pPr>
        <w:ind w:firstLine="420"/>
        <w:spacing w:line="360" w:lineRule="auto"/>
        <w:widowControl/>
        <w:rPr>
          <w:rFonts w:ascii="宋体" w:hAnsi="宋体" w:cs="宋体"/>
          <w:szCs w:val="21"/>
        </w:rPr>
      </w:pPr>
      <w:r>
        <w:rPr>
          <w:rFonts w:hint="eastAsia" w:ascii="宋体" w:hAnsi="宋体" w:cs="宋体"/>
          <w:szCs w:val="21"/>
        </w:rPr>
        <w:t xml:space="preserve">8.3隐蔽工程验收前，乙方必须提交隐蔽工程验收的必要资料，经监理方、效果评估方、乙方共同现场验收后填写。对需验收而未验收就进入下一道工序的，乙方每次需向甲方支付违约金壹万元，且甲方有权要求乙方重新开挖检验，因此产生的费用由乙方承担。乙方一旦发生上述违约的，甲方有权解除本合同。</w:t>
      </w:r>
      <w:r/>
    </w:p>
    <w:p>
      <w:pPr>
        <w:ind w:firstLine="422"/>
        <w:spacing w:line="360" w:lineRule="auto"/>
        <w:widowControl/>
        <w:rPr>
          <w:rFonts w:ascii="宋体" w:hAnsi="宋体" w:cs="宋体"/>
          <w:b/>
          <w:szCs w:val="21"/>
        </w:rPr>
      </w:pPr>
      <w:r>
        <w:rPr>
          <w:rFonts w:hint="eastAsia" w:ascii="宋体" w:hAnsi="宋体" w:cs="宋体"/>
          <w:b/>
          <w:szCs w:val="21"/>
        </w:rPr>
        <w:t xml:space="preserve">九、安全要求</w:t>
      </w:r>
      <w:r/>
    </w:p>
    <w:p>
      <w:pPr>
        <w:ind w:firstLine="420"/>
        <w:spacing w:line="360" w:lineRule="auto"/>
        <w:widowControl/>
        <w:rPr>
          <w:rFonts w:ascii="宋体" w:hAnsi="宋体" w:cs="宋体"/>
          <w:szCs w:val="21"/>
        </w:rPr>
      </w:pPr>
      <w:r>
        <w:rPr>
          <w:rFonts w:hint="eastAsia" w:ascii="宋体" w:hAnsi="宋体" w:cs="宋体"/>
          <w:szCs w:val="21"/>
        </w:rPr>
        <w:t xml:space="preserve">9.1乙方项目现场负责人是现场安全生产的第一负责人，必须在项目现场指挥安全操作、文明实施，进出人员必须携带必要安全措施。乙方应加强对施工人员的安全教育，认真执行安全施工规范，严格遵守安全制度，落实安全措施，确保施工安全。乙方由于违反安全施工规范，被政府有关部门处罚，如通报批评、警告和罚款等，乙方承担一切责任，甲方有权解除本合同。</w:t>
      </w:r>
      <w:r/>
    </w:p>
    <w:p>
      <w:pPr>
        <w:ind w:firstLine="420"/>
        <w:spacing w:line="360" w:lineRule="auto"/>
        <w:widowControl/>
        <w:rPr>
          <w:rFonts w:ascii="宋体" w:hAnsi="宋体" w:cs="宋体"/>
          <w:szCs w:val="21"/>
        </w:rPr>
      </w:pPr>
      <w:r>
        <w:rPr>
          <w:rFonts w:hint="eastAsia" w:ascii="宋体" w:hAnsi="宋体" w:cs="宋体"/>
          <w:szCs w:val="21"/>
        </w:rPr>
        <w:t xml:space="preserve">9.2施工期间发生安全事故，导致人员伤亡或财产损失的，乙方承担一切责任。如甲方因此而遭受牵连或承担损失或责任的，甲方有权向乙方全额追偿。</w:t>
      </w:r>
      <w:r/>
    </w:p>
    <w:p>
      <w:pPr>
        <w:ind w:firstLine="420"/>
        <w:spacing w:line="360" w:lineRule="auto"/>
        <w:widowControl/>
        <w:rPr>
          <w:rFonts w:ascii="宋体" w:hAnsi="宋体" w:cs="宋体"/>
          <w:szCs w:val="21"/>
        </w:rPr>
      </w:pPr>
      <w:r>
        <w:rPr>
          <w:rFonts w:hint="eastAsia" w:ascii="宋体" w:hAnsi="宋体" w:cs="宋体"/>
          <w:szCs w:val="21"/>
        </w:rPr>
        <w:t xml:space="preserve">9.3甲方、监理工程师（若有）有权对乙方的安全施工状况进行检查，发现有违反安全施工情况的，有权提出整改要求，乙方须按要求进行整改。</w:t>
      </w:r>
      <w:r/>
    </w:p>
    <w:p>
      <w:pPr>
        <w:ind w:firstLine="420"/>
        <w:spacing w:line="360" w:lineRule="auto"/>
        <w:widowControl/>
        <w:rPr>
          <w:rFonts w:ascii="宋体" w:hAnsi="宋体" w:cs="宋体"/>
          <w:szCs w:val="21"/>
        </w:rPr>
      </w:pPr>
      <w:r>
        <w:rPr>
          <w:rFonts w:hint="eastAsia" w:ascii="宋体" w:hAnsi="宋体" w:cs="宋体"/>
          <w:szCs w:val="21"/>
        </w:rPr>
        <w:t xml:space="preserve">9.4乙方必须严格做好对周边环境的保护工作，项目实施方案中必须对环境保护提出要求及标准。</w:t>
      </w:r>
      <w:r/>
    </w:p>
    <w:p>
      <w:pPr>
        <w:ind w:firstLine="420"/>
        <w:spacing w:line="360" w:lineRule="auto"/>
        <w:widowControl/>
        <w:rPr>
          <w:rFonts w:ascii="宋体" w:hAnsi="宋体" w:cs="宋体"/>
          <w:szCs w:val="21"/>
        </w:rPr>
      </w:pPr>
      <w:r>
        <w:rPr>
          <w:rFonts w:hint="eastAsia" w:ascii="宋体" w:hAnsi="宋体" w:cs="宋体"/>
          <w:szCs w:val="21"/>
        </w:rPr>
        <w:t xml:space="preserve">9.5 乙方应文明施工，佩证上岗，保证施工现场的整洁，减少施工扬尘和噪声对周边的影响，工程施工过程及完工后负责清扫施工现场。如因降尘、防噪措施不到位招致周边单位投诉的或经相关管理部门检查后提出需整改的，乙方须按要求进行整改，一切责任由乙方予以承担。</w:t>
      </w:r>
      <w:r/>
    </w:p>
    <w:p>
      <w:pPr>
        <w:ind w:firstLine="422"/>
        <w:spacing w:line="360" w:lineRule="auto"/>
        <w:widowControl/>
        <w:rPr>
          <w:rFonts w:ascii="宋体" w:hAnsi="宋体" w:cs="宋体"/>
          <w:b/>
          <w:szCs w:val="21"/>
        </w:rPr>
      </w:pPr>
      <w:r>
        <w:rPr>
          <w:rFonts w:hint="eastAsia" w:ascii="宋体" w:hAnsi="宋体" w:cs="宋体"/>
          <w:b/>
          <w:szCs w:val="21"/>
        </w:rPr>
        <w:t xml:space="preserve">十、污染地块现场施工竣工</w:t>
      </w:r>
      <w:r/>
    </w:p>
    <w:p>
      <w:pPr>
        <w:ind w:firstLine="420"/>
        <w:spacing w:line="360" w:lineRule="auto"/>
        <w:widowControl/>
        <w:rPr>
          <w:rFonts w:ascii="宋体" w:hAnsi="宋体" w:cs="宋体"/>
          <w:szCs w:val="21"/>
        </w:rPr>
      </w:pPr>
      <w:r>
        <w:rPr>
          <w:rFonts w:hint="eastAsia" w:ascii="宋体" w:hAnsi="宋体" w:cs="宋体"/>
          <w:szCs w:val="21"/>
        </w:rPr>
        <w:t xml:space="preserve">10.1污染地块现场工程竣工并通过效果评估后 10 日，乙方须撤出所有施工人员，自费将本项目范围内所有设施设备、设备基础、临时用房、硬化地坪、建筑垃圾、剩余建筑材料等全部拆除、清理出场</w:t>
      </w:r>
      <w:r>
        <w:rPr>
          <w:rFonts w:hint="eastAsia" w:ascii="宋体" w:hAnsi="宋体" w:cs="宋体"/>
          <w:szCs w:val="21"/>
        </w:rPr>
        <w:t xml:space="preserve">，并将工程移交甲方，如乙方未在上述期限内及时清理完毕并将项目交付甲方的，视为乙方放弃留置在现场内的全部设备设施、建筑材料及其他物品的权益，甲方有权代为拆除、清理、处置，所产生的费用（以甲方实际产生的费用金额为准，乙方对此无异议）及造成的损失由乙方承担；如甲方未采取拆除、清理等措施的，则从本合同约定的地块清理及交付期限届满之日起，乙方按合同总价的万分之五／日向甲方支付违约金，因逾期交付工程给甲方造成经济损失的，乙方应一并赔偿；同时，乙方移交所有竣工工程之前，甲方有权拒绝结算、支付任何已到期或未到期的合同价款。</w:t>
      </w:r>
      <w:r/>
    </w:p>
    <w:p>
      <w:pPr>
        <w:ind w:firstLine="420"/>
        <w:spacing w:line="360" w:lineRule="auto"/>
        <w:widowControl/>
        <w:rPr>
          <w:rFonts w:ascii="宋体" w:hAnsi="宋体" w:cs="宋体"/>
          <w:szCs w:val="21"/>
        </w:rPr>
      </w:pPr>
      <w:r>
        <w:rPr>
          <w:rFonts w:hint="eastAsia" w:ascii="宋体" w:hAnsi="宋体" w:cs="宋体"/>
          <w:szCs w:val="21"/>
        </w:rPr>
        <w:t xml:space="preserve">10.2 乙方完成承包范围内的全部工作后，向甲方提交经监理单位审核通过的验收申请，并配合要求向主管部门提交完整的验收资料，由园区相关主管部门组织进行验收。甲方收到乙方提交的竣工验收申请及验收资料后，认为项目（包括项目节点）尚不具备竣工验收条件或乙方提交的验收资料不完整的，有权不通过验收申请，直至项目符合竣工验收条件或验收资料完整。若项目验收时，验收资料尚不完整，或不完全符合主管部门要求的，项目验收通过后，乙方仍应按要求提交完整的符合要求的全套资料，否则，甲方有权参照第10.4条约定追究乙方的违约责任。</w:t>
      </w:r>
      <w:r/>
    </w:p>
    <w:p>
      <w:pPr>
        <w:ind w:firstLine="420"/>
        <w:spacing w:line="360" w:lineRule="auto"/>
        <w:widowControl/>
        <w:rPr>
          <w:rFonts w:ascii="宋体" w:hAnsi="宋体" w:cs="宋体"/>
        </w:rPr>
      </w:pPr>
      <w:r>
        <w:rPr>
          <w:rFonts w:hint="eastAsia" w:ascii="宋体" w:hAnsi="宋体" w:cs="宋体"/>
          <w:szCs w:val="21"/>
        </w:rPr>
        <w:t xml:space="preserve">10.3 乙方完成承包范围内的全部工程并通过验收后，向甲方提交完整的竣工资料2套。</w:t>
      </w:r>
      <w:r/>
    </w:p>
    <w:p>
      <w:pPr>
        <w:ind w:firstLine="420"/>
        <w:spacing w:line="360" w:lineRule="auto"/>
        <w:widowControl/>
        <w:rPr>
          <w:rFonts w:ascii="宋体" w:hAnsi="宋体" w:cs="宋体"/>
          <w:szCs w:val="21"/>
        </w:rPr>
      </w:pPr>
      <w:r>
        <w:rPr>
          <w:rFonts w:hint="eastAsia" w:ascii="宋体" w:hAnsi="宋体" w:cs="宋体"/>
          <w:szCs w:val="21"/>
        </w:rPr>
        <w:t xml:space="preserve">10.4效果评估通过专家复核后 10 日内，乙方向甲方移交尚未提交完毕的工程资料，乙方未移交的，甲方有权拒绝支付合同价款，且乙方每逾期移交一日，按合同总价的 万分之五 向甲方支付违约金。</w:t>
      </w:r>
      <w:r/>
    </w:p>
    <w:p>
      <w:pPr>
        <w:ind w:firstLine="422"/>
        <w:spacing w:line="360" w:lineRule="auto"/>
        <w:widowControl/>
        <w:rPr>
          <w:rFonts w:ascii="宋体" w:hAnsi="宋体" w:cs="宋体"/>
          <w:b/>
          <w:szCs w:val="21"/>
        </w:rPr>
      </w:pPr>
      <w:r>
        <w:rPr>
          <w:rFonts w:hint="eastAsia" w:ascii="宋体" w:hAnsi="宋体" w:cs="宋体"/>
          <w:b/>
          <w:szCs w:val="21"/>
        </w:rPr>
        <w:t xml:space="preserve">十一、污染土壤修复效果评估</w:t>
      </w:r>
      <w:r/>
    </w:p>
    <w:p>
      <w:pPr>
        <w:ind w:firstLine="420"/>
        <w:spacing w:line="360" w:lineRule="auto"/>
        <w:widowControl/>
        <w:rPr>
          <w:rFonts w:ascii="宋体" w:hAnsi="宋体" w:cs="宋体"/>
          <w:szCs w:val="21"/>
        </w:rPr>
      </w:pPr>
      <w:r>
        <w:rPr>
          <w:rFonts w:hint="eastAsia" w:ascii="宋体" w:hAnsi="宋体" w:cs="宋体"/>
          <w:szCs w:val="21"/>
        </w:rPr>
        <w:t xml:space="preserve">乙方完成承包范围内的全部修复工程后，向甲方提交经监理单位审核通过的验收申请，由甲方委托的效果评估单位进行验收。</w:t>
      </w:r>
      <w:r/>
    </w:p>
    <w:p>
      <w:pPr>
        <w:ind w:firstLine="420"/>
        <w:spacing w:line="360" w:lineRule="auto"/>
        <w:widowControl/>
        <w:rPr>
          <w:rFonts w:ascii="宋体" w:hAnsi="宋体" w:cs="宋体"/>
          <w:szCs w:val="21"/>
        </w:rPr>
      </w:pPr>
      <w:r>
        <w:rPr>
          <w:rFonts w:hint="eastAsia" w:ascii="宋体" w:hAnsi="宋体" w:cs="宋体"/>
          <w:szCs w:val="21"/>
        </w:rPr>
        <w:t xml:space="preserve">按照下列要求审查竣工验收报告和环境监理报告：</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11.1施工单位是否按图施工，污染土壤挖掘、污水处理排放、污染土壤运输、污染土壤修复过程中的二次污染防控情况等以及是否完成污染土壤处置，处置单位是否出具有效接收、处置证明等。</w:t>
      </w:r>
      <w:r/>
    </w:p>
    <w:p>
      <w:pPr>
        <w:pStyle w:val="1137"/>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11.2 污染土壤开挖、清运是否建立台账管理制度，查看相关手续完整性。相关记录清单原件需完整保存，便于验收抽检。</w:t>
      </w:r>
      <w:r/>
    </w:p>
    <w:p>
      <w:pPr>
        <w:ind w:firstLine="420"/>
        <w:spacing w:line="360" w:lineRule="auto"/>
        <w:widowControl/>
        <w:rPr>
          <w:rFonts w:ascii="宋体" w:hAnsi="宋体" w:cs="宋体"/>
          <w:szCs w:val="21"/>
        </w:rPr>
      </w:pPr>
      <w:r>
        <w:rPr>
          <w:rFonts w:hint="eastAsia" w:ascii="宋体" w:hAnsi="宋体" w:cs="宋体"/>
          <w:szCs w:val="21"/>
        </w:rPr>
        <w:t xml:space="preserve">11.3本项目质量标准约定为不低于采购文件规定的技术标准。</w:t>
      </w:r>
      <w:r/>
    </w:p>
    <w:p>
      <w:pPr>
        <w:ind w:firstLine="422"/>
        <w:spacing w:line="360" w:lineRule="auto"/>
        <w:rPr>
          <w:rFonts w:ascii="宋体" w:hAnsi="宋体" w:cs="宋体"/>
          <w:b/>
          <w:szCs w:val="21"/>
        </w:rPr>
      </w:pPr>
      <w:r>
        <w:rPr>
          <w:rFonts w:hint="eastAsia" w:ascii="宋体" w:hAnsi="宋体" w:cs="宋体"/>
          <w:b/>
          <w:szCs w:val="21"/>
        </w:rPr>
        <w:t xml:space="preserve">十二、其他要求</w:t>
      </w:r>
      <w:r/>
    </w:p>
    <w:p>
      <w:pPr>
        <w:ind w:firstLine="42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施工过程中若遇到降雨情况，乙方需要有以下防护措施：</w:t>
      </w:r>
      <w:r/>
    </w:p>
    <w:p>
      <w:pPr>
        <w:ind w:firstLine="420"/>
        <w:spacing w:line="360" w:lineRule="auto"/>
        <w:rPr>
          <w:rFonts w:ascii="宋体" w:hAnsi="宋体" w:cs="宋体"/>
          <w:szCs w:val="21"/>
        </w:rPr>
      </w:pPr>
      <w:r>
        <w:rPr>
          <w:rFonts w:hint="eastAsia" w:ascii="宋体" w:hAnsi="宋体" w:cs="宋体"/>
          <w:szCs w:val="21"/>
        </w:rPr>
        <w:t xml:space="preserve">（1）现场停止施工，并立即将准备好的支架及防雨布等搭好，在防雨布四周挖明沟，铺防渗膜收集雨水；</w:t>
      </w:r>
      <w:r/>
    </w:p>
    <w:p>
      <w:pPr>
        <w:ind w:firstLine="420"/>
        <w:spacing w:line="360" w:lineRule="auto"/>
        <w:rPr>
          <w:rFonts w:ascii="宋体" w:hAnsi="宋体" w:cs="宋体"/>
          <w:szCs w:val="21"/>
        </w:rPr>
      </w:pPr>
      <w:r>
        <w:rPr>
          <w:rFonts w:hint="eastAsia" w:ascii="宋体" w:hAnsi="宋体" w:cs="宋体"/>
          <w:szCs w:val="21"/>
        </w:rPr>
        <w:t xml:space="preserve">（2）防雨范围包括挖掘区和所有与污染物有直接接触的设备；</w:t>
      </w:r>
      <w:r/>
    </w:p>
    <w:p>
      <w:pPr>
        <w:ind w:firstLine="420"/>
        <w:spacing w:line="360" w:lineRule="auto"/>
        <w:rPr>
          <w:rFonts w:ascii="宋体" w:hAnsi="宋体" w:cs="宋体"/>
          <w:szCs w:val="21"/>
        </w:rPr>
      </w:pPr>
      <w:r>
        <w:rPr>
          <w:rFonts w:hint="eastAsia" w:ascii="宋体" w:hAnsi="宋体" w:cs="宋体"/>
          <w:szCs w:val="21"/>
        </w:rPr>
        <w:t xml:space="preserve">（3）大雨或暴雨时，挖掘区立即启用备用水泵抽水；</w:t>
      </w:r>
      <w:r/>
    </w:p>
    <w:p>
      <w:pPr>
        <w:ind w:firstLine="420"/>
        <w:spacing w:line="360" w:lineRule="auto"/>
        <w:rPr>
          <w:rFonts w:ascii="宋体" w:hAnsi="宋体" w:cs="宋体"/>
          <w:szCs w:val="21"/>
        </w:rPr>
      </w:pPr>
      <w:r>
        <w:rPr>
          <w:rFonts w:hint="eastAsia" w:ascii="宋体" w:hAnsi="宋体" w:cs="宋体"/>
          <w:szCs w:val="21"/>
        </w:rPr>
        <w:t xml:space="preserve">（4）雨停后，基坑内水要抽干，地面土夯实后，挖掘机方可进坑工作。</w:t>
      </w:r>
      <w:r/>
    </w:p>
    <w:p>
      <w:pPr>
        <w:ind w:firstLine="42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施工过程中若遇到土层中含有危险固废时，必须按照相关法规流程及时向环境监理以及业主等汇报，并提出合理的处置建议，待相关部门同意后进行安全处置，且不再增加相关费用。</w:t>
      </w:r>
      <w:r/>
    </w:p>
    <w:p>
      <w:pPr>
        <w:ind w:firstLine="420"/>
        <w:spacing w:line="360" w:lineRule="auto"/>
        <w:rPr>
          <w:rFonts w:ascii="宋体" w:hAnsi="宋体" w:cs="宋体"/>
          <w:szCs w:val="21"/>
        </w:rPr>
      </w:pPr>
      <w:r>
        <w:rPr>
          <w:rFonts w:hint="eastAsia" w:ascii="宋体" w:hAnsi="宋体" w:cs="宋体"/>
          <w:szCs w:val="21"/>
        </w:rPr>
        <w:t xml:space="preserve">12.3</w:t>
      </w:r>
      <w:r>
        <w:rPr>
          <w:rFonts w:hint="eastAsia" w:ascii="宋体" w:hAnsi="宋体" w:cs="宋体"/>
          <w:szCs w:val="21"/>
        </w:rPr>
        <w:t xml:space="preserve">效果评估范围</w:t>
      </w:r>
      <w:r/>
    </w:p>
    <w:p>
      <w:pPr>
        <w:ind w:firstLine="420"/>
        <w:spacing w:line="360" w:lineRule="auto"/>
        <w:rPr>
          <w:rFonts w:ascii="宋体" w:hAnsi="宋体" w:cs="宋体"/>
          <w:szCs w:val="21"/>
        </w:rPr>
      </w:pPr>
      <w:r>
        <w:rPr>
          <w:rFonts w:hint="eastAsia" w:ascii="宋体" w:hAnsi="宋体" w:cs="宋体"/>
          <w:szCs w:val="21"/>
        </w:rPr>
        <w:t xml:space="preserve">效果评估范围应与施工图纸一致；当修复工程发生变更时，应根据实际情况对效果评估范围进行调整。结合监理成果核算污染土方清理量及全过程污染防治措施落实情况。</w:t>
      </w:r>
      <w:r/>
    </w:p>
    <w:p>
      <w:pPr>
        <w:ind w:firstLine="420"/>
        <w:spacing w:line="360" w:lineRule="auto"/>
        <w:rPr>
          <w:rFonts w:ascii="宋体" w:hAnsi="宋体" w:cs="宋体"/>
          <w:szCs w:val="21"/>
        </w:rPr>
      </w:pPr>
      <w:r>
        <w:rPr>
          <w:rFonts w:hint="eastAsia" w:ascii="宋体" w:hAnsi="宋体" w:cs="宋体"/>
          <w:szCs w:val="21"/>
        </w:rPr>
        <w:t xml:space="preserve">12.4</w:t>
      </w:r>
      <w:r>
        <w:rPr>
          <w:rFonts w:hint="eastAsia" w:ascii="宋体" w:hAnsi="宋体" w:cs="宋体"/>
          <w:szCs w:val="21"/>
        </w:rPr>
        <w:t xml:space="preserve">效果评估：由甲方聘请的第三方按有关标准、规范进行效果评估。</w:t>
      </w:r>
      <w:r/>
    </w:p>
    <w:p>
      <w:pPr>
        <w:ind w:firstLine="420"/>
        <w:spacing w:line="360" w:lineRule="auto"/>
        <w:rPr>
          <w:rFonts w:ascii="宋体" w:hAnsi="宋体" w:cs="宋体"/>
          <w:szCs w:val="21"/>
        </w:rPr>
      </w:pPr>
      <w:r>
        <w:rPr>
          <w:rFonts w:hint="eastAsia" w:ascii="宋体" w:hAnsi="宋体" w:cs="宋体"/>
          <w:szCs w:val="21"/>
        </w:rPr>
        <w:t xml:space="preserve">（1）修复效果评估指标</w:t>
      </w:r>
      <w:r/>
    </w:p>
    <w:p>
      <w:pPr>
        <w:ind w:firstLine="420"/>
        <w:spacing w:line="360" w:lineRule="auto"/>
        <w:rPr>
          <w:rFonts w:ascii="宋体" w:hAnsi="宋体" w:cs="宋体"/>
          <w:szCs w:val="21"/>
        </w:rPr>
      </w:pPr>
      <w:r>
        <w:rPr>
          <w:rFonts w:hint="eastAsia" w:ascii="宋体" w:hAnsi="宋体" w:cs="宋体"/>
          <w:szCs w:val="21"/>
        </w:rPr>
        <w:t xml:space="preserve">该地块污染土壤需修复的目标污染物为砷。修复目标值如下表所示。</w:t>
      </w:r>
      <w:r/>
    </w:p>
    <w:p>
      <w:pPr>
        <w:ind w:firstLine="420"/>
        <w:jc w:val="center"/>
        <w:spacing w:line="360" w:lineRule="auto"/>
        <w:rPr>
          <w:rFonts w:ascii="宋体" w:hAnsi="宋体" w:cs="宋体"/>
          <w:szCs w:val="21"/>
        </w:rPr>
      </w:pPr>
      <w:r>
        <w:rPr>
          <w:rFonts w:hint="eastAsia" w:ascii="宋体" w:hAnsi="宋体" w:cs="宋体"/>
          <w:szCs w:val="21"/>
        </w:rPr>
        <w:t xml:space="preserve">表  地块土壤修复目标值（单位：mg/kg）</w:t>
      </w:r>
      <w:r/>
    </w:p>
    <w:tbl>
      <w:tblPr>
        <w:tblW w:w="4720" w:type="pct"/>
        <w:tblInd w:w="5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4"/>
        <w:gridCol w:w="653"/>
        <w:gridCol w:w="792"/>
        <w:gridCol w:w="7525"/>
      </w:tblGrid>
      <w:tr>
        <w:trPr>
          <w:trHeight w:val="449"/>
        </w:trPr>
        <w:tc>
          <w:tcPr>
            <w:tcW w:w="2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34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监测因子</w:t>
            </w:r>
            <w:r/>
          </w:p>
        </w:tc>
        <w:tc>
          <w:tcPr>
            <w:tcW w:w="42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目标值</w:t>
            </w:r>
            <w:r/>
          </w:p>
        </w:tc>
        <w:tc>
          <w:tcPr>
            <w:tcW w:w="4000"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参考依据</w:t>
            </w:r>
            <w:r/>
          </w:p>
        </w:tc>
      </w:tr>
      <w:tr>
        <w:trPr>
          <w:trHeight w:val="449"/>
        </w:trPr>
        <w:tc>
          <w:tcPr>
            <w:tcW w:w="23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34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砷</w:t>
            </w:r>
            <w:r/>
          </w:p>
        </w:tc>
        <w:tc>
          <w:tcPr>
            <w:tcW w:w="421"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60</w:t>
            </w:r>
            <w:r/>
          </w:p>
        </w:tc>
        <w:tc>
          <w:tcPr>
            <w:tcW w:w="4000"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《扬贤路东、扬泰路北地块土壤污染风险评估报告》、《扬贤路东、扬泰路北地块土壤修复方案》、《扬贤路东、扬泰路北地块土壤修复项目补充调查报告》</w:t>
            </w:r>
            <w:r/>
          </w:p>
        </w:tc>
      </w:tr>
    </w:tbl>
    <w:p>
      <w:pPr>
        <w:ind w:firstLine="420"/>
        <w:spacing w:line="360" w:lineRule="auto"/>
        <w:rPr>
          <w:rFonts w:ascii="宋体" w:hAnsi="宋体" w:cs="宋体"/>
          <w:szCs w:val="21"/>
        </w:rPr>
      </w:pPr>
      <w:r>
        <w:rPr>
          <w:rFonts w:hint="eastAsia" w:ascii="宋体" w:hAnsi="宋体" w:cs="宋体"/>
          <w:szCs w:val="21"/>
        </w:rPr>
        <w:t xml:space="preserve">（2）效果评估时段</w:t>
      </w:r>
      <w:r/>
    </w:p>
    <w:p>
      <w:pPr>
        <w:ind w:firstLine="420"/>
        <w:spacing w:line="360" w:lineRule="auto"/>
        <w:rPr>
          <w:rFonts w:ascii="宋体" w:hAnsi="宋体" w:cs="宋体"/>
          <w:szCs w:val="21"/>
        </w:rPr>
      </w:pPr>
      <w:r>
        <w:rPr>
          <w:rFonts w:hint="eastAsia" w:ascii="宋体" w:hAnsi="宋体" w:cs="宋体"/>
          <w:szCs w:val="21"/>
        </w:rPr>
        <w:t xml:space="preserve">效果评估分两阶段进行（具体以效果评估单位实际方案为准）。</w:t>
      </w:r>
      <w:r/>
    </w:p>
    <w:p>
      <w:pPr>
        <w:ind w:firstLine="420"/>
        <w:spacing w:line="360" w:lineRule="auto"/>
        <w:rPr>
          <w:rFonts w:ascii="宋体" w:hAnsi="宋体" w:cs="宋体"/>
          <w:szCs w:val="21"/>
        </w:rPr>
      </w:pPr>
      <w:r>
        <w:rPr>
          <w:rFonts w:hint="eastAsia" w:ascii="宋体" w:hAnsi="宋体" w:cs="宋体"/>
          <w:szCs w:val="21"/>
        </w:rPr>
        <w:t xml:space="preserve">第一阶段：挖掘、运输工程结束，评估是否按要求施工，该部分结合监理报告进行。</w:t>
      </w:r>
      <w:r/>
    </w:p>
    <w:p>
      <w:pPr>
        <w:ind w:firstLine="420"/>
        <w:spacing w:line="360" w:lineRule="auto"/>
        <w:rPr>
          <w:rFonts w:ascii="宋体" w:hAnsi="宋体" w:cs="宋体"/>
          <w:szCs w:val="21"/>
        </w:rPr>
      </w:pPr>
      <w:r>
        <w:rPr>
          <w:rFonts w:hint="eastAsia" w:ascii="宋体" w:hAnsi="宋体" w:cs="宋体"/>
          <w:szCs w:val="21"/>
        </w:rPr>
        <w:t xml:space="preserve">第二阶段：治理完工后，分区进行采样检测，完成效果评估。</w:t>
      </w:r>
      <w:r/>
    </w:p>
    <w:p>
      <w:pPr>
        <w:ind w:firstLine="422"/>
        <w:spacing w:line="360" w:lineRule="auto"/>
        <w:widowControl/>
        <w:rPr>
          <w:rFonts w:ascii="宋体" w:hAnsi="宋体" w:cs="宋体"/>
          <w:b/>
          <w:szCs w:val="21"/>
        </w:rPr>
      </w:pPr>
      <w:r>
        <w:rPr>
          <w:rFonts w:hint="eastAsia" w:ascii="宋体" w:hAnsi="宋体" w:cs="宋体"/>
          <w:b/>
          <w:szCs w:val="21"/>
        </w:rPr>
        <w:t xml:space="preserve">十三、违约责任</w:t>
      </w:r>
      <w:r/>
    </w:p>
    <w:p>
      <w:pPr>
        <w:ind w:firstLine="420"/>
        <w:spacing w:line="360" w:lineRule="auto"/>
        <w:widowControl/>
        <w:rPr>
          <w:rFonts w:ascii="宋体" w:hAnsi="宋体" w:cs="宋体"/>
          <w:szCs w:val="21"/>
        </w:rPr>
      </w:pPr>
      <w:r>
        <w:rPr>
          <w:rFonts w:hint="eastAsia" w:ascii="宋体" w:hAnsi="宋体" w:cs="宋体"/>
          <w:szCs w:val="21"/>
        </w:rPr>
        <w:t xml:space="preserve">13.1在乙方按约履行合同的情况下，甲方无故未按约支付应付进度款超过60日的，自第61日开始，每逾期一日，甲方按应付未付进度款的 万分之五 向乙方支付违约金，但乙方不得以甲方拖欠进度款为由暂停施工或延缓施工进度（项目进度），再逾期超过30日的，乙方有权暂停施工，由此造成的工期延误由甲方负责。</w:t>
      </w:r>
      <w:r/>
    </w:p>
    <w:p>
      <w:pPr>
        <w:pStyle w:val="1044"/>
        <w:ind w:left="0"/>
        <w:spacing w:after="0" w:line="360" w:lineRule="auto"/>
        <w:rPr>
          <w:rFonts w:ascii="宋体" w:hAnsi="宋体" w:cs="宋体"/>
          <w:szCs w:val="21"/>
        </w:rPr>
      </w:pPr>
      <w:r>
        <w:rPr>
          <w:rFonts w:hint="eastAsia" w:ascii="宋体" w:hAnsi="宋体" w:cs="宋体"/>
          <w:szCs w:val="21"/>
        </w:rPr>
        <w:t xml:space="preserve">13.2乙方存在以下行为的，甲方有权终止合同，由此造成的损失（包括再次招标的费用、律师费、诉讼费等）由乙方承担，甲方有权拒绝支付本合同全部款项（已支付的乙方应退还），要求乙方按照合同总价的30%向甲方支付违约金，将乙方列入内部不良行为记录名单进行通报，并重新招标：</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（1）未按响应投标文件、相关承诺内容、合同及附件约定内容履行任务的；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（2）出现重大安全事故的；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（3）施工、污染土壤运输过程造成二次污染的或未按照相关管理部门要求进行施工和污染土壤运输的；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（4）施工原因造成周围居民投诉的；</w:t>
      </w:r>
      <w:r/>
    </w:p>
    <w:p>
      <w:pPr>
        <w:pStyle w:val="1038"/>
        <w:spacing w:line="360" w:lineRule="auto"/>
        <w:rPr>
          <w:rFonts w:ascii="宋体" w:hAnsi="宋体" w:eastAsia="宋体" w:cs="宋体"/>
          <w:b/>
          <w:szCs w:val="21"/>
        </w:rPr>
      </w:pPr>
      <w:r>
        <w:rPr>
          <w:rFonts w:hint="eastAsia" w:ascii="宋体" w:hAnsi="宋体" w:eastAsia="宋体" w:cs="宋体"/>
          <w:sz w:val="21"/>
          <w:szCs w:val="21"/>
        </w:rPr>
        <w:t xml:space="preserve">（5）项目未在合同约定工期（含节点工期）或签证顺延工期内完工的，逾期超过5日的；</w:t>
      </w:r>
      <w:r/>
    </w:p>
    <w:p>
      <w:pPr>
        <w:ind w:firstLine="420"/>
        <w:spacing w:line="360" w:lineRule="auto"/>
        <w:widowControl/>
        <w:rPr>
          <w:rFonts w:ascii="宋体" w:hAnsi="宋体" w:cs="宋体"/>
          <w:szCs w:val="21"/>
        </w:rPr>
      </w:pPr>
      <w:r>
        <w:rPr>
          <w:rFonts w:hint="eastAsia" w:ascii="宋体" w:hAnsi="宋体" w:cs="宋体"/>
          <w:szCs w:val="21"/>
        </w:rPr>
        <w:t xml:space="preserve">（6）非法倾倒本地块污染土壤或运输途中偷倒或加装不属于本项目范围内的垃圾；</w:t>
      </w:r>
      <w:r/>
    </w:p>
    <w:p>
      <w:pPr>
        <w:ind w:firstLine="420"/>
        <w:spacing w:line="360" w:lineRule="auto"/>
        <w:widowControl/>
        <w:rPr>
          <w:rFonts w:ascii="宋体" w:hAnsi="宋体" w:cs="宋体"/>
          <w:szCs w:val="21"/>
        </w:rPr>
      </w:pPr>
      <w:r>
        <w:rPr>
          <w:rFonts w:hint="eastAsia" w:ascii="宋体" w:hAnsi="宋体" w:cs="宋体"/>
          <w:szCs w:val="21"/>
        </w:rPr>
        <w:t xml:space="preserve">（7）项目实施过程中数据造假；</w:t>
      </w:r>
      <w:r/>
    </w:p>
    <w:p>
      <w:pPr>
        <w:ind w:firstLine="420"/>
        <w:spacing w:line="360" w:lineRule="auto"/>
        <w:widowControl/>
        <w:rPr>
          <w:rFonts w:ascii="宋体" w:hAnsi="宋体" w:cs="宋体"/>
          <w:szCs w:val="21"/>
        </w:rPr>
      </w:pPr>
      <w:r>
        <w:rPr>
          <w:rFonts w:hint="eastAsia" w:ascii="宋体" w:hAnsi="宋体" w:cs="宋体"/>
          <w:szCs w:val="21"/>
        </w:rPr>
        <w:t xml:space="preserve">（8）未经甲方同意私自更换中转场地或处置终端企业；</w:t>
      </w:r>
      <w:r/>
    </w:p>
    <w:p>
      <w:pPr>
        <w:ind w:firstLine="420"/>
        <w:spacing w:line="360" w:lineRule="auto"/>
        <w:widowControl/>
        <w:rPr>
          <w:rFonts w:ascii="宋体" w:hAnsi="宋体" w:cs="宋体"/>
          <w:szCs w:val="21"/>
        </w:rPr>
      </w:pPr>
      <w:r>
        <w:rPr>
          <w:rFonts w:hint="eastAsia" w:ascii="宋体" w:hAnsi="宋体" w:cs="宋体"/>
          <w:szCs w:val="21"/>
        </w:rPr>
        <w:t xml:space="preserve">（9）履行合同过程中发生重大安全事故、媒体连续二次曝光、拖欠员工工资等情况；</w:t>
      </w:r>
      <w:r/>
    </w:p>
    <w:p>
      <w:pPr>
        <w:ind w:firstLine="420"/>
        <w:spacing w:line="360" w:lineRule="auto"/>
        <w:widowControl/>
        <w:rPr>
          <w:rFonts w:ascii="宋体" w:hAnsi="宋体" w:cs="宋体"/>
          <w:szCs w:val="21"/>
        </w:rPr>
      </w:pPr>
      <w:r>
        <w:rPr>
          <w:rFonts w:hint="eastAsia" w:ascii="宋体" w:hAnsi="宋体" w:cs="宋体"/>
          <w:szCs w:val="21"/>
        </w:rPr>
        <w:t xml:space="preserve">（10）未经甲方同意，将本合同整体或任何部分以任何形式转让、转包、分包、委托、承包给任何第三方实施的；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（11）甲方依法有权终止合同的其他情形。</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甲方终止合同的，乙方应在合同终止之日起5日内撤出施工现场的所有机械、材料、人员，并向甲方移交施工资料。乙方未按约定撤出施工现场的，甲方有权将机械、材料清理出施工现场，由此产生的费用由乙方承担。</w:t>
      </w:r>
      <w:r/>
    </w:p>
    <w:p>
      <w:pPr>
        <w:ind w:firstLine="420"/>
        <w:spacing w:line="360" w:lineRule="auto"/>
        <w:widowControl/>
        <w:rPr>
          <w:rFonts w:ascii="宋体" w:hAnsi="宋体" w:cs="宋体"/>
          <w:b/>
          <w:szCs w:val="21"/>
        </w:rPr>
      </w:pPr>
      <w:r>
        <w:rPr>
          <w:rFonts w:hint="eastAsia" w:ascii="宋体" w:hAnsi="宋体" w:cs="宋体"/>
          <w:szCs w:val="21"/>
        </w:rPr>
        <w:t xml:space="preserve">13.3项目未在合同约定工期（含节点工期）或签证顺延工期内完工的，乙方按下列标准支付违约金：逾期竣工 5 天以内（含5天）的，每逾期一日，乙方按合同总价的万分之五 向甲方支付违约金，逾期完工 5 天以上的，每逾期一日，乙方按合同总价的万分之十 向甲方支付违约金。因项目逾期完工给甲方造成损失的，该损失包括但不限于甲方因逾期完工向乙方支付的逾期完工违约金，甲方增加的财务成本等，乙方应赔偿全额损失。</w:t>
      </w:r>
      <w:r/>
    </w:p>
    <w:p>
      <w:pPr>
        <w:ind w:firstLine="420"/>
        <w:spacing w:line="360" w:lineRule="auto"/>
        <w:widowControl/>
        <w:rPr>
          <w:rFonts w:ascii="宋体" w:hAnsi="宋体" w:cs="宋体"/>
          <w:szCs w:val="21"/>
        </w:rPr>
      </w:pPr>
      <w:r>
        <w:rPr>
          <w:rFonts w:hint="eastAsia" w:ascii="宋体" w:hAnsi="宋体" w:cs="宋体"/>
          <w:szCs w:val="21"/>
        </w:rPr>
        <w:t xml:space="preserve">13.4 乙方应妥善保护甲方提供的设备及现场堆放的工程成品（若有），如造成损失，赔偿损失。</w:t>
      </w:r>
      <w:r/>
    </w:p>
    <w:p>
      <w:pPr>
        <w:ind w:firstLine="420"/>
        <w:spacing w:line="360" w:lineRule="auto"/>
        <w:widowControl/>
        <w:rPr>
          <w:rFonts w:ascii="宋体" w:hAnsi="宋体" w:cs="宋体"/>
          <w:szCs w:val="21"/>
        </w:rPr>
      </w:pPr>
      <w:r>
        <w:rPr>
          <w:rFonts w:hint="eastAsia" w:ascii="宋体" w:hAnsi="宋体" w:cs="宋体"/>
          <w:szCs w:val="21"/>
        </w:rPr>
        <w:t xml:space="preserve">13.5 施工中未经甲方同意或有关部门批准，乙方不得随意拆改原建筑物结构及各种设备管线，乙方擅自拆改原建筑物结构或设备管线，由此发生的损失或事故（包括罚款），由乙方负责并赔偿损失。</w:t>
      </w:r>
      <w:r/>
    </w:p>
    <w:p>
      <w:pPr>
        <w:pStyle w:val="1137"/>
        <w:ind w:firstLine="420"/>
        <w:spacing w:line="36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13.6 施工中未经甲方同意或有关部门批准，乙方不得随意更换中转场地或处置终端企业，乙方擅自变更中转场地或终端处置企业，由此发生的损失或事故（包括罚款），由乙方负责并赔偿损失。甲方有权拒绝支付剩余款项，并终止合同，同时保留追究其违约责任的权利。</w:t>
      </w:r>
      <w:r/>
    </w:p>
    <w:p>
      <w:pPr>
        <w:ind w:firstLine="420"/>
        <w:spacing w:line="360" w:lineRule="auto"/>
        <w:widowControl/>
        <w:rPr>
          <w:rFonts w:ascii="宋体" w:hAnsi="宋体" w:cs="宋体"/>
          <w:szCs w:val="21"/>
        </w:rPr>
      </w:pPr>
      <w:r>
        <w:rPr>
          <w:rFonts w:hint="eastAsia" w:ascii="宋体" w:hAnsi="宋体" w:cs="宋体"/>
          <w:szCs w:val="21"/>
        </w:rPr>
        <w:t xml:space="preserve">13.7 乙方依约应承担的违约金和损失，甲方有权在合同价款中直接扣除。</w:t>
      </w:r>
      <w:r/>
    </w:p>
    <w:p>
      <w:pPr>
        <w:ind w:firstLine="420"/>
        <w:spacing w:line="360" w:lineRule="auto"/>
        <w:widowControl/>
        <w:rPr>
          <w:rFonts w:ascii="宋体" w:hAnsi="宋体" w:cs="宋体"/>
          <w:szCs w:val="21"/>
        </w:rPr>
      </w:pPr>
      <w:r>
        <w:rPr>
          <w:rFonts w:hint="eastAsia" w:ascii="宋体" w:hAnsi="宋体" w:cs="宋体"/>
          <w:szCs w:val="21"/>
        </w:rPr>
        <w:t xml:space="preserve">13.8 乙方未通过土壤污染治理修复项目竣工验收，乙方应根据甲方要求限期整改，费用由乙方承担，并自乙方响应投标文件承诺的竣工日期次日起，每逾期一日，乙方按合同总造价的万分之五 向甲方支付违约金，若乙方未完成限期整改或未通过甲方组织的第二次验收，甲方有权拒绝支付剩余款项，并终止合同，同时保留追究其违约责任的权利。乙方须承担未通过验收土壤污染治理项目的治理费用。</w:t>
      </w:r>
      <w:r/>
    </w:p>
    <w:p>
      <w:pPr>
        <w:pStyle w:val="1044"/>
        <w:ind w:left="0"/>
        <w:spacing w:after="0" w:line="360" w:lineRule="auto"/>
        <w:rPr>
          <w:rFonts w:ascii="宋体" w:hAnsi="宋体" w:cs="宋体"/>
          <w:szCs w:val="21"/>
        </w:rPr>
      </w:pPr>
      <w:r>
        <w:rPr>
          <w:rFonts w:hint="eastAsia" w:ascii="宋体" w:hAnsi="宋体" w:cs="宋体"/>
          <w:szCs w:val="21"/>
        </w:rPr>
        <w:t xml:space="preserve">13.9 由于乙方原因不能完成项目任务的，甲方有权直接解除合同，重新招标，由此造成的损失由乙方承担。</w:t>
      </w:r>
      <w:r/>
    </w:p>
    <w:p>
      <w:pPr>
        <w:ind w:firstLine="422"/>
        <w:spacing w:line="360" w:lineRule="auto"/>
        <w:widowControl/>
        <w:rPr>
          <w:rFonts w:ascii="宋体" w:hAnsi="宋体" w:cs="宋体"/>
          <w:b/>
          <w:szCs w:val="21"/>
        </w:rPr>
      </w:pPr>
      <w:r>
        <w:rPr>
          <w:rFonts w:hint="eastAsia" w:ascii="宋体" w:hAnsi="宋体" w:cs="宋体"/>
          <w:b/>
          <w:szCs w:val="21"/>
        </w:rPr>
        <w:t xml:space="preserve">十四、不可抗力</w:t>
      </w:r>
      <w:r/>
    </w:p>
    <w:p>
      <w:pPr>
        <w:ind w:firstLine="420"/>
        <w:spacing w:line="360" w:lineRule="auto"/>
        <w:rPr>
          <w:rFonts w:ascii="宋体" w:hAnsi="宋体" w:cs="宋体"/>
          <w:szCs w:val="21"/>
        </w:rPr>
      </w:pPr>
      <w:r/>
      <w:bookmarkStart w:id="40" w:name="_Toc500740737"/>
      <w:r>
        <w:rPr>
          <w:rFonts w:hint="eastAsia" w:ascii="宋体" w:hAnsi="宋体" w:cs="宋体"/>
          <w:szCs w:val="21"/>
        </w:rPr>
        <w:t xml:space="preserve">14.1</w:t>
      </w:r>
      <w:r>
        <w:rPr>
          <w:rFonts w:hint="eastAsia" w:ascii="宋体" w:hAnsi="宋体" w:cs="宋体"/>
          <w:szCs w:val="21"/>
        </w:rPr>
        <w:t xml:space="preserve">不可抗力是指合同当事人在签订合同时不可预见，在合同履行过程中不可避免且不能克服的自然灾害和社会性突发事件，如地震、海啸、瘟疫、骚乱、戒严、暴动、战争和国家或地方政府的政策</w:t>
      </w:r>
      <w:r>
        <w:rPr>
          <w:rFonts w:hint="eastAsia" w:ascii="宋体" w:hAnsi="宋体" w:cs="宋体"/>
          <w:szCs w:val="21"/>
        </w:rPr>
        <w:t xml:space="preserve">。</w:t>
      </w:r>
      <w:bookmarkEnd w:id="40"/>
      <w:r/>
      <w:r/>
    </w:p>
    <w:p>
      <w:pPr>
        <w:ind w:firstLine="420"/>
        <w:spacing w:line="360" w:lineRule="auto"/>
        <w:rPr>
          <w:rFonts w:ascii="宋体" w:hAnsi="宋体" w:cs="宋体"/>
          <w:szCs w:val="21"/>
        </w:rPr>
      </w:pPr>
      <w:r/>
      <w:bookmarkStart w:id="41" w:name="_Toc500740738"/>
      <w:r>
        <w:rPr>
          <w:rFonts w:hint="eastAsia" w:ascii="宋体" w:hAnsi="宋体" w:cs="宋体"/>
          <w:szCs w:val="21"/>
        </w:rPr>
        <w:t xml:space="preserve">14.2</w:t>
      </w:r>
      <w:r>
        <w:rPr>
          <w:rFonts w:hint="eastAsia" w:ascii="宋体" w:hAnsi="宋体" w:cs="宋体"/>
          <w:szCs w:val="21"/>
        </w:rPr>
        <w:t xml:space="preserve">不可抗力发生后，甲乙双方应收集证明不可抗力发生及不可抗力造成损失的证据，并及时认真统计所造成的损失。</w:t>
      </w:r>
      <w:bookmarkEnd w:id="41"/>
      <w:r/>
      <w:r/>
    </w:p>
    <w:p>
      <w:pPr>
        <w:ind w:firstLine="420"/>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.3合同一方当事人遇到不可抗力事件，使其履行合同义务受到阻碍时，应立即通知合同另一方当事人和监理人，书面说明不可抗力和受阻碍的详细情况，并提供必要的证明。</w:t>
      </w:r>
      <w:r/>
    </w:p>
    <w:p>
      <w:pPr>
        <w:ind w:firstLine="420"/>
        <w:jc w:val="left"/>
        <w:spacing w:line="360" w:lineRule="auto"/>
        <w:rPr>
          <w:rFonts w:ascii="宋体" w:hAnsi="宋体" w:cs="宋体"/>
          <w:szCs w:val="21"/>
        </w:rPr>
      </w:pPr>
      <w:r>
        <w:rPr>
          <w:rFonts w:hint="eastAsia" w:ascii="宋体" w:hAnsi="宋体" w:cs="宋体"/>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20"/>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.4 不可抗力发生前已完成的工程应当按照本合同约定进行计量支付。</w:t>
      </w:r>
      <w:r/>
    </w:p>
    <w:p>
      <w:pPr>
        <w:ind w:firstLine="420"/>
        <w:jc w:val="left"/>
        <w:spacing w:line="360" w:lineRule="auto"/>
        <w:rPr>
          <w:rFonts w:ascii="宋体" w:hAnsi="宋体" w:cs="宋体"/>
          <w:szCs w:val="21"/>
        </w:rPr>
      </w:pPr>
      <w:r>
        <w:rPr>
          <w:rFonts w:hint="eastAsia" w:ascii="宋体" w:hAnsi="宋体" w:cs="宋体"/>
          <w:szCs w:val="21"/>
        </w:rPr>
        <w:t xml:space="preserve">不可抗力导致的人员伤亡、财产损失、费用增加和（或）工期延误等后果，由合同当事人按以下原则承担：</w:t>
      </w:r>
      <w:r/>
    </w:p>
    <w:p>
      <w:pPr>
        <w:ind w:firstLine="420"/>
        <w:jc w:val="left"/>
        <w:spacing w:line="360" w:lineRule="auto"/>
        <w:rPr>
          <w:rFonts w:ascii="宋体" w:hAnsi="宋体" w:cs="宋体"/>
          <w:szCs w:val="21"/>
        </w:rPr>
      </w:pPr>
      <w:r>
        <w:rPr>
          <w:rFonts w:hint="eastAsia" w:ascii="宋体" w:hAnsi="宋体" w:cs="宋体"/>
          <w:szCs w:val="21"/>
        </w:rPr>
        <w:t xml:space="preserve">（1）甲方和乙方承担各自人员伤亡和财产的损失；</w:t>
      </w:r>
      <w:r/>
    </w:p>
    <w:p>
      <w:pPr>
        <w:ind w:firstLine="420"/>
        <w:spacing w:line="360" w:lineRule="auto"/>
        <w:rPr>
          <w:rFonts w:ascii="宋体" w:hAnsi="宋体" w:cs="宋体"/>
          <w:szCs w:val="21"/>
        </w:rPr>
      </w:pPr>
      <w:r>
        <w:rPr>
          <w:rFonts w:hint="eastAsia" w:ascii="宋体" w:hAnsi="宋体" w:cs="宋体"/>
          <w:szCs w:val="21"/>
        </w:rPr>
        <w:t xml:space="preserve">（2）因不可抗力影响乙方履行合同约定的义务，已经引起或将引起工期延误的，应当顺延工期，由此导致乙方停工的费用损失由甲方和乙方合理分担。</w:t>
      </w:r>
      <w:r/>
    </w:p>
    <w:p>
      <w:pPr>
        <w:ind w:firstLine="420"/>
        <w:jc w:val="left"/>
        <w:spacing w:line="360" w:lineRule="auto"/>
        <w:rPr>
          <w:rFonts w:ascii="宋体" w:hAnsi="宋体" w:cs="宋体"/>
          <w:szCs w:val="21"/>
        </w:rPr>
      </w:pPr>
      <w:r>
        <w:rPr>
          <w:rFonts w:hint="eastAsia" w:ascii="宋体" w:hAnsi="宋体" w:cs="宋体"/>
          <w:szCs w:val="21"/>
        </w:rPr>
        <w:t xml:space="preserve">（3）因不可抗力引起工期延误，甲方要求赶工的，由此增加的赶工费用视具体情况由双方协商解决；</w:t>
      </w:r>
      <w:r/>
    </w:p>
    <w:p>
      <w:pPr>
        <w:ind w:firstLine="420"/>
        <w:jc w:val="left"/>
        <w:spacing w:line="360" w:lineRule="auto"/>
        <w:rPr>
          <w:rFonts w:ascii="宋体" w:hAnsi="宋体" w:cs="宋体"/>
          <w:szCs w:val="21"/>
        </w:rPr>
      </w:pPr>
      <w:r>
        <w:rPr>
          <w:rFonts w:hint="eastAsia" w:ascii="宋体" w:hAnsi="宋体" w:cs="宋体"/>
          <w:szCs w:val="21"/>
        </w:rPr>
        <w:t xml:space="preserve">（4）因不可抗力引起停工的，乙方在停工期间按照甲方要求照管、清理和修复工程的费用视具体情况由双方协商解决；</w:t>
      </w:r>
      <w:r/>
    </w:p>
    <w:p>
      <w:pPr>
        <w:ind w:firstLine="420"/>
        <w:jc w:val="left"/>
        <w:spacing w:line="360" w:lineRule="auto"/>
        <w:rPr>
          <w:rFonts w:ascii="宋体" w:hAnsi="宋体" w:cs="宋体"/>
          <w:szCs w:val="21"/>
        </w:rPr>
      </w:pPr>
      <w:r>
        <w:rPr>
          <w:rFonts w:hint="eastAsia" w:ascii="宋体" w:hAnsi="宋体" w:cs="宋体"/>
          <w:szCs w:val="21"/>
        </w:rPr>
        <w:t xml:space="preserve">（5）如在自然衰减期间，发生不可抗力等因素造成该项工作中止，甲乙双方不得因实际衰减时间调整对该费用进行变更。</w:t>
      </w:r>
      <w:r/>
    </w:p>
    <w:p>
      <w:pPr>
        <w:ind w:firstLine="420"/>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.5 不可抗力发生后，合同当事人均应采取措施尽量避免和减少损失的扩大，任何一方当事人没有采取有效措施导致损失扩大的，应对扩大的损失承担责任。</w:t>
      </w:r>
      <w:r/>
    </w:p>
    <w:p>
      <w:pPr>
        <w:ind w:firstLine="420"/>
        <w:jc w:val="left"/>
        <w:spacing w:line="360" w:lineRule="auto"/>
        <w:rPr>
          <w:rFonts w:ascii="宋体" w:hAnsi="宋体" w:cs="宋体"/>
          <w:szCs w:val="21"/>
        </w:rPr>
      </w:pPr>
      <w:r>
        <w:rPr>
          <w:rFonts w:hint="eastAsia" w:ascii="宋体" w:hAnsi="宋体" w:cs="宋体"/>
          <w:szCs w:val="21"/>
        </w:rPr>
        <w:t xml:space="preserve">因合同一方迟延履行合同义务，在迟延履行期间遭遇不可抗力的，不免除其违约责任。</w:t>
      </w:r>
      <w:r/>
    </w:p>
    <w:p>
      <w:pPr>
        <w:ind w:firstLine="420"/>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.6 因不可抗力导致合同无法履行累计超过30天的，甲方和乙方均有权解除合同。合同解除后，由双方当事人按照本合同有关条款确定甲方应支付的款项，该款项包括：</w:t>
      </w:r>
      <w:r/>
    </w:p>
    <w:p>
      <w:pPr>
        <w:ind w:firstLine="420"/>
        <w:jc w:val="left"/>
        <w:spacing w:line="360" w:lineRule="auto"/>
        <w:rPr>
          <w:rFonts w:ascii="宋体" w:hAnsi="宋体" w:cs="宋体"/>
          <w:szCs w:val="21"/>
        </w:rPr>
      </w:pPr>
      <w:r>
        <w:rPr>
          <w:rFonts w:hint="eastAsia" w:ascii="宋体" w:hAnsi="宋体" w:cs="宋体"/>
          <w:szCs w:val="21"/>
        </w:rPr>
        <w:t xml:space="preserve">（1）合同解除前乙方已完成工作的价款；</w:t>
      </w:r>
      <w:r/>
    </w:p>
    <w:p>
      <w:pPr>
        <w:ind w:firstLine="420"/>
        <w:jc w:val="left"/>
        <w:spacing w:line="360" w:lineRule="auto"/>
        <w:rPr>
          <w:rFonts w:ascii="宋体" w:hAnsi="宋体" w:cs="宋体"/>
          <w:szCs w:val="21"/>
        </w:rPr>
      </w:pPr>
      <w:r>
        <w:rPr>
          <w:rFonts w:hint="eastAsia" w:ascii="宋体" w:hAnsi="宋体" w:cs="宋体"/>
          <w:szCs w:val="21"/>
        </w:rPr>
        <w:t xml:space="preserve">（2）乙方为工程订购的并已交付给甲方，或甲方有责任接受交付的材料、工程设备和其他物品的价款；</w:t>
      </w:r>
      <w:r/>
    </w:p>
    <w:p>
      <w:pPr>
        <w:ind w:firstLine="420"/>
        <w:jc w:val="left"/>
        <w:spacing w:line="360" w:lineRule="auto"/>
        <w:rPr>
          <w:rFonts w:ascii="宋体" w:hAnsi="宋体" w:cs="宋体"/>
          <w:szCs w:val="21"/>
        </w:rPr>
      </w:pPr>
      <w:r>
        <w:rPr>
          <w:rFonts w:hint="eastAsia" w:ascii="宋体" w:hAnsi="宋体" w:cs="宋体"/>
          <w:szCs w:val="21"/>
        </w:rPr>
        <w:t xml:space="preserve">（3）甲方要求乙方退货或解除订货合同而产生的费用，或因不能退货或解除合同而产生的损失；</w:t>
      </w:r>
      <w:r/>
    </w:p>
    <w:p>
      <w:pPr>
        <w:ind w:firstLine="420"/>
        <w:jc w:val="left"/>
        <w:spacing w:line="360" w:lineRule="auto"/>
        <w:rPr>
          <w:rFonts w:ascii="宋体" w:hAnsi="宋体" w:cs="宋体"/>
          <w:szCs w:val="21"/>
        </w:rPr>
      </w:pPr>
      <w:r>
        <w:rPr>
          <w:rFonts w:hint="eastAsia" w:ascii="宋体" w:hAnsi="宋体" w:cs="宋体"/>
          <w:szCs w:val="21"/>
        </w:rPr>
        <w:t xml:space="preserve">（4）按照合同约定在合同解除前应支付给乙方的其他款项；</w:t>
      </w:r>
      <w:r/>
    </w:p>
    <w:p>
      <w:pPr>
        <w:ind w:firstLine="420"/>
        <w:jc w:val="left"/>
        <w:spacing w:line="360" w:lineRule="auto"/>
        <w:rPr>
          <w:rFonts w:ascii="宋体" w:hAnsi="宋体" w:cs="宋体"/>
          <w:szCs w:val="21"/>
        </w:rPr>
      </w:pPr>
      <w:r>
        <w:rPr>
          <w:rFonts w:hint="eastAsia" w:ascii="宋体" w:hAnsi="宋体" w:cs="宋体"/>
          <w:szCs w:val="21"/>
        </w:rPr>
        <w:t xml:space="preserve">（5）扣减乙方按照合同约定应向甲方支付的款项；</w:t>
      </w:r>
      <w:r/>
    </w:p>
    <w:p>
      <w:pPr>
        <w:ind w:firstLine="420"/>
        <w:jc w:val="left"/>
        <w:spacing w:line="360" w:lineRule="auto"/>
        <w:rPr>
          <w:rFonts w:ascii="宋体" w:hAnsi="宋体" w:cs="宋体"/>
          <w:szCs w:val="21"/>
        </w:rPr>
      </w:pPr>
      <w:r>
        <w:rPr>
          <w:rFonts w:hint="eastAsia" w:ascii="宋体" w:hAnsi="宋体" w:cs="宋体"/>
          <w:szCs w:val="21"/>
        </w:rPr>
        <w:t xml:space="preserve">（6）双方商定或确定的其他款项。</w:t>
      </w:r>
      <w:r/>
    </w:p>
    <w:p>
      <w:pPr>
        <w:ind w:firstLine="420"/>
        <w:jc w:val="left"/>
        <w:spacing w:line="360" w:lineRule="auto"/>
        <w:rPr>
          <w:rFonts w:ascii="宋体" w:hAnsi="宋体" w:cs="宋体"/>
          <w:szCs w:val="21"/>
        </w:rPr>
      </w:pPr>
      <w:r>
        <w:rPr>
          <w:rFonts w:hint="eastAsia" w:ascii="宋体" w:hAnsi="宋体" w:cs="宋体"/>
          <w:szCs w:val="21"/>
        </w:rPr>
        <w:t xml:space="preserve">合同解除后，甲方应在商定或确定上述款项后28天内完成上述款项的支付。</w:t>
      </w:r>
      <w:r/>
    </w:p>
    <w:p>
      <w:pPr>
        <w:ind w:firstLine="422"/>
        <w:spacing w:line="360" w:lineRule="auto"/>
        <w:widowControl/>
        <w:rPr>
          <w:rFonts w:ascii="宋体" w:hAnsi="宋体" w:cs="宋体"/>
          <w:b/>
          <w:szCs w:val="21"/>
        </w:rPr>
      </w:pPr>
      <w:r>
        <w:rPr>
          <w:rFonts w:hint="eastAsia" w:ascii="宋体" w:hAnsi="宋体" w:cs="宋体"/>
          <w:b/>
          <w:szCs w:val="21"/>
        </w:rPr>
        <w:t xml:space="preserve">十五、索赔</w:t>
      </w:r>
      <w:r/>
    </w:p>
    <w:p>
      <w:pPr>
        <w:ind w:firstLine="420"/>
        <w:spacing w:line="360" w:lineRule="auto"/>
        <w:widowControl/>
        <w:rPr>
          <w:rFonts w:ascii="宋体" w:hAnsi="宋体" w:cs="宋体"/>
          <w:szCs w:val="21"/>
        </w:rPr>
      </w:pPr>
      <w:r>
        <w:rPr>
          <w:rFonts w:hint="eastAsia" w:ascii="宋体" w:hAnsi="宋体" w:cs="宋体"/>
          <w:szCs w:val="21"/>
        </w:rPr>
        <w:t xml:space="preserve">15.1 甲方有权根据当地权威检测检验机构或其他有权部门出具的检验检测结果意见证书向乙方提出索赔。</w:t>
      </w:r>
      <w:r/>
    </w:p>
    <w:p>
      <w:pPr>
        <w:ind w:firstLine="420"/>
        <w:spacing w:line="360" w:lineRule="auto"/>
        <w:widowControl/>
        <w:rPr>
          <w:rFonts w:ascii="宋体" w:hAnsi="宋体" w:cs="宋体"/>
          <w:szCs w:val="21"/>
        </w:rPr>
      </w:pPr>
      <w:r>
        <w:rPr>
          <w:rFonts w:hint="eastAsia" w:ascii="宋体" w:hAnsi="宋体" w:cs="宋体"/>
          <w:szCs w:val="21"/>
        </w:rPr>
        <w:t xml:space="preserve">15.2 在本合同规定的检验期限和质量保证期内，如果乙方对甲方提出的索赔或差异有责任，则乙方应按甲方同意的方式解决索赔事宜。</w:t>
      </w:r>
      <w:r/>
    </w:p>
    <w:p>
      <w:pPr>
        <w:ind w:firstLine="420"/>
        <w:spacing w:line="360" w:lineRule="auto"/>
        <w:widowControl/>
        <w:rPr>
          <w:rFonts w:ascii="宋体" w:hAnsi="宋体" w:cs="宋体"/>
          <w:szCs w:val="21"/>
        </w:rPr>
      </w:pPr>
      <w:r>
        <w:rPr>
          <w:rFonts w:hint="eastAsia" w:ascii="宋体" w:hAnsi="宋体" w:cs="宋体"/>
          <w:szCs w:val="21"/>
        </w:rPr>
        <w:t xml:space="preserve">15.3 如果在甲方发出索赔通知后14天内，乙方未能答复，上述索赔应视为已被乙方接受。若乙方未在甲方提出索赔通知后14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360" w:lineRule="auto"/>
        <w:widowControl/>
        <w:rPr>
          <w:rFonts w:ascii="宋体" w:hAnsi="宋体" w:cs="宋体"/>
          <w:szCs w:val="21"/>
        </w:rPr>
      </w:pPr>
      <w:r>
        <w:rPr>
          <w:rFonts w:hint="eastAsia" w:ascii="宋体" w:hAnsi="宋体" w:cs="宋体"/>
          <w:szCs w:val="21"/>
        </w:rPr>
        <w:t xml:space="preserve">15.4以上条款适用乙方对甲方的索赔程序及结果。</w:t>
      </w:r>
      <w:r/>
    </w:p>
    <w:p>
      <w:pPr>
        <w:ind w:firstLine="422"/>
        <w:spacing w:line="360" w:lineRule="auto"/>
        <w:widowControl/>
        <w:rPr>
          <w:rFonts w:ascii="宋体" w:hAnsi="宋体" w:cs="宋体"/>
          <w:b/>
          <w:szCs w:val="21"/>
        </w:rPr>
      </w:pPr>
      <w:r>
        <w:rPr>
          <w:rFonts w:hint="eastAsia" w:ascii="宋体" w:hAnsi="宋体" w:cs="宋体"/>
          <w:b/>
          <w:szCs w:val="21"/>
        </w:rPr>
        <w:t xml:space="preserve">十六、合同的解除和转让</w:t>
      </w:r>
      <w:r/>
    </w:p>
    <w:p>
      <w:pPr>
        <w:ind w:firstLine="420"/>
        <w:spacing w:line="360" w:lineRule="auto"/>
        <w:widowControl/>
        <w:rPr>
          <w:rFonts w:ascii="宋体" w:hAnsi="宋体" w:cs="宋体"/>
          <w:szCs w:val="21"/>
        </w:rPr>
      </w:pPr>
      <w:r>
        <w:rPr>
          <w:rFonts w:hint="eastAsia" w:ascii="宋体" w:hAnsi="宋体" w:cs="宋体"/>
          <w:szCs w:val="21"/>
        </w:rPr>
        <w:t xml:space="preserve">16.1有下列情形之一，合同一方可以解除合同：</w:t>
      </w:r>
      <w:r/>
    </w:p>
    <w:p>
      <w:pPr>
        <w:ind w:firstLine="420"/>
        <w:spacing w:line="360" w:lineRule="auto"/>
        <w:widowControl/>
        <w:rPr>
          <w:rFonts w:ascii="宋体" w:hAnsi="宋体" w:cs="宋体"/>
          <w:szCs w:val="21"/>
        </w:rPr>
      </w:pPr>
      <w:r>
        <w:rPr>
          <w:rFonts w:hint="eastAsia" w:ascii="宋体" w:hAnsi="宋体" w:cs="宋体"/>
          <w:szCs w:val="21"/>
        </w:rPr>
        <w:t xml:space="preserve">（1）因不可抗力致使不能实现合同目的；</w:t>
      </w:r>
      <w:r/>
    </w:p>
    <w:p>
      <w:pPr>
        <w:ind w:firstLine="420"/>
        <w:spacing w:line="360" w:lineRule="auto"/>
        <w:widowControl/>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20"/>
        <w:spacing w:line="360" w:lineRule="auto"/>
        <w:widowControl/>
        <w:rPr>
          <w:rFonts w:ascii="宋体" w:hAnsi="宋体" w:cs="宋体"/>
          <w:szCs w:val="21"/>
        </w:rPr>
      </w:pPr>
      <w:r>
        <w:rPr>
          <w:rFonts w:hint="eastAsia" w:ascii="宋体" w:hAnsi="宋体" w:cs="宋体"/>
          <w:szCs w:val="21"/>
        </w:rPr>
        <w:t xml:space="preserve">（3）有权解除合同的一方，应当在违约事实或不可抗力发生之后一年内书面通知对方以主张解除合同，合同在书面通知到达对方时解除；</w:t>
      </w:r>
      <w:r/>
    </w:p>
    <w:p>
      <w:pPr>
        <w:ind w:firstLine="420"/>
        <w:spacing w:line="360" w:lineRule="auto"/>
        <w:widowControl/>
        <w:rPr>
          <w:rFonts w:ascii="宋体" w:hAnsi="宋体" w:cs="宋体"/>
          <w:szCs w:val="21"/>
        </w:rPr>
      </w:pPr>
      <w:r>
        <w:rPr>
          <w:rFonts w:hint="eastAsia" w:ascii="宋体" w:hAnsi="宋体" w:cs="宋体"/>
          <w:szCs w:val="21"/>
        </w:rPr>
        <w:t xml:space="preserve">16.2 合同的部分和全部都不得转让。</w:t>
      </w:r>
      <w:r/>
    </w:p>
    <w:p>
      <w:pPr>
        <w:ind w:firstLine="422"/>
        <w:spacing w:line="360" w:lineRule="auto"/>
        <w:widowControl/>
        <w:rPr>
          <w:rFonts w:ascii="宋体" w:hAnsi="宋体" w:cs="宋体"/>
          <w:b/>
          <w:szCs w:val="21"/>
        </w:rPr>
      </w:pPr>
      <w:r>
        <w:rPr>
          <w:rFonts w:hint="eastAsia" w:ascii="宋体" w:hAnsi="宋体" w:cs="宋体"/>
          <w:b/>
          <w:szCs w:val="21"/>
        </w:rPr>
        <w:t xml:space="preserve">十七、合同效力</w:t>
      </w:r>
      <w:r/>
    </w:p>
    <w:p>
      <w:pPr>
        <w:ind w:firstLine="420"/>
        <w:spacing w:line="360" w:lineRule="auto"/>
        <w:widowControl/>
        <w:rPr>
          <w:rFonts w:ascii="宋体" w:hAnsi="宋体" w:cs="宋体"/>
          <w:szCs w:val="21"/>
        </w:rPr>
      </w:pPr>
      <w:r>
        <w:rPr>
          <w:rFonts w:hint="eastAsia" w:ascii="宋体" w:hAnsi="宋体" w:cs="宋体"/>
          <w:szCs w:val="21"/>
        </w:rPr>
        <w:t xml:space="preserve">本合同自双方签字加盖公章后，合同正式生效，至双方的全部义务履行完毕后自然失效。</w:t>
      </w:r>
      <w:r/>
    </w:p>
    <w:p>
      <w:pPr>
        <w:ind w:firstLine="422"/>
        <w:spacing w:line="360" w:lineRule="auto"/>
        <w:widowControl/>
        <w:rPr>
          <w:rFonts w:ascii="宋体" w:hAnsi="宋体" w:cs="宋体"/>
          <w:b/>
          <w:szCs w:val="21"/>
        </w:rPr>
      </w:pPr>
      <w:r>
        <w:rPr>
          <w:rFonts w:hint="eastAsia" w:ascii="宋体" w:hAnsi="宋体" w:cs="宋体"/>
          <w:b/>
          <w:szCs w:val="21"/>
        </w:rPr>
        <w:t xml:space="preserve">十八、争议的解决</w:t>
      </w:r>
      <w:r/>
    </w:p>
    <w:p>
      <w:pPr>
        <w:ind w:firstLine="420"/>
        <w:spacing w:line="360" w:lineRule="auto"/>
        <w:widowControl/>
        <w:rPr>
          <w:rFonts w:ascii="宋体" w:hAnsi="宋体" w:cs="宋体"/>
          <w:szCs w:val="21"/>
        </w:rPr>
      </w:pPr>
      <w:r>
        <w:rPr>
          <w:rFonts w:hint="eastAsia" w:ascii="宋体" w:hAnsi="宋体" w:cs="宋体"/>
          <w:szCs w:val="21"/>
        </w:rPr>
        <w:t xml:space="preserve">甲乙双方因合同发生争议，应在招标机构的主持下进行调解，协商不成，任何一方可以向项目所在地人民法院起诉。</w:t>
      </w:r>
      <w:r/>
    </w:p>
    <w:p>
      <w:pPr>
        <w:ind w:firstLine="422"/>
        <w:spacing w:line="360" w:lineRule="auto"/>
        <w:widowControl/>
        <w:rPr>
          <w:rFonts w:ascii="宋体" w:hAnsi="宋体" w:cs="宋体"/>
          <w:b/>
          <w:szCs w:val="21"/>
        </w:rPr>
      </w:pPr>
      <w:r>
        <w:rPr>
          <w:rFonts w:hint="eastAsia" w:ascii="宋体" w:hAnsi="宋体" w:cs="宋体"/>
          <w:b/>
          <w:szCs w:val="21"/>
        </w:rPr>
        <w:t xml:space="preserve">十九、附则</w:t>
      </w:r>
      <w:r/>
    </w:p>
    <w:p>
      <w:pPr>
        <w:ind w:firstLine="420"/>
        <w:spacing w:line="360" w:lineRule="auto"/>
        <w:widowControl/>
        <w:rPr>
          <w:rFonts w:ascii="宋体" w:hAnsi="宋体" w:cs="宋体"/>
          <w:szCs w:val="21"/>
        </w:rPr>
      </w:pPr>
      <w:r>
        <w:rPr>
          <w:rFonts w:hint="eastAsia" w:ascii="宋体" w:hAnsi="宋体" w:cs="宋体"/>
          <w:szCs w:val="21"/>
        </w:rPr>
        <w:t xml:space="preserve">19.1合同份数</w:t>
      </w:r>
      <w:r/>
    </w:p>
    <w:p>
      <w:pPr>
        <w:ind w:firstLine="420"/>
        <w:spacing w:line="360" w:lineRule="auto"/>
        <w:widowControl/>
        <w:rPr>
          <w:rFonts w:ascii="宋体" w:hAnsi="宋体" w:cs="宋体"/>
          <w:szCs w:val="21"/>
        </w:rPr>
      </w:pPr>
      <w:r>
        <w:rPr>
          <w:rFonts w:hint="eastAsia" w:ascii="宋体" w:hAnsi="宋体" w:cs="宋体"/>
          <w:szCs w:val="21"/>
        </w:rPr>
        <w:t xml:space="preserve">本合同一式捌份，甲乙双方各执叁份，招标机构贰份。</w:t>
      </w:r>
      <w:r/>
    </w:p>
    <w:p>
      <w:pPr>
        <w:ind w:firstLine="420"/>
        <w:spacing w:line="360" w:lineRule="auto"/>
        <w:widowControl/>
        <w:rPr>
          <w:rFonts w:ascii="宋体" w:hAnsi="宋体" w:cs="宋体"/>
          <w:szCs w:val="21"/>
        </w:rPr>
      </w:pPr>
      <w:r>
        <w:rPr>
          <w:rFonts w:hint="eastAsia" w:ascii="宋体" w:hAnsi="宋体" w:cs="宋体"/>
          <w:szCs w:val="21"/>
        </w:rPr>
        <w:t xml:space="preserve">19.2本合同文件使用中文书写、解释和说明。</w:t>
      </w:r>
      <w:r/>
    </w:p>
    <w:p>
      <w:pPr>
        <w:ind w:firstLine="420"/>
        <w:spacing w:line="360" w:lineRule="auto"/>
        <w:widowControl/>
        <w:rPr>
          <w:rFonts w:ascii="宋体" w:hAnsi="宋体" w:cs="宋体"/>
          <w:szCs w:val="21"/>
        </w:rPr>
      </w:pPr>
      <w:r>
        <w:rPr>
          <w:rFonts w:hint="eastAsia" w:ascii="宋体" w:hAnsi="宋体" w:cs="宋体"/>
          <w:szCs w:val="21"/>
        </w:rPr>
        <w:t xml:space="preserve">19.3本合同履行过程中产生的纪要、协议以及中标通知书、响应投标文件和采购文件为本合同的附件，与合同具有同等效力。以上文件的优先顺序为：（1）合同履行过程中的纪要、签证；（2）本合同书；（3）中标通知书；（4）响应投标文件及承诺、声明、书面澄清；（5）采购文件。</w:t>
      </w:r>
      <w:r/>
    </w:p>
    <w:p>
      <w:pPr>
        <w:ind w:firstLine="420"/>
        <w:spacing w:line="360" w:lineRule="auto"/>
        <w:widowControl/>
        <w:rPr>
          <w:rFonts w:ascii="宋体" w:hAnsi="宋体" w:cs="宋体"/>
          <w:szCs w:val="21"/>
        </w:rPr>
      </w:pPr>
      <w:r>
        <w:rPr>
          <w:rFonts w:hint="eastAsia" w:ascii="宋体" w:hAnsi="宋体" w:cs="宋体"/>
          <w:szCs w:val="21"/>
        </w:rPr>
        <w:t xml:space="preserve">19.4 通知与送达</w:t>
      </w:r>
      <w:r/>
    </w:p>
    <w:p>
      <w:pPr>
        <w:ind w:firstLine="420"/>
        <w:spacing w:line="360" w:lineRule="auto"/>
        <w:widowControl/>
        <w:rPr>
          <w:rFonts w:ascii="宋体" w:hAnsi="宋体" w:cs="宋体"/>
          <w:szCs w:val="21"/>
        </w:rPr>
      </w:pPr>
      <w:r>
        <w:rPr>
          <w:rFonts w:hint="eastAsia" w:ascii="宋体" w:hAnsi="宋体" w:cs="宋体"/>
          <w:szCs w:val="21"/>
        </w:rPr>
        <w:t xml:space="preserve">双方在本合同中所留通讯地址为送达地址，双方往来通讯以此地址为邮寄地址，若发生诉讼，该地址为相关法律文书送达地址。任何一方的通讯地址发生变化，应提前十日通知对方，否则，对方当事人或法院以此地址邮寄的法律文书等，一经寄出，从寄出之日起三日内视为送达。</w:t>
      </w:r>
      <w:r/>
    </w:p>
    <w:p>
      <w:pPr>
        <w:ind w:firstLine="420"/>
        <w:spacing w:line="360" w:lineRule="auto"/>
        <w:widowControl/>
        <w:rPr>
          <w:rFonts w:ascii="宋体" w:hAnsi="宋体" w:cs="宋体"/>
          <w:szCs w:val="21"/>
        </w:rPr>
      </w:pPr>
      <w:r>
        <w:rPr>
          <w:rFonts w:hint="eastAsia" w:ascii="宋体" w:hAnsi="宋体" w:cs="宋体"/>
          <w:szCs w:val="21"/>
        </w:rPr>
        <w:t xml:space="preserve">19.5 未尽事宜</w:t>
      </w:r>
      <w:r/>
    </w:p>
    <w:p>
      <w:pPr>
        <w:ind w:firstLine="420"/>
        <w:spacing w:line="360" w:lineRule="auto"/>
        <w:widowControl/>
        <w:rPr>
          <w:rFonts w:ascii="宋体" w:hAnsi="宋体" w:cs="宋体"/>
          <w:szCs w:val="21"/>
        </w:rPr>
      </w:pPr>
      <w:r>
        <w:rPr>
          <w:rFonts w:hint="eastAsia" w:ascii="宋体" w:hAnsi="宋体" w:cs="宋体"/>
          <w:szCs w:val="21"/>
        </w:rPr>
        <w:t xml:space="preserve">本合同未尽事宜应按照《中华人民共和国民法典》、《中华人民共和国产品质量法》、《中华人民共和国政府采购法》等规定解释。</w:t>
      </w:r>
      <w:r/>
    </w:p>
    <w:p>
      <w:pPr>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b/>
          <w:bCs/>
          <w:szCs w:val="21"/>
        </w:rPr>
      </w:pPr>
      <w:r>
        <w:rPr>
          <w:rFonts w:hint="eastAsia" w:ascii="宋体" w:hAnsi="宋体" w:cs="宋体"/>
          <w:b/>
          <w:bCs/>
          <w:szCs w:val="21"/>
        </w:rPr>
        <w:t xml:space="preserve">甲方：                           乙方：</w:t>
      </w:r>
      <w:r/>
    </w:p>
    <w:p>
      <w:pPr>
        <w:spacing w:line="360" w:lineRule="auto"/>
        <w:widowControl/>
        <w:rPr>
          <w:rFonts w:ascii="宋体" w:hAnsi="宋体" w:cs="宋体"/>
          <w:b/>
          <w:bCs/>
          <w:szCs w:val="21"/>
        </w:rPr>
      </w:pPr>
      <w:r>
        <w:rPr>
          <w:rFonts w:hint="eastAsia" w:ascii="宋体" w:hAnsi="宋体" w:cs="宋体"/>
          <w:b/>
          <w:bCs/>
          <w:szCs w:val="21"/>
        </w:rPr>
        <w:t xml:space="preserve">（加盖公章或合同专用章）        （加盖公章或合同专用章）</w:t>
      </w:r>
      <w:r/>
    </w:p>
    <w:p>
      <w:pPr>
        <w:spacing w:line="360" w:lineRule="auto"/>
        <w:widowControl/>
        <w:rPr>
          <w:rFonts w:ascii="宋体" w:hAnsi="宋体" w:cs="宋体"/>
          <w:b/>
          <w:bCs/>
          <w:szCs w:val="21"/>
        </w:rPr>
      </w:pPr>
      <w:r>
        <w:rPr>
          <w:rFonts w:hint="eastAsia" w:ascii="宋体" w:hAnsi="宋体" w:cs="宋体"/>
          <w:b/>
          <w:bCs/>
          <w:szCs w:val="21"/>
        </w:rPr>
        <w:t xml:space="preserve">法定代表人或委托代理人：         法定代表人或委托代理人：</w:t>
      </w:r>
      <w:r/>
    </w:p>
    <w:p>
      <w:pPr>
        <w:spacing w:line="360" w:lineRule="auto"/>
        <w:widowControl/>
        <w:rPr>
          <w:rFonts w:ascii="宋体" w:hAnsi="宋体" w:cs="宋体"/>
          <w:b/>
          <w:bCs/>
          <w:szCs w:val="21"/>
        </w:rPr>
      </w:pPr>
      <w:r>
        <w:rPr>
          <w:rFonts w:hint="eastAsia" w:ascii="宋体" w:hAnsi="宋体" w:cs="宋体"/>
          <w:b/>
          <w:bCs/>
          <w:szCs w:val="21"/>
        </w:rPr>
        <w:t xml:space="preserve">（签字或盖章）                  （签字或盖章）</w:t>
      </w:r>
      <w:r/>
    </w:p>
    <w:p>
      <w:pPr>
        <w:spacing w:line="360" w:lineRule="auto"/>
        <w:widowControl/>
        <w:rPr>
          <w:rFonts w:ascii="宋体" w:hAnsi="宋体" w:cs="宋体"/>
          <w:b/>
          <w:bCs/>
          <w:szCs w:val="21"/>
        </w:rPr>
      </w:pPr>
      <w:r>
        <w:rPr>
          <w:rFonts w:hint="eastAsia" w:ascii="宋体" w:hAnsi="宋体" w:cs="宋体"/>
          <w:b/>
          <w:bCs/>
          <w:szCs w:val="21"/>
        </w:rPr>
        <w:t xml:space="preserve">送达地址：                        送达地址：</w:t>
      </w:r>
      <w:r/>
    </w:p>
    <w:p>
      <w:pPr>
        <w:spacing w:line="360" w:lineRule="auto"/>
        <w:widowControl/>
        <w:rPr>
          <w:rFonts w:ascii="宋体" w:hAnsi="宋体" w:cs="宋体"/>
          <w:b/>
          <w:bCs/>
          <w:szCs w:val="21"/>
        </w:rPr>
      </w:pPr>
      <w:r>
        <w:rPr>
          <w:rFonts w:hint="eastAsia" w:ascii="宋体" w:hAnsi="宋体" w:cs="宋体"/>
          <w:b/>
          <w:bCs/>
          <w:szCs w:val="21"/>
        </w:rPr>
        <w:t xml:space="preserve">年 月 日                                   年 月 日 </w:t>
      </w:r>
      <w:r/>
    </w:p>
    <w:p>
      <w:pPr>
        <w:pStyle w:val="1036"/>
        <w:spacing w:after="0" w:line="360" w:lineRule="auto"/>
        <w:rPr>
          <w:rFonts w:ascii="宋体" w:hAnsi="宋体" w:cs="宋体"/>
          <w:b/>
          <w:bCs/>
          <w:szCs w:val="21"/>
        </w:rPr>
      </w:pPr>
      <w:r>
        <w:rPr>
          <w:rFonts w:ascii="宋体" w:hAnsi="宋体" w:cs="宋体"/>
          <w:b/>
          <w:bCs/>
          <w:szCs w:val="21"/>
        </w:rPr>
      </w:r>
      <w:r/>
    </w:p>
    <w:p>
      <w:pPr>
        <w:pStyle w:val="1037"/>
      </w:pPr>
      <w:r/>
      <w:r/>
    </w:p>
    <w:p>
      <w:pPr>
        <w:spacing w:line="360" w:lineRule="auto"/>
        <w:rPr>
          <w:rFonts w:ascii="宋体" w:hAnsi="宋体" w:cs="宋体"/>
          <w:b/>
          <w:bCs/>
          <w:szCs w:val="21"/>
        </w:rPr>
      </w:pPr>
      <w:r>
        <w:rPr>
          <w:rFonts w:hint="eastAsia" w:ascii="宋体" w:hAnsi="宋体" w:cs="宋体"/>
          <w:b/>
          <w:bCs/>
          <w:szCs w:val="21"/>
        </w:rPr>
        <w:t xml:space="preserve">合同附件：</w:t>
      </w:r>
      <w:r/>
    </w:p>
    <w:tbl>
      <w:tblPr>
        <w:tblW w:w="9864" w:type="dxa"/>
        <w:tblInd w:w="98" w:type="dxa"/>
        <w:tblLayout w:type="fixed"/>
        <w:tblLook w:val="04A0" w:firstRow="1" w:lastRow="0" w:firstColumn="1" w:lastColumn="0" w:noHBand="0" w:noVBand="1"/>
      </w:tblPr>
      <w:tblGrid>
        <w:gridCol w:w="2369"/>
        <w:gridCol w:w="1930"/>
        <w:gridCol w:w="1535"/>
        <w:gridCol w:w="1499"/>
        <w:gridCol w:w="1367"/>
        <w:gridCol w:w="1164"/>
      </w:tblGrid>
      <w:tr>
        <w:trPr>
          <w:trHeight w:val="945"/>
        </w:trPr>
        <w:tc>
          <w:tcPr>
            <w:gridSpan w:val="6"/>
            <w:shd w:val="clear" w:color="auto" w:fill="auto"/>
            <w:tcBorders>
              <w:top w:val="none" w:color="000000" w:sz="4" w:space="0"/>
              <w:left w:val="none" w:color="000000" w:sz="4" w:space="0"/>
              <w:bottom w:val="none" w:color="000000" w:sz="4" w:space="0"/>
              <w:right w:val="none" w:color="000000" w:sz="4" w:space="0"/>
            </w:tcBorders>
            <w:tcW w:w="9864"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b/>
                <w:bCs/>
                <w:szCs w:val="21"/>
              </w:rPr>
              <w:t xml:space="preserve">苏州工业园区扬贤路东、扬泰路北地块（DK20240242）土壤修复项目履约验收书</w:t>
            </w:r>
            <w:r/>
          </w:p>
        </w:tc>
      </w:tr>
      <w:tr>
        <w:trPr>
          <w:trHeight w:val="609"/>
        </w:trPr>
        <w:tc>
          <w:tcPr>
            <w:shd w:val="clear" w:color="auto" w:fill="auto"/>
            <w:tcBorders>
              <w:top w:val="single" w:color="000000" w:sz="8" w:space="0"/>
              <w:left w:val="single" w:color="000000" w:sz="8" w:space="0"/>
              <w:bottom w:val="singl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采购人</w:t>
            </w:r>
            <w:r/>
          </w:p>
        </w:tc>
        <w:tc>
          <w:tcPr>
            <w:shd w:val="clear" w:color="auto" w:fill="auto"/>
            <w:tcBorders>
              <w:top w:val="single" w:color="000000" w:sz="8" w:space="0"/>
              <w:left w:val="single" w:color="000000" w:sz="4" w:space="0"/>
              <w:bottom w:val="single" w:color="000000" w:sz="4" w:space="0"/>
              <w:right w:val="single" w:color="000000" w:sz="4" w:space="0"/>
            </w:tcBorders>
            <w:tcW w:w="1930"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53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供应商</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4030" w:type="dxa"/>
            <w:vAlign w:val="bottom"/>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564"/>
        </w:trPr>
        <w:tc>
          <w:tcPr>
            <w:shd w:val="clear" w:color="auto" w:fill="auto"/>
            <w:tcBorders>
              <w:top w:val="single" w:color="000000" w:sz="4" w:space="0"/>
              <w:left w:val="single" w:color="000000" w:sz="8" w:space="0"/>
              <w:bottom w:val="non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合同名称</w:t>
            </w:r>
            <w:r/>
          </w:p>
        </w:tc>
        <w:tc>
          <w:tcPr>
            <w:shd w:val="clear" w:color="auto" w:fill="auto"/>
            <w:tcBorders>
              <w:top w:val="single" w:color="000000" w:sz="4" w:space="0"/>
              <w:left w:val="single" w:color="000000" w:sz="4" w:space="0"/>
              <w:bottom w:val="none" w:color="000000" w:sz="4" w:space="0"/>
              <w:right w:val="single" w:color="000000" w:sz="4" w:space="0"/>
            </w:tcBorders>
            <w:tcW w:w="1930"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none" w:color="000000" w:sz="4" w:space="0"/>
              <w:right w:val="single" w:color="000000" w:sz="4" w:space="0"/>
            </w:tcBorders>
            <w:tcW w:w="153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采购编号</w:t>
            </w:r>
            <w:r/>
          </w:p>
        </w:tc>
        <w:tc>
          <w:tcPr>
            <w:shd w:val="clear" w:color="auto" w:fill="auto"/>
            <w:tcBorders>
              <w:top w:val="none" w:color="000000" w:sz="4" w:space="0"/>
              <w:left w:val="none" w:color="000000" w:sz="4" w:space="0"/>
              <w:bottom w:val="none" w:color="000000" w:sz="4" w:space="0"/>
              <w:right w:val="none" w:color="000000" w:sz="4" w:space="0"/>
            </w:tcBorders>
            <w:tcW w:w="1499" w:type="dxa"/>
            <w:vAlign w:val="bottom"/>
            <w:textDirection w:val="lrTb"/>
            <w:noWrap/>
          </w:tcPr>
          <w:p>
            <w:pP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采购方式</w:t>
            </w:r>
            <w:r/>
          </w:p>
        </w:tc>
        <w:tc>
          <w:tcPr>
            <w:shd w:val="clear" w:color="auto" w:fill="auto"/>
            <w:tcBorders>
              <w:top w:val="single" w:color="000000" w:sz="4" w:space="0"/>
              <w:left w:val="single" w:color="000000" w:sz="4" w:space="0"/>
              <w:bottom w:val="none" w:color="000000" w:sz="4" w:space="0"/>
              <w:right w:val="single" w:color="000000" w:sz="8" w:space="0"/>
            </w:tcBorders>
            <w:tcW w:w="1164" w:type="dxa"/>
            <w:vAlign w:val="bottom"/>
            <w:textDirection w:val="lrTb"/>
            <w:noWrap/>
          </w:tcPr>
          <w:p>
            <w:pPr>
              <w:spacing w:line="360" w:lineRule="auto"/>
              <w:widowControl/>
              <w:rPr>
                <w:rFonts w:ascii="宋体" w:hAnsi="宋体" w:cs="宋体"/>
                <w:szCs w:val="21"/>
              </w:rPr>
            </w:pPr>
            <w:r>
              <w:rPr>
                <w:rFonts w:ascii="宋体" w:hAnsi="宋体" w:cs="宋体"/>
                <w:szCs w:val="21"/>
              </w:rPr>
            </w:r>
            <w:r/>
          </w:p>
        </w:tc>
      </w:tr>
      <w:tr>
        <w:trPr>
          <w:trHeight w:val="579"/>
        </w:trPr>
        <w:tc>
          <w:tcPr>
            <w:shd w:val="clear" w:color="auto" w:fill="auto"/>
            <w:tcBorders>
              <w:top w:val="single" w:color="000000" w:sz="8" w:space="0"/>
              <w:left w:val="single" w:color="000000" w:sz="8" w:space="0"/>
              <w:bottom w:val="singl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930"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53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验收方式</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4030" w:type="dxa"/>
            <w:vAlign w:val="center"/>
            <w:textDirection w:val="lrTb"/>
            <w:noWrap/>
          </w:tcPr>
          <w:p>
            <w:pPr>
              <w:jc w:val="left"/>
              <w:spacing w:line="360" w:lineRule="auto"/>
              <w:widowControl/>
              <w:rPr>
                <w:rFonts w:ascii="宋体" w:hAnsi="宋体" w:cs="宋体"/>
                <w:szCs w:val="21"/>
              </w:rPr>
            </w:pPr>
            <w:r>
              <w:rPr>
                <w:rStyle w:val="1133"/>
                <w:rFonts w:hint="default"/>
                <w:color w:val="auto"/>
                <w:sz w:val="21"/>
                <w:szCs w:val="21"/>
              </w:rPr>
              <w:t xml:space="preserve">□</w:t>
            </w:r>
            <w:r>
              <w:rPr>
                <w:rStyle w:val="1134"/>
                <w:rFonts w:hint="default"/>
                <w:color w:val="auto"/>
                <w:sz w:val="21"/>
                <w:szCs w:val="21"/>
              </w:rPr>
              <w:t xml:space="preserve">采购人自行验收 □委托技术单位验收</w:t>
            </w:r>
            <w:r/>
          </w:p>
        </w:tc>
      </w:tr>
      <w:tr>
        <w:trPr>
          <w:trHeight w:val="654"/>
        </w:trPr>
        <w:tc>
          <w:tcPr>
            <w:shd w:val="clear" w:color="auto" w:fill="auto"/>
            <w:tcBorders>
              <w:top w:val="single" w:color="000000" w:sz="4" w:space="0"/>
              <w:left w:val="single" w:color="000000" w:sz="8" w:space="0"/>
              <w:bottom w:val="single" w:color="000000" w:sz="4" w:space="0"/>
              <w:right w:val="single" w:color="000000" w:sz="4" w:space="0"/>
            </w:tcBorders>
            <w:tcW w:w="2369" w:type="dxa"/>
            <w:vAlign w:val="center"/>
            <w:textDirection w:val="lrTb"/>
            <w:noWrap w:val="false"/>
          </w:tcPr>
          <w:p>
            <w:pPr>
              <w:jc w:val="center"/>
              <w:spacing w:line="360" w:lineRule="auto"/>
              <w:widowControl/>
              <w:rPr>
                <w:rFonts w:ascii="宋体" w:hAnsi="宋体" w:cs="宋体"/>
                <w:szCs w:val="21"/>
              </w:rPr>
            </w:pPr>
            <w:r>
              <w:rPr>
                <w:rStyle w:val="1134"/>
                <w:rFonts w:hint="default"/>
                <w:color w:val="auto"/>
                <w:sz w:val="21"/>
                <w:szCs w:val="21"/>
              </w:rPr>
              <w:t xml:space="preserve">项目地块占地面积（m</w:t>
            </w:r>
            <w:r>
              <w:rPr>
                <w:rStyle w:val="1135"/>
                <w:rFonts w:hint="default"/>
                <w:color w:val="auto"/>
                <w:sz w:val="21"/>
                <w:szCs w:val="21"/>
              </w:rPr>
              <w:t xml:space="preserve">2</w:t>
            </w:r>
            <w:r>
              <w:rPr>
                <w:rStyle w:val="1134"/>
                <w:rFonts w:hint="default"/>
                <w:color w:val="auto"/>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验收日期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3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682"/>
        </w:trPr>
        <w:tc>
          <w:tcPr>
            <w:shd w:val="clear" w:color="auto" w:fill="auto"/>
            <w:tcBorders>
              <w:top w:val="single" w:color="000000" w:sz="4" w:space="0"/>
              <w:left w:val="single" w:color="000000" w:sz="8" w:space="0"/>
              <w:bottom w:val="single" w:color="000000" w:sz="4" w:space="0"/>
              <w:right w:val="single" w:color="000000" w:sz="4" w:space="0"/>
            </w:tcBorders>
            <w:tcW w:w="2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服务响应时间</w:t>
            </w:r>
            <w:r/>
          </w:p>
        </w:tc>
        <w:tc>
          <w:tcPr>
            <w:gridSpan w:val="5"/>
            <w:shd w:val="clear" w:color="auto" w:fill="auto"/>
            <w:tcBorders>
              <w:top w:val="single" w:color="000000" w:sz="4" w:space="0"/>
              <w:left w:val="single" w:color="000000" w:sz="4" w:space="0"/>
              <w:bottom w:val="none" w:color="000000" w:sz="4" w:space="0"/>
              <w:right w:val="single" w:color="000000" w:sz="8" w:space="0"/>
            </w:tcBorders>
            <w:tcW w:w="7495" w:type="dxa"/>
            <w:vAlign w:val="center"/>
            <w:textDirection w:val="lrTb"/>
            <w:noWrap w:val="false"/>
          </w:tcPr>
          <w:p>
            <w:pPr>
              <w:jc w:val="left"/>
              <w:spacing w:line="360" w:lineRule="auto"/>
              <w:widowControl/>
              <w:rPr>
                <w:rFonts w:ascii="宋体" w:hAnsi="宋体" w:cs="宋体"/>
                <w:szCs w:val="21"/>
              </w:rPr>
            </w:pPr>
            <w:r>
              <w:rPr>
                <w:rStyle w:val="1134"/>
                <w:rFonts w:hint="default"/>
                <w:color w:val="auto"/>
                <w:sz w:val="21"/>
                <w:szCs w:val="21"/>
              </w:rPr>
              <w:t xml:space="preserve">项目委托时间</w:t>
            </w:r>
            <w:r>
              <w:rPr>
                <w:rStyle w:val="1133"/>
                <w:rFonts w:hint="default"/>
                <w:color w:val="auto"/>
                <w:sz w:val="21"/>
                <w:szCs w:val="21"/>
              </w:rPr>
              <w:t xml:space="preserve">项目完成时间</w:t>
            </w:r>
            <w:r>
              <w:rPr>
                <w:rStyle w:val="1136"/>
                <w:rFonts w:hint="default"/>
                <w:color w:val="auto"/>
                <w:sz w:val="21"/>
                <w:szCs w:val="21"/>
              </w:rPr>
              <w:br/>
            </w:r>
            <w:r>
              <w:rPr>
                <w:rStyle w:val="1133"/>
                <w:rFonts w:hint="default"/>
                <w:color w:val="auto"/>
                <w:sz w:val="21"/>
                <w:szCs w:val="21"/>
              </w:rPr>
              <w:t xml:space="preserve">项目完成时间是否符合合同约定</w:t>
            </w:r>
            <w:r/>
          </w:p>
        </w:tc>
      </w:tr>
      <w:tr>
        <w:trPr>
          <w:trHeight w:val="995"/>
        </w:trPr>
        <w:tc>
          <w:tcPr>
            <w:shd w:val="clear" w:color="auto" w:fill="auto"/>
            <w:tcBorders>
              <w:top w:val="single" w:color="000000" w:sz="4" w:space="0"/>
              <w:left w:val="single" w:color="000000" w:sz="8" w:space="0"/>
              <w:bottom w:val="singl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项目实施结论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9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995"/>
        </w:trPr>
        <w:tc>
          <w:tcPr>
            <w:shd w:val="clear" w:color="auto" w:fill="auto"/>
            <w:tcBorders>
              <w:top w:val="single" w:color="000000" w:sz="4" w:space="0"/>
              <w:left w:val="single" w:color="000000" w:sz="8" w:space="0"/>
              <w:bottom w:val="singl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监理主要结论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9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1190"/>
        </w:trPr>
        <w:tc>
          <w:tcPr>
            <w:shd w:val="clear" w:color="auto" w:fill="auto"/>
            <w:tcBorders>
              <w:top w:val="single" w:color="000000" w:sz="4" w:space="0"/>
              <w:left w:val="single" w:color="000000" w:sz="8" w:space="0"/>
              <w:bottom w:val="singl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效果评估验收主要结论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9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685"/>
        </w:trPr>
        <w:tc>
          <w:tcPr>
            <w:shd w:val="clear" w:color="auto" w:fill="auto"/>
            <w:tcBorders>
              <w:top w:val="single" w:color="000000" w:sz="4" w:space="0"/>
              <w:left w:val="single" w:color="000000" w:sz="8" w:space="0"/>
              <w:bottom w:val="singl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项目备案材料清单</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95" w:type="dxa"/>
            <w:vAlign w:val="center"/>
            <w:textDirection w:val="lrTb"/>
            <w:noWrap w:val="false"/>
          </w:tcPr>
          <w:p>
            <w:pPr>
              <w:jc w:val="left"/>
              <w:spacing w:line="360" w:lineRule="auto"/>
              <w:widowControl/>
              <w:rPr>
                <w:rStyle w:val="1134"/>
                <w:rFonts w:hint="default"/>
                <w:color w:val="auto"/>
                <w:sz w:val="21"/>
                <w:szCs w:val="21"/>
              </w:rPr>
            </w:pPr>
            <w:r>
              <w:rPr>
                <w:rStyle w:val="1134"/>
                <w:rFonts w:hint="default"/>
                <w:color w:val="auto"/>
                <w:sz w:val="21"/>
                <w:szCs w:val="21"/>
              </w:rPr>
              <w:t xml:space="preserve">□实施方案及论证意见□竣工报告（含附件）</w:t>
            </w:r>
            <w:r/>
          </w:p>
          <w:p>
            <w:pPr>
              <w:jc w:val="left"/>
              <w:spacing w:line="360" w:lineRule="auto"/>
              <w:widowControl/>
              <w:rPr>
                <w:rFonts w:ascii="宋体" w:hAnsi="宋体" w:cs="宋体"/>
                <w:szCs w:val="21"/>
              </w:rPr>
            </w:pPr>
            <w:r>
              <w:rPr>
                <w:rStyle w:val="1134"/>
                <w:rFonts w:hint="default"/>
                <w:color w:val="auto"/>
                <w:sz w:val="21"/>
                <w:szCs w:val="21"/>
              </w:rPr>
              <w:t xml:space="preserve">□竣工验收证明□其他</w:t>
            </w:r>
            <w:r/>
          </w:p>
        </w:tc>
      </w:tr>
      <w:tr>
        <w:trPr>
          <w:trHeight w:val="635"/>
        </w:trPr>
        <w:tc>
          <w:tcPr>
            <w:shd w:val="clear" w:color="auto" w:fill="auto"/>
            <w:tcBorders>
              <w:top w:val="single" w:color="000000" w:sz="4" w:space="0"/>
              <w:left w:val="single" w:color="000000" w:sz="8" w:space="0"/>
              <w:bottom w:val="single" w:color="000000" w:sz="4"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9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备 案 资 料 是 否 齐 全：□是   □否</w:t>
            </w:r>
            <w:r>
              <w:rPr>
                <w:rFonts w:hint="eastAsia" w:ascii="宋体" w:hAnsi="宋体" w:cs="宋体"/>
                <w:szCs w:val="21"/>
              </w:rPr>
              <w:br/>
              <w:t xml:space="preserve">备案资料是否满足合同要求：□是   □否</w:t>
            </w:r>
            <w:r/>
          </w:p>
        </w:tc>
      </w:tr>
      <w:tr>
        <w:trPr>
          <w:trHeight w:val="634"/>
        </w:trPr>
        <w:tc>
          <w:tcPr>
            <w:shd w:val="clear" w:color="auto" w:fill="auto"/>
            <w:tcBorders>
              <w:top w:val="single" w:color="000000" w:sz="4" w:space="0"/>
              <w:left w:val="single" w:color="000000" w:sz="8" w:space="0"/>
              <w:bottom w:val="single" w:color="000000" w:sz="8" w:space="0"/>
              <w:right w:val="single" w:color="000000" w:sz="4" w:space="0"/>
            </w:tcBorders>
            <w:tcW w:w="23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验收结论</w:t>
            </w:r>
            <w:r/>
          </w:p>
        </w:tc>
        <w:tc>
          <w:tcPr>
            <w:gridSpan w:val="5"/>
            <w:shd w:val="clear" w:color="auto" w:fill="auto"/>
            <w:tcBorders>
              <w:top w:val="single" w:color="000000" w:sz="4" w:space="0"/>
              <w:left w:val="single" w:color="000000" w:sz="4" w:space="0"/>
              <w:bottom w:val="single" w:color="000000" w:sz="8" w:space="0"/>
              <w:right w:val="single" w:color="000000" w:sz="4" w:space="0"/>
            </w:tcBorders>
            <w:tcW w:w="7495"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验收是否通过：□是  □否</w:t>
            </w:r>
            <w:r/>
          </w:p>
        </w:tc>
      </w:tr>
      <w:tr>
        <w:trPr>
          <w:trHeight w:val="737"/>
        </w:trPr>
        <w:tc>
          <w:tcPr>
            <w:gridSpan w:val="6"/>
            <w:shd w:val="clear" w:color="auto" w:fill="auto"/>
            <w:tcBorders>
              <w:top w:val="none" w:color="000000" w:sz="4" w:space="0"/>
              <w:left w:val="none" w:color="000000" w:sz="4" w:space="0"/>
              <w:bottom w:val="none" w:color="000000" w:sz="4" w:space="0"/>
              <w:right w:val="none" w:color="000000" w:sz="4" w:space="0"/>
            </w:tcBorders>
            <w:tcW w:w="9864"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供   应   商（盖章）：                                                年      月      日</w:t>
            </w:r>
            <w:r/>
          </w:p>
        </w:tc>
      </w:tr>
      <w:tr>
        <w:trPr>
          <w:trHeight w:val="737"/>
        </w:trPr>
        <w:tc>
          <w:tcPr>
            <w:gridSpan w:val="6"/>
            <w:shd w:val="clear" w:color="auto" w:fill="auto"/>
            <w:tcBorders>
              <w:top w:val="none" w:color="000000" w:sz="4" w:space="0"/>
              <w:left w:val="none" w:color="000000" w:sz="4" w:space="0"/>
              <w:bottom w:val="none" w:color="000000" w:sz="4" w:space="0"/>
              <w:right w:val="none" w:color="000000" w:sz="4" w:space="0"/>
            </w:tcBorders>
            <w:tcW w:w="9864"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监理单位（盖章）：                                                年      月      日</w:t>
            </w:r>
            <w:r/>
          </w:p>
        </w:tc>
      </w:tr>
      <w:tr>
        <w:trPr>
          <w:trHeight w:val="737"/>
        </w:trPr>
        <w:tc>
          <w:tcPr>
            <w:gridSpan w:val="6"/>
            <w:shd w:val="clear" w:color="auto" w:fill="auto"/>
            <w:tcBorders>
              <w:top w:val="none" w:color="000000" w:sz="4" w:space="0"/>
              <w:left w:val="none" w:color="000000" w:sz="4" w:space="0"/>
              <w:bottom w:val="none" w:color="000000" w:sz="4" w:space="0"/>
              <w:right w:val="none" w:color="000000" w:sz="4" w:space="0"/>
            </w:tcBorders>
            <w:tcW w:w="9864"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效果评估单位（盖章）：  年      月      日</w:t>
            </w:r>
            <w:r/>
          </w:p>
        </w:tc>
      </w:tr>
      <w:tr>
        <w:trPr>
          <w:trHeight w:val="737"/>
        </w:trPr>
        <w:tc>
          <w:tcPr>
            <w:gridSpan w:val="6"/>
            <w:shd w:val="clear" w:color="auto" w:fill="auto"/>
            <w:tcBorders>
              <w:top w:val="none" w:color="000000" w:sz="4" w:space="0"/>
              <w:left w:val="none" w:color="000000" w:sz="4" w:space="0"/>
              <w:bottom w:val="none" w:color="000000" w:sz="4" w:space="0"/>
              <w:right w:val="none" w:color="000000" w:sz="4" w:space="0"/>
            </w:tcBorders>
            <w:tcW w:w="9864"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采   购   人（盖章）：                                                年      月      日</w:t>
            </w:r>
            <w:r/>
          </w:p>
        </w:tc>
      </w:tr>
    </w:tbl>
    <w:p>
      <w:pPr>
        <w:ind w:firstLine="413"/>
        <w:spacing w:line="360" w:lineRule="auto"/>
        <w:rPr>
          <w:rFonts w:ascii="宋体" w:hAnsi="宋体" w:cs="宋体"/>
          <w:b/>
          <w:bCs/>
          <w:szCs w:val="21"/>
        </w:rPr>
      </w:pPr>
      <w:r>
        <w:rPr>
          <w:rFonts w:ascii="宋体" w:hAnsi="宋体" w:cs="宋体"/>
          <w:b/>
          <w:bCs/>
          <w:szCs w:val="21"/>
        </w:rPr>
      </w:r>
      <w:r/>
    </w:p>
    <w:p>
      <w:pPr>
        <w:pStyle w:val="1036"/>
      </w:p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068"/>
        <w:ind w:firstLine="420"/>
        <w:rPr>
          <w:rFonts w:cs="宋体"/>
          <w:sz w:val="21"/>
          <w:szCs w:val="21"/>
        </w:rPr>
      </w:pPr>
      <w:r>
        <w:rPr>
          <w:rFonts w:hint="eastAsia" w:cs="宋体"/>
          <w:sz w:val="21"/>
          <w:szCs w:val="21"/>
        </w:rPr>
        <w:t xml:space="preserve">对本章所有的格式，响应单位可根据自身情况进行补充和修改，但补充和修改不得造成与本格式内容有实质性的违背。</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06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068"/>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center"/>
        <w:spacing w:line="360" w:lineRule="auto"/>
        <w:rPr>
          <w:rFonts w:ascii="宋体" w:hAnsi="宋体" w:cs="宋体"/>
          <w:szCs w:val="21"/>
        </w:rPr>
      </w:pPr>
      <w:r>
        <w:rPr>
          <w:rFonts w:hint="eastAsia" w:ascii="宋体" w:hAnsi="宋体" w:cs="宋体"/>
          <w:szCs w:val="21"/>
        </w:rPr>
        <w:t xml:space="preserve">（按“苏采云”系统格式填报</w:t>
      </w:r>
      <w:r>
        <w:rPr>
          <w:rFonts w:hint="eastAsia" w:ascii="宋体" w:hAnsi="宋体" w:cs="宋体"/>
          <w:b/>
          <w:bCs/>
          <w:szCs w:val="21"/>
        </w:rPr>
        <w:t xml:space="preserve">投标总报价</w:t>
      </w:r>
      <w:r>
        <w:rPr>
          <w:rFonts w:hint="eastAsia" w:ascii="宋体" w:hAnsi="宋体" w:cs="宋体"/>
          <w:szCs w:val="21"/>
        </w:rPr>
        <w:t xml:space="preserve">并签章）</w:t>
      </w:r>
      <w:r/>
    </w:p>
    <w:p>
      <w:pPr>
        <w:pStyle w:val="1044"/>
        <w:spacing w:after="0" w:line="360" w:lineRule="auto"/>
        <w:rPr>
          <w:rFonts w:ascii="宋体" w:hAnsi="宋体" w:cs="宋体"/>
          <w:szCs w:val="21"/>
        </w:rPr>
      </w:pPr>
      <w:r>
        <w:rPr>
          <w:rFonts w:ascii="宋体" w:hAnsi="宋体" w:cs="宋体"/>
          <w:szCs w:val="21"/>
        </w:rPr>
      </w:r>
      <w:r/>
    </w:p>
    <w:p>
      <w:pPr>
        <w:pStyle w:val="1038"/>
        <w:ind w:firstLine="0"/>
        <w:jc w:val="both"/>
        <w:spacing w:line="360" w:lineRule="auto"/>
        <w:rPr>
          <w:rFonts w:ascii="宋体" w:hAnsi="宋体" w:eastAsia="宋体" w:cs="宋体"/>
          <w:b/>
          <w:sz w:val="21"/>
        </w:rPr>
      </w:pPr>
      <w:r>
        <w:rPr>
          <w:rFonts w:hint="eastAsia" w:ascii="宋体" w:hAnsi="宋体" w:eastAsia="宋体" w:cs="宋体"/>
          <w:b/>
          <w:sz w:val="21"/>
        </w:rPr>
        <w:t xml:space="preserve">附件2：关于资格文件的声明函</w:t>
      </w:r>
      <w:r/>
    </w:p>
    <w:p>
      <w:pPr>
        <w:pStyle w:val="1038"/>
        <w:jc w:val="center"/>
        <w:spacing w:line="360" w:lineRule="auto"/>
        <w:rPr>
          <w:rFonts w:ascii="宋体" w:hAnsi="宋体" w:eastAsia="宋体" w:cs="宋体"/>
          <w:sz w:val="21"/>
        </w:rPr>
      </w:pPr>
      <w:r>
        <w:rPr>
          <w:rFonts w:ascii="宋体" w:hAnsi="宋体" w:eastAsia="宋体" w:cs="宋体"/>
          <w:sz w:val="21"/>
        </w:rPr>
      </w:r>
      <w:r/>
    </w:p>
    <w:p>
      <w:pPr>
        <w:pStyle w:val="1038"/>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1038"/>
        <w:ind w:firstLine="0"/>
        <w:spacing w:line="360" w:lineRule="auto"/>
        <w:rPr>
          <w:rFonts w:ascii="宋体" w:hAnsi="宋体" w:eastAsia="宋体" w:cs="宋体"/>
          <w:sz w:val="21"/>
          <w:u w:val="single"/>
        </w:rPr>
      </w:pPr>
      <w:r>
        <w:rPr>
          <w:rFonts w:ascii="宋体" w:hAnsi="宋体" w:eastAsia="宋体" w:cs="宋体"/>
          <w:sz w:val="21"/>
          <w:u w:val="single"/>
        </w:rPr>
      </w:r>
      <w:r/>
    </w:p>
    <w:p>
      <w:pPr>
        <w:pStyle w:val="1038"/>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1038"/>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1038"/>
        <w:ind w:firstLine="0"/>
        <w:jc w:val="both"/>
        <w:spacing w:line="360" w:lineRule="auto"/>
        <w:rPr>
          <w:rFonts w:ascii="宋体" w:hAnsi="宋体" w:eastAsia="宋体" w:cs="宋体"/>
          <w:sz w:val="21"/>
        </w:rPr>
      </w:pPr>
      <w:r>
        <w:rPr>
          <w:rFonts w:ascii="宋体" w:hAnsi="宋体" w:eastAsia="宋体" w:cs="宋体"/>
          <w:sz w:val="21"/>
        </w:rPr>
      </w:r>
      <w:r/>
    </w:p>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1038"/>
        <w:ind w:firstLine="0"/>
        <w:jc w:val="both"/>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21"/>
          <w:szCs w:val="21"/>
        </w:rPr>
        <w:t xml:space="preserve">日期：        年    月    日</w:t>
      </w:r>
      <w:r/>
    </w:p>
    <w:p>
      <w:pPr>
        <w:pStyle w:val="103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附件3：磋商响应单位基本情况表</w:t>
      </w:r>
      <w:r/>
    </w:p>
    <w:p>
      <w:pPr>
        <w:pStyle w:val="1038"/>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97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75"/>
        <w:gridCol w:w="2075"/>
        <w:gridCol w:w="1246"/>
        <w:gridCol w:w="2160"/>
        <w:gridCol w:w="1306"/>
      </w:tblGrid>
      <w:tr>
        <w:trPr>
          <w:cantSplit/>
          <w:jc w:val="center"/>
          <w:trHeight w:val="567"/>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75"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c>
          <w:tcPr>
            <w:tcW w:w="1246"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66"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075"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c>
          <w:tcPr>
            <w:tcW w:w="1246"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66" w:type="dxa"/>
            <w:vAlign w:val="center"/>
            <w:textDirection w:val="lrTb"/>
            <w:noWrap w:val="false"/>
          </w:tcPr>
          <w:p>
            <w:pPr>
              <w:pStyle w:val="1038"/>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075"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06"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06"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75" w:type="dxa"/>
            <w:vAlign w:val="center"/>
            <w:textDirection w:val="lrTb"/>
            <w:noWrap w:val="false"/>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075" w:type="dxa"/>
            <w:vAlign w:val="center"/>
            <w:textDirection w:val="lrTb"/>
            <w:noWrap w:val="false"/>
          </w:tcPr>
          <w:p>
            <w:pPr>
              <w:pStyle w:val="1038"/>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246" w:type="dxa"/>
            <w:vAlign w:val="center"/>
            <w:textDirection w:val="lrTb"/>
            <w:noWrap w:val="false"/>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66" w:type="dxa"/>
            <w:vAlign w:val="center"/>
            <w:textDirection w:val="lrTb"/>
            <w:noWrap w:val="false"/>
          </w:tcPr>
          <w:p>
            <w:pPr>
              <w:pStyle w:val="1038"/>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75" w:type="dxa"/>
            <w:vAlign w:val="center"/>
            <w:textDirection w:val="lrTb"/>
            <w:noWrap w:val="false"/>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075" w:type="dxa"/>
            <w:vAlign w:val="center"/>
            <w:textDirection w:val="lrTb"/>
            <w:noWrap w:val="false"/>
          </w:tcPr>
          <w:p>
            <w:pPr>
              <w:pStyle w:val="1038"/>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246" w:type="dxa"/>
            <w:vAlign w:val="center"/>
            <w:textDirection w:val="lrTb"/>
            <w:noWrap w:val="false"/>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66" w:type="dxa"/>
            <w:vAlign w:val="center"/>
            <w:textDirection w:val="lrTb"/>
            <w:noWrap w:val="false"/>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Height w:val="567"/>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0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p>
        </w:tc>
        <w:tc>
          <w:tcPr>
            <w:tcW w:w="1246"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66"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75" w:type="dxa"/>
            <w:vAlign w:val="center"/>
            <w:textDirection w:val="lrTb"/>
            <w:noWrap w:val="false"/>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246"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66"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733"/>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613"/>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单位资质、优势及特长</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975" w:type="dxa"/>
            <w:vAlign w:val="center"/>
            <w:textDirection w:val="lrTb"/>
            <w:noWrap w:val="false"/>
          </w:tcPr>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787" w:type="dxa"/>
            <w:vAlign w:val="center"/>
            <w:textDirection w:val="lrTb"/>
            <w:noWrap w:val="false"/>
          </w:tcPr>
          <w:p>
            <w:pPr>
              <w:pStyle w:val="1038"/>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1044"/>
        <w:spacing w:after="0"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p>
    <w:p>
      <w:pPr>
        <w:pStyle w:val="103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103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1038"/>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rPr>
        <w:t xml:space="preserve">JSZC-320591-CJZB-C2025-0173</w:t>
      </w:r>
      <w:r>
        <w:rPr>
          <w:rFonts w:hint="eastAsia" w:ascii="宋体" w:hAnsi="宋体" w:cs="宋体"/>
          <w:szCs w:val="21"/>
        </w:rPr>
        <w:t xml:space="preserve">】号的竞争性磋商项目。代理人在本次招标活动过程、合同签订及处理有关事宜所作出的全部意思表示（包括签署的全部文件），我司均予以承认并由我司承担相应法律后果。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1038"/>
        <w:ind w:left="630" w:firstLine="0"/>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spacing w:line="360" w:lineRule="auto"/>
        <w:rPr>
          <w:rFonts w:ascii="宋体" w:hAnsi="宋体" w:cs="宋体"/>
          <w:b/>
          <w:szCs w:val="21"/>
        </w:rPr>
        <w:outlineLvl w:val="1"/>
      </w:pPr>
      <w:r>
        <w:rPr>
          <w:rFonts w:hint="eastAsia" w:ascii="宋体" w:hAnsi="宋体" w:cs="宋体"/>
          <w:b/>
          <w:szCs w:val="21"/>
        </w:rPr>
        <w:t xml:space="preserve">附件5：磋商响应函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我们收到你们JSZC-320591-CJZB-C2025-0173号磋商采购文件，经仔细阅读和研究，我们决定参加本项目的磋商。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项目的所有内容，投标报价包括但不限于项目实施方案编制、论证、评审，工程实施，基坑监测，废水、废气、噪声、固废等的处理，污染土壤的清挖、运输、存储、预处理、二次搬运、有害物处置、检验验收、监控、二次污染防治以及水泥窑协同处置（包括污染土壤运输、堆放暂存、处置）技术等对污染土壤治理全过程</w:t>
      </w:r>
      <w:r>
        <w:rPr>
          <w:rFonts w:hint="eastAsia" w:ascii="宋体" w:hAnsi="宋体" w:cs="宋体"/>
          <w:szCs w:val="21"/>
        </w:rPr>
        <w:t xml:space="preserve">发生的所有费用，以及项目所需的物品、设备、工具费用，保险、现场吊装、检测验收、安装调试、技术支持与培训、售后服务与维保及相关劳务支出等工作所发生的全部费用以及响应单位企业利润、税金和政策性文件规定及合同包含的所有风险（包括但不限于项目实施期间价格的涨跌，政策性调整，项目未知事宜等）、责任等各项应有费用。本项目为“交钥匙”项目，总价包干。投标报价为最终报价，除非因特殊原因并经采购单位同意，响应单位不得再要求追加任何费用。同时，除非合同条款中另有规定，否则，响应单位所报价格在合同实施期间不因市场变化因素而变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我单位针对本项目配置的项目总负责人为【】，身份证号码为【】，联系手机号码为【】；配置的技术负责人为【】，身份证号码为【】，联系手机号码为【】；配置的</w:t>
      </w:r>
      <w:r>
        <w:rPr>
          <w:rFonts w:hint="eastAsia" w:ascii="宋体" w:hAnsi="宋体" w:cs="宋体"/>
          <w:szCs w:val="21"/>
        </w:rPr>
        <w:t xml:space="preserve">项目现场负责人为【】，身份证号码为【】</w:t>
      </w:r>
      <w:r>
        <w:rPr>
          <w:rFonts w:hint="eastAsia" w:ascii="宋体" w:hAnsi="宋体" w:cs="宋体"/>
          <w:szCs w:val="21"/>
        </w:rPr>
        <w:t xml:space="preserve">，联系手机号码为【】</w:t>
      </w:r>
      <w:r>
        <w:rPr>
          <w:rFonts w:hint="eastAsia" w:ascii="宋体" w:hAnsi="宋体" w:cs="宋体"/>
          <w:szCs w:val="21"/>
        </w:rPr>
        <w:t xml:space="preserve">；</w:t>
      </w:r>
      <w:r>
        <w:rPr>
          <w:rFonts w:hint="eastAsia" w:ascii="宋体" w:hAnsi="宋体" w:cs="宋体"/>
          <w:szCs w:val="21"/>
        </w:rPr>
        <w:t xml:space="preserve">配置的安全负责人为【】，身份证号码为【】，联系手机号码为【】；配置的项目组其他成员一共【】人，上述配置的人员，承诺到岗率为：</w:t>
      </w:r>
      <w:r>
        <w:rPr>
          <w:rFonts w:hint="eastAsia" w:ascii="宋体" w:hAnsi="宋体" w:cs="宋体"/>
          <w:szCs w:val="21"/>
        </w:rPr>
        <w:t xml:space="preserve">项目部人员到岗率达到100%，项目现场负责人到岗率达到90%以上，项目总负责人、技术负责人、安全专职人员等到岗率达到80%。</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数币账户信息：            电子邮箱地址：</w:t>
      </w:r>
      <w:r/>
    </w:p>
    <w:p>
      <w:pPr>
        <w:pStyle w:val="1044"/>
        <w:ind w:left="0" w:firstLine="0"/>
        <w:spacing w:after="0" w:line="360" w:lineRule="auto"/>
        <w:rPr>
          <w:rFonts w:ascii="宋体" w:hAnsi="宋体" w:cs="宋体"/>
          <w:szCs w:val="21"/>
        </w:rPr>
      </w:pPr>
      <w:r>
        <w:rPr>
          <w:rFonts w:ascii="宋体" w:hAnsi="宋体" w:cs="宋体"/>
          <w:szCs w:val="21"/>
        </w:rPr>
      </w:r>
      <w:r/>
    </w:p>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1038"/>
        <w:ind w:firstLine="0"/>
        <w:jc w:val="both"/>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21"/>
          <w:szCs w:val="21"/>
        </w:rPr>
        <w:t xml:space="preserve">日期：        年    月    日</w:t>
      </w:r>
      <w:r/>
    </w:p>
    <w:p>
      <w:pPr>
        <w:pStyle w:val="1028"/>
        <w:pageBreakBefore/>
        <w:spacing w:before="0" w:after="0" w:line="360" w:lineRule="auto"/>
        <w:rPr>
          <w:rFonts w:ascii="宋体" w:hAnsi="宋体" w:cs="宋体"/>
          <w:sz w:val="21"/>
          <w:szCs w:val="21"/>
        </w:rPr>
      </w:pPr>
      <w:r>
        <w:rPr>
          <w:rFonts w:hint="eastAsia" w:ascii="宋体" w:hAnsi="宋体" w:cs="宋体"/>
          <w:sz w:val="21"/>
          <w:szCs w:val="21"/>
        </w:rPr>
        <w:t xml:space="preserve">附件6：磋商报价分析表</w:t>
      </w:r>
      <w:r/>
    </w:p>
    <w:p>
      <w:pPr>
        <w:jc w:val="center"/>
        <w:spacing w:line="360" w:lineRule="auto"/>
        <w:rPr>
          <w:rFonts w:ascii="宋体" w:hAnsi="宋体" w:cs="宋体"/>
          <w:szCs w:val="21"/>
        </w:rPr>
      </w:pPr>
      <w:r>
        <w:rPr>
          <w:rFonts w:hint="eastAsia" w:ascii="宋体" w:hAnsi="宋体" w:cs="宋体"/>
          <w:szCs w:val="21"/>
        </w:rPr>
        <w:t xml:space="preserve">磋商报价分析表</w:t>
      </w:r>
      <w:r/>
    </w:p>
    <w:tbl>
      <w:tblPr>
        <w:tblW w:w="9956" w:type="dxa"/>
        <w:tblInd w:w="102" w:type="dxa"/>
        <w:tblLook w:val="04A0" w:firstRow="1" w:lastRow="0" w:firstColumn="1" w:lastColumn="0" w:noHBand="0" w:noVBand="1"/>
      </w:tblPr>
      <w:tblGrid>
        <w:gridCol w:w="971"/>
        <w:gridCol w:w="1305"/>
        <w:gridCol w:w="3408"/>
        <w:gridCol w:w="1060"/>
        <w:gridCol w:w="890"/>
        <w:gridCol w:w="1282"/>
        <w:gridCol w:w="1040"/>
      </w:tblGrid>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总价（元）</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方案编制</w:t>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实施方案编制及评审</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项目实施</w:t>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临时设施及二次污染防治措施建设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土方开挖、短驳、预处理、堆置等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704.3</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污染土壤运输、水泥窑处置</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594.5</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基坑降水及设备清洗废水处理（若满足回用要求，用于降尘；不满足回用要求，但满足污水厂入场水质要求，则委外处理）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过程环境监测、自检等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项目实施所需的其他费用</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磋商总报价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备注：响应单位对表中的全部货物和服务的报价应包括但不限于项目实施方案编制、论证、评审，工程实施，基坑监测，废水、废气、噪声、固废等的处理，污染土壤的清挖、运输、存储、预处理、二次搬运、有害物处置、检验验收、监控、二次污染防治以及水泥窑协同处置（包括污染土壤运输、堆放暂存、处置）技术等对污染土壤治理全过程</w:t>
      </w:r>
      <w:r>
        <w:rPr>
          <w:rFonts w:hint="eastAsia" w:ascii="宋体" w:hAnsi="宋体" w:cs="宋体"/>
          <w:szCs w:val="21"/>
        </w:rPr>
        <w:t xml:space="preserve">发生的所有费用，以及项目所需的物品、设备、工具费用，保险、现场吊装、检测验收、安装调试、技术支持与培训、售后服务与维保及相关劳务支出等工作所发生的全部费用以及响应单位企业利润、税金和政策性文件规定及合同包含的所有风险（包括但不限于项目实施期间价格的涨跌，政策性调整，项目未知事宜等）、责任等各项应有费用。本项目为“交钥匙”项目，总价包干。投标报价为最终报价，除非因特殊原因并经采购单位同意，响应单位不得再要求追加任何费用。同时，除非合同条款中另有规定，否则，响应单位所报价格在合同实施期间不因市场变化因素而变动。</w:t>
      </w:r>
      <w:r>
        <w:rPr>
          <w:rFonts w:hint="eastAsia" w:ascii="宋体" w:hAnsi="宋体" w:cs="宋体"/>
          <w:b/>
          <w:szCs w:val="21"/>
        </w:rPr>
        <w:t xml:space="preserve">响应单位应根据自身实际情况报价，但无论填列是否完整均不免除响应单位对总价的包干责任。</w:t>
      </w:r>
      <w:r/>
    </w:p>
    <w:p>
      <w:pPr>
        <w:pStyle w:val="1038"/>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1044"/>
        <w:ind w:left="0" w:firstLine="0"/>
        <w:spacing w:after="0"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hint="eastAsia" w:ascii="宋体" w:hAnsi="宋体" w:cs="宋体"/>
          <w:b/>
          <w:szCs w:val="21"/>
        </w:rPr>
        <w:t xml:space="preserve">附件7：技术或服务偏离表</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技术或服务偏离表</w:t>
      </w:r>
      <w:r/>
    </w:p>
    <w:p>
      <w:pPr>
        <w:spacing w:line="360" w:lineRule="auto"/>
        <w:rPr>
          <w:rFonts w:ascii="宋体" w:hAnsi="宋体" w:cs="宋体"/>
        </w:rPr>
      </w:pPr>
      <w:r>
        <w:rPr>
          <w:rFonts w:hint="eastAsia" w:ascii="宋体" w:hAnsi="宋体" w:cs="宋体"/>
        </w:rPr>
        <w:t xml:space="preserve">采购编号：</w:t>
      </w:r>
      <w:r/>
    </w:p>
    <w:tbl>
      <w:tblPr>
        <w:tblW w:w="9962" w:type="dxa"/>
        <w:jc w:val="center"/>
        <w:tblLayout w:type="fixed"/>
        <w:tblCellMar>
          <w:left w:w="0" w:type="dxa"/>
          <w:right w:w="0" w:type="dxa"/>
        </w:tblCellMar>
        <w:tblLook w:val="04A0" w:firstRow="1" w:lastRow="0" w:firstColumn="1" w:lastColumn="0" w:noHBand="0" w:noVBand="1"/>
      </w:tblPr>
      <w:tblGrid>
        <w:gridCol w:w="1115"/>
        <w:gridCol w:w="2309"/>
        <w:gridCol w:w="2577"/>
        <w:gridCol w:w="3961"/>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采购技术或服务要求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偏离说明（正偏离、负偏离、无偏离）</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5" w:type="dxa"/>
            <w:vAlign w:val="center"/>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7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rPr>
      </w:pPr>
      <w:r>
        <w:rPr>
          <w:rFonts w:hint="eastAsia" w:ascii="宋体" w:hAnsi="宋体" w:cs="宋体"/>
        </w:rPr>
        <w:t xml:space="preserve">日期：         年         月       日</w:t>
      </w:r>
      <w:r>
        <w:rPr>
          <w:rFonts w:hint="eastAsia" w:ascii="宋体" w:hAnsi="宋体" w:cs="宋体"/>
        </w:rPr>
        <w:br/>
        <w:t xml:space="preserve">注：</w:t>
      </w:r>
      <w:r/>
    </w:p>
    <w:p>
      <w:pPr>
        <w:spacing w:line="360" w:lineRule="auto"/>
        <w:rPr>
          <w:rFonts w:ascii="宋体" w:hAnsi="宋体" w:cs="宋体"/>
        </w:rPr>
      </w:pPr>
      <w:r>
        <w:rPr>
          <w:rFonts w:hint="eastAsia" w:ascii="宋体" w:hAnsi="宋体" w:cs="宋体"/>
        </w:rPr>
        <w:t xml:space="preserve">1.磋商响应单位应对照采购文件技术及服务要求，所投标的物（技术及服务）与采购文件的规定有偏离的，应在此表中申明与技术服务要求条文的偏差和例外。</w:t>
      </w:r>
      <w:r/>
    </w:p>
    <w:p>
      <w:pPr>
        <w:spacing w:line="360" w:lineRule="auto"/>
        <w:rPr>
          <w:rFonts w:ascii="宋体" w:hAnsi="宋体" w:cs="宋体"/>
          <w:b/>
          <w:szCs w:val="21"/>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rPr>
          <w:rFonts w:hint="eastAsia" w:ascii="宋体" w:hAnsi="宋体" w:cs="宋体"/>
          <w:b/>
          <w:szCs w:val="21"/>
        </w:rPr>
        <w:br w:type="page" w:clear="all"/>
      </w:r>
      <w:r>
        <w:rPr>
          <w:rFonts w:hint="eastAsia" w:ascii="宋体" w:hAnsi="宋体" w:cs="宋体"/>
          <w:b/>
          <w:szCs w:val="21"/>
        </w:rPr>
        <w:t xml:space="preserve">附件8：商务条款偏离表</w:t>
      </w:r>
      <w:r/>
    </w:p>
    <w:p>
      <w:pPr>
        <w:jc w:val="center"/>
        <w:spacing w:line="360" w:lineRule="auto"/>
        <w:rPr>
          <w:rFonts w:ascii="宋体" w:hAnsi="宋体" w:cs="宋体"/>
          <w:b/>
          <w:bCs/>
        </w:rPr>
      </w:pPr>
      <w:r>
        <w:rPr>
          <w:rFonts w:hint="eastAsia" w:ascii="宋体" w:hAnsi="宋体" w:cs="宋体"/>
          <w:b/>
          <w:bCs/>
        </w:rPr>
        <w:t xml:space="preserve">商务条款偏离表</w:t>
      </w:r>
      <w:r/>
    </w:p>
    <w:p>
      <w:pPr>
        <w:pStyle w:val="103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rPr>
          <w:rFonts w:ascii="宋体" w:hAnsi="宋体" w:cs="宋体"/>
        </w:rPr>
      </w:pPr>
      <w:r>
        <w:rPr>
          <w:rFonts w:hint="eastAsia" w:ascii="宋体" w:hAnsi="宋体" w:cs="宋体"/>
        </w:rPr>
        <w:t xml:space="preserve">采购编号：</w:t>
      </w:r>
      <w:r/>
    </w:p>
    <w:tbl>
      <w:tblPr>
        <w:tblW w:w="9961" w:type="dxa"/>
        <w:jc w:val="center"/>
        <w:tblLayout w:type="fixed"/>
        <w:tblCellMar>
          <w:left w:w="0" w:type="dxa"/>
          <w:right w:w="0" w:type="dxa"/>
        </w:tblCellMar>
        <w:tblLook w:val="04A0" w:firstRow="1" w:lastRow="0" w:firstColumn="1" w:lastColumn="0" w:noHBand="0" w:noVBand="1"/>
      </w:tblPr>
      <w:tblGrid>
        <w:gridCol w:w="758"/>
        <w:gridCol w:w="1923"/>
        <w:gridCol w:w="5730"/>
        <w:gridCol w:w="1550"/>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偏离说明（正偏离、负偏离、无偏离）</w:t>
            </w:r>
            <w:r/>
          </w:p>
        </w:tc>
      </w:tr>
      <w:tr>
        <w:trPr>
          <w:jc w:val="cente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szCs w:val="21"/>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
                <w:szCs w:val="21"/>
              </w:rPr>
              <w:t xml:space="preserve">污染地块治理总工期为自合同签订之日起【 】个自然日（具体从合同签署之日起至具备验收条件时止），其中全部污染土壤开挖且运输至水泥窑协同处置单位等工作时限承诺为自合同签订之日起</w:t>
            </w:r>
            <w:r>
              <w:rPr>
                <w:rFonts w:hint="eastAsia" w:ascii="宋体" w:hAnsi="宋体" w:cs="宋体"/>
                <w:szCs w:val="21"/>
              </w:rPr>
              <w:t xml:space="preserve">【】</w:t>
            </w:r>
            <w:r>
              <w:rPr>
                <w:rFonts w:hint="eastAsia" w:ascii="宋体" w:hAnsi="宋体" w:cs="宋体"/>
                <w:b/>
                <w:szCs w:val="21"/>
              </w:rPr>
              <w:t xml:space="preserve">个自然日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付款方式及付款步骤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项目验收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rPr>
      </w:pPr>
      <w:r>
        <w:rPr>
          <w:rFonts w:hint="eastAsia" w:ascii="宋体" w:hAnsi="宋体" w:cs="宋体"/>
        </w:rPr>
        <w:t xml:space="preserve">磋商响应单位：（签章）</w:t>
      </w:r>
      <w:r/>
    </w:p>
    <w:p>
      <w:pPr>
        <w:pStyle w:val="10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ageBreakBefore/>
        <w:spacing w:line="360" w:lineRule="auto"/>
        <w:rPr>
          <w:rFonts w:ascii="宋体" w:hAnsi="宋体" w:cs="宋体"/>
          <w:b/>
        </w:rPr>
        <w:outlineLvl w:val="1"/>
      </w:pPr>
      <w:r>
        <w:rPr>
          <w:rFonts w:hint="eastAsia" w:ascii="宋体" w:hAnsi="宋体" w:cs="宋体"/>
          <w:b/>
        </w:rPr>
        <w:t xml:space="preserve">附件9：投标（响应）保证承诺书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1044"/>
        <w:spacing w:after="0"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szCs w:val="21"/>
          <w:lang w:val="zh-CN"/>
        </w:rPr>
      </w:pPr>
      <w:r>
        <w:rPr>
          <w:rFonts w:hint="eastAsia" w:ascii="宋体" w:hAnsi="宋体" w:cs="宋体"/>
          <w:b/>
          <w:szCs w:val="21"/>
        </w:rPr>
        <w:t xml:space="preserve">附件10：</w:t>
      </w:r>
      <w:r>
        <w:rPr>
          <w:rFonts w:hint="eastAsia" w:ascii="宋体" w:hAnsi="宋体" w:cs="宋体"/>
          <w:b/>
          <w:szCs w:val="21"/>
          <w:lang w:val="zh-CN"/>
        </w:rPr>
        <w:t xml:space="preserve">项目组人员一览表</w:t>
      </w:r>
      <w:r/>
    </w:p>
    <w:p>
      <w:pPr>
        <w:jc w:val="center"/>
        <w:spacing w:line="360" w:lineRule="auto"/>
        <w:rPr>
          <w:rFonts w:ascii="宋体" w:hAnsi="宋体" w:cs="宋体"/>
          <w:b/>
          <w:szCs w:val="21"/>
          <w:lang w:val="zh-CN"/>
        </w:rPr>
      </w:pPr>
      <w:r>
        <w:rPr>
          <w:rFonts w:hint="eastAsia" w:ascii="宋体" w:hAnsi="宋体" w:cs="宋体"/>
          <w:b/>
          <w:bCs/>
          <w:spacing w:val="20"/>
          <w:szCs w:val="21"/>
        </w:rPr>
        <w:t xml:space="preserve">1.</w:t>
      </w:r>
      <w:r>
        <w:rPr>
          <w:rFonts w:hint="eastAsia" w:ascii="宋体" w:hAnsi="宋体" w:cs="宋体"/>
          <w:b/>
          <w:szCs w:val="21"/>
          <w:lang w:val="zh-CN"/>
        </w:rPr>
        <w:t xml:space="preserve">项目组人员一览表</w:t>
      </w:r>
      <w:r/>
    </w:p>
    <w:p>
      <w:pPr>
        <w:spacing w:line="360" w:lineRule="auto"/>
        <w:rPr>
          <w:rFonts w:ascii="宋体" w:hAnsi="宋体" w:cs="宋体"/>
          <w:szCs w:val="21"/>
          <w:lang w:val="zh-CN"/>
        </w:rPr>
      </w:pPr>
      <w:r>
        <w:rPr>
          <w:rFonts w:hint="eastAsia" w:ascii="宋体" w:hAnsi="宋体" w:cs="宋体"/>
          <w:szCs w:val="21"/>
        </w:rPr>
        <w:t xml:space="preserve">采购</w:t>
      </w:r>
      <w:r>
        <w:rPr>
          <w:rFonts w:hint="eastAsia" w:ascii="宋体" w:hAnsi="宋体" w:cs="宋体"/>
          <w:szCs w:val="21"/>
          <w:lang w:val="zh-CN"/>
        </w:rPr>
        <w:t xml:space="preserve">编号：             </w:t>
      </w:r>
      <w:r>
        <w:rPr>
          <w:rFonts w:hint="eastAsia" w:ascii="宋体" w:hAnsi="宋体" w:cs="宋体"/>
          <w:szCs w:val="21"/>
        </w:rPr>
        <w:t xml:space="preserve">号</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6"/>
        <w:gridCol w:w="1844"/>
        <w:gridCol w:w="970"/>
        <w:gridCol w:w="707"/>
        <w:gridCol w:w="747"/>
        <w:gridCol w:w="987"/>
        <w:gridCol w:w="976"/>
        <w:gridCol w:w="1134"/>
        <w:gridCol w:w="1146"/>
        <w:gridCol w:w="1146"/>
      </w:tblGrid>
      <w:tr>
        <w:trPr>
          <w:jc w:val="center"/>
          <w:trHeight w:val="851"/>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具有证书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典型业务</w:t>
            </w:r>
            <w:r/>
          </w:p>
          <w:p>
            <w:pPr>
              <w:pStyle w:val="1050"/>
              <w:jc w:val="center"/>
              <w:spacing w:line="360" w:lineRule="auto"/>
              <w:rPr>
                <w:rFonts w:ascii="宋体" w:hAnsi="宋体" w:cs="宋体"/>
                <w:sz w:val="21"/>
                <w:szCs w:val="21"/>
              </w:rPr>
            </w:pPr>
            <w:r>
              <w:rPr>
                <w:rFonts w:hint="eastAsia" w:ascii="宋体" w:hAnsi="宋体" w:cs="宋体"/>
                <w:sz w:val="21"/>
                <w:szCs w:val="21"/>
              </w:rPr>
              <w:t xml:space="preserve">与技术专长</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备注（承诺到岗率）</w:t>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项目总负责人</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pStyle w:val="1050"/>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响应单位：（签章）</w:t>
      </w:r>
      <w:r/>
    </w:p>
    <w:p>
      <w:pPr>
        <w:ind w:firstLine="422"/>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hint="eastAsia" w:ascii="宋体" w:hAnsi="宋体" w:cs="宋体"/>
          <w:szCs w:val="21"/>
        </w:rPr>
        <w:t xml:space="preserve">注：1、附各专业人员简历及相关证明材料复印件；2.表格不够填写可添加。</w:t>
      </w:r>
      <w:r/>
    </w:p>
    <w:p>
      <w:pPr>
        <w:pStyle w:val="1036"/>
        <w:spacing w:after="0" w:line="360" w:lineRule="auto"/>
        <w:rPr>
          <w:rFonts w:ascii="宋体" w:hAnsi="宋体" w:cs="宋体"/>
        </w:rPr>
      </w:pPr>
      <w:r>
        <w:rPr>
          <w:rFonts w:ascii="宋体" w:hAnsi="宋体" w:cs="宋体"/>
        </w:rPr>
      </w:r>
      <w:r/>
    </w:p>
    <w:p>
      <w:pPr>
        <w:pStyle w:val="1036"/>
        <w:spacing w:after="0" w:line="360" w:lineRule="auto"/>
        <w:rPr>
          <w:rFonts w:ascii="宋体" w:hAnsi="宋体" w:cs="宋体"/>
        </w:rPr>
      </w:pPr>
      <w:r>
        <w:rPr>
          <w:rFonts w:ascii="宋体" w:hAnsi="宋体" w:cs="宋体"/>
        </w:rPr>
      </w:r>
      <w:r/>
    </w:p>
    <w:p>
      <w:pPr>
        <w:pStyle w:val="1037"/>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1036"/>
        <w:spacing w:after="0" w:line="360" w:lineRule="auto"/>
        <w:rPr>
          <w:rFonts w:ascii="宋体" w:hAnsi="宋体" w:cs="宋体"/>
        </w:rPr>
      </w:pPr>
      <w:r>
        <w:rPr>
          <w:rFonts w:ascii="宋体" w:hAnsi="宋体" w:cs="宋体"/>
        </w:rPr>
      </w:r>
      <w:r/>
    </w:p>
    <w:p>
      <w:pPr>
        <w:pStyle w:val="1037"/>
        <w:spacing w:line="360" w:lineRule="auto"/>
        <w:rPr>
          <w:rFonts w:ascii="宋体" w:hAnsi="宋体" w:cs="宋体"/>
        </w:rPr>
      </w:pPr>
      <w:r>
        <w:rPr>
          <w:rFonts w:ascii="宋体" w:hAnsi="宋体" w:cs="宋体"/>
        </w:rPr>
      </w:r>
      <w:r/>
    </w:p>
    <w:p>
      <w:pPr>
        <w:ind w:firstLine="422"/>
        <w:spacing w:line="360" w:lineRule="auto"/>
        <w:rPr>
          <w:rFonts w:ascii="宋体" w:hAnsi="宋体" w:cs="宋体"/>
          <w:szCs w:val="21"/>
        </w:rPr>
      </w:pPr>
      <w:r>
        <w:rPr>
          <w:rFonts w:ascii="宋体" w:hAnsi="宋体" w:cs="宋体"/>
          <w:szCs w:val="21"/>
        </w:rPr>
      </w:r>
      <w:r/>
    </w:p>
    <w:p>
      <w:pPr>
        <w:pStyle w:val="1128"/>
        <w:spacing w:line="360" w:lineRule="auto"/>
        <w:rPr>
          <w:rFonts w:hAnsi="宋体" w:cs="宋体"/>
          <w:bCs/>
          <w:szCs w:val="21"/>
          <w:lang w:val="zh-CN"/>
        </w:rPr>
        <w:outlineLvl w:val="1"/>
      </w:pPr>
      <w:r>
        <w:rPr>
          <w:rFonts w:hint="eastAsia" w:hAnsi="宋体" w:cs="宋体"/>
          <w:b/>
          <w:bCs/>
          <w:spacing w:val="20"/>
          <w:szCs w:val="21"/>
        </w:rPr>
        <w:t xml:space="preserve">2.</w:t>
      </w:r>
      <w:r>
        <w:rPr>
          <w:rFonts w:hint="eastAsia" w:hAnsi="宋体" w:cs="宋体"/>
          <w:b/>
          <w:szCs w:val="21"/>
        </w:rPr>
        <w:t xml:space="preserve">项目总负责人简介</w:t>
      </w:r>
      <w:r/>
    </w:p>
    <w:p>
      <w:pPr>
        <w:pStyle w:val="1038"/>
        <w:ind w:firstLine="0"/>
        <w:jc w:val="center"/>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项目总负责人简介</w:t>
      </w:r>
      <w:r/>
    </w:p>
    <w:p>
      <w:pPr>
        <w:spacing w:line="360" w:lineRule="auto"/>
        <w:rPr>
          <w:rFonts w:ascii="宋体" w:hAnsi="宋体" w:cs="宋体"/>
          <w:b/>
          <w:szCs w:val="21"/>
          <w:lang w:val="zh-CN"/>
        </w:rPr>
      </w:pPr>
      <w:r>
        <w:rPr>
          <w:rFonts w:hint="eastAsia" w:ascii="宋体" w:hAnsi="宋体" w:cs="宋体"/>
          <w:szCs w:val="21"/>
        </w:rPr>
        <w:t xml:space="preserve">采购</w:t>
      </w:r>
      <w:r>
        <w:rPr>
          <w:rFonts w:hint="eastAsia" w:ascii="宋体" w:hAnsi="宋体" w:cs="宋体"/>
          <w:szCs w:val="21"/>
          <w:lang w:val="zh-CN"/>
        </w:rPr>
        <w:t xml:space="preserve">编号：             </w:t>
      </w:r>
      <w:r>
        <w:rPr>
          <w:rFonts w:hint="eastAsia" w:ascii="宋体" w:hAnsi="宋体" w:cs="宋体"/>
          <w:szCs w:val="21"/>
        </w:rPr>
        <w:t xml:space="preserve">号</w:t>
      </w:r>
      <w:r/>
    </w:p>
    <w:tbl>
      <w:tblPr>
        <w:tblW w:w="5037" w:type="pct"/>
        <w:tblInd w:w="-7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24"/>
        <w:gridCol w:w="1750"/>
        <w:gridCol w:w="1537"/>
        <w:gridCol w:w="1219"/>
        <w:gridCol w:w="26"/>
        <w:gridCol w:w="909"/>
        <w:gridCol w:w="357"/>
        <w:gridCol w:w="1450"/>
        <w:gridCol w:w="2103"/>
      </w:tblGrid>
      <w:tr>
        <w:trPr>
          <w:cantSplit/>
          <w:trHeight w:val="594"/>
        </w:trPr>
        <w:tc>
          <w:tcPr>
            <w:tcW w:w="266"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886"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姓      名</w:t>
            </w:r>
            <w:r/>
          </w:p>
        </w:tc>
        <w:tc>
          <w:tcPr>
            <w:gridSpan w:val="3"/>
            <w:tcW w:w="1408" w:type="pct"/>
            <w:vAlign w:val="center"/>
            <w:textDirection w:val="lrTb"/>
            <w:noWrap/>
          </w:tcPr>
          <w:p>
            <w:pPr>
              <w:pStyle w:val="1038"/>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gridSpan w:val="2"/>
            <w:tcW w:w="641"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性   别</w:t>
            </w:r>
            <w:r/>
          </w:p>
        </w:tc>
        <w:tc>
          <w:tcPr>
            <w:gridSpan w:val="2"/>
            <w:tcW w:w="1799" w:type="pct"/>
            <w:vAlign w:val="center"/>
            <w:textDirection w:val="lrTb"/>
            <w:noWrap/>
          </w:tcPr>
          <w:p>
            <w:pPr>
              <w:pStyle w:val="1038"/>
              <w:ind w:firstLine="0"/>
              <w:jc w:val="both"/>
              <w:spacing w:line="360" w:lineRule="auto"/>
              <w:rPr>
                <w:rFonts w:ascii="宋体" w:hAnsi="宋体" w:eastAsia="宋体" w:cs="宋体"/>
                <w:sz w:val="21"/>
                <w:szCs w:val="21"/>
              </w:rPr>
            </w:pPr>
            <w:r>
              <w:rPr>
                <w:rFonts w:ascii="宋体" w:hAnsi="宋体" w:eastAsia="宋体" w:cs="宋体"/>
                <w:sz w:val="21"/>
                <w:szCs w:val="21"/>
              </w:rPr>
            </w:r>
            <w:r/>
          </w:p>
        </w:tc>
      </w:tr>
      <w:tr>
        <w:trPr>
          <w:trHeight w:val="645"/>
        </w:trPr>
        <w:tc>
          <w:tcPr>
            <w:tcW w:w="266"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886"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身份证号码</w:t>
            </w:r>
            <w:r/>
          </w:p>
        </w:tc>
        <w:tc>
          <w:tcPr>
            <w:gridSpan w:val="5"/>
            <w:tcW w:w="2049" w:type="pct"/>
            <w:vAlign w:val="center"/>
            <w:textDirection w:val="lrTb"/>
            <w:noWrap/>
          </w:tcPr>
          <w:p>
            <w:pPr>
              <w:pStyle w:val="1038"/>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tcW w:w="734"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出生年月</w:t>
            </w:r>
            <w:r/>
          </w:p>
        </w:tc>
        <w:tc>
          <w:tcPr>
            <w:tcW w:w="1065"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   月</w:t>
            </w:r>
            <w:r/>
          </w:p>
        </w:tc>
      </w:tr>
      <w:tr>
        <w:trPr>
          <w:trHeight w:val="645"/>
        </w:trPr>
        <w:tc>
          <w:tcPr>
            <w:tcW w:w="266"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W w:w="1664"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p>
        </w:tc>
        <w:tc>
          <w:tcPr>
            <w:gridSpan w:val="4"/>
            <w:tcW w:w="1271"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传真：</w:t>
            </w:r>
            <w:r/>
          </w:p>
        </w:tc>
        <w:tc>
          <w:tcPr>
            <w:gridSpan w:val="2"/>
            <w:tcW w:w="1799"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电子邮箱：</w:t>
            </w:r>
            <w:r/>
          </w:p>
        </w:tc>
      </w:tr>
      <w:tr>
        <w:trPr>
          <w:cantSplit/>
          <w:trHeight w:val="645"/>
        </w:trPr>
        <w:tc>
          <w:tcPr>
            <w:tcW w:w="266"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gridSpan w:val="5"/>
            <w:tcBorders>
              <w:right w:val="single" w:color="auto" w:sz="4" w:space="0"/>
            </w:tcBorders>
            <w:tcW w:w="2754" w:type="pct"/>
            <w:vAlign w:val="center"/>
            <w:textDirection w:val="lrTb"/>
            <w:noWrap/>
          </w:tcPr>
          <w:p>
            <w:pPr>
              <w:spacing w:line="360" w:lineRule="auto"/>
              <w:rPr>
                <w:rFonts w:ascii="宋体" w:hAnsi="宋体" w:cs="宋体"/>
                <w:szCs w:val="21"/>
              </w:rPr>
            </w:pPr>
            <w:r>
              <w:rPr>
                <w:rFonts w:hint="eastAsia" w:ascii="宋体" w:hAnsi="宋体" w:cs="宋体"/>
                <w:szCs w:val="21"/>
              </w:rPr>
              <w:t xml:space="preserve">何年何月毕业于何院校、专业，最终学历：</w:t>
            </w:r>
            <w:r/>
          </w:p>
        </w:tc>
        <w:tc>
          <w:tcPr>
            <w:gridSpan w:val="3"/>
            <w:tcBorders>
              <w:left w:val="single" w:color="auto" w:sz="4" w:space="0"/>
            </w:tcBorders>
            <w:tcW w:w="1979" w:type="pct"/>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645"/>
        </w:trPr>
        <w:tc>
          <w:tcPr>
            <w:tcW w:w="266" w:type="pct"/>
            <w:vAlign w:val="center"/>
            <w:textDirection w:val="lrTb"/>
            <w:noWrap/>
          </w:tcPr>
          <w:p>
            <w:pPr>
              <w:pStyle w:val="103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gridSpan w:val="3"/>
            <w:tcBorders>
              <w:right w:val="single" w:color="auto" w:sz="4" w:space="0"/>
            </w:tcBorders>
            <w:tcW w:w="2281"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职称：                   </w:t>
            </w:r>
            <w:r/>
          </w:p>
        </w:tc>
        <w:tc>
          <w:tcPr>
            <w:gridSpan w:val="5"/>
            <w:tcBorders>
              <w:left w:val="single" w:color="auto" w:sz="4" w:space="0"/>
            </w:tcBorders>
            <w:tcW w:w="2452"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执业资格：</w:t>
            </w:r>
            <w:r/>
          </w:p>
        </w:tc>
      </w:tr>
      <w:tr>
        <w:trPr>
          <w:cantSplit/>
          <w:trHeight w:val="625"/>
        </w:trPr>
        <w:tc>
          <w:tcPr>
            <w:tcW w:w="266"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gridSpan w:val="8"/>
            <w:tcW w:w="4734"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从事环保工程经历 ：</w:t>
            </w:r>
            <w:r/>
          </w:p>
        </w:tc>
      </w:tr>
      <w:tr>
        <w:trPr>
          <w:cantSplit/>
          <w:trHeight w:val="1854"/>
        </w:trPr>
        <w:tc>
          <w:tcPr>
            <w:tcW w:w="266" w:type="pct"/>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6</w:t>
            </w:r>
            <w:r/>
          </w:p>
        </w:tc>
        <w:tc>
          <w:tcPr>
            <w:gridSpan w:val="8"/>
            <w:tcW w:w="4734" w:type="pct"/>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以项目负责人身份承担过的污染土壤治理业绩情况：（项目名称、项目地点、业主单位及联系人电话、合同金额、获奖状况等）</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2、 __________________________________________</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3、__________________________________________</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w:t>
            </w:r>
            <w:r/>
          </w:p>
        </w:tc>
      </w:tr>
      <w:tr>
        <w:trPr>
          <w:cantSplit/>
          <w:trHeight w:val="1854"/>
        </w:trPr>
        <w:tc>
          <w:tcPr>
            <w:tcW w:w="266" w:type="pct"/>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7</w:t>
            </w:r>
            <w:r/>
          </w:p>
        </w:tc>
        <w:tc>
          <w:tcPr>
            <w:gridSpan w:val="8"/>
            <w:tcW w:w="4734" w:type="pct"/>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以项目负责人身份承担过的环保工程业绩情况：（项目名称、项目地点、业主单位及联系人电话、合同金额、获奖状况等）</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2、 __________________________________________</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3、__________________________________________</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w:t>
            </w:r>
            <w:r/>
          </w:p>
        </w:tc>
      </w:tr>
      <w:tr>
        <w:trPr>
          <w:trHeight w:val="1133"/>
        </w:trPr>
        <w:tc>
          <w:tcPr>
            <w:tcW w:w="266" w:type="pct"/>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8"/>
            <w:tcW w:w="4734" w:type="pct"/>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本公司承诺：</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该项目负责人在我单位已任职一年以上且在从业经历中没有因任何重大违法记录而被查处。</w:t>
            </w:r>
            <w:r/>
          </w:p>
        </w:tc>
      </w:tr>
      <w:tr>
        <w:trPr>
          <w:trHeight w:val="1225"/>
        </w:trPr>
        <w:tc>
          <w:tcPr>
            <w:tcW w:w="266" w:type="pct"/>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9</w:t>
            </w:r>
            <w:r/>
          </w:p>
        </w:tc>
        <w:tc>
          <w:tcPr>
            <w:gridSpan w:val="8"/>
            <w:tcW w:w="4734" w:type="pct"/>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ind w:firstLine="422"/>
        <w:spacing w:line="360" w:lineRule="auto"/>
        <w:rPr>
          <w:rFonts w:ascii="宋体" w:hAnsi="宋体" w:cs="宋体"/>
          <w:szCs w:val="21"/>
        </w:rPr>
      </w:pPr>
      <w:r>
        <w:rPr>
          <w:rFonts w:hint="eastAsia" w:ascii="宋体" w:hAnsi="宋体" w:cs="宋体"/>
          <w:szCs w:val="21"/>
        </w:rPr>
        <w:t xml:space="preserve">响应单位：（签章）</w:t>
      </w:r>
      <w:r/>
    </w:p>
    <w:p>
      <w:pPr>
        <w:ind w:firstLine="422"/>
        <w:spacing w:line="360" w:lineRule="auto"/>
        <w:rPr>
          <w:rFonts w:ascii="宋体" w:hAnsi="宋体" w:cs="宋体"/>
          <w:szCs w:val="21"/>
        </w:rPr>
      </w:pPr>
      <w:r>
        <w:rPr>
          <w:rFonts w:hint="eastAsia" w:ascii="宋体" w:hAnsi="宋体" w:cs="宋体"/>
          <w:szCs w:val="21"/>
        </w:rPr>
        <w:t xml:space="preserve">日期：</w:t>
      </w:r>
      <w:r/>
    </w:p>
    <w:p>
      <w:pPr>
        <w:ind w:firstLine="420"/>
        <w:spacing w:line="360" w:lineRule="auto"/>
        <w:rPr>
          <w:rFonts w:ascii="宋体" w:hAnsi="宋体" w:cs="宋体"/>
          <w:bCs/>
          <w:szCs w:val="21"/>
        </w:rPr>
      </w:pPr>
      <w:r>
        <w:rPr>
          <w:rFonts w:hint="eastAsia" w:ascii="宋体" w:hAnsi="宋体" w:cs="宋体"/>
          <w:bCs/>
          <w:szCs w:val="21"/>
        </w:rPr>
        <w:t xml:space="preserve">附：证明材料（具体根据评分标准要求）</w:t>
      </w:r>
      <w:r/>
    </w:p>
    <w:p>
      <w:pPr>
        <w:pStyle w:val="1038"/>
        <w:ind w:firstLine="0"/>
        <w:jc w:val="center"/>
        <w:spacing w:line="360" w:lineRule="auto"/>
        <w:rPr>
          <w:rFonts w:ascii="宋体" w:hAnsi="宋体" w:eastAsia="宋体" w:cs="宋体"/>
          <w:b/>
          <w:sz w:val="21"/>
          <w:szCs w:val="21"/>
          <w:lang w:val="zh-CN"/>
        </w:rPr>
      </w:pPr>
      <w:r>
        <w:rPr>
          <w:rFonts w:ascii="宋体" w:hAnsi="宋体" w:eastAsia="宋体" w:cs="宋体"/>
          <w:b/>
          <w:sz w:val="21"/>
          <w:szCs w:val="21"/>
          <w:lang w:val="zh-CN"/>
        </w:rPr>
      </w:r>
      <w:r/>
    </w:p>
    <w:p>
      <w:pPr>
        <w:pStyle w:val="1038"/>
        <w:numPr>
          <w:ilvl w:val="0"/>
          <w:numId w:val="5"/>
        </w:numPr>
        <w:ind w:firstLine="0"/>
        <w:jc w:val="center"/>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工程施工现场项目负责人简介</w:t>
      </w:r>
      <w:r/>
    </w:p>
    <w:p>
      <w:pPr>
        <w:spacing w:line="360" w:lineRule="auto"/>
        <w:rPr>
          <w:rFonts w:ascii="宋体" w:hAnsi="宋体" w:cs="宋体"/>
          <w:b/>
          <w:szCs w:val="21"/>
          <w:lang w:val="zh-CN"/>
        </w:rPr>
      </w:pPr>
      <w:r>
        <w:rPr>
          <w:rFonts w:hint="eastAsia" w:ascii="宋体" w:hAnsi="宋体" w:cs="宋体"/>
          <w:szCs w:val="21"/>
        </w:rPr>
        <w:t xml:space="preserve">采购</w:t>
      </w:r>
      <w:r>
        <w:rPr>
          <w:rFonts w:hint="eastAsia" w:ascii="宋体" w:hAnsi="宋体" w:cs="宋体"/>
          <w:szCs w:val="21"/>
          <w:lang w:val="zh-CN"/>
        </w:rPr>
        <w:t xml:space="preserve">编号：             </w:t>
      </w:r>
      <w:r>
        <w:rPr>
          <w:rFonts w:hint="eastAsia" w:ascii="宋体" w:hAnsi="宋体" w:cs="宋体"/>
          <w:szCs w:val="21"/>
        </w:rPr>
        <w:t xml:space="preserve">号</w:t>
      </w:r>
      <w:r/>
    </w:p>
    <w:tbl>
      <w:tblPr>
        <w:tblW w:w="5000" w:type="pct"/>
        <w:tblInd w:w="-7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681"/>
        <w:gridCol w:w="2008"/>
        <w:gridCol w:w="1443"/>
        <w:gridCol w:w="1141"/>
        <w:gridCol w:w="14"/>
        <w:gridCol w:w="849"/>
        <w:gridCol w:w="327"/>
        <w:gridCol w:w="1361"/>
        <w:gridCol w:w="1978"/>
      </w:tblGrid>
      <w:tr>
        <w:trPr>
          <w:cantSplit/>
          <w:trHeight w:val="594"/>
        </w:trPr>
        <w:tc>
          <w:tcPr>
            <w:tcW w:w="347"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024"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姓      名</w:t>
            </w:r>
            <w:r/>
          </w:p>
        </w:tc>
        <w:tc>
          <w:tcPr>
            <w:gridSpan w:val="3"/>
            <w:tcW w:w="1325" w:type="pct"/>
            <w:vAlign w:val="center"/>
            <w:textDirection w:val="lrTb"/>
            <w:noWrap/>
          </w:tcPr>
          <w:p>
            <w:pPr>
              <w:pStyle w:val="1038"/>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gridSpan w:val="2"/>
            <w:tcW w:w="599"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性   别</w:t>
            </w:r>
            <w:r/>
          </w:p>
        </w:tc>
        <w:tc>
          <w:tcPr>
            <w:gridSpan w:val="2"/>
            <w:tcW w:w="1701" w:type="pct"/>
            <w:vAlign w:val="center"/>
            <w:textDirection w:val="lrTb"/>
            <w:noWrap/>
          </w:tcPr>
          <w:p>
            <w:pPr>
              <w:pStyle w:val="1038"/>
              <w:ind w:firstLine="0"/>
              <w:jc w:val="both"/>
              <w:spacing w:line="360" w:lineRule="auto"/>
              <w:rPr>
                <w:rFonts w:ascii="宋体" w:hAnsi="宋体" w:eastAsia="宋体" w:cs="宋体"/>
                <w:sz w:val="21"/>
                <w:szCs w:val="21"/>
              </w:rPr>
            </w:pPr>
            <w:r>
              <w:rPr>
                <w:rFonts w:ascii="宋体" w:hAnsi="宋体" w:eastAsia="宋体" w:cs="宋体"/>
                <w:sz w:val="21"/>
                <w:szCs w:val="21"/>
              </w:rPr>
            </w:r>
            <w:r/>
          </w:p>
        </w:tc>
      </w:tr>
      <w:tr>
        <w:trPr>
          <w:trHeight w:val="645"/>
        </w:trPr>
        <w:tc>
          <w:tcPr>
            <w:tcW w:w="347"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024"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身份证号码</w:t>
            </w:r>
            <w:r/>
          </w:p>
        </w:tc>
        <w:tc>
          <w:tcPr>
            <w:gridSpan w:val="5"/>
            <w:tcW w:w="1925" w:type="pct"/>
            <w:vAlign w:val="center"/>
            <w:textDirection w:val="lrTb"/>
            <w:noWrap/>
          </w:tcPr>
          <w:p>
            <w:pPr>
              <w:pStyle w:val="1038"/>
              <w:ind w:firstLine="0"/>
              <w:jc w:val="both"/>
              <w:spacing w:line="360" w:lineRule="auto"/>
              <w:rPr>
                <w:rFonts w:ascii="宋体" w:hAnsi="宋体" w:eastAsia="宋体" w:cs="宋体"/>
                <w:sz w:val="21"/>
                <w:szCs w:val="21"/>
              </w:rPr>
            </w:pPr>
            <w:r>
              <w:rPr>
                <w:rFonts w:ascii="宋体" w:hAnsi="宋体" w:eastAsia="宋体" w:cs="宋体"/>
                <w:sz w:val="21"/>
                <w:szCs w:val="21"/>
              </w:rPr>
            </w:r>
            <w:r/>
          </w:p>
        </w:tc>
        <w:tc>
          <w:tcPr>
            <w:tcW w:w="694"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出生年月</w:t>
            </w:r>
            <w:r/>
          </w:p>
        </w:tc>
        <w:tc>
          <w:tcPr>
            <w:tcW w:w="1006"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   月</w:t>
            </w:r>
            <w:r/>
          </w:p>
        </w:tc>
      </w:tr>
      <w:tr>
        <w:trPr>
          <w:trHeight w:val="645"/>
        </w:trPr>
        <w:tc>
          <w:tcPr>
            <w:tcW w:w="347"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W w:w="1760"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p>
        </w:tc>
        <w:tc>
          <w:tcPr>
            <w:gridSpan w:val="4"/>
            <w:tcW w:w="1189"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传真：</w:t>
            </w:r>
            <w:r/>
          </w:p>
        </w:tc>
        <w:tc>
          <w:tcPr>
            <w:gridSpan w:val="2"/>
            <w:tcW w:w="1701"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电子邮箱：</w:t>
            </w:r>
            <w:r/>
          </w:p>
        </w:tc>
      </w:tr>
      <w:tr>
        <w:trPr>
          <w:cantSplit/>
          <w:trHeight w:val="645"/>
        </w:trPr>
        <w:tc>
          <w:tcPr>
            <w:tcW w:w="347"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gridSpan w:val="5"/>
            <w:tcBorders>
              <w:right w:val="single" w:color="auto" w:sz="4" w:space="0"/>
            </w:tcBorders>
            <w:tcW w:w="2782" w:type="pct"/>
            <w:vAlign w:val="center"/>
            <w:textDirection w:val="lrTb"/>
            <w:noWrap/>
          </w:tcPr>
          <w:p>
            <w:pPr>
              <w:spacing w:line="360" w:lineRule="auto"/>
              <w:rPr>
                <w:rFonts w:ascii="宋体" w:hAnsi="宋体" w:cs="宋体"/>
                <w:szCs w:val="21"/>
              </w:rPr>
            </w:pPr>
            <w:r>
              <w:rPr>
                <w:rFonts w:hint="eastAsia" w:ascii="宋体" w:hAnsi="宋体" w:cs="宋体"/>
                <w:szCs w:val="21"/>
              </w:rPr>
              <w:t xml:space="preserve">何年何月毕业于何院校、专业，最终学历：</w:t>
            </w:r>
            <w:r/>
          </w:p>
        </w:tc>
        <w:tc>
          <w:tcPr>
            <w:gridSpan w:val="3"/>
            <w:tcBorders>
              <w:left w:val="single" w:color="auto" w:sz="4" w:space="0"/>
            </w:tcBorders>
            <w:tcW w:w="1869" w:type="pct"/>
            <w:vAlign w:val="center"/>
            <w:textDirection w:val="lrTb"/>
            <w:noWrap/>
          </w:tcPr>
          <w:p>
            <w:pPr>
              <w:spacing w:line="360" w:lineRule="auto"/>
              <w:rPr>
                <w:rFonts w:ascii="宋体" w:hAnsi="宋体" w:cs="宋体"/>
                <w:szCs w:val="21"/>
              </w:rPr>
            </w:pPr>
            <w:r>
              <w:rPr>
                <w:rFonts w:ascii="宋体" w:hAnsi="宋体" w:cs="宋体"/>
                <w:szCs w:val="21"/>
              </w:rPr>
            </w:r>
            <w:r/>
          </w:p>
        </w:tc>
      </w:tr>
      <w:tr>
        <w:trPr>
          <w:cantSplit/>
          <w:trHeight w:val="645"/>
        </w:trPr>
        <w:tc>
          <w:tcPr>
            <w:tcW w:w="347" w:type="pct"/>
            <w:vAlign w:val="center"/>
            <w:textDirection w:val="lrTb"/>
            <w:noWrap/>
          </w:tcPr>
          <w:p>
            <w:pPr>
              <w:pStyle w:val="103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gridSpan w:val="3"/>
            <w:tcBorders>
              <w:right w:val="single" w:color="auto" w:sz="4" w:space="0"/>
            </w:tcBorders>
            <w:tcW w:w="2342"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职称：                   </w:t>
            </w:r>
            <w:r/>
          </w:p>
        </w:tc>
        <w:tc>
          <w:tcPr>
            <w:gridSpan w:val="5"/>
            <w:tcBorders>
              <w:left w:val="single" w:color="auto" w:sz="4" w:space="0"/>
            </w:tcBorders>
            <w:tcW w:w="2309"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执业资格：</w:t>
            </w:r>
            <w:r/>
          </w:p>
        </w:tc>
      </w:tr>
      <w:tr>
        <w:trPr>
          <w:cantSplit/>
          <w:trHeight w:val="2228"/>
        </w:trPr>
        <w:tc>
          <w:tcPr>
            <w:tcW w:w="347" w:type="pct"/>
            <w:vAlign w:val="center"/>
            <w:textDirection w:val="lrTb"/>
            <w:noWrap/>
          </w:tcPr>
          <w:p>
            <w:pPr>
              <w:pStyle w:val="10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gridSpan w:val="8"/>
            <w:tcW w:w="4652" w:type="pct"/>
            <w:vAlign w:val="center"/>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从事工程经历 ：</w:t>
            </w:r>
            <w:r/>
          </w:p>
        </w:tc>
      </w:tr>
      <w:tr>
        <w:trPr>
          <w:cantSplit/>
          <w:trHeight w:val="1131"/>
        </w:trPr>
        <w:tc>
          <w:tcPr>
            <w:tcW w:w="347" w:type="pct"/>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6</w:t>
            </w:r>
            <w:r/>
          </w:p>
        </w:tc>
        <w:tc>
          <w:tcPr>
            <w:gridSpan w:val="8"/>
            <w:tcW w:w="4652" w:type="pct"/>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奖罚情况说明</w:t>
            </w:r>
            <w:r/>
          </w:p>
        </w:tc>
      </w:tr>
      <w:tr>
        <w:trPr>
          <w:trHeight w:val="1133"/>
        </w:trPr>
        <w:tc>
          <w:tcPr>
            <w:tcW w:w="347" w:type="pct"/>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7</w:t>
            </w:r>
            <w:r/>
          </w:p>
        </w:tc>
        <w:tc>
          <w:tcPr>
            <w:gridSpan w:val="8"/>
            <w:tcW w:w="4652" w:type="pct"/>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本公司承诺：</w:t>
            </w:r>
            <w:r/>
          </w:p>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该项目负责人在我单位已任职一年以上且在从业经历中没有因任何重大违法记录而被查处。</w:t>
            </w:r>
            <w:r/>
          </w:p>
        </w:tc>
      </w:tr>
      <w:tr>
        <w:trPr>
          <w:trHeight w:val="1225"/>
        </w:trPr>
        <w:tc>
          <w:tcPr>
            <w:tcW w:w="347" w:type="pct"/>
            <w:vAlign w:val="center"/>
            <w:textDirection w:val="lrTb"/>
            <w:noWrap/>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8"/>
            <w:tcW w:w="4652" w:type="pct"/>
            <w:textDirection w:val="lrTb"/>
            <w:noWrap/>
          </w:tcPr>
          <w:p>
            <w:pPr>
              <w:pStyle w:val="103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ind w:firstLine="422"/>
        <w:spacing w:line="360" w:lineRule="auto"/>
        <w:rPr>
          <w:rFonts w:ascii="宋体" w:hAnsi="宋体" w:cs="宋体"/>
          <w:szCs w:val="21"/>
        </w:rPr>
      </w:pPr>
      <w:r>
        <w:rPr>
          <w:rFonts w:hint="eastAsia" w:ascii="宋体" w:hAnsi="宋体" w:cs="宋体"/>
          <w:szCs w:val="21"/>
        </w:rPr>
        <w:t xml:space="preserve">响应单位：（签章）</w:t>
      </w:r>
      <w:r/>
    </w:p>
    <w:p>
      <w:pPr>
        <w:ind w:firstLine="422"/>
        <w:spacing w:line="360" w:lineRule="auto"/>
        <w:rPr>
          <w:rFonts w:ascii="宋体" w:hAnsi="宋体" w:cs="宋体"/>
          <w:szCs w:val="21"/>
        </w:rPr>
      </w:pPr>
      <w:r>
        <w:rPr>
          <w:rFonts w:hint="eastAsia" w:ascii="宋体" w:hAnsi="宋体" w:cs="宋体"/>
          <w:szCs w:val="21"/>
        </w:rPr>
        <w:t xml:space="preserve">日期：</w:t>
      </w:r>
      <w:r/>
    </w:p>
    <w:p>
      <w:pPr>
        <w:ind w:firstLine="422"/>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zCs w:val="21"/>
        </w:rPr>
      </w:r>
      <w:r/>
    </w:p>
    <w:p>
      <w:pPr>
        <w:jc w:val="center"/>
        <w:spacing w:line="360" w:lineRule="auto"/>
        <w:rPr>
          <w:rFonts w:ascii="宋体" w:hAnsi="宋体" w:cs="宋体"/>
          <w:b/>
          <w:bCs/>
          <w:szCs w:val="21"/>
        </w:rPr>
      </w:pPr>
      <w:r>
        <w:rPr>
          <w:rFonts w:hint="eastAsia" w:ascii="宋体" w:hAnsi="宋体" w:cs="宋体"/>
          <w:b/>
          <w:spacing w:val="20"/>
          <w:szCs w:val="21"/>
        </w:rPr>
        <w:t xml:space="preserve">4.拟投入项目现场的设备设施等配置</w:t>
      </w:r>
      <w:r/>
    </w:p>
    <w:p>
      <w:pPr>
        <w:spacing w:line="360" w:lineRule="auto"/>
        <w:rPr>
          <w:rFonts w:ascii="宋体" w:hAnsi="宋体" w:cs="宋体"/>
          <w:szCs w:val="21"/>
        </w:rPr>
      </w:pPr>
      <w:r>
        <w:rPr>
          <w:rFonts w:hint="eastAsia" w:ascii="宋体" w:hAnsi="宋体" w:cs="宋体"/>
          <w:szCs w:val="21"/>
        </w:rPr>
        <w:t xml:space="preserve">采购</w:t>
      </w:r>
      <w:r>
        <w:rPr>
          <w:rFonts w:hint="eastAsia" w:ascii="宋体" w:hAnsi="宋体" w:cs="宋体"/>
          <w:szCs w:val="21"/>
          <w:lang w:val="zh-CN"/>
        </w:rPr>
        <w:t xml:space="preserve">编号：             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
        <w:gridCol w:w="1537"/>
        <w:gridCol w:w="2019"/>
        <w:gridCol w:w="2019"/>
        <w:gridCol w:w="1185"/>
        <w:gridCol w:w="1185"/>
        <w:gridCol w:w="1185"/>
      </w:tblGrid>
      <w:tr>
        <w:trPr>
          <w:cantSplit/>
          <w:jc w:val="center"/>
          <w:trHeight w:val="450"/>
        </w:trPr>
        <w:tc>
          <w:tcPr>
            <w:tcW w:w="417"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序号</w:t>
            </w:r>
            <w:r/>
          </w:p>
        </w:tc>
        <w:tc>
          <w:tcPr>
            <w:tcW w:w="770"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名称</w:t>
            </w:r>
            <w:r/>
          </w:p>
        </w:tc>
        <w:tc>
          <w:tcPr>
            <w:tcW w:w="1012"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品牌规格</w:t>
            </w:r>
            <w:r/>
          </w:p>
        </w:tc>
        <w:tc>
          <w:tcPr>
            <w:tcW w:w="1012"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生产厂家</w:t>
            </w:r>
            <w:r/>
          </w:p>
        </w:tc>
        <w:tc>
          <w:tcPr>
            <w:tcW w:w="595"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单位</w:t>
            </w:r>
            <w:r/>
          </w:p>
        </w:tc>
        <w:tc>
          <w:tcPr>
            <w:tcW w:w="595"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数量</w:t>
            </w:r>
            <w:r/>
          </w:p>
        </w:tc>
        <w:tc>
          <w:tcPr>
            <w:tcW w:w="595"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备注</w:t>
            </w:r>
            <w:r/>
          </w:p>
        </w:tc>
      </w:tr>
      <w:tr>
        <w:trPr>
          <w:cantSplit/>
          <w:jc w:val="center"/>
          <w:trHeight w:val="427"/>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417"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770"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bl>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szCs w:val="21"/>
        </w:rPr>
      </w:pPr>
      <w:r>
        <w:rPr>
          <w:rFonts w:hint="eastAsia" w:ascii="宋体" w:hAnsi="宋体" w:cs="宋体"/>
          <w:szCs w:val="21"/>
        </w:rPr>
        <w:t xml:space="preserve">日期：</w:t>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ind w:firstLine="422"/>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b/>
          <w:szCs w:val="21"/>
        </w:rPr>
      </w:pPr>
      <w:r>
        <w:rPr>
          <w:rFonts w:hint="eastAsia" w:ascii="宋体" w:hAnsi="宋体" w:cs="宋体"/>
          <w:b/>
          <w:szCs w:val="21"/>
        </w:rPr>
        <w:t xml:space="preserve">响应单位污染土壤治理项目(水泥窑类）一览表</w:t>
      </w:r>
      <w:r/>
    </w:p>
    <w:p>
      <w:pPr>
        <w:spacing w:line="360" w:lineRule="auto"/>
        <w:rPr>
          <w:rFonts w:ascii="宋体" w:hAnsi="宋体" w:cs="宋体"/>
        </w:rPr>
      </w:pPr>
      <w:r>
        <w:rPr>
          <w:rFonts w:hint="eastAsia" w:ascii="宋体" w:hAnsi="宋体" w:cs="宋体"/>
          <w:szCs w:val="21"/>
        </w:rPr>
        <w:t xml:space="preserve">采购</w:t>
      </w:r>
      <w:r>
        <w:rPr>
          <w:rFonts w:hint="eastAsia" w:ascii="宋体" w:hAnsi="宋体" w:cs="宋体"/>
          <w:szCs w:val="21"/>
          <w:lang w:val="zh-CN"/>
        </w:rPr>
        <w:t xml:space="preserve">编号：             号</w:t>
      </w:r>
      <w:r/>
    </w:p>
    <w:tbl>
      <w:tblPr>
        <w:tblW w:w="5000"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644"/>
        <w:gridCol w:w="1572"/>
        <w:gridCol w:w="1624"/>
        <w:gridCol w:w="2301"/>
        <w:gridCol w:w="2050"/>
      </w:tblGrid>
      <w:tr>
        <w:trPr/>
        <w:tc>
          <w:tcPr>
            <w:tcW w:w="38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825"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789" w:type="pct"/>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项目时间</w:t>
            </w:r>
            <w:r/>
          </w:p>
        </w:tc>
        <w:tc>
          <w:tcPr>
            <w:tcW w:w="815" w:type="pct"/>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ascii="宋体" w:hAnsi="宋体" w:cs="宋体"/>
                <w:szCs w:val="21"/>
              </w:rPr>
            </w:pPr>
            <w:r>
              <w:rPr>
                <w:rFonts w:hint="eastAsia" w:ascii="宋体" w:hAnsi="宋体" w:cs="宋体"/>
                <w:szCs w:val="21"/>
              </w:rPr>
              <w:t xml:space="preserve">（人民币）</w:t>
            </w:r>
            <w:r/>
          </w:p>
        </w:tc>
        <w:tc>
          <w:tcPr>
            <w:tcW w:w="1155" w:type="pct"/>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业主单位</w:t>
            </w:r>
            <w:r/>
          </w:p>
        </w:tc>
        <w:tc>
          <w:tcPr>
            <w:tcW w:w="1029"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tc>
          <w:tcPr>
            <w:tcW w:w="38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8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89" w:type="pct"/>
            <w:textDirection w:val="lrTb"/>
            <w:noWrap/>
          </w:tcPr>
          <w:p>
            <w:pPr>
              <w:jc w:val="center"/>
              <w:spacing w:line="360" w:lineRule="auto"/>
              <w:rPr>
                <w:rFonts w:ascii="宋体" w:hAnsi="宋体" w:cs="宋体"/>
                <w:szCs w:val="21"/>
              </w:rPr>
            </w:pPr>
            <w:r>
              <w:rPr>
                <w:rFonts w:ascii="宋体" w:hAnsi="宋体" w:cs="宋体"/>
                <w:szCs w:val="21"/>
              </w:rPr>
            </w:r>
            <w:r/>
          </w:p>
        </w:tc>
        <w:tc>
          <w:tcPr>
            <w:tcW w:w="81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5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29"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119"/>
      </w:pPr>
      <w:r>
        <w:rPr>
          <w:rFonts w:hint="eastAsia"/>
        </w:rPr>
        <w:t xml:space="preserve">磋商响应单位（签章）：</w:t>
      </w:r>
      <w:r/>
    </w:p>
    <w:p>
      <w:pPr>
        <w:pStyle w:val="1119"/>
      </w:pPr>
      <w:r>
        <w:rPr>
          <w:rFonts w:hint="eastAsia"/>
        </w:rPr>
        <w:t xml:space="preserve">日期：</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响应单位污染土壤治理项目(非水泥窑类）一览表</w:t>
      </w:r>
      <w:r/>
    </w:p>
    <w:p>
      <w:pPr>
        <w:spacing w:line="360" w:lineRule="auto"/>
        <w:rPr>
          <w:rFonts w:ascii="宋体" w:hAnsi="宋体" w:cs="宋体"/>
        </w:rPr>
      </w:pPr>
      <w:r>
        <w:rPr>
          <w:rFonts w:hint="eastAsia" w:ascii="宋体" w:hAnsi="宋体" w:cs="宋体"/>
          <w:szCs w:val="21"/>
        </w:rPr>
        <w:t xml:space="preserve">采购</w:t>
      </w:r>
      <w:r>
        <w:rPr>
          <w:rFonts w:hint="eastAsia" w:ascii="宋体" w:hAnsi="宋体" w:cs="宋体"/>
          <w:szCs w:val="21"/>
          <w:lang w:val="zh-CN"/>
        </w:rPr>
        <w:t xml:space="preserve">编号：             号</w:t>
      </w:r>
      <w:r/>
    </w:p>
    <w:tbl>
      <w:tblPr>
        <w:tblW w:w="5000" w:type="pct"/>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1355"/>
        <w:gridCol w:w="1303"/>
        <w:gridCol w:w="1404"/>
        <w:gridCol w:w="1852"/>
        <w:gridCol w:w="1686"/>
        <w:gridCol w:w="1665"/>
      </w:tblGrid>
      <w:tr>
        <w:trPr/>
        <w:tc>
          <w:tcPr>
            <w:tcW w:w="35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68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656" w:type="pct"/>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项目时间</w:t>
            </w:r>
            <w:r/>
          </w:p>
        </w:tc>
        <w:tc>
          <w:tcPr>
            <w:tcW w:w="706" w:type="pct"/>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ascii="宋体" w:hAnsi="宋体" w:cs="宋体"/>
                <w:szCs w:val="21"/>
              </w:rPr>
            </w:pPr>
            <w:r>
              <w:rPr>
                <w:rFonts w:hint="eastAsia" w:ascii="宋体" w:hAnsi="宋体" w:cs="宋体"/>
                <w:szCs w:val="21"/>
              </w:rPr>
              <w:t xml:space="preserve">（人民币）</w:t>
            </w:r>
            <w:r/>
          </w:p>
        </w:tc>
        <w:tc>
          <w:tcPr>
            <w:tcW w:w="931" w:type="pct"/>
            <w:vAlign w:val="center"/>
            <w:textDirection w:val="lrTb"/>
            <w:noWrap/>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业主单位</w:t>
            </w:r>
            <w:r/>
          </w:p>
        </w:tc>
        <w:tc>
          <w:tcPr>
            <w:tcW w:w="836"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采用的处理技术</w:t>
            </w:r>
            <w:r/>
          </w:p>
        </w:tc>
        <w:tc>
          <w:tcPr>
            <w:tcW w:w="837"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tc>
          <w:tcPr>
            <w:tcW w:w="35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tc>
          <w:tcPr>
            <w:tcW w:w="35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82"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656" w:type="pct"/>
            <w:textDirection w:val="lrTb"/>
            <w:noWrap/>
          </w:tcPr>
          <w:p>
            <w:pPr>
              <w:jc w:val="center"/>
              <w:spacing w:line="360" w:lineRule="auto"/>
              <w:rPr>
                <w:rFonts w:ascii="宋体" w:hAnsi="宋体" w:cs="宋体"/>
                <w:szCs w:val="21"/>
              </w:rPr>
            </w:pPr>
            <w:r>
              <w:rPr>
                <w:rFonts w:ascii="宋体" w:hAnsi="宋体" w:cs="宋体"/>
                <w:szCs w:val="21"/>
              </w:rPr>
            </w:r>
            <w:r/>
          </w:p>
        </w:tc>
        <w:tc>
          <w:tcPr>
            <w:tcW w:w="70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31"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36" w:type="pct"/>
            <w:textDirection w:val="lrTb"/>
            <w:noWrap/>
          </w:tcPr>
          <w:p>
            <w:pPr>
              <w:jc w:val="center"/>
              <w:spacing w:line="360" w:lineRule="auto"/>
              <w:rPr>
                <w:rFonts w:ascii="宋体" w:hAnsi="宋体" w:cs="宋体"/>
                <w:szCs w:val="21"/>
              </w:rPr>
            </w:pPr>
            <w:r>
              <w:rPr>
                <w:rFonts w:ascii="宋体" w:hAnsi="宋体" w:cs="宋体"/>
                <w:szCs w:val="21"/>
              </w:rPr>
            </w:r>
            <w:r/>
          </w:p>
        </w:tc>
        <w:tc>
          <w:tcPr>
            <w:tcW w:w="837"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119"/>
      </w:pPr>
      <w:r>
        <w:rPr>
          <w:rFonts w:hint="eastAsia"/>
        </w:rPr>
        <w:t xml:space="preserve">磋商响应单位（签章）：</w:t>
      </w:r>
      <w:r/>
    </w:p>
    <w:p>
      <w:pPr>
        <w:pStyle w:val="1119"/>
      </w:pPr>
      <w:r>
        <w:rPr>
          <w:rFonts w:hint="eastAsia"/>
        </w:rPr>
        <w:t xml:space="preserve">日期：</w:t>
      </w:r>
      <w:r/>
    </w:p>
    <w:p>
      <w:pP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b/>
          <w:u w:val="single"/>
        </w:rPr>
        <w:t xml:space="preserve">其他未列明行业</w:t>
      </w:r>
      <w:r>
        <w:rPr>
          <w:rFonts w:hint="eastAsia" w:ascii="宋体" w:hAnsi="宋体" w:cs="宋体"/>
          <w:u w:val="single"/>
        </w:rPr>
        <w:t xml:space="preserve">）</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w:t>
      </w:r>
      <w:r>
        <w:rPr>
          <w:rFonts w:hint="eastAsia" w:ascii="宋体" w:hAnsi="宋体" w:cs="宋体"/>
        </w:rPr>
        <w:t xml:space="preserve">人，营业收入为</w:t>
      </w:r>
      <w:r>
        <w:rPr>
          <w:rFonts w:hint="eastAsia" w:ascii="宋体" w:hAnsi="宋体" w:cs="宋体"/>
          <w:u w:val="single"/>
        </w:rPr>
        <w:t xml:space="preserve">【】</w:t>
      </w:r>
      <w:r>
        <w:rPr>
          <w:rFonts w:hint="eastAsia" w:ascii="宋体" w:hAnsi="宋体" w:cs="宋体"/>
        </w:rPr>
        <w:t xml:space="preserve">万元，资产总额为</w:t>
      </w:r>
      <w:r>
        <w:rPr>
          <w:rFonts w:hint="eastAsia" w:ascii="宋体" w:hAnsi="宋体" w:cs="宋体"/>
          <w:u w:val="single"/>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w:t>
      </w:r>
      <w:r>
        <w:rPr>
          <w:rFonts w:hint="eastAsia" w:ascii="宋体" w:hAnsi="宋体" w:cs="宋体"/>
        </w:rPr>
        <w:t xml:space="preserve">人，营业收入为</w:t>
      </w:r>
      <w:r>
        <w:rPr>
          <w:rFonts w:hint="eastAsia" w:ascii="宋体" w:hAnsi="宋体" w:cs="宋体"/>
          <w:u w:val="single"/>
        </w:rPr>
        <w:t xml:space="preserve">【】</w:t>
      </w:r>
      <w:r>
        <w:rPr>
          <w:rFonts w:hint="eastAsia" w:ascii="宋体" w:hAnsi="宋体" w:cs="宋体"/>
        </w:rPr>
        <w:t xml:space="preserve">万元，资产总额为</w:t>
      </w:r>
      <w:r>
        <w:rPr>
          <w:rFonts w:hint="eastAsia" w:ascii="宋体" w:hAnsi="宋体" w:cs="宋体"/>
          <w:u w:val="single"/>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1056"/>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1056"/>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1056"/>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1056"/>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92"/>
        <w:ind w:left="840" w:hanging="210"/>
        <w:spacing w:line="360" w:lineRule="auto"/>
        <w:rPr>
          <w:rFonts w:hAnsi="宋体" w:eastAsia="宋体" w:cs="宋体"/>
          <w:sz w:val="21"/>
          <w:szCs w:val="24"/>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w:t>
      </w:r>
      <w:r>
        <w:rPr>
          <w:rFonts w:hint="eastAsia" w:ascii="宋体" w:hAnsi="宋体" w:cs="宋体"/>
        </w:rPr>
        <w:t xml:space="preserve">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92"/>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备注：1、符</w:t>
      </w:r>
      <w:r>
        <w:rPr>
          <w:rFonts w:hint="eastAsia" w:ascii="宋体" w:hAnsi="宋体" w:cs="宋体"/>
          <w:szCs w:val="21"/>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Ansi="宋体" w:eastAsia="宋体" w:cs="宋体"/>
          <w:b/>
          <w:sz w:val="21"/>
          <w:szCs w:val="21"/>
        </w:rPr>
      </w:pPr>
      <w:r>
        <w:rPr>
          <w:rFonts w:hint="eastAsia" w:hAnsi="宋体" w:eastAsia="宋体" w:cs="宋体"/>
          <w:b/>
          <w:sz w:val="21"/>
          <w:szCs w:val="21"/>
        </w:rPr>
        <w:t xml:space="preserve">附件14：开票信息</w:t>
      </w:r>
      <w:r/>
    </w:p>
    <w:p>
      <w:pPr>
        <w:jc w:val="center"/>
        <w:spacing w:line="360" w:lineRule="auto"/>
        <w:rPr>
          <w:rFonts w:ascii="宋体" w:hAnsi="宋体" w:cs="宋体"/>
          <w:b/>
          <w:szCs w:val="21"/>
          <w:shd w:val="clear" w:color="auto" w:fill="ffffff"/>
        </w:rPr>
      </w:pPr>
      <w:r>
        <w:rPr>
          <w:rFonts w:hint="eastAsia" w:ascii="宋体" w:hAnsi="宋体" w:cs="宋体"/>
          <w:b/>
          <w:szCs w:val="21"/>
        </w:rPr>
        <w:t xml:space="preserve">开票信息</w:t>
      </w:r>
      <w:r/>
    </w:p>
    <w:tbl>
      <w:tblPr>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7"/>
        <w:gridCol w:w="5529"/>
      </w:tblGrid>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供应商名称</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税号</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开户行</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银行账号</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1、供应商成交后应依照采购文件的规定缴纳采购代理服务费，代理机构依法开具相应发票。</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如供应商为增值税一般纳税人的，须按上表要求提供开票信息，并制作在响应文件中。成交后，代理机构将按所提供的开票信息就代理服务费开具增值税专用发票，否则，将直接开具增值税普通发票。</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成交供应商凭已缴纳代理服务费的银行回单至代理机构领取成交通知书、合同。</w:t>
      </w:r>
      <w:r/>
    </w:p>
    <w:p>
      <w:pPr>
        <w:pStyle w:val="1046"/>
        <w:spacing w:line="360" w:lineRule="auto"/>
        <w:rPr>
          <w:rFonts w:hAnsi="宋体" w:eastAsia="宋体" w:cs="宋体"/>
          <w:b/>
          <w:sz w:val="21"/>
          <w:szCs w:val="21"/>
        </w:rPr>
      </w:pPr>
      <w:r>
        <w:rPr>
          <w:rFonts w:hAnsi="宋体" w:eastAsia="宋体" w:cs="宋体"/>
          <w:b/>
          <w:sz w:val="21"/>
          <w:szCs w:val="21"/>
        </w:rPr>
      </w:r>
      <w:r/>
    </w:p>
    <w:p>
      <w:pPr>
        <w:pStyle w:val="1046"/>
        <w:spacing w:line="360" w:lineRule="auto"/>
        <w:rPr>
          <w:rFonts w:hint="eastAsia" w:hAnsi="宋体" w:eastAsia="宋体" w:cs="宋体"/>
          <w:b/>
          <w:sz w:val="21"/>
          <w:szCs w:val="21"/>
        </w:rPr>
      </w:pPr>
      <w:r>
        <w:rPr>
          <w:rFonts w:hint="eastAsia" w:hAnsi="宋体" w:eastAsia="宋体" w:cs="宋体"/>
          <w:b/>
          <w:sz w:val="21"/>
          <w:szCs w:val="21"/>
        </w:rPr>
      </w:r>
      <w:r/>
    </w:p>
    <w:p>
      <w:pPr>
        <w:pStyle w:val="1046"/>
        <w:spacing w:line="360" w:lineRule="auto"/>
        <w:rPr>
          <w:rFonts w:hAnsi="宋体" w:eastAsia="宋体" w:cs="宋体"/>
          <w:b/>
          <w:sz w:val="21"/>
          <w:szCs w:val="21"/>
        </w:rPr>
      </w:pPr>
      <w:r>
        <w:rPr>
          <w:rFonts w:hint="eastAsia" w:hAnsi="宋体" w:eastAsia="宋体" w:cs="宋体"/>
          <w:b/>
          <w:sz w:val="21"/>
          <w:szCs w:val="21"/>
        </w:rPr>
        <w:t xml:space="preserve">附件15：政府采购合同信用融资政策告知函（本附件为通知，不需要做进投标响应文件）</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1038"/>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1046"/>
        <w:spacing w:line="360" w:lineRule="auto"/>
        <w:rPr>
          <w:rFonts w:hint="eastAsia" w:hAnsi="宋体" w:eastAsia="宋体" w:cs="宋体"/>
          <w:b/>
          <w:sz w:val="21"/>
          <w:szCs w:val="21"/>
        </w:rPr>
      </w:pPr>
      <w:r>
        <w:rPr>
          <w:rFonts w:hint="eastAsia" w:hAnsi="宋体" w:eastAsia="宋体" w:cs="宋体"/>
          <w:b/>
          <w:sz w:val="21"/>
          <w:szCs w:val="21"/>
        </w:rPr>
      </w:r>
      <w:r/>
    </w:p>
    <w:p>
      <w:pPr>
        <w:pStyle w:val="1046"/>
        <w:spacing w:line="360" w:lineRule="auto"/>
        <w:rPr>
          <w:rFonts w:hint="eastAsia" w:hAnsi="宋体" w:eastAsia="宋体" w:cs="宋体"/>
          <w:b/>
          <w:sz w:val="21"/>
          <w:szCs w:val="21"/>
        </w:rPr>
      </w:pPr>
      <w:r>
        <w:rPr>
          <w:rFonts w:hint="eastAsia" w:hAnsi="宋体" w:eastAsia="宋体" w:cs="宋体"/>
          <w:b/>
          <w:sz w:val="21"/>
          <w:szCs w:val="21"/>
        </w:rPr>
      </w:r>
      <w:r/>
    </w:p>
    <w:p>
      <w:pPr>
        <w:pStyle w:val="1046"/>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36</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502790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1"/>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36</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rPr>
        <w:rStyle w:val="1063"/>
      </w:rPr>
      <w:framePr w:wrap="around" w:vAnchor="text" w:hAnchor="margin" w:xAlign="center" w:y="1"/>
    </w:pPr>
    <w:r>
      <w:fldChar w:fldCharType="begin"/>
    </w:r>
    <w:r>
      <w:rPr>
        <w:rStyle w:val="1063"/>
      </w:rPr>
      <w:instrText xml:space="preserve">PAGE  </w:instrText>
    </w:r>
    <w:r>
      <w:fldChar w:fldCharType="end"/>
    </w:r>
    <w:r/>
  </w:p>
  <w:p>
    <w:pPr>
      <w:pStyle w:val="10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fldSimple w:instr="PAGE \* MERGEFORMAT">
                            <w:r>
                              <w:t xml:space="preserve">1</w:t>
                            </w:r>
                          </w:fldSimple>
                          <w:r/>
                          <w:r/>
                        </w:p>
                      </w:txbxContent>
                    </wps:txbx>
                    <wps:bodyPr wrap="none" lIns="0" tIns="0" rIns="0" bIns="0" upright="1">
                      <a:spAutoFit/>
                    </wps:bodyPr>
                  </wps:wsp>
                </a:graphicData>
              </a:graphic>
            </wp:anchor>
          </w:drawing>
        </mc:Choice>
        <mc:Fallback>
          <w:pict>
            <v:shape id="shape 5" o:spid="_x0000_s5" o:spt="202" type="#_x0000_t202" style="position:absolute;z-index:502791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fldSimple w:instr="PAGE \* MERGEFORMAT">
                      <w:r>
                        <w:t xml:space="preserve">1</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fldSimple w:instr="PAGE \* MERGEFORMAT">
                            <w:r>
                              <w:t xml:space="preserve">1</w:t>
                            </w:r>
                          </w:fldSimple>
                          <w:r/>
                          <w:r/>
                        </w:p>
                      </w:txbxContent>
                    </wps:txbx>
                    <wps:bodyPr wrap="none" lIns="0" tIns="0" rIns="0" bIns="0" upright="1">
                      <a:spAutoFit/>
                    </wps:bodyPr>
                  </wps:wsp>
                </a:graphicData>
              </a:graphic>
            </wp:anchor>
          </w:drawing>
        </mc:Choice>
        <mc:Fallback>
          <w:pict>
            <v:shape id="shape 6" o:spid="_x0000_s6"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cs="宋体"/>
        <w:szCs w:val="21"/>
      </w:rPr>
      <w:t xml:space="preserve">JSZC-320591-CJZB-C2025-0173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tabs>
        <w:tab w:val="right" w:pos="8820" w:leader="none"/>
      </w:tabs>
    </w:pPr>
    <w:r>
      <mc:AlternateContent>
        <mc:Choice Requires="wpg">
          <w:drawing>
            <wp:inline xmlns:wp="http://schemas.openxmlformats.org/drawingml/2006/wordprocessingDrawing" distT="0" distB="0" distL="0" distR="0">
              <wp:extent cx="321945" cy="241300"/>
              <wp:effectExtent l="0" t="0" r="8255" b="0"/>
              <wp:docPr id="3" name="图片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cs="宋体"/>
        <w:szCs w:val="21"/>
      </w:rPr>
      <w:t xml:space="preserve">JSZC-320591-CJZB-C2025-0173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tabs>
        <w:tab w:val="right" w:pos="8820" w:leader="none"/>
      </w:tabs>
    </w:pPr>
    <w:r>
      <mc:AlternateContent>
        <mc:Choice Requires="wpg">
          <w:drawing>
            <wp:inline xmlns:wp="http://schemas.openxmlformats.org/drawingml/2006/wordprocessingDrawing" distT="0" distB="0" distL="0" distR="0">
              <wp:extent cx="321945" cy="241300"/>
              <wp:effectExtent l="0" t="0" r="8255" b="0"/>
              <wp:docPr id="4" name="图片 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cs="宋体"/>
        <w:szCs w:val="21"/>
      </w:rPr>
      <w:t xml:space="preserve">JSZC-320591-CJZB-C2025-0173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9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pStyle w:val="1059"/>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basedOn w:val="1033"/>
    <w:link w:val="1028"/>
    <w:uiPriority w:val="9"/>
    <w:rPr>
      <w:rFonts w:ascii="Arial" w:hAnsi="Arial" w:eastAsia="Arial" w:cs="Arial"/>
      <w:sz w:val="40"/>
      <w:szCs w:val="40"/>
    </w:rPr>
  </w:style>
  <w:style w:type="character" w:styleId="866">
    <w:name w:val="Heading 2 Char"/>
    <w:basedOn w:val="1033"/>
    <w:link w:val="1029"/>
    <w:uiPriority w:val="9"/>
    <w:rPr>
      <w:rFonts w:ascii="Arial" w:hAnsi="Arial" w:eastAsia="Arial" w:cs="Arial"/>
      <w:sz w:val="34"/>
    </w:rPr>
  </w:style>
  <w:style w:type="character" w:styleId="867">
    <w:name w:val="Heading 3 Char"/>
    <w:basedOn w:val="1033"/>
    <w:link w:val="1030"/>
    <w:uiPriority w:val="9"/>
    <w:rPr>
      <w:rFonts w:ascii="Arial" w:hAnsi="Arial" w:eastAsia="Arial" w:cs="Arial"/>
      <w:sz w:val="30"/>
      <w:szCs w:val="30"/>
    </w:rPr>
  </w:style>
  <w:style w:type="character" w:styleId="868">
    <w:name w:val="Heading 4 Char"/>
    <w:basedOn w:val="1033"/>
    <w:link w:val="1031"/>
    <w:uiPriority w:val="9"/>
    <w:rPr>
      <w:rFonts w:ascii="Arial" w:hAnsi="Arial" w:eastAsia="Arial" w:cs="Arial"/>
      <w:b/>
      <w:bCs/>
      <w:sz w:val="26"/>
      <w:szCs w:val="26"/>
    </w:rPr>
  </w:style>
  <w:style w:type="character" w:styleId="869">
    <w:name w:val="Heading 5 Char"/>
    <w:basedOn w:val="1033"/>
    <w:link w:val="1032"/>
    <w:uiPriority w:val="9"/>
    <w:rPr>
      <w:rFonts w:ascii="Arial" w:hAnsi="Arial" w:eastAsia="Arial" w:cs="Arial"/>
      <w:b/>
      <w:bCs/>
      <w:sz w:val="24"/>
      <w:szCs w:val="24"/>
    </w:rPr>
  </w:style>
  <w:style w:type="paragraph" w:styleId="870">
    <w:name w:val="Heading 6"/>
    <w:basedOn w:val="1027"/>
    <w:next w:val="1027"/>
    <w:link w:val="871"/>
    <w:uiPriority w:val="9"/>
    <w:unhideWhenUsed/>
    <w:qFormat/>
    <w:pPr>
      <w:keepLines/>
      <w:keepNext/>
      <w:spacing w:before="320" w:after="200"/>
      <w:outlineLvl w:val="5"/>
    </w:pPr>
    <w:rPr>
      <w:rFonts w:ascii="Arial" w:hAnsi="Arial" w:eastAsia="Arial" w:cs="Arial"/>
      <w:b/>
      <w:bCs/>
      <w:sz w:val="22"/>
      <w:szCs w:val="22"/>
    </w:rPr>
  </w:style>
  <w:style w:type="character" w:styleId="871">
    <w:name w:val="Heading 6 Char"/>
    <w:basedOn w:val="1033"/>
    <w:link w:val="870"/>
    <w:uiPriority w:val="9"/>
    <w:rPr>
      <w:rFonts w:ascii="Arial" w:hAnsi="Arial" w:eastAsia="Arial" w:cs="Arial"/>
      <w:b/>
      <w:bCs/>
      <w:sz w:val="22"/>
      <w:szCs w:val="22"/>
    </w:rPr>
  </w:style>
  <w:style w:type="paragraph" w:styleId="872">
    <w:name w:val="Heading 7"/>
    <w:basedOn w:val="1027"/>
    <w:next w:val="1027"/>
    <w:link w:val="873"/>
    <w:uiPriority w:val="9"/>
    <w:unhideWhenUsed/>
    <w:qFormat/>
    <w:pPr>
      <w:keepLines/>
      <w:keepNext/>
      <w:spacing w:before="320" w:after="200"/>
      <w:outlineLvl w:val="6"/>
    </w:pPr>
    <w:rPr>
      <w:rFonts w:ascii="Arial" w:hAnsi="Arial" w:eastAsia="Arial" w:cs="Arial"/>
      <w:b/>
      <w:bCs/>
      <w:i/>
      <w:iCs/>
      <w:sz w:val="22"/>
      <w:szCs w:val="22"/>
    </w:rPr>
  </w:style>
  <w:style w:type="character" w:styleId="873">
    <w:name w:val="Heading 7 Char"/>
    <w:basedOn w:val="1033"/>
    <w:link w:val="872"/>
    <w:uiPriority w:val="9"/>
    <w:rPr>
      <w:rFonts w:ascii="Arial" w:hAnsi="Arial" w:eastAsia="Arial" w:cs="Arial"/>
      <w:b/>
      <w:bCs/>
      <w:i/>
      <w:iCs/>
      <w:sz w:val="22"/>
      <w:szCs w:val="22"/>
    </w:rPr>
  </w:style>
  <w:style w:type="paragraph" w:styleId="874">
    <w:name w:val="Heading 8"/>
    <w:basedOn w:val="1027"/>
    <w:next w:val="1027"/>
    <w:link w:val="875"/>
    <w:uiPriority w:val="9"/>
    <w:unhideWhenUsed/>
    <w:qFormat/>
    <w:pPr>
      <w:keepLines/>
      <w:keepNext/>
      <w:spacing w:before="320" w:after="200"/>
      <w:outlineLvl w:val="7"/>
    </w:pPr>
    <w:rPr>
      <w:rFonts w:ascii="Arial" w:hAnsi="Arial" w:eastAsia="Arial" w:cs="Arial"/>
      <w:i/>
      <w:iCs/>
      <w:sz w:val="22"/>
      <w:szCs w:val="22"/>
    </w:rPr>
  </w:style>
  <w:style w:type="character" w:styleId="875">
    <w:name w:val="Heading 8 Char"/>
    <w:basedOn w:val="1033"/>
    <w:link w:val="874"/>
    <w:uiPriority w:val="9"/>
    <w:rPr>
      <w:rFonts w:ascii="Arial" w:hAnsi="Arial" w:eastAsia="Arial" w:cs="Arial"/>
      <w:i/>
      <w:iCs/>
      <w:sz w:val="22"/>
      <w:szCs w:val="22"/>
    </w:rPr>
  </w:style>
  <w:style w:type="paragraph" w:styleId="876">
    <w:name w:val="Heading 9"/>
    <w:basedOn w:val="1027"/>
    <w:next w:val="1027"/>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basedOn w:val="1033"/>
    <w:link w:val="876"/>
    <w:uiPriority w:val="9"/>
    <w:rPr>
      <w:rFonts w:ascii="Arial" w:hAnsi="Arial" w:eastAsia="Arial" w:cs="Arial"/>
      <w:i/>
      <w:iCs/>
      <w:sz w:val="21"/>
      <w:szCs w:val="21"/>
    </w:rPr>
  </w:style>
  <w:style w:type="character" w:styleId="878">
    <w:name w:val="Title Char"/>
    <w:basedOn w:val="1033"/>
    <w:link w:val="1059"/>
    <w:uiPriority w:val="10"/>
    <w:rPr>
      <w:sz w:val="48"/>
      <w:szCs w:val="48"/>
    </w:rPr>
  </w:style>
  <w:style w:type="character" w:styleId="879">
    <w:name w:val="Subtitle Char"/>
    <w:basedOn w:val="1033"/>
    <w:link w:val="1055"/>
    <w:uiPriority w:val="11"/>
    <w:rPr>
      <w:sz w:val="24"/>
      <w:szCs w:val="24"/>
    </w:rPr>
  </w:style>
  <w:style w:type="paragraph" w:styleId="880">
    <w:name w:val="Quote"/>
    <w:basedOn w:val="1027"/>
    <w:next w:val="1027"/>
    <w:link w:val="881"/>
    <w:uiPriority w:val="29"/>
    <w:qFormat/>
    <w:pPr>
      <w:ind w:left="720" w:right="720"/>
    </w:pPr>
    <w:rPr>
      <w:i/>
    </w:rPr>
  </w:style>
  <w:style w:type="character" w:styleId="881">
    <w:name w:val="Quote Char"/>
    <w:link w:val="880"/>
    <w:uiPriority w:val="29"/>
    <w:rPr>
      <w:i/>
    </w:rPr>
  </w:style>
  <w:style w:type="paragraph" w:styleId="882">
    <w:name w:val="Intense Quote"/>
    <w:basedOn w:val="1027"/>
    <w:next w:val="1027"/>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name w:val="Intense Quote Char"/>
    <w:link w:val="882"/>
    <w:uiPriority w:val="30"/>
    <w:rPr>
      <w:i/>
    </w:rPr>
  </w:style>
  <w:style w:type="character" w:styleId="884">
    <w:name w:val="Header Char"/>
    <w:basedOn w:val="1033"/>
    <w:link w:val="1053"/>
    <w:uiPriority w:val="99"/>
  </w:style>
  <w:style w:type="character" w:styleId="885">
    <w:name w:val="Footer Char"/>
    <w:basedOn w:val="1033"/>
    <w:link w:val="1051"/>
    <w:uiPriority w:val="99"/>
  </w:style>
  <w:style w:type="character" w:styleId="886">
    <w:name w:val="Caption Char"/>
    <w:basedOn w:val="1039"/>
    <w:link w:val="1051"/>
    <w:uiPriority w:val="99"/>
  </w:style>
  <w:style w:type="table" w:styleId="887">
    <w:name w:val="Table Grid Light"/>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10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10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basedOn w:val="10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basedOn w:val="10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basedOn w:val="10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basedOn w:val="10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basedOn w:val="10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basedOn w:val="10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basedOn w:val="10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3">
    <w:name w:val="Grid Table 5 Dark - Accent 2"/>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4">
    <w:name w:val="Grid Table 5 Dark - Accent 3"/>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5">
    <w:name w:val="Grid Table 5 Dark- Accent 4"/>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6">
    <w:name w:val="Grid Table 5 Dark - Accent 5"/>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7">
    <w:name w:val="Grid Table 5 Dark - Accent 6"/>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8">
    <w:name w:val="Grid Table 6 Colorful"/>
    <w:basedOn w:val="10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basedOn w:val="10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basedOn w:val="10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basedOn w:val="10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6 Colorful - Accent 6"/>
    <w:basedOn w:val="10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7 Colorful"/>
    <w:basedOn w:val="10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basedOn w:val="10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basedOn w:val="10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basedOn w:val="10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basedOn w:val="10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basedOn w:val="10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basedOn w:val="10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basedOn w:val="10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basedOn w:val="10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basedOn w:val="10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basedOn w:val="10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basedOn w:val="10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basedOn w:val="10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basedOn w:val="10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basedOn w:val="10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basedOn w:val="10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basedOn w:val="10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basedOn w:val="10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basedOn w:val="10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basedOn w:val="10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basedOn w:val="10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basedOn w:val="10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3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9">
    <w:name w:val="List Table 3 - Accent 3"/>
    <w:basedOn w:val="10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0">
    <w:name w:val="List Table 3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1">
    <w:name w:val="List Table 3 - Accent 5"/>
    <w:basedOn w:val="10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2">
    <w:name w:val="List Table 3 - Accent 6"/>
    <w:basedOn w:val="10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3">
    <w:name w:val="List Table 4"/>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basedOn w:val="10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4 - Accent 2"/>
    <w:basedOn w:val="10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6">
    <w:name w:val="List Table 4 - Accent 3"/>
    <w:basedOn w:val="10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7">
    <w:name w:val="List Table 4 - Accent 4"/>
    <w:basedOn w:val="10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8">
    <w:name w:val="List Table 4 - Accent 5"/>
    <w:basedOn w:val="10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9">
    <w:name w:val="List Table 4 - Accent 6"/>
    <w:basedOn w:val="10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0">
    <w:name w:val="List Table 5 Dark"/>
    <w:basedOn w:val="10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basedOn w:val="10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basedOn w:val="10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basedOn w:val="10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basedOn w:val="10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basedOn w:val="10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basedOn w:val="10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basedOn w:val="10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basedOn w:val="10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9">
    <w:name w:val="List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0">
    <w:name w:val="List Table 6 Colorful - Accent 3"/>
    <w:basedOn w:val="10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1">
    <w:name w:val="List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2">
    <w:name w:val="List Table 6 Colorful - Accent 5"/>
    <w:basedOn w:val="10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3">
    <w:name w:val="List Table 6 Colorful - Accent 6"/>
    <w:basedOn w:val="10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4">
    <w:name w:val="List Table 7 Colorful"/>
    <w:basedOn w:val="10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basedOn w:val="10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6">
    <w:name w:val="List Table 7 Colorful - Accent 2"/>
    <w:basedOn w:val="10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7">
    <w:name w:val="List Table 7 Colorful - Accent 3"/>
    <w:basedOn w:val="10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8">
    <w:name w:val="List Table 7 Colorful - Accent 4"/>
    <w:basedOn w:val="10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9">
    <w:name w:val="List Table 7 Colorful - Accent 5"/>
    <w:basedOn w:val="10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0">
    <w:name w:val="List Table 7 Colorful - Accent 6"/>
    <w:basedOn w:val="10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1">
    <w:name w:val="Lined - Accent"/>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Lined - Accent 2"/>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Lined - Accent 3"/>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Lined - Accent 4"/>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Lined - Accent 5"/>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Lined - Accent 6"/>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amp; Lined - Accent"/>
    <w:basedOn w:val="10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basedOn w:val="10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Bordered &amp; Lined - Accent 2"/>
    <w:basedOn w:val="10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Bordered &amp; Lined - Accent 3"/>
    <w:basedOn w:val="10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Bordered &amp; Lined - Accent 4"/>
    <w:basedOn w:val="10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Bordered &amp; Lined - Accent 5"/>
    <w:basedOn w:val="10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Bordered &amp; Lined - Accent 6"/>
    <w:basedOn w:val="10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w:basedOn w:val="10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Footnote Text Char"/>
    <w:link w:val="1056"/>
    <w:uiPriority w:val="99"/>
    <w:rPr>
      <w:sz w:val="18"/>
    </w:rPr>
  </w:style>
  <w:style w:type="character" w:styleId="1013">
    <w:name w:val="footnote reference"/>
    <w:basedOn w:val="1033"/>
    <w:uiPriority w:val="99"/>
    <w:unhideWhenUsed/>
    <w:rPr>
      <w:vertAlign w:val="superscript"/>
    </w:rPr>
  </w:style>
  <w:style w:type="paragraph" w:styleId="1014">
    <w:name w:val="endnote text"/>
    <w:basedOn w:val="1027"/>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basedOn w:val="1033"/>
    <w:uiPriority w:val="99"/>
    <w:semiHidden/>
    <w:unhideWhenUsed/>
    <w:rPr>
      <w:vertAlign w:val="superscript"/>
    </w:rPr>
  </w:style>
  <w:style w:type="paragraph" w:styleId="1017">
    <w:name w:val="toc 2"/>
    <w:basedOn w:val="1027"/>
    <w:next w:val="1027"/>
    <w:uiPriority w:val="39"/>
    <w:unhideWhenUsed/>
    <w:pPr>
      <w:ind w:left="283" w:right="0" w:firstLine="0"/>
      <w:spacing w:after="57"/>
    </w:pPr>
  </w:style>
  <w:style w:type="paragraph" w:styleId="1018">
    <w:name w:val="toc 3"/>
    <w:basedOn w:val="1027"/>
    <w:next w:val="1027"/>
    <w:uiPriority w:val="39"/>
    <w:unhideWhenUsed/>
    <w:pPr>
      <w:ind w:left="567" w:right="0" w:firstLine="0"/>
      <w:spacing w:after="57"/>
    </w:pPr>
  </w:style>
  <w:style w:type="paragraph" w:styleId="1019">
    <w:name w:val="toc 4"/>
    <w:basedOn w:val="1027"/>
    <w:next w:val="1027"/>
    <w:uiPriority w:val="39"/>
    <w:unhideWhenUsed/>
    <w:pPr>
      <w:ind w:left="850" w:right="0" w:firstLine="0"/>
      <w:spacing w:after="57"/>
    </w:pPr>
  </w:style>
  <w:style w:type="paragraph" w:styleId="1020">
    <w:name w:val="toc 5"/>
    <w:basedOn w:val="1027"/>
    <w:next w:val="1027"/>
    <w:uiPriority w:val="39"/>
    <w:unhideWhenUsed/>
    <w:pPr>
      <w:ind w:left="1134" w:right="0" w:firstLine="0"/>
      <w:spacing w:after="57"/>
    </w:pPr>
  </w:style>
  <w:style w:type="paragraph" w:styleId="1021">
    <w:name w:val="toc 6"/>
    <w:basedOn w:val="1027"/>
    <w:next w:val="1027"/>
    <w:uiPriority w:val="39"/>
    <w:unhideWhenUsed/>
    <w:pPr>
      <w:ind w:left="1417" w:right="0" w:firstLine="0"/>
      <w:spacing w:after="57"/>
    </w:pPr>
  </w:style>
  <w:style w:type="paragraph" w:styleId="1022">
    <w:name w:val="toc 7"/>
    <w:basedOn w:val="1027"/>
    <w:next w:val="1027"/>
    <w:uiPriority w:val="39"/>
    <w:unhideWhenUsed/>
    <w:pPr>
      <w:ind w:left="1701" w:right="0" w:firstLine="0"/>
      <w:spacing w:after="57"/>
    </w:pPr>
  </w:style>
  <w:style w:type="paragraph" w:styleId="1023">
    <w:name w:val="toc 8"/>
    <w:basedOn w:val="1027"/>
    <w:next w:val="1027"/>
    <w:uiPriority w:val="39"/>
    <w:unhideWhenUsed/>
    <w:pPr>
      <w:ind w:left="1984" w:right="0" w:firstLine="0"/>
      <w:spacing w:after="57"/>
    </w:pPr>
  </w:style>
  <w:style w:type="paragraph" w:styleId="1024">
    <w:name w:val="toc 9"/>
    <w:basedOn w:val="1027"/>
    <w:next w:val="1027"/>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next w:val="1036"/>
    <w:qFormat/>
    <w:pPr>
      <w:jc w:val="both"/>
      <w:widowControl w:val="off"/>
    </w:pPr>
    <w:rPr>
      <w:sz w:val="21"/>
      <w:szCs w:val="24"/>
    </w:rPr>
  </w:style>
  <w:style w:type="paragraph" w:styleId="1028">
    <w:name w:val="Heading 1"/>
    <w:basedOn w:val="1027"/>
    <w:next w:val="1027"/>
    <w:link w:val="1070"/>
    <w:qFormat/>
    <w:pPr>
      <w:keepLines/>
      <w:keepNext/>
      <w:spacing w:before="340" w:after="330" w:line="578" w:lineRule="auto"/>
      <w:outlineLvl w:val="0"/>
    </w:pPr>
    <w:rPr>
      <w:b/>
      <w:bCs/>
      <w:sz w:val="44"/>
      <w:szCs w:val="44"/>
    </w:rPr>
  </w:style>
  <w:style w:type="paragraph" w:styleId="1029">
    <w:name w:val="Heading 2"/>
    <w:basedOn w:val="1027"/>
    <w:next w:val="1027"/>
    <w:link w:val="1138"/>
    <w:qFormat/>
    <w:pPr>
      <w:keepLines/>
      <w:keepNext/>
      <w:spacing w:before="260" w:after="260" w:line="416" w:lineRule="auto"/>
      <w:outlineLvl w:val="1"/>
    </w:pPr>
    <w:rPr>
      <w:rFonts w:ascii="Cambria" w:hAnsi="Cambria"/>
      <w:b/>
      <w:bCs/>
      <w:sz w:val="32"/>
      <w:szCs w:val="32"/>
    </w:rPr>
  </w:style>
  <w:style w:type="paragraph" w:styleId="1030">
    <w:name w:val="Heading 3"/>
    <w:basedOn w:val="1027"/>
    <w:next w:val="1027"/>
    <w:link w:val="1072"/>
    <w:qFormat/>
    <w:pPr>
      <w:keepLines/>
      <w:keepNext/>
      <w:spacing w:before="260" w:after="260" w:line="416" w:lineRule="auto"/>
      <w:outlineLvl w:val="2"/>
    </w:pPr>
    <w:rPr>
      <w:b/>
      <w:bCs/>
      <w:sz w:val="32"/>
      <w:szCs w:val="32"/>
    </w:rPr>
  </w:style>
  <w:style w:type="paragraph" w:styleId="1031">
    <w:name w:val="Heading 4"/>
    <w:basedOn w:val="1027"/>
    <w:next w:val="1027"/>
    <w:link w:val="1081"/>
    <w:qFormat/>
    <w:pPr>
      <w:keepNext/>
      <w:spacing w:before="240" w:after="60"/>
      <w:outlineLvl w:val="3"/>
    </w:pPr>
    <w:rPr>
      <w:b/>
      <w:bCs/>
      <w:sz w:val="28"/>
      <w:szCs w:val="28"/>
    </w:rPr>
  </w:style>
  <w:style w:type="paragraph" w:styleId="1032">
    <w:name w:val="Heading 5"/>
    <w:basedOn w:val="1027"/>
    <w:next w:val="1027"/>
    <w:link w:val="1076"/>
    <w:qFormat/>
    <w:pPr>
      <w:spacing w:before="240" w:after="60"/>
      <w:outlineLvl w:val="4"/>
    </w:pPr>
    <w:rPr>
      <w:b/>
      <w:bCs/>
      <w:i/>
      <w:iCs/>
      <w:sz w:val="26"/>
      <w:szCs w:val="26"/>
    </w:rPr>
  </w:style>
  <w:style w:type="character" w:styleId="1033" w:default="1">
    <w:name w:val="Default Paragraph Font"/>
    <w:uiPriority w:val="1"/>
    <w:semiHidden/>
    <w:unhideWhenUsed/>
  </w:style>
  <w:style w:type="table" w:styleId="1034" w:default="1">
    <w:name w:val="Normal Table"/>
    <w:uiPriority w:val="99"/>
    <w:semiHidden/>
    <w:unhideWhenUsed/>
    <w:qFormat/>
    <w:tblPr>
      <w:tblInd w:w="0" w:type="dxa"/>
      <w:tblCellMar>
        <w:left w:w="108" w:type="dxa"/>
        <w:top w:w="0" w:type="dxa"/>
        <w:right w:w="108" w:type="dxa"/>
        <w:bottom w:w="0" w:type="dxa"/>
      </w:tblCellMar>
    </w:tblPr>
  </w:style>
  <w:style w:type="numbering" w:styleId="1035" w:default="1">
    <w:name w:val="No List"/>
    <w:uiPriority w:val="99"/>
    <w:semiHidden/>
    <w:unhideWhenUsed/>
  </w:style>
  <w:style w:type="paragraph" w:styleId="1036" w:customStyle="1">
    <w:name w:val="正文文本11"/>
    <w:basedOn w:val="1027"/>
    <w:next w:val="1037"/>
    <w:qFormat/>
    <w:pPr>
      <w:spacing w:after="120"/>
    </w:pPr>
  </w:style>
  <w:style w:type="paragraph" w:styleId="1037" w:customStyle="1">
    <w:name w:val="正文缩进1"/>
    <w:basedOn w:val="1027"/>
    <w:next w:val="1027"/>
    <w:uiPriority w:val="99"/>
    <w:qFormat/>
    <w:pPr>
      <w:ind w:firstLine="420"/>
    </w:pPr>
    <w:rPr>
      <w:sz w:val="24"/>
    </w:rPr>
  </w:style>
  <w:style w:type="paragraph" w:styleId="1038">
    <w:name w:val="Normal Indent"/>
    <w:basedOn w:val="1027"/>
    <w:next w:val="1027"/>
    <w:link w:val="1075"/>
    <w:qFormat/>
    <w:pPr>
      <w:ind w:firstLine="420"/>
      <w:jc w:val="left"/>
      <w:widowControl/>
    </w:pPr>
    <w:rPr>
      <w:rFonts w:eastAsia="楷体_GB2312"/>
      <w:sz w:val="24"/>
      <w:szCs w:val="20"/>
    </w:rPr>
  </w:style>
  <w:style w:type="paragraph" w:styleId="1039">
    <w:name w:val="Caption"/>
    <w:basedOn w:val="1027"/>
    <w:next w:val="1027"/>
    <w:qFormat/>
    <w:pPr>
      <w:ind w:firstLine="425"/>
      <w:jc w:val="center"/>
      <w:spacing w:line="360" w:lineRule="auto"/>
    </w:pPr>
  </w:style>
  <w:style w:type="paragraph" w:styleId="1040">
    <w:name w:val="Document Map"/>
    <w:basedOn w:val="1027"/>
    <w:semiHidden/>
    <w:qFormat/>
    <w:pPr>
      <w:shd w:val="clear" w:color="auto" w:fill="000080"/>
    </w:pPr>
  </w:style>
  <w:style w:type="paragraph" w:styleId="1041">
    <w:name w:val="annotation text"/>
    <w:basedOn w:val="1027"/>
    <w:link w:val="1089"/>
    <w:uiPriority w:val="99"/>
    <w:qFormat/>
    <w:pPr>
      <w:jc w:val="left"/>
    </w:pPr>
  </w:style>
  <w:style w:type="paragraph" w:styleId="1042">
    <w:name w:val="Body Text"/>
    <w:basedOn w:val="1027"/>
    <w:next w:val="1038"/>
    <w:qFormat/>
    <w:pPr>
      <w:spacing w:after="120"/>
    </w:pPr>
  </w:style>
  <w:style w:type="paragraph" w:styleId="1043">
    <w:name w:val="Body Text Indent"/>
    <w:basedOn w:val="1027"/>
    <w:next w:val="1044"/>
    <w:link w:val="1118"/>
    <w:qFormat/>
    <w:pPr>
      <w:ind w:left="420"/>
      <w:spacing w:after="120"/>
    </w:pPr>
  </w:style>
  <w:style w:type="paragraph" w:styleId="1044">
    <w:name w:val="Body Text First Indent 2"/>
    <w:basedOn w:val="1043"/>
    <w:next w:val="1038"/>
    <w:qFormat/>
    <w:pPr>
      <w:ind w:firstLine="420"/>
    </w:pPr>
  </w:style>
  <w:style w:type="paragraph" w:styleId="1045">
    <w:name w:val="Block Text"/>
    <w:basedOn w:val="1028"/>
    <w:next w:val="1027"/>
    <w:qFormat/>
    <w:pPr>
      <w:ind w:left="630" w:right="-609" w:firstLine="420"/>
      <w:spacing w:line="360" w:lineRule="auto"/>
    </w:pPr>
    <w:rPr>
      <w:rFonts w:hint="eastAsia" w:ascii="仿宋_GB2312" w:eastAsia="仿宋_GB2312"/>
      <w:szCs w:val="20"/>
    </w:rPr>
  </w:style>
  <w:style w:type="paragraph" w:styleId="1046">
    <w:name w:val="Plain Text"/>
    <w:basedOn w:val="1027"/>
    <w:link w:val="1074"/>
    <w:qFormat/>
    <w:pPr>
      <w:jc w:val="left"/>
      <w:widowControl/>
    </w:pPr>
    <w:rPr>
      <w:rFonts w:ascii="宋体" w:hAnsi="Courier New" w:eastAsia="楷体_GB2312"/>
      <w:sz w:val="26"/>
    </w:rPr>
  </w:style>
  <w:style w:type="paragraph" w:styleId="1047">
    <w:name w:val="Date"/>
    <w:basedOn w:val="1027"/>
    <w:next w:val="1027"/>
    <w:link w:val="1090"/>
    <w:qFormat/>
    <w:pPr>
      <w:ind w:left="100"/>
    </w:pPr>
    <w:rPr>
      <w:sz w:val="36"/>
      <w:szCs w:val="20"/>
    </w:rPr>
  </w:style>
  <w:style w:type="paragraph" w:styleId="1048">
    <w:name w:val="Body Text Indent 2"/>
    <w:basedOn w:val="1027"/>
    <w:next w:val="1049"/>
    <w:qFormat/>
    <w:pPr>
      <w:ind w:left="420"/>
      <w:spacing w:after="120" w:line="480" w:lineRule="auto"/>
    </w:pPr>
  </w:style>
  <w:style w:type="paragraph" w:styleId="1049">
    <w:name w:val="index 9"/>
    <w:basedOn w:val="1027"/>
    <w:next w:val="1027"/>
    <w:qFormat/>
    <w:pPr>
      <w:ind w:left="1600"/>
    </w:pPr>
  </w:style>
  <w:style w:type="paragraph" w:styleId="1050">
    <w:name w:val="Balloon Text"/>
    <w:basedOn w:val="1027"/>
    <w:semiHidden/>
    <w:qFormat/>
    <w:rPr>
      <w:sz w:val="18"/>
      <w:szCs w:val="18"/>
    </w:rPr>
  </w:style>
  <w:style w:type="paragraph" w:styleId="1051">
    <w:name w:val="Footer"/>
    <w:basedOn w:val="1027"/>
    <w:link w:val="1079"/>
    <w:qFormat/>
    <w:pPr>
      <w:jc w:val="left"/>
      <w:tabs>
        <w:tab w:val="center" w:pos="4153" w:leader="none"/>
        <w:tab w:val="right" w:pos="8306" w:leader="none"/>
      </w:tabs>
    </w:pPr>
    <w:rPr>
      <w:sz w:val="18"/>
      <w:szCs w:val="18"/>
    </w:rPr>
  </w:style>
  <w:style w:type="paragraph" w:styleId="1052">
    <w:name w:val="envelope return"/>
    <w:basedOn w:val="1027"/>
    <w:qFormat/>
    <w:rPr>
      <w:rFonts w:ascii="Arial" w:hAnsi="Arial" w:eastAsia="楷体_GB2312"/>
      <w:sz w:val="26"/>
      <w:szCs w:val="20"/>
    </w:rPr>
  </w:style>
  <w:style w:type="paragraph" w:styleId="1053">
    <w:name w:val="Header"/>
    <w:basedOn w:val="1027"/>
    <w:link w:val="1085"/>
    <w:uiPriority w:val="99"/>
    <w:qFormat/>
    <w:pPr>
      <w:jc w:val="center"/>
      <w:tabs>
        <w:tab w:val="center" w:pos="4153" w:leader="none"/>
        <w:tab w:val="right" w:pos="8306" w:leader="none"/>
      </w:tabs>
      <w:pBdr>
        <w:bottom w:val="single" w:color="auto" w:sz="6" w:space="1"/>
      </w:pBdr>
    </w:pPr>
    <w:rPr>
      <w:sz w:val="18"/>
      <w:szCs w:val="18"/>
    </w:rPr>
  </w:style>
  <w:style w:type="paragraph" w:styleId="1054">
    <w:name w:val="toc 1"/>
    <w:basedOn w:val="1027"/>
    <w:next w:val="1027"/>
    <w:semiHidden/>
    <w:qFormat/>
    <w:pPr>
      <w:jc w:val="left"/>
    </w:pPr>
    <w:rPr>
      <w:rFonts w:eastAsia="楷体_GB2312"/>
      <w:sz w:val="24"/>
      <w:szCs w:val="20"/>
    </w:rPr>
  </w:style>
  <w:style w:type="paragraph" w:styleId="1055">
    <w:name w:val="Subtitle"/>
    <w:basedOn w:val="1027"/>
    <w:next w:val="1027"/>
    <w:qFormat/>
    <w:pPr>
      <w:jc w:val="center"/>
      <w:spacing w:before="240" w:after="60" w:line="312" w:lineRule="auto"/>
      <w:outlineLvl w:val="1"/>
    </w:pPr>
    <w:rPr>
      <w:rFonts w:ascii="宋体" w:hAnsi="Courier New" w:eastAsia="楷体_GB2312"/>
      <w:sz w:val="26"/>
      <w:szCs w:val="20"/>
    </w:rPr>
  </w:style>
  <w:style w:type="paragraph" w:styleId="1056">
    <w:name w:val="footnote text"/>
    <w:basedOn w:val="1028"/>
    <w:next w:val="1045"/>
    <w:qFormat/>
    <w:pPr>
      <w:ind w:firstLine="3584"/>
      <w:spacing w:before="0" w:after="0" w:line="360" w:lineRule="auto"/>
    </w:pPr>
  </w:style>
  <w:style w:type="paragraph" w:styleId="1057">
    <w:name w:val="Body Text Indent 3"/>
    <w:basedOn w:val="1027"/>
    <w:qFormat/>
    <w:pPr>
      <w:ind w:firstLine="480"/>
      <w:jc w:val="left"/>
      <w:spacing w:line="440" w:lineRule="atLeast"/>
    </w:pPr>
    <w:rPr>
      <w:sz w:val="24"/>
    </w:rPr>
  </w:style>
  <w:style w:type="paragraph" w:styleId="1058">
    <w:name w:val="Normal (Web)"/>
    <w:basedOn w:val="1027"/>
    <w:qFormat/>
    <w:pPr>
      <w:jc w:val="left"/>
      <w:spacing w:before="100" w:beforeAutospacing="1" w:after="100" w:afterAutospacing="1"/>
      <w:widowControl/>
    </w:pPr>
    <w:rPr>
      <w:rFonts w:ascii="宋体" w:hAnsi="宋体" w:cs="宋体"/>
      <w:sz w:val="24"/>
    </w:rPr>
  </w:style>
  <w:style w:type="paragraph" w:styleId="1059">
    <w:name w:val="Title"/>
    <w:basedOn w:val="1027"/>
    <w:link w:val="1082"/>
    <w:qFormat/>
    <w:pPr>
      <w:numPr>
        <w:numId w:val="1"/>
      </w:numPr>
      <w:jc w:val="center"/>
      <w:spacing w:before="240" w:after="60"/>
      <w:tabs>
        <w:tab w:val="left" w:pos="432" w:leader="none"/>
      </w:tabs>
      <w:outlineLvl w:val="0"/>
    </w:pPr>
    <w:rPr>
      <w:rFonts w:ascii="Arial" w:hAnsi="Arial"/>
      <w:b/>
      <w:bCs/>
      <w:sz w:val="32"/>
      <w:szCs w:val="32"/>
    </w:rPr>
  </w:style>
  <w:style w:type="paragraph" w:styleId="1060">
    <w:name w:val="annotation subject"/>
    <w:basedOn w:val="1041"/>
    <w:next w:val="1041"/>
    <w:semiHidden/>
    <w:qFormat/>
    <w:rPr>
      <w:b/>
      <w:bCs/>
    </w:rPr>
  </w:style>
  <w:style w:type="table" w:styleId="1061">
    <w:name w:val="Table Grid"/>
    <w:basedOn w:val="1034"/>
    <w:unhideWhenUsed/>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2">
    <w:name w:val="Strong"/>
    <w:basedOn w:val="1033"/>
    <w:qFormat/>
    <w:rPr>
      <w:b/>
      <w:bCs/>
    </w:rPr>
  </w:style>
  <w:style w:type="character" w:styleId="1063">
    <w:name w:val="page number"/>
    <w:basedOn w:val="1033"/>
    <w:qFormat/>
  </w:style>
  <w:style w:type="character" w:styleId="1064">
    <w:name w:val="FollowedHyperlink"/>
    <w:basedOn w:val="1033"/>
    <w:semiHidden/>
    <w:unhideWhenUsed/>
    <w:qFormat/>
    <w:rPr>
      <w:color w:val="333333"/>
      <w:u w:val="none"/>
    </w:rPr>
  </w:style>
  <w:style w:type="character" w:styleId="1065">
    <w:name w:val="Emphasis"/>
    <w:qFormat/>
    <w:rPr>
      <w:i/>
      <w:iCs/>
    </w:rPr>
  </w:style>
  <w:style w:type="character" w:styleId="1066">
    <w:name w:val="Hyperlink"/>
    <w:qFormat/>
    <w:rPr>
      <w:color w:val="000000"/>
      <w:u w:val="none"/>
    </w:rPr>
  </w:style>
  <w:style w:type="character" w:styleId="1067">
    <w:name w:val="annotation reference"/>
    <w:uiPriority w:val="99"/>
    <w:qFormat/>
    <w:rPr>
      <w:sz w:val="21"/>
      <w:szCs w:val="21"/>
    </w:rPr>
  </w:style>
  <w:style w:type="paragraph" w:styleId="1068" w:customStyle="1">
    <w:name w:val="首行缩进"/>
    <w:basedOn w:val="1027"/>
    <w:qFormat/>
    <w:pPr>
      <w:ind w:firstLine="480"/>
      <w:jc w:val="left"/>
      <w:spacing w:line="360" w:lineRule="auto"/>
    </w:pPr>
    <w:rPr>
      <w:rFonts w:ascii="宋体" w:hAnsi="宋体"/>
      <w:sz w:val="24"/>
    </w:rPr>
  </w:style>
  <w:style w:type="paragraph" w:styleId="1069" w:customStyle="1">
    <w:name w:val="段"/>
    <w:next w:val="1027"/>
    <w:qFormat/>
    <w:pPr>
      <w:ind w:firstLine="200"/>
      <w:jc w:val="both"/>
    </w:pPr>
    <w:rPr>
      <w:rFonts w:ascii="宋体"/>
      <w:sz w:val="21"/>
    </w:rPr>
  </w:style>
  <w:style w:type="character" w:styleId="1070" w:customStyle="1">
    <w:name w:val="标题 1 Char"/>
    <w:link w:val="1028"/>
    <w:qFormat/>
    <w:rPr>
      <w:b/>
      <w:bCs/>
      <w:sz w:val="44"/>
      <w:szCs w:val="44"/>
    </w:rPr>
  </w:style>
  <w:style w:type="character" w:styleId="1071" w:customStyle="1">
    <w:name w:val="标题 2 Char"/>
    <w:link w:val="1029"/>
    <w:qFormat/>
    <w:rPr>
      <w:rFonts w:ascii="Cambria" w:hAnsi="Cambria"/>
      <w:b/>
      <w:bCs/>
      <w:sz w:val="32"/>
      <w:szCs w:val="32"/>
    </w:rPr>
  </w:style>
  <w:style w:type="character" w:styleId="1072" w:customStyle="1">
    <w:name w:val="标题 3 Char"/>
    <w:link w:val="1030"/>
    <w:qFormat/>
    <w:rPr>
      <w:b/>
      <w:bCs/>
      <w:sz w:val="32"/>
      <w:szCs w:val="32"/>
    </w:rPr>
  </w:style>
  <w:style w:type="paragraph" w:styleId="1073" w:customStyle="1">
    <w:name w:val="正文 A"/>
    <w:next w:val="1069"/>
    <w:qFormat/>
    <w:pPr>
      <w:jc w:val="both"/>
      <w:widowControl w:val="off"/>
      <w:framePr w:wrap="around" w:hAnchor="text" w:yAlign="top"/>
    </w:pPr>
    <w:rPr>
      <w:rFonts w:ascii="Calibri" w:hAnsi="Calibri" w:eastAsia="Times New Roman"/>
      <w:color w:val="000000"/>
      <w:sz w:val="21"/>
      <w:szCs w:val="21"/>
    </w:rPr>
  </w:style>
  <w:style w:type="character" w:styleId="1074" w:customStyle="1">
    <w:name w:val="纯文本 Char"/>
    <w:link w:val="1046"/>
    <w:qFormat/>
    <w:rPr>
      <w:rFonts w:ascii="宋体" w:hAnsi="Courier New" w:eastAsia="楷体_GB2312"/>
      <w:sz w:val="26"/>
      <w:szCs w:val="24"/>
      <w:lang w:val="en-US" w:eastAsia="zh-CN" w:bidi="ar-SA"/>
    </w:rPr>
  </w:style>
  <w:style w:type="character" w:styleId="1075" w:customStyle="1">
    <w:name w:val="正文缩进 Char"/>
    <w:link w:val="1038"/>
    <w:qFormat/>
    <w:rPr>
      <w:rFonts w:eastAsia="楷体_GB2312"/>
      <w:sz w:val="24"/>
      <w:lang w:val="en-US" w:eastAsia="zh-CN" w:bidi="ar-SA"/>
    </w:rPr>
  </w:style>
  <w:style w:type="character" w:styleId="1076" w:customStyle="1">
    <w:name w:val="标题 5 Char"/>
    <w:link w:val="1032"/>
    <w:qFormat/>
    <w:rPr>
      <w:rFonts w:eastAsia="宋体"/>
      <w:b/>
      <w:bCs/>
      <w:i/>
      <w:iCs/>
      <w:sz w:val="26"/>
      <w:szCs w:val="26"/>
      <w:lang w:val="en-US" w:eastAsia="zh-CN" w:bidi="ar-SA"/>
    </w:rPr>
  </w:style>
  <w:style w:type="character" w:styleId="1077" w:customStyle="1">
    <w:name w:val="+正文 Char3"/>
    <w:link w:val="1078"/>
    <w:qFormat/>
    <w:rPr>
      <w:rFonts w:eastAsia="宋体"/>
      <w:sz w:val="24"/>
      <w:lang w:val="en-US" w:eastAsia="zh-CN" w:bidi="ar-SA"/>
    </w:rPr>
  </w:style>
  <w:style w:type="paragraph" w:styleId="1078" w:customStyle="1">
    <w:name w:val="+正文"/>
    <w:basedOn w:val="1027"/>
    <w:link w:val="1077"/>
    <w:qFormat/>
    <w:pPr>
      <w:ind w:firstLine="200"/>
      <w:spacing w:line="360" w:lineRule="auto"/>
    </w:pPr>
    <w:rPr>
      <w:sz w:val="24"/>
      <w:szCs w:val="20"/>
    </w:rPr>
  </w:style>
  <w:style w:type="character" w:styleId="1079" w:customStyle="1">
    <w:name w:val="页脚 Char"/>
    <w:link w:val="1051"/>
    <w:semiHidden/>
    <w:qFormat/>
    <w:rPr>
      <w:rFonts w:eastAsia="宋体"/>
      <w:sz w:val="18"/>
      <w:szCs w:val="18"/>
      <w:lang w:val="en-US" w:eastAsia="zh-CN" w:bidi="ar-SA"/>
    </w:rPr>
  </w:style>
  <w:style w:type="character" w:styleId="1080" w:customStyle="1">
    <w:name w:val="Char Char8"/>
    <w:qFormat/>
    <w:rPr>
      <w:sz w:val="18"/>
    </w:rPr>
  </w:style>
  <w:style w:type="character" w:styleId="1081" w:customStyle="1">
    <w:name w:val="标题 4 Char"/>
    <w:link w:val="1031"/>
    <w:qFormat/>
    <w:rPr>
      <w:rFonts w:eastAsia="宋体"/>
      <w:b/>
      <w:bCs/>
      <w:sz w:val="28"/>
      <w:szCs w:val="28"/>
      <w:lang w:val="en-US" w:eastAsia="zh-CN" w:bidi="ar-SA"/>
    </w:rPr>
  </w:style>
  <w:style w:type="character" w:styleId="1082" w:customStyle="1">
    <w:name w:val="标题 Char"/>
    <w:link w:val="1059"/>
    <w:qFormat/>
    <w:rPr>
      <w:rFonts w:ascii="Arial" w:hAnsi="Arial"/>
      <w:b/>
      <w:bCs/>
      <w:sz w:val="32"/>
      <w:szCs w:val="32"/>
      <w:lang w:bidi="ar-SA"/>
    </w:rPr>
  </w:style>
  <w:style w:type="character" w:styleId="1083" w:customStyle="1">
    <w:name w:val="文字正文主体 Char Char"/>
    <w:link w:val="1084"/>
    <w:qFormat/>
    <w:rPr>
      <w:rFonts w:ascii="仿宋" w:hAnsi="仿宋" w:eastAsia="仿宋"/>
      <w:color w:val="3a3a3a"/>
      <w:sz w:val="28"/>
      <w:lang w:val="en-US" w:eastAsia="zh-CN" w:bidi="ar-SA"/>
    </w:rPr>
  </w:style>
  <w:style w:type="paragraph" w:styleId="1084" w:customStyle="1">
    <w:name w:val="文字正文主体"/>
    <w:basedOn w:val="1027"/>
    <w:link w:val="108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85" w:customStyle="1">
    <w:name w:val="页眉 Char"/>
    <w:link w:val="1053"/>
    <w:uiPriority w:val="99"/>
    <w:qFormat/>
    <w:rPr>
      <w:rFonts w:eastAsia="宋体"/>
      <w:sz w:val="18"/>
      <w:szCs w:val="18"/>
      <w:lang w:val="en-US" w:eastAsia="zh-CN" w:bidi="ar-SA"/>
    </w:rPr>
  </w:style>
  <w:style w:type="character" w:styleId="1086" w:customStyle="1">
    <w:name w:val="Char Char5"/>
    <w:qFormat/>
    <w:rPr>
      <w:sz w:val="24"/>
      <w:lang w:val="en-US" w:eastAsia="zh-CN"/>
    </w:rPr>
  </w:style>
  <w:style w:type="character" w:styleId="1087" w:customStyle="1">
    <w:name w:val="Char Char11"/>
    <w:qFormat/>
    <w:rPr>
      <w:sz w:val="21"/>
    </w:rPr>
  </w:style>
  <w:style w:type="character" w:styleId="1088" w:customStyle="1">
    <w:name w:val="c lh15"/>
    <w:basedOn w:val="1033"/>
    <w:qFormat/>
  </w:style>
  <w:style w:type="character" w:styleId="1089" w:customStyle="1">
    <w:name w:val="批注文字 Char"/>
    <w:link w:val="1041"/>
    <w:uiPriority w:val="99"/>
    <w:qFormat/>
    <w:rPr>
      <w:sz w:val="21"/>
      <w:szCs w:val="24"/>
    </w:rPr>
  </w:style>
  <w:style w:type="character" w:styleId="1090" w:customStyle="1">
    <w:name w:val="日期 Char"/>
    <w:link w:val="1047"/>
    <w:qFormat/>
    <w:rPr>
      <w:sz w:val="36"/>
      <w:lang w:bidi="ar-SA"/>
    </w:rPr>
  </w:style>
  <w:style w:type="character" w:styleId="1091" w:customStyle="1">
    <w:name w:val="Plain Text Char Char"/>
    <w:link w:val="1092"/>
    <w:qFormat/>
    <w:rPr>
      <w:rFonts w:ascii="宋体" w:hAnsi="Courier New" w:eastAsia="楷体_GB2312"/>
      <w:sz w:val="28"/>
    </w:rPr>
  </w:style>
  <w:style w:type="paragraph" w:styleId="1092" w:customStyle="1">
    <w:name w:val="纯文本1"/>
    <w:basedOn w:val="1027"/>
    <w:link w:val="1091"/>
    <w:qFormat/>
    <w:rPr>
      <w:rFonts w:ascii="宋体" w:hAnsi="Courier New" w:eastAsia="楷体_GB2312"/>
      <w:sz w:val="28"/>
      <w:szCs w:val="20"/>
    </w:rPr>
  </w:style>
  <w:style w:type="paragraph" w:styleId="1093" w:customStyle="1">
    <w:name w:val="Char Char Char Char Char Char Char Char Char1 Char Char Char Char"/>
    <w:basedOn w:val="1040"/>
    <w:qFormat/>
    <w:pPr>
      <w:spacing w:line="360" w:lineRule="auto"/>
    </w:pPr>
    <w:rPr>
      <w:rFonts w:eastAsia="楷体_GB2312"/>
      <w:sz w:val="26"/>
      <w:szCs w:val="20"/>
    </w:rPr>
  </w:style>
  <w:style w:type="paragraph" w:styleId="1094" w:customStyle="1">
    <w:name w:val="Char Char Char Char Char Char Char Char Char Char"/>
    <w:basedOn w:val="1027"/>
    <w:qFormat/>
    <w:pPr>
      <w:numPr>
        <w:numId w:val="2"/>
      </w:numPr>
    </w:pPr>
    <w:rPr>
      <w:sz w:val="24"/>
    </w:rPr>
  </w:style>
  <w:style w:type="paragraph" w:styleId="1095" w:customStyle="1">
    <w:name w:val="Char Char Char Char Char Char Char Char Char1 Char"/>
    <w:basedOn w:val="1040"/>
    <w:qFormat/>
    <w:pPr>
      <w:spacing w:line="360" w:lineRule="auto"/>
    </w:pPr>
    <w:rPr>
      <w:rFonts w:ascii="Tahoma" w:hAnsi="Tahoma"/>
      <w:sz w:val="24"/>
    </w:rPr>
  </w:style>
  <w:style w:type="paragraph" w:styleId="1096" w:customStyle="1">
    <w:name w:val="Char Char Char"/>
    <w:basedOn w:val="1040"/>
    <w:qFormat/>
    <w:pPr>
      <w:spacing w:line="360" w:lineRule="auto"/>
    </w:pPr>
    <w:rPr>
      <w:rFonts w:ascii="Tahoma" w:hAnsi="Tahoma"/>
      <w:sz w:val="24"/>
    </w:rPr>
  </w:style>
  <w:style w:type="paragraph" w:styleId="1097" w:customStyle="1">
    <w:name w:val="Char Char Char Char"/>
    <w:basedOn w:val="1040"/>
    <w:qFormat/>
    <w:pPr>
      <w:spacing w:line="360" w:lineRule="auto"/>
    </w:pPr>
    <w:rPr>
      <w:sz w:val="24"/>
      <w:szCs w:val="20"/>
    </w:rPr>
  </w:style>
  <w:style w:type="paragraph" w:styleId="1098" w:customStyle="1">
    <w:name w:val="Char1 Char Char Char"/>
    <w:basedOn w:val="1027"/>
    <w:qFormat/>
    <w:rPr>
      <w:rFonts w:ascii="Tahoma" w:hAnsi="Tahoma"/>
      <w:sz w:val="24"/>
      <w:szCs w:val="20"/>
    </w:rPr>
  </w:style>
  <w:style w:type="paragraph" w:styleId="1099" w:customStyle="1">
    <w:name w:val="Char"/>
    <w:basedOn w:val="1027"/>
    <w:qFormat/>
    <w:pPr>
      <w:ind w:left="420" w:hanging="420"/>
      <w:tabs>
        <w:tab w:val="left" w:pos="420" w:leader="none"/>
      </w:tabs>
    </w:pPr>
    <w:rPr>
      <w:sz w:val="24"/>
    </w:rPr>
  </w:style>
  <w:style w:type="paragraph" w:styleId="1100" w:customStyle="1">
    <w:name w:val="正文2"/>
    <w:basedOn w:val="1027"/>
    <w:qFormat/>
    <w:pPr>
      <w:ind w:firstLine="200"/>
      <w:jc w:val="left"/>
      <w:spacing w:after="160" w:line="360" w:lineRule="auto"/>
      <w:widowControl/>
    </w:pPr>
    <w:rPr>
      <w:rFonts w:ascii="Verdana" w:hAnsi="Verdana" w:eastAsia="黑体"/>
      <w:szCs w:val="20"/>
      <w:lang w:eastAsia="en-US"/>
    </w:rPr>
  </w:style>
  <w:style w:type="paragraph" w:styleId="1101" w:customStyle="1">
    <w:name w:val="Char Char Char1 Char Char Char Char"/>
    <w:basedOn w:val="1027"/>
    <w:qFormat/>
    <w:pPr>
      <w:jc w:val="left"/>
      <w:spacing w:after="160" w:line="240" w:lineRule="exact"/>
      <w:widowControl/>
    </w:pPr>
    <w:rPr>
      <w:sz w:val="24"/>
    </w:rPr>
  </w:style>
  <w:style w:type="paragraph" w:styleId="1102">
    <w:name w:val="No Spacing"/>
    <w:uiPriority w:val="1"/>
    <w:qFormat/>
    <w:pPr>
      <w:jc w:val="both"/>
      <w:widowControl w:val="off"/>
    </w:pPr>
    <w:rPr>
      <w:sz w:val="21"/>
      <w:szCs w:val="24"/>
    </w:rPr>
  </w:style>
  <w:style w:type="paragraph" w:styleId="1103" w:customStyle="1">
    <w:name w:val="纯文本11"/>
    <w:basedOn w:val="1027"/>
    <w:qFormat/>
    <w:rPr>
      <w:rFonts w:ascii="宋体" w:hAnsi="Courier New" w:eastAsia="楷体_GB2312"/>
      <w:sz w:val="28"/>
      <w:szCs w:val="20"/>
    </w:rPr>
  </w:style>
  <w:style w:type="character" w:styleId="1104" w:customStyle="1">
    <w:name w:val="纯文本 Char1"/>
    <w:qFormat/>
    <w:rPr>
      <w:rFonts w:ascii="宋体" w:hAnsi="Courier New" w:eastAsia="楷体_GB2312"/>
      <w:sz w:val="24"/>
      <w:lang w:val="en-US" w:eastAsia="zh-CN" w:bidi="ar-SA"/>
    </w:rPr>
  </w:style>
  <w:style w:type="paragraph" w:styleId="1105" w:customStyle="1">
    <w:name w:val="纯文本2"/>
    <w:basedOn w:val="1027"/>
    <w:qFormat/>
    <w:rPr>
      <w:rFonts w:ascii="宋体" w:hAnsi="Courier New" w:eastAsia="楷体_GB2312"/>
      <w:sz w:val="26"/>
      <w:szCs w:val="20"/>
    </w:rPr>
  </w:style>
  <w:style w:type="character" w:styleId="1106" w:customStyle="1">
    <w:name w:val="Plain Text Char"/>
    <w:qFormat/>
    <w:rPr>
      <w:rFonts w:ascii="宋体" w:hAnsi="Courier New" w:eastAsia="楷体_GB2312"/>
      <w:sz w:val="26"/>
      <w:lang w:val="en-US" w:eastAsia="zh-CN" w:bidi="ar-SA"/>
    </w:rPr>
  </w:style>
  <w:style w:type="paragraph" w:styleId="1107" w:customStyle="1">
    <w:name w:val="修订1"/>
    <w:hidden/>
    <w:uiPriority w:val="99"/>
    <w:semiHidden/>
    <w:unhideWhenUsed/>
    <w:qFormat/>
    <w:rPr>
      <w:sz w:val="21"/>
      <w:szCs w:val="24"/>
    </w:rPr>
  </w:style>
  <w:style w:type="character" w:styleId="1108" w:customStyle="1">
    <w:name w:val="apple-converted-space"/>
    <w:basedOn w:val="1033"/>
    <w:qFormat/>
  </w:style>
  <w:style w:type="paragraph" w:styleId="1109" w:customStyle="1">
    <w:name w:val="p1"/>
    <w:basedOn w:val="1027"/>
    <w:qFormat/>
    <w:pPr>
      <w:jc w:val="left"/>
      <w:spacing w:before="100" w:beforeAutospacing="1" w:after="100" w:afterAutospacing="1"/>
      <w:widowControl/>
    </w:pPr>
    <w:rPr>
      <w:rFonts w:ascii="宋体" w:hAnsi="宋体" w:cs="宋体"/>
      <w:sz w:val="24"/>
    </w:rPr>
  </w:style>
  <w:style w:type="paragraph" w:styleId="1110" w:customStyle="1">
    <w:name w:val="p3"/>
    <w:basedOn w:val="1027"/>
    <w:qFormat/>
    <w:pPr>
      <w:jc w:val="left"/>
      <w:spacing w:before="100" w:beforeAutospacing="1" w:after="100" w:afterAutospacing="1"/>
      <w:widowControl/>
    </w:pPr>
    <w:rPr>
      <w:rFonts w:ascii="宋体" w:hAnsi="宋体" w:cs="宋体"/>
      <w:sz w:val="24"/>
    </w:rPr>
  </w:style>
  <w:style w:type="character" w:styleId="1111" w:customStyle="1">
    <w:name w:val="s6"/>
    <w:basedOn w:val="1033"/>
    <w:qFormat/>
  </w:style>
  <w:style w:type="character" w:styleId="1112" w:customStyle="1">
    <w:name w:val="s1"/>
    <w:basedOn w:val="1033"/>
    <w:qFormat/>
  </w:style>
  <w:style w:type="paragraph" w:styleId="1113" w:customStyle="1">
    <w:name w:val="列出段落1"/>
    <w:basedOn w:val="1027"/>
    <w:uiPriority w:val="34"/>
    <w:qFormat/>
    <w:pPr>
      <w:ind w:firstLine="420"/>
    </w:pPr>
    <w:rPr>
      <w:lang w:val="zh-CN"/>
    </w:rPr>
  </w:style>
  <w:style w:type="character" w:styleId="1114" w:customStyle="1">
    <w:name w:val="批注文字 Char3"/>
    <w:qFormat/>
    <w:rPr>
      <w:rFonts w:eastAsia="宋体"/>
      <w:sz w:val="21"/>
      <w:szCs w:val="24"/>
      <w:lang w:val="en-US" w:eastAsia="zh-CN" w:bidi="ar-SA"/>
    </w:rPr>
  </w:style>
  <w:style w:type="paragraph" w:styleId="1115">
    <w:name w:val="List Paragraph"/>
    <w:basedOn w:val="1027"/>
    <w:uiPriority w:val="99"/>
    <w:qFormat/>
    <w:pPr>
      <w:ind w:firstLine="420"/>
    </w:pPr>
  </w:style>
  <w:style w:type="paragraph" w:styleId="1116" w:customStyle="1">
    <w:name w:val="BodyText"/>
    <w:basedOn w:val="1027"/>
    <w:uiPriority w:val="99"/>
    <w:qFormat/>
    <w:pPr>
      <w:spacing w:after="120"/>
    </w:pPr>
  </w:style>
  <w:style w:type="character" w:styleId="1117" w:customStyle="1">
    <w:name w:val="NormalCharacter"/>
    <w:semiHidden/>
    <w:qFormat/>
  </w:style>
  <w:style w:type="character" w:styleId="1118" w:customStyle="1">
    <w:name w:val="正文文本缩进 Char"/>
    <w:basedOn w:val="1033"/>
    <w:link w:val="1043"/>
    <w:qFormat/>
    <w:rPr>
      <w:rFonts w:ascii="Times New Roman" w:hAnsi="Times New Roman"/>
      <w:sz w:val="21"/>
      <w:szCs w:val="24"/>
    </w:rPr>
  </w:style>
  <w:style w:type="paragraph" w:styleId="1119" w:customStyle="1">
    <w:name w:val="纯文本3"/>
    <w:basedOn w:val="1027"/>
    <w:qFormat/>
    <w:pPr>
      <w:spacing w:line="360" w:lineRule="auto"/>
    </w:pPr>
    <w:rPr>
      <w:rFonts w:ascii="宋体" w:hAnsi="宋体" w:cs="宋体"/>
      <w:b/>
      <w:szCs w:val="21"/>
    </w:rPr>
  </w:style>
  <w:style w:type="paragraph" w:styleId="1120" w:customStyle="1">
    <w:name w:val="修订2"/>
    <w:hidden/>
    <w:uiPriority w:val="99"/>
    <w:semiHidden/>
    <w:qFormat/>
    <w:rPr>
      <w:sz w:val="21"/>
      <w:szCs w:val="24"/>
    </w:rPr>
  </w:style>
  <w:style w:type="paragraph" w:styleId="1121" w:customStyle="1">
    <w:name w:val="修订3"/>
    <w:hidden/>
    <w:uiPriority w:val="99"/>
    <w:semiHidden/>
    <w:qFormat/>
    <w:rPr>
      <w:sz w:val="21"/>
      <w:szCs w:val="24"/>
    </w:rPr>
  </w:style>
  <w:style w:type="paragraph" w:styleId="1122" w:customStyle="1">
    <w:name w:val="修订4"/>
    <w:hidden/>
    <w:uiPriority w:val="99"/>
    <w:semiHidden/>
    <w:qFormat/>
    <w:rPr>
      <w:sz w:val="21"/>
      <w:szCs w:val="24"/>
    </w:rPr>
  </w:style>
  <w:style w:type="paragraph" w:styleId="1123" w:customStyle="1">
    <w:name w:val="列出段落2"/>
    <w:basedOn w:val="1027"/>
    <w:uiPriority w:val="34"/>
    <w:qFormat/>
    <w:pPr>
      <w:ind w:firstLine="420"/>
    </w:pPr>
  </w:style>
  <w:style w:type="paragraph" w:styleId="1124" w:customStyle="1">
    <w:name w:val="_正文段落"/>
    <w:basedOn w:val="1027"/>
    <w:qFormat/>
    <w:pPr>
      <w:ind w:firstLine="200"/>
      <w:spacing w:line="360" w:lineRule="auto"/>
    </w:pPr>
    <w:rPr>
      <w:sz w:val="24"/>
    </w:rPr>
  </w:style>
  <w:style w:type="paragraph" w:styleId="1125" w:customStyle="1">
    <w:name w:val="_Style 30"/>
    <w:basedOn w:val="1027"/>
    <w:next w:val="1046"/>
    <w:qFormat/>
    <w:rPr>
      <w:rFonts w:ascii="宋体" w:hAnsi="Courier New"/>
    </w:rPr>
  </w:style>
  <w:style w:type="paragraph" w:styleId="1126" w:customStyle="1">
    <w:name w:val="NormalIndent"/>
    <w:basedOn w:val="1027"/>
    <w:qFormat/>
    <w:pPr>
      <w:ind w:firstLine="420"/>
      <w:jc w:val="left"/>
      <w:widowControl/>
    </w:pPr>
    <w:rPr>
      <w:sz w:val="24"/>
    </w:rPr>
  </w:style>
  <w:style w:type="paragraph" w:styleId="1127" w:customStyle="1">
    <w:name w:val="UserStyle_62"/>
    <w:basedOn w:val="1027"/>
    <w:qFormat/>
    <w:pPr>
      <w:widowControl/>
    </w:pPr>
    <w:rPr>
      <w:rFonts w:ascii="宋体" w:hAnsi="Courier New"/>
    </w:rPr>
  </w:style>
  <w:style w:type="paragraph" w:styleId="1128" w:customStyle="1">
    <w:name w:val="Plain Text1"/>
    <w:basedOn w:val="1027"/>
    <w:qFormat/>
    <w:rPr>
      <w:rFonts w:ascii="宋体" w:hAnsi="Courier New"/>
    </w:rPr>
  </w:style>
  <w:style w:type="table" w:styleId="1129" w:customStyle="1">
    <w:name w:val="Table Normal"/>
    <w:semiHidden/>
    <w:unhideWhenUsed/>
    <w:qFormat/>
    <w:tblPr>
      <w:tblCellMar>
        <w:left w:w="0" w:type="dxa"/>
        <w:top w:w="0" w:type="dxa"/>
        <w:right w:w="0" w:type="dxa"/>
        <w:bottom w:w="0" w:type="dxa"/>
      </w:tblCellMar>
    </w:tblPr>
  </w:style>
  <w:style w:type="paragraph" w:styleId="1130" w:customStyle="1">
    <w:name w:val="Table Text"/>
    <w:basedOn w:val="1027"/>
    <w:semiHidden/>
    <w:qFormat/>
    <w:rPr>
      <w:rFonts w:ascii="Arial" w:hAnsi="Arial" w:eastAsia="Arial" w:cs="Arial"/>
      <w:szCs w:val="21"/>
      <w:lang w:eastAsia="en-US"/>
    </w:rPr>
  </w:style>
  <w:style w:type="paragraph" w:styleId="1131" w:customStyle="1">
    <w:name w:val="*正文"/>
    <w:basedOn w:val="1027"/>
    <w:qFormat/>
    <w:pPr>
      <w:ind w:firstLine="200"/>
      <w:spacing w:line="360" w:lineRule="auto"/>
      <w:widowControl/>
    </w:pPr>
    <w:rPr>
      <w:rFonts w:ascii="仿宋_GB2312" w:hAnsi="Calibri" w:eastAsia="仿宋_GB2312"/>
      <w:sz w:val="24"/>
      <w:szCs w:val="28"/>
    </w:rPr>
  </w:style>
  <w:style w:type="paragraph" w:styleId="1132" w:customStyle="1">
    <w:name w:val="纯文本6"/>
    <w:basedOn w:val="1027"/>
    <w:qFormat/>
    <w:rPr>
      <w:rFonts w:ascii="宋体" w:hAnsi="Courier New" w:eastAsia="楷体_GB2312"/>
      <w:sz w:val="26"/>
      <w:szCs w:val="20"/>
    </w:rPr>
  </w:style>
  <w:style w:type="character" w:styleId="1133" w:customStyle="1">
    <w:name w:val="font21"/>
    <w:basedOn w:val="1033"/>
    <w:qFormat/>
    <w:rPr>
      <w:rFonts w:hint="eastAsia" w:ascii="宋体" w:hAnsi="宋体" w:eastAsia="宋体" w:cs="宋体"/>
      <w:color w:val="000000"/>
      <w:sz w:val="22"/>
      <w:szCs w:val="22"/>
      <w:u w:val="none"/>
    </w:rPr>
  </w:style>
  <w:style w:type="character" w:styleId="1134" w:customStyle="1">
    <w:name w:val="font01"/>
    <w:basedOn w:val="1033"/>
    <w:qFormat/>
    <w:rPr>
      <w:rFonts w:hint="eastAsia" w:ascii="宋体" w:hAnsi="宋体" w:eastAsia="宋体" w:cs="宋体"/>
      <w:color w:val="000000"/>
      <w:sz w:val="22"/>
      <w:szCs w:val="22"/>
      <w:u w:val="none"/>
    </w:rPr>
  </w:style>
  <w:style w:type="character" w:styleId="1135" w:customStyle="1">
    <w:name w:val="font41"/>
    <w:basedOn w:val="1033"/>
    <w:qFormat/>
    <w:rPr>
      <w:rFonts w:hint="eastAsia" w:ascii="宋体" w:hAnsi="宋体" w:eastAsia="宋体" w:cs="宋体"/>
      <w:color w:val="000000"/>
      <w:sz w:val="22"/>
      <w:szCs w:val="22"/>
      <w:u w:val="none"/>
      <w:vertAlign w:val="superscript"/>
    </w:rPr>
  </w:style>
  <w:style w:type="character" w:styleId="1136" w:customStyle="1">
    <w:name w:val="font51"/>
    <w:basedOn w:val="1033"/>
    <w:qFormat/>
    <w:rPr>
      <w:rFonts w:hint="eastAsia" w:ascii="宋体" w:hAnsi="宋体" w:eastAsia="宋体" w:cs="宋体"/>
      <w:color w:val="000000"/>
      <w:sz w:val="22"/>
      <w:szCs w:val="22"/>
      <w:u w:val="single"/>
    </w:rPr>
  </w:style>
  <w:style w:type="paragraph" w:styleId="1137" w:customStyle="1">
    <w:name w:val="Default"/>
    <w:qFormat/>
    <w:pPr>
      <w:widowControl w:val="off"/>
    </w:pPr>
    <w:rPr>
      <w:rFonts w:ascii="宋体_x0001_糭.飬.." w:eastAsia="宋体_x0001_糭.飬.." w:cs="宋体_x0001_糭.飬.."/>
      <w:color w:val="000000"/>
      <w:sz w:val="24"/>
      <w:szCs w:val="24"/>
    </w:rPr>
  </w:style>
  <w:style w:type="character" w:styleId="1138" w:customStyle="1">
    <w:name w:val="标题 2 Char1"/>
    <w:link w:val="1029"/>
    <w:uiPriority w:val="9"/>
    <w:qFormat/>
    <w:rPr>
      <w:rFonts w:ascii="宋体" w:hAnsi="宋体" w:eastAsia="楷体_GB2312"/>
      <w:b/>
      <w:sz w:val="28"/>
    </w:rPr>
  </w:style>
  <w:style w:type="paragraph" w:styleId="1139" w:customStyle="1">
    <w:name w:val="图"/>
    <w:qFormat/>
    <w:pPr>
      <w:jc w:val="center"/>
      <w:widowControl w:val="off"/>
    </w:pPr>
    <w:rPr>
      <w:rFonts w:hint="eastAsia" w:ascii="华文仿宋" w:hAnsi="华文仿宋" w:eastAsia="华文仿宋"/>
      <w:b/>
      <w:sz w:val="28"/>
      <w:szCs w:val="28"/>
    </w:rPr>
  </w:style>
  <w:style w:type="paragraph" w:styleId="1140" w:customStyle="1">
    <w:name w:val="1表格内容"/>
    <w:basedOn w:val="1027"/>
    <w:qFormat/>
    <w:pPr>
      <w:jc w:val="center"/>
    </w:pPr>
    <w:rPr>
      <w:rFonts w:hint="eastAsia" w:ascii="仿宋" w:hAnsi="仿宋" w:eastAsia="仿宋"/>
      <w:szCs w:val="21"/>
    </w:rPr>
  </w:style>
  <w:style w:type="paragraph" w:styleId="1141" w:customStyle="1">
    <w:name w:val="JSEP正文"/>
    <w:basedOn w:val="1027"/>
    <w:qFormat/>
    <w:pPr>
      <w:ind w:firstLine="200"/>
      <w:spacing w:line="500" w:lineRule="exact"/>
    </w:pPr>
    <w:rPr>
      <w:rFonts w:eastAsia="仿宋_GB2312"/>
      <w:sz w:val="28"/>
      <w:szCs w:val="28"/>
    </w:rPr>
  </w:style>
  <w:style w:type="paragraph" w:styleId="1142" w:customStyle="1">
    <w:name w:val="表格"/>
    <w:qFormat/>
    <w:pPr>
      <w:contextualSpacing/>
      <w:jc w:val="center"/>
      <w:widowControl w:val="off"/>
    </w:pPr>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2.jpg"/><Relationship Id="rId19" Type="http://schemas.openxmlformats.org/officeDocument/2006/relationships/hyperlink" Target="http://jszfcg.jsczt.cn/" TargetMode="External"/><Relationship Id="rId20" Type="http://schemas.openxmlformats.org/officeDocument/2006/relationships/image" Target="media/image3.png"/><Relationship Id="rId21"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朱晓芹</cp:lastModifiedBy>
  <cp:revision>25</cp:revision>
  <dcterms:created xsi:type="dcterms:W3CDTF">2024-12-13T08:57:00Z</dcterms:created>
  <dcterms:modified xsi:type="dcterms:W3CDTF">2025-09-30T04:18:42Z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B730A5F31565428093D83C9880F04A41_13</vt:lpwstr>
  </property>
  <property fmtid="{D5CDD505-2E9C-101B-9397-08002B2CF9AE}" pid="4" name="ContentTypeId">
    <vt:lpwstr>0x01010081C51C0CE0027140830352BF468F90BF</vt:lpwstr>
  </property>
  <property fmtid="{D5CDD505-2E9C-101B-9397-08002B2CF9AE}" pid="5" name="KSOTemplateDocerSaveRecord">
    <vt:lpwstr>eyJoZGlkIjoiNjlkMWI3ZDkwZGZmMWJhMTI1MzBkNTU4YjI3MTYzN2YiLCJ1c2VySWQiOiI1MzM4MTgwNDAifQ==</vt:lpwstr>
  </property>
</Properties>
</file>