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3E3D2">
      <w:pPr>
        <w:spacing w:line="360" w:lineRule="auto"/>
        <w:jc w:val="center"/>
        <w:rPr>
          <w:rFonts w:hint="eastAsia" w:ascii="楷体" w:hAnsi="楷体" w:eastAsia="楷体" w:cs="楷体"/>
          <w:color w:val="auto"/>
          <w:sz w:val="28"/>
          <w:szCs w:val="28"/>
          <w:lang w:val="en-US"/>
        </w:rPr>
      </w:pPr>
      <w:r>
        <w:rPr>
          <w:rFonts w:hint="eastAsia" w:ascii="楷体" w:hAnsi="楷体" w:eastAsia="楷体" w:cs="楷体"/>
          <w:b/>
          <w:color w:val="auto"/>
          <w:sz w:val="36"/>
          <w:szCs w:val="36"/>
          <w:lang w:val="en-US"/>
        </w:rPr>
        <w:t>采购需求</w:t>
      </w:r>
    </w:p>
    <w:p w14:paraId="181888EA">
      <w:pPr>
        <w:spacing w:line="480" w:lineRule="auto"/>
        <w:rPr>
          <w:rFonts w:hint="eastAsia" w:ascii="楷体" w:hAnsi="楷体" w:eastAsia="楷体" w:cs="楷体"/>
          <w:b/>
          <w:color w:val="auto"/>
          <w:sz w:val="28"/>
          <w:szCs w:val="28"/>
        </w:rPr>
      </w:pPr>
      <w:r>
        <w:rPr>
          <w:rFonts w:hint="eastAsia" w:ascii="楷体" w:hAnsi="楷体" w:eastAsia="楷体" w:cs="楷体"/>
          <w:b/>
          <w:bCs/>
          <w:color w:val="auto"/>
          <w:sz w:val="28"/>
          <w:szCs w:val="28"/>
        </w:rPr>
        <w:t>一、</w:t>
      </w:r>
      <w:r>
        <w:rPr>
          <w:rFonts w:hint="eastAsia" w:ascii="楷体" w:hAnsi="楷体" w:eastAsia="楷体" w:cs="楷体"/>
          <w:b/>
          <w:color w:val="auto"/>
          <w:sz w:val="28"/>
          <w:szCs w:val="28"/>
        </w:rPr>
        <w:t>项目基本信息</w:t>
      </w:r>
    </w:p>
    <w:p w14:paraId="558D78EE">
      <w:pPr>
        <w:spacing w:line="48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（1）项目名称：</w:t>
      </w:r>
      <w:r>
        <w:rPr>
          <w:rFonts w:hint="eastAsia" w:ascii="楷体" w:hAnsi="楷体" w:eastAsia="楷体" w:cs="楷体"/>
          <w:b w:val="0"/>
          <w:bCs w:val="0"/>
          <w:color w:val="auto"/>
          <w:sz w:val="28"/>
          <w:szCs w:val="28"/>
          <w:highlight w:val="none"/>
          <w:lang w:val="en-US"/>
        </w:rPr>
        <w:t>202</w:t>
      </w:r>
      <w:r>
        <w:rPr>
          <w:rFonts w:hint="eastAsia" w:ascii="楷体" w:hAnsi="楷体" w:eastAsia="楷体" w:cs="楷体"/>
          <w:b w:val="0"/>
          <w:bCs w:val="0"/>
          <w:color w:val="auto"/>
          <w:sz w:val="28"/>
          <w:szCs w:val="28"/>
          <w:highlight w:val="none"/>
          <w:lang w:val="en-US" w:eastAsia="zh-CN"/>
        </w:rPr>
        <w:t>5</w:t>
      </w:r>
      <w:r>
        <w:rPr>
          <w:rFonts w:hint="eastAsia" w:ascii="楷体" w:hAnsi="楷体" w:eastAsia="楷体" w:cs="楷体"/>
          <w:b w:val="0"/>
          <w:bCs w:val="0"/>
          <w:color w:val="auto"/>
          <w:sz w:val="28"/>
          <w:szCs w:val="28"/>
          <w:highlight w:val="none"/>
          <w:lang w:val="en-US"/>
        </w:rPr>
        <w:t>年室外体育健身器材采购</w:t>
      </w:r>
      <w:r>
        <w:rPr>
          <w:rFonts w:hint="eastAsia" w:ascii="楷体" w:hAnsi="楷体" w:eastAsia="楷体" w:cs="楷体"/>
          <w:color w:val="auto"/>
          <w:sz w:val="28"/>
          <w:szCs w:val="28"/>
          <w:highlight w:val="none"/>
        </w:rPr>
        <w:t>。</w:t>
      </w:r>
    </w:p>
    <w:p w14:paraId="2E75555C">
      <w:pPr>
        <w:spacing w:line="48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（2）项目预算：</w:t>
      </w:r>
      <w:r>
        <w:rPr>
          <w:rFonts w:hint="eastAsia" w:ascii="楷体" w:hAnsi="楷体" w:eastAsia="楷体" w:cs="楷体"/>
          <w:color w:val="auto"/>
          <w:sz w:val="28"/>
          <w:szCs w:val="28"/>
          <w:highlight w:val="none"/>
          <w:lang w:val="en-US" w:eastAsia="zh-CN"/>
        </w:rPr>
        <w:t>115</w:t>
      </w:r>
      <w:r>
        <w:rPr>
          <w:rFonts w:hint="eastAsia" w:ascii="楷体" w:hAnsi="楷体" w:eastAsia="楷体" w:cs="楷体"/>
          <w:color w:val="auto"/>
          <w:sz w:val="28"/>
          <w:szCs w:val="28"/>
          <w:highlight w:val="none"/>
        </w:rPr>
        <w:t>万元。</w:t>
      </w:r>
    </w:p>
    <w:p w14:paraId="2F634175">
      <w:pPr>
        <w:spacing w:line="480" w:lineRule="auto"/>
        <w:ind w:firstLine="480"/>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3</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最高限价：</w:t>
      </w:r>
      <w:r>
        <w:rPr>
          <w:rFonts w:hint="eastAsia" w:ascii="楷体" w:hAnsi="楷体" w:eastAsia="楷体" w:cs="楷体"/>
          <w:color w:val="auto"/>
          <w:sz w:val="28"/>
          <w:szCs w:val="28"/>
          <w:highlight w:val="none"/>
          <w:lang w:val="en-US" w:eastAsia="zh-CN"/>
        </w:rPr>
        <w:t>115</w:t>
      </w:r>
      <w:r>
        <w:rPr>
          <w:rFonts w:hint="eastAsia" w:ascii="楷体" w:hAnsi="楷体" w:eastAsia="楷体" w:cs="楷体"/>
          <w:color w:val="auto"/>
          <w:sz w:val="28"/>
          <w:szCs w:val="28"/>
          <w:highlight w:val="none"/>
          <w:shd w:val="clear" w:color="auto" w:fill="FFFFFF"/>
          <w:lang w:val="en-US" w:eastAsia="zh-CN"/>
        </w:rPr>
        <w:t>万元，</w:t>
      </w:r>
      <w:r>
        <w:rPr>
          <w:rFonts w:hint="eastAsia" w:ascii="楷体" w:hAnsi="楷体" w:eastAsia="楷体" w:cs="楷体"/>
          <w:bCs/>
          <w:color w:val="auto"/>
          <w:sz w:val="28"/>
          <w:szCs w:val="28"/>
          <w:highlight w:val="none"/>
          <w:shd w:val="clear" w:color="auto" w:fill="FFFFFF"/>
          <w:lang w:val="en-US"/>
        </w:rPr>
        <w:t>投标人报价超过最高限价的为无效报价，按照无效响应处理。</w:t>
      </w:r>
    </w:p>
    <w:p w14:paraId="64B912C5">
      <w:pPr>
        <w:spacing w:line="48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w:t>
      </w:r>
      <w:r>
        <w:rPr>
          <w:rFonts w:hint="eastAsia" w:ascii="楷体" w:hAnsi="楷体" w:eastAsia="楷体" w:cs="楷体"/>
          <w:color w:val="auto"/>
          <w:sz w:val="28"/>
          <w:szCs w:val="28"/>
          <w:highlight w:val="none"/>
          <w:lang w:val="en-US" w:eastAsia="zh-CN"/>
        </w:rPr>
        <w:t>4</w:t>
      </w:r>
      <w:r>
        <w:rPr>
          <w:rFonts w:hint="eastAsia" w:ascii="楷体" w:hAnsi="楷体" w:eastAsia="楷体" w:cs="楷体"/>
          <w:color w:val="auto"/>
          <w:sz w:val="28"/>
          <w:szCs w:val="28"/>
          <w:highlight w:val="none"/>
        </w:rPr>
        <w:t>）本次招标确定的成交供应商数量：1名。</w:t>
      </w:r>
    </w:p>
    <w:p w14:paraId="5442AB56">
      <w:pPr>
        <w:spacing w:line="48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5</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项目所属行业：</w:t>
      </w:r>
      <w:r>
        <w:rPr>
          <w:rFonts w:hint="eastAsia" w:ascii="楷体" w:hAnsi="楷体" w:eastAsia="楷体" w:cs="楷体"/>
          <w:bCs/>
          <w:color w:val="auto"/>
          <w:sz w:val="28"/>
          <w:szCs w:val="28"/>
          <w:highlight w:val="none"/>
        </w:rPr>
        <w:t>其他未列明行业</w:t>
      </w:r>
      <w:r>
        <w:rPr>
          <w:rFonts w:hint="eastAsia" w:ascii="楷体" w:hAnsi="楷体" w:eastAsia="楷体" w:cs="楷体"/>
          <w:color w:val="auto"/>
          <w:sz w:val="28"/>
          <w:szCs w:val="28"/>
          <w:highlight w:val="none"/>
        </w:rPr>
        <w:t>。</w:t>
      </w:r>
    </w:p>
    <w:p w14:paraId="0F260DFC">
      <w:pPr>
        <w:spacing w:line="480" w:lineRule="auto"/>
        <w:rPr>
          <w:rFonts w:hint="eastAsia" w:ascii="楷体" w:hAnsi="楷体" w:eastAsia="楷体" w:cs="楷体"/>
          <w:b/>
          <w:bCs/>
          <w:color w:val="auto"/>
          <w:sz w:val="28"/>
          <w:szCs w:val="28"/>
        </w:rPr>
      </w:pPr>
      <w:r>
        <w:rPr>
          <w:rFonts w:hint="eastAsia" w:ascii="楷体" w:hAnsi="楷体" w:eastAsia="楷体" w:cs="楷体"/>
          <w:b/>
          <w:bCs/>
          <w:color w:val="auto"/>
          <w:sz w:val="28"/>
          <w:szCs w:val="28"/>
          <w:lang w:eastAsia="zh-CN"/>
        </w:rPr>
        <w:t>二</w:t>
      </w:r>
      <w:r>
        <w:rPr>
          <w:rFonts w:hint="eastAsia" w:ascii="楷体" w:hAnsi="楷体" w:eastAsia="楷体" w:cs="楷体"/>
          <w:b/>
          <w:bCs/>
          <w:color w:val="auto"/>
          <w:sz w:val="28"/>
          <w:szCs w:val="28"/>
        </w:rPr>
        <w:t>、采购标的汇总表</w:t>
      </w:r>
    </w:p>
    <w:p w14:paraId="580C9776">
      <w:pPr>
        <w:spacing w:line="480" w:lineRule="auto"/>
        <w:rPr>
          <w:rFonts w:hint="eastAsia" w:ascii="楷体" w:hAnsi="楷体" w:eastAsia="楷体" w:cs="楷体"/>
          <w:color w:val="auto"/>
          <w:sz w:val="28"/>
          <w:szCs w:val="28"/>
        </w:rPr>
      </w:pPr>
      <w:r>
        <w:rPr>
          <w:rFonts w:hint="eastAsia" w:ascii="楷体" w:hAnsi="楷体" w:eastAsia="楷体" w:cs="楷体"/>
          <w:color w:val="auto"/>
          <w:sz w:val="28"/>
          <w:szCs w:val="28"/>
        </w:rPr>
        <w:t>（一） 采购标的</w:t>
      </w:r>
    </w:p>
    <w:p w14:paraId="6315B7B5">
      <w:pPr>
        <w:spacing w:line="480" w:lineRule="auto"/>
        <w:ind w:firstLine="480"/>
        <w:rPr>
          <w:rFonts w:hint="eastAsia" w:ascii="楷体" w:hAnsi="楷体" w:eastAsia="楷体" w:cs="楷体"/>
          <w:color w:val="auto"/>
          <w:sz w:val="28"/>
          <w:szCs w:val="28"/>
        </w:rPr>
      </w:pPr>
      <w:r>
        <w:rPr>
          <w:rFonts w:hint="eastAsia" w:ascii="楷体" w:hAnsi="楷体" w:eastAsia="楷体" w:cs="楷体"/>
          <w:color w:val="auto"/>
          <w:sz w:val="28"/>
          <w:szCs w:val="28"/>
        </w:rPr>
        <w:t>货物类标的</w:t>
      </w:r>
    </w:p>
    <w:tbl>
      <w:tblPr>
        <w:tblStyle w:val="5"/>
        <w:tblW w:w="8915" w:type="dxa"/>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2"/>
        <w:gridCol w:w="2867"/>
        <w:gridCol w:w="1472"/>
        <w:gridCol w:w="1241"/>
        <w:gridCol w:w="1377"/>
        <w:gridCol w:w="1146"/>
      </w:tblGrid>
      <w:tr w14:paraId="06EBA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blCellSpacing w:w="0" w:type="dxa"/>
          <w:jc w:val="center"/>
        </w:trPr>
        <w:tc>
          <w:tcPr>
            <w:tcW w:w="812" w:type="dxa"/>
            <w:tcBorders>
              <w:top w:val="single" w:color="auto" w:sz="4" w:space="0"/>
              <w:left w:val="single" w:color="auto" w:sz="4" w:space="0"/>
              <w:bottom w:val="single" w:color="auto" w:sz="4" w:space="0"/>
              <w:right w:val="single" w:color="auto" w:sz="4" w:space="0"/>
            </w:tcBorders>
            <w:noWrap/>
            <w:vAlign w:val="center"/>
          </w:tcPr>
          <w:p w14:paraId="43623813">
            <w:pPr>
              <w:pStyle w:val="7"/>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序号</w:t>
            </w:r>
          </w:p>
        </w:tc>
        <w:tc>
          <w:tcPr>
            <w:tcW w:w="2867" w:type="dxa"/>
            <w:tcBorders>
              <w:top w:val="single" w:color="auto" w:sz="4" w:space="0"/>
              <w:left w:val="single" w:color="auto" w:sz="4" w:space="0"/>
              <w:bottom w:val="single" w:color="auto" w:sz="4" w:space="0"/>
              <w:right w:val="single" w:color="auto" w:sz="4" w:space="0"/>
            </w:tcBorders>
            <w:noWrap/>
            <w:vAlign w:val="center"/>
          </w:tcPr>
          <w:p w14:paraId="2728AF21">
            <w:pPr>
              <w:pStyle w:val="7"/>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货物类标的名称</w:t>
            </w:r>
          </w:p>
        </w:tc>
        <w:tc>
          <w:tcPr>
            <w:tcW w:w="1472" w:type="dxa"/>
            <w:tcBorders>
              <w:top w:val="single" w:color="auto" w:sz="4" w:space="0"/>
              <w:left w:val="single" w:color="auto" w:sz="4" w:space="0"/>
              <w:bottom w:val="single" w:color="auto" w:sz="4" w:space="0"/>
              <w:right w:val="single" w:color="auto" w:sz="4" w:space="0"/>
            </w:tcBorders>
            <w:noWrap/>
            <w:vAlign w:val="center"/>
          </w:tcPr>
          <w:p w14:paraId="6D2F9B19">
            <w:pPr>
              <w:pStyle w:val="7"/>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计量单位</w:t>
            </w:r>
          </w:p>
        </w:tc>
        <w:tc>
          <w:tcPr>
            <w:tcW w:w="1241" w:type="dxa"/>
            <w:tcBorders>
              <w:top w:val="single" w:color="auto" w:sz="4" w:space="0"/>
              <w:left w:val="single" w:color="auto" w:sz="4" w:space="0"/>
              <w:bottom w:val="single" w:color="auto" w:sz="4" w:space="0"/>
              <w:right w:val="single" w:color="auto" w:sz="4" w:space="0"/>
            </w:tcBorders>
            <w:noWrap/>
            <w:vAlign w:val="center"/>
          </w:tcPr>
          <w:p w14:paraId="57DF467A">
            <w:pPr>
              <w:pStyle w:val="7"/>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数量</w:t>
            </w:r>
          </w:p>
        </w:tc>
        <w:tc>
          <w:tcPr>
            <w:tcW w:w="1377" w:type="dxa"/>
            <w:tcBorders>
              <w:top w:val="single" w:color="auto" w:sz="4" w:space="0"/>
              <w:left w:val="single" w:color="auto" w:sz="4" w:space="0"/>
              <w:bottom w:val="single" w:color="auto" w:sz="4" w:space="0"/>
              <w:right w:val="single" w:color="auto" w:sz="4" w:space="0"/>
            </w:tcBorders>
            <w:noWrap/>
            <w:vAlign w:val="center"/>
          </w:tcPr>
          <w:p w14:paraId="221A46CF">
            <w:pPr>
              <w:pStyle w:val="7"/>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是否进口</w:t>
            </w:r>
          </w:p>
        </w:tc>
        <w:tc>
          <w:tcPr>
            <w:tcW w:w="1146" w:type="dxa"/>
            <w:tcBorders>
              <w:top w:val="single" w:color="auto" w:sz="4" w:space="0"/>
              <w:left w:val="single" w:color="auto" w:sz="4" w:space="0"/>
              <w:bottom w:val="single" w:color="auto" w:sz="4" w:space="0"/>
              <w:right w:val="single" w:color="auto" w:sz="4" w:space="0"/>
            </w:tcBorders>
            <w:noWrap/>
            <w:vAlign w:val="center"/>
          </w:tcPr>
          <w:p w14:paraId="009CBD4E">
            <w:pPr>
              <w:pStyle w:val="7"/>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备注</w:t>
            </w:r>
          </w:p>
        </w:tc>
      </w:tr>
      <w:tr w14:paraId="18870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2" w:hRule="atLeast"/>
          <w:tblCellSpacing w:w="0" w:type="dxa"/>
          <w:jc w:val="center"/>
        </w:trPr>
        <w:tc>
          <w:tcPr>
            <w:tcW w:w="812" w:type="dxa"/>
            <w:tcBorders>
              <w:top w:val="single" w:color="auto" w:sz="4" w:space="0"/>
              <w:left w:val="single" w:color="auto" w:sz="4" w:space="0"/>
              <w:bottom w:val="single" w:color="auto" w:sz="4" w:space="0"/>
              <w:right w:val="single" w:color="auto" w:sz="4" w:space="0"/>
            </w:tcBorders>
            <w:noWrap/>
            <w:vAlign w:val="center"/>
          </w:tcPr>
          <w:p w14:paraId="1935E6CA">
            <w:pPr>
              <w:spacing w:line="360" w:lineRule="auto"/>
              <w:jc w:val="center"/>
              <w:rPr>
                <w:rFonts w:hint="eastAsia" w:ascii="楷体" w:hAnsi="楷体" w:eastAsia="楷体" w:cs="楷体"/>
                <w:color w:val="auto"/>
                <w:sz w:val="28"/>
                <w:szCs w:val="28"/>
                <w:lang w:val="en-US"/>
              </w:rPr>
            </w:pPr>
            <w:r>
              <w:rPr>
                <w:rFonts w:hint="eastAsia" w:ascii="楷体" w:hAnsi="楷体" w:eastAsia="楷体" w:cs="楷体"/>
                <w:color w:val="auto"/>
                <w:sz w:val="28"/>
                <w:szCs w:val="28"/>
                <w:lang w:val="en-US"/>
              </w:rPr>
              <w:t>1</w:t>
            </w:r>
          </w:p>
        </w:tc>
        <w:tc>
          <w:tcPr>
            <w:tcW w:w="2867" w:type="dxa"/>
            <w:tcBorders>
              <w:top w:val="single" w:color="auto" w:sz="4" w:space="0"/>
              <w:left w:val="single" w:color="auto" w:sz="4" w:space="0"/>
              <w:bottom w:val="single" w:color="auto" w:sz="4" w:space="0"/>
              <w:right w:val="single" w:color="auto" w:sz="4" w:space="0"/>
            </w:tcBorders>
            <w:noWrap/>
            <w:vAlign w:val="center"/>
          </w:tcPr>
          <w:p w14:paraId="0C2B14D5">
            <w:pPr>
              <w:pStyle w:val="7"/>
              <w:spacing w:line="360" w:lineRule="auto"/>
              <w:jc w:val="center"/>
              <w:rPr>
                <w:rFonts w:hint="eastAsia" w:ascii="楷体" w:hAnsi="楷体" w:eastAsia="楷体" w:cs="楷体"/>
                <w:color w:val="auto"/>
                <w:sz w:val="28"/>
                <w:szCs w:val="28"/>
                <w:lang w:eastAsia="zh-CN"/>
              </w:rPr>
            </w:pPr>
            <w:r>
              <w:rPr>
                <w:rFonts w:hint="eastAsia" w:ascii="楷体" w:hAnsi="楷体" w:eastAsia="楷体" w:cs="楷体"/>
                <w:b w:val="0"/>
                <w:bCs w:val="0"/>
                <w:color w:val="auto"/>
                <w:sz w:val="28"/>
                <w:szCs w:val="28"/>
                <w:highlight w:val="none"/>
                <w:lang w:val="en-US"/>
              </w:rPr>
              <w:t>202</w:t>
            </w:r>
            <w:r>
              <w:rPr>
                <w:rFonts w:hint="eastAsia" w:ascii="楷体" w:hAnsi="楷体" w:eastAsia="楷体" w:cs="楷体"/>
                <w:b w:val="0"/>
                <w:bCs w:val="0"/>
                <w:color w:val="auto"/>
                <w:sz w:val="28"/>
                <w:szCs w:val="28"/>
                <w:highlight w:val="none"/>
                <w:lang w:val="en-US" w:eastAsia="zh-CN"/>
              </w:rPr>
              <w:t>5</w:t>
            </w:r>
            <w:r>
              <w:rPr>
                <w:rFonts w:hint="eastAsia" w:ascii="楷体" w:hAnsi="楷体" w:eastAsia="楷体" w:cs="楷体"/>
                <w:b w:val="0"/>
                <w:bCs w:val="0"/>
                <w:color w:val="auto"/>
                <w:sz w:val="28"/>
                <w:szCs w:val="28"/>
                <w:highlight w:val="none"/>
                <w:lang w:val="en-US"/>
              </w:rPr>
              <w:t>年室外体育健身器材采购</w:t>
            </w:r>
          </w:p>
        </w:tc>
        <w:tc>
          <w:tcPr>
            <w:tcW w:w="1472" w:type="dxa"/>
            <w:tcBorders>
              <w:top w:val="single" w:color="auto" w:sz="4" w:space="0"/>
              <w:left w:val="single" w:color="auto" w:sz="4" w:space="0"/>
              <w:bottom w:val="single" w:color="auto" w:sz="4" w:space="0"/>
              <w:right w:val="single" w:color="auto" w:sz="4" w:space="0"/>
            </w:tcBorders>
            <w:noWrap/>
            <w:vAlign w:val="center"/>
          </w:tcPr>
          <w:p w14:paraId="0ACFD020">
            <w:pPr>
              <w:pStyle w:val="7"/>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项</w:t>
            </w:r>
          </w:p>
        </w:tc>
        <w:tc>
          <w:tcPr>
            <w:tcW w:w="1241" w:type="dxa"/>
            <w:tcBorders>
              <w:top w:val="single" w:color="auto" w:sz="4" w:space="0"/>
              <w:left w:val="single" w:color="auto" w:sz="4" w:space="0"/>
              <w:bottom w:val="single" w:color="auto" w:sz="4" w:space="0"/>
              <w:right w:val="single" w:color="auto" w:sz="4" w:space="0"/>
            </w:tcBorders>
            <w:noWrap/>
            <w:vAlign w:val="center"/>
          </w:tcPr>
          <w:p w14:paraId="56590CF0">
            <w:pPr>
              <w:pStyle w:val="7"/>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1.0</w:t>
            </w:r>
          </w:p>
        </w:tc>
        <w:tc>
          <w:tcPr>
            <w:tcW w:w="1377" w:type="dxa"/>
            <w:tcBorders>
              <w:top w:val="single" w:color="auto" w:sz="4" w:space="0"/>
              <w:left w:val="single" w:color="auto" w:sz="4" w:space="0"/>
              <w:bottom w:val="single" w:color="auto" w:sz="4" w:space="0"/>
              <w:right w:val="single" w:color="auto" w:sz="4" w:space="0"/>
            </w:tcBorders>
            <w:noWrap/>
            <w:vAlign w:val="center"/>
          </w:tcPr>
          <w:p w14:paraId="5FB1437C">
            <w:pPr>
              <w:pStyle w:val="7"/>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否</w:t>
            </w:r>
          </w:p>
        </w:tc>
        <w:tc>
          <w:tcPr>
            <w:tcW w:w="1146" w:type="dxa"/>
            <w:tcBorders>
              <w:top w:val="single" w:color="auto" w:sz="4" w:space="0"/>
              <w:left w:val="single" w:color="auto" w:sz="4" w:space="0"/>
              <w:bottom w:val="single" w:color="auto" w:sz="4" w:space="0"/>
              <w:right w:val="single" w:color="auto" w:sz="4" w:space="0"/>
            </w:tcBorders>
            <w:noWrap/>
            <w:vAlign w:val="center"/>
          </w:tcPr>
          <w:p w14:paraId="0DC894B3">
            <w:pPr>
              <w:spacing w:line="360" w:lineRule="auto"/>
              <w:rPr>
                <w:rFonts w:hint="eastAsia" w:ascii="楷体" w:hAnsi="楷体" w:eastAsia="楷体" w:cs="楷体"/>
                <w:color w:val="auto"/>
                <w:sz w:val="28"/>
                <w:szCs w:val="28"/>
              </w:rPr>
            </w:pPr>
          </w:p>
        </w:tc>
      </w:tr>
    </w:tbl>
    <w:p w14:paraId="2796431D">
      <w:pPr>
        <w:spacing w:line="360" w:lineRule="auto"/>
        <w:rPr>
          <w:rFonts w:hint="eastAsia" w:ascii="楷体" w:hAnsi="楷体" w:eastAsia="楷体" w:cs="楷体"/>
          <w:b/>
          <w:bCs/>
          <w:color w:val="auto"/>
          <w:sz w:val="28"/>
          <w:szCs w:val="28"/>
          <w:highlight w:val="none"/>
          <w:lang w:eastAsia="zh-CN"/>
        </w:rPr>
      </w:pPr>
    </w:p>
    <w:p w14:paraId="709E333A">
      <w:pPr>
        <w:spacing w:line="360" w:lineRule="auto"/>
        <w:rPr>
          <w:rFonts w:hint="eastAsia" w:ascii="楷体" w:hAnsi="楷体" w:eastAsia="楷体" w:cs="楷体"/>
          <w:b/>
          <w:bCs/>
          <w:color w:val="auto"/>
          <w:sz w:val="28"/>
          <w:szCs w:val="28"/>
          <w:highlight w:val="none"/>
          <w:lang w:eastAsia="zh-CN"/>
        </w:rPr>
      </w:pPr>
    </w:p>
    <w:p w14:paraId="5C1C95E8">
      <w:pPr>
        <w:spacing w:line="360" w:lineRule="auto"/>
        <w:rPr>
          <w:rFonts w:hint="eastAsia" w:ascii="楷体" w:hAnsi="楷体" w:eastAsia="楷体" w:cs="楷体"/>
          <w:b/>
          <w:bCs/>
          <w:color w:val="auto"/>
          <w:sz w:val="28"/>
          <w:szCs w:val="28"/>
          <w:highlight w:val="none"/>
          <w:lang w:eastAsia="zh-CN"/>
        </w:rPr>
      </w:pPr>
    </w:p>
    <w:p w14:paraId="6F38810A">
      <w:pPr>
        <w:spacing w:line="360" w:lineRule="auto"/>
        <w:rPr>
          <w:rFonts w:hint="eastAsia" w:ascii="楷体" w:hAnsi="楷体" w:eastAsia="楷体" w:cs="楷体"/>
          <w:b/>
          <w:bCs/>
          <w:color w:val="auto"/>
          <w:sz w:val="28"/>
          <w:szCs w:val="28"/>
          <w:highlight w:val="none"/>
          <w:lang w:eastAsia="zh-CN"/>
        </w:rPr>
        <w:sectPr>
          <w:headerReference r:id="rId3" w:type="default"/>
          <w:footerReference r:id="rId4" w:type="default"/>
          <w:pgSz w:w="11907" w:h="16839"/>
          <w:pgMar w:top="1440" w:right="1080" w:bottom="1440" w:left="1080" w:header="720" w:footer="720" w:gutter="0"/>
          <w:pgNumType w:start="1"/>
          <w:cols w:space="1701" w:num="1"/>
          <w:docGrid w:linePitch="360" w:charSpace="0"/>
        </w:sectPr>
      </w:pPr>
    </w:p>
    <w:p w14:paraId="4F84968D">
      <w:pPr>
        <w:widowControl/>
        <w:spacing w:beforeLines="100" w:afterLines="100"/>
        <w:ind w:firstLine="281" w:firstLineChars="100"/>
        <w:jc w:val="left"/>
        <w:rPr>
          <w:rFonts w:hint="default" w:ascii="楷体" w:hAnsi="楷体" w:eastAsia="楷体" w:cs="楷体"/>
          <w:b/>
          <w:bCs/>
          <w:color w:val="auto"/>
          <w:sz w:val="28"/>
          <w:szCs w:val="28"/>
          <w:highlight w:val="none"/>
          <w:lang w:val="en-US" w:eastAsia="zh-CN"/>
        </w:rPr>
      </w:pPr>
      <w:r>
        <w:rPr>
          <w:rFonts w:hint="eastAsia" w:ascii="楷体" w:hAnsi="楷体" w:eastAsia="楷体" w:cs="楷体"/>
          <w:b/>
          <w:bCs/>
          <w:color w:val="auto"/>
          <w:sz w:val="28"/>
          <w:szCs w:val="28"/>
          <w:highlight w:val="none"/>
          <w:lang w:eastAsia="zh-CN"/>
        </w:rPr>
        <w:t>三、</w:t>
      </w:r>
      <w:r>
        <w:rPr>
          <w:rFonts w:hint="eastAsia" w:ascii="楷体" w:hAnsi="楷体" w:eastAsia="楷体" w:cs="楷体"/>
          <w:b/>
          <w:color w:val="auto"/>
          <w:sz w:val="28"/>
          <w:szCs w:val="28"/>
        </w:rPr>
        <w:t>采购项目参数要求</w:t>
      </w:r>
      <w:r>
        <w:rPr>
          <w:rFonts w:hint="eastAsia" w:ascii="楷体" w:hAnsi="楷体" w:eastAsia="楷体" w:cs="楷体"/>
          <w:b/>
          <w:bCs/>
          <w:kern w:val="0"/>
          <w:sz w:val="28"/>
          <w:szCs w:val="28"/>
        </w:rPr>
        <w:t>。</w:t>
      </w:r>
      <w:r>
        <w:rPr>
          <w:rFonts w:hint="eastAsia" w:ascii="楷体" w:hAnsi="楷体" w:eastAsia="楷体" w:cs="楷体"/>
          <w:b/>
          <w:bCs/>
          <w:color w:val="auto"/>
          <w:sz w:val="28"/>
          <w:szCs w:val="28"/>
          <w:highlight w:val="none"/>
          <w:lang w:val="en-US" w:eastAsia="zh-CN"/>
        </w:rPr>
        <w:t xml:space="preserve"> </w:t>
      </w:r>
    </w:p>
    <w:tbl>
      <w:tblPr>
        <w:tblStyle w:val="5"/>
        <w:tblW w:w="86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
        <w:gridCol w:w="1444"/>
        <w:gridCol w:w="5395"/>
        <w:gridCol w:w="901"/>
      </w:tblGrid>
      <w:tr w14:paraId="1C316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886" w:type="dxa"/>
            <w:vAlign w:val="center"/>
          </w:tcPr>
          <w:p w14:paraId="20FB7ED5">
            <w:pPr>
              <w:spacing w:line="360" w:lineRule="auto"/>
              <w:jc w:val="center"/>
              <w:rPr>
                <w:rFonts w:hint="eastAsia" w:ascii="楷体" w:hAnsi="楷体" w:eastAsia="楷体" w:cs="楷体"/>
                <w:b/>
                <w:bCs/>
                <w:sz w:val="28"/>
                <w:szCs w:val="28"/>
              </w:rPr>
            </w:pPr>
            <w:r>
              <w:rPr>
                <w:rFonts w:hint="eastAsia" w:ascii="楷体" w:hAnsi="楷体" w:eastAsia="楷体" w:cs="楷体"/>
                <w:b/>
                <w:bCs/>
                <w:sz w:val="28"/>
                <w:szCs w:val="28"/>
              </w:rPr>
              <w:t>序号</w:t>
            </w:r>
          </w:p>
        </w:tc>
        <w:tc>
          <w:tcPr>
            <w:tcW w:w="1444" w:type="dxa"/>
            <w:vAlign w:val="center"/>
          </w:tcPr>
          <w:p w14:paraId="7E681594">
            <w:pPr>
              <w:spacing w:line="360" w:lineRule="auto"/>
              <w:jc w:val="center"/>
              <w:rPr>
                <w:rFonts w:hint="eastAsia" w:ascii="楷体" w:hAnsi="楷体" w:eastAsia="楷体" w:cs="楷体"/>
                <w:b/>
                <w:bCs/>
                <w:sz w:val="28"/>
                <w:szCs w:val="28"/>
              </w:rPr>
            </w:pPr>
            <w:r>
              <w:rPr>
                <w:rFonts w:hint="eastAsia" w:ascii="楷体" w:hAnsi="楷体" w:eastAsia="楷体" w:cs="楷体"/>
                <w:b/>
                <w:bCs/>
                <w:sz w:val="28"/>
                <w:szCs w:val="28"/>
              </w:rPr>
              <w:t>产品名称</w:t>
            </w:r>
          </w:p>
        </w:tc>
        <w:tc>
          <w:tcPr>
            <w:tcW w:w="5395" w:type="dxa"/>
            <w:vAlign w:val="center"/>
          </w:tcPr>
          <w:p w14:paraId="2E5CF1F1">
            <w:pPr>
              <w:spacing w:line="360" w:lineRule="auto"/>
              <w:jc w:val="center"/>
              <w:rPr>
                <w:rFonts w:hint="eastAsia" w:ascii="楷体" w:hAnsi="楷体" w:eastAsia="楷体" w:cs="楷体"/>
                <w:b/>
                <w:bCs/>
                <w:sz w:val="28"/>
                <w:szCs w:val="28"/>
              </w:rPr>
            </w:pPr>
            <w:r>
              <w:rPr>
                <w:rFonts w:hint="eastAsia" w:ascii="楷体" w:hAnsi="楷体" w:eastAsia="楷体" w:cs="楷体"/>
                <w:b/>
                <w:bCs/>
                <w:sz w:val="28"/>
                <w:szCs w:val="28"/>
              </w:rPr>
              <w:t>招标文件的技术要求</w:t>
            </w:r>
          </w:p>
        </w:tc>
        <w:tc>
          <w:tcPr>
            <w:tcW w:w="901" w:type="dxa"/>
            <w:vAlign w:val="center"/>
          </w:tcPr>
          <w:p w14:paraId="0B766EB0">
            <w:pPr>
              <w:spacing w:line="360" w:lineRule="auto"/>
              <w:jc w:val="center"/>
              <w:rPr>
                <w:rFonts w:hint="eastAsia" w:ascii="楷体" w:hAnsi="楷体" w:eastAsia="楷体" w:cs="楷体"/>
                <w:b/>
                <w:bCs/>
                <w:sz w:val="28"/>
                <w:szCs w:val="28"/>
              </w:rPr>
            </w:pPr>
            <w:r>
              <w:rPr>
                <w:rFonts w:hint="eastAsia" w:ascii="楷体" w:hAnsi="楷体" w:eastAsia="楷体" w:cs="楷体"/>
                <w:b/>
                <w:bCs/>
                <w:sz w:val="28"/>
                <w:szCs w:val="28"/>
              </w:rPr>
              <w:t>数量</w:t>
            </w:r>
          </w:p>
        </w:tc>
      </w:tr>
      <w:tr w14:paraId="34FF2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7" w:hRule="atLeast"/>
          <w:jc w:val="center"/>
        </w:trPr>
        <w:tc>
          <w:tcPr>
            <w:tcW w:w="886" w:type="dxa"/>
            <w:vAlign w:val="center"/>
          </w:tcPr>
          <w:p w14:paraId="3640730F">
            <w:pPr>
              <w:spacing w:line="360" w:lineRule="auto"/>
              <w:jc w:val="center"/>
              <w:rPr>
                <w:rFonts w:hint="eastAsia" w:ascii="楷体" w:hAnsi="楷体" w:eastAsia="楷体" w:cs="楷体"/>
                <w:sz w:val="28"/>
                <w:szCs w:val="28"/>
              </w:rPr>
            </w:pPr>
            <w:r>
              <w:rPr>
                <w:rFonts w:hint="eastAsia" w:ascii="楷体" w:hAnsi="楷体" w:eastAsia="楷体" w:cs="楷体"/>
                <w:sz w:val="28"/>
                <w:szCs w:val="28"/>
              </w:rPr>
              <w:t>1</w:t>
            </w:r>
          </w:p>
        </w:tc>
        <w:tc>
          <w:tcPr>
            <w:tcW w:w="1444" w:type="dxa"/>
            <w:vAlign w:val="center"/>
          </w:tcPr>
          <w:p w14:paraId="14A384F8">
            <w:pPr>
              <w:spacing w:line="360" w:lineRule="auto"/>
              <w:jc w:val="center"/>
              <w:rPr>
                <w:rFonts w:hint="eastAsia" w:ascii="楷体" w:hAnsi="楷体" w:eastAsia="楷体" w:cs="楷体"/>
                <w:sz w:val="28"/>
                <w:szCs w:val="28"/>
              </w:rPr>
            </w:pPr>
            <w:r>
              <w:rPr>
                <w:rFonts w:hint="eastAsia" w:ascii="楷体" w:hAnsi="楷体" w:eastAsia="楷体" w:cs="楷体"/>
                <w:sz w:val="28"/>
                <w:szCs w:val="28"/>
              </w:rPr>
              <w:t>告示牌</w:t>
            </w:r>
          </w:p>
        </w:tc>
        <w:tc>
          <w:tcPr>
            <w:tcW w:w="5395" w:type="dxa"/>
          </w:tcPr>
          <w:p w14:paraId="48ACAAFD">
            <w:pPr>
              <w:spacing w:line="360" w:lineRule="auto"/>
              <w:rPr>
                <w:rFonts w:hint="eastAsia" w:ascii="楷体" w:hAnsi="楷体" w:eastAsia="楷体" w:cs="楷体"/>
                <w:sz w:val="28"/>
                <w:szCs w:val="28"/>
                <w:highlight w:val="none"/>
              </w:rPr>
            </w:pPr>
            <w:r>
              <w:rPr>
                <w:rFonts w:hint="eastAsia" w:ascii="楷体" w:hAnsi="楷体" w:eastAsia="楷体" w:cs="楷体"/>
                <w:sz w:val="28"/>
                <w:szCs w:val="28"/>
              </w:rPr>
              <w:t>★</w:t>
            </w:r>
            <w:r>
              <w:rPr>
                <w:rFonts w:hint="eastAsia" w:ascii="楷体" w:hAnsi="楷体" w:eastAsia="楷体" w:cs="楷体"/>
                <w:b/>
                <w:bCs/>
                <w:sz w:val="28"/>
                <w:szCs w:val="28"/>
                <w:lang w:val="en-US" w:eastAsia="zh-CN"/>
              </w:rPr>
              <w:t>1、</w:t>
            </w:r>
            <w:r>
              <w:rPr>
                <w:rFonts w:hint="eastAsia" w:ascii="楷体" w:hAnsi="楷体" w:eastAsia="楷体" w:cs="楷体"/>
                <w:sz w:val="28"/>
                <w:szCs w:val="28"/>
              </w:rPr>
              <w:t>器材具有第三方认证机构出具的符合GB19272—2011《室外健身器材的安全通用要求》产品认证证书和有效期内的证书确认函加盖制造商公章佐证</w:t>
            </w:r>
            <w:r>
              <w:rPr>
                <w:rFonts w:hint="eastAsia" w:ascii="楷体" w:hAnsi="楷体" w:eastAsia="楷体" w:cs="楷体"/>
                <w:sz w:val="28"/>
                <w:szCs w:val="28"/>
                <w:highlight w:val="none"/>
              </w:rPr>
              <w:t>和国家体育用品质量监督检验中心的检测报告。</w:t>
            </w:r>
          </w:p>
          <w:p w14:paraId="170389CB">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2</w:t>
            </w:r>
            <w:r>
              <w:rPr>
                <w:rFonts w:hint="eastAsia" w:ascii="楷体" w:hAnsi="楷体" w:eastAsia="楷体" w:cs="楷体"/>
                <w:b/>
                <w:bCs/>
                <w:sz w:val="28"/>
                <w:szCs w:val="28"/>
              </w:rPr>
              <w:t>、</w:t>
            </w:r>
            <w:r>
              <w:rPr>
                <w:rFonts w:hint="eastAsia" w:ascii="楷体" w:hAnsi="楷体" w:eastAsia="楷体" w:cs="楷体"/>
                <w:sz w:val="28"/>
                <w:szCs w:val="28"/>
              </w:rPr>
              <w:t>立柱规格不小于φ114mm×3mm；</w:t>
            </w:r>
          </w:p>
          <w:p w14:paraId="45BB28ED">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3</w:t>
            </w:r>
            <w:r>
              <w:rPr>
                <w:rFonts w:hint="eastAsia" w:ascii="楷体" w:hAnsi="楷体" w:eastAsia="楷体" w:cs="楷体"/>
                <w:b/>
                <w:bCs/>
                <w:sz w:val="28"/>
                <w:szCs w:val="28"/>
              </w:rPr>
              <w:t>、</w:t>
            </w:r>
            <w:r>
              <w:rPr>
                <w:rFonts w:hint="eastAsia" w:ascii="楷体" w:hAnsi="楷体" w:eastAsia="楷体" w:cs="楷体"/>
                <w:sz w:val="28"/>
                <w:szCs w:val="28"/>
              </w:rPr>
              <w:t>告示牌面板采用不锈钢材质，厚度不小于1mm，面板边缘及尖角不得翘起，图样及字样蚀刻处理。</w:t>
            </w:r>
          </w:p>
          <w:p w14:paraId="7564446E">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4</w:t>
            </w:r>
            <w:r>
              <w:rPr>
                <w:rFonts w:hint="eastAsia" w:ascii="楷体" w:hAnsi="楷体" w:eastAsia="楷体" w:cs="楷体"/>
                <w:b/>
                <w:bCs/>
                <w:sz w:val="28"/>
                <w:szCs w:val="28"/>
              </w:rPr>
              <w:t>、</w:t>
            </w:r>
            <w:r>
              <w:rPr>
                <w:rFonts w:hint="eastAsia" w:ascii="楷体" w:hAnsi="楷体" w:eastAsia="楷体" w:cs="楷体"/>
                <w:sz w:val="28"/>
                <w:szCs w:val="28"/>
              </w:rPr>
              <w:t>告示牌内容至少包含以下内容：</w:t>
            </w:r>
          </w:p>
          <w:p w14:paraId="1291AC41">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4</w:t>
            </w:r>
            <w:r>
              <w:rPr>
                <w:rFonts w:hint="eastAsia" w:ascii="楷体" w:hAnsi="楷体" w:eastAsia="楷体" w:cs="楷体"/>
                <w:b/>
                <w:bCs/>
                <w:sz w:val="28"/>
                <w:szCs w:val="28"/>
              </w:rPr>
              <w:t>.1、</w:t>
            </w:r>
            <w:r>
              <w:rPr>
                <w:rFonts w:hint="eastAsia" w:ascii="楷体" w:hAnsi="楷体" w:eastAsia="楷体" w:cs="楷体"/>
                <w:sz w:val="28"/>
                <w:szCs w:val="28"/>
              </w:rPr>
              <w:t>简明的热身运动说明或图示。</w:t>
            </w:r>
          </w:p>
          <w:p w14:paraId="7E544702">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4</w:t>
            </w:r>
            <w:r>
              <w:rPr>
                <w:rFonts w:hint="eastAsia" w:ascii="楷体" w:hAnsi="楷体" w:eastAsia="楷体" w:cs="楷体"/>
                <w:b/>
                <w:bCs/>
                <w:sz w:val="28"/>
                <w:szCs w:val="28"/>
              </w:rPr>
              <w:t>.2、</w:t>
            </w:r>
            <w:r>
              <w:rPr>
                <w:rFonts w:hint="eastAsia" w:ascii="楷体" w:hAnsi="楷体" w:eastAsia="楷体" w:cs="楷体"/>
                <w:sz w:val="28"/>
                <w:szCs w:val="28"/>
              </w:rPr>
              <w:t>以图示方式介绍健身器材正确的锻炼方法。</w:t>
            </w:r>
          </w:p>
          <w:p w14:paraId="7C444A2C">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4</w:t>
            </w:r>
            <w:r>
              <w:rPr>
                <w:rFonts w:hint="eastAsia" w:ascii="楷体" w:hAnsi="楷体" w:eastAsia="楷体" w:cs="楷体"/>
                <w:b/>
                <w:bCs/>
                <w:sz w:val="28"/>
                <w:szCs w:val="28"/>
              </w:rPr>
              <w:t>.3、</w:t>
            </w:r>
            <w:r>
              <w:rPr>
                <w:rFonts w:hint="eastAsia" w:ascii="楷体" w:hAnsi="楷体" w:eastAsia="楷体" w:cs="楷体"/>
                <w:sz w:val="28"/>
                <w:szCs w:val="28"/>
              </w:rPr>
              <w:t>简明的安全警示说明包括发现器材有缺陷应立即停止使用直到修复的说明。</w:t>
            </w:r>
          </w:p>
          <w:p w14:paraId="04D5E7D7">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4</w:t>
            </w:r>
            <w:r>
              <w:rPr>
                <w:rFonts w:hint="eastAsia" w:ascii="楷体" w:hAnsi="楷体" w:eastAsia="楷体" w:cs="楷体"/>
                <w:b/>
                <w:bCs/>
                <w:sz w:val="28"/>
                <w:szCs w:val="28"/>
              </w:rPr>
              <w:t>.4、</w:t>
            </w:r>
            <w:r>
              <w:rPr>
                <w:rFonts w:hint="eastAsia" w:ascii="楷体" w:hAnsi="楷体" w:eastAsia="楷体" w:cs="楷体"/>
                <w:sz w:val="28"/>
                <w:szCs w:val="28"/>
              </w:rPr>
              <w:t>器材供应商的全称，售后服务电话及督查电话。</w:t>
            </w:r>
          </w:p>
          <w:p w14:paraId="3A1B1D9B">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4</w:t>
            </w:r>
            <w:r>
              <w:rPr>
                <w:rFonts w:hint="eastAsia" w:ascii="楷体" w:hAnsi="楷体" w:eastAsia="楷体" w:cs="楷体"/>
                <w:b/>
                <w:bCs/>
                <w:sz w:val="28"/>
                <w:szCs w:val="28"/>
              </w:rPr>
              <w:t>.5、</w:t>
            </w:r>
            <w:r>
              <w:rPr>
                <w:rFonts w:hint="eastAsia" w:ascii="楷体" w:hAnsi="楷体" w:eastAsia="楷体" w:cs="楷体"/>
                <w:sz w:val="28"/>
                <w:szCs w:val="28"/>
              </w:rPr>
              <w:t>管理维护单位及联系电话。</w:t>
            </w:r>
          </w:p>
          <w:p w14:paraId="2C098F76">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4</w:t>
            </w:r>
            <w:r>
              <w:rPr>
                <w:rFonts w:hint="eastAsia" w:ascii="楷体" w:hAnsi="楷体" w:eastAsia="楷体" w:cs="楷体"/>
                <w:b/>
                <w:bCs/>
                <w:sz w:val="28"/>
                <w:szCs w:val="28"/>
                <w:lang w:val="en-US"/>
              </w:rPr>
              <w:t>.6</w:t>
            </w:r>
            <w:r>
              <w:rPr>
                <w:rFonts w:hint="eastAsia" w:ascii="楷体" w:hAnsi="楷体" w:eastAsia="楷体" w:cs="楷体"/>
                <w:b/>
                <w:bCs/>
                <w:sz w:val="28"/>
                <w:szCs w:val="28"/>
              </w:rPr>
              <w:t>、</w:t>
            </w:r>
            <w:r>
              <w:rPr>
                <w:rFonts w:hint="eastAsia" w:ascii="楷体" w:hAnsi="楷体" w:eastAsia="楷体" w:cs="楷体"/>
                <w:sz w:val="28"/>
                <w:szCs w:val="28"/>
              </w:rPr>
              <w:t>在明显位置印有“丹徒区文体广电和旅游局赠”字样、中国体育彩票LOGO标志和报修二维码。</w:t>
            </w:r>
          </w:p>
        </w:tc>
        <w:tc>
          <w:tcPr>
            <w:tcW w:w="901" w:type="dxa"/>
            <w:vAlign w:val="center"/>
          </w:tcPr>
          <w:p w14:paraId="44434CA5">
            <w:pPr>
              <w:spacing w:line="360" w:lineRule="auto"/>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65</w:t>
            </w:r>
          </w:p>
        </w:tc>
      </w:tr>
      <w:tr w14:paraId="76FBE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3" w:hRule="atLeast"/>
          <w:jc w:val="center"/>
        </w:trPr>
        <w:tc>
          <w:tcPr>
            <w:tcW w:w="886" w:type="dxa"/>
            <w:vAlign w:val="center"/>
          </w:tcPr>
          <w:p w14:paraId="1AE6D06C">
            <w:pPr>
              <w:spacing w:line="360" w:lineRule="auto"/>
              <w:jc w:val="center"/>
              <w:rPr>
                <w:rFonts w:hint="eastAsia" w:ascii="楷体" w:hAnsi="楷体" w:eastAsia="楷体" w:cs="楷体"/>
                <w:sz w:val="28"/>
                <w:szCs w:val="28"/>
              </w:rPr>
            </w:pPr>
            <w:r>
              <w:rPr>
                <w:rFonts w:hint="eastAsia" w:ascii="楷体" w:hAnsi="楷体" w:eastAsia="楷体" w:cs="楷体"/>
                <w:sz w:val="28"/>
                <w:szCs w:val="28"/>
              </w:rPr>
              <w:t>2</w:t>
            </w:r>
          </w:p>
        </w:tc>
        <w:tc>
          <w:tcPr>
            <w:tcW w:w="1444" w:type="dxa"/>
            <w:vAlign w:val="center"/>
          </w:tcPr>
          <w:p w14:paraId="3308F521">
            <w:pPr>
              <w:spacing w:line="360" w:lineRule="auto"/>
              <w:jc w:val="center"/>
              <w:rPr>
                <w:rFonts w:hint="eastAsia" w:ascii="楷体" w:hAnsi="楷体" w:eastAsia="楷体" w:cs="楷体"/>
                <w:sz w:val="28"/>
                <w:szCs w:val="28"/>
              </w:rPr>
            </w:pPr>
            <w:r>
              <w:rPr>
                <w:rFonts w:hint="eastAsia" w:ascii="楷体" w:hAnsi="楷体" w:eastAsia="楷体" w:cs="楷体"/>
                <w:sz w:val="28"/>
                <w:szCs w:val="28"/>
                <w:lang w:val="en-US"/>
              </w:rPr>
              <w:t>三位扭腰器</w:t>
            </w:r>
          </w:p>
        </w:tc>
        <w:tc>
          <w:tcPr>
            <w:tcW w:w="5395" w:type="dxa"/>
          </w:tcPr>
          <w:p w14:paraId="3331E7A6">
            <w:pPr>
              <w:spacing w:line="360" w:lineRule="auto"/>
              <w:rPr>
                <w:rFonts w:hint="eastAsia"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b/>
                <w:bCs/>
                <w:sz w:val="28"/>
                <w:szCs w:val="28"/>
                <w:lang w:val="en-US" w:eastAsia="zh-CN"/>
              </w:rPr>
              <w:t>1、</w:t>
            </w:r>
            <w:r>
              <w:rPr>
                <w:rFonts w:hint="eastAsia" w:ascii="楷体" w:hAnsi="楷体" w:eastAsia="楷体" w:cs="楷体"/>
                <w:sz w:val="28"/>
                <w:szCs w:val="28"/>
              </w:rPr>
              <w:t>器材具有第三方认证机构出具的符合GB19272—2011《室外健身器材的安全通用要求》产品认证证书和有效期内的证书确认函加盖制造商公章佐证和国家体育用品质量监督检验中心的检测报告。</w:t>
            </w:r>
          </w:p>
          <w:p w14:paraId="7E028AC5">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2</w:t>
            </w:r>
            <w:r>
              <w:rPr>
                <w:rFonts w:hint="eastAsia" w:ascii="楷体" w:hAnsi="楷体" w:eastAsia="楷体" w:cs="楷体"/>
                <w:b/>
                <w:bCs/>
                <w:sz w:val="28"/>
                <w:szCs w:val="28"/>
                <w:lang w:val="en-US"/>
              </w:rPr>
              <w:t>、</w:t>
            </w:r>
            <w:r>
              <w:rPr>
                <w:rFonts w:hint="eastAsia" w:ascii="楷体" w:hAnsi="楷体" w:eastAsia="楷体" w:cs="楷体"/>
                <w:sz w:val="28"/>
                <w:szCs w:val="28"/>
                <w:lang w:val="en-US"/>
              </w:rPr>
              <w:t xml:space="preserve">主要承载立柱应采用不小于Φ114×3mm标准管材， </w:t>
            </w:r>
          </w:p>
          <w:p w14:paraId="49BEEAAD">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3</w:t>
            </w:r>
            <w:r>
              <w:rPr>
                <w:rFonts w:hint="eastAsia" w:ascii="楷体" w:hAnsi="楷体" w:eastAsia="楷体" w:cs="楷体"/>
                <w:b/>
                <w:bCs/>
                <w:sz w:val="28"/>
                <w:szCs w:val="28"/>
                <w:lang w:val="en-US"/>
              </w:rPr>
              <w:t>、</w:t>
            </w:r>
            <w:r>
              <w:rPr>
                <w:rFonts w:hint="eastAsia" w:ascii="楷体" w:hAnsi="楷体" w:eastAsia="楷体" w:cs="楷体"/>
                <w:sz w:val="28"/>
                <w:szCs w:val="28"/>
                <w:lang w:val="en-US"/>
              </w:rPr>
              <w:t>主要承载横梁尺寸≥φ32×2.5mm；</w:t>
            </w:r>
          </w:p>
          <w:p w14:paraId="795C83F2">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4</w:t>
            </w:r>
            <w:r>
              <w:rPr>
                <w:rFonts w:hint="eastAsia" w:ascii="楷体" w:hAnsi="楷体" w:eastAsia="楷体" w:cs="楷体"/>
                <w:b/>
                <w:bCs/>
                <w:sz w:val="28"/>
                <w:szCs w:val="28"/>
                <w:lang w:val="en-US"/>
              </w:rPr>
              <w:t>、</w:t>
            </w:r>
            <w:r>
              <w:rPr>
                <w:rFonts w:hint="eastAsia" w:ascii="楷体" w:hAnsi="楷体" w:eastAsia="楷体" w:cs="楷体"/>
                <w:sz w:val="28"/>
                <w:szCs w:val="28"/>
                <w:lang w:val="en-US"/>
              </w:rPr>
              <w:t>立柱采用外扣式钢制封头，可防止雨水流入；</w:t>
            </w:r>
          </w:p>
          <w:p w14:paraId="06A85D4A">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5</w:t>
            </w:r>
            <w:r>
              <w:rPr>
                <w:rFonts w:hint="eastAsia" w:ascii="楷体" w:hAnsi="楷体" w:eastAsia="楷体" w:cs="楷体"/>
                <w:b/>
                <w:bCs/>
                <w:sz w:val="28"/>
                <w:szCs w:val="28"/>
                <w:lang w:val="en-US"/>
              </w:rPr>
              <w:t>、</w:t>
            </w:r>
            <w:r>
              <w:rPr>
                <w:rFonts w:hint="eastAsia" w:ascii="楷体" w:hAnsi="楷体" w:eastAsia="楷体" w:cs="楷体"/>
                <w:sz w:val="28"/>
                <w:szCs w:val="28"/>
              </w:rPr>
              <w:t>在明显位置印有“丹徒区文体广电和旅游局赠”字样、中国体育彩票LOGO标志和报修二维码。</w:t>
            </w:r>
          </w:p>
        </w:tc>
        <w:tc>
          <w:tcPr>
            <w:tcW w:w="901" w:type="dxa"/>
            <w:vAlign w:val="center"/>
          </w:tcPr>
          <w:p w14:paraId="308635DF">
            <w:pPr>
              <w:spacing w:line="360" w:lineRule="auto"/>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65</w:t>
            </w:r>
          </w:p>
        </w:tc>
      </w:tr>
      <w:tr w14:paraId="2698B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 w:type="dxa"/>
            <w:vAlign w:val="center"/>
          </w:tcPr>
          <w:p w14:paraId="6CA2C2C8">
            <w:pPr>
              <w:spacing w:line="360" w:lineRule="auto"/>
              <w:jc w:val="center"/>
              <w:rPr>
                <w:rFonts w:hint="eastAsia" w:ascii="楷体" w:hAnsi="楷体" w:eastAsia="楷体" w:cs="楷体"/>
                <w:sz w:val="28"/>
                <w:szCs w:val="28"/>
              </w:rPr>
            </w:pPr>
          </w:p>
          <w:p w14:paraId="1B3D29E2">
            <w:pPr>
              <w:spacing w:line="360" w:lineRule="auto"/>
              <w:jc w:val="center"/>
              <w:rPr>
                <w:rFonts w:hint="eastAsia" w:ascii="楷体" w:hAnsi="楷体" w:eastAsia="楷体" w:cs="楷体"/>
                <w:sz w:val="28"/>
                <w:szCs w:val="28"/>
              </w:rPr>
            </w:pPr>
          </w:p>
          <w:p w14:paraId="10C91B77">
            <w:pPr>
              <w:spacing w:line="360" w:lineRule="auto"/>
              <w:jc w:val="center"/>
              <w:rPr>
                <w:rFonts w:hint="eastAsia" w:ascii="楷体" w:hAnsi="楷体" w:eastAsia="楷体" w:cs="楷体"/>
                <w:sz w:val="28"/>
                <w:szCs w:val="28"/>
              </w:rPr>
            </w:pPr>
          </w:p>
          <w:p w14:paraId="1A1BD52A">
            <w:pPr>
              <w:spacing w:line="360" w:lineRule="auto"/>
              <w:jc w:val="center"/>
              <w:rPr>
                <w:rFonts w:hint="eastAsia" w:ascii="楷体" w:hAnsi="楷体" w:eastAsia="楷体" w:cs="楷体"/>
                <w:sz w:val="28"/>
                <w:szCs w:val="28"/>
              </w:rPr>
            </w:pPr>
            <w:r>
              <w:rPr>
                <w:rFonts w:hint="eastAsia" w:ascii="楷体" w:hAnsi="楷体" w:eastAsia="楷体" w:cs="楷体"/>
                <w:sz w:val="28"/>
                <w:szCs w:val="28"/>
              </w:rPr>
              <w:t>3</w:t>
            </w:r>
          </w:p>
        </w:tc>
        <w:tc>
          <w:tcPr>
            <w:tcW w:w="1444" w:type="dxa"/>
            <w:vAlign w:val="center"/>
          </w:tcPr>
          <w:p w14:paraId="44A60B01">
            <w:pPr>
              <w:spacing w:line="360" w:lineRule="auto"/>
              <w:jc w:val="center"/>
              <w:rPr>
                <w:rFonts w:hint="eastAsia" w:ascii="楷体" w:hAnsi="楷体" w:eastAsia="楷体" w:cs="楷体"/>
                <w:sz w:val="28"/>
                <w:szCs w:val="28"/>
                <w:lang w:val="en-US"/>
              </w:rPr>
            </w:pPr>
          </w:p>
          <w:p w14:paraId="71E35EF4">
            <w:pPr>
              <w:spacing w:line="360" w:lineRule="auto"/>
              <w:jc w:val="center"/>
              <w:rPr>
                <w:rFonts w:hint="eastAsia" w:ascii="楷体" w:hAnsi="楷体" w:eastAsia="楷体" w:cs="楷体"/>
                <w:sz w:val="28"/>
                <w:szCs w:val="28"/>
                <w:lang w:val="en-US"/>
              </w:rPr>
            </w:pPr>
          </w:p>
          <w:p w14:paraId="5796E2C2">
            <w:pPr>
              <w:spacing w:line="360" w:lineRule="auto"/>
              <w:jc w:val="center"/>
              <w:rPr>
                <w:rFonts w:hint="eastAsia" w:ascii="楷体" w:hAnsi="楷体" w:eastAsia="楷体" w:cs="楷体"/>
                <w:sz w:val="28"/>
                <w:szCs w:val="28"/>
              </w:rPr>
            </w:pPr>
            <w:r>
              <w:rPr>
                <w:rFonts w:hint="eastAsia" w:ascii="楷体" w:hAnsi="楷体" w:eastAsia="楷体" w:cs="楷体"/>
                <w:sz w:val="28"/>
                <w:szCs w:val="28"/>
                <w:lang w:val="en-US"/>
              </w:rPr>
              <w:t>上肢牵引器</w:t>
            </w:r>
          </w:p>
        </w:tc>
        <w:tc>
          <w:tcPr>
            <w:tcW w:w="5395" w:type="dxa"/>
          </w:tcPr>
          <w:p w14:paraId="292B6B4A">
            <w:pPr>
              <w:spacing w:line="360" w:lineRule="auto"/>
              <w:rPr>
                <w:rFonts w:hint="eastAsia"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b/>
                <w:bCs/>
                <w:sz w:val="28"/>
                <w:szCs w:val="28"/>
                <w:lang w:val="en-US" w:eastAsia="zh-CN"/>
              </w:rPr>
              <w:t>1、</w:t>
            </w:r>
            <w:r>
              <w:rPr>
                <w:rFonts w:hint="eastAsia" w:ascii="楷体" w:hAnsi="楷体" w:eastAsia="楷体" w:cs="楷体"/>
                <w:sz w:val="28"/>
                <w:szCs w:val="28"/>
              </w:rPr>
              <w:t>器材具有第三方认证机构出具的符合GB19272—2011《室外健身器材的安全通用要求》产品认证证书和有效期内的证书确认函加盖制造商公章佐证和国家体育用品质量监督检验中心的检测报告。</w:t>
            </w:r>
          </w:p>
          <w:p w14:paraId="4E47A0B7">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2</w:t>
            </w:r>
            <w:r>
              <w:rPr>
                <w:rFonts w:hint="eastAsia" w:ascii="楷体" w:hAnsi="楷体" w:eastAsia="楷体" w:cs="楷体"/>
                <w:b/>
                <w:bCs/>
                <w:sz w:val="28"/>
                <w:szCs w:val="28"/>
                <w:lang w:val="en-US"/>
              </w:rPr>
              <w:t>、</w:t>
            </w:r>
            <w:r>
              <w:rPr>
                <w:rFonts w:hint="eastAsia" w:ascii="楷体" w:hAnsi="楷体" w:eastAsia="楷体" w:cs="楷体"/>
                <w:sz w:val="28"/>
                <w:szCs w:val="28"/>
                <w:lang w:val="en-US"/>
              </w:rPr>
              <w:t>主要承载立柱应采用不小于φ114×3mm标准管材；</w:t>
            </w:r>
          </w:p>
          <w:p w14:paraId="6D886813">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3</w:t>
            </w:r>
            <w:r>
              <w:rPr>
                <w:rFonts w:hint="eastAsia" w:ascii="楷体" w:hAnsi="楷体" w:eastAsia="楷体" w:cs="楷体"/>
                <w:b/>
                <w:bCs/>
                <w:sz w:val="28"/>
                <w:szCs w:val="28"/>
                <w:lang w:val="en-US"/>
              </w:rPr>
              <w:t>、</w:t>
            </w:r>
            <w:r>
              <w:rPr>
                <w:rFonts w:hint="eastAsia" w:ascii="楷体" w:hAnsi="楷体" w:eastAsia="楷体" w:cs="楷体"/>
                <w:sz w:val="28"/>
                <w:szCs w:val="28"/>
                <w:lang w:val="en-US"/>
              </w:rPr>
              <w:t>活动把手（不含柔性部件）质量不大于600g；</w:t>
            </w:r>
          </w:p>
          <w:p w14:paraId="3E04A77B">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4</w:t>
            </w:r>
            <w:r>
              <w:rPr>
                <w:rFonts w:hint="eastAsia" w:ascii="楷体" w:hAnsi="楷体" w:eastAsia="楷体" w:cs="楷体"/>
                <w:b/>
                <w:bCs/>
                <w:sz w:val="28"/>
                <w:szCs w:val="28"/>
                <w:lang w:val="en-US"/>
              </w:rPr>
              <w:t>、</w:t>
            </w:r>
            <w:r>
              <w:rPr>
                <w:rFonts w:hint="eastAsia" w:ascii="楷体" w:hAnsi="楷体" w:eastAsia="楷体" w:cs="楷体"/>
                <w:sz w:val="28"/>
                <w:szCs w:val="28"/>
                <w:lang w:val="en-US"/>
              </w:rPr>
              <w:t>轴承应采取有效的防水、防尘措施。</w:t>
            </w:r>
          </w:p>
          <w:p w14:paraId="309BB96F">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5</w:t>
            </w:r>
            <w:r>
              <w:rPr>
                <w:rFonts w:hint="eastAsia" w:ascii="楷体" w:hAnsi="楷体" w:eastAsia="楷体" w:cs="楷体"/>
                <w:b/>
                <w:bCs/>
                <w:sz w:val="28"/>
                <w:szCs w:val="28"/>
                <w:lang w:val="en-US"/>
              </w:rPr>
              <w:t>、</w:t>
            </w:r>
            <w:r>
              <w:rPr>
                <w:rFonts w:hint="eastAsia" w:ascii="楷体" w:hAnsi="楷体" w:eastAsia="楷体" w:cs="楷体"/>
                <w:sz w:val="28"/>
                <w:szCs w:val="28"/>
              </w:rPr>
              <w:t>在明显位置印有“丹徒区文体广电和旅游局赠”字样、中国体育彩票LOGO标志和报修二维码。</w:t>
            </w:r>
          </w:p>
        </w:tc>
        <w:tc>
          <w:tcPr>
            <w:tcW w:w="901" w:type="dxa"/>
            <w:vAlign w:val="center"/>
          </w:tcPr>
          <w:p w14:paraId="43E14C27">
            <w:pPr>
              <w:spacing w:line="360" w:lineRule="auto"/>
              <w:jc w:val="center"/>
              <w:rPr>
                <w:rFonts w:hint="eastAsia" w:ascii="楷体" w:hAnsi="楷体" w:eastAsia="楷体" w:cs="楷体"/>
                <w:sz w:val="28"/>
                <w:szCs w:val="28"/>
                <w:lang w:val="en-US"/>
              </w:rPr>
            </w:pPr>
          </w:p>
          <w:p w14:paraId="224FD72C">
            <w:pPr>
              <w:spacing w:line="360" w:lineRule="auto"/>
              <w:jc w:val="center"/>
              <w:rPr>
                <w:rFonts w:hint="eastAsia" w:ascii="楷体" w:hAnsi="楷体" w:eastAsia="楷体" w:cs="楷体"/>
                <w:sz w:val="28"/>
                <w:szCs w:val="28"/>
                <w:lang w:val="en-US"/>
              </w:rPr>
            </w:pPr>
          </w:p>
          <w:p w14:paraId="1D910A49">
            <w:pPr>
              <w:spacing w:line="360" w:lineRule="auto"/>
              <w:jc w:val="center"/>
              <w:rPr>
                <w:rFonts w:hint="eastAsia" w:ascii="楷体" w:hAnsi="楷体" w:eastAsia="楷体" w:cs="楷体"/>
                <w:sz w:val="28"/>
                <w:szCs w:val="28"/>
                <w:lang w:val="en-US"/>
              </w:rPr>
            </w:pPr>
          </w:p>
          <w:p w14:paraId="432874D6">
            <w:pPr>
              <w:spacing w:line="360" w:lineRule="auto"/>
              <w:jc w:val="center"/>
              <w:rPr>
                <w:rFonts w:hint="eastAsia" w:ascii="楷体" w:hAnsi="楷体" w:eastAsia="楷体" w:cs="楷体"/>
                <w:sz w:val="28"/>
                <w:szCs w:val="28"/>
                <w:lang w:val="en-US"/>
              </w:rPr>
            </w:pPr>
            <w:r>
              <w:rPr>
                <w:rFonts w:hint="eastAsia" w:ascii="楷体" w:hAnsi="楷体" w:eastAsia="楷体" w:cs="楷体"/>
                <w:sz w:val="28"/>
                <w:szCs w:val="28"/>
                <w:lang w:val="en-US"/>
              </w:rPr>
              <w:t>65</w:t>
            </w:r>
          </w:p>
        </w:tc>
      </w:tr>
      <w:tr w14:paraId="10B40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 w:type="dxa"/>
            <w:vAlign w:val="center"/>
          </w:tcPr>
          <w:p w14:paraId="2388CAAB">
            <w:pPr>
              <w:spacing w:line="360" w:lineRule="auto"/>
              <w:jc w:val="center"/>
              <w:rPr>
                <w:rFonts w:hint="eastAsia" w:ascii="楷体" w:hAnsi="楷体" w:eastAsia="楷体" w:cs="楷体"/>
                <w:color w:val="262626" w:themeColor="text1" w:themeTint="D9"/>
                <w:sz w:val="28"/>
                <w:szCs w:val="28"/>
                <w14:textFill>
                  <w14:solidFill>
                    <w14:schemeClr w14:val="tx1">
                      <w14:lumMod w14:val="85000"/>
                      <w14:lumOff w14:val="15000"/>
                    </w14:schemeClr>
                  </w14:solidFill>
                </w14:textFill>
              </w:rPr>
            </w:pPr>
            <w:r>
              <w:rPr>
                <w:rFonts w:hint="eastAsia" w:ascii="楷体" w:hAnsi="楷体" w:eastAsia="楷体" w:cs="楷体"/>
                <w:color w:val="262626" w:themeColor="text1" w:themeTint="D9"/>
                <w:sz w:val="28"/>
                <w:szCs w:val="28"/>
                <w:lang w:val="en-US"/>
                <w14:textFill>
                  <w14:solidFill>
                    <w14:schemeClr w14:val="tx1">
                      <w14:lumMod w14:val="85000"/>
                      <w14:lumOff w14:val="15000"/>
                    </w14:schemeClr>
                  </w14:solidFill>
                </w14:textFill>
              </w:rPr>
              <w:t>4</w:t>
            </w:r>
          </w:p>
        </w:tc>
        <w:tc>
          <w:tcPr>
            <w:tcW w:w="1444" w:type="dxa"/>
            <w:vAlign w:val="center"/>
          </w:tcPr>
          <w:p w14:paraId="64BC6E8C">
            <w:pPr>
              <w:spacing w:line="360" w:lineRule="auto"/>
              <w:jc w:val="center"/>
              <w:rPr>
                <w:rFonts w:hint="eastAsia" w:ascii="楷体" w:hAnsi="楷体" w:eastAsia="楷体" w:cs="楷体"/>
                <w:color w:val="262626" w:themeColor="text1" w:themeTint="D9"/>
                <w:sz w:val="28"/>
                <w:szCs w:val="28"/>
                <w:lang w:val="en-US"/>
                <w14:textFill>
                  <w14:solidFill>
                    <w14:schemeClr w14:val="tx1">
                      <w14:lumMod w14:val="85000"/>
                      <w14:lumOff w14:val="15000"/>
                    </w14:schemeClr>
                  </w14:solidFill>
                </w14:textFill>
              </w:rPr>
            </w:pPr>
            <w:r>
              <w:rPr>
                <w:rFonts w:hint="eastAsia" w:ascii="楷体" w:hAnsi="楷体" w:eastAsia="楷体" w:cs="楷体"/>
                <w:sz w:val="28"/>
                <w:szCs w:val="28"/>
                <w:lang w:val="en-US"/>
              </w:rPr>
              <w:t>伸腰伸背器</w:t>
            </w:r>
          </w:p>
        </w:tc>
        <w:tc>
          <w:tcPr>
            <w:tcW w:w="5395" w:type="dxa"/>
          </w:tcPr>
          <w:p w14:paraId="43884234">
            <w:pPr>
              <w:spacing w:line="360" w:lineRule="auto"/>
              <w:rPr>
                <w:rFonts w:hint="eastAsia"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b/>
                <w:bCs/>
                <w:sz w:val="28"/>
                <w:szCs w:val="28"/>
                <w:lang w:val="en-US" w:eastAsia="zh-CN"/>
              </w:rPr>
              <w:t>1、</w:t>
            </w:r>
            <w:r>
              <w:rPr>
                <w:rFonts w:hint="eastAsia" w:ascii="楷体" w:hAnsi="楷体" w:eastAsia="楷体" w:cs="楷体"/>
                <w:sz w:val="28"/>
                <w:szCs w:val="28"/>
              </w:rPr>
              <w:t>器材具有第三方认证机构出具的符合GB19272—2011《室外健身器材的安全通用要求》产品认证证书和有效期内的证书确认函加盖制造商公章佐证和国家体育用品质量监督检验中心的检测报告。</w:t>
            </w:r>
          </w:p>
          <w:p w14:paraId="73B08391">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2</w:t>
            </w:r>
            <w:r>
              <w:rPr>
                <w:rFonts w:hint="eastAsia" w:ascii="楷体" w:hAnsi="楷体" w:eastAsia="楷体" w:cs="楷体"/>
                <w:b/>
                <w:bCs/>
                <w:sz w:val="28"/>
                <w:szCs w:val="28"/>
                <w:lang w:val="en-US"/>
              </w:rPr>
              <w:t>、</w:t>
            </w:r>
            <w:r>
              <w:rPr>
                <w:rFonts w:hint="eastAsia" w:ascii="楷体" w:hAnsi="楷体" w:eastAsia="楷体" w:cs="楷体"/>
                <w:sz w:val="28"/>
                <w:szCs w:val="28"/>
                <w:lang w:val="en-US"/>
              </w:rPr>
              <w:t>主要承载立柱应采用钢管厚度不小于φ114×3mm标准管材。</w:t>
            </w:r>
          </w:p>
          <w:p w14:paraId="35C95434">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3</w:t>
            </w:r>
            <w:r>
              <w:rPr>
                <w:rFonts w:hint="eastAsia" w:ascii="楷体" w:hAnsi="楷体" w:eastAsia="楷体" w:cs="楷体"/>
                <w:b/>
                <w:bCs/>
                <w:sz w:val="28"/>
                <w:szCs w:val="28"/>
                <w:lang w:val="en-US"/>
              </w:rPr>
              <w:t>、</w:t>
            </w:r>
            <w:r>
              <w:rPr>
                <w:rFonts w:hint="eastAsia" w:ascii="楷体" w:hAnsi="楷体" w:eastAsia="楷体" w:cs="楷体"/>
                <w:sz w:val="28"/>
                <w:szCs w:val="28"/>
                <w:lang w:val="en-US"/>
              </w:rPr>
              <w:t>采取整体式板面。</w:t>
            </w:r>
          </w:p>
          <w:p w14:paraId="2477F8AE">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4</w:t>
            </w:r>
            <w:r>
              <w:rPr>
                <w:rFonts w:hint="eastAsia" w:ascii="楷体" w:hAnsi="楷体" w:eastAsia="楷体" w:cs="楷体"/>
                <w:b/>
                <w:bCs/>
                <w:sz w:val="28"/>
                <w:szCs w:val="28"/>
                <w:lang w:val="en-US"/>
              </w:rPr>
              <w:t>、</w:t>
            </w:r>
            <w:r>
              <w:rPr>
                <w:rFonts w:hint="eastAsia" w:ascii="楷体" w:hAnsi="楷体" w:eastAsia="楷体" w:cs="楷体"/>
                <w:sz w:val="28"/>
                <w:szCs w:val="28"/>
              </w:rPr>
              <w:t>在明显位置印有“丹徒区文体广电和旅游局赠”字样、中国体育彩票LOGO标志和报修二维码。</w:t>
            </w:r>
          </w:p>
        </w:tc>
        <w:tc>
          <w:tcPr>
            <w:tcW w:w="901" w:type="dxa"/>
            <w:vAlign w:val="center"/>
          </w:tcPr>
          <w:p w14:paraId="1A386FA5">
            <w:pPr>
              <w:spacing w:line="360" w:lineRule="auto"/>
              <w:jc w:val="center"/>
              <w:rPr>
                <w:rFonts w:hint="eastAsia" w:ascii="楷体" w:hAnsi="楷体" w:eastAsia="楷体" w:cs="楷体"/>
                <w:sz w:val="28"/>
                <w:szCs w:val="28"/>
                <w:lang w:val="en-US"/>
              </w:rPr>
            </w:pPr>
          </w:p>
          <w:p w14:paraId="1A434994">
            <w:pPr>
              <w:spacing w:line="360" w:lineRule="auto"/>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rPr>
              <w:t>6</w:t>
            </w:r>
            <w:r>
              <w:rPr>
                <w:rFonts w:hint="eastAsia" w:ascii="楷体" w:hAnsi="楷体" w:eastAsia="楷体" w:cs="楷体"/>
                <w:sz w:val="28"/>
                <w:szCs w:val="28"/>
                <w:lang w:val="en-US" w:eastAsia="zh-CN"/>
              </w:rPr>
              <w:t>5</w:t>
            </w:r>
          </w:p>
          <w:p w14:paraId="7F3BA17C">
            <w:pPr>
              <w:spacing w:line="360" w:lineRule="auto"/>
              <w:jc w:val="center"/>
              <w:rPr>
                <w:rFonts w:hint="eastAsia" w:ascii="楷体" w:hAnsi="楷体" w:eastAsia="楷体" w:cs="楷体"/>
                <w:sz w:val="28"/>
                <w:szCs w:val="28"/>
              </w:rPr>
            </w:pPr>
          </w:p>
        </w:tc>
      </w:tr>
      <w:tr w14:paraId="2CE21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86" w:type="dxa"/>
            <w:vAlign w:val="center"/>
          </w:tcPr>
          <w:p w14:paraId="514BC92D">
            <w:pPr>
              <w:spacing w:line="360" w:lineRule="auto"/>
              <w:jc w:val="center"/>
              <w:rPr>
                <w:rFonts w:hint="eastAsia" w:ascii="楷体" w:hAnsi="楷体" w:eastAsia="楷体" w:cs="楷体"/>
                <w:sz w:val="28"/>
                <w:szCs w:val="28"/>
              </w:rPr>
            </w:pPr>
            <w:r>
              <w:rPr>
                <w:rFonts w:hint="eastAsia" w:ascii="楷体" w:hAnsi="楷体" w:eastAsia="楷体" w:cs="楷体"/>
                <w:sz w:val="28"/>
                <w:szCs w:val="28"/>
              </w:rPr>
              <w:t>5</w:t>
            </w:r>
          </w:p>
        </w:tc>
        <w:tc>
          <w:tcPr>
            <w:tcW w:w="1444" w:type="dxa"/>
            <w:vAlign w:val="center"/>
          </w:tcPr>
          <w:p w14:paraId="00508C7C">
            <w:pPr>
              <w:spacing w:line="360" w:lineRule="auto"/>
              <w:jc w:val="center"/>
              <w:rPr>
                <w:rFonts w:hint="eastAsia" w:ascii="楷体" w:hAnsi="楷体" w:eastAsia="楷体" w:cs="楷体"/>
                <w:sz w:val="28"/>
                <w:szCs w:val="28"/>
              </w:rPr>
            </w:pPr>
            <w:r>
              <w:rPr>
                <w:rFonts w:hint="eastAsia" w:ascii="楷体" w:hAnsi="楷体" w:eastAsia="楷体" w:cs="楷体"/>
                <w:sz w:val="28"/>
                <w:szCs w:val="28"/>
              </w:rPr>
              <w:t>双位漫步机</w:t>
            </w:r>
          </w:p>
        </w:tc>
        <w:tc>
          <w:tcPr>
            <w:tcW w:w="5395" w:type="dxa"/>
          </w:tcPr>
          <w:p w14:paraId="01010E2E">
            <w:pPr>
              <w:spacing w:line="360" w:lineRule="auto"/>
              <w:rPr>
                <w:rFonts w:hint="eastAsia"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b/>
                <w:bCs/>
                <w:sz w:val="28"/>
                <w:szCs w:val="28"/>
                <w:lang w:val="en-US" w:eastAsia="zh-CN"/>
              </w:rPr>
              <w:t>1、</w:t>
            </w:r>
            <w:r>
              <w:rPr>
                <w:rFonts w:hint="eastAsia" w:ascii="楷体" w:hAnsi="楷体" w:eastAsia="楷体" w:cs="楷体"/>
                <w:sz w:val="28"/>
                <w:szCs w:val="28"/>
              </w:rPr>
              <w:t>器材具有第三方认证机构出具的符合GB19272—2011《室外健身器材的安全通用要求》产品认证证书和有效期内的证书确认函加盖制造商公章佐证和国家体育用品质量监督检验中心的检测报告。</w:t>
            </w:r>
          </w:p>
          <w:p w14:paraId="4C2EDF59">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2</w:t>
            </w:r>
            <w:r>
              <w:rPr>
                <w:rFonts w:hint="eastAsia" w:ascii="楷体" w:hAnsi="楷体" w:eastAsia="楷体" w:cs="楷体"/>
                <w:b/>
                <w:bCs/>
                <w:sz w:val="28"/>
                <w:szCs w:val="28"/>
              </w:rPr>
              <w:t>、</w:t>
            </w:r>
            <w:r>
              <w:rPr>
                <w:rFonts w:hint="eastAsia" w:ascii="楷体" w:hAnsi="楷体" w:eastAsia="楷体" w:cs="楷体"/>
                <w:sz w:val="28"/>
                <w:szCs w:val="28"/>
              </w:rPr>
              <w:t>摆杆应有可靠限位装置，且单侧摆动幅度不大于65°，摆杆选用不小于φ60mm×3mm或等强度规格的管材，扶手管材实际壁厚不小于2.5mm。</w:t>
            </w:r>
          </w:p>
          <w:p w14:paraId="2892284E">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3</w:t>
            </w:r>
            <w:r>
              <w:rPr>
                <w:rFonts w:hint="eastAsia" w:ascii="楷体" w:hAnsi="楷体" w:eastAsia="楷体" w:cs="楷体"/>
                <w:b/>
                <w:bCs/>
                <w:sz w:val="28"/>
                <w:szCs w:val="28"/>
              </w:rPr>
              <w:t>、</w:t>
            </w:r>
            <w:r>
              <w:rPr>
                <w:rFonts w:hint="eastAsia" w:ascii="楷体" w:hAnsi="楷体" w:eastAsia="楷体" w:cs="楷体"/>
                <w:sz w:val="28"/>
                <w:szCs w:val="28"/>
              </w:rPr>
              <w:t>立柱规格不小于φ114mm×3mm；</w:t>
            </w:r>
          </w:p>
          <w:p w14:paraId="2B3AF9E2">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4</w:t>
            </w:r>
            <w:r>
              <w:rPr>
                <w:rFonts w:hint="eastAsia" w:ascii="楷体" w:hAnsi="楷体" w:eastAsia="楷体" w:cs="楷体"/>
                <w:b/>
                <w:bCs/>
                <w:sz w:val="28"/>
                <w:szCs w:val="28"/>
                <w:lang w:val="en-US"/>
              </w:rPr>
              <w:t>、</w:t>
            </w:r>
            <w:r>
              <w:rPr>
                <w:rFonts w:hint="eastAsia" w:ascii="楷体" w:hAnsi="楷体" w:eastAsia="楷体" w:cs="楷体"/>
                <w:sz w:val="28"/>
                <w:szCs w:val="28"/>
                <w:lang w:val="en-US"/>
              </w:rPr>
              <w:t>主要承载横梁尺寸</w:t>
            </w:r>
            <w:r>
              <w:rPr>
                <w:rFonts w:hint="eastAsia" w:ascii="楷体" w:hAnsi="楷体" w:eastAsia="楷体" w:cs="楷体"/>
                <w:sz w:val="28"/>
                <w:szCs w:val="28"/>
              </w:rPr>
              <w:t>不小于φ60mm×3mm</w:t>
            </w:r>
          </w:p>
          <w:p w14:paraId="11C98F0D">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5</w:t>
            </w:r>
            <w:r>
              <w:rPr>
                <w:rFonts w:hint="eastAsia" w:ascii="楷体" w:hAnsi="楷体" w:eastAsia="楷体" w:cs="楷体"/>
                <w:b/>
                <w:bCs/>
                <w:sz w:val="28"/>
                <w:szCs w:val="28"/>
              </w:rPr>
              <w:t>、</w:t>
            </w:r>
            <w:r>
              <w:rPr>
                <w:rFonts w:hint="eastAsia" w:ascii="楷体" w:hAnsi="楷体" w:eastAsia="楷体" w:cs="楷体"/>
                <w:sz w:val="28"/>
                <w:szCs w:val="28"/>
              </w:rPr>
              <w:t>摆杆与主立柱内侧的最小距离应大于60mm。</w:t>
            </w:r>
          </w:p>
          <w:p w14:paraId="6E8E55F2">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6</w:t>
            </w:r>
            <w:r>
              <w:rPr>
                <w:rFonts w:hint="eastAsia" w:ascii="楷体" w:hAnsi="楷体" w:eastAsia="楷体" w:cs="楷体"/>
                <w:b/>
                <w:bCs/>
                <w:sz w:val="28"/>
                <w:szCs w:val="28"/>
              </w:rPr>
              <w:t>、</w:t>
            </w:r>
            <w:r>
              <w:rPr>
                <w:rFonts w:hint="eastAsia" w:ascii="楷体" w:hAnsi="楷体" w:eastAsia="楷体" w:cs="楷体"/>
                <w:sz w:val="28"/>
                <w:szCs w:val="28"/>
              </w:rPr>
              <w:t>踏板的主运动方向和易滑脱方向应设置高度不小于30mm、长度大于踏板周长2/3的防滑脱的凸台或护板；凸台顶部棱边R弧应不小于2mm。</w:t>
            </w:r>
          </w:p>
          <w:p w14:paraId="7B33FB66">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7</w:t>
            </w:r>
            <w:r>
              <w:rPr>
                <w:rFonts w:hint="eastAsia" w:ascii="楷体" w:hAnsi="楷体" w:eastAsia="楷体" w:cs="楷体"/>
                <w:b/>
                <w:bCs/>
                <w:sz w:val="28"/>
                <w:szCs w:val="28"/>
              </w:rPr>
              <w:t>、</w:t>
            </w:r>
            <w:r>
              <w:rPr>
                <w:rFonts w:hint="eastAsia" w:ascii="楷体" w:hAnsi="楷体" w:eastAsia="楷体" w:cs="楷体"/>
                <w:sz w:val="28"/>
                <w:szCs w:val="28"/>
              </w:rPr>
              <w:t>脚踏部位应有防滑措施，站立使用的单脚防滑面应不小于（3×104）mm²，摩擦系数应不小于0.5。</w:t>
            </w:r>
          </w:p>
          <w:p w14:paraId="25089CE9">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8</w:t>
            </w:r>
            <w:r>
              <w:rPr>
                <w:rFonts w:hint="eastAsia" w:ascii="楷体" w:hAnsi="楷体" w:eastAsia="楷体" w:cs="楷体"/>
                <w:b/>
                <w:bCs/>
                <w:sz w:val="28"/>
                <w:szCs w:val="28"/>
              </w:rPr>
              <w:t>、</w:t>
            </w:r>
            <w:r>
              <w:rPr>
                <w:rFonts w:hint="eastAsia" w:ascii="楷体" w:hAnsi="楷体" w:eastAsia="楷体" w:cs="楷体"/>
                <w:sz w:val="28"/>
                <w:szCs w:val="28"/>
              </w:rPr>
              <w:t>摆动部件下缘距地面或底面最小高度应不小于80mm。</w:t>
            </w:r>
          </w:p>
          <w:p w14:paraId="2C7D469F">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9</w:t>
            </w:r>
            <w:r>
              <w:rPr>
                <w:rFonts w:hint="eastAsia" w:ascii="楷体" w:hAnsi="楷体" w:eastAsia="楷体" w:cs="楷体"/>
                <w:b/>
                <w:bCs/>
                <w:sz w:val="28"/>
                <w:szCs w:val="28"/>
              </w:rPr>
              <w:t>、</w:t>
            </w:r>
            <w:r>
              <w:rPr>
                <w:rFonts w:hint="eastAsia" w:ascii="楷体" w:hAnsi="楷体" w:eastAsia="楷体" w:cs="楷体"/>
                <w:sz w:val="28"/>
                <w:szCs w:val="28"/>
              </w:rPr>
              <w:t>相邻运动的两踏板的间距应不小于100mm。</w:t>
            </w:r>
          </w:p>
          <w:p w14:paraId="110185E5">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10</w:t>
            </w:r>
            <w:r>
              <w:rPr>
                <w:rFonts w:hint="eastAsia" w:ascii="楷体" w:hAnsi="楷体" w:eastAsia="楷体" w:cs="楷体"/>
                <w:b/>
                <w:bCs/>
                <w:sz w:val="28"/>
                <w:szCs w:val="28"/>
              </w:rPr>
              <w:t>、</w:t>
            </w:r>
            <w:r>
              <w:rPr>
                <w:rFonts w:hint="eastAsia" w:ascii="楷体" w:hAnsi="楷体" w:eastAsia="楷体" w:cs="楷体"/>
                <w:sz w:val="28"/>
                <w:szCs w:val="28"/>
              </w:rPr>
              <w:t>踏板前后应采取防止碰撞第三者的缓冲措施。</w:t>
            </w:r>
          </w:p>
          <w:p w14:paraId="4EE57C47">
            <w:pPr>
              <w:spacing w:line="360" w:lineRule="auto"/>
              <w:rPr>
                <w:rFonts w:hint="eastAsia" w:ascii="楷体" w:hAnsi="楷体" w:eastAsia="楷体" w:cs="楷体"/>
                <w:sz w:val="28"/>
                <w:szCs w:val="28"/>
              </w:rPr>
            </w:pPr>
            <w:r>
              <w:rPr>
                <w:rFonts w:hint="eastAsia" w:ascii="楷体" w:hAnsi="楷体" w:eastAsia="楷体" w:cs="楷体"/>
                <w:b/>
                <w:bCs/>
                <w:sz w:val="28"/>
                <w:szCs w:val="28"/>
              </w:rPr>
              <w:t>1</w:t>
            </w:r>
            <w:r>
              <w:rPr>
                <w:rFonts w:hint="eastAsia" w:ascii="楷体" w:hAnsi="楷体" w:eastAsia="楷体" w:cs="楷体"/>
                <w:b/>
                <w:bCs/>
                <w:sz w:val="28"/>
                <w:szCs w:val="28"/>
                <w:lang w:val="en-US" w:eastAsia="zh-CN"/>
              </w:rPr>
              <w:t>1</w:t>
            </w:r>
            <w:r>
              <w:rPr>
                <w:rFonts w:hint="eastAsia" w:ascii="楷体" w:hAnsi="楷体" w:eastAsia="楷体" w:cs="楷体"/>
                <w:b/>
                <w:bCs/>
                <w:sz w:val="28"/>
                <w:szCs w:val="28"/>
              </w:rPr>
              <w:t>、</w:t>
            </w:r>
            <w:r>
              <w:rPr>
                <w:rFonts w:hint="eastAsia" w:ascii="楷体" w:hAnsi="楷体" w:eastAsia="楷体" w:cs="楷体"/>
                <w:sz w:val="28"/>
                <w:szCs w:val="28"/>
              </w:rPr>
              <w:t>不允许存在衣服、头发钩挂或缠绕危险。</w:t>
            </w:r>
          </w:p>
          <w:p w14:paraId="317716DB">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rPr>
              <w:t>1</w:t>
            </w:r>
            <w:r>
              <w:rPr>
                <w:rFonts w:hint="eastAsia" w:ascii="楷体" w:hAnsi="楷体" w:eastAsia="楷体" w:cs="楷体"/>
                <w:b/>
                <w:bCs/>
                <w:sz w:val="28"/>
                <w:szCs w:val="28"/>
                <w:lang w:val="en-US" w:eastAsia="zh-CN"/>
              </w:rPr>
              <w:t>2</w:t>
            </w:r>
            <w:r>
              <w:rPr>
                <w:rFonts w:hint="eastAsia" w:ascii="楷体" w:hAnsi="楷体" w:eastAsia="楷体" w:cs="楷体"/>
                <w:b/>
                <w:bCs/>
                <w:sz w:val="28"/>
                <w:szCs w:val="28"/>
                <w:lang w:val="en-US"/>
              </w:rPr>
              <w:t>、</w:t>
            </w:r>
            <w:r>
              <w:rPr>
                <w:rFonts w:hint="eastAsia" w:ascii="楷体" w:hAnsi="楷体" w:eastAsia="楷体" w:cs="楷体"/>
                <w:sz w:val="28"/>
                <w:szCs w:val="28"/>
              </w:rPr>
              <w:t>在明显位置印有“丹徒区文体广电和旅游局赠”字样、中国体育彩票LOGO标志和报修二维码。</w:t>
            </w:r>
          </w:p>
        </w:tc>
        <w:tc>
          <w:tcPr>
            <w:tcW w:w="901" w:type="dxa"/>
            <w:vAlign w:val="center"/>
          </w:tcPr>
          <w:p w14:paraId="02BD55D3">
            <w:pPr>
              <w:spacing w:line="360" w:lineRule="auto"/>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65</w:t>
            </w:r>
          </w:p>
        </w:tc>
      </w:tr>
      <w:tr w14:paraId="12A5E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3" w:hRule="atLeast"/>
          <w:jc w:val="center"/>
        </w:trPr>
        <w:tc>
          <w:tcPr>
            <w:tcW w:w="886" w:type="dxa"/>
            <w:vAlign w:val="center"/>
          </w:tcPr>
          <w:p w14:paraId="60E5A9DA">
            <w:pPr>
              <w:spacing w:line="360" w:lineRule="auto"/>
              <w:jc w:val="center"/>
              <w:rPr>
                <w:rFonts w:hint="eastAsia" w:ascii="楷体" w:hAnsi="楷体" w:eastAsia="楷体" w:cs="楷体"/>
                <w:sz w:val="28"/>
                <w:szCs w:val="28"/>
              </w:rPr>
            </w:pPr>
            <w:r>
              <w:rPr>
                <w:rFonts w:hint="eastAsia" w:ascii="楷体" w:hAnsi="楷体" w:eastAsia="楷体" w:cs="楷体"/>
                <w:sz w:val="28"/>
                <w:szCs w:val="28"/>
              </w:rPr>
              <w:t>6</w:t>
            </w:r>
          </w:p>
        </w:tc>
        <w:tc>
          <w:tcPr>
            <w:tcW w:w="1444" w:type="dxa"/>
            <w:vAlign w:val="center"/>
          </w:tcPr>
          <w:p w14:paraId="762713AF">
            <w:pPr>
              <w:spacing w:line="360" w:lineRule="auto"/>
              <w:jc w:val="center"/>
              <w:rPr>
                <w:rFonts w:hint="eastAsia" w:ascii="楷体" w:hAnsi="楷体" w:eastAsia="楷体" w:cs="楷体"/>
                <w:sz w:val="28"/>
                <w:szCs w:val="28"/>
              </w:rPr>
            </w:pPr>
            <w:r>
              <w:rPr>
                <w:rFonts w:hint="eastAsia" w:ascii="楷体" w:hAnsi="楷体" w:eastAsia="楷体" w:cs="楷体"/>
                <w:sz w:val="28"/>
                <w:szCs w:val="28"/>
              </w:rPr>
              <w:t>腰背按摩器</w:t>
            </w:r>
          </w:p>
        </w:tc>
        <w:tc>
          <w:tcPr>
            <w:tcW w:w="5395" w:type="dxa"/>
            <w:vAlign w:val="center"/>
          </w:tcPr>
          <w:p w14:paraId="0C29CC54">
            <w:pPr>
              <w:spacing w:line="360" w:lineRule="auto"/>
              <w:rPr>
                <w:rFonts w:hint="eastAsia"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b/>
                <w:bCs/>
                <w:sz w:val="28"/>
                <w:szCs w:val="28"/>
                <w:lang w:val="en-US" w:eastAsia="zh-CN"/>
              </w:rPr>
              <w:t>1、</w:t>
            </w:r>
            <w:r>
              <w:rPr>
                <w:rFonts w:hint="eastAsia" w:ascii="楷体" w:hAnsi="楷体" w:eastAsia="楷体" w:cs="楷体"/>
                <w:sz w:val="28"/>
                <w:szCs w:val="28"/>
              </w:rPr>
              <w:t>器材具有第三方认证机构出具的符合GB19272—2011《室外健身器材的安全通用要求》产品认证证书和有效期内的证书确认函加盖制造商公章佐证和国家体育用品质量监督检验中心的检测报告。</w:t>
            </w:r>
          </w:p>
          <w:p w14:paraId="5CEA72AC">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2</w:t>
            </w:r>
            <w:r>
              <w:rPr>
                <w:rFonts w:hint="eastAsia" w:ascii="楷体" w:hAnsi="楷体" w:eastAsia="楷体" w:cs="楷体"/>
                <w:b/>
                <w:bCs/>
                <w:sz w:val="28"/>
                <w:szCs w:val="28"/>
              </w:rPr>
              <w:t>、</w:t>
            </w:r>
            <w:r>
              <w:rPr>
                <w:rFonts w:hint="eastAsia" w:ascii="楷体" w:hAnsi="楷体" w:eastAsia="楷体" w:cs="楷体"/>
                <w:sz w:val="28"/>
                <w:szCs w:val="28"/>
              </w:rPr>
              <w:t>立柱规格不小于φ114mm×3mm；</w:t>
            </w:r>
          </w:p>
          <w:p w14:paraId="0F69C38E">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3</w:t>
            </w:r>
            <w:r>
              <w:rPr>
                <w:rFonts w:hint="eastAsia" w:ascii="楷体" w:hAnsi="楷体" w:eastAsia="楷体" w:cs="楷体"/>
                <w:b/>
                <w:bCs/>
                <w:sz w:val="28"/>
                <w:szCs w:val="28"/>
              </w:rPr>
              <w:t>、</w:t>
            </w:r>
            <w:r>
              <w:rPr>
                <w:rFonts w:hint="eastAsia" w:ascii="楷体" w:hAnsi="楷体" w:eastAsia="楷体" w:cs="楷体"/>
                <w:sz w:val="28"/>
                <w:szCs w:val="28"/>
              </w:rPr>
              <w:t>主要承载横梁</w:t>
            </w:r>
            <w:r>
              <w:rPr>
                <w:rFonts w:hint="eastAsia" w:ascii="楷体" w:hAnsi="楷体" w:eastAsia="楷体" w:cs="楷体"/>
                <w:sz w:val="28"/>
                <w:szCs w:val="28"/>
                <w:lang w:val="en-US"/>
              </w:rPr>
              <w:t>尺寸</w:t>
            </w:r>
            <w:r>
              <w:rPr>
                <w:rFonts w:hint="eastAsia" w:ascii="楷体" w:hAnsi="楷体" w:eastAsia="楷体" w:cs="楷体"/>
                <w:sz w:val="28"/>
                <w:szCs w:val="28"/>
              </w:rPr>
              <w:t>不小于φ</w:t>
            </w:r>
            <w:r>
              <w:rPr>
                <w:rFonts w:hint="eastAsia" w:ascii="楷体" w:hAnsi="楷体" w:eastAsia="楷体" w:cs="楷体"/>
                <w:sz w:val="28"/>
                <w:szCs w:val="28"/>
                <w:lang w:val="en-US"/>
              </w:rPr>
              <w:t>48</w:t>
            </w:r>
            <w:r>
              <w:rPr>
                <w:rFonts w:hint="eastAsia" w:ascii="楷体" w:hAnsi="楷体" w:eastAsia="楷体" w:cs="楷体"/>
                <w:sz w:val="28"/>
                <w:szCs w:val="28"/>
              </w:rPr>
              <w:t>mm×</w:t>
            </w:r>
            <w:r>
              <w:rPr>
                <w:rFonts w:hint="eastAsia" w:ascii="楷体" w:hAnsi="楷体" w:eastAsia="楷体" w:cs="楷体"/>
                <w:sz w:val="28"/>
                <w:szCs w:val="28"/>
                <w:lang w:val="en-US"/>
              </w:rPr>
              <w:t>2.5</w:t>
            </w:r>
            <w:r>
              <w:rPr>
                <w:rFonts w:hint="eastAsia" w:ascii="楷体" w:hAnsi="楷体" w:eastAsia="楷体" w:cs="楷体"/>
                <w:sz w:val="28"/>
                <w:szCs w:val="28"/>
              </w:rPr>
              <w:t>mm；</w:t>
            </w:r>
          </w:p>
          <w:p w14:paraId="0F678B79">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4</w:t>
            </w:r>
            <w:r>
              <w:rPr>
                <w:rFonts w:hint="eastAsia" w:ascii="楷体" w:hAnsi="楷体" w:eastAsia="楷体" w:cs="楷体"/>
                <w:b/>
                <w:bCs/>
                <w:sz w:val="28"/>
                <w:szCs w:val="28"/>
              </w:rPr>
              <w:t>、</w:t>
            </w:r>
            <w:r>
              <w:rPr>
                <w:rFonts w:hint="eastAsia" w:ascii="楷体" w:hAnsi="楷体" w:eastAsia="楷体" w:cs="楷体"/>
                <w:sz w:val="28"/>
                <w:szCs w:val="28"/>
                <w:highlight w:val="none"/>
              </w:rPr>
              <w:t>转动部位采用国家标准的轴承和有效的内置限位装置.并应采用有效的防水.防尘措施；</w:t>
            </w:r>
          </w:p>
          <w:p w14:paraId="74C9575F">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5</w:t>
            </w:r>
            <w:r>
              <w:rPr>
                <w:rFonts w:hint="eastAsia" w:ascii="楷体" w:hAnsi="楷体" w:eastAsia="楷体" w:cs="楷体"/>
                <w:b/>
                <w:bCs/>
                <w:sz w:val="28"/>
                <w:szCs w:val="28"/>
                <w:lang w:val="en-US"/>
              </w:rPr>
              <w:t>、</w:t>
            </w:r>
            <w:r>
              <w:rPr>
                <w:rFonts w:hint="eastAsia" w:ascii="楷体" w:hAnsi="楷体" w:eastAsia="楷体" w:cs="楷体"/>
                <w:sz w:val="28"/>
                <w:szCs w:val="28"/>
              </w:rPr>
              <w:t>在明显位置印有“丹徒区文体广电和旅游局赠”字样、中国体育彩票LOGO标志和报修二维码。</w:t>
            </w:r>
          </w:p>
        </w:tc>
        <w:tc>
          <w:tcPr>
            <w:tcW w:w="901" w:type="dxa"/>
            <w:vAlign w:val="center"/>
          </w:tcPr>
          <w:p w14:paraId="1434B658">
            <w:pPr>
              <w:spacing w:line="360" w:lineRule="auto"/>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65</w:t>
            </w:r>
          </w:p>
        </w:tc>
      </w:tr>
      <w:tr w14:paraId="1DF80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4" w:hRule="atLeast"/>
          <w:jc w:val="center"/>
        </w:trPr>
        <w:tc>
          <w:tcPr>
            <w:tcW w:w="886" w:type="dxa"/>
            <w:vAlign w:val="center"/>
          </w:tcPr>
          <w:p w14:paraId="4260391A">
            <w:pPr>
              <w:spacing w:line="360" w:lineRule="auto"/>
              <w:jc w:val="center"/>
              <w:rPr>
                <w:rFonts w:hint="eastAsia" w:ascii="楷体" w:hAnsi="楷体" w:eastAsia="楷体" w:cs="楷体"/>
                <w:sz w:val="28"/>
                <w:szCs w:val="28"/>
              </w:rPr>
            </w:pPr>
            <w:r>
              <w:rPr>
                <w:rFonts w:hint="eastAsia" w:ascii="楷体" w:hAnsi="楷体" w:eastAsia="楷体" w:cs="楷体"/>
                <w:sz w:val="28"/>
                <w:szCs w:val="28"/>
              </w:rPr>
              <w:t>7</w:t>
            </w:r>
          </w:p>
        </w:tc>
        <w:tc>
          <w:tcPr>
            <w:tcW w:w="1444" w:type="dxa"/>
            <w:vAlign w:val="center"/>
          </w:tcPr>
          <w:p w14:paraId="64DDC838">
            <w:pPr>
              <w:spacing w:line="360" w:lineRule="auto"/>
              <w:jc w:val="center"/>
              <w:rPr>
                <w:rFonts w:hint="eastAsia" w:ascii="楷体" w:hAnsi="楷体" w:eastAsia="楷体" w:cs="楷体"/>
                <w:sz w:val="28"/>
                <w:szCs w:val="28"/>
              </w:rPr>
            </w:pPr>
            <w:r>
              <w:rPr>
                <w:rFonts w:hint="eastAsia" w:ascii="楷体" w:hAnsi="楷体" w:eastAsia="楷体" w:cs="楷体"/>
                <w:sz w:val="28"/>
                <w:szCs w:val="28"/>
              </w:rPr>
              <w:t>太极揉推器</w:t>
            </w:r>
          </w:p>
        </w:tc>
        <w:tc>
          <w:tcPr>
            <w:tcW w:w="5395" w:type="dxa"/>
          </w:tcPr>
          <w:p w14:paraId="354753B3">
            <w:pPr>
              <w:spacing w:line="360" w:lineRule="auto"/>
              <w:rPr>
                <w:rFonts w:hint="eastAsia"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b/>
                <w:bCs/>
                <w:sz w:val="28"/>
                <w:szCs w:val="28"/>
                <w:lang w:val="en-US" w:eastAsia="zh-CN"/>
              </w:rPr>
              <w:t>1、</w:t>
            </w:r>
            <w:r>
              <w:rPr>
                <w:rFonts w:hint="eastAsia" w:ascii="楷体" w:hAnsi="楷体" w:eastAsia="楷体" w:cs="楷体"/>
                <w:sz w:val="28"/>
                <w:szCs w:val="28"/>
              </w:rPr>
              <w:t>器材具有第三方认证机构出具的符合GB19272—2011《室外健身器材的安全通用要求》产品认证证书和有效期内的证书确认函加盖制造商公章佐证和国家体育用品质量监督检验中心的检测报告。</w:t>
            </w:r>
          </w:p>
          <w:p w14:paraId="044EF458">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2</w:t>
            </w:r>
            <w:r>
              <w:rPr>
                <w:rFonts w:hint="eastAsia" w:ascii="楷体" w:hAnsi="楷体" w:eastAsia="楷体" w:cs="楷体"/>
                <w:b/>
                <w:bCs/>
                <w:sz w:val="28"/>
                <w:szCs w:val="28"/>
              </w:rPr>
              <w:t>、</w:t>
            </w:r>
            <w:r>
              <w:rPr>
                <w:rFonts w:hint="eastAsia" w:ascii="楷体" w:hAnsi="楷体" w:eastAsia="楷体" w:cs="楷体"/>
                <w:sz w:val="28"/>
                <w:szCs w:val="28"/>
              </w:rPr>
              <w:t>立柱规格不小于φ114mm×3mm；</w:t>
            </w:r>
          </w:p>
          <w:p w14:paraId="1FC5D841">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3</w:t>
            </w:r>
            <w:r>
              <w:rPr>
                <w:rFonts w:hint="eastAsia" w:ascii="楷体" w:hAnsi="楷体" w:eastAsia="楷体" w:cs="楷体"/>
                <w:b/>
                <w:bCs/>
                <w:sz w:val="28"/>
                <w:szCs w:val="28"/>
              </w:rPr>
              <w:t>、</w:t>
            </w:r>
            <w:r>
              <w:rPr>
                <w:rFonts w:hint="eastAsia" w:ascii="楷体" w:hAnsi="楷体" w:eastAsia="楷体" w:cs="楷体"/>
                <w:sz w:val="28"/>
                <w:szCs w:val="28"/>
              </w:rPr>
              <w:t>揉推轮盘支撑管的规格不小于φ48mm×2.5mm。</w:t>
            </w:r>
          </w:p>
          <w:p w14:paraId="18237A1F">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4</w:t>
            </w:r>
            <w:r>
              <w:rPr>
                <w:rFonts w:hint="eastAsia" w:ascii="楷体" w:hAnsi="楷体" w:eastAsia="楷体" w:cs="楷体"/>
                <w:b/>
                <w:bCs/>
                <w:sz w:val="28"/>
                <w:szCs w:val="28"/>
              </w:rPr>
              <w:t>、</w:t>
            </w:r>
            <w:r>
              <w:rPr>
                <w:rFonts w:hint="eastAsia" w:ascii="楷体" w:hAnsi="楷体" w:eastAsia="楷体" w:cs="楷体"/>
                <w:sz w:val="28"/>
                <w:szCs w:val="28"/>
              </w:rPr>
              <w:t>揉推轮盘应采用阻尼装置。</w:t>
            </w:r>
          </w:p>
          <w:p w14:paraId="3ED07F19">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5</w:t>
            </w:r>
            <w:r>
              <w:rPr>
                <w:rFonts w:hint="eastAsia" w:ascii="楷体" w:hAnsi="楷体" w:eastAsia="楷体" w:cs="楷体"/>
                <w:b/>
                <w:bCs/>
                <w:sz w:val="28"/>
                <w:szCs w:val="28"/>
                <w:lang w:val="en-US"/>
              </w:rPr>
              <w:t>、</w:t>
            </w:r>
            <w:r>
              <w:rPr>
                <w:rFonts w:hint="eastAsia" w:ascii="楷体" w:hAnsi="楷体" w:eastAsia="楷体" w:cs="楷体"/>
                <w:sz w:val="28"/>
                <w:szCs w:val="28"/>
              </w:rPr>
              <w:t>在明显位置印有“丹徒区文体广电和旅游局赠”字样、中国体育彩票LOGO标志和报修二维码。</w:t>
            </w:r>
          </w:p>
        </w:tc>
        <w:tc>
          <w:tcPr>
            <w:tcW w:w="901" w:type="dxa"/>
            <w:vAlign w:val="center"/>
          </w:tcPr>
          <w:p w14:paraId="0E9213D9">
            <w:pPr>
              <w:spacing w:line="360" w:lineRule="auto"/>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65</w:t>
            </w:r>
          </w:p>
        </w:tc>
      </w:tr>
      <w:tr w14:paraId="1D75A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1" w:hRule="atLeast"/>
          <w:jc w:val="center"/>
        </w:trPr>
        <w:tc>
          <w:tcPr>
            <w:tcW w:w="886" w:type="dxa"/>
            <w:vAlign w:val="center"/>
          </w:tcPr>
          <w:p w14:paraId="310242B1">
            <w:pPr>
              <w:spacing w:line="360" w:lineRule="auto"/>
              <w:jc w:val="center"/>
              <w:rPr>
                <w:rFonts w:hint="eastAsia" w:ascii="楷体" w:hAnsi="楷体" w:eastAsia="楷体" w:cs="楷体"/>
                <w:sz w:val="28"/>
                <w:szCs w:val="28"/>
              </w:rPr>
            </w:pPr>
            <w:r>
              <w:rPr>
                <w:rFonts w:hint="eastAsia" w:ascii="楷体" w:hAnsi="楷体" w:eastAsia="楷体" w:cs="楷体"/>
                <w:sz w:val="28"/>
                <w:szCs w:val="28"/>
              </w:rPr>
              <w:t>8</w:t>
            </w:r>
          </w:p>
        </w:tc>
        <w:tc>
          <w:tcPr>
            <w:tcW w:w="1444" w:type="dxa"/>
            <w:vAlign w:val="center"/>
          </w:tcPr>
          <w:p w14:paraId="32E18B69">
            <w:pPr>
              <w:spacing w:line="360" w:lineRule="auto"/>
              <w:jc w:val="center"/>
              <w:rPr>
                <w:rFonts w:hint="eastAsia" w:ascii="楷体" w:hAnsi="楷体" w:eastAsia="楷体" w:cs="楷体"/>
                <w:sz w:val="28"/>
                <w:szCs w:val="28"/>
              </w:rPr>
            </w:pPr>
            <w:r>
              <w:rPr>
                <w:rFonts w:hint="eastAsia" w:ascii="楷体" w:hAnsi="楷体" w:eastAsia="楷体" w:cs="楷体"/>
                <w:sz w:val="28"/>
                <w:szCs w:val="28"/>
              </w:rPr>
              <w:t>压腿器</w:t>
            </w:r>
          </w:p>
        </w:tc>
        <w:tc>
          <w:tcPr>
            <w:tcW w:w="5395" w:type="dxa"/>
            <w:vAlign w:val="center"/>
          </w:tcPr>
          <w:p w14:paraId="62AF2083">
            <w:pPr>
              <w:spacing w:line="360" w:lineRule="auto"/>
              <w:rPr>
                <w:rFonts w:hint="eastAsia"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b/>
                <w:bCs/>
                <w:sz w:val="28"/>
                <w:szCs w:val="28"/>
                <w:lang w:val="en-US" w:eastAsia="zh-CN"/>
              </w:rPr>
              <w:t>1、</w:t>
            </w:r>
            <w:r>
              <w:rPr>
                <w:rFonts w:hint="eastAsia" w:ascii="楷体" w:hAnsi="楷体" w:eastAsia="楷体" w:cs="楷体"/>
                <w:sz w:val="28"/>
                <w:szCs w:val="28"/>
              </w:rPr>
              <w:t>器材具有第三方认证机构出具的符合GB19272—2011《室外健身器材的安全通用要求》产品认证证书和有效期内的证书确认函加盖制造商公章佐证和国家体育用品质量监督检验中心的检测报告。</w:t>
            </w:r>
          </w:p>
          <w:p w14:paraId="29154AAA">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2</w:t>
            </w:r>
            <w:r>
              <w:rPr>
                <w:rFonts w:hint="eastAsia" w:ascii="楷体" w:hAnsi="楷体" w:eastAsia="楷体" w:cs="楷体"/>
                <w:b/>
                <w:bCs/>
                <w:sz w:val="28"/>
                <w:szCs w:val="28"/>
              </w:rPr>
              <w:t>、</w:t>
            </w:r>
            <w:r>
              <w:rPr>
                <w:rFonts w:hint="eastAsia" w:ascii="楷体" w:hAnsi="楷体" w:eastAsia="楷体" w:cs="楷体"/>
                <w:sz w:val="28"/>
                <w:szCs w:val="28"/>
              </w:rPr>
              <w:t>器材主承载立柱采用不小于Φ</w:t>
            </w:r>
            <w:r>
              <w:rPr>
                <w:rFonts w:hint="eastAsia" w:ascii="楷体" w:hAnsi="楷体" w:eastAsia="楷体" w:cs="楷体"/>
                <w:sz w:val="28"/>
                <w:szCs w:val="28"/>
                <w:lang w:val="en-US"/>
              </w:rPr>
              <w:t>114</w:t>
            </w:r>
            <w:r>
              <w:rPr>
                <w:rFonts w:hint="eastAsia" w:ascii="楷体" w:hAnsi="楷体" w:eastAsia="楷体" w:cs="楷体"/>
                <w:sz w:val="28"/>
                <w:szCs w:val="28"/>
              </w:rPr>
              <w:t>mm×3mm优质钢管，</w:t>
            </w:r>
          </w:p>
          <w:p w14:paraId="07C6437F">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3</w:t>
            </w:r>
            <w:r>
              <w:rPr>
                <w:rFonts w:hint="eastAsia" w:ascii="楷体" w:hAnsi="楷体" w:eastAsia="楷体" w:cs="楷体"/>
                <w:b/>
                <w:bCs/>
                <w:sz w:val="28"/>
                <w:szCs w:val="28"/>
              </w:rPr>
              <w:t>、</w:t>
            </w:r>
            <w:r>
              <w:rPr>
                <w:rFonts w:hint="eastAsia" w:ascii="楷体" w:hAnsi="楷体" w:eastAsia="楷体" w:cs="楷体"/>
                <w:sz w:val="28"/>
                <w:szCs w:val="28"/>
              </w:rPr>
              <w:t>主要承载横梁采用不小于Φ32mm×2.75mm优质钢管；</w:t>
            </w:r>
          </w:p>
          <w:p w14:paraId="5268C096">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4</w:t>
            </w:r>
            <w:r>
              <w:rPr>
                <w:rFonts w:hint="eastAsia" w:ascii="楷体" w:hAnsi="楷体" w:eastAsia="楷体" w:cs="楷体"/>
                <w:b/>
                <w:bCs/>
                <w:sz w:val="28"/>
                <w:szCs w:val="28"/>
              </w:rPr>
              <w:t>、</w:t>
            </w:r>
            <w:r>
              <w:rPr>
                <w:rFonts w:hint="eastAsia" w:ascii="楷体" w:hAnsi="楷体" w:eastAsia="楷体" w:cs="楷体"/>
                <w:sz w:val="28"/>
                <w:szCs w:val="28"/>
              </w:rPr>
              <w:t>不允许存在衣服、头发钩挂或缠绕危险。</w:t>
            </w:r>
          </w:p>
          <w:p w14:paraId="113F70AD">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5</w:t>
            </w:r>
            <w:r>
              <w:rPr>
                <w:rFonts w:hint="eastAsia" w:ascii="楷体" w:hAnsi="楷体" w:eastAsia="楷体" w:cs="楷体"/>
                <w:b/>
                <w:bCs/>
                <w:sz w:val="28"/>
                <w:szCs w:val="28"/>
              </w:rPr>
              <w:t>、</w:t>
            </w:r>
            <w:r>
              <w:rPr>
                <w:rFonts w:hint="eastAsia" w:ascii="楷体" w:hAnsi="楷体" w:eastAsia="楷体" w:cs="楷体"/>
                <w:sz w:val="28"/>
                <w:szCs w:val="28"/>
              </w:rPr>
              <w:t>采用独立柱；</w:t>
            </w:r>
          </w:p>
          <w:p w14:paraId="706DA53D">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6</w:t>
            </w:r>
            <w:r>
              <w:rPr>
                <w:rFonts w:hint="eastAsia" w:ascii="楷体" w:hAnsi="楷体" w:eastAsia="楷体" w:cs="楷体"/>
                <w:b/>
                <w:bCs/>
                <w:sz w:val="28"/>
                <w:szCs w:val="28"/>
                <w:lang w:val="en-US"/>
              </w:rPr>
              <w:t>、</w:t>
            </w:r>
            <w:r>
              <w:rPr>
                <w:rFonts w:hint="eastAsia" w:ascii="楷体" w:hAnsi="楷体" w:eastAsia="楷体" w:cs="楷体"/>
                <w:sz w:val="28"/>
                <w:szCs w:val="28"/>
              </w:rPr>
              <w:t>在明显位置印有“丹徒区文体广电和旅游局赠”字样、中国体育彩票LOGO标志和报修二维码。</w:t>
            </w:r>
          </w:p>
        </w:tc>
        <w:tc>
          <w:tcPr>
            <w:tcW w:w="901" w:type="dxa"/>
            <w:vAlign w:val="center"/>
          </w:tcPr>
          <w:p w14:paraId="60D70C9E">
            <w:pPr>
              <w:spacing w:line="360" w:lineRule="auto"/>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65</w:t>
            </w:r>
          </w:p>
        </w:tc>
      </w:tr>
      <w:tr w14:paraId="36B12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94" w:hRule="atLeast"/>
          <w:jc w:val="center"/>
        </w:trPr>
        <w:tc>
          <w:tcPr>
            <w:tcW w:w="886" w:type="dxa"/>
            <w:vAlign w:val="center"/>
          </w:tcPr>
          <w:p w14:paraId="58888EAD">
            <w:pPr>
              <w:spacing w:line="360" w:lineRule="auto"/>
              <w:jc w:val="center"/>
              <w:rPr>
                <w:rFonts w:hint="eastAsia" w:ascii="楷体" w:hAnsi="楷体" w:eastAsia="楷体" w:cs="楷体"/>
                <w:sz w:val="28"/>
                <w:szCs w:val="28"/>
              </w:rPr>
            </w:pPr>
            <w:r>
              <w:rPr>
                <w:rFonts w:hint="eastAsia" w:ascii="楷体" w:hAnsi="楷体" w:eastAsia="楷体" w:cs="楷体"/>
                <w:sz w:val="28"/>
                <w:szCs w:val="28"/>
              </w:rPr>
              <w:t>9</w:t>
            </w:r>
          </w:p>
        </w:tc>
        <w:tc>
          <w:tcPr>
            <w:tcW w:w="1444" w:type="dxa"/>
            <w:vAlign w:val="center"/>
          </w:tcPr>
          <w:p w14:paraId="3E603D0C">
            <w:pPr>
              <w:spacing w:line="360" w:lineRule="auto"/>
              <w:jc w:val="center"/>
              <w:rPr>
                <w:rFonts w:hint="eastAsia" w:ascii="楷体" w:hAnsi="楷体" w:eastAsia="楷体" w:cs="楷体"/>
                <w:sz w:val="28"/>
                <w:szCs w:val="28"/>
              </w:rPr>
            </w:pPr>
            <w:r>
              <w:rPr>
                <w:rFonts w:hint="eastAsia" w:ascii="楷体" w:hAnsi="楷体" w:eastAsia="楷体" w:cs="楷体"/>
                <w:sz w:val="28"/>
                <w:szCs w:val="28"/>
              </w:rPr>
              <w:t>双位蹬力器</w:t>
            </w:r>
          </w:p>
        </w:tc>
        <w:tc>
          <w:tcPr>
            <w:tcW w:w="5395" w:type="dxa"/>
          </w:tcPr>
          <w:p w14:paraId="21ECDC5C">
            <w:pPr>
              <w:spacing w:line="360" w:lineRule="auto"/>
              <w:rPr>
                <w:rFonts w:hint="eastAsia" w:ascii="楷体" w:hAnsi="楷体" w:eastAsia="楷体" w:cs="楷体"/>
                <w:sz w:val="28"/>
                <w:szCs w:val="28"/>
                <w:lang w:val="en-US"/>
              </w:rPr>
            </w:pPr>
            <w:r>
              <w:rPr>
                <w:rFonts w:hint="eastAsia" w:ascii="楷体" w:hAnsi="楷体" w:eastAsia="楷体" w:cs="楷体"/>
                <w:sz w:val="28"/>
                <w:szCs w:val="28"/>
              </w:rPr>
              <w:t>★</w:t>
            </w:r>
            <w:r>
              <w:rPr>
                <w:rFonts w:hint="eastAsia" w:ascii="楷体" w:hAnsi="楷体" w:eastAsia="楷体" w:cs="楷体"/>
                <w:b/>
                <w:bCs/>
                <w:sz w:val="28"/>
                <w:szCs w:val="28"/>
                <w:lang w:val="en-US" w:eastAsia="zh-CN"/>
              </w:rPr>
              <w:t>1、</w:t>
            </w:r>
            <w:r>
              <w:rPr>
                <w:rFonts w:hint="eastAsia" w:ascii="楷体" w:hAnsi="楷体" w:eastAsia="楷体" w:cs="楷体"/>
                <w:sz w:val="28"/>
                <w:szCs w:val="28"/>
              </w:rPr>
              <w:t>器材具有第三方认证机构出具的符合GB19272—2011《室外健身器材的安全通用要求》产品认证证书和有效期内的证书确认函加盖制造商公章佐证和国家体育用品质量监督检验中心的检测报告。</w:t>
            </w:r>
          </w:p>
          <w:p w14:paraId="0EE17518">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2</w:t>
            </w:r>
            <w:r>
              <w:rPr>
                <w:rFonts w:hint="eastAsia" w:ascii="楷体" w:hAnsi="楷体" w:eastAsia="楷体" w:cs="楷体"/>
                <w:b/>
                <w:bCs/>
                <w:sz w:val="28"/>
                <w:szCs w:val="28"/>
                <w:lang w:val="en-US"/>
              </w:rPr>
              <w:t>、</w:t>
            </w:r>
            <w:r>
              <w:rPr>
                <w:rFonts w:hint="eastAsia" w:ascii="楷体" w:hAnsi="楷体" w:eastAsia="楷体" w:cs="楷体"/>
                <w:sz w:val="28"/>
                <w:szCs w:val="28"/>
                <w:lang w:val="en-US"/>
              </w:rPr>
              <w:t>立柱规格不小于φ114mm×3mm, 蹬力器摆杆规格不小于φ60mm×3mm，蹬力器摆杆应有内限位装置，器材间不能有刚性碰撞；</w:t>
            </w:r>
          </w:p>
          <w:p w14:paraId="664CF69C">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3</w:t>
            </w:r>
            <w:r>
              <w:rPr>
                <w:rFonts w:hint="eastAsia" w:ascii="楷体" w:hAnsi="楷体" w:eastAsia="楷体" w:cs="楷体"/>
                <w:b/>
                <w:bCs/>
                <w:sz w:val="28"/>
                <w:szCs w:val="28"/>
                <w:lang w:val="en-US"/>
              </w:rPr>
              <w:t>、</w:t>
            </w:r>
            <w:r>
              <w:rPr>
                <w:rFonts w:hint="eastAsia" w:ascii="楷体" w:hAnsi="楷体" w:eastAsia="楷体" w:cs="楷体"/>
                <w:sz w:val="28"/>
                <w:szCs w:val="28"/>
                <w:lang w:val="en-US"/>
              </w:rPr>
              <w:t>轴承座支架、耳片壁厚不小于10mm；</w:t>
            </w:r>
          </w:p>
          <w:p w14:paraId="77CB0E63">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4</w:t>
            </w:r>
            <w:r>
              <w:rPr>
                <w:rFonts w:hint="eastAsia" w:ascii="楷体" w:hAnsi="楷体" w:eastAsia="楷体" w:cs="楷体"/>
                <w:b/>
                <w:bCs/>
                <w:sz w:val="28"/>
                <w:szCs w:val="28"/>
                <w:lang w:val="en-US"/>
              </w:rPr>
              <w:t>、</w:t>
            </w:r>
            <w:r>
              <w:rPr>
                <w:rFonts w:hint="eastAsia" w:ascii="楷体" w:hAnsi="楷体" w:eastAsia="楷体" w:cs="楷体"/>
                <w:sz w:val="28"/>
                <w:szCs w:val="28"/>
                <w:lang w:val="en-US"/>
              </w:rPr>
              <w:t>轴承选用不小于6006承载能力的深沟球轴承，轴承应采取有效的防水、防尘措施；</w:t>
            </w:r>
          </w:p>
          <w:p w14:paraId="08EBDF27">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5</w:t>
            </w:r>
            <w:r>
              <w:rPr>
                <w:rFonts w:hint="eastAsia" w:ascii="楷体" w:hAnsi="楷体" w:eastAsia="楷体" w:cs="楷体"/>
                <w:b/>
                <w:bCs/>
                <w:sz w:val="28"/>
                <w:szCs w:val="28"/>
                <w:lang w:val="en-US"/>
              </w:rPr>
              <w:t>、</w:t>
            </w:r>
            <w:r>
              <w:rPr>
                <w:rFonts w:hint="eastAsia" w:ascii="楷体" w:hAnsi="楷体" w:eastAsia="楷体" w:cs="楷体"/>
                <w:sz w:val="28"/>
                <w:szCs w:val="28"/>
                <w:lang w:val="en-US"/>
              </w:rPr>
              <w:t>不允许存在剪切点、挤压点、引入点，不允许存在刚性碰撞；</w:t>
            </w:r>
          </w:p>
          <w:p w14:paraId="18FE2379">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6</w:t>
            </w:r>
            <w:r>
              <w:rPr>
                <w:rFonts w:hint="eastAsia" w:ascii="楷体" w:hAnsi="楷体" w:eastAsia="楷体" w:cs="楷体"/>
                <w:b/>
                <w:bCs/>
                <w:sz w:val="28"/>
                <w:szCs w:val="28"/>
                <w:lang w:val="en-US"/>
              </w:rPr>
              <w:t>、</w:t>
            </w:r>
            <w:r>
              <w:rPr>
                <w:rFonts w:hint="eastAsia" w:ascii="楷体" w:hAnsi="楷体" w:eastAsia="楷体" w:cs="楷体"/>
                <w:sz w:val="28"/>
                <w:szCs w:val="28"/>
                <w:lang w:val="en-US"/>
              </w:rPr>
              <w:t>脚踏部位应有防滑措施；摩擦系数应不小于0.5；</w:t>
            </w:r>
          </w:p>
          <w:p w14:paraId="6B4B7DE3">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7</w:t>
            </w:r>
            <w:r>
              <w:rPr>
                <w:rFonts w:hint="eastAsia" w:ascii="楷体" w:hAnsi="楷体" w:eastAsia="楷体" w:cs="楷体"/>
                <w:b/>
                <w:bCs/>
                <w:sz w:val="28"/>
                <w:szCs w:val="28"/>
                <w:lang w:val="en-US"/>
              </w:rPr>
              <w:t>、</w:t>
            </w:r>
            <w:r>
              <w:rPr>
                <w:rFonts w:hint="eastAsia" w:ascii="楷体" w:hAnsi="楷体" w:eastAsia="楷体" w:cs="楷体"/>
                <w:sz w:val="28"/>
                <w:szCs w:val="28"/>
                <w:lang w:val="en-US"/>
              </w:rPr>
              <w:t>蹬力器摆动杆最下端与场地表面之间的最小距离应大于400mm；</w:t>
            </w:r>
          </w:p>
          <w:p w14:paraId="3F16C5FD">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8</w:t>
            </w:r>
            <w:r>
              <w:rPr>
                <w:rFonts w:hint="eastAsia" w:ascii="楷体" w:hAnsi="楷体" w:eastAsia="楷体" w:cs="楷体"/>
                <w:b/>
                <w:bCs/>
                <w:sz w:val="28"/>
                <w:szCs w:val="28"/>
                <w:lang w:val="en-US"/>
              </w:rPr>
              <w:t>、</w:t>
            </w:r>
            <w:r>
              <w:rPr>
                <w:rFonts w:hint="eastAsia" w:ascii="楷体" w:hAnsi="楷体" w:eastAsia="楷体" w:cs="楷体"/>
                <w:sz w:val="28"/>
                <w:szCs w:val="28"/>
              </w:rPr>
              <w:t>在明显位置印有“丹徒区文体广电和旅游局赠”字样、中国体育彩票LOGO标志和报修二维码。</w:t>
            </w:r>
          </w:p>
        </w:tc>
        <w:tc>
          <w:tcPr>
            <w:tcW w:w="901" w:type="dxa"/>
            <w:vAlign w:val="center"/>
          </w:tcPr>
          <w:p w14:paraId="56E2FEBE">
            <w:pPr>
              <w:spacing w:line="360" w:lineRule="auto"/>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65</w:t>
            </w:r>
          </w:p>
        </w:tc>
      </w:tr>
      <w:tr w14:paraId="0A69A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jc w:val="center"/>
        </w:trPr>
        <w:tc>
          <w:tcPr>
            <w:tcW w:w="886" w:type="dxa"/>
            <w:vAlign w:val="center"/>
          </w:tcPr>
          <w:p w14:paraId="7755AFA5">
            <w:pPr>
              <w:spacing w:line="360" w:lineRule="auto"/>
              <w:jc w:val="center"/>
              <w:rPr>
                <w:rFonts w:hint="eastAsia" w:ascii="楷体" w:hAnsi="楷体" w:eastAsia="楷体" w:cs="楷体"/>
                <w:sz w:val="28"/>
                <w:szCs w:val="28"/>
              </w:rPr>
            </w:pPr>
            <w:r>
              <w:rPr>
                <w:rFonts w:hint="eastAsia" w:ascii="楷体" w:hAnsi="楷体" w:eastAsia="楷体" w:cs="楷体"/>
                <w:sz w:val="28"/>
                <w:szCs w:val="28"/>
              </w:rPr>
              <w:t>10</w:t>
            </w:r>
          </w:p>
        </w:tc>
        <w:tc>
          <w:tcPr>
            <w:tcW w:w="1444" w:type="dxa"/>
            <w:vAlign w:val="center"/>
          </w:tcPr>
          <w:p w14:paraId="48DDDFDC">
            <w:pPr>
              <w:spacing w:line="360" w:lineRule="auto"/>
              <w:jc w:val="center"/>
              <w:rPr>
                <w:rFonts w:hint="eastAsia" w:ascii="楷体" w:hAnsi="楷体" w:eastAsia="楷体" w:cs="楷体"/>
                <w:sz w:val="28"/>
                <w:szCs w:val="28"/>
              </w:rPr>
            </w:pPr>
            <w:r>
              <w:rPr>
                <w:rFonts w:hint="eastAsia" w:ascii="楷体" w:hAnsi="楷体" w:eastAsia="楷体" w:cs="楷体"/>
                <w:sz w:val="28"/>
                <w:szCs w:val="28"/>
              </w:rPr>
              <w:t>健骑机</w:t>
            </w:r>
          </w:p>
          <w:p w14:paraId="094ED434">
            <w:pPr>
              <w:spacing w:line="360" w:lineRule="auto"/>
              <w:jc w:val="center"/>
              <w:rPr>
                <w:rFonts w:hint="eastAsia" w:ascii="楷体" w:hAnsi="楷体" w:eastAsia="楷体" w:cs="楷体"/>
                <w:sz w:val="28"/>
                <w:szCs w:val="28"/>
              </w:rPr>
            </w:pPr>
          </w:p>
        </w:tc>
        <w:tc>
          <w:tcPr>
            <w:tcW w:w="5395" w:type="dxa"/>
          </w:tcPr>
          <w:p w14:paraId="61B7FE12">
            <w:pPr>
              <w:spacing w:line="360" w:lineRule="auto"/>
              <w:rPr>
                <w:rFonts w:hint="eastAsia"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b/>
                <w:bCs/>
                <w:sz w:val="28"/>
                <w:szCs w:val="28"/>
                <w:lang w:val="en-US" w:eastAsia="zh-CN"/>
              </w:rPr>
              <w:t>1、</w:t>
            </w:r>
            <w:r>
              <w:rPr>
                <w:rFonts w:hint="eastAsia" w:ascii="楷体" w:hAnsi="楷体" w:eastAsia="楷体" w:cs="楷体"/>
                <w:sz w:val="28"/>
                <w:szCs w:val="28"/>
              </w:rPr>
              <w:t>器材具有第三方认证机构出具的符合GB19272—2011《室外健身器材的安全通用要求》产品认证证书和有效期内的证书确认函加盖制造商公章佐证和国家体育用品质量监督检验中心的检测报告。</w:t>
            </w:r>
          </w:p>
          <w:p w14:paraId="5F746AAA">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2</w:t>
            </w:r>
            <w:r>
              <w:rPr>
                <w:rFonts w:hint="eastAsia" w:ascii="楷体" w:hAnsi="楷体" w:eastAsia="楷体" w:cs="楷体"/>
                <w:b/>
                <w:bCs/>
                <w:sz w:val="28"/>
                <w:szCs w:val="28"/>
              </w:rPr>
              <w:t>、</w:t>
            </w:r>
            <w:r>
              <w:rPr>
                <w:rFonts w:hint="eastAsia" w:ascii="楷体" w:hAnsi="楷体" w:eastAsia="楷体" w:cs="楷体"/>
                <w:sz w:val="28"/>
                <w:szCs w:val="28"/>
              </w:rPr>
              <w:t>立柱规格φ114mm×3mm，并与其他管材同时满足GB19272—2011标准中相关静载荷、稳定性要求。</w:t>
            </w:r>
            <w:r>
              <w:rPr>
                <w:rFonts w:hint="eastAsia" w:ascii="楷体" w:hAnsi="楷体" w:eastAsia="楷体" w:cs="楷体"/>
                <w:sz w:val="28"/>
                <w:szCs w:val="28"/>
              </w:rPr>
              <w:tab/>
            </w:r>
          </w:p>
          <w:p w14:paraId="14A70162">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3</w:t>
            </w:r>
            <w:r>
              <w:rPr>
                <w:rFonts w:hint="eastAsia" w:ascii="楷体" w:hAnsi="楷体" w:eastAsia="楷体" w:cs="楷体"/>
                <w:b/>
                <w:bCs/>
                <w:sz w:val="28"/>
                <w:szCs w:val="28"/>
              </w:rPr>
              <w:t>、</w:t>
            </w:r>
            <w:r>
              <w:rPr>
                <w:rFonts w:hint="eastAsia" w:ascii="楷体" w:hAnsi="楷体" w:eastAsia="楷体" w:cs="楷体"/>
                <w:sz w:val="28"/>
                <w:szCs w:val="28"/>
              </w:rPr>
              <w:t>主要承载横梁≥Φ60×2.5mm钢管；</w:t>
            </w:r>
          </w:p>
          <w:p w14:paraId="100F5214">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4</w:t>
            </w:r>
            <w:r>
              <w:rPr>
                <w:rFonts w:hint="eastAsia" w:ascii="楷体" w:hAnsi="楷体" w:eastAsia="楷体" w:cs="楷体"/>
                <w:b/>
                <w:bCs/>
                <w:sz w:val="28"/>
                <w:szCs w:val="28"/>
              </w:rPr>
              <w:t>、</w:t>
            </w:r>
            <w:r>
              <w:rPr>
                <w:rFonts w:hint="eastAsia" w:ascii="楷体" w:hAnsi="楷体" w:eastAsia="楷体" w:cs="楷体"/>
                <w:sz w:val="28"/>
                <w:szCs w:val="28"/>
              </w:rPr>
              <w:t>转动部位采用国家标准轴承，并采用有效的防水和防尘措施。</w:t>
            </w:r>
          </w:p>
          <w:p w14:paraId="4D5F3858">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5</w:t>
            </w:r>
            <w:r>
              <w:rPr>
                <w:rFonts w:hint="eastAsia" w:ascii="楷体" w:hAnsi="楷体" w:eastAsia="楷体" w:cs="楷体"/>
                <w:b/>
                <w:bCs/>
                <w:sz w:val="28"/>
                <w:szCs w:val="28"/>
              </w:rPr>
              <w:t>、</w:t>
            </w:r>
            <w:r>
              <w:rPr>
                <w:rFonts w:hint="eastAsia" w:ascii="楷体" w:hAnsi="楷体" w:eastAsia="楷体" w:cs="楷体"/>
                <w:sz w:val="28"/>
                <w:szCs w:val="28"/>
              </w:rPr>
              <w:t>不存在卡夹，衣服、头发钩挂或缠绕结构。</w:t>
            </w:r>
          </w:p>
          <w:p w14:paraId="009FBC7C">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6</w:t>
            </w:r>
            <w:r>
              <w:rPr>
                <w:rFonts w:hint="eastAsia" w:ascii="楷体" w:hAnsi="楷体" w:eastAsia="楷体" w:cs="楷体"/>
                <w:b/>
                <w:bCs/>
                <w:sz w:val="28"/>
                <w:szCs w:val="28"/>
              </w:rPr>
              <w:t>、</w:t>
            </w:r>
            <w:r>
              <w:rPr>
                <w:rFonts w:hint="eastAsia" w:ascii="楷体" w:hAnsi="楷体" w:eastAsia="楷体" w:cs="楷体"/>
                <w:sz w:val="28"/>
                <w:szCs w:val="28"/>
              </w:rPr>
              <w:t>器材各部位的连接机构牢固可靠，除非特别设计，使用者不能予以松开。</w:t>
            </w:r>
          </w:p>
          <w:p w14:paraId="089935E7">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7</w:t>
            </w:r>
            <w:r>
              <w:rPr>
                <w:rFonts w:hint="eastAsia" w:ascii="楷体" w:hAnsi="楷体" w:eastAsia="楷体" w:cs="楷体"/>
                <w:b/>
                <w:bCs/>
                <w:sz w:val="28"/>
                <w:szCs w:val="28"/>
                <w:lang w:val="en-US"/>
              </w:rPr>
              <w:t>、</w:t>
            </w:r>
            <w:r>
              <w:rPr>
                <w:rFonts w:hint="eastAsia" w:ascii="楷体" w:hAnsi="楷体" w:eastAsia="楷体" w:cs="楷体"/>
                <w:sz w:val="28"/>
                <w:szCs w:val="28"/>
              </w:rPr>
              <w:t>在明显位置印有“丹徒区文体广电和旅游局赠”字样、中国体育彩票LOGO标志和报修二维码。</w:t>
            </w:r>
          </w:p>
        </w:tc>
        <w:tc>
          <w:tcPr>
            <w:tcW w:w="901" w:type="dxa"/>
            <w:vAlign w:val="center"/>
          </w:tcPr>
          <w:p w14:paraId="0B328570">
            <w:pPr>
              <w:spacing w:line="360" w:lineRule="auto"/>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65</w:t>
            </w:r>
          </w:p>
        </w:tc>
      </w:tr>
      <w:tr w14:paraId="4E177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 w:type="dxa"/>
            <w:vAlign w:val="center"/>
          </w:tcPr>
          <w:p w14:paraId="013551F8">
            <w:pPr>
              <w:spacing w:line="360" w:lineRule="auto"/>
              <w:jc w:val="center"/>
              <w:rPr>
                <w:rFonts w:hint="eastAsia" w:ascii="楷体" w:hAnsi="楷体" w:eastAsia="楷体" w:cs="楷体"/>
                <w:sz w:val="28"/>
                <w:szCs w:val="28"/>
              </w:rPr>
            </w:pPr>
          </w:p>
          <w:p w14:paraId="1BC6EB4A">
            <w:pPr>
              <w:spacing w:line="360" w:lineRule="auto"/>
              <w:jc w:val="center"/>
              <w:rPr>
                <w:rFonts w:hint="eastAsia" w:ascii="楷体" w:hAnsi="楷体" w:eastAsia="楷体" w:cs="楷体"/>
                <w:sz w:val="28"/>
                <w:szCs w:val="28"/>
              </w:rPr>
            </w:pPr>
          </w:p>
          <w:p w14:paraId="406245B9">
            <w:pPr>
              <w:spacing w:line="360" w:lineRule="auto"/>
              <w:jc w:val="center"/>
              <w:rPr>
                <w:rFonts w:hint="eastAsia" w:ascii="楷体" w:hAnsi="楷体" w:eastAsia="楷体" w:cs="楷体"/>
                <w:sz w:val="28"/>
                <w:szCs w:val="28"/>
              </w:rPr>
            </w:pPr>
          </w:p>
          <w:p w14:paraId="5F2FBAAD">
            <w:pPr>
              <w:spacing w:line="360" w:lineRule="auto"/>
              <w:jc w:val="center"/>
              <w:rPr>
                <w:rFonts w:hint="eastAsia" w:ascii="楷体" w:hAnsi="楷体" w:eastAsia="楷体" w:cs="楷体"/>
                <w:sz w:val="28"/>
                <w:szCs w:val="28"/>
              </w:rPr>
            </w:pPr>
          </w:p>
          <w:p w14:paraId="088FF061">
            <w:pPr>
              <w:spacing w:line="360" w:lineRule="auto"/>
              <w:jc w:val="center"/>
              <w:rPr>
                <w:rFonts w:hint="eastAsia" w:ascii="楷体" w:hAnsi="楷体" w:eastAsia="楷体" w:cs="楷体"/>
                <w:sz w:val="28"/>
                <w:szCs w:val="28"/>
              </w:rPr>
            </w:pPr>
          </w:p>
          <w:p w14:paraId="3E992601">
            <w:pPr>
              <w:spacing w:line="360" w:lineRule="auto"/>
              <w:jc w:val="center"/>
              <w:rPr>
                <w:rFonts w:hint="eastAsia" w:ascii="楷体" w:hAnsi="楷体" w:eastAsia="楷体" w:cs="楷体"/>
                <w:sz w:val="28"/>
                <w:szCs w:val="28"/>
              </w:rPr>
            </w:pPr>
          </w:p>
          <w:p w14:paraId="723850B5">
            <w:pPr>
              <w:spacing w:line="360" w:lineRule="auto"/>
              <w:jc w:val="center"/>
              <w:rPr>
                <w:rFonts w:hint="eastAsia" w:ascii="楷体" w:hAnsi="楷体" w:eastAsia="楷体" w:cs="楷体"/>
                <w:sz w:val="28"/>
                <w:szCs w:val="28"/>
              </w:rPr>
            </w:pPr>
          </w:p>
          <w:p w14:paraId="62C3BC4F">
            <w:pPr>
              <w:spacing w:line="360" w:lineRule="auto"/>
              <w:jc w:val="center"/>
              <w:rPr>
                <w:rFonts w:hint="eastAsia" w:ascii="楷体" w:hAnsi="楷体" w:eastAsia="楷体" w:cs="楷体"/>
                <w:sz w:val="28"/>
                <w:szCs w:val="28"/>
              </w:rPr>
            </w:pPr>
          </w:p>
          <w:p w14:paraId="35F266BC">
            <w:pPr>
              <w:spacing w:line="360" w:lineRule="auto"/>
              <w:jc w:val="center"/>
              <w:rPr>
                <w:rFonts w:hint="eastAsia" w:ascii="楷体" w:hAnsi="楷体" w:eastAsia="楷体" w:cs="楷体"/>
                <w:sz w:val="28"/>
                <w:szCs w:val="28"/>
              </w:rPr>
            </w:pPr>
          </w:p>
          <w:p w14:paraId="460A9F30">
            <w:pPr>
              <w:spacing w:line="360" w:lineRule="auto"/>
              <w:jc w:val="center"/>
              <w:rPr>
                <w:rFonts w:hint="eastAsia" w:ascii="楷体" w:hAnsi="楷体" w:eastAsia="楷体" w:cs="楷体"/>
                <w:sz w:val="28"/>
                <w:szCs w:val="28"/>
              </w:rPr>
            </w:pPr>
          </w:p>
          <w:p w14:paraId="1416FCEB">
            <w:pPr>
              <w:spacing w:line="360" w:lineRule="auto"/>
              <w:jc w:val="center"/>
              <w:rPr>
                <w:rFonts w:hint="eastAsia" w:ascii="楷体" w:hAnsi="楷体" w:eastAsia="楷体" w:cs="楷体"/>
                <w:sz w:val="28"/>
                <w:szCs w:val="28"/>
              </w:rPr>
            </w:pPr>
            <w:r>
              <w:rPr>
                <w:rFonts w:hint="eastAsia" w:ascii="楷体" w:hAnsi="楷体" w:eastAsia="楷体" w:cs="楷体"/>
                <w:sz w:val="28"/>
                <w:szCs w:val="28"/>
              </w:rPr>
              <w:t>11</w:t>
            </w:r>
          </w:p>
        </w:tc>
        <w:tc>
          <w:tcPr>
            <w:tcW w:w="1444" w:type="dxa"/>
            <w:vAlign w:val="center"/>
          </w:tcPr>
          <w:p w14:paraId="50543180">
            <w:pPr>
              <w:spacing w:line="360" w:lineRule="auto"/>
              <w:jc w:val="center"/>
              <w:rPr>
                <w:rFonts w:hint="eastAsia" w:ascii="楷体" w:hAnsi="楷体" w:eastAsia="楷体" w:cs="楷体"/>
                <w:sz w:val="28"/>
                <w:szCs w:val="28"/>
              </w:rPr>
            </w:pPr>
          </w:p>
          <w:p w14:paraId="5B00804C">
            <w:pPr>
              <w:spacing w:line="360" w:lineRule="auto"/>
              <w:jc w:val="center"/>
              <w:rPr>
                <w:rFonts w:hint="eastAsia" w:ascii="楷体" w:hAnsi="楷体" w:eastAsia="楷体" w:cs="楷体"/>
                <w:sz w:val="28"/>
                <w:szCs w:val="28"/>
              </w:rPr>
            </w:pPr>
          </w:p>
          <w:p w14:paraId="500B3B10">
            <w:pPr>
              <w:spacing w:line="360" w:lineRule="auto"/>
              <w:jc w:val="center"/>
              <w:rPr>
                <w:rFonts w:hint="eastAsia" w:ascii="楷体" w:hAnsi="楷体" w:eastAsia="楷体" w:cs="楷体"/>
                <w:sz w:val="28"/>
                <w:szCs w:val="28"/>
              </w:rPr>
            </w:pPr>
          </w:p>
          <w:p w14:paraId="0159A2F3">
            <w:pPr>
              <w:spacing w:line="360" w:lineRule="auto"/>
              <w:jc w:val="center"/>
              <w:rPr>
                <w:rFonts w:hint="eastAsia" w:ascii="楷体" w:hAnsi="楷体" w:eastAsia="楷体" w:cs="楷体"/>
                <w:sz w:val="28"/>
                <w:szCs w:val="28"/>
              </w:rPr>
            </w:pPr>
          </w:p>
          <w:p w14:paraId="65056564">
            <w:pPr>
              <w:spacing w:line="360" w:lineRule="auto"/>
              <w:jc w:val="center"/>
              <w:rPr>
                <w:rFonts w:hint="eastAsia" w:ascii="楷体" w:hAnsi="楷体" w:eastAsia="楷体" w:cs="楷体"/>
                <w:sz w:val="28"/>
                <w:szCs w:val="28"/>
              </w:rPr>
            </w:pPr>
          </w:p>
          <w:p w14:paraId="66EF048A">
            <w:pPr>
              <w:spacing w:line="360" w:lineRule="auto"/>
              <w:jc w:val="center"/>
              <w:rPr>
                <w:rFonts w:hint="eastAsia" w:ascii="楷体" w:hAnsi="楷体" w:eastAsia="楷体" w:cs="楷体"/>
                <w:sz w:val="28"/>
                <w:szCs w:val="28"/>
              </w:rPr>
            </w:pPr>
          </w:p>
          <w:p w14:paraId="74AD59EE">
            <w:pPr>
              <w:spacing w:line="360" w:lineRule="auto"/>
              <w:jc w:val="center"/>
              <w:rPr>
                <w:rFonts w:hint="eastAsia" w:ascii="楷体" w:hAnsi="楷体" w:eastAsia="楷体" w:cs="楷体"/>
                <w:sz w:val="28"/>
                <w:szCs w:val="28"/>
              </w:rPr>
            </w:pPr>
          </w:p>
          <w:p w14:paraId="494D791E">
            <w:pPr>
              <w:spacing w:line="360" w:lineRule="auto"/>
              <w:jc w:val="center"/>
              <w:rPr>
                <w:rFonts w:hint="eastAsia" w:ascii="楷体" w:hAnsi="楷体" w:eastAsia="楷体" w:cs="楷体"/>
                <w:sz w:val="28"/>
                <w:szCs w:val="28"/>
              </w:rPr>
            </w:pPr>
          </w:p>
          <w:p w14:paraId="1E354561">
            <w:pPr>
              <w:spacing w:line="360" w:lineRule="auto"/>
              <w:jc w:val="center"/>
              <w:rPr>
                <w:rFonts w:hint="eastAsia" w:ascii="楷体" w:hAnsi="楷体" w:eastAsia="楷体" w:cs="楷体"/>
                <w:sz w:val="28"/>
                <w:szCs w:val="28"/>
              </w:rPr>
            </w:pPr>
          </w:p>
          <w:p w14:paraId="7FE6F6D8">
            <w:pPr>
              <w:spacing w:line="360" w:lineRule="auto"/>
              <w:jc w:val="center"/>
              <w:rPr>
                <w:rFonts w:hint="eastAsia" w:ascii="楷体" w:hAnsi="楷体" w:eastAsia="楷体" w:cs="楷体"/>
                <w:sz w:val="28"/>
                <w:szCs w:val="28"/>
              </w:rPr>
            </w:pPr>
            <w:r>
              <w:rPr>
                <w:rFonts w:hint="eastAsia" w:ascii="楷体" w:hAnsi="楷体" w:eastAsia="楷体" w:cs="楷体"/>
                <w:sz w:val="28"/>
                <w:szCs w:val="28"/>
              </w:rPr>
              <w:t>地埋式篮球架</w:t>
            </w:r>
          </w:p>
        </w:tc>
        <w:tc>
          <w:tcPr>
            <w:tcW w:w="5395" w:type="dxa"/>
          </w:tcPr>
          <w:p w14:paraId="597F8876">
            <w:pPr>
              <w:spacing w:line="360" w:lineRule="auto"/>
              <w:rPr>
                <w:rFonts w:hint="eastAsia"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b/>
                <w:bCs/>
                <w:sz w:val="28"/>
                <w:szCs w:val="28"/>
                <w:lang w:val="en-US" w:eastAsia="zh-CN"/>
              </w:rPr>
              <w:t>1、</w:t>
            </w:r>
            <w:r>
              <w:rPr>
                <w:rFonts w:hint="eastAsia" w:ascii="楷体" w:hAnsi="楷体" w:eastAsia="楷体" w:cs="楷体"/>
                <w:sz w:val="28"/>
                <w:szCs w:val="28"/>
              </w:rPr>
              <w:t>器材具有第三方认证机构出具的符合GB19272—2011《室外健身器材的安全通用要求》产品认证证书和有效期内的证书确认函加盖制造商公章佐证和国家体育用品质量监督检验中心的检测报告。</w:t>
            </w:r>
          </w:p>
          <w:p w14:paraId="580B97DF">
            <w:pPr>
              <w:spacing w:line="360" w:lineRule="auto"/>
              <w:rPr>
                <w:rFonts w:hint="eastAsia" w:ascii="楷体" w:hAnsi="楷体" w:eastAsia="楷体" w:cs="楷体"/>
                <w:sz w:val="28"/>
                <w:szCs w:val="28"/>
                <w:lang w:val="en-US"/>
              </w:rPr>
            </w:pPr>
            <w:r>
              <w:rPr>
                <w:rFonts w:hint="eastAsia" w:ascii="楷体" w:hAnsi="楷体" w:eastAsia="楷体" w:cs="楷体"/>
                <w:sz w:val="28"/>
                <w:szCs w:val="28"/>
                <w:lang w:val="en-US"/>
              </w:rPr>
              <w:t>外形尺寸</w:t>
            </w:r>
            <w:r>
              <w:rPr>
                <w:rFonts w:hint="eastAsia" w:ascii="楷体" w:hAnsi="楷体" w:eastAsia="楷体" w:cs="楷体"/>
                <w:sz w:val="28"/>
                <w:szCs w:val="28"/>
              </w:rPr>
              <w:t>不小于</w:t>
            </w:r>
            <w:r>
              <w:rPr>
                <w:rFonts w:hint="eastAsia" w:ascii="楷体" w:hAnsi="楷体" w:eastAsia="楷体" w:cs="楷体"/>
                <w:sz w:val="28"/>
                <w:szCs w:val="28"/>
                <w:lang w:val="en-US"/>
              </w:rPr>
              <w:t>：2588mm×1800mm×3950mm</w:t>
            </w:r>
          </w:p>
          <w:p w14:paraId="13E16966">
            <w:pPr>
              <w:spacing w:line="360" w:lineRule="auto"/>
              <w:rPr>
                <w:rFonts w:hint="eastAsia" w:ascii="楷体" w:hAnsi="楷体" w:eastAsia="楷体" w:cs="楷体"/>
                <w:sz w:val="28"/>
                <w:szCs w:val="28"/>
                <w:lang w:val="en-US"/>
              </w:rPr>
            </w:pPr>
            <w:r>
              <w:rPr>
                <w:rFonts w:hint="eastAsia" w:ascii="楷体" w:hAnsi="楷体" w:eastAsia="楷体" w:cs="楷体"/>
                <w:sz w:val="28"/>
                <w:szCs w:val="28"/>
                <w:lang w:val="en-US"/>
              </w:rPr>
              <w:t>主要承载立柱尺寸</w:t>
            </w:r>
            <w:r>
              <w:rPr>
                <w:rFonts w:hint="eastAsia" w:ascii="楷体" w:hAnsi="楷体" w:eastAsia="楷体" w:cs="楷体"/>
                <w:sz w:val="28"/>
                <w:szCs w:val="28"/>
              </w:rPr>
              <w:t>不小于</w:t>
            </w:r>
            <w:r>
              <w:rPr>
                <w:rFonts w:hint="eastAsia" w:ascii="楷体" w:hAnsi="楷体" w:eastAsia="楷体" w:cs="楷体"/>
                <w:sz w:val="28"/>
                <w:szCs w:val="28"/>
                <w:lang w:val="en-US"/>
              </w:rPr>
              <w:t>： Φ 165mm×4.0mm</w:t>
            </w:r>
          </w:p>
          <w:p w14:paraId="66AB220B">
            <w:pPr>
              <w:spacing w:line="360" w:lineRule="auto"/>
              <w:rPr>
                <w:rFonts w:hint="eastAsia" w:ascii="楷体" w:hAnsi="楷体" w:eastAsia="楷体" w:cs="楷体"/>
                <w:sz w:val="28"/>
                <w:szCs w:val="28"/>
                <w:lang w:val="en-US"/>
              </w:rPr>
            </w:pPr>
            <w:r>
              <w:rPr>
                <w:rFonts w:hint="eastAsia" w:ascii="楷体" w:hAnsi="楷体" w:eastAsia="楷体" w:cs="楷体"/>
                <w:sz w:val="28"/>
                <w:szCs w:val="28"/>
                <w:lang w:val="en-US"/>
              </w:rPr>
              <w:t>主要承载横梁尺寸</w:t>
            </w:r>
            <w:r>
              <w:rPr>
                <w:rFonts w:hint="eastAsia" w:ascii="楷体" w:hAnsi="楷体" w:eastAsia="楷体" w:cs="楷体"/>
                <w:sz w:val="28"/>
                <w:szCs w:val="28"/>
              </w:rPr>
              <w:t>不小于</w:t>
            </w:r>
            <w:r>
              <w:rPr>
                <w:rFonts w:hint="eastAsia" w:ascii="楷体" w:hAnsi="楷体" w:eastAsia="楷体" w:cs="楷体"/>
                <w:sz w:val="28"/>
                <w:szCs w:val="28"/>
                <w:lang w:val="en-US"/>
              </w:rPr>
              <w:t>： Φ 165mm×4.0mm、 Φ60mm×3.0mm 表面处理工艺：脱脂-电动抛丸-静电喷塑</w:t>
            </w:r>
          </w:p>
          <w:p w14:paraId="1674A77F">
            <w:pPr>
              <w:spacing w:line="360" w:lineRule="auto"/>
              <w:rPr>
                <w:rFonts w:hint="eastAsia" w:ascii="楷体" w:hAnsi="楷体" w:eastAsia="楷体" w:cs="楷体"/>
                <w:sz w:val="28"/>
                <w:szCs w:val="28"/>
                <w:lang w:val="en-US"/>
              </w:rPr>
            </w:pPr>
            <w:r>
              <w:rPr>
                <w:rFonts w:hint="eastAsia" w:ascii="楷体" w:hAnsi="楷体" w:eastAsia="楷体" w:cs="楷体"/>
                <w:sz w:val="28"/>
                <w:szCs w:val="28"/>
                <w:lang w:val="en-US"/>
              </w:rPr>
              <w:t>安装方式：预埋</w:t>
            </w:r>
          </w:p>
          <w:p w14:paraId="5B55D314">
            <w:pPr>
              <w:spacing w:line="360" w:lineRule="auto"/>
              <w:rPr>
                <w:rFonts w:hint="eastAsia" w:ascii="楷体" w:hAnsi="楷体" w:eastAsia="楷体" w:cs="楷体"/>
                <w:sz w:val="28"/>
                <w:szCs w:val="28"/>
                <w:lang w:val="en-US"/>
              </w:rPr>
            </w:pPr>
            <w:r>
              <w:rPr>
                <w:rFonts w:hint="eastAsia" w:ascii="楷体" w:hAnsi="楷体" w:eastAsia="楷体" w:cs="楷体"/>
                <w:sz w:val="28"/>
                <w:szCs w:val="28"/>
                <w:lang w:val="en-US"/>
              </w:rPr>
              <w:t>执行标准：GB19272-2011《室外健身器材的安全 通用要求》</w:t>
            </w:r>
          </w:p>
          <w:p w14:paraId="53E00734">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2</w:t>
            </w:r>
            <w:r>
              <w:rPr>
                <w:rFonts w:hint="eastAsia" w:ascii="楷体" w:hAnsi="楷体" w:eastAsia="楷体" w:cs="楷体"/>
                <w:b/>
                <w:bCs/>
                <w:sz w:val="28"/>
                <w:szCs w:val="28"/>
                <w:lang w:val="en-US"/>
              </w:rPr>
              <w:t>、</w:t>
            </w:r>
            <w:r>
              <w:rPr>
                <w:rFonts w:hint="eastAsia" w:ascii="楷体" w:hAnsi="楷体" w:eastAsia="楷体" w:cs="楷体"/>
                <w:sz w:val="28"/>
                <w:szCs w:val="28"/>
                <w:lang w:val="en-US"/>
              </w:rPr>
              <w:t xml:space="preserve"> 立柱部件由立柱管</w:t>
            </w:r>
            <w:r>
              <w:rPr>
                <w:rFonts w:hint="eastAsia" w:ascii="楷体" w:hAnsi="楷体" w:eastAsia="楷体" w:cs="楷体"/>
                <w:sz w:val="28"/>
                <w:szCs w:val="28"/>
              </w:rPr>
              <w:t>不小于</w:t>
            </w:r>
            <w:r>
              <w:rPr>
                <w:rFonts w:hint="eastAsia" w:ascii="楷体" w:hAnsi="楷体" w:eastAsia="楷体" w:cs="楷体"/>
                <w:sz w:val="28"/>
                <w:szCs w:val="28"/>
                <w:lang w:val="en-US"/>
              </w:rPr>
              <w:t>Φ 165mm×4.0mm、支撑管</w:t>
            </w:r>
            <w:r>
              <w:rPr>
                <w:rFonts w:hint="eastAsia" w:ascii="楷体" w:hAnsi="楷体" w:eastAsia="楷体" w:cs="楷体"/>
                <w:sz w:val="28"/>
                <w:szCs w:val="28"/>
              </w:rPr>
              <w:t>不小于</w:t>
            </w:r>
            <w:r>
              <w:rPr>
                <w:rFonts w:hint="eastAsia" w:ascii="楷体" w:hAnsi="楷体" w:eastAsia="楷体" w:cs="楷体"/>
                <w:sz w:val="28"/>
                <w:szCs w:val="28"/>
                <w:lang w:val="en-US"/>
              </w:rPr>
              <w:t>Φ60mm×3.0mm、 连接板、预埋管等组焊。</w:t>
            </w:r>
          </w:p>
          <w:p w14:paraId="13D1ADAB">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3</w:t>
            </w:r>
            <w:r>
              <w:rPr>
                <w:rFonts w:hint="eastAsia" w:ascii="楷体" w:hAnsi="楷体" w:eastAsia="楷体" w:cs="楷体"/>
                <w:b/>
                <w:bCs/>
                <w:sz w:val="28"/>
                <w:szCs w:val="28"/>
                <w:lang w:val="en-US"/>
              </w:rPr>
              <w:t>、</w:t>
            </w:r>
            <w:r>
              <w:rPr>
                <w:rFonts w:hint="eastAsia" w:ascii="楷体" w:hAnsi="楷体" w:eastAsia="楷体" w:cs="楷体"/>
                <w:sz w:val="28"/>
                <w:szCs w:val="28"/>
                <w:lang w:val="en-US"/>
              </w:rPr>
              <w:t xml:space="preserve"> 上下拉杆部件由拉杆管</w:t>
            </w:r>
            <w:r>
              <w:rPr>
                <w:rFonts w:hint="eastAsia" w:ascii="楷体" w:hAnsi="楷体" w:eastAsia="楷体" w:cs="楷体"/>
                <w:sz w:val="28"/>
                <w:szCs w:val="28"/>
              </w:rPr>
              <w:t>不小于</w:t>
            </w:r>
            <w:r>
              <w:rPr>
                <w:rFonts w:hint="eastAsia" w:ascii="楷体" w:hAnsi="楷体" w:eastAsia="楷体" w:cs="楷体"/>
                <w:sz w:val="28"/>
                <w:szCs w:val="28"/>
                <w:lang w:val="en-US"/>
              </w:rPr>
              <w:t>Φ48mm×3.0mm、 自制螺母组焊</w:t>
            </w:r>
          </w:p>
          <w:p w14:paraId="76E38378">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4</w:t>
            </w:r>
            <w:r>
              <w:rPr>
                <w:rFonts w:hint="eastAsia" w:ascii="楷体" w:hAnsi="楷体" w:eastAsia="楷体" w:cs="楷体"/>
                <w:b/>
                <w:bCs/>
                <w:sz w:val="28"/>
                <w:szCs w:val="28"/>
                <w:lang w:val="en-US"/>
              </w:rPr>
              <w:t>、</w:t>
            </w:r>
            <w:r>
              <w:rPr>
                <w:rFonts w:hint="eastAsia" w:ascii="楷体" w:hAnsi="楷体" w:eastAsia="楷体" w:cs="楷体"/>
                <w:sz w:val="28"/>
                <w:szCs w:val="28"/>
                <w:lang w:val="en-US"/>
              </w:rPr>
              <w:t xml:space="preserve"> 篮板使用 SMC 材料，规格为 1800×1050×50mm（翻边），整 体高温模压一次成型。</w:t>
            </w:r>
          </w:p>
          <w:p w14:paraId="404055B8">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5</w:t>
            </w:r>
            <w:r>
              <w:rPr>
                <w:rFonts w:hint="eastAsia" w:ascii="楷体" w:hAnsi="楷体" w:eastAsia="楷体" w:cs="楷体"/>
                <w:b/>
                <w:bCs/>
                <w:sz w:val="28"/>
                <w:szCs w:val="28"/>
                <w:lang w:val="en-US"/>
              </w:rPr>
              <w:t>、</w:t>
            </w:r>
            <w:r>
              <w:rPr>
                <w:rFonts w:hint="eastAsia" w:ascii="楷体" w:hAnsi="楷体" w:eastAsia="楷体" w:cs="楷体"/>
                <w:sz w:val="28"/>
                <w:szCs w:val="28"/>
                <w:lang w:val="en-US"/>
              </w:rPr>
              <w:t xml:space="preserve"> 篮圈内径 450mm,篮圈圈条直径 18mm,篮圈下沿有 12 个均分 的系篮网装置，无尖角、毛刺，篮网均匀的悬挂在网钩上。</w:t>
            </w:r>
          </w:p>
          <w:p w14:paraId="2FA21DF0">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6</w:t>
            </w:r>
            <w:r>
              <w:rPr>
                <w:rFonts w:hint="eastAsia" w:ascii="楷体" w:hAnsi="楷体" w:eastAsia="楷体" w:cs="楷体"/>
                <w:b/>
                <w:bCs/>
                <w:sz w:val="28"/>
                <w:szCs w:val="28"/>
                <w:lang w:val="en-US"/>
              </w:rPr>
              <w:t>、</w:t>
            </w:r>
            <w:r>
              <w:rPr>
                <w:rFonts w:hint="eastAsia" w:ascii="楷体" w:hAnsi="楷体" w:eastAsia="楷体" w:cs="楷体"/>
                <w:sz w:val="28"/>
                <w:szCs w:val="28"/>
                <w:lang w:val="en-US"/>
              </w:rPr>
              <w:t xml:space="preserve"> 器材各支撑人体的表面所有棱边和尖角半径 3.0mm，使用者 或第三者易接触的零部件的其他所有棱边进行圆滑过渡。</w:t>
            </w:r>
          </w:p>
          <w:p w14:paraId="011BFE29">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7</w:t>
            </w:r>
            <w:r>
              <w:rPr>
                <w:rFonts w:hint="eastAsia" w:ascii="楷体" w:hAnsi="楷体" w:eastAsia="楷体" w:cs="楷体"/>
                <w:b/>
                <w:bCs/>
                <w:sz w:val="28"/>
                <w:szCs w:val="28"/>
                <w:lang w:val="en-US"/>
              </w:rPr>
              <w:t>、</w:t>
            </w:r>
            <w:r>
              <w:rPr>
                <w:rFonts w:hint="eastAsia" w:ascii="楷体" w:hAnsi="楷体" w:eastAsia="楷体" w:cs="楷体"/>
                <w:sz w:val="28"/>
                <w:szCs w:val="28"/>
              </w:rPr>
              <w:t>在明显位置印有“丹徒区文体广电和旅游局赠”字样、中国体育彩票LOGO标志和报修二维码。</w:t>
            </w:r>
          </w:p>
        </w:tc>
        <w:tc>
          <w:tcPr>
            <w:tcW w:w="901" w:type="dxa"/>
            <w:vAlign w:val="center"/>
          </w:tcPr>
          <w:p w14:paraId="343B35BE">
            <w:pPr>
              <w:spacing w:line="360" w:lineRule="auto"/>
              <w:jc w:val="center"/>
              <w:rPr>
                <w:rFonts w:hint="eastAsia" w:ascii="楷体" w:hAnsi="楷体" w:eastAsia="楷体" w:cs="楷体"/>
                <w:sz w:val="28"/>
                <w:szCs w:val="28"/>
                <w:lang w:val="en-US"/>
              </w:rPr>
            </w:pPr>
          </w:p>
          <w:p w14:paraId="17526506">
            <w:pPr>
              <w:spacing w:line="360" w:lineRule="auto"/>
              <w:jc w:val="center"/>
              <w:rPr>
                <w:rFonts w:hint="eastAsia" w:ascii="楷体" w:hAnsi="楷体" w:eastAsia="楷体" w:cs="楷体"/>
                <w:sz w:val="28"/>
                <w:szCs w:val="28"/>
                <w:lang w:val="en-US"/>
              </w:rPr>
            </w:pPr>
          </w:p>
          <w:p w14:paraId="67F6EEC6">
            <w:pPr>
              <w:spacing w:line="360" w:lineRule="auto"/>
              <w:jc w:val="center"/>
              <w:rPr>
                <w:rFonts w:hint="eastAsia" w:ascii="楷体" w:hAnsi="楷体" w:eastAsia="楷体" w:cs="楷体"/>
                <w:sz w:val="28"/>
                <w:szCs w:val="28"/>
                <w:lang w:val="en-US"/>
              </w:rPr>
            </w:pPr>
          </w:p>
          <w:p w14:paraId="2A2E177F">
            <w:pPr>
              <w:spacing w:line="360" w:lineRule="auto"/>
              <w:jc w:val="center"/>
              <w:rPr>
                <w:rFonts w:hint="eastAsia" w:ascii="楷体" w:hAnsi="楷体" w:eastAsia="楷体" w:cs="楷体"/>
                <w:sz w:val="28"/>
                <w:szCs w:val="28"/>
                <w:lang w:val="en-US"/>
              </w:rPr>
            </w:pPr>
          </w:p>
          <w:p w14:paraId="4CD7E046">
            <w:pPr>
              <w:spacing w:line="360" w:lineRule="auto"/>
              <w:jc w:val="center"/>
              <w:rPr>
                <w:rFonts w:hint="eastAsia" w:ascii="楷体" w:hAnsi="楷体" w:eastAsia="楷体" w:cs="楷体"/>
                <w:sz w:val="28"/>
                <w:szCs w:val="28"/>
                <w:lang w:val="en-US"/>
              </w:rPr>
            </w:pPr>
          </w:p>
          <w:p w14:paraId="35D9FF62">
            <w:pPr>
              <w:spacing w:line="360" w:lineRule="auto"/>
              <w:jc w:val="center"/>
              <w:rPr>
                <w:rFonts w:hint="eastAsia" w:ascii="楷体" w:hAnsi="楷体" w:eastAsia="楷体" w:cs="楷体"/>
                <w:sz w:val="28"/>
                <w:szCs w:val="28"/>
                <w:lang w:val="en-US"/>
              </w:rPr>
            </w:pPr>
          </w:p>
          <w:p w14:paraId="2C741B53">
            <w:pPr>
              <w:spacing w:line="360" w:lineRule="auto"/>
              <w:jc w:val="center"/>
              <w:rPr>
                <w:rFonts w:hint="eastAsia" w:ascii="楷体" w:hAnsi="楷体" w:eastAsia="楷体" w:cs="楷体"/>
                <w:sz w:val="28"/>
                <w:szCs w:val="28"/>
                <w:lang w:val="en-US"/>
              </w:rPr>
            </w:pPr>
          </w:p>
          <w:p w14:paraId="4738EAB3">
            <w:pPr>
              <w:spacing w:line="360" w:lineRule="auto"/>
              <w:jc w:val="center"/>
              <w:rPr>
                <w:rFonts w:hint="eastAsia" w:ascii="楷体" w:hAnsi="楷体" w:eastAsia="楷体" w:cs="楷体"/>
                <w:sz w:val="28"/>
                <w:szCs w:val="28"/>
                <w:lang w:val="en-US"/>
              </w:rPr>
            </w:pPr>
          </w:p>
          <w:p w14:paraId="018F01E4">
            <w:pPr>
              <w:spacing w:line="360" w:lineRule="auto"/>
              <w:jc w:val="center"/>
              <w:rPr>
                <w:rFonts w:hint="eastAsia" w:ascii="楷体" w:hAnsi="楷体" w:eastAsia="楷体" w:cs="楷体"/>
                <w:sz w:val="28"/>
                <w:szCs w:val="28"/>
                <w:lang w:val="en-US"/>
              </w:rPr>
            </w:pPr>
          </w:p>
          <w:p w14:paraId="673212FF">
            <w:pPr>
              <w:spacing w:line="360" w:lineRule="auto"/>
              <w:jc w:val="center"/>
              <w:rPr>
                <w:rFonts w:hint="eastAsia" w:ascii="楷体" w:hAnsi="楷体" w:eastAsia="楷体" w:cs="楷体"/>
                <w:sz w:val="28"/>
                <w:szCs w:val="28"/>
                <w:lang w:val="en-US"/>
              </w:rPr>
            </w:pPr>
          </w:p>
          <w:p w14:paraId="11967422">
            <w:pPr>
              <w:spacing w:line="360" w:lineRule="auto"/>
              <w:jc w:val="center"/>
              <w:rPr>
                <w:rFonts w:hint="eastAsia" w:ascii="楷体" w:hAnsi="楷体" w:eastAsia="楷体" w:cs="楷体"/>
                <w:sz w:val="28"/>
                <w:szCs w:val="28"/>
                <w:lang w:val="en-US"/>
              </w:rPr>
            </w:pPr>
            <w:r>
              <w:rPr>
                <w:rFonts w:hint="eastAsia" w:ascii="楷体" w:hAnsi="楷体" w:eastAsia="楷体" w:cs="楷体"/>
                <w:sz w:val="28"/>
                <w:szCs w:val="28"/>
                <w:lang w:val="en-US"/>
              </w:rPr>
              <w:t>32</w:t>
            </w:r>
          </w:p>
        </w:tc>
      </w:tr>
      <w:tr w14:paraId="7AD38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 w:type="dxa"/>
            <w:vAlign w:val="center"/>
          </w:tcPr>
          <w:p w14:paraId="07A7BBAC">
            <w:pPr>
              <w:spacing w:line="360" w:lineRule="auto"/>
              <w:jc w:val="center"/>
              <w:rPr>
                <w:rFonts w:hint="eastAsia" w:ascii="楷体" w:hAnsi="楷体" w:eastAsia="楷体" w:cs="楷体"/>
                <w:sz w:val="28"/>
                <w:szCs w:val="28"/>
              </w:rPr>
            </w:pPr>
            <w:r>
              <w:rPr>
                <w:rFonts w:hint="eastAsia" w:ascii="楷体" w:hAnsi="楷体" w:eastAsia="楷体" w:cs="楷体"/>
                <w:sz w:val="28"/>
                <w:szCs w:val="28"/>
              </w:rPr>
              <w:t>12</w:t>
            </w:r>
          </w:p>
        </w:tc>
        <w:tc>
          <w:tcPr>
            <w:tcW w:w="1444" w:type="dxa"/>
            <w:vAlign w:val="center"/>
          </w:tcPr>
          <w:p w14:paraId="6E93124C">
            <w:pPr>
              <w:spacing w:line="360" w:lineRule="auto"/>
              <w:jc w:val="center"/>
              <w:rPr>
                <w:rFonts w:hint="eastAsia" w:ascii="楷体" w:hAnsi="楷体" w:eastAsia="楷体" w:cs="楷体"/>
                <w:sz w:val="28"/>
                <w:szCs w:val="28"/>
              </w:rPr>
            </w:pPr>
            <w:r>
              <w:rPr>
                <w:rFonts w:hint="eastAsia" w:ascii="楷体" w:hAnsi="楷体" w:eastAsia="楷体" w:cs="楷体"/>
                <w:sz w:val="28"/>
                <w:szCs w:val="28"/>
              </w:rPr>
              <w:t>室外乒乓球桌</w:t>
            </w:r>
          </w:p>
        </w:tc>
        <w:tc>
          <w:tcPr>
            <w:tcW w:w="5395" w:type="dxa"/>
          </w:tcPr>
          <w:p w14:paraId="3D8CDBE1">
            <w:pPr>
              <w:spacing w:line="360" w:lineRule="auto"/>
              <w:rPr>
                <w:rFonts w:hint="eastAsia"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b/>
                <w:bCs/>
                <w:sz w:val="28"/>
                <w:szCs w:val="28"/>
                <w:lang w:val="en-US" w:eastAsia="zh-CN"/>
              </w:rPr>
              <w:t>1、</w:t>
            </w:r>
            <w:r>
              <w:rPr>
                <w:rFonts w:hint="eastAsia" w:ascii="楷体" w:hAnsi="楷体" w:eastAsia="楷体" w:cs="楷体"/>
                <w:sz w:val="28"/>
                <w:szCs w:val="28"/>
              </w:rPr>
              <w:t>器材具有第三方认证机构出具的符合GB19272—2011《室外健身器材的安全通用要求》产品认证证书和有效期内的证书确认函加盖制造商公章佐证和国家体育用品质量监督检验中心的检测报告。</w:t>
            </w:r>
          </w:p>
          <w:p w14:paraId="71B2946E">
            <w:pPr>
              <w:spacing w:line="360" w:lineRule="auto"/>
              <w:rPr>
                <w:rFonts w:hint="eastAsia" w:ascii="楷体" w:hAnsi="楷体" w:eastAsia="楷体" w:cs="楷体"/>
                <w:sz w:val="28"/>
                <w:szCs w:val="28"/>
                <w:lang w:val="en-US"/>
              </w:rPr>
            </w:pPr>
            <w:r>
              <w:rPr>
                <w:rFonts w:hint="eastAsia" w:ascii="楷体" w:hAnsi="楷体" w:eastAsia="楷体" w:cs="楷体"/>
                <w:sz w:val="28"/>
                <w:szCs w:val="28"/>
                <w:lang w:val="en-US"/>
              </w:rPr>
              <w:t>外形尺寸</w:t>
            </w:r>
            <w:r>
              <w:rPr>
                <w:rFonts w:hint="eastAsia" w:ascii="楷体" w:hAnsi="楷体" w:eastAsia="楷体" w:cs="楷体"/>
                <w:sz w:val="28"/>
                <w:szCs w:val="28"/>
              </w:rPr>
              <w:t>不小于</w:t>
            </w:r>
            <w:r>
              <w:rPr>
                <w:rFonts w:hint="eastAsia" w:ascii="楷体" w:hAnsi="楷体" w:eastAsia="楷体" w:cs="楷体"/>
                <w:sz w:val="28"/>
                <w:szCs w:val="28"/>
                <w:lang w:val="en-US"/>
              </w:rPr>
              <w:t>：2740mm×1567mm×912mm 主要材料：钢管\SMC</w:t>
            </w:r>
          </w:p>
          <w:p w14:paraId="6B36A85F">
            <w:pPr>
              <w:spacing w:line="360" w:lineRule="auto"/>
              <w:rPr>
                <w:rFonts w:hint="eastAsia" w:ascii="楷体" w:hAnsi="楷体" w:eastAsia="楷体" w:cs="楷体"/>
                <w:sz w:val="28"/>
                <w:szCs w:val="28"/>
                <w:lang w:val="en-US"/>
              </w:rPr>
            </w:pPr>
            <w:r>
              <w:rPr>
                <w:rFonts w:hint="eastAsia" w:ascii="楷体" w:hAnsi="楷体" w:eastAsia="楷体" w:cs="楷体"/>
                <w:sz w:val="28"/>
                <w:szCs w:val="28"/>
                <w:lang w:val="en-US"/>
              </w:rPr>
              <w:t>主要承载立柱尺寸</w:t>
            </w:r>
            <w:r>
              <w:rPr>
                <w:rFonts w:hint="eastAsia" w:ascii="楷体" w:hAnsi="楷体" w:eastAsia="楷体" w:cs="楷体"/>
                <w:sz w:val="28"/>
                <w:szCs w:val="28"/>
              </w:rPr>
              <w:t>不小于</w:t>
            </w:r>
            <w:r>
              <w:rPr>
                <w:rFonts w:hint="eastAsia" w:ascii="楷体" w:hAnsi="楷体" w:eastAsia="楷体" w:cs="楷体"/>
                <w:sz w:val="28"/>
                <w:szCs w:val="28"/>
                <w:lang w:val="en-US"/>
              </w:rPr>
              <w:t>：Φ60mm×3.0mm</w:t>
            </w:r>
          </w:p>
          <w:p w14:paraId="3FF41D15">
            <w:pPr>
              <w:spacing w:line="360" w:lineRule="auto"/>
              <w:rPr>
                <w:rFonts w:hint="eastAsia" w:ascii="楷体" w:hAnsi="楷体" w:eastAsia="楷体" w:cs="楷体"/>
                <w:sz w:val="28"/>
                <w:szCs w:val="28"/>
                <w:lang w:val="en-US"/>
              </w:rPr>
            </w:pPr>
            <w:r>
              <w:rPr>
                <w:rFonts w:hint="eastAsia" w:ascii="楷体" w:hAnsi="楷体" w:eastAsia="楷体" w:cs="楷体"/>
                <w:sz w:val="28"/>
                <w:szCs w:val="28"/>
                <w:lang w:val="en-US"/>
              </w:rPr>
              <w:t>主要承载横梁尺寸</w:t>
            </w:r>
            <w:r>
              <w:rPr>
                <w:rFonts w:hint="eastAsia" w:ascii="楷体" w:hAnsi="楷体" w:eastAsia="楷体" w:cs="楷体"/>
                <w:sz w:val="28"/>
                <w:szCs w:val="28"/>
              </w:rPr>
              <w:t>不小于</w:t>
            </w:r>
            <w:r>
              <w:rPr>
                <w:rFonts w:hint="eastAsia" w:ascii="楷体" w:hAnsi="楷体" w:eastAsia="楷体" w:cs="楷体"/>
                <w:sz w:val="28"/>
                <w:szCs w:val="28"/>
                <w:lang w:val="en-US"/>
              </w:rPr>
              <w:t>：20mm×30mm×3.0mm  表面处理工艺：脱脂-电动抛丸-静电喷塑 安装方式：预埋</w:t>
            </w:r>
          </w:p>
          <w:p w14:paraId="787FF4BD">
            <w:pPr>
              <w:spacing w:line="360" w:lineRule="auto"/>
              <w:rPr>
                <w:rFonts w:hint="eastAsia" w:ascii="楷体" w:hAnsi="楷体" w:eastAsia="楷体" w:cs="楷体"/>
                <w:sz w:val="28"/>
                <w:szCs w:val="28"/>
                <w:lang w:val="en-US"/>
              </w:rPr>
            </w:pPr>
            <w:r>
              <w:rPr>
                <w:rFonts w:hint="eastAsia" w:ascii="楷体" w:hAnsi="楷体" w:eastAsia="楷体" w:cs="楷体"/>
                <w:sz w:val="28"/>
                <w:szCs w:val="28"/>
                <w:lang w:val="en-US"/>
              </w:rPr>
              <w:t>执行标准：GB19272-2011《室外健身器材的安全 通用要求》</w:t>
            </w:r>
          </w:p>
          <w:p w14:paraId="3BDBDBD2">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2</w:t>
            </w:r>
            <w:r>
              <w:rPr>
                <w:rFonts w:hint="eastAsia" w:ascii="楷体" w:hAnsi="楷体" w:eastAsia="楷体" w:cs="楷体"/>
                <w:b/>
                <w:bCs/>
                <w:sz w:val="28"/>
                <w:szCs w:val="28"/>
                <w:lang w:val="en-US"/>
              </w:rPr>
              <w:t>、</w:t>
            </w:r>
            <w:r>
              <w:rPr>
                <w:rFonts w:hint="eastAsia" w:ascii="楷体" w:hAnsi="楷体" w:eastAsia="楷体" w:cs="楷体"/>
                <w:sz w:val="28"/>
                <w:szCs w:val="28"/>
                <w:lang w:val="en-US"/>
              </w:rPr>
              <w:t xml:space="preserve"> 立柱部件由支撑腿</w:t>
            </w:r>
            <w:r>
              <w:rPr>
                <w:rFonts w:hint="eastAsia" w:ascii="楷体" w:hAnsi="楷体" w:eastAsia="楷体" w:cs="楷体"/>
                <w:sz w:val="28"/>
                <w:szCs w:val="28"/>
              </w:rPr>
              <w:t>不小于</w:t>
            </w:r>
            <w:r>
              <w:rPr>
                <w:rFonts w:hint="eastAsia" w:ascii="楷体" w:hAnsi="楷体" w:eastAsia="楷体" w:cs="楷体"/>
                <w:sz w:val="28"/>
                <w:szCs w:val="28"/>
                <w:lang w:val="en-US"/>
              </w:rPr>
              <w:t>Φ60mm×3.0mm、弯管支撑</w:t>
            </w:r>
            <w:r>
              <w:rPr>
                <w:rFonts w:hint="eastAsia" w:ascii="楷体" w:hAnsi="楷体" w:eastAsia="楷体" w:cs="楷体"/>
                <w:sz w:val="28"/>
                <w:szCs w:val="28"/>
              </w:rPr>
              <w:t>不小于</w:t>
            </w:r>
            <w:r>
              <w:rPr>
                <w:rFonts w:hint="eastAsia" w:ascii="楷体" w:hAnsi="楷体" w:eastAsia="楷体" w:cs="楷体"/>
                <w:sz w:val="28"/>
                <w:szCs w:val="28"/>
                <w:lang w:val="en-US"/>
              </w:rPr>
              <w:t>Φ42mm×3.0mm、加强弯管</w:t>
            </w:r>
            <w:r>
              <w:rPr>
                <w:rFonts w:hint="eastAsia" w:ascii="楷体" w:hAnsi="楷体" w:eastAsia="楷体" w:cs="楷体"/>
                <w:sz w:val="28"/>
                <w:szCs w:val="28"/>
              </w:rPr>
              <w:t>不小于</w:t>
            </w:r>
            <w:r>
              <w:rPr>
                <w:rFonts w:hint="eastAsia" w:ascii="楷体" w:hAnsi="楷体" w:eastAsia="楷体" w:cs="楷体"/>
                <w:sz w:val="28"/>
                <w:szCs w:val="28"/>
                <w:lang w:val="en-US"/>
              </w:rPr>
              <w:t>Φ32mm×3.0mm、底脚板等组焊。</w:t>
            </w:r>
          </w:p>
          <w:p w14:paraId="62DF2239">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3</w:t>
            </w:r>
            <w:r>
              <w:rPr>
                <w:rFonts w:hint="eastAsia" w:ascii="楷体" w:hAnsi="楷体" w:eastAsia="楷体" w:cs="楷体"/>
                <w:b/>
                <w:bCs/>
                <w:sz w:val="28"/>
                <w:szCs w:val="28"/>
                <w:lang w:val="en-US"/>
              </w:rPr>
              <w:t>、</w:t>
            </w:r>
            <w:r>
              <w:rPr>
                <w:rFonts w:hint="eastAsia" w:ascii="楷体" w:hAnsi="楷体" w:eastAsia="楷体" w:cs="楷体"/>
                <w:sz w:val="28"/>
                <w:szCs w:val="28"/>
                <w:lang w:val="en-US"/>
              </w:rPr>
              <w:t>托架部件由</w:t>
            </w:r>
            <w:r>
              <w:rPr>
                <w:rFonts w:hint="eastAsia" w:ascii="楷体" w:hAnsi="楷体" w:eastAsia="楷体" w:cs="楷体"/>
                <w:sz w:val="28"/>
                <w:szCs w:val="28"/>
              </w:rPr>
              <w:t>不小于</w:t>
            </w:r>
            <w:r>
              <w:rPr>
                <w:rFonts w:hint="eastAsia" w:ascii="楷体" w:hAnsi="楷体" w:eastAsia="楷体" w:cs="楷体"/>
                <w:sz w:val="28"/>
                <w:szCs w:val="28"/>
                <w:lang w:val="en-US"/>
              </w:rPr>
              <w:t xml:space="preserve"> 20mm×30mm×3.0mm 矩管组焊</w:t>
            </w:r>
          </w:p>
          <w:p w14:paraId="389BC5C6">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4</w:t>
            </w:r>
            <w:r>
              <w:rPr>
                <w:rFonts w:hint="eastAsia" w:ascii="楷体" w:hAnsi="楷体" w:eastAsia="楷体" w:cs="楷体"/>
                <w:b/>
                <w:bCs/>
                <w:sz w:val="28"/>
                <w:szCs w:val="28"/>
                <w:lang w:val="en-US"/>
              </w:rPr>
              <w:t>、</w:t>
            </w:r>
            <w:r>
              <w:rPr>
                <w:rFonts w:hint="eastAsia" w:ascii="楷体" w:hAnsi="楷体" w:eastAsia="楷体" w:cs="楷体"/>
                <w:sz w:val="28"/>
                <w:szCs w:val="28"/>
                <w:lang w:val="en-US"/>
              </w:rPr>
              <w:t>台面总长度为</w:t>
            </w:r>
            <w:r>
              <w:rPr>
                <w:rFonts w:hint="eastAsia" w:ascii="楷体" w:hAnsi="楷体" w:eastAsia="楷体" w:cs="楷体"/>
                <w:sz w:val="28"/>
                <w:szCs w:val="28"/>
              </w:rPr>
              <w:t>不小于</w:t>
            </w:r>
            <w:r>
              <w:rPr>
                <w:rFonts w:hint="eastAsia" w:ascii="楷体" w:hAnsi="楷体" w:eastAsia="楷体" w:cs="楷体"/>
                <w:sz w:val="28"/>
                <w:szCs w:val="28"/>
                <w:lang w:val="en-US"/>
              </w:rPr>
              <w:t>：2740±3mm，台面宽度为</w:t>
            </w:r>
            <w:r>
              <w:rPr>
                <w:rFonts w:hint="eastAsia" w:ascii="楷体" w:hAnsi="楷体" w:eastAsia="楷体" w:cs="楷体"/>
                <w:sz w:val="28"/>
                <w:szCs w:val="28"/>
              </w:rPr>
              <w:t>不小于</w:t>
            </w:r>
            <w:r>
              <w:rPr>
                <w:rFonts w:hint="eastAsia" w:ascii="楷体" w:hAnsi="楷体" w:eastAsia="楷体" w:cs="楷体"/>
                <w:sz w:val="28"/>
                <w:szCs w:val="28"/>
                <w:lang w:val="en-US"/>
              </w:rPr>
              <w:t>：1525±3mm，台面 离地高度为</w:t>
            </w:r>
            <w:r>
              <w:rPr>
                <w:rFonts w:hint="eastAsia" w:ascii="楷体" w:hAnsi="楷体" w:eastAsia="楷体" w:cs="楷体"/>
                <w:sz w:val="28"/>
                <w:szCs w:val="28"/>
              </w:rPr>
              <w:t>不小于</w:t>
            </w:r>
            <w:r>
              <w:rPr>
                <w:rFonts w:hint="eastAsia" w:ascii="楷体" w:hAnsi="楷体" w:eastAsia="楷体" w:cs="楷体"/>
                <w:sz w:val="28"/>
                <w:szCs w:val="28"/>
                <w:lang w:val="en-US"/>
              </w:rPr>
              <w:t>：760mm，半张台面对角线之差≤4mm，半张台面平面度≤5mm，端、边线宽度 20±1.5mm</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中线宽 3±1mm</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中线对称度≤3mm，中线与网间距离≤50mm， 中线与断线距离≤10mm。台面采用SMC材质，台面弹性为 230~260mm。</w:t>
            </w:r>
          </w:p>
          <w:p w14:paraId="49C57FD7">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5</w:t>
            </w:r>
            <w:r>
              <w:rPr>
                <w:rFonts w:hint="eastAsia" w:ascii="楷体" w:hAnsi="楷体" w:eastAsia="楷体" w:cs="楷体"/>
                <w:b/>
                <w:bCs/>
                <w:sz w:val="28"/>
                <w:szCs w:val="28"/>
                <w:lang w:val="en-US"/>
              </w:rPr>
              <w:t>、</w:t>
            </w:r>
            <w:r>
              <w:rPr>
                <w:rFonts w:hint="eastAsia" w:ascii="楷体" w:hAnsi="楷体" w:eastAsia="楷体" w:cs="楷体"/>
                <w:sz w:val="28"/>
                <w:szCs w:val="28"/>
                <w:lang w:val="en-US"/>
              </w:rPr>
              <w:t>器材各支撑人体的表面所有棱边和尖角半径 3.0mm，使用者 或第三者易接触的零部件的其他所有棱边进行圆滑过渡。</w:t>
            </w:r>
          </w:p>
          <w:p w14:paraId="3CA7FFA5">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6</w:t>
            </w:r>
            <w:r>
              <w:rPr>
                <w:rFonts w:hint="eastAsia" w:ascii="楷体" w:hAnsi="楷体" w:eastAsia="楷体" w:cs="楷体"/>
                <w:b/>
                <w:bCs/>
                <w:sz w:val="28"/>
                <w:szCs w:val="28"/>
                <w:lang w:val="en-US"/>
              </w:rPr>
              <w:t>、</w:t>
            </w:r>
            <w:r>
              <w:rPr>
                <w:rFonts w:hint="eastAsia" w:ascii="楷体" w:hAnsi="楷体" w:eastAsia="楷体" w:cs="楷体"/>
                <w:sz w:val="28"/>
                <w:szCs w:val="28"/>
              </w:rPr>
              <w:t>在明显位置印有“丹徒区文体广电和旅游局赠”字样、中国体育彩票LOGO标志和报修二维码。</w:t>
            </w:r>
          </w:p>
        </w:tc>
        <w:tc>
          <w:tcPr>
            <w:tcW w:w="901" w:type="dxa"/>
            <w:vAlign w:val="center"/>
          </w:tcPr>
          <w:p w14:paraId="0BA8D824">
            <w:pPr>
              <w:spacing w:line="360" w:lineRule="auto"/>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20</w:t>
            </w:r>
          </w:p>
        </w:tc>
      </w:tr>
      <w:tr w14:paraId="004BE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 w:type="dxa"/>
            <w:vAlign w:val="center"/>
          </w:tcPr>
          <w:p w14:paraId="0EBBAA2D">
            <w:pPr>
              <w:spacing w:line="360" w:lineRule="auto"/>
              <w:jc w:val="center"/>
              <w:rPr>
                <w:rFonts w:hint="eastAsia" w:ascii="楷体" w:hAnsi="楷体" w:eastAsia="楷体" w:cs="楷体"/>
                <w:sz w:val="28"/>
                <w:szCs w:val="28"/>
                <w:lang w:val="en-US"/>
              </w:rPr>
            </w:pPr>
            <w:r>
              <w:rPr>
                <w:rFonts w:hint="eastAsia" w:ascii="楷体" w:hAnsi="楷体" w:eastAsia="楷体" w:cs="楷体"/>
                <w:sz w:val="28"/>
                <w:szCs w:val="28"/>
                <w:lang w:val="en-US"/>
              </w:rPr>
              <w:t>13</w:t>
            </w:r>
          </w:p>
        </w:tc>
        <w:tc>
          <w:tcPr>
            <w:tcW w:w="1444" w:type="dxa"/>
            <w:vAlign w:val="center"/>
          </w:tcPr>
          <w:p w14:paraId="44BDDB2D">
            <w:pPr>
              <w:spacing w:line="360" w:lineRule="auto"/>
              <w:jc w:val="center"/>
              <w:rPr>
                <w:rFonts w:hint="eastAsia" w:ascii="楷体" w:hAnsi="楷体" w:eastAsia="楷体" w:cs="楷体"/>
                <w:sz w:val="28"/>
                <w:szCs w:val="28"/>
              </w:rPr>
            </w:pPr>
            <w:r>
              <w:rPr>
                <w:rFonts w:hint="eastAsia" w:ascii="楷体" w:hAnsi="楷体" w:eastAsia="楷体" w:cs="楷体"/>
                <w:sz w:val="28"/>
                <w:szCs w:val="28"/>
              </w:rPr>
              <w:t>单杠</w:t>
            </w:r>
          </w:p>
        </w:tc>
        <w:tc>
          <w:tcPr>
            <w:tcW w:w="5395" w:type="dxa"/>
          </w:tcPr>
          <w:p w14:paraId="523A3A9B">
            <w:pPr>
              <w:spacing w:line="360" w:lineRule="auto"/>
              <w:rPr>
                <w:rFonts w:hint="eastAsia"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b/>
                <w:bCs/>
                <w:sz w:val="28"/>
                <w:szCs w:val="28"/>
                <w:lang w:val="en-US" w:eastAsia="zh-CN"/>
              </w:rPr>
              <w:t>1、</w:t>
            </w:r>
            <w:r>
              <w:rPr>
                <w:rFonts w:hint="eastAsia" w:ascii="楷体" w:hAnsi="楷体" w:eastAsia="楷体" w:cs="楷体"/>
                <w:sz w:val="28"/>
                <w:szCs w:val="28"/>
              </w:rPr>
              <w:t>器材具有第三方认证机构出具的符合GB19272—2011《室外健身器材的安全通用要求》产品认证证书和有效期内的证书确认函加盖制造商公章佐证和国家体育用品质量监督检验中心的检测报告。</w:t>
            </w:r>
          </w:p>
          <w:p w14:paraId="65E1D7CC">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2</w:t>
            </w:r>
            <w:r>
              <w:rPr>
                <w:rFonts w:hint="eastAsia" w:ascii="楷体" w:hAnsi="楷体" w:eastAsia="楷体" w:cs="楷体"/>
                <w:b/>
                <w:bCs/>
                <w:sz w:val="28"/>
                <w:szCs w:val="28"/>
                <w:lang w:val="en-US"/>
              </w:rPr>
              <w:t>、</w:t>
            </w:r>
            <w:r>
              <w:rPr>
                <w:rFonts w:hint="eastAsia" w:ascii="楷体" w:hAnsi="楷体" w:eastAsia="楷体" w:cs="楷体"/>
                <w:sz w:val="28"/>
                <w:szCs w:val="28"/>
                <w:lang w:val="en-US"/>
              </w:rPr>
              <w:t>立柱规格：114</w:t>
            </w:r>
            <w:r>
              <w:rPr>
                <w:rFonts w:hint="eastAsia" w:ascii="楷体" w:hAnsi="楷体" w:eastAsia="楷体" w:cs="楷体"/>
                <w:sz w:val="28"/>
                <w:szCs w:val="28"/>
              </w:rPr>
              <w:t>×3mm钢管；</w:t>
            </w:r>
          </w:p>
          <w:p w14:paraId="3339A725">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3</w:t>
            </w:r>
            <w:r>
              <w:rPr>
                <w:rFonts w:hint="eastAsia" w:ascii="楷体" w:hAnsi="楷体" w:eastAsia="楷体" w:cs="楷体"/>
                <w:b/>
                <w:bCs/>
                <w:sz w:val="28"/>
                <w:szCs w:val="28"/>
                <w:lang w:val="en-US"/>
              </w:rPr>
              <w:t>、</w:t>
            </w:r>
            <w:r>
              <w:rPr>
                <w:rFonts w:hint="eastAsia" w:ascii="楷体" w:hAnsi="楷体" w:eastAsia="楷体" w:cs="楷体"/>
                <w:sz w:val="28"/>
                <w:szCs w:val="28"/>
                <w:lang w:val="en-US"/>
              </w:rPr>
              <w:t>横梁规格</w:t>
            </w:r>
            <w:r>
              <w:rPr>
                <w:rFonts w:hint="eastAsia" w:ascii="楷体" w:hAnsi="楷体" w:eastAsia="楷体" w:cs="楷体"/>
                <w:sz w:val="28"/>
                <w:szCs w:val="28"/>
              </w:rPr>
              <w:t>∮</w:t>
            </w:r>
            <w:r>
              <w:rPr>
                <w:rFonts w:hint="eastAsia" w:ascii="楷体" w:hAnsi="楷体" w:eastAsia="楷体" w:cs="楷体"/>
                <w:sz w:val="28"/>
                <w:szCs w:val="28"/>
                <w:lang w:val="en-US"/>
              </w:rPr>
              <w:t>28</w:t>
            </w:r>
            <w:r>
              <w:rPr>
                <w:rFonts w:hint="eastAsia" w:ascii="楷体" w:hAnsi="楷体" w:eastAsia="楷体" w:cs="楷体"/>
                <w:sz w:val="28"/>
                <w:szCs w:val="28"/>
              </w:rPr>
              <w:t>mm圆钢；</w:t>
            </w:r>
          </w:p>
          <w:p w14:paraId="50D806EA">
            <w:pPr>
              <w:spacing w:line="360" w:lineRule="auto"/>
              <w:rPr>
                <w:rFonts w:hint="eastAsia" w:ascii="楷体" w:hAnsi="楷体" w:eastAsia="楷体" w:cs="楷体"/>
                <w:sz w:val="28"/>
                <w:szCs w:val="28"/>
              </w:rPr>
            </w:pPr>
            <w:r>
              <w:rPr>
                <w:rFonts w:hint="eastAsia" w:ascii="楷体" w:hAnsi="楷体" w:eastAsia="楷体" w:cs="楷体"/>
                <w:b/>
                <w:bCs/>
                <w:sz w:val="28"/>
                <w:szCs w:val="28"/>
                <w:lang w:val="en-US" w:eastAsia="zh-CN"/>
              </w:rPr>
              <w:t>4</w:t>
            </w:r>
            <w:r>
              <w:rPr>
                <w:rFonts w:hint="eastAsia" w:ascii="楷体" w:hAnsi="楷体" w:eastAsia="楷体" w:cs="楷体"/>
                <w:b/>
                <w:bCs/>
                <w:sz w:val="28"/>
                <w:szCs w:val="28"/>
                <w:lang w:val="en-US"/>
              </w:rPr>
              <w:t>、</w:t>
            </w:r>
            <w:r>
              <w:rPr>
                <w:rFonts w:hint="eastAsia" w:ascii="楷体" w:hAnsi="楷体" w:eastAsia="楷体" w:cs="楷体"/>
                <w:sz w:val="28"/>
                <w:szCs w:val="28"/>
              </w:rPr>
              <w:t>棱边和棱角半径不小于</w:t>
            </w:r>
            <w:r>
              <w:rPr>
                <w:rFonts w:hint="eastAsia" w:ascii="楷体" w:hAnsi="楷体" w:eastAsia="楷体" w:cs="楷体"/>
                <w:sz w:val="28"/>
                <w:szCs w:val="28"/>
                <w:lang w:val="en-US"/>
              </w:rPr>
              <w:t>3.0</w:t>
            </w:r>
            <w:r>
              <w:rPr>
                <w:rFonts w:hint="eastAsia" w:ascii="楷体" w:hAnsi="楷体" w:eastAsia="楷体" w:cs="楷体"/>
                <w:sz w:val="28"/>
                <w:szCs w:val="28"/>
              </w:rPr>
              <w:t>mm；</w:t>
            </w:r>
          </w:p>
          <w:p w14:paraId="08D74E88">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5</w:t>
            </w:r>
            <w:r>
              <w:rPr>
                <w:rFonts w:hint="eastAsia" w:ascii="楷体" w:hAnsi="楷体" w:eastAsia="楷体" w:cs="楷体"/>
                <w:b/>
                <w:bCs/>
                <w:sz w:val="28"/>
                <w:szCs w:val="28"/>
                <w:lang w:val="en-US"/>
              </w:rPr>
              <w:t>、</w:t>
            </w:r>
            <w:r>
              <w:rPr>
                <w:rFonts w:hint="eastAsia" w:ascii="楷体" w:hAnsi="楷体" w:eastAsia="楷体" w:cs="楷体"/>
                <w:sz w:val="28"/>
                <w:szCs w:val="28"/>
                <w:lang w:val="en-US"/>
              </w:rPr>
              <w:t>立柱顶部采用钢制封头焊接，避免淋入雨水，预防立柱内部生锈；</w:t>
            </w:r>
          </w:p>
          <w:p w14:paraId="11099817">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6</w:t>
            </w:r>
            <w:r>
              <w:rPr>
                <w:rFonts w:hint="eastAsia" w:ascii="楷体" w:hAnsi="楷体" w:eastAsia="楷体" w:cs="楷体"/>
                <w:b/>
                <w:bCs/>
                <w:sz w:val="28"/>
                <w:szCs w:val="28"/>
                <w:lang w:val="en-US"/>
              </w:rPr>
              <w:t>、</w:t>
            </w:r>
            <w:r>
              <w:rPr>
                <w:rFonts w:hint="eastAsia" w:ascii="楷体" w:hAnsi="楷体" w:eastAsia="楷体" w:cs="楷体"/>
                <w:sz w:val="28"/>
                <w:szCs w:val="28"/>
                <w:lang w:val="en-US"/>
              </w:rPr>
              <w:t>立柱顶部高度低于杠面；顶端有防吊挂结构设计，不存在衣服吊挂现象；</w:t>
            </w:r>
          </w:p>
          <w:p w14:paraId="64E17965">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7</w:t>
            </w:r>
            <w:r>
              <w:rPr>
                <w:rFonts w:hint="eastAsia" w:ascii="楷体" w:hAnsi="楷体" w:eastAsia="楷体" w:cs="楷体"/>
                <w:b/>
                <w:bCs/>
                <w:sz w:val="28"/>
                <w:szCs w:val="28"/>
                <w:lang w:val="en-US"/>
              </w:rPr>
              <w:t>、</w:t>
            </w:r>
            <w:r>
              <w:rPr>
                <w:rFonts w:hint="eastAsia" w:ascii="楷体" w:hAnsi="楷体" w:eastAsia="楷体" w:cs="楷体"/>
                <w:sz w:val="28"/>
                <w:szCs w:val="28"/>
                <w:lang w:val="en-US"/>
              </w:rPr>
              <w:t>使用宽度应不小于1200</w:t>
            </w:r>
            <w:r>
              <w:rPr>
                <w:rFonts w:hint="eastAsia" w:ascii="楷体" w:hAnsi="楷体" w:eastAsia="楷体" w:cs="楷体"/>
                <w:sz w:val="28"/>
                <w:szCs w:val="28"/>
              </w:rPr>
              <w:t>mm，杠面高度应为</w:t>
            </w:r>
            <w:r>
              <w:rPr>
                <w:rFonts w:hint="eastAsia" w:ascii="楷体" w:hAnsi="楷体" w:eastAsia="楷体" w:cs="楷体"/>
                <w:sz w:val="28"/>
                <w:szCs w:val="28"/>
                <w:lang w:val="en-US"/>
              </w:rPr>
              <w:t>1500</w:t>
            </w:r>
            <w:r>
              <w:rPr>
                <w:rFonts w:hint="eastAsia" w:ascii="楷体" w:hAnsi="楷体" w:eastAsia="楷体" w:cs="楷体"/>
                <w:sz w:val="28"/>
                <w:szCs w:val="28"/>
              </w:rPr>
              <w:t>mm</w:t>
            </w:r>
            <w:r>
              <w:rPr>
                <w:rFonts w:hint="eastAsia" w:ascii="楷体" w:hAnsi="楷体" w:eastAsia="楷体" w:cs="楷体"/>
                <w:sz w:val="28"/>
                <w:szCs w:val="28"/>
                <w:lang w:val="en-US"/>
              </w:rPr>
              <w:t>~2400</w:t>
            </w:r>
            <w:r>
              <w:rPr>
                <w:rFonts w:hint="eastAsia" w:ascii="楷体" w:hAnsi="楷体" w:eastAsia="楷体" w:cs="楷体"/>
                <w:sz w:val="28"/>
                <w:szCs w:val="28"/>
              </w:rPr>
              <w:t>mm；</w:t>
            </w:r>
          </w:p>
          <w:p w14:paraId="5912F026">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8</w:t>
            </w:r>
            <w:r>
              <w:rPr>
                <w:rFonts w:hint="eastAsia" w:ascii="楷体" w:hAnsi="楷体" w:eastAsia="楷体" w:cs="楷体"/>
                <w:b/>
                <w:bCs/>
                <w:sz w:val="28"/>
                <w:szCs w:val="28"/>
                <w:lang w:val="en-US"/>
              </w:rPr>
              <w:t>、</w:t>
            </w:r>
            <w:r>
              <w:rPr>
                <w:rFonts w:hint="eastAsia" w:ascii="楷体" w:hAnsi="楷体" w:eastAsia="楷体" w:cs="楷体"/>
                <w:sz w:val="28"/>
                <w:szCs w:val="28"/>
                <w:lang w:val="en-US"/>
              </w:rPr>
              <w:t>紧固件材质为不锈钢，具有防盗、防锈、防松功能，需专用工具方可拆卸；</w:t>
            </w:r>
          </w:p>
          <w:p w14:paraId="56B0A5B3">
            <w:pPr>
              <w:spacing w:line="360" w:lineRule="auto"/>
              <w:rPr>
                <w:rFonts w:hint="eastAsia" w:ascii="楷体" w:hAnsi="楷体" w:eastAsia="楷体" w:cs="楷体"/>
                <w:sz w:val="28"/>
                <w:szCs w:val="28"/>
                <w:lang w:val="en-US"/>
              </w:rPr>
            </w:pPr>
            <w:r>
              <w:rPr>
                <w:rFonts w:hint="eastAsia" w:ascii="楷体" w:hAnsi="楷体" w:eastAsia="楷体" w:cs="楷体"/>
                <w:b/>
                <w:bCs/>
                <w:sz w:val="28"/>
                <w:szCs w:val="28"/>
                <w:lang w:val="en-US" w:eastAsia="zh-CN"/>
              </w:rPr>
              <w:t>9</w:t>
            </w:r>
            <w:r>
              <w:rPr>
                <w:rFonts w:hint="eastAsia" w:ascii="楷体" w:hAnsi="楷体" w:eastAsia="楷体" w:cs="楷体"/>
                <w:b/>
                <w:bCs/>
                <w:sz w:val="28"/>
                <w:szCs w:val="28"/>
                <w:lang w:val="en-US"/>
              </w:rPr>
              <w:t>、</w:t>
            </w:r>
            <w:r>
              <w:rPr>
                <w:rFonts w:hint="eastAsia" w:ascii="楷体" w:hAnsi="楷体" w:eastAsia="楷体" w:cs="楷体"/>
                <w:sz w:val="28"/>
                <w:szCs w:val="28"/>
              </w:rPr>
              <w:t>在明显位置印有“丹徒区文体广电和旅游局赠”字样、中国体育彩票LOGO标志和报修二维码。</w:t>
            </w:r>
          </w:p>
        </w:tc>
        <w:tc>
          <w:tcPr>
            <w:tcW w:w="901" w:type="dxa"/>
            <w:vAlign w:val="center"/>
          </w:tcPr>
          <w:p w14:paraId="6756011F">
            <w:pPr>
              <w:spacing w:line="360" w:lineRule="auto"/>
              <w:jc w:val="center"/>
              <w:rPr>
                <w:rFonts w:hint="eastAsia" w:ascii="楷体" w:hAnsi="楷体" w:eastAsia="楷体" w:cs="楷体"/>
                <w:sz w:val="28"/>
                <w:szCs w:val="28"/>
                <w:lang w:val="en-US"/>
              </w:rPr>
            </w:pPr>
            <w:r>
              <w:rPr>
                <w:rFonts w:hint="eastAsia" w:ascii="楷体" w:hAnsi="楷体" w:eastAsia="楷体" w:cs="楷体"/>
                <w:sz w:val="28"/>
                <w:szCs w:val="28"/>
                <w:lang w:val="en-US"/>
              </w:rPr>
              <w:t>2</w:t>
            </w:r>
          </w:p>
        </w:tc>
      </w:tr>
      <w:tr w14:paraId="497FE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1" w:hRule="atLeast"/>
          <w:jc w:val="center"/>
        </w:trPr>
        <w:tc>
          <w:tcPr>
            <w:tcW w:w="886" w:type="dxa"/>
            <w:vAlign w:val="center"/>
          </w:tcPr>
          <w:p w14:paraId="530C78C8">
            <w:pPr>
              <w:spacing w:line="360" w:lineRule="auto"/>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14</w:t>
            </w:r>
          </w:p>
        </w:tc>
        <w:tc>
          <w:tcPr>
            <w:tcW w:w="1444" w:type="dxa"/>
            <w:vAlign w:val="center"/>
          </w:tcPr>
          <w:p w14:paraId="1E05B951">
            <w:pPr>
              <w:spacing w:line="360" w:lineRule="auto"/>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儿童乐园</w:t>
            </w:r>
          </w:p>
        </w:tc>
        <w:tc>
          <w:tcPr>
            <w:tcW w:w="5395" w:type="dxa"/>
          </w:tcPr>
          <w:p w14:paraId="367BE145">
            <w:pPr>
              <w:spacing w:line="360" w:lineRule="auto"/>
              <w:jc w:val="both"/>
              <w:rPr>
                <w:rFonts w:hint="eastAsia" w:ascii="楷体" w:hAnsi="楷体" w:eastAsia="楷体" w:cs="楷体"/>
                <w:sz w:val="28"/>
                <w:szCs w:val="28"/>
                <w:vertAlign w:val="baseline"/>
              </w:rPr>
            </w:pPr>
            <w:r>
              <w:rPr>
                <w:rFonts w:hint="eastAsia" w:ascii="楷体" w:hAnsi="楷体" w:eastAsia="楷体" w:cs="楷体"/>
                <w:b/>
                <w:bCs/>
                <w:sz w:val="28"/>
                <w:szCs w:val="28"/>
                <w:lang w:val="en-US" w:eastAsia="zh-CN"/>
              </w:rPr>
              <w:t>1、</w:t>
            </w:r>
            <w:r>
              <w:rPr>
                <w:rFonts w:hint="eastAsia" w:ascii="楷体" w:hAnsi="楷体" w:eastAsia="楷体" w:cs="楷体"/>
                <w:b w:val="0"/>
                <w:bCs w:val="0"/>
                <w:sz w:val="28"/>
                <w:szCs w:val="28"/>
                <w:lang w:val="en-US"/>
              </w:rPr>
              <w:t>产品符合GB/T34272-2017《小型游乐设施安全规范》，GB/T27689-2011《无动力类游乐设施 儿童滑梯》相关国家标准；投标文件中提供第三方检测机构出具的具有CMA标志的检测报告扫描件或复印件并加盖投标人公章。</w:t>
            </w:r>
          </w:p>
          <w:p w14:paraId="01C598C5">
            <w:pPr>
              <w:spacing w:line="360" w:lineRule="auto"/>
              <w:jc w:val="both"/>
              <w:rPr>
                <w:rFonts w:hint="eastAsia" w:ascii="楷体" w:hAnsi="楷体" w:eastAsia="楷体" w:cs="楷体"/>
                <w:sz w:val="28"/>
                <w:szCs w:val="28"/>
                <w:vertAlign w:val="baseline"/>
              </w:rPr>
            </w:pPr>
            <w:r>
              <w:rPr>
                <w:rFonts w:hint="eastAsia" w:ascii="楷体" w:hAnsi="楷体" w:eastAsia="楷体" w:cs="楷体"/>
                <w:b/>
                <w:bCs/>
                <w:sz w:val="28"/>
                <w:szCs w:val="28"/>
                <w:vertAlign w:val="baseline"/>
                <w:lang w:val="en-US" w:eastAsia="zh-CN"/>
              </w:rPr>
              <w:t>2、</w:t>
            </w:r>
            <w:r>
              <w:rPr>
                <w:rFonts w:hint="eastAsia" w:ascii="楷体" w:hAnsi="楷体" w:eastAsia="楷体" w:cs="楷体"/>
                <w:sz w:val="28"/>
                <w:szCs w:val="28"/>
                <w:vertAlign w:val="baseline"/>
              </w:rPr>
              <w:t>规格：</w:t>
            </w:r>
            <w:r>
              <w:rPr>
                <w:rFonts w:hint="eastAsia" w:ascii="楷体" w:hAnsi="楷体" w:eastAsia="楷体" w:cs="楷体"/>
                <w:sz w:val="28"/>
                <w:szCs w:val="28"/>
                <w:vertAlign w:val="baseline"/>
                <w:lang w:val="en-US" w:eastAsia="zh-CN"/>
              </w:rPr>
              <w:t>不小于</w:t>
            </w:r>
            <w:r>
              <w:rPr>
                <w:rFonts w:hint="eastAsia" w:ascii="楷体" w:hAnsi="楷体" w:eastAsia="楷体" w:cs="楷体"/>
                <w:sz w:val="28"/>
                <w:szCs w:val="28"/>
                <w:vertAlign w:val="baseline"/>
              </w:rPr>
              <w:t>520*380*300cm,</w:t>
            </w:r>
          </w:p>
          <w:p w14:paraId="5F564CF4">
            <w:pPr>
              <w:spacing w:line="360" w:lineRule="auto"/>
              <w:jc w:val="left"/>
              <w:rPr>
                <w:rFonts w:hint="eastAsia" w:ascii="楷体" w:hAnsi="楷体" w:eastAsia="楷体" w:cs="楷体"/>
                <w:sz w:val="28"/>
                <w:szCs w:val="28"/>
                <w:vertAlign w:val="baseline"/>
              </w:rPr>
            </w:pPr>
            <w:r>
              <w:rPr>
                <w:rFonts w:hint="eastAsia" w:ascii="楷体" w:hAnsi="楷体" w:eastAsia="楷体" w:cs="楷体"/>
                <w:b/>
                <w:bCs/>
                <w:sz w:val="28"/>
                <w:szCs w:val="28"/>
                <w:vertAlign w:val="baseline"/>
                <w:lang w:val="en-US" w:eastAsia="zh-CN"/>
              </w:rPr>
              <w:t>3</w:t>
            </w:r>
            <w:r>
              <w:rPr>
                <w:rFonts w:hint="eastAsia" w:ascii="楷体" w:hAnsi="楷体" w:eastAsia="楷体" w:cs="楷体"/>
                <w:b/>
                <w:bCs/>
                <w:sz w:val="28"/>
                <w:szCs w:val="28"/>
                <w:vertAlign w:val="baseline"/>
              </w:rPr>
              <w:t>、</w:t>
            </w:r>
            <w:r>
              <w:rPr>
                <w:rFonts w:hint="eastAsia" w:ascii="楷体" w:hAnsi="楷体" w:eastAsia="楷体" w:cs="楷体"/>
                <w:sz w:val="28"/>
                <w:szCs w:val="28"/>
                <w:vertAlign w:val="baseline"/>
              </w:rPr>
              <w:t>立柱：立柱采用直径</w:t>
            </w:r>
            <w:r>
              <w:rPr>
                <w:rFonts w:hint="eastAsia" w:ascii="楷体" w:hAnsi="楷体" w:eastAsia="楷体" w:cs="楷体"/>
                <w:sz w:val="28"/>
                <w:szCs w:val="28"/>
                <w:vertAlign w:val="baseline"/>
                <w:lang w:val="en-US" w:eastAsia="zh-CN"/>
              </w:rPr>
              <w:t>不小于</w:t>
            </w:r>
            <w:r>
              <w:rPr>
                <w:rFonts w:hint="eastAsia" w:ascii="楷体" w:hAnsi="楷体" w:eastAsia="楷体" w:cs="楷体"/>
                <w:sz w:val="28"/>
                <w:szCs w:val="28"/>
                <w:vertAlign w:val="baseline"/>
              </w:rPr>
              <w:t>114</w:t>
            </w:r>
            <w:r>
              <w:rPr>
                <w:rFonts w:hint="eastAsia" w:ascii="楷体" w:hAnsi="楷体" w:eastAsia="楷体" w:cs="楷体"/>
                <w:sz w:val="28"/>
                <w:szCs w:val="28"/>
                <w:vertAlign w:val="baseline"/>
                <w:lang w:val="en-US" w:eastAsia="zh-CN"/>
              </w:rPr>
              <w:t>*3</w:t>
            </w:r>
            <w:r>
              <w:rPr>
                <w:rFonts w:hint="eastAsia" w:ascii="楷体" w:hAnsi="楷体" w:eastAsia="楷体" w:cs="楷体"/>
                <w:sz w:val="28"/>
                <w:szCs w:val="28"/>
                <w:vertAlign w:val="baseline"/>
              </w:rPr>
              <w:t>mm，镀锌管，经除油、磷化、抛砂、镀锌处理后，表面再经过静电粉末喷涂流水线高温固化，表面光滑，抗紫外线能力强，色彩鲜艳，不易脱落，耐腐蚀。</w:t>
            </w:r>
          </w:p>
          <w:p w14:paraId="35384A6A">
            <w:pPr>
              <w:spacing w:line="360" w:lineRule="auto"/>
              <w:jc w:val="left"/>
              <w:rPr>
                <w:rFonts w:hint="eastAsia" w:ascii="楷体" w:hAnsi="楷体" w:eastAsia="楷体" w:cs="楷体"/>
                <w:sz w:val="28"/>
                <w:szCs w:val="28"/>
                <w:vertAlign w:val="baseline"/>
              </w:rPr>
            </w:pPr>
            <w:r>
              <w:rPr>
                <w:rFonts w:hint="eastAsia" w:ascii="楷体" w:hAnsi="楷体" w:eastAsia="楷体" w:cs="楷体"/>
                <w:b/>
                <w:bCs/>
                <w:sz w:val="28"/>
                <w:szCs w:val="28"/>
                <w:vertAlign w:val="baseline"/>
                <w:lang w:val="en-US" w:eastAsia="zh-CN"/>
              </w:rPr>
              <w:t>4</w:t>
            </w:r>
            <w:r>
              <w:rPr>
                <w:rFonts w:hint="eastAsia" w:ascii="楷体" w:hAnsi="楷体" w:eastAsia="楷体" w:cs="楷体"/>
                <w:b/>
                <w:bCs/>
                <w:sz w:val="28"/>
                <w:szCs w:val="28"/>
                <w:vertAlign w:val="baseline"/>
              </w:rPr>
              <w:t>、</w:t>
            </w:r>
            <w:r>
              <w:rPr>
                <w:rFonts w:hint="eastAsia" w:ascii="楷体" w:hAnsi="楷体" w:eastAsia="楷体" w:cs="楷体"/>
                <w:sz w:val="28"/>
                <w:szCs w:val="28"/>
                <w:vertAlign w:val="baseline"/>
              </w:rPr>
              <w:t>塑料件：符合GB/T 4454-1996要求，塑料壁厚</w:t>
            </w:r>
            <w:r>
              <w:rPr>
                <w:rFonts w:hint="eastAsia" w:ascii="楷体" w:hAnsi="楷体" w:eastAsia="楷体" w:cs="楷体"/>
                <w:sz w:val="28"/>
                <w:szCs w:val="28"/>
                <w:vertAlign w:val="baseline"/>
                <w:lang w:val="en-US" w:eastAsia="zh-CN"/>
              </w:rPr>
              <w:t>不小于</w:t>
            </w:r>
            <w:r>
              <w:rPr>
                <w:rFonts w:hint="eastAsia" w:ascii="楷体" w:hAnsi="楷体" w:eastAsia="楷体" w:cs="楷体"/>
                <w:sz w:val="28"/>
                <w:szCs w:val="28"/>
                <w:vertAlign w:val="baseline"/>
              </w:rPr>
              <w:t>6mm，色彩艳丽，符合食品级标准，抗静电能力强，安全环保，耐候性好，强度高。</w:t>
            </w:r>
          </w:p>
          <w:p w14:paraId="37065BC8">
            <w:pPr>
              <w:spacing w:line="360" w:lineRule="auto"/>
              <w:jc w:val="left"/>
              <w:rPr>
                <w:rFonts w:hint="eastAsia" w:ascii="楷体" w:hAnsi="楷体" w:eastAsia="楷体" w:cs="楷体"/>
                <w:sz w:val="28"/>
                <w:szCs w:val="28"/>
                <w:vertAlign w:val="baseline"/>
              </w:rPr>
            </w:pPr>
            <w:r>
              <w:rPr>
                <w:rFonts w:hint="eastAsia" w:ascii="楷体" w:hAnsi="楷体" w:eastAsia="楷体" w:cs="楷体"/>
                <w:b/>
                <w:bCs/>
                <w:sz w:val="28"/>
                <w:szCs w:val="28"/>
                <w:vertAlign w:val="baseline"/>
                <w:lang w:val="en-US" w:eastAsia="zh-CN"/>
              </w:rPr>
              <w:t>5</w:t>
            </w:r>
            <w:r>
              <w:rPr>
                <w:rFonts w:hint="eastAsia" w:ascii="楷体" w:hAnsi="楷体" w:eastAsia="楷体" w:cs="楷体"/>
                <w:b/>
                <w:bCs/>
                <w:sz w:val="28"/>
                <w:szCs w:val="28"/>
                <w:vertAlign w:val="baseline"/>
              </w:rPr>
              <w:t>、</w:t>
            </w:r>
            <w:r>
              <w:rPr>
                <w:rFonts w:hint="eastAsia" w:ascii="楷体" w:hAnsi="楷体" w:eastAsia="楷体" w:cs="楷体"/>
                <w:sz w:val="28"/>
                <w:szCs w:val="28"/>
                <w:vertAlign w:val="baseline"/>
              </w:rPr>
              <w:t>五金配件：采用不锈钢螺丝，外露螺丝均采用半圆头、无棱角处理，具有预防任意调整功能，以维护使用者设施结构的安全。</w:t>
            </w:r>
          </w:p>
          <w:p w14:paraId="5C6E5DF7">
            <w:pPr>
              <w:spacing w:line="360" w:lineRule="auto"/>
              <w:jc w:val="left"/>
              <w:rPr>
                <w:rFonts w:hint="eastAsia" w:ascii="楷体" w:hAnsi="楷体" w:eastAsia="楷体" w:cs="楷体"/>
                <w:b/>
                <w:bCs/>
                <w:sz w:val="28"/>
                <w:szCs w:val="28"/>
                <w:lang w:val="en-US"/>
              </w:rPr>
            </w:pPr>
            <w:r>
              <w:rPr>
                <w:rFonts w:hint="eastAsia" w:ascii="楷体" w:hAnsi="楷体" w:eastAsia="楷体" w:cs="楷体"/>
                <w:b/>
                <w:bCs/>
                <w:sz w:val="28"/>
                <w:szCs w:val="28"/>
                <w:vertAlign w:val="baseline"/>
                <w:lang w:val="en-US" w:eastAsia="zh-CN"/>
              </w:rPr>
              <w:t>6、</w:t>
            </w:r>
            <w:r>
              <w:rPr>
                <w:rFonts w:hint="eastAsia" w:ascii="楷体" w:hAnsi="楷体" w:eastAsia="楷体" w:cs="楷体"/>
                <w:sz w:val="28"/>
                <w:szCs w:val="28"/>
                <w:vertAlign w:val="baseline"/>
              </w:rPr>
              <w:t>表面处理工艺：脱脂-电动抛丸-静电喷塑</w:t>
            </w:r>
          </w:p>
        </w:tc>
        <w:tc>
          <w:tcPr>
            <w:tcW w:w="901" w:type="dxa"/>
            <w:vAlign w:val="center"/>
          </w:tcPr>
          <w:p w14:paraId="60ED58B3">
            <w:pPr>
              <w:spacing w:line="360" w:lineRule="auto"/>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w:t>
            </w:r>
          </w:p>
        </w:tc>
      </w:tr>
    </w:tbl>
    <w:p w14:paraId="6A59BA6E">
      <w:pPr>
        <w:pStyle w:val="2"/>
        <w:spacing w:line="360" w:lineRule="auto"/>
        <w:ind w:firstLine="0"/>
        <w:rPr>
          <w:rFonts w:hint="eastAsia" w:ascii="楷体" w:hAnsi="楷体" w:eastAsia="楷体" w:cs="楷体"/>
          <w:color w:val="auto"/>
          <w:sz w:val="28"/>
          <w:szCs w:val="28"/>
          <w:highlight w:val="none"/>
        </w:rPr>
      </w:pPr>
      <w:r>
        <w:rPr>
          <w:rFonts w:hint="eastAsia" w:ascii="楷体" w:hAnsi="楷体" w:eastAsia="楷体" w:cs="楷体"/>
          <w:b/>
          <w:bCs/>
          <w:color w:val="auto"/>
          <w:sz w:val="28"/>
          <w:szCs w:val="28"/>
          <w:highlight w:val="none"/>
        </w:rPr>
        <w:t>注：</w:t>
      </w:r>
      <w:r>
        <w:rPr>
          <w:rFonts w:hint="eastAsia" w:ascii="楷体" w:hAnsi="楷体" w:eastAsia="楷体" w:cs="楷体"/>
          <w:color w:val="auto"/>
          <w:sz w:val="28"/>
          <w:szCs w:val="28"/>
          <w:highlight w:val="none"/>
        </w:rPr>
        <w:t>1</w:t>
      </w:r>
      <w:r>
        <w:rPr>
          <w:rFonts w:hint="eastAsia" w:ascii="楷体" w:hAnsi="楷体" w:eastAsia="楷体" w:cs="楷体"/>
          <w:color w:val="auto"/>
          <w:sz w:val="28"/>
          <w:szCs w:val="28"/>
          <w:highlight w:val="none"/>
          <w:lang w:val="en-US" w:eastAsia="zh-CN"/>
        </w:rPr>
        <w:t>.</w:t>
      </w:r>
      <w:r>
        <w:rPr>
          <w:rFonts w:hint="eastAsia" w:ascii="楷体" w:hAnsi="楷体" w:eastAsia="楷体" w:cs="楷体"/>
          <w:color w:val="auto"/>
          <w:sz w:val="28"/>
          <w:szCs w:val="28"/>
          <w:highlight w:val="none"/>
        </w:rPr>
        <w:t>上述技术要求中如出现具体产品的品牌、型号、参数等，仅供投标人更好地理解采购人对设备的需求，不能理解为唯一指定，只要优于或符合其技术参数及功能要求的，均可视为响应。</w:t>
      </w:r>
    </w:p>
    <w:p w14:paraId="12776199">
      <w:pPr>
        <w:pStyle w:val="2"/>
        <w:spacing w:line="360" w:lineRule="auto"/>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2</w:t>
      </w:r>
      <w:r>
        <w:rPr>
          <w:rFonts w:hint="eastAsia" w:ascii="楷体" w:hAnsi="楷体" w:eastAsia="楷体" w:cs="楷体"/>
          <w:color w:val="auto"/>
          <w:sz w:val="28"/>
          <w:szCs w:val="28"/>
          <w:highlight w:val="none"/>
          <w:lang w:val="en-US" w:eastAsia="zh-CN"/>
        </w:rPr>
        <w:t>.</w:t>
      </w:r>
      <w:r>
        <w:rPr>
          <w:rFonts w:hint="eastAsia" w:ascii="楷体" w:hAnsi="楷体" w:eastAsia="楷体" w:cs="楷体"/>
          <w:color w:val="auto"/>
          <w:sz w:val="28"/>
          <w:szCs w:val="28"/>
          <w:highlight w:val="none"/>
        </w:rPr>
        <w:t>以上技术规格和要求必须逐条响应，提供所投产品的具体参数值，不得简单复制招标文件相关内容。若指标项存在正、负偏离的均应详细说明，如实填写技术偏离表。</w:t>
      </w:r>
      <w:r>
        <w:rPr>
          <w:rFonts w:hint="eastAsia" w:ascii="楷体" w:hAnsi="楷体" w:eastAsia="楷体" w:cs="楷体"/>
          <w:color w:val="auto"/>
          <w:sz w:val="28"/>
          <w:szCs w:val="28"/>
          <w:highlight w:val="yellow"/>
        </w:rPr>
        <w:t>加“★”部分为</w:t>
      </w:r>
      <w:r>
        <w:rPr>
          <w:rFonts w:hint="eastAsia" w:ascii="楷体" w:hAnsi="楷体" w:eastAsia="楷体" w:cs="楷体"/>
          <w:color w:val="auto"/>
          <w:sz w:val="28"/>
          <w:szCs w:val="28"/>
          <w:highlight w:val="yellow"/>
          <w:lang w:eastAsia="zh-CN"/>
        </w:rPr>
        <w:t>实质性</w:t>
      </w:r>
      <w:r>
        <w:rPr>
          <w:rFonts w:hint="eastAsia" w:ascii="楷体" w:hAnsi="楷体" w:eastAsia="楷体" w:cs="楷体"/>
          <w:color w:val="auto"/>
          <w:sz w:val="28"/>
          <w:szCs w:val="28"/>
          <w:highlight w:val="yellow"/>
        </w:rPr>
        <w:t>技术要求及参数，</w:t>
      </w:r>
      <w:r>
        <w:rPr>
          <w:rFonts w:hint="eastAsia" w:ascii="楷体" w:hAnsi="楷体" w:eastAsia="楷体" w:cs="楷体"/>
          <w:b w:val="0"/>
          <w:bCs w:val="0"/>
          <w:sz w:val="28"/>
          <w:szCs w:val="28"/>
          <w:highlight w:val="yellow"/>
        </w:rPr>
        <w:t>请投标</w:t>
      </w:r>
      <w:r>
        <w:rPr>
          <w:rFonts w:hint="eastAsia" w:ascii="楷体" w:hAnsi="楷体" w:eastAsia="楷体" w:cs="楷体"/>
          <w:b w:val="0"/>
          <w:bCs w:val="0"/>
          <w:sz w:val="28"/>
          <w:szCs w:val="28"/>
          <w:highlight w:val="yellow"/>
          <w:lang w:eastAsia="zh-CN"/>
        </w:rPr>
        <w:t>供应商按要求</w:t>
      </w:r>
      <w:r>
        <w:rPr>
          <w:rFonts w:hint="eastAsia" w:ascii="楷体" w:hAnsi="楷体" w:eastAsia="楷体" w:cs="楷体"/>
          <w:b w:val="0"/>
          <w:bCs w:val="0"/>
          <w:sz w:val="28"/>
          <w:szCs w:val="28"/>
          <w:highlight w:val="yellow"/>
        </w:rPr>
        <w:t>逐一提供有效证明材料，任意一条未证明，作废标处理</w:t>
      </w:r>
      <w:r>
        <w:rPr>
          <w:rFonts w:hint="eastAsia" w:ascii="楷体" w:hAnsi="楷体" w:eastAsia="楷体" w:cs="楷体"/>
          <w:b w:val="0"/>
          <w:bCs w:val="0"/>
          <w:sz w:val="28"/>
          <w:szCs w:val="28"/>
          <w:highlight w:val="yellow"/>
          <w:lang w:eastAsia="zh-CN"/>
        </w:rPr>
        <w:t>；</w:t>
      </w:r>
      <w:r>
        <w:rPr>
          <w:rFonts w:hint="eastAsia" w:ascii="楷体" w:hAnsi="楷体" w:eastAsia="楷体" w:cs="楷体"/>
          <w:color w:val="auto"/>
          <w:sz w:val="28"/>
          <w:szCs w:val="28"/>
          <w:highlight w:val="none"/>
        </w:rPr>
        <w:t>上述所投产品须提供相关证明材料，如：制造商公开发布正式印刷的产品样本、资料，或由有关政府部门或权威检测机构合法出具的文件或报告（须加盖制造商公章）。以便于评委会正确评判，并自行承担偏离所产生的风险。</w:t>
      </w:r>
    </w:p>
    <w:p w14:paraId="7DA40C28">
      <w:pPr>
        <w:spacing w:line="360" w:lineRule="auto"/>
        <w:ind w:firstLine="560" w:firstLineChars="200"/>
        <w:rPr>
          <w:rFonts w:hint="default" w:ascii="楷体" w:hAnsi="楷体" w:eastAsia="楷体" w:cs="楷体"/>
          <w:b/>
          <w:bCs/>
          <w:color w:val="auto"/>
          <w:sz w:val="28"/>
          <w:szCs w:val="28"/>
          <w:highlight w:val="none"/>
          <w:lang w:val="en-US" w:eastAsia="zh-CN"/>
        </w:rPr>
      </w:pPr>
      <w:r>
        <w:rPr>
          <w:rFonts w:hint="eastAsia" w:ascii="楷体" w:hAnsi="楷体" w:eastAsia="楷体" w:cs="楷体"/>
          <w:color w:val="auto"/>
          <w:sz w:val="28"/>
          <w:szCs w:val="28"/>
          <w:highlight w:val="none"/>
        </w:rPr>
        <w:t>3</w:t>
      </w:r>
      <w:r>
        <w:rPr>
          <w:rFonts w:hint="eastAsia" w:ascii="楷体" w:hAnsi="楷体" w:eastAsia="楷体" w:cs="楷体"/>
          <w:color w:val="auto"/>
          <w:sz w:val="28"/>
          <w:szCs w:val="28"/>
          <w:highlight w:val="none"/>
          <w:lang w:val="en-US" w:eastAsia="zh-CN"/>
        </w:rPr>
        <w:t>.</w:t>
      </w:r>
      <w:r>
        <w:rPr>
          <w:rFonts w:hint="eastAsia" w:ascii="楷体" w:hAnsi="楷体" w:eastAsia="楷体" w:cs="楷体"/>
          <w:bCs/>
          <w:color w:val="auto"/>
          <w:sz w:val="28"/>
          <w:szCs w:val="28"/>
          <w:highlight w:val="none"/>
        </w:rPr>
        <w:t>投标人在</w:t>
      </w:r>
      <w:r>
        <w:rPr>
          <w:rFonts w:hint="eastAsia" w:ascii="楷体" w:hAnsi="楷体" w:eastAsia="楷体" w:cs="楷体"/>
          <w:bCs/>
          <w:color w:val="auto"/>
          <w:sz w:val="28"/>
          <w:szCs w:val="28"/>
          <w:highlight w:val="none"/>
          <w:lang w:eastAsia="zh-CN"/>
        </w:rPr>
        <w:t>投标</w:t>
      </w:r>
      <w:r>
        <w:rPr>
          <w:rFonts w:hint="eastAsia" w:ascii="楷体" w:hAnsi="楷体" w:eastAsia="楷体" w:cs="楷体"/>
          <w:bCs/>
          <w:color w:val="auto"/>
          <w:sz w:val="28"/>
          <w:szCs w:val="28"/>
          <w:highlight w:val="none"/>
        </w:rPr>
        <w:t>文件</w:t>
      </w:r>
      <w:r>
        <w:rPr>
          <w:rFonts w:hint="eastAsia" w:ascii="楷体" w:hAnsi="楷体" w:eastAsia="楷体" w:cs="楷体"/>
          <w:bCs/>
          <w:color w:val="auto"/>
          <w:sz w:val="28"/>
          <w:szCs w:val="28"/>
          <w:highlight w:val="none"/>
          <w:lang w:eastAsia="zh-CN"/>
        </w:rPr>
        <w:t>中</w:t>
      </w:r>
      <w:r>
        <w:rPr>
          <w:rFonts w:hint="eastAsia" w:ascii="楷体" w:hAnsi="楷体" w:eastAsia="楷体" w:cs="楷体"/>
          <w:bCs/>
          <w:color w:val="auto"/>
          <w:sz w:val="28"/>
          <w:szCs w:val="28"/>
          <w:highlight w:val="none"/>
        </w:rPr>
        <w:t>提供样品扫描图片。</w:t>
      </w:r>
      <w:r>
        <w:rPr>
          <w:rFonts w:hint="eastAsia" w:ascii="楷体" w:hAnsi="楷体" w:eastAsia="楷体" w:cs="楷体"/>
          <w:b/>
          <w:bCs/>
          <w:color w:val="auto"/>
          <w:sz w:val="28"/>
          <w:szCs w:val="28"/>
          <w:highlight w:val="none"/>
          <w:lang w:val="en-US" w:eastAsia="zh-CN"/>
        </w:rPr>
        <w:t xml:space="preserve">                                      </w:t>
      </w:r>
    </w:p>
    <w:p w14:paraId="44984A45">
      <w:pPr>
        <w:widowControl/>
        <w:spacing w:line="360" w:lineRule="auto"/>
        <w:jc w:val="left"/>
        <w:rPr>
          <w:rFonts w:hint="eastAsia" w:ascii="楷体" w:hAnsi="楷体" w:eastAsia="楷体" w:cs="楷体"/>
          <w:b/>
          <w:bCs/>
          <w:sz w:val="28"/>
          <w:szCs w:val="28"/>
          <w:highlight w:val="none"/>
        </w:rPr>
      </w:pPr>
      <w:r>
        <w:rPr>
          <w:rFonts w:hint="eastAsia" w:ascii="楷体" w:hAnsi="楷体" w:eastAsia="楷体" w:cs="楷体"/>
          <w:b/>
          <w:bCs/>
          <w:color w:val="auto"/>
          <w:sz w:val="28"/>
          <w:szCs w:val="28"/>
          <w:highlight w:val="none"/>
          <w:lang w:val="en-US" w:eastAsia="zh-CN"/>
        </w:rPr>
        <w:t>四、</w:t>
      </w:r>
      <w:r>
        <w:rPr>
          <w:rFonts w:hint="eastAsia" w:ascii="楷体" w:hAnsi="楷体" w:eastAsia="楷体" w:cs="楷体"/>
          <w:b/>
          <w:bCs/>
          <w:sz w:val="28"/>
          <w:szCs w:val="28"/>
          <w:highlight w:val="none"/>
        </w:rPr>
        <w:t>综合说明</w:t>
      </w:r>
    </w:p>
    <w:p w14:paraId="5269BE04">
      <w:pPr>
        <w:spacing w:line="36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lang w:val="en-US" w:eastAsia="zh-CN"/>
        </w:rPr>
        <w:t>1.</w:t>
      </w:r>
      <w:r>
        <w:rPr>
          <w:rFonts w:hint="eastAsia" w:ascii="楷体" w:hAnsi="楷体" w:eastAsia="楷体" w:cs="楷体"/>
          <w:sz w:val="28"/>
          <w:szCs w:val="28"/>
          <w:highlight w:val="none"/>
        </w:rPr>
        <w:t>供应商所提供的相关产品应根据国家标准和规范进行设计和制造，并遵循招标文件的要求，其产品的质量性能、技术指标和使用功能应达到或优于采购要求，是技术成熟的、性能优良，整体设计和软硬件配备全新的原厂产品，并提供详细的产品说明、质量标准和服务方案。如其中某些条款不能完全满足时，应在投标响应文件中逐条列出，未列出的视同响应。投标文件中必须明确所投硬件产品的品牌、规格型号及一些必须说明的技术参数，否则将可能导致其投标响应文件被评标委员会拒绝。招标文件中的相关内容若存在品牌型号，则仅作为参照，各供应商在满足采购要求的前提下，可以提供质量、技术要求同档次或高于参照品牌要求的其他合格产品。</w:t>
      </w:r>
    </w:p>
    <w:p w14:paraId="7B086379">
      <w:pPr>
        <w:spacing w:line="360" w:lineRule="auto"/>
        <w:ind w:firstLine="480"/>
        <w:rPr>
          <w:rFonts w:hint="eastAsia" w:ascii="楷体" w:hAnsi="楷体" w:eastAsia="楷体" w:cs="楷体"/>
          <w:sz w:val="28"/>
          <w:szCs w:val="28"/>
          <w:highlight w:val="none"/>
        </w:rPr>
      </w:pPr>
      <w:r>
        <w:rPr>
          <w:rFonts w:hint="eastAsia" w:ascii="楷体" w:hAnsi="楷体" w:eastAsia="楷体" w:cs="楷体"/>
          <w:sz w:val="28"/>
          <w:szCs w:val="28"/>
          <w:highlight w:val="none"/>
          <w:lang w:val="en-US" w:eastAsia="zh-CN"/>
        </w:rPr>
        <w:t>2.</w:t>
      </w:r>
      <w:r>
        <w:rPr>
          <w:rFonts w:hint="eastAsia" w:ascii="楷体" w:hAnsi="楷体" w:eastAsia="楷体" w:cs="楷体"/>
          <w:sz w:val="28"/>
          <w:szCs w:val="28"/>
          <w:highlight w:val="none"/>
        </w:rPr>
        <w:t>投标响应文件必须如实进行实质性响应，量化指标必须列明具体数值。供应商提供的技术资料必须真实、准确，如提供的参数虚假或对招标文件所要求说明的情况故意隐瞒或虚报，视为不实质性响应采购要求，其投标响应文件将被拒绝。已中标的将取消中标资格，并按《中华人民共和国政府采购法》第七十七条的相关办法处理。</w:t>
      </w:r>
    </w:p>
    <w:p w14:paraId="0AA3FC52">
      <w:pPr>
        <w:spacing w:line="360" w:lineRule="auto"/>
        <w:ind w:firstLine="480"/>
        <w:rPr>
          <w:rFonts w:hint="eastAsia" w:ascii="楷体" w:hAnsi="楷体" w:eastAsia="楷体" w:cs="楷体"/>
          <w:sz w:val="28"/>
          <w:szCs w:val="28"/>
          <w:highlight w:val="none"/>
        </w:rPr>
      </w:pPr>
      <w:r>
        <w:rPr>
          <w:rFonts w:hint="eastAsia" w:ascii="楷体" w:hAnsi="楷体" w:eastAsia="楷体" w:cs="楷体"/>
          <w:sz w:val="28"/>
          <w:szCs w:val="28"/>
          <w:highlight w:val="none"/>
          <w:lang w:val="en-US" w:eastAsia="zh-CN"/>
        </w:rPr>
        <w:t>3.</w:t>
      </w:r>
      <w:r>
        <w:rPr>
          <w:rFonts w:hint="eastAsia" w:ascii="楷体" w:hAnsi="楷体" w:eastAsia="楷体" w:cs="楷体"/>
          <w:sz w:val="28"/>
          <w:szCs w:val="28"/>
          <w:highlight w:val="none"/>
        </w:rPr>
        <w:t>招标文件提出的是最低限度的要求，并未对一切细节作出规定，也未充分引述全部有关标准和规范的条文，供应商提供的所有产品（包括设计、制造、调试以及节能环保等）都应符合已颁布的现行中华人民共和国认可的（部颁、行业）标准。如果这些标准内容有矛盾时，应按最高标准的条款执行。</w:t>
      </w:r>
    </w:p>
    <w:p w14:paraId="6A204666">
      <w:pPr>
        <w:pStyle w:val="2"/>
        <w:spacing w:line="360" w:lineRule="auto"/>
        <w:ind w:firstLine="0"/>
        <w:rPr>
          <w:rFonts w:hint="eastAsia" w:ascii="楷体" w:hAnsi="楷体" w:eastAsia="楷体" w:cs="楷体"/>
          <w:b/>
          <w:color w:val="auto"/>
          <w:sz w:val="28"/>
          <w:szCs w:val="28"/>
          <w:highlight w:val="none"/>
        </w:rPr>
      </w:pPr>
      <w:r>
        <w:rPr>
          <w:rFonts w:hint="eastAsia" w:ascii="楷体" w:hAnsi="楷体" w:eastAsia="楷体" w:cs="楷体"/>
          <w:b/>
          <w:color w:val="auto"/>
          <w:sz w:val="28"/>
          <w:szCs w:val="28"/>
          <w:highlight w:val="none"/>
          <w:lang w:val="en-US" w:eastAsia="zh-CN"/>
        </w:rPr>
        <w:t>四</w:t>
      </w:r>
      <w:r>
        <w:rPr>
          <w:rFonts w:hint="eastAsia" w:ascii="楷体" w:hAnsi="楷体" w:eastAsia="楷体" w:cs="楷体"/>
          <w:b/>
          <w:color w:val="auto"/>
          <w:sz w:val="28"/>
          <w:szCs w:val="28"/>
          <w:highlight w:val="none"/>
          <w:lang w:val="en-US"/>
        </w:rPr>
        <w:t>、售后</w:t>
      </w:r>
      <w:r>
        <w:rPr>
          <w:rFonts w:hint="eastAsia" w:ascii="楷体" w:hAnsi="楷体" w:eastAsia="楷体" w:cs="楷体"/>
          <w:b/>
          <w:color w:val="auto"/>
          <w:sz w:val="28"/>
          <w:szCs w:val="28"/>
          <w:highlight w:val="none"/>
        </w:rPr>
        <w:t>服务要求：</w:t>
      </w:r>
    </w:p>
    <w:p w14:paraId="75C4309D">
      <w:pPr>
        <w:spacing w:line="360" w:lineRule="auto"/>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1</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交货时间：交货时间满足现场总体进度要求。签订合同后一个月内供货，半年内安装到位，由采购人检验。</w:t>
      </w:r>
    </w:p>
    <w:p w14:paraId="4F9D66BE">
      <w:pPr>
        <w:spacing w:line="360" w:lineRule="auto"/>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2</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交货地点：采购人指定。</w:t>
      </w:r>
    </w:p>
    <w:p w14:paraId="3B26C261">
      <w:pPr>
        <w:spacing w:line="360" w:lineRule="auto"/>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rPr>
        <w:t>3</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免费质保期：产品质量、使用寿命符合国家相关标准。所有产品提供</w:t>
      </w:r>
      <w:r>
        <w:rPr>
          <w:rFonts w:hint="eastAsia" w:ascii="楷体" w:hAnsi="楷体" w:eastAsia="楷体" w:cs="楷体"/>
          <w:color w:val="auto"/>
          <w:sz w:val="28"/>
          <w:szCs w:val="28"/>
          <w:highlight w:val="none"/>
          <w:lang w:val="en-US"/>
        </w:rPr>
        <w:t>8</w:t>
      </w:r>
      <w:r>
        <w:rPr>
          <w:rFonts w:hint="eastAsia" w:ascii="楷体" w:hAnsi="楷体" w:eastAsia="楷体" w:cs="楷体"/>
          <w:color w:val="auto"/>
          <w:sz w:val="28"/>
          <w:szCs w:val="28"/>
          <w:highlight w:val="none"/>
        </w:rPr>
        <w:t>年免费质保；免费质保期自采购方验收合格后开始计算，免费质保期内发生与保修相关的一切费用由供应商承担。</w:t>
      </w:r>
    </w:p>
    <w:p w14:paraId="22E323EB">
      <w:pPr>
        <w:spacing w:line="360" w:lineRule="auto"/>
        <w:ind w:firstLine="560" w:firstLineChars="200"/>
        <w:rPr>
          <w:rFonts w:hint="eastAsia" w:ascii="楷体" w:hAnsi="楷体" w:eastAsia="楷体" w:cs="楷体"/>
          <w:color w:val="auto"/>
          <w:sz w:val="28"/>
          <w:szCs w:val="28"/>
          <w:highlight w:val="none"/>
          <w:lang w:val="en-US"/>
        </w:rPr>
      </w:pPr>
      <w:r>
        <w:rPr>
          <w:rFonts w:hint="eastAsia" w:ascii="楷体" w:hAnsi="楷体" w:eastAsia="楷体" w:cs="楷体"/>
          <w:color w:val="auto"/>
          <w:sz w:val="28"/>
          <w:szCs w:val="28"/>
          <w:highlight w:val="none"/>
          <w:lang w:val="en-US"/>
        </w:rPr>
        <w:t>4</w:t>
      </w:r>
      <w:r>
        <w:rPr>
          <w:rFonts w:hint="eastAsia" w:ascii="楷体" w:hAnsi="楷体" w:eastAsia="楷体" w:cs="楷体"/>
          <w:color w:val="auto"/>
          <w:sz w:val="28"/>
          <w:szCs w:val="28"/>
          <w:highlight w:val="none"/>
          <w:lang w:val="en-US" w:eastAsia="zh-CN"/>
        </w:rPr>
        <w:t>.</w:t>
      </w:r>
      <w:r>
        <w:rPr>
          <w:rFonts w:hint="eastAsia" w:ascii="楷体" w:hAnsi="楷体" w:eastAsia="楷体" w:cs="楷体"/>
          <w:color w:val="auto"/>
          <w:sz w:val="28"/>
          <w:szCs w:val="28"/>
          <w:highlight w:val="none"/>
          <w:lang w:val="en-US"/>
        </w:rPr>
        <w:t>免费质保期内生产厂家保证每半年一次产品维护。</w:t>
      </w:r>
    </w:p>
    <w:p w14:paraId="37A0AE3D">
      <w:pPr>
        <w:spacing w:line="360" w:lineRule="auto"/>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5</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免费质保期后维修应只收当时的部件成本费，终身维修。</w:t>
      </w:r>
    </w:p>
    <w:p w14:paraId="66050F85">
      <w:pPr>
        <w:spacing w:line="360" w:lineRule="auto"/>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6</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本合同下的器材出现故障，供应商需在1小时内响应，小型器材24小时内修复，大型器材72小时内修复，如72小时无法修复，供应商提供备用产品进行替换。</w:t>
      </w:r>
    </w:p>
    <w:p w14:paraId="7D06D58E">
      <w:pPr>
        <w:pageBreakBefore w:val="0"/>
        <w:kinsoku/>
        <w:wordWrap/>
        <w:overflowPunct/>
        <w:topLinePunct w:val="0"/>
        <w:autoSpaceDE w:val="0"/>
        <w:autoSpaceDN w:val="0"/>
        <w:bidi w:val="0"/>
        <w:adjustRightInd w:val="0"/>
        <w:spacing w:line="360" w:lineRule="auto"/>
        <w:ind w:left="0" w:leftChars="0" w:right="0"/>
        <w:textAlignment w:val="auto"/>
        <w:rPr>
          <w:rFonts w:hint="eastAsia" w:ascii="楷体" w:hAnsi="楷体" w:eastAsia="楷体" w:cs="楷体"/>
          <w:b/>
          <w:bCs/>
          <w:color w:val="auto"/>
          <w:sz w:val="28"/>
          <w:szCs w:val="28"/>
          <w:highlight w:val="none"/>
          <w:lang w:val="en-US" w:eastAsia="zh-CN"/>
        </w:rPr>
      </w:pPr>
      <w:r>
        <w:rPr>
          <w:rFonts w:hint="eastAsia" w:ascii="楷体" w:hAnsi="楷体" w:eastAsia="楷体" w:cs="楷体"/>
          <w:b/>
          <w:bCs/>
          <w:color w:val="auto"/>
          <w:sz w:val="28"/>
          <w:szCs w:val="28"/>
          <w:highlight w:val="none"/>
          <w:lang w:val="en-US" w:eastAsia="zh-CN"/>
        </w:rPr>
        <w:t>五、验收标准</w:t>
      </w:r>
    </w:p>
    <w:p w14:paraId="4F68D0D0">
      <w:pPr>
        <w:pageBreakBefore w:val="0"/>
        <w:kinsoku/>
        <w:wordWrap/>
        <w:overflowPunct/>
        <w:topLinePunct w:val="0"/>
        <w:autoSpaceDE w:val="0"/>
        <w:autoSpaceDN w:val="0"/>
        <w:bidi w:val="0"/>
        <w:adjustRightInd w:val="0"/>
        <w:spacing w:line="360" w:lineRule="auto"/>
        <w:ind w:left="0" w:leftChars="0" w:right="0" w:firstLine="560" w:firstLineChars="200"/>
        <w:textAlignment w:val="auto"/>
        <w:rPr>
          <w:rFonts w:hint="eastAsia" w:ascii="楷体" w:hAnsi="楷体" w:eastAsia="楷体" w:cs="楷体"/>
          <w:b w:val="0"/>
          <w:bCs w:val="0"/>
          <w:color w:val="auto"/>
          <w:sz w:val="28"/>
          <w:szCs w:val="28"/>
          <w:highlight w:val="none"/>
          <w:lang w:val="en-US" w:eastAsia="zh-CN"/>
        </w:rPr>
      </w:pPr>
      <w:r>
        <w:rPr>
          <w:rFonts w:hint="eastAsia" w:ascii="楷体" w:hAnsi="楷体" w:eastAsia="楷体" w:cs="楷体"/>
          <w:b w:val="0"/>
          <w:bCs w:val="0"/>
          <w:color w:val="auto"/>
          <w:sz w:val="28"/>
          <w:szCs w:val="28"/>
          <w:highlight w:val="none"/>
          <w:lang w:val="en-US" w:eastAsia="zh-CN"/>
        </w:rPr>
        <w:t>乙方按照本招标文件中所含的采购需求和指标，并以甲方的实际需求为唯一标准进行验收。包括项目总体实施效果是否完备、正确、满足甲方的需求，是否达到预期。</w:t>
      </w:r>
    </w:p>
    <w:p w14:paraId="7BA260E2">
      <w:pPr>
        <w:pStyle w:val="4"/>
        <w:tabs>
          <w:tab w:val="left" w:pos="2020"/>
          <w:tab w:val="center" w:pos="4535"/>
        </w:tabs>
        <w:spacing w:line="360" w:lineRule="auto"/>
        <w:ind w:left="0" w:firstLine="0" w:firstLineChars="0"/>
        <w:jc w:val="both"/>
        <w:rPr>
          <w:rFonts w:hint="eastAsia" w:ascii="楷体" w:hAnsi="楷体" w:eastAsia="楷体" w:cs="楷体"/>
          <w:color w:val="auto"/>
          <w:sz w:val="28"/>
          <w:szCs w:val="28"/>
          <w:highlight w:val="none"/>
        </w:rPr>
      </w:pPr>
      <w:r>
        <w:rPr>
          <w:rFonts w:hint="eastAsia" w:ascii="楷体" w:hAnsi="楷体" w:eastAsia="楷体" w:cs="楷体"/>
          <w:b/>
          <w:bCs/>
          <w:color w:val="auto"/>
          <w:sz w:val="28"/>
          <w:szCs w:val="28"/>
          <w:highlight w:val="none"/>
          <w:lang w:val="en-US" w:eastAsia="zh-CN"/>
        </w:rPr>
        <w:t>六、</w:t>
      </w:r>
      <w:r>
        <w:rPr>
          <w:rFonts w:hint="eastAsia" w:ascii="楷体" w:hAnsi="楷体" w:eastAsia="楷体" w:cs="楷体"/>
          <w:b/>
          <w:bCs/>
          <w:color w:val="auto"/>
          <w:sz w:val="28"/>
          <w:szCs w:val="28"/>
          <w:highlight w:val="none"/>
        </w:rPr>
        <w:t>付款方式：</w:t>
      </w:r>
    </w:p>
    <w:p w14:paraId="423C2BB5">
      <w:pPr>
        <w:bidi w:val="0"/>
        <w:spacing w:line="360" w:lineRule="auto"/>
        <w:ind w:firstLine="560" w:firstLineChars="200"/>
        <w:rPr>
          <w:rFonts w:hint="eastAsia" w:ascii="楷体" w:hAnsi="楷体" w:eastAsia="楷体" w:cs="楷体"/>
          <w:sz w:val="28"/>
          <w:szCs w:val="28"/>
          <w:lang w:val="en-US"/>
        </w:rPr>
      </w:pPr>
      <w:r>
        <w:rPr>
          <w:rFonts w:hint="eastAsia" w:ascii="楷体" w:hAnsi="楷体" w:eastAsia="楷体" w:cs="楷体"/>
          <w:sz w:val="28"/>
          <w:szCs w:val="28"/>
          <w:lang w:val="en-US"/>
        </w:rPr>
        <w:t>1</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自合同签订之日起，采购人应当自收到发票后1</w:t>
      </w:r>
      <w:r>
        <w:rPr>
          <w:rFonts w:hint="eastAsia" w:ascii="楷体" w:hAnsi="楷体" w:eastAsia="楷体" w:cs="楷体"/>
          <w:sz w:val="28"/>
          <w:szCs w:val="28"/>
          <w:lang w:val="en-US" w:eastAsia="zh-CN"/>
        </w:rPr>
        <w:t>0个工作</w:t>
      </w:r>
      <w:r>
        <w:rPr>
          <w:rFonts w:hint="eastAsia" w:ascii="楷体" w:hAnsi="楷体" w:eastAsia="楷体" w:cs="楷体"/>
          <w:sz w:val="28"/>
          <w:szCs w:val="28"/>
          <w:lang w:val="en-US"/>
        </w:rPr>
        <w:t>日内</w:t>
      </w:r>
      <w:r>
        <w:rPr>
          <w:rFonts w:hint="eastAsia" w:ascii="楷体" w:hAnsi="楷体" w:eastAsia="楷体" w:cs="楷体"/>
          <w:sz w:val="28"/>
          <w:szCs w:val="28"/>
        </w:rPr>
        <w:t>支付</w:t>
      </w:r>
      <w:r>
        <w:rPr>
          <w:rFonts w:hint="eastAsia" w:ascii="楷体" w:hAnsi="楷体" w:eastAsia="楷体" w:cs="楷体"/>
          <w:sz w:val="28"/>
          <w:szCs w:val="28"/>
          <w:lang w:val="en-US"/>
        </w:rPr>
        <w:t>合同款的30％</w:t>
      </w:r>
      <w:r>
        <w:rPr>
          <w:rFonts w:hint="eastAsia" w:ascii="楷体" w:hAnsi="楷体" w:eastAsia="楷体" w:cs="楷体"/>
          <w:sz w:val="28"/>
          <w:szCs w:val="28"/>
        </w:rPr>
        <w:t>作为预付款到</w:t>
      </w:r>
      <w:r>
        <w:rPr>
          <w:rFonts w:hint="eastAsia" w:ascii="楷体" w:hAnsi="楷体" w:eastAsia="楷体" w:cs="楷体"/>
          <w:sz w:val="28"/>
          <w:szCs w:val="28"/>
          <w:lang w:val="en-US"/>
        </w:rPr>
        <w:t>合同约定的供应商账户</w:t>
      </w:r>
      <w:r>
        <w:rPr>
          <w:rFonts w:hint="eastAsia" w:ascii="楷体" w:hAnsi="楷体" w:eastAsia="楷体" w:cs="楷体"/>
          <w:sz w:val="28"/>
          <w:szCs w:val="28"/>
        </w:rPr>
        <w:t>；</w:t>
      </w:r>
    </w:p>
    <w:p w14:paraId="302D9C7C">
      <w:pPr>
        <w:bidi w:val="0"/>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2</w:t>
      </w:r>
      <w:r>
        <w:rPr>
          <w:rFonts w:hint="eastAsia" w:ascii="楷体" w:hAnsi="楷体" w:eastAsia="楷体" w:cs="楷体"/>
          <w:sz w:val="28"/>
          <w:szCs w:val="28"/>
          <w:lang w:eastAsia="zh-CN"/>
        </w:rPr>
        <w:t>.</w:t>
      </w:r>
      <w:r>
        <w:rPr>
          <w:rFonts w:hint="eastAsia" w:ascii="楷体" w:hAnsi="楷体" w:eastAsia="楷体" w:cs="楷体"/>
          <w:sz w:val="28"/>
          <w:szCs w:val="28"/>
        </w:rPr>
        <w:t>所有货物安装调试验收合格后，采购人在</w:t>
      </w:r>
      <w:r>
        <w:rPr>
          <w:rFonts w:hint="eastAsia" w:ascii="楷体" w:hAnsi="楷体" w:eastAsia="楷体" w:cs="楷体"/>
          <w:sz w:val="28"/>
          <w:szCs w:val="28"/>
          <w:lang w:val="en-US"/>
        </w:rPr>
        <w:t>1</w:t>
      </w:r>
      <w:r>
        <w:rPr>
          <w:rFonts w:hint="eastAsia" w:ascii="楷体" w:hAnsi="楷体" w:eastAsia="楷体" w:cs="楷体"/>
          <w:sz w:val="28"/>
          <w:szCs w:val="28"/>
          <w:lang w:val="en-US" w:eastAsia="zh-CN"/>
        </w:rPr>
        <w:t>0个工作</w:t>
      </w:r>
      <w:r>
        <w:rPr>
          <w:rFonts w:hint="eastAsia" w:ascii="楷体" w:hAnsi="楷体" w:eastAsia="楷体" w:cs="楷体"/>
          <w:sz w:val="28"/>
          <w:szCs w:val="28"/>
          <w:lang w:val="en-US"/>
        </w:rPr>
        <w:t>日</w:t>
      </w:r>
      <w:r>
        <w:rPr>
          <w:rFonts w:hint="eastAsia" w:ascii="楷体" w:hAnsi="楷体" w:eastAsia="楷体" w:cs="楷体"/>
          <w:sz w:val="28"/>
          <w:szCs w:val="28"/>
        </w:rPr>
        <w:t>内支付至合同价款的60%。</w:t>
      </w:r>
    </w:p>
    <w:p w14:paraId="7C9981B2">
      <w:pPr>
        <w:bidi w:val="0"/>
        <w:spacing w:line="360" w:lineRule="auto"/>
        <w:ind w:firstLine="560" w:firstLineChars="200"/>
        <w:rPr>
          <w:rFonts w:hint="eastAsia" w:ascii="楷体" w:hAnsi="楷体" w:eastAsia="楷体" w:cs="楷体"/>
          <w:b/>
          <w:bCs/>
          <w:color w:val="auto"/>
          <w:sz w:val="28"/>
          <w:szCs w:val="28"/>
          <w:highlight w:val="none"/>
          <w:lang w:eastAsia="zh-CN"/>
        </w:rPr>
      </w:pPr>
      <w:r>
        <w:rPr>
          <w:rFonts w:hint="eastAsia" w:ascii="楷体" w:hAnsi="楷体" w:eastAsia="楷体" w:cs="楷体"/>
          <w:sz w:val="28"/>
          <w:szCs w:val="28"/>
        </w:rPr>
        <w:t>3</w:t>
      </w:r>
      <w:r>
        <w:rPr>
          <w:rFonts w:hint="eastAsia" w:ascii="楷体" w:hAnsi="楷体" w:eastAsia="楷体" w:cs="楷体"/>
          <w:sz w:val="28"/>
          <w:szCs w:val="28"/>
          <w:lang w:eastAsia="zh-CN"/>
        </w:rPr>
        <w:t>.</w:t>
      </w:r>
      <w:r>
        <w:rPr>
          <w:rFonts w:hint="eastAsia" w:ascii="楷体" w:hAnsi="楷体" w:eastAsia="楷体" w:cs="楷体"/>
          <w:sz w:val="28"/>
          <w:szCs w:val="28"/>
        </w:rPr>
        <w:t>使用一年无问题后，采购人在</w:t>
      </w:r>
      <w:r>
        <w:rPr>
          <w:rFonts w:hint="eastAsia" w:ascii="楷体" w:hAnsi="楷体" w:eastAsia="楷体" w:cs="楷体"/>
          <w:sz w:val="28"/>
          <w:szCs w:val="28"/>
          <w:lang w:val="en-US"/>
        </w:rPr>
        <w:t>1</w:t>
      </w:r>
      <w:r>
        <w:rPr>
          <w:rFonts w:hint="eastAsia" w:ascii="楷体" w:hAnsi="楷体" w:eastAsia="楷体" w:cs="楷体"/>
          <w:sz w:val="28"/>
          <w:szCs w:val="28"/>
          <w:lang w:val="en-US" w:eastAsia="zh-CN"/>
        </w:rPr>
        <w:t>0个工作</w:t>
      </w:r>
      <w:r>
        <w:rPr>
          <w:rFonts w:hint="eastAsia" w:ascii="楷体" w:hAnsi="楷体" w:eastAsia="楷体" w:cs="楷体"/>
          <w:sz w:val="28"/>
          <w:szCs w:val="28"/>
          <w:lang w:val="en-US"/>
        </w:rPr>
        <w:t>日</w:t>
      </w:r>
      <w:r>
        <w:rPr>
          <w:rFonts w:hint="eastAsia" w:ascii="楷体" w:hAnsi="楷体" w:eastAsia="楷体" w:cs="楷体"/>
          <w:sz w:val="28"/>
          <w:szCs w:val="28"/>
        </w:rPr>
        <w:t>内付清合同尾款。</w:t>
      </w:r>
    </w:p>
    <w:p w14:paraId="3B87A4F5">
      <w:pPr>
        <w:adjustRightInd w:val="0"/>
        <w:snapToGrid w:val="0"/>
        <w:spacing w:line="360" w:lineRule="auto"/>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lang w:eastAsia="zh-CN"/>
        </w:rPr>
        <w:t>七、</w:t>
      </w:r>
      <w:r>
        <w:rPr>
          <w:rFonts w:hint="eastAsia" w:ascii="楷体" w:hAnsi="楷体" w:eastAsia="楷体" w:cs="楷体"/>
          <w:b/>
          <w:bCs/>
          <w:color w:val="auto"/>
          <w:sz w:val="28"/>
          <w:szCs w:val="28"/>
          <w:highlight w:val="none"/>
        </w:rPr>
        <w:t>其他要求</w:t>
      </w:r>
    </w:p>
    <w:p w14:paraId="30ABDCE0">
      <w:pPr>
        <w:adjustRightInd w:val="0"/>
        <w:snapToGrid w:val="0"/>
        <w:spacing w:line="360" w:lineRule="auto"/>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1.采购需求中试剂单项采购数量仅作为参考，具体的试剂单项采购数量，采购人根据实际工作需求灵活调整，</w:t>
      </w:r>
      <w:r>
        <w:rPr>
          <w:rFonts w:hint="eastAsia" w:ascii="楷体" w:hAnsi="楷体" w:eastAsia="楷体" w:cs="楷体"/>
          <w:color w:val="auto"/>
          <w:sz w:val="28"/>
          <w:szCs w:val="28"/>
          <w:highlight w:val="none"/>
        </w:rPr>
        <w:t>供应商应给予</w:t>
      </w:r>
      <w:r>
        <w:rPr>
          <w:rFonts w:hint="eastAsia" w:ascii="楷体" w:hAnsi="楷体" w:eastAsia="楷体" w:cs="楷体"/>
          <w:color w:val="auto"/>
          <w:sz w:val="28"/>
          <w:szCs w:val="28"/>
          <w:highlight w:val="none"/>
          <w:lang w:eastAsia="zh-CN"/>
        </w:rPr>
        <w:t>无条件</w:t>
      </w:r>
      <w:r>
        <w:rPr>
          <w:rFonts w:hint="eastAsia" w:ascii="楷体" w:hAnsi="楷体" w:eastAsia="楷体" w:cs="楷体"/>
          <w:color w:val="auto"/>
          <w:sz w:val="28"/>
          <w:szCs w:val="28"/>
          <w:highlight w:val="none"/>
        </w:rPr>
        <w:t>响应</w:t>
      </w:r>
      <w:r>
        <w:rPr>
          <w:rFonts w:hint="eastAsia" w:ascii="楷体" w:hAnsi="楷体" w:eastAsia="楷体" w:cs="楷体"/>
          <w:color w:val="auto"/>
          <w:sz w:val="28"/>
          <w:szCs w:val="28"/>
          <w:highlight w:val="none"/>
          <w:lang w:eastAsia="zh-CN"/>
        </w:rPr>
        <w:t>。</w:t>
      </w:r>
    </w:p>
    <w:p w14:paraId="7FAE5E8E">
      <w:pPr>
        <w:adjustRightInd w:val="0"/>
        <w:snapToGrid w:val="0"/>
        <w:spacing w:line="360" w:lineRule="auto"/>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2.</w:t>
      </w:r>
      <w:r>
        <w:rPr>
          <w:rFonts w:hint="eastAsia" w:ascii="楷体" w:hAnsi="楷体" w:eastAsia="楷体" w:cs="楷体"/>
          <w:color w:val="auto"/>
          <w:sz w:val="28"/>
          <w:szCs w:val="28"/>
          <w:highlight w:val="none"/>
        </w:rPr>
        <w:t>采购人对货物的尺寸、颜色及实用性（使用需求）微调的，成交供应商应给予响应，并不收取额外费用。</w:t>
      </w:r>
    </w:p>
    <w:p w14:paraId="6F61E5B2">
      <w:pPr>
        <w:spacing w:line="360" w:lineRule="auto"/>
        <w:ind w:firstLine="560" w:firstLineChars="200"/>
        <w:rPr>
          <w:rFonts w:hint="eastAsia" w:ascii="楷体" w:hAnsi="楷体" w:eastAsia="楷体" w:cs="楷体"/>
          <w:b w:val="0"/>
          <w:bCs w:val="0"/>
          <w:color w:val="auto"/>
          <w:sz w:val="28"/>
          <w:szCs w:val="28"/>
          <w:highlight w:val="none"/>
        </w:rPr>
      </w:pPr>
      <w:r>
        <w:rPr>
          <w:rFonts w:hint="eastAsia" w:ascii="楷体" w:hAnsi="楷体" w:eastAsia="楷体" w:cs="楷体"/>
          <w:color w:val="auto"/>
          <w:sz w:val="28"/>
          <w:szCs w:val="28"/>
          <w:highlight w:val="none"/>
          <w:lang w:val="en-US" w:eastAsia="zh-CN"/>
        </w:rPr>
        <w:t>3.</w:t>
      </w:r>
      <w:r>
        <w:rPr>
          <w:rFonts w:hint="eastAsia" w:ascii="楷体" w:hAnsi="楷体" w:eastAsia="楷体" w:cs="楷体"/>
          <w:color w:val="auto"/>
          <w:sz w:val="28"/>
          <w:szCs w:val="28"/>
          <w:highlight w:val="none"/>
          <w:lang w:val="en-US"/>
        </w:rPr>
        <w:t>报价应包含完成本服务项目发生的所有含税费用、中标人需严格遵守和执行《中华人民共和国劳动法》、镇江市劳动用工和社会保险管理规定、镇江市最低工资标准等相关法律法规，支付给员工的工资和国家强制缴纳的各种社会保障资金以及供应商认为需要的其他费用等。在本项目实施过程中，合同期中发生的一切事故、纠纷由中标人承担，采购人不承担任何责任。</w:t>
      </w:r>
    </w:p>
    <w:p w14:paraId="451571A6">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5033B">
    <w:pPr>
      <w:pStyle w:val="9"/>
      <w:tabs>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789739D1">
                          <w:pPr>
                            <w:pStyle w:val="10"/>
                            <w:tabs>
                              <w:tab w:val="clear" w:pos="4153"/>
                              <w:tab w:val="clear" w:pos="8306"/>
                            </w:tabs>
                          </w:pPr>
                          <w:r>
                            <w:fldChar w:fldCharType="begin"/>
                          </w:r>
                          <w:r>
                            <w:instrText xml:space="preserve"> PAGE  \* MERGEFORMAT </w:instrText>
                          </w:r>
                          <w:r>
                            <w:fldChar w:fldCharType="separate"/>
                          </w:r>
                          <w:r>
                            <w:t>9</w:t>
                          </w:r>
                          <w:r>
                            <w:fldChar w:fldCharType="end"/>
                          </w:r>
                        </w:p>
                        <w:p w14:paraId="601BE3EE"/>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Wckjz0gEAAKcDAAAOAAAAAAAAAAEAIAAAAB4BAABk&#10;cnMvZTJvRG9jLnhtbFBLBQYAAAAABgAGAFkBAABiBQAAAAA=&#10;">
              <v:fill on="f" focussize="0,0"/>
              <v:stroke on="f"/>
              <v:imagedata o:title=""/>
              <o:lock v:ext="edit" aspectratio="f"/>
              <v:textbox inset="0mm,0mm,0mm,0mm" style="mso-fit-shape-to-text:t;">
                <w:txbxContent>
                  <w:p w14:paraId="789739D1">
                    <w:pPr>
                      <w:pStyle w:val="10"/>
                      <w:tabs>
                        <w:tab w:val="clear" w:pos="4153"/>
                        <w:tab w:val="clear" w:pos="8306"/>
                      </w:tabs>
                    </w:pPr>
                    <w:r>
                      <w:fldChar w:fldCharType="begin"/>
                    </w:r>
                    <w:r>
                      <w:instrText xml:space="preserve"> PAGE  \* MERGEFORMAT </w:instrText>
                    </w:r>
                    <w:r>
                      <w:fldChar w:fldCharType="separate"/>
                    </w:r>
                    <w:r>
                      <w:t>9</w:t>
                    </w:r>
                    <w:r>
                      <w:fldChar w:fldCharType="end"/>
                    </w:r>
                  </w:p>
                  <w:p w14:paraId="601BE3EE"/>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1085A">
    <w:pPr>
      <w:pStyle w:val="8"/>
      <w:tabs>
        <w:tab w:val="clear" w:pos="4153"/>
        <w:tab w:val="clear" w:pos="8306"/>
      </w:tabs>
      <w:jc w:val="both"/>
      <w:rPr>
        <w:rFonts w:hint="eastAsia" w:ascii="楷体" w:hAnsi="楷体" w:eastAsia="楷体" w:cs="楷体"/>
        <w:lang w:val="en-US"/>
      </w:rPr>
    </w:pPr>
    <w:r>
      <w:rPr>
        <w:rFonts w:hint="eastAsia" w:ascii="楷体" w:hAnsi="楷体" w:eastAsia="楷体" w:cs="楷体"/>
        <w:lang w:val="en-US"/>
      </w:rPr>
      <w:t>江苏隆信项目管理有限公司招标文件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B5722"/>
    <w:rsid w:val="288B5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hint="default" w:ascii="宋体" w:hAnsi="Times New Roman" w:eastAsia="宋体" w:cs="Times New Roman"/>
      <w:sz w:val="22"/>
      <w:szCs w:val="22"/>
      <w:lang w:val="zh-CN"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pPr>
  </w:style>
  <w:style w:type="paragraph" w:styleId="3">
    <w:name w:val="Body Text"/>
    <w:basedOn w:val="1"/>
    <w:next w:val="4"/>
    <w:qFormat/>
    <w:uiPriority w:val="0"/>
    <w:rPr>
      <w:rFonts w:ascii="楷体_GB2312" w:hAnsi="Arial" w:eastAsia="楷体_GB2312" w:cstheme="minorBidi"/>
      <w:sz w:val="28"/>
      <w:szCs w:val="22"/>
    </w:rPr>
  </w:style>
  <w:style w:type="paragraph" w:styleId="4">
    <w:name w:val="Body Text First Indent"/>
    <w:basedOn w:val="3"/>
    <w:semiHidden/>
    <w:unhideWhenUsed/>
    <w:qFormat/>
    <w:uiPriority w:val="0"/>
    <w:pPr>
      <w:spacing w:after="120"/>
      <w:ind w:firstLine="420"/>
    </w:pPr>
    <w:rPr>
      <w:rFonts w:ascii="Arial" w:eastAsiaTheme="minorEastAsia"/>
      <w:sz w:val="21"/>
      <w:szCs w:val="21"/>
    </w:rPr>
  </w:style>
  <w:style w:type="paragraph" w:customStyle="1" w:styleId="7">
    <w:name w:val="普通(网站)1"/>
    <w:basedOn w:val="1"/>
    <w:qFormat/>
    <w:uiPriority w:val="0"/>
    <w:rPr>
      <w:sz w:val="24"/>
      <w:lang w:val="en-US"/>
    </w:rPr>
  </w:style>
  <w:style w:type="paragraph" w:customStyle="1" w:styleId="8">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9">
    <w:name w:val="页脚1"/>
    <w:basedOn w:val="1"/>
    <w:qFormat/>
    <w:uiPriority w:val="0"/>
    <w:pPr>
      <w:tabs>
        <w:tab w:val="center" w:pos="4153"/>
        <w:tab w:val="right" w:pos="8306"/>
      </w:tabs>
    </w:pPr>
    <w:rPr>
      <w:sz w:val="18"/>
      <w:szCs w:val="20"/>
    </w:rPr>
  </w:style>
  <w:style w:type="paragraph" w:customStyle="1" w:styleId="10">
    <w:name w:val="页脚11"/>
    <w:basedOn w:val="1"/>
    <w:qFormat/>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2025-07-30T02:43:00Z</dcterms:created>
  <dc:creator>WPS_1748940899</dc:creator>
  <cp:lastModifiedBy>WPS_1748940899</cp:lastModifiedBy>
  <dcterms:modified xsi:type="dcterms:W3CDTF">2025-07-30T02:43:47Z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F2CC2E3359C64C4B910BBB2EBFF9F156_11</vt:lpwstr>
  </property>
  <property fmtid="{D5CDD505-2E9C-101B-9397-08002B2CF9AE}" pid="4" name="KSOTemplateDocerSaveRecord">
    <vt:lpwstr>eyJoZGlkIjoiOTQ5NzY0MDhiNTY4ZGI0NDRlYzMzOGVmMzNhZDljNzciLCJ1c2VySWQiOiIxNzA1OTQyNzYxIn0=</vt:lpwstr>
  </property>
</Properties>
</file>