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18FC2">
      <w:pPr>
        <w:spacing w:line="360" w:lineRule="auto"/>
        <w:jc w:val="center"/>
        <w:rPr>
          <w:rFonts w:eastAsia="仿宋_GB2312"/>
          <w:bCs/>
          <w:sz w:val="44"/>
          <w:szCs w:val="44"/>
          <w:highlight w:val="none"/>
          <w:lang w:val="zh-CN"/>
        </w:rPr>
      </w:pPr>
      <w:r>
        <w:rPr>
          <w:rFonts w:hint="eastAsia" w:eastAsia="仿宋_GB2312"/>
          <w:bCs/>
          <w:sz w:val="44"/>
          <w:szCs w:val="44"/>
          <w:highlight w:val="none"/>
          <w:lang w:val="zh-CN"/>
        </w:rPr>
        <w:t>采购合同</w:t>
      </w:r>
    </w:p>
    <w:p w14:paraId="5E4F8211">
      <w:pPr>
        <w:spacing w:line="360" w:lineRule="auto"/>
        <w:rPr>
          <w:rFonts w:ascii="宋体" w:hAnsi="宋体" w:cs="宋体"/>
          <w:b/>
          <w:bCs/>
          <w:color w:val="000000"/>
          <w:sz w:val="21"/>
          <w:szCs w:val="21"/>
          <w:highlight w:val="none"/>
          <w:lang w:bidi="en-US"/>
        </w:rPr>
      </w:pPr>
    </w:p>
    <w:p w14:paraId="746D80B6">
      <w:pPr>
        <w:tabs>
          <w:tab w:val="left" w:pos="4935"/>
        </w:tabs>
        <w:spacing w:line="360" w:lineRule="auto"/>
        <w:rPr>
          <w:rFonts w:ascii="宋体" w:hAnsi="宋体" w:cs="宋体"/>
          <w:b/>
          <w:bCs/>
          <w:color w:val="000000"/>
          <w:sz w:val="21"/>
          <w:szCs w:val="21"/>
          <w:highlight w:val="none"/>
          <w:lang w:bidi="en-US"/>
        </w:rPr>
      </w:pPr>
      <w:r>
        <w:rPr>
          <w:rFonts w:hint="eastAsia" w:ascii="宋体" w:hAnsi="宋体" w:cs="宋体"/>
          <w:b/>
          <w:bCs/>
          <w:color w:val="000000"/>
          <w:sz w:val="21"/>
          <w:szCs w:val="21"/>
          <w:highlight w:val="none"/>
          <w:lang w:bidi="en-US"/>
        </w:rPr>
        <w:t>甲方：苏州大学附属第一医院</w:t>
      </w:r>
      <w:r>
        <w:rPr>
          <w:rFonts w:ascii="宋体" w:hAnsi="宋体" w:cs="宋体"/>
          <w:b/>
          <w:bCs/>
          <w:color w:val="000000"/>
          <w:sz w:val="21"/>
          <w:szCs w:val="21"/>
          <w:highlight w:val="none"/>
          <w:lang w:bidi="en-US"/>
        </w:rPr>
        <w:tab/>
      </w:r>
    </w:p>
    <w:p w14:paraId="456DBADE">
      <w:pPr>
        <w:spacing w:line="360" w:lineRule="auto"/>
        <w:rPr>
          <w:rFonts w:hint="eastAsia" w:ascii="宋体" w:hAnsi="宋体" w:eastAsia="宋体" w:cs="宋体"/>
          <w:b/>
          <w:bCs/>
          <w:color w:val="000000"/>
          <w:sz w:val="21"/>
          <w:szCs w:val="21"/>
          <w:highlight w:val="none"/>
          <w:lang w:eastAsia="zh-CN" w:bidi="en-US"/>
        </w:rPr>
      </w:pPr>
      <w:r>
        <w:rPr>
          <w:rFonts w:hint="eastAsia" w:ascii="宋体" w:hAnsi="宋体" w:cs="宋体"/>
          <w:b/>
          <w:bCs/>
          <w:color w:val="000000"/>
          <w:sz w:val="21"/>
          <w:szCs w:val="21"/>
          <w:highlight w:val="none"/>
          <w:lang w:bidi="en-US"/>
        </w:rPr>
        <w:t>联系人：王珀</w:t>
      </w:r>
    </w:p>
    <w:p w14:paraId="692B4439">
      <w:pPr>
        <w:spacing w:line="360" w:lineRule="auto"/>
        <w:rPr>
          <w:rFonts w:hint="default" w:ascii="宋体" w:hAnsi="宋体" w:eastAsia="宋体" w:cs="宋体"/>
          <w:b/>
          <w:bCs/>
          <w:color w:val="000000"/>
          <w:sz w:val="21"/>
          <w:szCs w:val="21"/>
          <w:highlight w:val="none"/>
          <w:lang w:val="en-US" w:eastAsia="zh-CN" w:bidi="en-US"/>
        </w:rPr>
      </w:pPr>
      <w:r>
        <w:rPr>
          <w:rFonts w:hint="eastAsia" w:ascii="宋体" w:hAnsi="宋体" w:cs="宋体"/>
          <w:b/>
          <w:bCs/>
          <w:color w:val="000000"/>
          <w:sz w:val="21"/>
          <w:szCs w:val="21"/>
          <w:highlight w:val="none"/>
          <w:lang w:bidi="en-US"/>
        </w:rPr>
        <w:t>电话：18362973523</w:t>
      </w:r>
    </w:p>
    <w:p w14:paraId="729175FC">
      <w:pPr>
        <w:spacing w:line="360" w:lineRule="auto"/>
        <w:rPr>
          <w:rFonts w:ascii="宋体" w:hAnsi="宋体" w:cs="宋体"/>
          <w:b/>
          <w:bCs/>
          <w:color w:val="000000"/>
          <w:sz w:val="21"/>
          <w:szCs w:val="21"/>
          <w:highlight w:val="none"/>
          <w:lang w:bidi="en-US"/>
        </w:rPr>
      </w:pPr>
      <w:r>
        <w:rPr>
          <w:rFonts w:hint="eastAsia" w:ascii="宋体" w:hAnsi="宋体" w:cs="宋体"/>
          <w:b/>
          <w:bCs/>
          <w:color w:val="000000"/>
          <w:sz w:val="21"/>
          <w:szCs w:val="21"/>
          <w:highlight w:val="none"/>
          <w:lang w:bidi="en-US"/>
        </w:rPr>
        <w:t>住所地：苏州市姑苏区平海路 899号</w:t>
      </w:r>
    </w:p>
    <w:p w14:paraId="3A359609">
      <w:pPr>
        <w:rPr>
          <w:rFonts w:ascii="宋体" w:hAnsi="宋体" w:cs="宋体"/>
          <w:b/>
          <w:bCs/>
          <w:color w:val="000000"/>
          <w:sz w:val="21"/>
          <w:szCs w:val="21"/>
          <w:highlight w:val="none"/>
          <w:lang w:bidi="en-US"/>
        </w:rPr>
      </w:pPr>
      <w:r>
        <w:rPr>
          <w:rFonts w:hint="eastAsia" w:ascii="宋体" w:hAnsi="宋体" w:cs="宋体"/>
          <w:b/>
          <w:bCs/>
          <w:color w:val="000000"/>
          <w:sz w:val="21"/>
          <w:szCs w:val="21"/>
          <w:highlight w:val="none"/>
          <w:lang w:bidi="en-US"/>
        </w:rPr>
        <w:t>邮编：215000</w:t>
      </w:r>
    </w:p>
    <w:p w14:paraId="76BE73C8">
      <w:pPr>
        <w:spacing w:line="360" w:lineRule="auto"/>
        <w:rPr>
          <w:rFonts w:ascii="宋体" w:hAnsi="宋体" w:cs="宋体"/>
          <w:color w:val="000000"/>
          <w:sz w:val="21"/>
          <w:szCs w:val="21"/>
          <w:highlight w:val="none"/>
          <w:lang w:bidi="en-US"/>
        </w:rPr>
      </w:pPr>
    </w:p>
    <w:p w14:paraId="39D39F23">
      <w:pPr>
        <w:spacing w:line="360" w:lineRule="auto"/>
        <w:rPr>
          <w:rFonts w:hint="eastAsia" w:ascii="宋体" w:hAnsi="宋体" w:eastAsia="宋体" w:cs="宋体"/>
          <w:b/>
          <w:bCs/>
          <w:color w:val="000000"/>
          <w:sz w:val="21"/>
          <w:szCs w:val="21"/>
          <w:highlight w:val="none"/>
          <w:lang w:eastAsia="zh-CN" w:bidi="en-US"/>
        </w:rPr>
      </w:pPr>
      <w:r>
        <w:rPr>
          <w:rFonts w:hint="eastAsia" w:ascii="宋体" w:hAnsi="宋体" w:cs="宋体"/>
          <w:b/>
          <w:bCs/>
          <w:color w:val="000000"/>
          <w:sz w:val="21"/>
          <w:szCs w:val="21"/>
          <w:highlight w:val="none"/>
          <w:lang w:bidi="en-US"/>
        </w:rPr>
        <w:t>乙方：</w:t>
      </w:r>
      <w:r>
        <w:rPr>
          <w:rFonts w:hint="eastAsia" w:ascii="宋体" w:hAnsi="宋体" w:cs="宋体"/>
          <w:b/>
          <w:bCs/>
          <w:color w:val="000000"/>
          <w:sz w:val="21"/>
          <w:szCs w:val="21"/>
          <w:highlight w:val="none"/>
          <w:lang w:eastAsia="zh-CN" w:bidi="en-US"/>
        </w:rPr>
        <w:t>江苏嘉玖信息科技有限公司</w:t>
      </w:r>
    </w:p>
    <w:p w14:paraId="7CBA1A5B">
      <w:pPr>
        <w:spacing w:line="360" w:lineRule="auto"/>
        <w:rPr>
          <w:rFonts w:hint="eastAsia" w:ascii="宋体" w:hAnsi="宋体" w:eastAsia="宋体" w:cs="宋体"/>
          <w:b/>
          <w:bCs/>
          <w:color w:val="000000"/>
          <w:sz w:val="21"/>
          <w:szCs w:val="21"/>
          <w:highlight w:val="none"/>
          <w:lang w:eastAsia="zh-CN" w:bidi="en-US"/>
        </w:rPr>
      </w:pPr>
      <w:r>
        <w:rPr>
          <w:rFonts w:hint="eastAsia" w:ascii="宋体" w:hAnsi="宋体" w:cs="宋体"/>
          <w:b/>
          <w:bCs/>
          <w:color w:val="000000"/>
          <w:sz w:val="21"/>
          <w:szCs w:val="21"/>
          <w:highlight w:val="none"/>
          <w:lang w:bidi="en-US"/>
        </w:rPr>
        <w:t>联系人：</w:t>
      </w:r>
      <w:r>
        <w:rPr>
          <w:rFonts w:hint="eastAsia" w:ascii="宋体" w:hAnsi="宋体" w:cs="宋体"/>
          <w:b/>
          <w:bCs/>
          <w:color w:val="000000"/>
          <w:sz w:val="21"/>
          <w:szCs w:val="21"/>
          <w:highlight w:val="none"/>
          <w:lang w:eastAsia="zh-CN" w:bidi="en-US"/>
        </w:rPr>
        <w:t>刘婷</w:t>
      </w:r>
    </w:p>
    <w:p w14:paraId="7F7C52CB">
      <w:pPr>
        <w:spacing w:line="360" w:lineRule="auto"/>
        <w:rPr>
          <w:rFonts w:hint="eastAsia" w:ascii="宋体" w:hAnsi="宋体" w:eastAsia="宋体" w:cs="宋体"/>
          <w:b/>
          <w:bCs/>
          <w:color w:val="000000"/>
          <w:sz w:val="21"/>
          <w:szCs w:val="21"/>
          <w:highlight w:val="none"/>
          <w:lang w:eastAsia="zh-CN" w:bidi="en-US"/>
        </w:rPr>
      </w:pPr>
      <w:r>
        <w:rPr>
          <w:rFonts w:hint="eastAsia" w:ascii="宋体" w:hAnsi="宋体" w:cs="宋体"/>
          <w:b/>
          <w:bCs/>
          <w:color w:val="000000"/>
          <w:sz w:val="21"/>
          <w:szCs w:val="21"/>
          <w:highlight w:val="none"/>
          <w:lang w:bidi="en-US"/>
        </w:rPr>
        <w:t>电话：</w:t>
      </w:r>
      <w:r>
        <w:rPr>
          <w:rFonts w:hint="eastAsia" w:ascii="宋体" w:hAnsi="宋体" w:cs="宋体"/>
          <w:b/>
          <w:bCs/>
          <w:color w:val="000000"/>
          <w:sz w:val="21"/>
          <w:szCs w:val="21"/>
          <w:highlight w:val="none"/>
          <w:lang w:eastAsia="zh-CN" w:bidi="en-US"/>
        </w:rPr>
        <w:t>18860923439</w:t>
      </w:r>
    </w:p>
    <w:p w14:paraId="1D44B7DA">
      <w:pPr>
        <w:spacing w:line="360" w:lineRule="auto"/>
        <w:rPr>
          <w:rFonts w:hint="default" w:ascii="宋体" w:hAnsi="宋体" w:cs="宋体"/>
          <w:b/>
          <w:bCs/>
          <w:color w:val="000000"/>
          <w:sz w:val="21"/>
          <w:szCs w:val="21"/>
          <w:highlight w:val="none"/>
          <w:lang w:val="en-US" w:bidi="en-US"/>
        </w:rPr>
      </w:pPr>
      <w:r>
        <w:rPr>
          <w:rFonts w:hint="eastAsia" w:ascii="宋体" w:hAnsi="宋体" w:cs="宋体"/>
          <w:b/>
          <w:bCs/>
          <w:color w:val="000000"/>
          <w:sz w:val="21"/>
          <w:szCs w:val="21"/>
          <w:highlight w:val="none"/>
          <w:lang w:bidi="en-US"/>
        </w:rPr>
        <w:t>住所地：</w:t>
      </w:r>
      <w:r>
        <w:rPr>
          <w:rFonts w:hint="eastAsia" w:ascii="宋体" w:hAnsi="宋体" w:cs="宋体"/>
          <w:b/>
          <w:bCs/>
          <w:color w:val="000000"/>
          <w:sz w:val="21"/>
          <w:szCs w:val="21"/>
          <w:highlight w:val="none"/>
          <w:lang w:eastAsia="zh-CN" w:bidi="en-US"/>
        </w:rPr>
        <w:t>苏州市十全街</w:t>
      </w:r>
      <w:r>
        <w:rPr>
          <w:rFonts w:hint="eastAsia" w:ascii="宋体" w:hAnsi="宋体" w:cs="宋体"/>
          <w:b/>
          <w:bCs/>
          <w:color w:val="000000"/>
          <w:sz w:val="21"/>
          <w:szCs w:val="21"/>
          <w:highlight w:val="none"/>
          <w:lang w:val="en-US" w:eastAsia="zh-CN" w:bidi="en-US"/>
        </w:rPr>
        <w:t>993号</w:t>
      </w:r>
    </w:p>
    <w:p w14:paraId="14DE0D89">
      <w:pPr>
        <w:rPr>
          <w:rFonts w:hint="default" w:ascii="宋体" w:hAnsi="宋体" w:eastAsia="宋体" w:cs="宋体"/>
          <w:b/>
          <w:bCs/>
          <w:sz w:val="21"/>
          <w:szCs w:val="21"/>
          <w:highlight w:val="none"/>
          <w:lang w:val="en-US" w:eastAsia="zh-CN" w:bidi="en-US"/>
        </w:rPr>
      </w:pPr>
      <w:r>
        <w:rPr>
          <w:rFonts w:hint="eastAsia" w:ascii="宋体" w:hAnsi="宋体" w:cs="宋体"/>
          <w:b/>
          <w:bCs/>
          <w:sz w:val="21"/>
          <w:szCs w:val="21"/>
          <w:highlight w:val="none"/>
          <w:lang w:bidi="en-US"/>
        </w:rPr>
        <w:t>邮编：</w:t>
      </w:r>
      <w:r>
        <w:rPr>
          <w:rFonts w:hint="eastAsia" w:ascii="宋体" w:hAnsi="宋体" w:cs="宋体"/>
          <w:b/>
          <w:bCs/>
          <w:sz w:val="21"/>
          <w:szCs w:val="21"/>
          <w:highlight w:val="none"/>
          <w:lang w:val="en-US" w:eastAsia="zh-CN" w:bidi="en-US"/>
        </w:rPr>
        <w:t>215000</w:t>
      </w:r>
    </w:p>
    <w:p w14:paraId="2310D98A">
      <w:pPr>
        <w:pStyle w:val="22"/>
        <w:adjustRightInd w:val="0"/>
        <w:snapToGrid w:val="0"/>
        <w:spacing w:line="360" w:lineRule="auto"/>
        <w:ind w:firstLine="630" w:firstLineChars="300"/>
        <w:rPr>
          <w:rFonts w:ascii="宋体" w:hAnsi="宋体" w:cs="宋体"/>
          <w:szCs w:val="21"/>
          <w:highlight w:val="none"/>
          <w:lang w:val="zh-CN"/>
        </w:rPr>
      </w:pPr>
    </w:p>
    <w:p w14:paraId="307CF1D1">
      <w:pPr>
        <w:keepNext w:val="0"/>
        <w:keepLines w:val="0"/>
        <w:widowControl/>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根据甲方</w:t>
      </w:r>
      <w:r>
        <w:rPr>
          <w:rFonts w:hint="eastAsia" w:ascii="宋体" w:hAnsi="宋体" w:eastAsia="宋体" w:cs="宋体"/>
          <w:color w:val="000000"/>
          <w:kern w:val="0"/>
          <w:sz w:val="21"/>
          <w:szCs w:val="21"/>
          <w:highlight w:val="none"/>
          <w:lang w:val="en-US" w:eastAsia="zh-CN" w:bidi="ar"/>
        </w:rPr>
        <w:t>的</w:t>
      </w:r>
      <w:r>
        <w:rPr>
          <w:rFonts w:hint="eastAsia" w:ascii="宋体" w:hAnsi="宋体" w:cs="宋体"/>
          <w:color w:val="000000"/>
          <w:kern w:val="0"/>
          <w:sz w:val="21"/>
          <w:szCs w:val="21"/>
          <w:highlight w:val="none"/>
          <w:u w:val="single"/>
          <w:lang w:val="en-US" w:eastAsia="zh-CN" w:bidi="ar"/>
        </w:rPr>
        <w:t>JSZC-320000-SZWK-G2025-0368号</w:t>
      </w:r>
      <w:r>
        <w:rPr>
          <w:rFonts w:hint="eastAsia" w:ascii="宋体" w:hAnsi="宋体" w:eastAsia="宋体" w:cs="宋体"/>
          <w:color w:val="000000"/>
          <w:kern w:val="0"/>
          <w:sz w:val="21"/>
          <w:szCs w:val="21"/>
          <w:highlight w:val="none"/>
          <w:lang w:val="zh-CN" w:eastAsia="zh-CN" w:bidi="ar"/>
        </w:rPr>
        <w:t>采购计划，（依据甲方委托</w:t>
      </w:r>
      <w:r>
        <w:rPr>
          <w:rFonts w:hint="eastAsia" w:ascii="宋体" w:hAnsi="宋体" w:cs="宋体"/>
          <w:color w:val="000000"/>
          <w:kern w:val="0"/>
          <w:sz w:val="21"/>
          <w:szCs w:val="21"/>
          <w:highlight w:val="none"/>
          <w:lang w:val="en-US" w:eastAsia="zh-CN" w:bidi="ar"/>
        </w:rPr>
        <w:t>苏州市卫康招投标咨询服务有限公司</w:t>
      </w:r>
      <w:r>
        <w:rPr>
          <w:rFonts w:hint="eastAsia" w:ascii="宋体" w:hAnsi="宋体" w:eastAsia="宋体" w:cs="宋体"/>
          <w:color w:val="000000"/>
          <w:kern w:val="0"/>
          <w:sz w:val="21"/>
          <w:szCs w:val="21"/>
          <w:highlight w:val="none"/>
          <w:lang w:val="zh-CN" w:eastAsia="zh-CN" w:bidi="ar"/>
        </w:rPr>
        <w:t>）进行本项目采购</w:t>
      </w:r>
      <w:r>
        <w:rPr>
          <w:rFonts w:hint="eastAsia" w:ascii="宋体" w:hAnsi="宋体" w:cs="宋体"/>
          <w:color w:val="000000"/>
          <w:kern w:val="0"/>
          <w:sz w:val="21"/>
          <w:szCs w:val="21"/>
          <w:highlight w:val="none"/>
          <w:u w:val="single"/>
          <w:lang w:val="en-US" w:eastAsia="zh-CN" w:bidi="ar"/>
        </w:rPr>
        <w:t>DMZ区超融合系统</w:t>
      </w:r>
      <w:r>
        <w:rPr>
          <w:rFonts w:hint="eastAsia" w:ascii="宋体" w:hAnsi="宋体" w:eastAsia="宋体" w:cs="宋体"/>
          <w:color w:val="000000"/>
          <w:kern w:val="0"/>
          <w:sz w:val="21"/>
          <w:szCs w:val="21"/>
          <w:highlight w:val="none"/>
          <w:lang w:val="zh-CN" w:eastAsia="zh-CN" w:bidi="ar"/>
        </w:rPr>
        <w:t>的</w:t>
      </w:r>
      <w:r>
        <w:rPr>
          <w:rFonts w:hint="eastAsia" w:ascii="宋体" w:hAnsi="宋体" w:eastAsia="宋体" w:cs="宋体"/>
          <w:color w:val="000000"/>
          <w:kern w:val="0"/>
          <w:sz w:val="21"/>
          <w:szCs w:val="21"/>
          <w:highlight w:val="none"/>
          <w:lang w:val="en-US" w:eastAsia="zh-CN" w:bidi="ar"/>
        </w:rPr>
        <w:t>采购</w:t>
      </w:r>
      <w:r>
        <w:rPr>
          <w:rFonts w:hint="eastAsia" w:ascii="宋体" w:hAnsi="宋体" w:eastAsia="宋体" w:cs="宋体"/>
          <w:color w:val="000000"/>
          <w:kern w:val="0"/>
          <w:sz w:val="21"/>
          <w:szCs w:val="21"/>
          <w:highlight w:val="none"/>
          <w:lang w:val="zh-CN" w:eastAsia="zh-CN" w:bidi="ar"/>
        </w:rPr>
        <w:t>结果确定</w:t>
      </w:r>
      <w:r>
        <w:rPr>
          <w:rFonts w:hint="eastAsia" w:ascii="宋体" w:hAnsi="宋体" w:cs="宋体"/>
          <w:color w:val="000000"/>
          <w:kern w:val="0"/>
          <w:sz w:val="21"/>
          <w:szCs w:val="21"/>
          <w:highlight w:val="none"/>
          <w:u w:val="single"/>
          <w:lang w:val="en-US" w:eastAsia="zh-CN" w:bidi="ar"/>
        </w:rPr>
        <w:t>江苏嘉玖信息科技有限公司</w:t>
      </w:r>
      <w:r>
        <w:rPr>
          <w:rFonts w:hint="eastAsia" w:ascii="宋体" w:hAnsi="宋体" w:cs="宋体"/>
          <w:color w:val="000000"/>
          <w:kern w:val="0"/>
          <w:sz w:val="21"/>
          <w:szCs w:val="21"/>
          <w:highlight w:val="none"/>
          <w:u w:val="none"/>
          <w:lang w:val="en-US" w:eastAsia="zh-CN" w:bidi="ar"/>
        </w:rPr>
        <w:t>（</w:t>
      </w:r>
      <w:r>
        <w:rPr>
          <w:rFonts w:hint="eastAsia" w:ascii="宋体" w:hAnsi="宋体" w:eastAsia="宋体" w:cs="宋体"/>
          <w:color w:val="000000"/>
          <w:kern w:val="0"/>
          <w:sz w:val="21"/>
          <w:szCs w:val="21"/>
          <w:highlight w:val="none"/>
          <w:lang w:val="en-US" w:eastAsia="zh-CN" w:bidi="ar"/>
        </w:rPr>
        <w:t>以下简称“乙方”）</w:t>
      </w:r>
      <w:r>
        <w:rPr>
          <w:rFonts w:hint="eastAsia" w:ascii="宋体" w:hAnsi="宋体" w:eastAsia="宋体" w:cs="宋体"/>
          <w:color w:val="000000"/>
          <w:kern w:val="0"/>
          <w:sz w:val="21"/>
          <w:szCs w:val="21"/>
          <w:highlight w:val="none"/>
          <w:lang w:val="zh-CN" w:eastAsia="zh-CN" w:bidi="ar"/>
        </w:rPr>
        <w:t>为本次中标人。现依照采购文件、乙方的</w:t>
      </w:r>
      <w:r>
        <w:rPr>
          <w:rFonts w:hint="eastAsia" w:ascii="宋体" w:hAnsi="宋体" w:eastAsia="宋体" w:cs="宋体"/>
          <w:color w:val="000000"/>
          <w:kern w:val="0"/>
          <w:sz w:val="21"/>
          <w:szCs w:val="21"/>
          <w:highlight w:val="none"/>
          <w:lang w:val="en-US" w:eastAsia="zh-CN" w:bidi="ar"/>
        </w:rPr>
        <w:t>投标</w:t>
      </w:r>
      <w:r>
        <w:rPr>
          <w:rFonts w:hint="eastAsia" w:ascii="宋体" w:hAnsi="宋体" w:eastAsia="宋体" w:cs="宋体"/>
          <w:color w:val="000000"/>
          <w:kern w:val="0"/>
          <w:sz w:val="21"/>
          <w:szCs w:val="21"/>
          <w:highlight w:val="none"/>
          <w:lang w:val="zh-CN" w:eastAsia="zh-CN" w:bidi="ar"/>
        </w:rPr>
        <w:t>文件及相关文件的内容，经双方平等协商，特签订本合同书。</w:t>
      </w:r>
    </w:p>
    <w:p w14:paraId="5DE05305">
      <w:pPr>
        <w:pStyle w:val="38"/>
        <w:widowControl/>
        <w:numPr>
          <w:ilvl w:val="0"/>
          <w:numId w:val="1"/>
        </w:numPr>
        <w:spacing w:line="360" w:lineRule="auto"/>
        <w:ind w:left="0" w:firstLine="422"/>
        <w:jc w:val="left"/>
        <w:rPr>
          <w:rFonts w:hint="eastAsia" w:ascii="宋体" w:hAnsi="宋体" w:eastAsia="宋体" w:cs="宋体"/>
          <w:b/>
          <w:bCs/>
          <w:color w:val="000000"/>
          <w:kern w:val="0"/>
          <w:szCs w:val="21"/>
          <w:highlight w:val="none"/>
          <w:lang w:val="zh-CN" w:eastAsia="zh-CN"/>
        </w:rPr>
      </w:pPr>
      <w:r>
        <w:rPr>
          <w:rFonts w:hint="eastAsia" w:ascii="宋体" w:hAnsi="宋体" w:eastAsia="宋体" w:cs="宋体"/>
          <w:b/>
          <w:bCs/>
          <w:color w:val="000000"/>
          <w:kern w:val="0"/>
          <w:szCs w:val="21"/>
          <w:highlight w:val="none"/>
          <w:lang w:val="zh-CN" w:eastAsia="zh-CN"/>
        </w:rPr>
        <w:t>合同价格</w:t>
      </w:r>
    </w:p>
    <w:p w14:paraId="00BE6028">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eastAsia="宋体" w:cs="宋体"/>
          <w:color w:val="000000"/>
          <w:kern w:val="0"/>
          <w:sz w:val="21"/>
          <w:szCs w:val="21"/>
          <w:highlight w:val="none"/>
          <w:lang w:val="zh-CN" w:eastAsia="zh-CN" w:bidi="ar"/>
        </w:rPr>
        <w:t>合同总金额（人民币）：人民币（大写）</w:t>
      </w:r>
      <w:r>
        <w:rPr>
          <w:rFonts w:hint="eastAsia" w:ascii="宋体" w:hAnsi="宋体" w:cs="宋体"/>
          <w:color w:val="000000"/>
          <w:kern w:val="0"/>
          <w:sz w:val="21"/>
          <w:szCs w:val="21"/>
          <w:highlight w:val="none"/>
          <w:lang w:val="zh-CN" w:eastAsia="zh-CN" w:bidi="ar"/>
        </w:rPr>
        <w:t>贰佰捌拾伍万元整</w:t>
      </w:r>
      <w:r>
        <w:rPr>
          <w:rFonts w:hint="eastAsia" w:ascii="宋体" w:hAnsi="宋体" w:eastAsia="宋体" w:cs="宋体"/>
          <w:color w:val="000000"/>
          <w:kern w:val="0"/>
          <w:sz w:val="21"/>
          <w:szCs w:val="21"/>
          <w:highlight w:val="none"/>
          <w:lang w:val="zh-CN" w:eastAsia="zh-CN" w:bidi="ar"/>
        </w:rPr>
        <w:t>（含税）（小写</w:t>
      </w:r>
      <w:r>
        <w:rPr>
          <w:rFonts w:hint="eastAsia" w:ascii="宋体" w:hAnsi="宋体" w:cs="宋体"/>
          <w:color w:val="000000"/>
          <w:kern w:val="0"/>
          <w:sz w:val="21"/>
          <w:szCs w:val="21"/>
          <w:highlight w:val="none"/>
          <w:lang w:val="en-US" w:eastAsia="zh-CN" w:bidi="ar"/>
        </w:rPr>
        <w:t>¥2850000.00</w:t>
      </w:r>
      <w:r>
        <w:rPr>
          <w:rFonts w:hint="eastAsia" w:ascii="宋体" w:hAnsi="宋体" w:eastAsia="宋体" w:cs="宋体"/>
          <w:color w:val="000000"/>
          <w:kern w:val="0"/>
          <w:sz w:val="21"/>
          <w:szCs w:val="21"/>
          <w:highlight w:val="none"/>
          <w:lang w:val="zh-CN" w:eastAsia="zh-CN" w:bidi="ar"/>
        </w:rPr>
        <w:t>），</w:t>
      </w:r>
      <w:r>
        <w:rPr>
          <w:rFonts w:hint="eastAsia" w:ascii="宋体" w:hAnsi="宋体" w:cs="宋体"/>
          <w:color w:val="000000"/>
          <w:sz w:val="21"/>
          <w:szCs w:val="21"/>
          <w:lang w:val="zh-CN"/>
        </w:rPr>
        <w:t>包括但不限于完成本项目工作所需及其配套的管理内容、设备、软件系统、辅助材料、验收检测、运输仓储、劳保、技术支持与培训、专利技术、各种税费、人工、保险、维护、利润、代理服务费、政策性文件规定及合同包含的所有风险、责任等各项应有费用；</w:t>
      </w:r>
      <w:r>
        <w:rPr>
          <w:rFonts w:hint="eastAsia" w:ascii="宋体" w:hAnsi="宋体" w:cs="宋体"/>
          <w:color w:val="000000"/>
          <w:sz w:val="21"/>
          <w:szCs w:val="21"/>
          <w:lang w:val="en-US" w:eastAsia="zh-CN"/>
        </w:rPr>
        <w:t>甲方无须支付其他任何费用</w:t>
      </w:r>
      <w:r>
        <w:rPr>
          <w:rFonts w:hint="eastAsia" w:ascii="宋体" w:hAnsi="宋体" w:cs="宋体"/>
          <w:color w:val="000000"/>
          <w:sz w:val="21"/>
          <w:szCs w:val="21"/>
          <w:lang w:val="zh-CN"/>
        </w:rPr>
        <w:t>。同时，除非合同条款中另有规定，否则，本合同项下合同总金额在合同履行期间不因市场变化因素而变动。</w:t>
      </w:r>
    </w:p>
    <w:p w14:paraId="2B78B548">
      <w:pPr>
        <w:pStyle w:val="38"/>
        <w:widowControl/>
        <w:numPr>
          <w:ilvl w:val="0"/>
          <w:numId w:val="1"/>
        </w:numPr>
        <w:spacing w:line="360" w:lineRule="auto"/>
        <w:ind w:left="0" w:firstLine="422"/>
        <w:jc w:val="left"/>
        <w:rPr>
          <w:rFonts w:hint="eastAsia" w:ascii="宋体" w:hAnsi="宋体" w:eastAsia="宋体" w:cs="宋体"/>
          <w:b/>
          <w:bCs/>
          <w:color w:val="000000"/>
          <w:kern w:val="0"/>
          <w:szCs w:val="21"/>
          <w:highlight w:val="none"/>
          <w:lang w:val="zh-CN" w:eastAsia="zh-CN"/>
        </w:rPr>
      </w:pPr>
      <w:r>
        <w:rPr>
          <w:rFonts w:hint="eastAsia" w:ascii="宋体" w:hAnsi="宋体" w:eastAsia="宋体" w:cs="宋体"/>
          <w:b/>
          <w:bCs/>
          <w:color w:val="000000"/>
          <w:kern w:val="0"/>
          <w:szCs w:val="21"/>
          <w:highlight w:val="none"/>
          <w:lang w:val="zh-CN" w:eastAsia="zh-CN"/>
        </w:rPr>
        <w:t>服务内容、要求及期限</w:t>
      </w:r>
    </w:p>
    <w:p w14:paraId="4128717D">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1、乙方负责提供</w:t>
      </w:r>
      <w:r>
        <w:rPr>
          <w:rFonts w:hint="eastAsia" w:ascii="宋体" w:hAnsi="宋体" w:cs="宋体"/>
          <w:color w:val="000000"/>
          <w:kern w:val="0"/>
          <w:sz w:val="21"/>
          <w:szCs w:val="21"/>
          <w:highlight w:val="none"/>
          <w:u w:val="single"/>
          <w:lang w:val="en-US" w:eastAsia="zh-CN" w:bidi="ar"/>
        </w:rPr>
        <w:t>DMZ区超融合系统</w:t>
      </w:r>
      <w:r>
        <w:rPr>
          <w:rFonts w:hint="eastAsia" w:ascii="宋体" w:hAnsi="宋体" w:eastAsia="宋体" w:cs="宋体"/>
          <w:color w:val="000000"/>
          <w:kern w:val="0"/>
          <w:sz w:val="21"/>
          <w:szCs w:val="21"/>
          <w:highlight w:val="none"/>
          <w:lang w:val="zh-CN" w:eastAsia="zh-CN" w:bidi="ar"/>
        </w:rPr>
        <w:t>（详见招投标文件）；</w:t>
      </w:r>
    </w:p>
    <w:p w14:paraId="1B5CC144">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2、服务内容及要求：</w:t>
      </w:r>
    </w:p>
    <w:p w14:paraId="6A6F6B46">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kern w:val="0"/>
          <w:sz w:val="21"/>
          <w:szCs w:val="21"/>
          <w:highlight w:val="none"/>
          <w:lang w:val="zh-CN" w:eastAsia="zh-CN" w:bidi="ar"/>
        </w:rPr>
      </w:pPr>
      <w:r>
        <w:rPr>
          <w:rFonts w:hint="eastAsia" w:ascii="宋体" w:hAnsi="宋体" w:eastAsia="宋体" w:cs="宋体"/>
          <w:color w:val="000000"/>
          <w:kern w:val="0"/>
          <w:sz w:val="21"/>
          <w:szCs w:val="21"/>
          <w:highlight w:val="none"/>
          <w:lang w:val="zh-CN" w:eastAsia="zh-CN" w:bidi="ar"/>
        </w:rPr>
        <w:t>2.1</w:t>
      </w:r>
      <w:r>
        <w:rPr>
          <w:rFonts w:hint="eastAsia" w:ascii="宋体" w:hAnsi="宋体" w:cs="宋体"/>
          <w:color w:val="auto"/>
          <w:kern w:val="0"/>
          <w:sz w:val="24"/>
          <w:szCs w:val="24"/>
          <w:highlight w:val="none"/>
          <w:lang w:val="en-US" w:eastAsia="zh-CN"/>
        </w:rPr>
        <w:t>采购内容</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402"/>
        <w:gridCol w:w="2700"/>
        <w:gridCol w:w="700"/>
        <w:gridCol w:w="677"/>
        <w:gridCol w:w="1172"/>
        <w:gridCol w:w="1186"/>
      </w:tblGrid>
      <w:tr w14:paraId="12D4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4410C88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序号</w:t>
            </w:r>
          </w:p>
        </w:tc>
        <w:tc>
          <w:tcPr>
            <w:tcW w:w="1402" w:type="dxa"/>
            <w:vAlign w:val="center"/>
          </w:tcPr>
          <w:p w14:paraId="0F82BA4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标的物名称</w:t>
            </w:r>
          </w:p>
        </w:tc>
        <w:tc>
          <w:tcPr>
            <w:tcW w:w="2700" w:type="dxa"/>
            <w:vAlign w:val="center"/>
          </w:tcPr>
          <w:p w14:paraId="412CFE3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生产厂家、品牌、规格</w:t>
            </w:r>
          </w:p>
        </w:tc>
        <w:tc>
          <w:tcPr>
            <w:tcW w:w="700" w:type="dxa"/>
            <w:vAlign w:val="center"/>
          </w:tcPr>
          <w:p w14:paraId="7E4850E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单位</w:t>
            </w:r>
          </w:p>
        </w:tc>
        <w:tc>
          <w:tcPr>
            <w:tcW w:w="677" w:type="dxa"/>
            <w:vAlign w:val="center"/>
          </w:tcPr>
          <w:p w14:paraId="3FA28DF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数量</w:t>
            </w:r>
          </w:p>
        </w:tc>
        <w:tc>
          <w:tcPr>
            <w:tcW w:w="1172" w:type="dxa"/>
            <w:vAlign w:val="center"/>
          </w:tcPr>
          <w:p w14:paraId="332153F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单价（元）</w:t>
            </w:r>
          </w:p>
        </w:tc>
        <w:tc>
          <w:tcPr>
            <w:tcW w:w="1186" w:type="dxa"/>
            <w:vAlign w:val="center"/>
          </w:tcPr>
          <w:p w14:paraId="3792717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总价（元）</w:t>
            </w:r>
          </w:p>
        </w:tc>
      </w:tr>
      <w:tr w14:paraId="14FD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686F7F2C">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w:t>
            </w:r>
          </w:p>
        </w:tc>
        <w:tc>
          <w:tcPr>
            <w:tcW w:w="1402" w:type="dxa"/>
            <w:vAlign w:val="center"/>
          </w:tcPr>
          <w:p w14:paraId="25C329CD">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超融合平台</w:t>
            </w:r>
          </w:p>
        </w:tc>
        <w:tc>
          <w:tcPr>
            <w:tcW w:w="2700" w:type="dxa"/>
            <w:vAlign w:val="center"/>
          </w:tcPr>
          <w:p w14:paraId="037576E9">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深信服</w:t>
            </w:r>
          </w:p>
          <w:p w14:paraId="6194EDE9">
            <w:pPr>
              <w:keepNext w:val="0"/>
              <w:keepLines w:val="0"/>
              <w:widowControl w:val="0"/>
              <w:suppressLineNumbers w:val="0"/>
              <w:spacing w:before="0" w:beforeAutospacing="0" w:after="0" w:afterAutospacing="0" w:line="360" w:lineRule="auto"/>
              <w:ind w:left="0" w:right="0"/>
              <w:jc w:val="center"/>
              <w:rPr>
                <w:rFonts w:hint="default"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信云sCloud</w:t>
            </w:r>
          </w:p>
        </w:tc>
        <w:tc>
          <w:tcPr>
            <w:tcW w:w="700" w:type="dxa"/>
            <w:vAlign w:val="center"/>
          </w:tcPr>
          <w:p w14:paraId="7B3B86C3">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套</w:t>
            </w:r>
          </w:p>
        </w:tc>
        <w:tc>
          <w:tcPr>
            <w:tcW w:w="677" w:type="dxa"/>
            <w:vAlign w:val="center"/>
          </w:tcPr>
          <w:p w14:paraId="6D0DCD53">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w:t>
            </w:r>
          </w:p>
        </w:tc>
        <w:tc>
          <w:tcPr>
            <w:tcW w:w="1172" w:type="dxa"/>
            <w:vAlign w:val="center"/>
          </w:tcPr>
          <w:p w14:paraId="7AF7BC59">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300000</w:t>
            </w:r>
          </w:p>
        </w:tc>
        <w:tc>
          <w:tcPr>
            <w:tcW w:w="1186" w:type="dxa"/>
            <w:shd w:val="clear" w:color="auto" w:fill="auto"/>
            <w:vAlign w:val="center"/>
          </w:tcPr>
          <w:p w14:paraId="4B71FF8E">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300000</w:t>
            </w:r>
          </w:p>
        </w:tc>
      </w:tr>
      <w:tr w14:paraId="54AC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4E84A9B4">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2</w:t>
            </w:r>
          </w:p>
        </w:tc>
        <w:tc>
          <w:tcPr>
            <w:tcW w:w="1402" w:type="dxa"/>
            <w:vAlign w:val="center"/>
          </w:tcPr>
          <w:p w14:paraId="0B618650">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一体机A</w:t>
            </w:r>
          </w:p>
        </w:tc>
        <w:tc>
          <w:tcPr>
            <w:tcW w:w="2700" w:type="dxa"/>
            <w:vAlign w:val="center"/>
          </w:tcPr>
          <w:p w14:paraId="07468DF5">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HuaKun</w:t>
            </w:r>
          </w:p>
          <w:p w14:paraId="5261EE9E">
            <w:pPr>
              <w:keepNext w:val="0"/>
              <w:keepLines w:val="0"/>
              <w:widowControl w:val="0"/>
              <w:suppressLineNumbers w:val="0"/>
              <w:spacing w:before="0" w:beforeAutospacing="0" w:after="0" w:afterAutospacing="0" w:line="360" w:lineRule="auto"/>
              <w:ind w:left="0" w:right="0"/>
              <w:jc w:val="center"/>
              <w:rPr>
                <w:rFonts w:hint="default"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AT800（Model 3000）</w:t>
            </w:r>
          </w:p>
        </w:tc>
        <w:tc>
          <w:tcPr>
            <w:tcW w:w="700" w:type="dxa"/>
            <w:vAlign w:val="center"/>
          </w:tcPr>
          <w:p w14:paraId="4F6C031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zh-CN" w:eastAsia="zh-CN" w:bidi="ar"/>
              </w:rPr>
              <w:t>台</w:t>
            </w:r>
          </w:p>
        </w:tc>
        <w:tc>
          <w:tcPr>
            <w:tcW w:w="677" w:type="dxa"/>
            <w:vAlign w:val="center"/>
          </w:tcPr>
          <w:p w14:paraId="01E273D9">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w:t>
            </w:r>
          </w:p>
        </w:tc>
        <w:tc>
          <w:tcPr>
            <w:tcW w:w="1172" w:type="dxa"/>
            <w:vAlign w:val="center"/>
          </w:tcPr>
          <w:p w14:paraId="336CCB41">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320000</w:t>
            </w:r>
          </w:p>
        </w:tc>
        <w:tc>
          <w:tcPr>
            <w:tcW w:w="1186" w:type="dxa"/>
            <w:shd w:val="clear" w:color="auto" w:fill="auto"/>
            <w:vAlign w:val="center"/>
          </w:tcPr>
          <w:p w14:paraId="10584737">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320000</w:t>
            </w:r>
          </w:p>
        </w:tc>
      </w:tr>
      <w:tr w14:paraId="0F50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1AE275EE">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3</w:t>
            </w:r>
          </w:p>
        </w:tc>
        <w:tc>
          <w:tcPr>
            <w:tcW w:w="1402" w:type="dxa"/>
            <w:vAlign w:val="center"/>
          </w:tcPr>
          <w:p w14:paraId="10CFCF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en-US" w:eastAsia="zh-CN" w:bidi="ar"/>
              </w:rPr>
              <w:t>一体机B</w:t>
            </w:r>
          </w:p>
        </w:tc>
        <w:tc>
          <w:tcPr>
            <w:tcW w:w="2700" w:type="dxa"/>
            <w:vAlign w:val="center"/>
          </w:tcPr>
          <w:p w14:paraId="4C9118AA">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H3C</w:t>
            </w:r>
          </w:p>
          <w:p w14:paraId="206F2E9C">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UniServer</w:t>
            </w:r>
          </w:p>
          <w:p w14:paraId="06DD24B2">
            <w:pPr>
              <w:keepNext w:val="0"/>
              <w:keepLines w:val="0"/>
              <w:widowControl w:val="0"/>
              <w:suppressLineNumbers w:val="0"/>
              <w:spacing w:before="0" w:beforeAutospacing="0" w:after="0" w:afterAutospacing="0" w:line="360" w:lineRule="auto"/>
              <w:ind w:left="0" w:right="0"/>
              <w:jc w:val="center"/>
              <w:rPr>
                <w:rFonts w:hint="default"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R5330 G7</w:t>
            </w:r>
          </w:p>
        </w:tc>
        <w:tc>
          <w:tcPr>
            <w:tcW w:w="700" w:type="dxa"/>
            <w:shd w:val="clear" w:color="auto" w:fill="auto"/>
            <w:vAlign w:val="center"/>
          </w:tcPr>
          <w:p w14:paraId="541793D8">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zh-CN" w:eastAsia="zh-CN" w:bidi="ar"/>
              </w:rPr>
              <w:t>台</w:t>
            </w:r>
          </w:p>
        </w:tc>
        <w:tc>
          <w:tcPr>
            <w:tcW w:w="677" w:type="dxa"/>
            <w:shd w:val="clear" w:color="auto" w:fill="auto"/>
            <w:vAlign w:val="center"/>
          </w:tcPr>
          <w:p w14:paraId="50144957">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w:t>
            </w:r>
          </w:p>
        </w:tc>
        <w:tc>
          <w:tcPr>
            <w:tcW w:w="1172" w:type="dxa"/>
            <w:vAlign w:val="center"/>
          </w:tcPr>
          <w:p w14:paraId="2A989C3E">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600000</w:t>
            </w:r>
          </w:p>
        </w:tc>
        <w:tc>
          <w:tcPr>
            <w:tcW w:w="1186" w:type="dxa"/>
            <w:shd w:val="clear" w:color="auto" w:fill="auto"/>
            <w:vAlign w:val="center"/>
          </w:tcPr>
          <w:p w14:paraId="406A17F4">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600000</w:t>
            </w:r>
          </w:p>
        </w:tc>
      </w:tr>
      <w:tr w14:paraId="494D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vAlign w:val="center"/>
          </w:tcPr>
          <w:p w14:paraId="4EFF181B">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4</w:t>
            </w:r>
          </w:p>
        </w:tc>
        <w:tc>
          <w:tcPr>
            <w:tcW w:w="1402" w:type="dxa"/>
            <w:vAlign w:val="center"/>
          </w:tcPr>
          <w:p w14:paraId="41A148F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000000"/>
                <w:kern w:val="0"/>
                <w:sz w:val="21"/>
                <w:szCs w:val="21"/>
                <w:highlight w:val="none"/>
                <w:vertAlign w:val="baseline"/>
                <w:lang w:val="zh-CN" w:eastAsia="zh-CN" w:bidi="ar"/>
              </w:rPr>
            </w:pPr>
            <w:r>
              <w:rPr>
                <w:rFonts w:hint="eastAsia" w:ascii="宋体" w:hAnsi="宋体" w:cs="宋体"/>
                <w:color w:val="000000"/>
                <w:kern w:val="0"/>
                <w:sz w:val="21"/>
                <w:szCs w:val="21"/>
                <w:highlight w:val="none"/>
                <w:vertAlign w:val="baseline"/>
                <w:lang w:val="en-US" w:eastAsia="zh-CN" w:bidi="ar"/>
              </w:rPr>
              <w:t>一体机C</w:t>
            </w:r>
          </w:p>
        </w:tc>
        <w:tc>
          <w:tcPr>
            <w:tcW w:w="2700" w:type="dxa"/>
            <w:vAlign w:val="center"/>
          </w:tcPr>
          <w:p w14:paraId="72F5ED41">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H3C</w:t>
            </w:r>
          </w:p>
          <w:p w14:paraId="506C4D2D">
            <w:pPr>
              <w:keepNext w:val="0"/>
              <w:keepLines w:val="0"/>
              <w:widowControl w:val="0"/>
              <w:suppressLineNumbers w:val="0"/>
              <w:spacing w:before="0" w:beforeAutospacing="0" w:after="0" w:afterAutospacing="0" w:line="360" w:lineRule="auto"/>
              <w:ind w:left="0" w:right="0"/>
              <w:jc w:val="center"/>
              <w:rPr>
                <w:rFonts w:hint="eastAsia"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LinSeerCube</w:t>
            </w:r>
          </w:p>
          <w:p w14:paraId="4791863D">
            <w:pPr>
              <w:keepNext w:val="0"/>
              <w:keepLines w:val="0"/>
              <w:widowControl w:val="0"/>
              <w:suppressLineNumbers w:val="0"/>
              <w:spacing w:before="0" w:beforeAutospacing="0" w:after="0" w:afterAutospacing="0" w:line="360" w:lineRule="auto"/>
              <w:ind w:left="0" w:right="0"/>
              <w:jc w:val="center"/>
              <w:rPr>
                <w:rFonts w:hint="default" w:ascii="宋体" w:hAnsi="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DR5030H</w:t>
            </w:r>
          </w:p>
        </w:tc>
        <w:tc>
          <w:tcPr>
            <w:tcW w:w="700" w:type="dxa"/>
            <w:shd w:val="clear" w:color="auto" w:fill="auto"/>
            <w:vAlign w:val="center"/>
          </w:tcPr>
          <w:p w14:paraId="2B07D821">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zh-CN" w:eastAsia="zh-CN" w:bidi="ar"/>
              </w:rPr>
              <w:t>台</w:t>
            </w:r>
          </w:p>
        </w:tc>
        <w:tc>
          <w:tcPr>
            <w:tcW w:w="677" w:type="dxa"/>
            <w:shd w:val="clear" w:color="auto" w:fill="auto"/>
            <w:vAlign w:val="center"/>
          </w:tcPr>
          <w:p w14:paraId="332F17FB">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w:t>
            </w:r>
          </w:p>
        </w:tc>
        <w:tc>
          <w:tcPr>
            <w:tcW w:w="1172" w:type="dxa"/>
            <w:vAlign w:val="center"/>
          </w:tcPr>
          <w:p w14:paraId="0CA2F223">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1630000</w:t>
            </w:r>
          </w:p>
        </w:tc>
        <w:tc>
          <w:tcPr>
            <w:tcW w:w="1186" w:type="dxa"/>
            <w:shd w:val="clear" w:color="auto" w:fill="auto"/>
            <w:vAlign w:val="center"/>
          </w:tcPr>
          <w:p w14:paraId="5FD19E87">
            <w:pPr>
              <w:keepNext w:val="0"/>
              <w:keepLines w:val="0"/>
              <w:widowControl w:val="0"/>
              <w:suppressLineNumbers w:val="0"/>
              <w:spacing w:before="0" w:beforeAutospacing="0" w:after="0" w:afterAutospacing="0" w:line="360" w:lineRule="auto"/>
              <w:ind w:left="0" w:leftChars="0" w:right="0" w:rightChars="0"/>
              <w:jc w:val="center"/>
              <w:rPr>
                <w:rFonts w:hint="default" w:ascii="宋体" w:hAnsi="宋体" w:eastAsia="宋体" w:cs="宋体"/>
                <w:color w:val="000000"/>
                <w:kern w:val="0"/>
                <w:sz w:val="21"/>
                <w:szCs w:val="21"/>
                <w:highlight w:val="none"/>
                <w:vertAlign w:val="baseline"/>
                <w:lang w:val="en-US" w:eastAsia="zh-CN" w:bidi="ar"/>
              </w:rPr>
            </w:pPr>
            <w:r>
              <w:rPr>
                <w:rFonts w:hint="eastAsia" w:ascii="宋体" w:hAnsi="宋体" w:cs="宋体"/>
                <w:color w:val="000000"/>
                <w:kern w:val="0"/>
                <w:sz w:val="21"/>
                <w:szCs w:val="21"/>
                <w:highlight w:val="none"/>
                <w:vertAlign w:val="baseline"/>
                <w:lang w:val="en-US" w:eastAsia="zh-CN" w:bidi="ar"/>
              </w:rPr>
              <w:t>1630000</w:t>
            </w:r>
          </w:p>
        </w:tc>
      </w:tr>
    </w:tbl>
    <w:p w14:paraId="7C56E427">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2.2 具体内容详见附件，参见</w:t>
      </w:r>
      <w:r>
        <w:rPr>
          <w:rFonts w:hint="eastAsia" w:ascii="宋体" w:hAnsi="宋体" w:eastAsia="宋体" w:cs="宋体"/>
          <w:color w:val="000000"/>
          <w:kern w:val="0"/>
          <w:sz w:val="21"/>
          <w:szCs w:val="21"/>
          <w:highlight w:val="none"/>
          <w:lang w:val="en-US" w:eastAsia="zh-CN" w:bidi="ar"/>
        </w:rPr>
        <w:t>招标</w:t>
      </w:r>
      <w:r>
        <w:rPr>
          <w:rFonts w:hint="eastAsia" w:ascii="宋体" w:hAnsi="宋体" w:eastAsia="宋体" w:cs="宋体"/>
          <w:color w:val="000000"/>
          <w:kern w:val="0"/>
          <w:sz w:val="21"/>
          <w:szCs w:val="21"/>
          <w:highlight w:val="none"/>
          <w:lang w:val="zh-CN" w:eastAsia="zh-CN" w:bidi="ar"/>
        </w:rPr>
        <w:t>文件及乙方的</w:t>
      </w:r>
      <w:r>
        <w:rPr>
          <w:rFonts w:hint="eastAsia" w:ascii="宋体" w:hAnsi="宋体" w:eastAsia="宋体" w:cs="宋体"/>
          <w:color w:val="000000"/>
          <w:kern w:val="0"/>
          <w:sz w:val="21"/>
          <w:szCs w:val="21"/>
          <w:highlight w:val="none"/>
          <w:lang w:val="en-US" w:eastAsia="zh-CN" w:bidi="ar"/>
        </w:rPr>
        <w:t>投标</w:t>
      </w:r>
      <w:r>
        <w:rPr>
          <w:rFonts w:hint="eastAsia" w:ascii="宋体" w:hAnsi="宋体" w:eastAsia="宋体" w:cs="宋体"/>
          <w:color w:val="000000"/>
          <w:kern w:val="0"/>
          <w:sz w:val="21"/>
          <w:szCs w:val="21"/>
          <w:highlight w:val="none"/>
          <w:lang w:val="zh-CN" w:eastAsia="zh-CN" w:bidi="ar"/>
        </w:rPr>
        <w:t>文件。</w:t>
      </w:r>
    </w:p>
    <w:p w14:paraId="679B22E8">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3、本合同履行期限：</w:t>
      </w:r>
      <w:r>
        <w:rPr>
          <w:rFonts w:hint="eastAsia" w:ascii="宋体" w:hAnsi="宋体" w:eastAsia="宋体" w:cs="宋体"/>
          <w:color w:val="auto"/>
          <w:sz w:val="21"/>
          <w:szCs w:val="21"/>
          <w:lang w:val="zh-CN" w:eastAsia="zh-CN" w:bidi="ar-SA"/>
        </w:rPr>
        <w:t>在合同签订生效后</w:t>
      </w:r>
      <w:r>
        <w:rPr>
          <w:rFonts w:hint="eastAsia" w:ascii="宋体" w:hAnsi="宋体" w:eastAsia="宋体" w:cs="宋体"/>
          <w:color w:val="auto"/>
          <w:sz w:val="21"/>
          <w:szCs w:val="21"/>
          <w:u w:val="single"/>
          <w:lang w:val="en-US" w:eastAsia="zh-CN" w:bidi="ar-SA"/>
        </w:rPr>
        <w:t>1个月</w:t>
      </w:r>
      <w:r>
        <w:rPr>
          <w:rFonts w:hint="eastAsia" w:ascii="宋体" w:hAnsi="宋体" w:eastAsia="宋体" w:cs="宋体"/>
          <w:color w:val="auto"/>
          <w:sz w:val="21"/>
          <w:szCs w:val="21"/>
          <w:lang w:val="zh-CN" w:eastAsia="zh-CN" w:bidi="ar-SA"/>
        </w:rPr>
        <w:t>内送货并安装调试完成</w:t>
      </w:r>
      <w:r>
        <w:rPr>
          <w:rFonts w:hint="eastAsia" w:ascii="宋体" w:hAnsi="宋体" w:eastAsia="宋体" w:cs="宋体"/>
          <w:color w:val="000000"/>
          <w:kern w:val="0"/>
          <w:sz w:val="21"/>
          <w:szCs w:val="21"/>
          <w:highlight w:val="none"/>
          <w:lang w:val="zh-CN" w:eastAsia="zh-CN" w:bidi="ar"/>
        </w:rPr>
        <w:t>。</w:t>
      </w:r>
    </w:p>
    <w:p w14:paraId="091D78C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kern w:val="0"/>
          <w:sz w:val="21"/>
          <w:szCs w:val="21"/>
          <w:highlight w:val="none"/>
          <w:lang w:val="zh-CN" w:eastAsia="zh-CN" w:bidi="ar"/>
        </w:rPr>
        <w:t>4、服务地点：甲方指定地点。</w:t>
      </w:r>
    </w:p>
    <w:p w14:paraId="4B817C36">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eastAsia="宋体" w:cs="宋体"/>
          <w:color w:val="000000"/>
          <w:kern w:val="0"/>
          <w:sz w:val="21"/>
          <w:szCs w:val="21"/>
          <w:highlight w:val="none"/>
          <w:lang w:val="zh-CN" w:eastAsia="zh-CN" w:bidi="ar"/>
        </w:rPr>
        <w:t>5、</w:t>
      </w:r>
      <w:r>
        <w:rPr>
          <w:rFonts w:hint="eastAsia" w:ascii="宋体" w:hAnsi="宋体" w:eastAsia="宋体" w:cs="宋体"/>
          <w:color w:val="000000"/>
          <w:kern w:val="0"/>
          <w:sz w:val="21"/>
          <w:szCs w:val="21"/>
          <w:highlight w:val="none"/>
          <w:lang w:val="en-US" w:eastAsia="zh-CN" w:bidi="ar"/>
        </w:rPr>
        <w:t>质保期</w:t>
      </w:r>
      <w:r>
        <w:rPr>
          <w:rFonts w:hint="eastAsia" w:ascii="宋体" w:hAnsi="宋体" w:eastAsia="宋体" w:cs="宋体"/>
          <w:color w:val="000000"/>
          <w:kern w:val="0"/>
          <w:sz w:val="21"/>
          <w:szCs w:val="21"/>
          <w:highlight w:val="none"/>
          <w:lang w:val="zh-CN" w:eastAsia="zh-CN" w:bidi="ar"/>
        </w:rPr>
        <w:t>：</w:t>
      </w:r>
      <w:r>
        <w:rPr>
          <w:rFonts w:hint="eastAsia" w:ascii="宋体" w:hAnsi="宋体" w:cs="宋体"/>
          <w:color w:val="000000"/>
          <w:sz w:val="21"/>
          <w:szCs w:val="21"/>
          <w:lang w:val="en-US" w:eastAsia="zh-CN"/>
        </w:rPr>
        <w:t>5</w:t>
      </w:r>
      <w:r>
        <w:rPr>
          <w:rFonts w:hint="eastAsia" w:ascii="宋体" w:hAnsi="宋体" w:cs="宋体"/>
          <w:color w:val="000000"/>
          <w:sz w:val="21"/>
          <w:szCs w:val="21"/>
          <w:lang w:val="zh-CN"/>
        </w:rPr>
        <w:t>年（其中一体机B、一体机C中的GPU</w:t>
      </w:r>
      <w:r>
        <w:rPr>
          <w:rFonts w:hint="eastAsia" w:ascii="宋体" w:hAnsi="宋体" w:cs="宋体"/>
          <w:color w:val="000000"/>
          <w:sz w:val="21"/>
          <w:szCs w:val="21"/>
          <w:lang w:val="en-US" w:eastAsia="zh-CN"/>
        </w:rPr>
        <w:t>质保为</w:t>
      </w:r>
      <w:r>
        <w:rPr>
          <w:rFonts w:hint="eastAsia" w:ascii="宋体" w:hAnsi="宋体" w:cs="宋体"/>
          <w:color w:val="000000"/>
          <w:sz w:val="21"/>
          <w:szCs w:val="21"/>
          <w:lang w:val="zh-CN"/>
        </w:rPr>
        <w:t>3年），时间自</w:t>
      </w:r>
      <w:r>
        <w:rPr>
          <w:rFonts w:hint="eastAsia" w:ascii="宋体" w:hAnsi="宋体" w:eastAsia="宋体" w:cs="Times New Roman"/>
          <w:sz w:val="21"/>
          <w:szCs w:val="21"/>
          <w:lang w:val="en-US" w:eastAsia="zh-CN"/>
        </w:rPr>
        <w:t>系统</w:t>
      </w:r>
      <w:r>
        <w:rPr>
          <w:rFonts w:hint="eastAsia" w:ascii="宋体" w:hAnsi="宋体" w:eastAsia="宋体" w:cs="Times New Roman"/>
          <w:sz w:val="21"/>
          <w:szCs w:val="21"/>
        </w:rPr>
        <w:t>验收合格之日起计算</w:t>
      </w:r>
      <w:r>
        <w:rPr>
          <w:rFonts w:hint="eastAsia" w:ascii="宋体" w:hAnsi="宋体" w:cs="宋体"/>
          <w:color w:val="000000"/>
          <w:sz w:val="21"/>
          <w:szCs w:val="21"/>
          <w:lang w:val="zh-CN"/>
        </w:rPr>
        <w:t>。</w:t>
      </w:r>
      <w:r>
        <w:rPr>
          <w:rFonts w:hint="eastAsia" w:ascii="宋体" w:hAnsi="宋体" w:cs="宋体"/>
          <w:color w:val="000000"/>
          <w:sz w:val="21"/>
          <w:szCs w:val="21"/>
          <w:lang w:val="en-US" w:eastAsia="zh-CN"/>
        </w:rPr>
        <w:t>质保期</w:t>
      </w:r>
      <w:r>
        <w:rPr>
          <w:rFonts w:hint="eastAsia" w:ascii="宋体" w:hAnsi="宋体" w:cs="宋体"/>
          <w:color w:val="000000"/>
          <w:sz w:val="21"/>
          <w:szCs w:val="21"/>
          <w:lang w:val="zh-CN"/>
        </w:rPr>
        <w:t>内，所有软件免费保修升级、电话报修后</w:t>
      </w:r>
      <w:r>
        <w:rPr>
          <w:rFonts w:hint="eastAsia" w:ascii="宋体" w:hAnsi="宋体" w:cs="宋体"/>
          <w:color w:val="000000"/>
          <w:sz w:val="21"/>
          <w:szCs w:val="21"/>
        </w:rPr>
        <w:t>30分钟</w:t>
      </w:r>
      <w:r>
        <w:rPr>
          <w:rFonts w:hint="eastAsia" w:ascii="宋体" w:hAnsi="宋体" w:cs="宋体"/>
          <w:color w:val="000000"/>
          <w:sz w:val="21"/>
          <w:szCs w:val="21"/>
          <w:lang w:val="zh-CN"/>
        </w:rPr>
        <w:t>响应、24小时内排除故障。</w:t>
      </w:r>
    </w:p>
    <w:p w14:paraId="76816BDC">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lang w:val="zh-CN"/>
        </w:rPr>
        <w:t>6、质保期满后年维保价格不超过合同总价的5%；质保期满后，甲方可在任意年度或时间段购买、投保，没有连续续签的要求，乙方对此</w:t>
      </w:r>
      <w:r>
        <w:rPr>
          <w:rFonts w:hint="eastAsia" w:ascii="宋体" w:hAnsi="宋体" w:cs="宋体"/>
          <w:color w:val="000000"/>
          <w:sz w:val="21"/>
          <w:szCs w:val="21"/>
        </w:rPr>
        <w:t>予以认可及接受、并承担设备更新迭代的相关费用。</w:t>
      </w:r>
    </w:p>
    <w:p w14:paraId="548FEB0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rPr>
        <w:t>7</w:t>
      </w:r>
      <w:r>
        <w:rPr>
          <w:rFonts w:hint="eastAsia" w:ascii="宋体" w:hAnsi="宋体" w:cs="宋体"/>
          <w:color w:val="000000"/>
          <w:sz w:val="21"/>
          <w:szCs w:val="21"/>
          <w:lang w:val="zh-CN"/>
        </w:rPr>
        <w:t>、其他未尽事宜按乙方所提供的相应承诺执行。如乙方未能按照磋商采购文件和乙方在磋商响应文件中承诺的服务充分履行服务义务的，甲方有权委托第三方履行，由此产生的任何费用或损失均由乙方承担。</w:t>
      </w:r>
    </w:p>
    <w:p w14:paraId="4CCCF069">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en-US" w:eastAsia="zh-CN"/>
        </w:rPr>
        <w:t>8</w:t>
      </w:r>
      <w:r>
        <w:rPr>
          <w:rFonts w:hint="eastAsia" w:ascii="宋体" w:hAnsi="宋体" w:cs="宋体"/>
          <w:color w:val="000000"/>
          <w:sz w:val="21"/>
          <w:szCs w:val="21"/>
          <w:lang w:val="zh-CN"/>
        </w:rPr>
        <w:t>、招标文件的售后服务要求或乙方投标文件或其他承诺优于本合同的，按照招标文件和乙方在投标书或其他文件中承诺的服务标准执行。</w:t>
      </w:r>
    </w:p>
    <w:p w14:paraId="05F61D5E">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en-US" w:eastAsia="zh-CN"/>
        </w:rPr>
        <w:t>9</w:t>
      </w:r>
      <w:r>
        <w:rPr>
          <w:rFonts w:hint="eastAsia" w:ascii="宋体" w:hAnsi="宋体" w:cs="宋体"/>
          <w:color w:val="000000"/>
          <w:sz w:val="21"/>
          <w:szCs w:val="21"/>
          <w:lang w:val="zh-CN"/>
        </w:rPr>
        <w:t>、标的物的所有权自标的物交付时转移。</w:t>
      </w:r>
    </w:p>
    <w:p w14:paraId="327A2D11">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lang w:val="en-US" w:eastAsia="zh-CN"/>
        </w:rPr>
        <w:t>10</w:t>
      </w:r>
      <w:r>
        <w:rPr>
          <w:rFonts w:hint="eastAsia" w:ascii="宋体" w:hAnsi="宋体" w:cs="宋体"/>
          <w:color w:val="000000"/>
          <w:sz w:val="21"/>
          <w:szCs w:val="21"/>
        </w:rPr>
        <w:t>、安全要求：</w:t>
      </w:r>
    </w:p>
    <w:p w14:paraId="4CBDFD10">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乙方需在项目建设过程中参照三同步原则，同步规划、同步建设、同步使用。</w:t>
      </w:r>
    </w:p>
    <w:p w14:paraId="6B9D6D40">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乙方需参照等级保护的安全要求进行建设，并根据等保评测结果，乙方须协助甲方完成整改。</w:t>
      </w:r>
    </w:p>
    <w:p w14:paraId="2D57EA82">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乙方需提供完整的安全和隐私技术手段，包括数据脱敏加密、审核日志留存回溯、数据调用记录回溯、操作日志回溯等。</w:t>
      </w:r>
    </w:p>
    <w:p w14:paraId="14B53BF4">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乙方须签订数据安全保密协议（详见附件一），确保甲方数据不外泄。</w:t>
      </w:r>
    </w:p>
    <w:p w14:paraId="4699421D">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三、</w:t>
      </w:r>
      <w:r>
        <w:rPr>
          <w:rFonts w:hint="eastAsia" w:ascii="宋体" w:hAnsi="宋体" w:cs="宋体"/>
          <w:b/>
          <w:bCs/>
          <w:color w:val="000000"/>
          <w:kern w:val="0"/>
          <w:szCs w:val="21"/>
          <w:lang w:val="zh-CN"/>
        </w:rPr>
        <w:t>付款方式</w:t>
      </w:r>
    </w:p>
    <w:p w14:paraId="6D55BAC5">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1、支付步骤：</w:t>
      </w:r>
    </w:p>
    <w:p w14:paraId="61C38AE9">
      <w:pPr>
        <w:widowControl w:val="0"/>
        <w:numPr>
          <w:ilvl w:val="0"/>
          <w:numId w:val="2"/>
        </w:numPr>
        <w:spacing w:line="360" w:lineRule="auto"/>
        <w:ind w:firstLine="480" w:firstLineChars="200"/>
        <w:rPr>
          <w:rFonts w:hint="eastAsia" w:ascii="宋体" w:hAnsi="宋体" w:cs="宋体"/>
          <w:color w:val="000000"/>
          <w:sz w:val="21"/>
          <w:szCs w:val="21"/>
          <w:lang w:val="zh-CN"/>
        </w:rPr>
      </w:pPr>
      <w:r>
        <w:rPr>
          <w:rFonts w:hint="eastAsia" w:eastAsia="仿宋_GB2312"/>
          <w:szCs w:val="20"/>
          <w:lang w:val="zh-CN" w:bidi="ar"/>
        </w:rPr>
        <w:t>□</w:t>
      </w:r>
      <w:r>
        <w:rPr>
          <w:rFonts w:hint="eastAsia" w:ascii="宋体" w:hAnsi="宋体" w:cs="宋体"/>
          <w:color w:val="000000"/>
          <w:sz w:val="21"/>
          <w:szCs w:val="21"/>
          <w:lang w:val="zh-CN"/>
        </w:rPr>
        <w:t>在签订合同时，乙方明确表示需要甲方支付预付款的</w:t>
      </w:r>
    </w:p>
    <w:p w14:paraId="52CC6849">
      <w:pPr>
        <w:widowControl w:val="0"/>
        <w:numPr>
          <w:ilvl w:val="0"/>
          <w:numId w:val="0"/>
        </w:numPr>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采购合同签订生效后，甲方在10个工作日内向乙方支付合同金额30%的预付款。待全部货物到达甲方指定地点并安装结束，经甲方最终验收合格，并由乙方提前向甲方提供下列单据(a、b)后15 日内，无任何异议情形下由甲方向乙方一次性付至合同总价 90%，余10%在质保期满一年后，且乙方无任何违约事由的，由甲方在 15 日内向乙方一次性付清。</w:t>
      </w:r>
    </w:p>
    <w:p w14:paraId="21091246">
      <w:pPr>
        <w:widowControl w:val="0"/>
        <w:numPr>
          <w:ilvl w:val="0"/>
          <w:numId w:val="2"/>
        </w:numPr>
        <w:spacing w:line="360" w:lineRule="auto"/>
        <w:ind w:firstLine="480" w:firstLineChars="200"/>
        <w:rPr>
          <w:rFonts w:hint="eastAsia" w:ascii="宋体" w:hAnsi="宋体" w:cs="宋体"/>
          <w:color w:val="000000"/>
          <w:sz w:val="21"/>
          <w:szCs w:val="21"/>
          <w:lang w:val="zh-CN"/>
        </w:rPr>
      </w:pPr>
      <w:r>
        <w:rPr>
          <w:rFonts w:hint="eastAsia" w:eastAsia="仿宋_GB2312"/>
          <w:szCs w:val="20"/>
          <w:lang w:val="zh-CN" w:bidi="ar"/>
        </w:rPr>
        <w:t>☑</w:t>
      </w:r>
      <w:r>
        <w:rPr>
          <w:rFonts w:hint="eastAsia" w:ascii="宋体" w:hAnsi="宋体" w:cs="宋体"/>
          <w:color w:val="000000"/>
          <w:sz w:val="21"/>
          <w:szCs w:val="21"/>
          <w:lang w:val="zh-CN"/>
        </w:rPr>
        <w:t>在签订合同时，乙方明确表示无需甲方支付预付款的</w:t>
      </w:r>
    </w:p>
    <w:p w14:paraId="02B27DE0">
      <w:pPr>
        <w:widowControl w:val="0"/>
        <w:numPr>
          <w:ilvl w:val="0"/>
          <w:numId w:val="0"/>
        </w:numPr>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采购合同签订生效后，乙方完成全部供货并安装调试结束，在乙方向甲方提供下列单据(a、b)后30日内，无任何异议情况下甲方向乙方一次支付合同货款总价的30%;试运行完成，项目通过整体验收合格并交付使用后，由乙方提前向甲方提供下列单据(b、c、d)后30日内，无任何异议情况下由甲方向乙方支付合同货款总价的60%;整个项目验收合格且正常运行12个月后无质量问题甲方向乙方支付本项目合同总价的10%。</w:t>
      </w:r>
    </w:p>
    <w:p w14:paraId="054C95C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2、乙方在申请付款时向甲方提供以下凭据:</w:t>
      </w:r>
    </w:p>
    <w:p w14:paraId="57E74EF1">
      <w:pPr>
        <w:widowControl w:val="0"/>
        <w:numPr>
          <w:ilvl w:val="0"/>
          <w:numId w:val="3"/>
        </w:numPr>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《初验报告》；</w:t>
      </w:r>
    </w:p>
    <w:p w14:paraId="2883411F">
      <w:pPr>
        <w:widowControl w:val="0"/>
        <w:numPr>
          <w:ilvl w:val="0"/>
          <w:numId w:val="0"/>
        </w:numPr>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b、符合甲方财务要求开具的合法正规的增值税普通发票；</w:t>
      </w:r>
    </w:p>
    <w:p w14:paraId="1798406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c、《</w:t>
      </w:r>
      <w:r>
        <w:rPr>
          <w:rFonts w:hint="eastAsia" w:ascii="宋体" w:hAnsi="宋体" w:cs="宋体"/>
          <w:color w:val="000000"/>
          <w:sz w:val="21"/>
          <w:szCs w:val="21"/>
          <w:lang w:val="en-US" w:eastAsia="zh-CN"/>
        </w:rPr>
        <w:t>项目验收报告</w:t>
      </w:r>
      <w:r>
        <w:rPr>
          <w:rFonts w:hint="eastAsia" w:ascii="宋体" w:hAnsi="宋体" w:cs="宋体"/>
          <w:color w:val="000000"/>
          <w:sz w:val="21"/>
          <w:szCs w:val="21"/>
          <w:lang w:val="zh-CN"/>
        </w:rPr>
        <w:t>》；</w:t>
      </w:r>
    </w:p>
    <w:p w14:paraId="01684C84">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d、</w:t>
      </w:r>
      <w:r>
        <w:rPr>
          <w:rFonts w:hint="eastAsia" w:ascii="宋体" w:hAnsi="宋体" w:cs="宋体"/>
          <w:color w:val="000000"/>
          <w:sz w:val="21"/>
          <w:szCs w:val="21"/>
          <w:lang w:val="en-US" w:eastAsia="zh-CN"/>
        </w:rPr>
        <w:t>其他（若有）</w:t>
      </w:r>
      <w:r>
        <w:rPr>
          <w:rFonts w:hint="eastAsia" w:ascii="宋体" w:hAnsi="宋体" w:cs="宋体"/>
          <w:color w:val="000000"/>
          <w:sz w:val="21"/>
          <w:szCs w:val="21"/>
          <w:lang w:val="zh-CN"/>
        </w:rPr>
        <w:t>。</w:t>
      </w:r>
    </w:p>
    <w:p w14:paraId="1362C102">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3、支付方式：银行转账等。</w:t>
      </w:r>
    </w:p>
    <w:p w14:paraId="585F7E14">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四、</w:t>
      </w:r>
      <w:r>
        <w:rPr>
          <w:rFonts w:hint="eastAsia" w:ascii="宋体" w:hAnsi="宋体" w:cs="宋体"/>
          <w:b/>
          <w:bCs/>
          <w:color w:val="000000"/>
          <w:kern w:val="0"/>
          <w:szCs w:val="21"/>
          <w:lang w:val="zh-CN"/>
        </w:rPr>
        <w:t>双方权利与义务</w:t>
      </w:r>
    </w:p>
    <w:p w14:paraId="61ECF3C3">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lang w:val="zh-CN"/>
        </w:rPr>
        <w:t>1、</w:t>
      </w:r>
      <w:r>
        <w:rPr>
          <w:rFonts w:hint="eastAsia" w:ascii="宋体" w:hAnsi="宋体" w:cs="宋体"/>
          <w:color w:val="000000"/>
          <w:sz w:val="21"/>
          <w:szCs w:val="21"/>
        </w:rPr>
        <w:t>甲方权利与义务</w:t>
      </w:r>
    </w:p>
    <w:p w14:paraId="68A2B27E">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1.1 负责项目实施工作的计划与组织，并指定专人组织项目实施，甲方参与项目实施人员应该熟悉本院信息管理及相关基础管理工作；</w:t>
      </w:r>
    </w:p>
    <w:p w14:paraId="4F76AE41">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w:t>
      </w:r>
      <w:r>
        <w:rPr>
          <w:rFonts w:hint="eastAsia" w:ascii="宋体" w:hAnsi="宋体" w:cs="宋体"/>
          <w:color w:val="000000"/>
          <w:sz w:val="21"/>
          <w:szCs w:val="21"/>
          <w:lang w:val="en-US" w:eastAsia="zh-CN"/>
        </w:rPr>
        <w:t>2</w:t>
      </w:r>
      <w:r>
        <w:rPr>
          <w:rFonts w:hint="eastAsia" w:ascii="宋体" w:hAnsi="宋体" w:cs="宋体"/>
          <w:color w:val="000000"/>
          <w:sz w:val="21"/>
          <w:szCs w:val="21"/>
        </w:rPr>
        <w:t xml:space="preserve"> 项目实施过程中，甲方负责相关职能部门的沟通与协调，根据项目实施计划，督促检查各职能部门基础工作的完善和基础数据的准备；</w:t>
      </w:r>
    </w:p>
    <w:p w14:paraId="7F71B050">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w:t>
      </w:r>
      <w:r>
        <w:rPr>
          <w:rFonts w:hint="eastAsia" w:ascii="宋体" w:hAnsi="宋体" w:cs="宋体"/>
          <w:color w:val="000000"/>
          <w:sz w:val="21"/>
          <w:szCs w:val="21"/>
          <w:lang w:val="en-US" w:eastAsia="zh-CN"/>
        </w:rPr>
        <w:t>3</w:t>
      </w:r>
      <w:r>
        <w:rPr>
          <w:rFonts w:hint="eastAsia" w:ascii="宋体" w:hAnsi="宋体" w:cs="宋体"/>
          <w:color w:val="000000"/>
          <w:sz w:val="21"/>
          <w:szCs w:val="21"/>
        </w:rPr>
        <w:t xml:space="preserve"> 负责项目实施的场地安排、硬件网络等设施准备、数据提供、数据录入、调试配全，按实施进度组织项目验收；</w:t>
      </w:r>
    </w:p>
    <w:p w14:paraId="256FAF86">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w:t>
      </w:r>
      <w:r>
        <w:rPr>
          <w:rFonts w:hint="eastAsia" w:ascii="宋体" w:hAnsi="宋体" w:cs="宋体"/>
          <w:color w:val="000000"/>
          <w:sz w:val="21"/>
          <w:szCs w:val="21"/>
          <w:lang w:val="en-US" w:eastAsia="zh-CN"/>
        </w:rPr>
        <w:t>4</w:t>
      </w:r>
      <w:r>
        <w:rPr>
          <w:rFonts w:hint="eastAsia" w:ascii="宋体" w:hAnsi="宋体" w:cs="宋体"/>
          <w:color w:val="000000"/>
          <w:sz w:val="21"/>
          <w:szCs w:val="21"/>
        </w:rPr>
        <w:t xml:space="preserve"> 甲方负责配合乙方的业务数据集成（接口）开发，提供技术支持与相关咨询；</w:t>
      </w:r>
    </w:p>
    <w:p w14:paraId="50C551DF">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w:t>
      </w:r>
      <w:r>
        <w:rPr>
          <w:rFonts w:hint="eastAsia" w:ascii="宋体" w:hAnsi="宋体" w:cs="宋体"/>
          <w:color w:val="000000"/>
          <w:sz w:val="21"/>
          <w:szCs w:val="21"/>
          <w:lang w:val="en-US" w:eastAsia="zh-CN"/>
        </w:rPr>
        <w:t>5</w:t>
      </w:r>
      <w:r>
        <w:rPr>
          <w:rFonts w:hint="eastAsia" w:ascii="宋体" w:hAnsi="宋体" w:cs="宋体"/>
          <w:color w:val="000000"/>
          <w:sz w:val="21"/>
          <w:szCs w:val="21"/>
        </w:rPr>
        <w:t xml:space="preserve"> 接受乙方的技术指导和培训；</w:t>
      </w:r>
    </w:p>
    <w:p w14:paraId="13B716A2">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1.</w:t>
      </w:r>
      <w:r>
        <w:rPr>
          <w:rFonts w:hint="eastAsia" w:ascii="宋体" w:hAnsi="宋体" w:cs="宋体"/>
          <w:color w:val="000000"/>
          <w:sz w:val="21"/>
          <w:szCs w:val="21"/>
          <w:lang w:val="en-US" w:eastAsia="zh-CN"/>
        </w:rPr>
        <w:t>6</w:t>
      </w:r>
      <w:r>
        <w:rPr>
          <w:rFonts w:hint="eastAsia" w:ascii="宋体" w:hAnsi="宋体" w:cs="宋体"/>
          <w:color w:val="000000"/>
          <w:sz w:val="21"/>
          <w:szCs w:val="21"/>
        </w:rPr>
        <w:t xml:space="preserve"> 随时了解系统运行情况及系统后台运行记录。</w:t>
      </w:r>
    </w:p>
    <w:p w14:paraId="74C39BB3">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w:t>
      </w:r>
      <w:r>
        <w:rPr>
          <w:rFonts w:hint="eastAsia" w:ascii="宋体" w:hAnsi="宋体" w:cs="宋体"/>
          <w:color w:val="000000"/>
          <w:sz w:val="21"/>
          <w:szCs w:val="21"/>
          <w:lang w:val="zh-CN"/>
        </w:rPr>
        <w:t>、</w:t>
      </w:r>
      <w:r>
        <w:rPr>
          <w:rFonts w:hint="eastAsia" w:ascii="宋体" w:hAnsi="宋体" w:cs="宋体"/>
          <w:color w:val="000000"/>
          <w:sz w:val="21"/>
          <w:szCs w:val="21"/>
        </w:rPr>
        <w:t>乙方权利与义务</w:t>
      </w:r>
    </w:p>
    <w:p w14:paraId="2A46C6C3">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2.1 乙方提供合同约定的合格的软件产品并应符合国家有关法律、法规、制度、规范；</w:t>
      </w:r>
    </w:p>
    <w:p w14:paraId="1E6687BA">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2.2 乙方成立专业项目组，指定专人负责项目各环节的实施和服务；</w:t>
      </w:r>
    </w:p>
    <w:p w14:paraId="17B405ED">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2.3 乙方应按照双方确认的项目实施计划组织项目实施，并根据不同实施阶段，对项目实施计划进行细化、补充和修改；</w:t>
      </w:r>
    </w:p>
    <w:p w14:paraId="2E303A4A">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2.4 乙方应对甲方指定的系统管理员进行专门培训，内容包括系统维护、系统安全等；</w:t>
      </w:r>
    </w:p>
    <w:p w14:paraId="4F1EAC18">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2.5 乙方所派人员应严格服从甲方项目组的管理及相关规章制度，乙方所派人员应按时完成甲方项目组所安排的任务；乙方所派人员保证不得泄露相关项目信息，项目经理及其项目团队不得出现无故旷工、缺席、迟到现象；</w:t>
      </w:r>
    </w:p>
    <w:p w14:paraId="03DC75EC">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rPr>
        <w:t>2.6 乙方所派人员具有履行服务必要的资质、专业技术、资源、许可、准许和授权，并且在履行服务的整个过程中保持其有效；</w:t>
      </w:r>
    </w:p>
    <w:p w14:paraId="18A06C6B">
      <w:pPr>
        <w:widowControl w:val="0"/>
        <w:spacing w:line="360" w:lineRule="auto"/>
        <w:ind w:firstLine="420" w:firstLineChars="200"/>
        <w:rPr>
          <w:rFonts w:hint="eastAsia" w:ascii="宋体" w:hAnsi="宋体" w:cs="宋体"/>
          <w:sz w:val="21"/>
          <w:szCs w:val="21"/>
        </w:rPr>
      </w:pPr>
      <w:r>
        <w:rPr>
          <w:rFonts w:hint="eastAsia" w:ascii="宋体" w:hAnsi="宋体" w:cs="宋体"/>
          <w:sz w:val="21"/>
          <w:szCs w:val="21"/>
        </w:rPr>
        <w:t>2.7 乙方入甲方施工现场的人员信息详见附件，项目人员的身份信息乙方应当提前5日向甲方书面报备。</w:t>
      </w:r>
    </w:p>
    <w:p w14:paraId="5FD79219">
      <w:pPr>
        <w:widowControl w:val="0"/>
        <w:spacing w:line="360" w:lineRule="auto"/>
        <w:ind w:firstLine="420" w:firstLineChars="200"/>
        <w:rPr>
          <w:rFonts w:hint="eastAsia" w:ascii="宋体" w:hAnsi="宋体" w:cs="宋体"/>
          <w:sz w:val="21"/>
          <w:szCs w:val="21"/>
          <w:lang w:val="zh-CN"/>
        </w:rPr>
      </w:pPr>
      <w:r>
        <w:rPr>
          <w:rFonts w:hint="eastAsia" w:ascii="宋体" w:hAnsi="宋体" w:cs="宋体"/>
          <w:sz w:val="21"/>
          <w:szCs w:val="21"/>
        </w:rPr>
        <w:t>2.8 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631E9F6E">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五、</w:t>
      </w:r>
      <w:r>
        <w:rPr>
          <w:rFonts w:hint="eastAsia" w:ascii="宋体" w:hAnsi="宋体" w:cs="宋体"/>
          <w:b/>
          <w:bCs/>
          <w:color w:val="000000"/>
          <w:kern w:val="0"/>
          <w:szCs w:val="21"/>
          <w:lang w:val="zh-CN"/>
        </w:rPr>
        <w:t>知识产权及保密义务</w:t>
      </w:r>
    </w:p>
    <w:p w14:paraId="4BA4E51F">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双方同意：在合同履行期内及合同履行终止后十年内，对本合同项目内容及双方相关资料包括但不限于各类数据、检测报告、价格、商业信息均予以保密，除非保密信息已通过正当途径为公众所知，或披露方事先书面授权披露，一方未经另一方事先的书面许可，不得向任何第三方披露，也不得将保密信息用于与本合同条款不相符合的任何目的。</w:t>
      </w:r>
    </w:p>
    <w:p w14:paraId="5389D583">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2、各方仅向因职责所需而需要了解上述保密信息的工作人员披露保密信息，且该工作人员经双方协商授权确定，并应采取所有合理的防范措施防止不经授权的披露。</w:t>
      </w:r>
    </w:p>
    <w:p w14:paraId="3EA76506">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3、双方保证，如相关信息涉及患者的个人信息的，应当严格遵守保密义务及《中华人民共和国个人信息保护法》等相关法律法规。</w:t>
      </w:r>
    </w:p>
    <w:p w14:paraId="2E327F19">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六、</w:t>
      </w:r>
      <w:r>
        <w:rPr>
          <w:rFonts w:hint="eastAsia" w:ascii="宋体" w:hAnsi="宋体" w:cs="宋体"/>
          <w:b/>
          <w:bCs/>
          <w:color w:val="000000"/>
          <w:kern w:val="0"/>
          <w:szCs w:val="21"/>
          <w:lang w:val="zh-CN"/>
        </w:rPr>
        <w:t>采购项目的验收</w:t>
      </w:r>
    </w:p>
    <w:p w14:paraId="01A1AB2A">
      <w:pPr>
        <w:widowControl w:val="0"/>
        <w:spacing w:line="360" w:lineRule="auto"/>
        <w:ind w:firstLine="420" w:firstLineChars="200"/>
        <w:rPr>
          <w:rFonts w:hint="default" w:ascii="宋体" w:hAnsi="宋体" w:eastAsia="宋体" w:cs="宋体"/>
          <w:color w:val="000000"/>
          <w:sz w:val="21"/>
          <w:szCs w:val="21"/>
          <w:lang w:val="en-US" w:eastAsia="zh-CN"/>
        </w:rPr>
      </w:pPr>
      <w:r>
        <w:rPr>
          <w:rFonts w:hint="eastAsia" w:ascii="宋体" w:hAnsi="宋体" w:cs="宋体"/>
          <w:color w:val="000000"/>
          <w:sz w:val="21"/>
          <w:szCs w:val="21"/>
        </w:rPr>
        <w:t>1、</w:t>
      </w:r>
      <w:r>
        <w:rPr>
          <w:rFonts w:hint="eastAsia" w:ascii="宋体" w:hAnsi="宋体" w:cs="宋体"/>
          <w:color w:val="000000"/>
          <w:sz w:val="21"/>
          <w:szCs w:val="21"/>
          <w:highlight w:val="none"/>
          <w:lang w:val="zh-CN"/>
        </w:rPr>
        <w:t>验收时间</w:t>
      </w:r>
      <w:r>
        <w:rPr>
          <w:rFonts w:hint="eastAsia" w:ascii="宋体" w:hAnsi="宋体" w:cs="宋体"/>
          <w:color w:val="000000"/>
          <w:sz w:val="21"/>
          <w:szCs w:val="21"/>
          <w:lang w:val="zh-CN"/>
        </w:rPr>
        <w:t>：系统安装调试完成，并投入试运行</w:t>
      </w:r>
      <w:r>
        <w:rPr>
          <w:rFonts w:hint="eastAsia" w:ascii="宋体" w:hAnsi="宋体" w:cs="宋体"/>
          <w:color w:val="000000"/>
          <w:sz w:val="21"/>
          <w:szCs w:val="21"/>
          <w:lang w:val="en-US" w:eastAsia="zh-CN"/>
        </w:rPr>
        <w:t>1个月后，30天内组织验收</w:t>
      </w:r>
      <w:r>
        <w:rPr>
          <w:rFonts w:hint="eastAsia" w:ascii="宋体" w:hAnsi="宋体" w:cs="宋体"/>
          <w:color w:val="000000"/>
          <w:sz w:val="21"/>
          <w:szCs w:val="21"/>
          <w:lang w:val="zh-CN"/>
        </w:rPr>
        <w:t>。</w:t>
      </w:r>
      <w:r>
        <w:rPr>
          <w:rFonts w:hint="eastAsia" w:ascii="宋体" w:hAnsi="宋体" w:cs="宋体"/>
          <w:color w:val="000000"/>
          <w:sz w:val="21"/>
          <w:szCs w:val="21"/>
          <w:lang w:val="en-US" w:eastAsia="zh-CN"/>
        </w:rPr>
        <w:t>如有</w:t>
      </w:r>
      <w:r>
        <w:rPr>
          <w:rFonts w:hint="eastAsia" w:ascii="宋体" w:hAnsi="宋体" w:cs="宋体"/>
          <w:color w:val="000000"/>
          <w:sz w:val="21"/>
          <w:szCs w:val="21"/>
          <w:lang w:val="zh-CN"/>
        </w:rPr>
        <w:t>特殊情况需延长的，双方应书面特别约定。</w:t>
      </w:r>
    </w:p>
    <w:p w14:paraId="1BACF1EB">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2、验收标准：</w:t>
      </w:r>
    </w:p>
    <w:p w14:paraId="7E39587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乙方应向甲方提供符合合同约定的各项服务和交付物。如合同未约定质量标准的，应按照强制性国家标准履行；没有强制性国家标准的,按照推荐性国家标准履行；没有推荐性国家标准的，按照行业标准履行；没有国家标准、行业标准的，按照通常标准或者符合合同目的的特定标准履行；甲方及相关部门将根据采购文件、乙方的响应文件、双方签订的合同文件及其附件到场进行验收。</w:t>
      </w:r>
    </w:p>
    <w:p w14:paraId="7624EA3C">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（2）乙方应保证按采购文件、乙方的响应文件、乙方作出的承诺以及本合同的约定提供合格的标的物及服务，并保证所提供的标的物及服务等完全符合采购文件要求。</w:t>
      </w:r>
    </w:p>
    <w:p w14:paraId="40526868">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因乙方提供的标的物及服务等不合格导致的质量问题或引起的知识产权纠纷等，</w:t>
      </w:r>
      <w:r>
        <w:rPr>
          <w:rFonts w:hint="eastAsia" w:ascii="宋体" w:hAnsi="宋体" w:cs="宋体"/>
          <w:color w:val="000000"/>
          <w:sz w:val="21"/>
          <w:szCs w:val="21"/>
        </w:rPr>
        <w:t>甲</w:t>
      </w:r>
      <w:r>
        <w:rPr>
          <w:rFonts w:hint="eastAsia" w:ascii="宋体" w:hAnsi="宋体" w:cs="宋体"/>
          <w:color w:val="000000"/>
          <w:sz w:val="21"/>
          <w:szCs w:val="21"/>
          <w:lang w:val="zh-CN"/>
        </w:rPr>
        <w:t>方有权退货或责成乙方解决并整改到位，由此产生的一切费用由乙方自行承担。若给甲方造成损失的，还应按照本合同第八条约定承担相应的违约责任。</w:t>
      </w:r>
    </w:p>
    <w:p w14:paraId="0010CE4C">
      <w:pPr>
        <w:widowControl w:val="0"/>
        <w:spacing w:line="360" w:lineRule="auto"/>
        <w:ind w:firstLine="420" w:firstLineChars="200"/>
        <w:rPr>
          <w:rFonts w:hint="eastAsia" w:ascii="宋体" w:hAnsi="宋体" w:eastAsia="宋体" w:cs="宋体"/>
          <w:color w:val="000000"/>
          <w:sz w:val="21"/>
          <w:szCs w:val="21"/>
          <w:lang w:val="zh-CN"/>
        </w:rPr>
      </w:pPr>
      <w:r>
        <w:rPr>
          <w:rFonts w:hint="eastAsia" w:ascii="宋体" w:hAnsi="宋体" w:eastAsia="宋体" w:cs="宋体"/>
          <w:color w:val="000000"/>
          <w:sz w:val="21"/>
          <w:szCs w:val="21"/>
          <w:lang w:val="zh-CN"/>
        </w:rPr>
        <w:t>（3）乙方应对软件质量负责，应保证提供有经验的工程师，并保证甲方在培训后能够独立地完成软件安装、维护和使用。</w:t>
      </w:r>
    </w:p>
    <w:p w14:paraId="574B067B">
      <w:pPr>
        <w:spacing w:line="360" w:lineRule="auto"/>
        <w:ind w:firstLine="420" w:firstLineChars="200"/>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zh-CN"/>
        </w:rPr>
        <w:t>（</w:t>
      </w:r>
      <w:r>
        <w:rPr>
          <w:rFonts w:hint="eastAsia" w:ascii="宋体" w:hAnsi="宋体" w:eastAsia="宋体" w:cs="宋体"/>
          <w:color w:val="000000"/>
          <w:sz w:val="21"/>
          <w:szCs w:val="21"/>
          <w:lang w:val="zh-CN" w:eastAsia="zh-CN"/>
        </w:rPr>
        <w:t>4</w:t>
      </w:r>
      <w:r>
        <w:rPr>
          <w:rFonts w:hint="eastAsia" w:ascii="宋体" w:hAnsi="宋体" w:eastAsia="宋体" w:cs="宋体"/>
          <w:color w:val="000000"/>
          <w:sz w:val="21"/>
          <w:szCs w:val="21"/>
          <w:lang w:val="zh-CN"/>
        </w:rPr>
        <w:t>）</w:t>
      </w:r>
      <w:r>
        <w:rPr>
          <w:rFonts w:hint="eastAsia" w:ascii="宋体" w:hAnsi="宋体" w:eastAsia="宋体" w:cs="宋体"/>
          <w:color w:val="000000"/>
          <w:sz w:val="21"/>
          <w:szCs w:val="21"/>
          <w:lang w:val="zh-CN" w:eastAsia="zh-CN"/>
        </w:rPr>
        <w:t>乙方承诺，软件质保期内，甲方新签订的</w:t>
      </w:r>
      <w:r>
        <w:rPr>
          <w:rFonts w:hint="eastAsia" w:ascii="宋体" w:hAnsi="宋体" w:eastAsia="宋体" w:cs="宋体"/>
          <w:color w:val="000000"/>
          <w:sz w:val="21"/>
          <w:szCs w:val="21"/>
          <w:lang w:val="en-US" w:eastAsia="zh-CN"/>
        </w:rPr>
        <w:t>下级</w:t>
      </w:r>
      <w:r>
        <w:rPr>
          <w:rFonts w:hint="eastAsia" w:ascii="宋体" w:hAnsi="宋体" w:eastAsia="宋体" w:cs="宋体"/>
          <w:color w:val="000000"/>
          <w:sz w:val="21"/>
          <w:szCs w:val="21"/>
          <w:lang w:val="zh-CN" w:eastAsia="zh-CN"/>
        </w:rPr>
        <w:t>合作医院，乙方配合甲方</w:t>
      </w:r>
      <w:r>
        <w:rPr>
          <w:rFonts w:hint="eastAsia" w:ascii="宋体" w:hAnsi="宋体" w:eastAsia="宋体" w:cs="宋体"/>
          <w:color w:val="000000"/>
          <w:sz w:val="21"/>
          <w:szCs w:val="21"/>
          <w:lang w:val="en-US" w:eastAsia="zh-CN"/>
        </w:rPr>
        <w:t>完成所有</w:t>
      </w:r>
      <w:r>
        <w:rPr>
          <w:rFonts w:hint="eastAsia" w:ascii="宋体" w:hAnsi="宋体" w:eastAsia="宋体" w:cs="宋体"/>
          <w:color w:val="000000"/>
          <w:sz w:val="21"/>
          <w:szCs w:val="21"/>
          <w:lang w:val="zh-CN" w:eastAsia="zh-CN"/>
        </w:rPr>
        <w:t>下级医院的软件部署。</w:t>
      </w:r>
      <w:r>
        <w:rPr>
          <w:rFonts w:hint="eastAsia" w:ascii="宋体" w:hAnsi="宋体" w:eastAsia="宋体" w:cs="宋体"/>
          <w:color w:val="000000"/>
          <w:sz w:val="21"/>
          <w:szCs w:val="21"/>
          <w:lang w:val="en-US" w:eastAsia="zh-CN"/>
        </w:rPr>
        <w:t>相关接口费用由乙方承担。</w:t>
      </w:r>
    </w:p>
    <w:p w14:paraId="57ACBDCC">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七、</w:t>
      </w:r>
      <w:r>
        <w:rPr>
          <w:rFonts w:hint="eastAsia" w:ascii="宋体" w:hAnsi="宋体" w:cs="宋体"/>
          <w:b/>
          <w:bCs/>
          <w:color w:val="000000"/>
          <w:kern w:val="0"/>
          <w:szCs w:val="21"/>
          <w:lang w:val="zh-CN"/>
        </w:rPr>
        <w:t>对采购项目的验货物提出异议的时间和办法</w:t>
      </w:r>
    </w:p>
    <w:p w14:paraId="277EA6E2">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1、甲方在验收过程中，应当于双方约定的检验期间内将标的物的质量不符合约定的情况及处理方式以书面方式通知乙方。</w:t>
      </w:r>
    </w:p>
    <w:p w14:paraId="53041409">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2、如果甲方在验收期满后既不出具验收合格证明又未提出书面异议的视为乙方所交付标的物符合合同规定。</w:t>
      </w:r>
    </w:p>
    <w:p w14:paraId="3548BEDF">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3、乙方应在收到甲方书面异议后七天内负责解决问题，否则将视为默认甲方提出的异议和处理意见。</w:t>
      </w:r>
    </w:p>
    <w:p w14:paraId="0C5F8D1C">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八、</w:t>
      </w:r>
      <w:r>
        <w:rPr>
          <w:rFonts w:hint="eastAsia" w:ascii="宋体" w:hAnsi="宋体" w:cs="宋体"/>
          <w:b/>
          <w:bCs/>
          <w:color w:val="000000"/>
          <w:kern w:val="0"/>
          <w:szCs w:val="21"/>
          <w:lang w:val="zh-CN"/>
        </w:rPr>
        <w:t>违约责任</w:t>
      </w:r>
    </w:p>
    <w:p w14:paraId="72CE79E4">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1、甲方违约责任及违约金支付：</w:t>
      </w:r>
    </w:p>
    <w:p w14:paraId="64B1580A">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1.1在合同生效后，甲方无故要求解除合同的，应向乙方偿付合同总价款5%的违约金，违约金不足以补偿损失的，乙方有权要求甲方补足。</w:t>
      </w:r>
    </w:p>
    <w:p w14:paraId="0ECDEFB7">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1.2甲方逾期付款的应按照逾期付款金额的每天万分之四支付逾期付款违约金，总额不超过合同总价款的5%。</w:t>
      </w:r>
    </w:p>
    <w:p w14:paraId="1BA64482">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1.3甲方违反合同规定，拒绝接受乙方交付的合格标的物，应当承担乙方由此造成的损失。</w:t>
      </w:r>
    </w:p>
    <w:p w14:paraId="3E664B6E">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2、乙方违约责任及违约金支付：</w:t>
      </w:r>
    </w:p>
    <w:p w14:paraId="7C0AC8B8">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2.1在合同生效后，乙方无故要求解除合同的，应向甲方偿付合同总价款5%的违约金，违约金不足以补偿损失的，甲方有权要求乙方补足。</w:t>
      </w:r>
    </w:p>
    <w:p w14:paraId="645AC742">
      <w:pPr>
        <w:widowControl w:val="0"/>
        <w:spacing w:line="360" w:lineRule="auto"/>
        <w:ind w:firstLine="420" w:firstLineChars="200"/>
        <w:rPr>
          <w:rFonts w:hint="eastAsia" w:ascii="宋体" w:hAnsi="宋体" w:cs="宋体"/>
          <w:color w:val="000000"/>
          <w:sz w:val="21"/>
          <w:szCs w:val="21"/>
        </w:rPr>
      </w:pPr>
      <w:r>
        <w:rPr>
          <w:rFonts w:hint="eastAsia" w:ascii="宋体" w:hAnsi="宋体" w:cs="宋体"/>
          <w:color w:val="000000"/>
          <w:sz w:val="21"/>
          <w:szCs w:val="21"/>
          <w:lang w:val="zh-CN"/>
        </w:rPr>
        <w:t>2.</w:t>
      </w:r>
      <w:r>
        <w:rPr>
          <w:rFonts w:hint="eastAsia" w:ascii="宋体" w:hAnsi="宋体" w:cs="宋体"/>
          <w:color w:val="000000"/>
          <w:sz w:val="21"/>
          <w:szCs w:val="21"/>
        </w:rPr>
        <w:t>2 乙方不能按时交付技术成果或提供服务的，每逾期一日应向甲方支付合同总额的1%，如违约金不足以弥补给甲方造成的损失，甲方有权要求乙方全额补足。</w:t>
      </w:r>
    </w:p>
    <w:p w14:paraId="21FAC7DC">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2.3 如乙方未能按照本合同约定提供质保售后服务的，乙方应承担相当于本合同总价款15%的违约金，如违约金不足以弥补给甲方造成的损失，甲方有权要求乙方全额补足。</w:t>
      </w:r>
    </w:p>
    <w:p w14:paraId="1226BE05">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w:t>
      </w:r>
      <w:r>
        <w:rPr>
          <w:rFonts w:hint="eastAsia" w:ascii="宋体" w:hAnsi="宋体" w:cs="宋体"/>
          <w:color w:val="000000"/>
          <w:sz w:val="21"/>
          <w:szCs w:val="21"/>
        </w:rPr>
        <w:t>4未经甲方事先的书面同意，</w:t>
      </w:r>
      <w:r>
        <w:rPr>
          <w:rFonts w:hint="eastAsia" w:ascii="宋体" w:hAnsi="宋体" w:cs="宋体"/>
          <w:color w:val="000000"/>
          <w:sz w:val="21"/>
          <w:szCs w:val="21"/>
          <w:lang w:val="zh-CN"/>
        </w:rPr>
        <w:t>乙方不得将本项目自行分包，否则，甲方有权立即解除合同。</w:t>
      </w:r>
      <w:r>
        <w:rPr>
          <w:rFonts w:hint="eastAsia" w:ascii="宋体" w:hAnsi="宋体" w:cs="宋体"/>
          <w:color w:val="000000"/>
          <w:sz w:val="21"/>
          <w:szCs w:val="21"/>
        </w:rPr>
        <w:t>乙方应承担相当于本合同总价款15%的违约金，如违约金不足以弥补给甲方造成的损失，甲方有权要求乙方全额补足。</w:t>
      </w:r>
    </w:p>
    <w:p w14:paraId="69D973EB">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w:t>
      </w:r>
      <w:r>
        <w:rPr>
          <w:rFonts w:hint="eastAsia" w:ascii="宋体" w:hAnsi="宋体" w:cs="宋体"/>
          <w:color w:val="000000"/>
          <w:sz w:val="21"/>
          <w:szCs w:val="21"/>
        </w:rPr>
        <w:t>5</w:t>
      </w:r>
      <w:r>
        <w:rPr>
          <w:rFonts w:hint="eastAsia" w:ascii="宋体" w:hAnsi="宋体" w:cs="宋体"/>
          <w:color w:val="000000"/>
          <w:sz w:val="21"/>
          <w:szCs w:val="21"/>
          <w:lang w:val="zh-CN"/>
        </w:rPr>
        <w:t>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5976657D">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sz w:val="21"/>
          <w:szCs w:val="21"/>
          <w:lang w:val="zh-CN"/>
        </w:rPr>
        <w:t xml:space="preserve">3. </w:t>
      </w:r>
      <w:r>
        <w:rPr>
          <w:rFonts w:hint="eastAsia" w:ascii="宋体" w:hAnsi="宋体" w:cs="宋体"/>
          <w:color w:val="000000"/>
          <w:sz w:val="21"/>
          <w:szCs w:val="21"/>
          <w:lang w:val="zh-CN"/>
        </w:rPr>
        <w:t>本合同生效后，任何一方不履行或不完全履行本合同约定义务的，即构成违约。守约方</w:t>
      </w:r>
      <w:bookmarkStart w:id="0" w:name="_Hlk155620639"/>
      <w:r>
        <w:rPr>
          <w:rFonts w:hint="eastAsia" w:ascii="宋体" w:hAnsi="宋体" w:cs="宋体"/>
          <w:color w:val="000000"/>
          <w:sz w:val="21"/>
          <w:szCs w:val="21"/>
          <w:lang w:val="zh-CN"/>
        </w:rPr>
        <w:t>有权要求违约方承担违约金，若实际损失超过违约金的应按照实际损失承担赔偿责任，损失赔偿范围包括但不限于守约方的直接损失、间接损失及维权支出的各项费用（诉讼费、律师费、鉴定费、调查费和保全费等）。</w:t>
      </w:r>
      <w:bookmarkEnd w:id="0"/>
    </w:p>
    <w:p w14:paraId="47EAD514">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九、</w:t>
      </w:r>
      <w:r>
        <w:rPr>
          <w:rFonts w:hint="eastAsia" w:ascii="宋体" w:hAnsi="宋体" w:cs="宋体"/>
          <w:b/>
          <w:bCs/>
          <w:color w:val="000000"/>
          <w:kern w:val="0"/>
          <w:szCs w:val="21"/>
          <w:lang w:val="zh-CN"/>
        </w:rPr>
        <w:t>不可抗力</w:t>
      </w:r>
    </w:p>
    <w:p w14:paraId="4183ECC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1、因不可抗力不能履行合同的，根据不可抗力的影响，部分或者全部免除责任。但合同一方延迟履行后发生不可抗力的，不能免除责任。</w:t>
      </w:r>
    </w:p>
    <w:p w14:paraId="3FA9582B">
      <w:pPr>
        <w:widowControl w:val="0"/>
        <w:spacing w:line="360" w:lineRule="auto"/>
        <w:ind w:firstLine="420" w:firstLineChars="200"/>
        <w:rPr>
          <w:rFonts w:hint="eastAsia" w:ascii="宋体" w:hAnsi="宋体" w:cs="宋体"/>
          <w:color w:val="000000"/>
          <w:sz w:val="21"/>
          <w:szCs w:val="21"/>
          <w:lang w:bidi="en-US"/>
        </w:rPr>
      </w:pPr>
      <w:r>
        <w:rPr>
          <w:rFonts w:hint="eastAsia" w:ascii="宋体" w:hAnsi="宋体" w:cs="宋体"/>
          <w:color w:val="000000"/>
          <w:sz w:val="21"/>
          <w:szCs w:val="21"/>
          <w:lang w:val="zh-CN"/>
        </w:rPr>
        <w:t>2、合同一方因不可抗力不能履行合同的，应当及时通知对方，以减轻可能给对方造成的损失，并应当在合理期限内提供证明。</w:t>
      </w:r>
    </w:p>
    <w:p w14:paraId="3167816D">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w:t>
      </w:r>
      <w:r>
        <w:rPr>
          <w:rFonts w:hint="eastAsia" w:ascii="宋体" w:hAnsi="宋体" w:cs="宋体"/>
          <w:b/>
          <w:bCs/>
          <w:color w:val="000000"/>
          <w:kern w:val="0"/>
          <w:szCs w:val="21"/>
          <w:lang w:val="zh-CN"/>
        </w:rPr>
        <w:t>合同的修改</w:t>
      </w:r>
    </w:p>
    <w:p w14:paraId="27F19407">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任何一方，未经另一方书面同意，均不得擅自变更本合同。</w:t>
      </w:r>
    </w:p>
    <w:p w14:paraId="663FE41C">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十一、</w:t>
      </w:r>
      <w:r>
        <w:rPr>
          <w:rFonts w:hint="eastAsia" w:ascii="宋体" w:hAnsi="宋体" w:cs="宋体"/>
          <w:b/>
          <w:bCs/>
          <w:color w:val="000000"/>
          <w:kern w:val="0"/>
          <w:szCs w:val="21"/>
          <w:lang w:val="zh-CN"/>
        </w:rPr>
        <w:t>转让和分包</w:t>
      </w:r>
    </w:p>
    <w:p w14:paraId="3872F69E">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本合同的部分和全部，未经另一方书面同意，均不得擅自转让。</w:t>
      </w:r>
    </w:p>
    <w:p w14:paraId="498A2ED6">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十二、</w:t>
      </w:r>
      <w:r>
        <w:rPr>
          <w:rFonts w:hint="eastAsia" w:ascii="宋体" w:hAnsi="宋体" w:cs="宋体"/>
          <w:b/>
          <w:bCs/>
          <w:color w:val="000000"/>
          <w:kern w:val="0"/>
          <w:szCs w:val="21"/>
          <w:lang w:val="zh-CN"/>
        </w:rPr>
        <w:t>合同的解除</w:t>
      </w:r>
    </w:p>
    <w:p w14:paraId="0A5CFF15">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1、甲方和乙方协商一致，可以解除合同。</w:t>
      </w:r>
    </w:p>
    <w:p w14:paraId="0A5D488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2、有下列情形之一，合同一方可以解除合同：</w:t>
      </w:r>
    </w:p>
    <w:p w14:paraId="60144B9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2.1因不可抗力致使不能实现合同目的，未受不可抗力影响的一方有权解除合同；</w:t>
      </w:r>
    </w:p>
    <w:p w14:paraId="302BC56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2.2因合同一方违约导致合同不能履行，另一方有权解除合同。</w:t>
      </w:r>
    </w:p>
    <w:p w14:paraId="3C38C37A">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3、有权解除合同的一方，应当在违约事实或不可抗力发生之后三十天内书面通知对方以主张解除合同，合同在书面通知到达对方时解除。</w:t>
      </w:r>
    </w:p>
    <w:p w14:paraId="695E0BC7">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十三、</w:t>
      </w:r>
      <w:r>
        <w:rPr>
          <w:rFonts w:hint="eastAsia" w:ascii="宋体" w:hAnsi="宋体" w:cs="宋体"/>
          <w:b/>
          <w:bCs/>
          <w:color w:val="000000"/>
          <w:kern w:val="0"/>
          <w:szCs w:val="21"/>
          <w:lang w:val="zh-CN"/>
        </w:rPr>
        <w:t>争议解决</w:t>
      </w:r>
    </w:p>
    <w:p w14:paraId="02C6760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若因本合同或与本合同有关的一切事项发生争议，首先由双方友好协商解决。如协商不成的，任何一方均可向甲方所在地的人民法院起诉。败诉方应承担因诉讼而产生的相关费用，包括但不限于诉讼费、胜诉方合理律师费、保全费、鉴定费等。</w:t>
      </w:r>
    </w:p>
    <w:p w14:paraId="1CB9CAF8">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十四、</w:t>
      </w:r>
      <w:r>
        <w:rPr>
          <w:rFonts w:hint="eastAsia" w:ascii="宋体" w:hAnsi="宋体" w:cs="宋体"/>
          <w:b/>
          <w:bCs/>
          <w:color w:val="000000"/>
          <w:kern w:val="0"/>
          <w:szCs w:val="21"/>
          <w:lang w:val="zh-CN"/>
        </w:rPr>
        <w:t>合同生效及其他</w:t>
      </w:r>
    </w:p>
    <w:p w14:paraId="39C6EF4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1、本合同经双方法定（授权）代表人签字（或盖章）并加盖单位公章（或合同章）后生效。</w:t>
      </w:r>
    </w:p>
    <w:p w14:paraId="61F1E6D8">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2、本合同一式</w:t>
      </w:r>
      <w:r>
        <w:rPr>
          <w:rFonts w:hint="eastAsia" w:ascii="宋体" w:hAnsi="宋体" w:cs="宋体"/>
          <w:color w:val="000000"/>
          <w:sz w:val="21"/>
          <w:szCs w:val="21"/>
          <w:u w:val="single"/>
          <w:lang w:val="zh-CN"/>
        </w:rPr>
        <w:t xml:space="preserve"> </w:t>
      </w:r>
      <w:r>
        <w:rPr>
          <w:rFonts w:hint="eastAsia" w:ascii="宋体" w:hAnsi="宋体" w:cs="宋体"/>
          <w:color w:val="000000"/>
          <w:sz w:val="21"/>
          <w:szCs w:val="21"/>
          <w:u w:val="single"/>
          <w:lang w:val="en-US" w:eastAsia="zh-CN"/>
        </w:rPr>
        <w:t>陆</w:t>
      </w:r>
      <w:r>
        <w:rPr>
          <w:rFonts w:hint="eastAsia" w:ascii="宋体" w:hAnsi="宋体" w:cs="宋体"/>
          <w:color w:val="000000"/>
          <w:sz w:val="21"/>
          <w:szCs w:val="21"/>
          <w:u w:val="single"/>
          <w:lang w:val="zh-CN"/>
        </w:rPr>
        <w:t xml:space="preserve"> </w:t>
      </w:r>
      <w:r>
        <w:rPr>
          <w:rFonts w:hint="eastAsia" w:ascii="宋体" w:hAnsi="宋体" w:cs="宋体"/>
          <w:color w:val="000000"/>
          <w:sz w:val="21"/>
          <w:szCs w:val="21"/>
          <w:lang w:val="zh-CN"/>
        </w:rPr>
        <w:t>份，甲方</w:t>
      </w:r>
      <w:r>
        <w:rPr>
          <w:rFonts w:hint="eastAsia" w:ascii="宋体" w:hAnsi="宋体" w:cs="宋体"/>
          <w:color w:val="000000"/>
          <w:sz w:val="21"/>
          <w:szCs w:val="21"/>
          <w:u w:val="single"/>
          <w:lang w:val="zh-CN"/>
        </w:rPr>
        <w:t xml:space="preserve"> </w:t>
      </w:r>
      <w:r>
        <w:rPr>
          <w:rFonts w:hint="eastAsia" w:ascii="宋体" w:hAnsi="宋体" w:cs="宋体"/>
          <w:color w:val="000000"/>
          <w:sz w:val="21"/>
          <w:szCs w:val="21"/>
          <w:u w:val="single"/>
          <w:lang w:val="en-US" w:eastAsia="zh-CN"/>
        </w:rPr>
        <w:t>肆</w:t>
      </w:r>
      <w:r>
        <w:rPr>
          <w:rFonts w:hint="eastAsia" w:ascii="宋体" w:hAnsi="宋体" w:cs="宋体"/>
          <w:color w:val="000000"/>
          <w:sz w:val="21"/>
          <w:szCs w:val="21"/>
          <w:u w:val="single"/>
          <w:lang w:val="zh-CN"/>
        </w:rPr>
        <w:t xml:space="preserve"> </w:t>
      </w:r>
      <w:r>
        <w:rPr>
          <w:rFonts w:hint="eastAsia" w:ascii="宋体" w:hAnsi="宋体" w:cs="宋体"/>
          <w:color w:val="000000"/>
          <w:sz w:val="21"/>
          <w:szCs w:val="21"/>
          <w:lang w:val="zh-CN"/>
        </w:rPr>
        <w:t>份，乙方</w:t>
      </w:r>
      <w:r>
        <w:rPr>
          <w:rFonts w:hint="eastAsia" w:ascii="宋体" w:hAnsi="宋体" w:cs="宋体"/>
          <w:color w:val="000000"/>
          <w:sz w:val="21"/>
          <w:szCs w:val="21"/>
          <w:u w:val="single"/>
          <w:lang w:val="zh-CN"/>
        </w:rPr>
        <w:t xml:space="preserve"> 壹 </w:t>
      </w:r>
      <w:r>
        <w:rPr>
          <w:rFonts w:hint="eastAsia" w:ascii="宋体" w:hAnsi="宋体" w:cs="宋体"/>
          <w:color w:val="000000"/>
          <w:sz w:val="21"/>
          <w:szCs w:val="21"/>
          <w:lang w:val="zh-CN"/>
        </w:rPr>
        <w:t>份，招标代理机构</w:t>
      </w:r>
      <w:r>
        <w:rPr>
          <w:rFonts w:hint="eastAsia" w:ascii="宋体" w:hAnsi="宋体" w:cs="宋体"/>
          <w:color w:val="000000"/>
          <w:sz w:val="21"/>
          <w:szCs w:val="21"/>
          <w:u w:val="single"/>
          <w:lang w:val="zh-CN"/>
        </w:rPr>
        <w:t xml:space="preserve"> 壹 </w:t>
      </w:r>
      <w:r>
        <w:rPr>
          <w:rFonts w:hint="eastAsia" w:ascii="宋体" w:hAnsi="宋体" w:cs="宋体"/>
          <w:color w:val="000000"/>
          <w:sz w:val="21"/>
          <w:szCs w:val="21"/>
          <w:lang w:val="zh-CN"/>
        </w:rPr>
        <w:t>份；具备同等法律效力。</w:t>
      </w:r>
    </w:p>
    <w:p w14:paraId="372C0913">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3、下列文件为本合同不可分割部分（与本合同具有同等法律效力）：</w:t>
      </w:r>
    </w:p>
    <w:p w14:paraId="4DA563B1">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3.1 招投标文件及中标通知书；</w:t>
      </w:r>
    </w:p>
    <w:p w14:paraId="7D04FE80">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 xml:space="preserve">3.2 </w:t>
      </w:r>
      <w:r>
        <w:rPr>
          <w:rFonts w:hint="eastAsia" w:ascii="宋体" w:hAnsi="宋体" w:cs="宋体"/>
          <w:color w:val="000000"/>
          <w:sz w:val="21"/>
          <w:szCs w:val="21"/>
          <w:lang w:val="en-US" w:eastAsia="zh-CN"/>
        </w:rPr>
        <w:t>项目</w:t>
      </w:r>
      <w:r>
        <w:rPr>
          <w:rFonts w:hint="eastAsia" w:ascii="宋体" w:hAnsi="宋体" w:cs="宋体"/>
          <w:color w:val="000000"/>
          <w:sz w:val="21"/>
          <w:szCs w:val="21"/>
          <w:lang w:val="zh-CN"/>
        </w:rPr>
        <w:t>详细参数；</w:t>
      </w:r>
    </w:p>
    <w:p w14:paraId="2458AEEC">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3.3 项目服务人员名单；</w:t>
      </w:r>
    </w:p>
    <w:p w14:paraId="566ACBE2">
      <w:pPr>
        <w:widowControl w:val="0"/>
        <w:spacing w:line="360" w:lineRule="auto"/>
        <w:ind w:firstLine="420" w:firstLineChars="200"/>
        <w:rPr>
          <w:rFonts w:hint="eastAsia" w:ascii="宋体" w:hAnsi="宋体" w:cs="宋体"/>
          <w:color w:val="000000"/>
          <w:sz w:val="21"/>
          <w:szCs w:val="21"/>
          <w:lang w:val="zh-CN"/>
        </w:rPr>
      </w:pPr>
      <w:r>
        <w:rPr>
          <w:rFonts w:hint="eastAsia" w:ascii="宋体" w:hAnsi="宋体" w:cs="宋体"/>
          <w:color w:val="000000"/>
          <w:sz w:val="21"/>
          <w:szCs w:val="21"/>
          <w:lang w:val="zh-CN"/>
        </w:rPr>
        <w:t>3.4 合同其他附件。</w:t>
      </w:r>
    </w:p>
    <w:p w14:paraId="38215397">
      <w:pPr>
        <w:pStyle w:val="40"/>
        <w:numPr>
          <w:ilvl w:val="-1"/>
          <w:numId w:val="0"/>
        </w:numPr>
        <w:spacing w:line="360" w:lineRule="auto"/>
        <w:ind w:left="480" w:leftChars="200" w:firstLine="0" w:firstLineChars="0"/>
        <w:jc w:val="left"/>
        <w:rPr>
          <w:rFonts w:hint="eastAsia" w:ascii="宋体" w:hAnsi="宋体" w:cs="宋体"/>
          <w:b/>
          <w:bCs/>
          <w:color w:val="000000"/>
          <w:kern w:val="0"/>
          <w:szCs w:val="21"/>
          <w:lang w:val="zh-CN"/>
        </w:rPr>
      </w:pPr>
      <w:r>
        <w:rPr>
          <w:rFonts w:hint="eastAsia" w:ascii="宋体" w:hAnsi="宋体" w:cs="宋体"/>
          <w:b/>
          <w:bCs/>
          <w:color w:val="000000"/>
          <w:kern w:val="0"/>
          <w:szCs w:val="21"/>
          <w:lang w:val="en-US" w:eastAsia="zh-CN"/>
        </w:rPr>
        <w:t>十五、</w:t>
      </w:r>
      <w:r>
        <w:rPr>
          <w:rFonts w:hint="eastAsia" w:ascii="宋体" w:hAnsi="宋体" w:cs="宋体"/>
          <w:b/>
          <w:bCs/>
          <w:color w:val="000000"/>
          <w:kern w:val="0"/>
          <w:szCs w:val="21"/>
          <w:lang w:val="zh-CN"/>
        </w:rPr>
        <w:t>未尽事宜</w:t>
      </w:r>
    </w:p>
    <w:p w14:paraId="6FA95EE9">
      <w:pPr>
        <w:keepNext w:val="0"/>
        <w:keepLines w:val="0"/>
        <w:widowControl/>
        <w:suppressLineNumbers w:val="0"/>
        <w:spacing w:before="0" w:beforeAutospacing="0" w:after="0" w:afterAutospacing="0"/>
        <w:ind w:left="0" w:right="0"/>
        <w:jc w:val="center"/>
        <w:rPr>
          <w:rFonts w:hint="eastAsia" w:ascii="宋体" w:hAnsi="宋体" w:cs="宋体"/>
          <w:color w:val="000000"/>
          <w:sz w:val="21"/>
          <w:szCs w:val="21"/>
          <w:lang w:val="zh-CN"/>
        </w:rPr>
      </w:pPr>
      <w:r>
        <w:rPr>
          <w:rFonts w:hint="eastAsia" w:ascii="宋体" w:hAnsi="宋体" w:cs="宋体"/>
          <w:color w:val="000000"/>
          <w:sz w:val="21"/>
          <w:szCs w:val="21"/>
          <w:lang w:val="zh-CN"/>
        </w:rPr>
        <w:t>本合同在执行过程中出现的未尽事宜，双方在不违背本合同和招标文件的原则下协商解决，协商一致后另行订立书面补充协议，作为本合同的附件，与本合同具有同等效力。</w:t>
      </w:r>
    </w:p>
    <w:p w14:paraId="6A0E0E53">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highlight w:val="none"/>
          <w:lang w:val="zh-CN" w:eastAsia="zh-CN"/>
        </w:rPr>
      </w:pPr>
      <w:r>
        <w:rPr>
          <w:rFonts w:hint="eastAsia" w:ascii="宋体" w:hAnsi="宋体" w:eastAsia="宋体" w:cs="宋体"/>
          <w:b/>
          <w:bCs/>
          <w:kern w:val="0"/>
          <w:sz w:val="21"/>
          <w:szCs w:val="21"/>
          <w:highlight w:val="none"/>
          <w:lang w:val="zh-CN" w:eastAsia="zh-CN" w:bidi="ar"/>
        </w:rPr>
        <w:t>【以下无正文】</w:t>
      </w:r>
    </w:p>
    <w:p w14:paraId="757756E3">
      <w:pPr>
        <w:rPr>
          <w:rFonts w:hint="eastAsia" w:eastAsia="宋体"/>
          <w:highlight w:val="none"/>
          <w:lang w:eastAsia="zh-CN"/>
        </w:rPr>
      </w:pPr>
      <w:bookmarkStart w:id="1" w:name="_GoBack"/>
      <w:bookmarkEnd w:id="1"/>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微软雅黑"/>
    <w:panose1 w:val="00000000000000000000"/>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altName w:val="微软雅黑"/>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83444"/>
      <w:docPartObj>
        <w:docPartGallery w:val="autotext"/>
      </w:docPartObj>
    </w:sdtPr>
    <w:sdtContent>
      <w:p w14:paraId="507B28D2">
        <w:pPr>
          <w:pStyle w:val="11"/>
          <w:jc w:val="center"/>
        </w:pPr>
        <w:r>
          <w:fldChar w:fldCharType="begin"/>
        </w:r>
        <w:r>
          <w:instrText xml:space="preserve"> PAGE   \* MERGEFORMAT </w:instrText>
        </w:r>
        <w:r>
          <w:fldChar w:fldCharType="separate"/>
        </w:r>
        <w:r>
          <w:rPr>
            <w:lang w:val="zh-CN"/>
          </w:rPr>
          <w:t>26</w:t>
        </w:r>
        <w:r>
          <w:rPr>
            <w:lang w:val="zh-CN"/>
          </w:rPr>
          <w:fldChar w:fldCharType="end"/>
        </w:r>
      </w:p>
    </w:sdtContent>
  </w:sdt>
  <w:p w14:paraId="30FF3A2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96B6">
    <w:pPr>
      <w:pStyle w:val="12"/>
      <w:jc w:val="right"/>
      <w:rPr>
        <w:rFonts w:hint="eastAsia" w:eastAsia="宋体"/>
        <w:lang w:eastAsia="zh-CN"/>
      </w:rPr>
    </w:pPr>
    <w:r>
      <w:rPr>
        <w:rFonts w:hint="eastAsia"/>
      </w:rPr>
      <w:drawing>
        <wp:anchor distT="0" distB="0" distL="0" distR="0" simplePos="0" relativeHeight="251659264" behindDoc="0" locked="0" layoutInCell="1" allowOverlap="1">
          <wp:simplePos x="0" y="0"/>
          <wp:positionH relativeFrom="column">
            <wp:posOffset>-190500</wp:posOffset>
          </wp:positionH>
          <wp:positionV relativeFrom="paragraph">
            <wp:posOffset>-6985</wp:posOffset>
          </wp:positionV>
          <wp:extent cx="476250" cy="228600"/>
          <wp:effectExtent l="19050" t="0" r="0" b="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srcRect/>
                  <a:stretch>
                    <a:fillRect/>
                  </a:stretch>
                </pic:blipFill>
                <pic:spPr>
                  <a:xfrm>
                    <a:off x="0" y="0"/>
                    <a:ext cx="476250" cy="228600"/>
                  </a:xfrm>
                  <a:prstGeom prst="rect">
                    <a:avLst/>
                  </a:prstGeom>
                  <a:noFill/>
                  <a:ln w="9525">
                    <a:noFill/>
                    <a:miter lim="800000"/>
                    <a:headEnd/>
                    <a:tailEnd/>
                  </a:ln>
                </pic:spPr>
              </pic:pic>
            </a:graphicData>
          </a:graphic>
        </wp:anchor>
      </w:drawing>
    </w:r>
    <w:r>
      <w:rPr>
        <w:rFonts w:hint="eastAsia"/>
      </w:rPr>
      <w:t xml:space="preserve">采购合同               </w:t>
    </w:r>
    <w:r>
      <w:rPr>
        <w:rFonts w:hint="eastAsia"/>
        <w:lang w:eastAsia="zh-CN"/>
      </w:rPr>
      <w:t>JSZC-320000-SZWK-G2025-0368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C82BE"/>
    <w:multiLevelType w:val="singleLevel"/>
    <w:tmpl w:val="89EC82BE"/>
    <w:lvl w:ilvl="0" w:tentative="0">
      <w:start w:val="1"/>
      <w:numFmt w:val="lowerLetter"/>
      <w:suff w:val="nothing"/>
      <w:lvlText w:val="%1、"/>
      <w:lvlJc w:val="left"/>
    </w:lvl>
  </w:abstractNum>
  <w:abstractNum w:abstractNumId="1">
    <w:nsid w:val="46BE145E"/>
    <w:multiLevelType w:val="multilevel"/>
    <w:tmpl w:val="46BE145E"/>
    <w:lvl w:ilvl="0" w:tentative="0">
      <w:start w:val="1"/>
      <w:numFmt w:val="chineseCountingThousand"/>
      <w:suff w:val="nothing"/>
      <w:lvlText w:val="%1、"/>
      <w:lvlJc w:val="left"/>
      <w:pPr>
        <w:ind w:left="865"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6FA68F89"/>
    <w:multiLevelType w:val="singleLevel"/>
    <w:tmpl w:val="6FA68F89"/>
    <w:lvl w:ilvl="0" w:tentative="0">
      <w:start w:val="1"/>
      <w:numFmt w:val="upperLetter"/>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3B3"/>
    <w:rsid w:val="00155DB9"/>
    <w:rsid w:val="002273E7"/>
    <w:rsid w:val="00230907"/>
    <w:rsid w:val="00251950"/>
    <w:rsid w:val="003C094B"/>
    <w:rsid w:val="004569EF"/>
    <w:rsid w:val="00633FC6"/>
    <w:rsid w:val="00654507"/>
    <w:rsid w:val="006B68C7"/>
    <w:rsid w:val="00742010"/>
    <w:rsid w:val="00776459"/>
    <w:rsid w:val="007C777E"/>
    <w:rsid w:val="0090586E"/>
    <w:rsid w:val="00A006F6"/>
    <w:rsid w:val="00A860A5"/>
    <w:rsid w:val="00E35655"/>
    <w:rsid w:val="00EA6F84"/>
    <w:rsid w:val="00F313B3"/>
    <w:rsid w:val="025F1977"/>
    <w:rsid w:val="041D6583"/>
    <w:rsid w:val="04BF0D38"/>
    <w:rsid w:val="04D37589"/>
    <w:rsid w:val="05216195"/>
    <w:rsid w:val="054269F8"/>
    <w:rsid w:val="07366F70"/>
    <w:rsid w:val="07587E11"/>
    <w:rsid w:val="088E48F0"/>
    <w:rsid w:val="0E960052"/>
    <w:rsid w:val="10052C76"/>
    <w:rsid w:val="11290C5D"/>
    <w:rsid w:val="11BF5650"/>
    <w:rsid w:val="11F757A1"/>
    <w:rsid w:val="12C64289"/>
    <w:rsid w:val="14912A63"/>
    <w:rsid w:val="15761F97"/>
    <w:rsid w:val="166E2C6E"/>
    <w:rsid w:val="185720F9"/>
    <w:rsid w:val="1A3D44FC"/>
    <w:rsid w:val="1BD17F41"/>
    <w:rsid w:val="1C2F17DD"/>
    <w:rsid w:val="1E881F66"/>
    <w:rsid w:val="1E9C5B42"/>
    <w:rsid w:val="1EDA3EAE"/>
    <w:rsid w:val="1EE75CB3"/>
    <w:rsid w:val="1F5D11AF"/>
    <w:rsid w:val="213642EB"/>
    <w:rsid w:val="223E3503"/>
    <w:rsid w:val="23AC1B8E"/>
    <w:rsid w:val="24A92885"/>
    <w:rsid w:val="24C241B3"/>
    <w:rsid w:val="265C74D4"/>
    <w:rsid w:val="26815E10"/>
    <w:rsid w:val="27710810"/>
    <w:rsid w:val="278018F9"/>
    <w:rsid w:val="296D28BB"/>
    <w:rsid w:val="2C047E85"/>
    <w:rsid w:val="2D027262"/>
    <w:rsid w:val="2EA44384"/>
    <w:rsid w:val="317A1B23"/>
    <w:rsid w:val="32442310"/>
    <w:rsid w:val="3A833686"/>
    <w:rsid w:val="3BBC47E0"/>
    <w:rsid w:val="3DF1756A"/>
    <w:rsid w:val="3EC7548D"/>
    <w:rsid w:val="3F8844F1"/>
    <w:rsid w:val="414F176A"/>
    <w:rsid w:val="419419EA"/>
    <w:rsid w:val="431A1904"/>
    <w:rsid w:val="444B06BC"/>
    <w:rsid w:val="46C6602A"/>
    <w:rsid w:val="47490A0A"/>
    <w:rsid w:val="478E45D4"/>
    <w:rsid w:val="48820F84"/>
    <w:rsid w:val="493E129E"/>
    <w:rsid w:val="49454D6A"/>
    <w:rsid w:val="4A8562A1"/>
    <w:rsid w:val="4B226A7C"/>
    <w:rsid w:val="4DFF0074"/>
    <w:rsid w:val="4EB47AF7"/>
    <w:rsid w:val="4EE23C1E"/>
    <w:rsid w:val="501264FC"/>
    <w:rsid w:val="50D21A70"/>
    <w:rsid w:val="5394125E"/>
    <w:rsid w:val="55763D8B"/>
    <w:rsid w:val="567D5FDA"/>
    <w:rsid w:val="58F5279F"/>
    <w:rsid w:val="5A2D3FC0"/>
    <w:rsid w:val="5AFF16B3"/>
    <w:rsid w:val="5BD963A8"/>
    <w:rsid w:val="5CD050B5"/>
    <w:rsid w:val="5E791761"/>
    <w:rsid w:val="5F2346E3"/>
    <w:rsid w:val="60FA4DF7"/>
    <w:rsid w:val="63BD210C"/>
    <w:rsid w:val="66721CEA"/>
    <w:rsid w:val="669C5E64"/>
    <w:rsid w:val="66E636D5"/>
    <w:rsid w:val="68776D2D"/>
    <w:rsid w:val="68C1269E"/>
    <w:rsid w:val="6E0C58DD"/>
    <w:rsid w:val="6FBB1BF5"/>
    <w:rsid w:val="73530181"/>
    <w:rsid w:val="7883171E"/>
    <w:rsid w:val="78BD3A7A"/>
    <w:rsid w:val="79104282"/>
    <w:rsid w:val="799E5549"/>
    <w:rsid w:val="79EE0472"/>
    <w:rsid w:val="7A36630D"/>
    <w:rsid w:val="7A9740CC"/>
    <w:rsid w:val="7E946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zh-CN" w:bidi="ar-SA"/>
    </w:rPr>
  </w:style>
  <w:style w:type="paragraph" w:styleId="2">
    <w:name w:val="heading 1"/>
    <w:basedOn w:val="1"/>
    <w:next w:val="1"/>
    <w:link w:val="24"/>
    <w:qFormat/>
    <w:uiPriority w:val="0"/>
    <w:pPr>
      <w:keepNext/>
      <w:keepLines/>
      <w:spacing w:line="576" w:lineRule="auto"/>
      <w:outlineLvl w:val="0"/>
    </w:pPr>
    <w:rPr>
      <w:b/>
      <w:kern w:val="44"/>
      <w:sz w:val="44"/>
    </w:rPr>
  </w:style>
  <w:style w:type="paragraph" w:styleId="3">
    <w:name w:val="heading 3"/>
    <w:basedOn w:val="1"/>
    <w:next w:val="1"/>
    <w:link w:val="25"/>
    <w:qFormat/>
    <w:uiPriority w:val="0"/>
    <w:pPr>
      <w:keepNext/>
      <w:keepLines/>
      <w:widowControl w:val="0"/>
      <w:spacing w:before="260" w:after="260" w:line="360" w:lineRule="auto"/>
      <w:jc w:val="both"/>
      <w:outlineLvl w:val="2"/>
    </w:pPr>
    <w:rPr>
      <w:rFonts w:ascii="Arial" w:hAnsi="宋体"/>
      <w:b/>
      <w:kern w:val="2"/>
      <w:szCs w:val="20"/>
    </w:rPr>
  </w:style>
  <w:style w:type="paragraph" w:styleId="4">
    <w:name w:val="heading 5"/>
    <w:basedOn w:val="1"/>
    <w:next w:val="1"/>
    <w:link w:val="26"/>
    <w:qFormat/>
    <w:uiPriority w:val="0"/>
    <w:pPr>
      <w:keepNext/>
      <w:tabs>
        <w:tab w:val="left" w:pos="1008"/>
      </w:tabs>
      <w:ind w:left="1008" w:hanging="432"/>
      <w:jc w:val="center"/>
      <w:outlineLvl w:val="4"/>
    </w:pPr>
    <w:rPr>
      <w:rFonts w:ascii="Arial" w:hAnsi="Arial"/>
      <w:sz w:val="32"/>
      <w:szCs w:val="20"/>
    </w:rPr>
  </w:style>
  <w:style w:type="paragraph" w:styleId="5">
    <w:name w:val="heading 6"/>
    <w:basedOn w:val="1"/>
    <w:next w:val="1"/>
    <w:link w:val="27"/>
    <w:qFormat/>
    <w:uiPriority w:val="0"/>
    <w:pPr>
      <w:keepNext/>
      <w:keepLines/>
      <w:widowControl w:val="0"/>
      <w:spacing w:before="240" w:after="64" w:line="320" w:lineRule="auto"/>
      <w:ind w:left="1152" w:hanging="1152"/>
      <w:jc w:val="both"/>
      <w:outlineLvl w:val="5"/>
    </w:pPr>
    <w:rPr>
      <w:rFonts w:ascii="Cambria" w:hAnsi="Cambria"/>
      <w:b/>
      <w:bCs/>
      <w:kern w:val="2"/>
    </w:rPr>
  </w:style>
  <w:style w:type="character" w:default="1" w:styleId="17">
    <w:name w:val="Default Paragraph Font"/>
    <w:semiHidden/>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link w:val="21"/>
    <w:qFormat/>
    <w:uiPriority w:val="0"/>
    <w:pPr>
      <w:widowControl w:val="0"/>
      <w:adjustRightInd w:val="0"/>
      <w:ind w:firstLine="420"/>
      <w:textAlignment w:val="baseline"/>
    </w:pPr>
    <w:rPr>
      <w:rFonts w:eastAsia="楷体_GB2312"/>
      <w:kern w:val="2"/>
      <w:szCs w:val="20"/>
    </w:rPr>
  </w:style>
  <w:style w:type="paragraph" w:styleId="7">
    <w:name w:val="annotation text"/>
    <w:basedOn w:val="1"/>
    <w:semiHidden/>
    <w:unhideWhenUsed/>
    <w:qFormat/>
    <w:uiPriority w:val="99"/>
    <w:pPr>
      <w:jc w:val="left"/>
    </w:pPr>
  </w:style>
  <w:style w:type="paragraph" w:styleId="8">
    <w:name w:val="Body Text"/>
    <w:basedOn w:val="1"/>
    <w:link w:val="29"/>
    <w:qFormat/>
    <w:uiPriority w:val="0"/>
  </w:style>
  <w:style w:type="paragraph" w:styleId="9">
    <w:name w:val="Date"/>
    <w:basedOn w:val="1"/>
    <w:next w:val="1"/>
    <w:link w:val="30"/>
    <w:qFormat/>
    <w:uiPriority w:val="0"/>
    <w:pPr>
      <w:widowControl w:val="0"/>
      <w:ind w:left="100" w:leftChars="2500"/>
      <w:jc w:val="both"/>
    </w:pPr>
    <w:rPr>
      <w:b/>
      <w:bCs/>
      <w:spacing w:val="20"/>
      <w:kern w:val="2"/>
      <w:sz w:val="21"/>
    </w:rPr>
  </w:style>
  <w:style w:type="paragraph" w:styleId="10">
    <w:name w:val="Balloon Text"/>
    <w:basedOn w:val="1"/>
    <w:link w:val="34"/>
    <w:qFormat/>
    <w:uiPriority w:val="0"/>
    <w:rPr>
      <w:sz w:val="18"/>
      <w:szCs w:val="18"/>
    </w:rPr>
  </w:style>
  <w:style w:type="paragraph" w:styleId="11">
    <w:name w:val="footer"/>
    <w:basedOn w:val="1"/>
    <w:link w:val="20"/>
    <w:unhideWhenUsed/>
    <w:qFormat/>
    <w:uiPriority w:val="99"/>
    <w:pPr>
      <w:tabs>
        <w:tab w:val="center" w:pos="4153"/>
        <w:tab w:val="right" w:pos="8306"/>
      </w:tabs>
      <w:snapToGrid w:val="0"/>
    </w:pPr>
    <w:rPr>
      <w:sz w:val="18"/>
      <w:szCs w:val="18"/>
    </w:rPr>
  </w:style>
  <w:style w:type="paragraph" w:styleId="12">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rPr>
      <w:rFonts w:eastAsia="新宋体"/>
      <w:sz w:val="32"/>
    </w:rPr>
  </w:style>
  <w:style w:type="paragraph" w:styleId="14">
    <w:name w:val="Body Text Indent 3"/>
    <w:basedOn w:val="1"/>
    <w:link w:val="35"/>
    <w:semiHidden/>
    <w:unhideWhenUsed/>
    <w:qFormat/>
    <w:uiPriority w:val="99"/>
    <w:pPr>
      <w:keepNext w:val="0"/>
      <w:keepLines w:val="0"/>
      <w:widowControl w:val="0"/>
      <w:suppressLineNumbers w:val="0"/>
      <w:spacing w:before="0" w:beforeAutospacing="0" w:after="0" w:afterAutospacing="0" w:line="300" w:lineRule="auto"/>
      <w:ind w:left="0" w:right="0" w:firstLine="480" w:firstLineChars="200"/>
      <w:jc w:val="left"/>
    </w:pPr>
    <w:rPr>
      <w:rFonts w:hint="default" w:ascii="Times New Roman" w:hAnsi="Times New Roman" w:eastAsia="宋体" w:cs="Times New Roman"/>
      <w:kern w:val="2"/>
      <w:sz w:val="24"/>
      <w:szCs w:val="24"/>
      <w:lang w:val="en-US" w:eastAsia="zh-CN" w:bidi="ar"/>
    </w:rPr>
  </w:style>
  <w:style w:type="table" w:styleId="16">
    <w:name w:val="Table Grid"/>
    <w:basedOn w:val="1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qFormat/>
    <w:uiPriority w:val="99"/>
    <w:rPr>
      <w:color w:val="0000FF"/>
      <w:u w:val="single"/>
    </w:rPr>
  </w:style>
  <w:style w:type="character" w:customStyle="1" w:styleId="19">
    <w:name w:val="页眉 Char"/>
    <w:basedOn w:val="17"/>
    <w:link w:val="12"/>
    <w:semiHidden/>
    <w:qFormat/>
    <w:uiPriority w:val="99"/>
    <w:rPr>
      <w:sz w:val="18"/>
      <w:szCs w:val="18"/>
    </w:rPr>
  </w:style>
  <w:style w:type="character" w:customStyle="1" w:styleId="20">
    <w:name w:val="页脚 Char"/>
    <w:basedOn w:val="17"/>
    <w:link w:val="11"/>
    <w:qFormat/>
    <w:uiPriority w:val="99"/>
    <w:rPr>
      <w:sz w:val="18"/>
      <w:szCs w:val="18"/>
    </w:rPr>
  </w:style>
  <w:style w:type="character" w:customStyle="1" w:styleId="21">
    <w:name w:val="正文缩进 Char"/>
    <w:link w:val="6"/>
    <w:qFormat/>
    <w:uiPriority w:val="0"/>
    <w:rPr>
      <w:rFonts w:ascii="Times New Roman" w:hAnsi="Times New Roman" w:eastAsia="楷体_GB2312" w:cs="Times New Roman"/>
      <w:sz w:val="24"/>
      <w:szCs w:val="20"/>
    </w:rPr>
  </w:style>
  <w:style w:type="paragraph" w:customStyle="1" w:styleId="22">
    <w:name w:val="列出段落1"/>
    <w:basedOn w:val="1"/>
    <w:qFormat/>
    <w:uiPriority w:val="0"/>
    <w:pPr>
      <w:widowControl w:val="0"/>
      <w:ind w:firstLine="420" w:firstLineChars="200"/>
      <w:jc w:val="both"/>
    </w:pPr>
    <w:rPr>
      <w:rFonts w:ascii="Calibri" w:hAnsi="Calibri"/>
      <w:kern w:val="2"/>
      <w:sz w:val="21"/>
      <w:szCs w:val="22"/>
    </w:rPr>
  </w:style>
  <w:style w:type="paragraph" w:customStyle="1" w:styleId="23">
    <w:name w:val="纯文本1"/>
    <w:basedOn w:val="1"/>
    <w:qFormat/>
    <w:uiPriority w:val="0"/>
    <w:pPr>
      <w:widowControl w:val="0"/>
      <w:adjustRightInd w:val="0"/>
      <w:jc w:val="both"/>
      <w:textAlignment w:val="baseline"/>
    </w:pPr>
    <w:rPr>
      <w:rFonts w:ascii="宋体" w:hAnsi="Courier New" w:eastAsia="楷体_GB2312"/>
      <w:kern w:val="2"/>
      <w:sz w:val="26"/>
      <w:szCs w:val="20"/>
    </w:rPr>
  </w:style>
  <w:style w:type="character" w:customStyle="1" w:styleId="24">
    <w:name w:val="标题 1 Char"/>
    <w:basedOn w:val="17"/>
    <w:link w:val="2"/>
    <w:qFormat/>
    <w:uiPriority w:val="0"/>
    <w:rPr>
      <w:rFonts w:ascii="Times New Roman" w:hAnsi="Times New Roman" w:eastAsia="宋体" w:cs="Times New Roman"/>
      <w:b/>
      <w:kern w:val="44"/>
      <w:sz w:val="44"/>
      <w:szCs w:val="24"/>
    </w:rPr>
  </w:style>
  <w:style w:type="character" w:customStyle="1" w:styleId="25">
    <w:name w:val="标题 3 Char"/>
    <w:basedOn w:val="17"/>
    <w:link w:val="3"/>
    <w:qFormat/>
    <w:uiPriority w:val="0"/>
    <w:rPr>
      <w:rFonts w:ascii="Arial" w:hAnsi="宋体" w:eastAsia="宋体" w:cs="Times New Roman"/>
      <w:b/>
      <w:sz w:val="24"/>
      <w:szCs w:val="20"/>
    </w:rPr>
  </w:style>
  <w:style w:type="character" w:customStyle="1" w:styleId="26">
    <w:name w:val="标题 5 Char"/>
    <w:basedOn w:val="17"/>
    <w:link w:val="4"/>
    <w:qFormat/>
    <w:uiPriority w:val="0"/>
    <w:rPr>
      <w:rFonts w:ascii="Arial" w:hAnsi="Arial" w:eastAsia="宋体" w:cs="Times New Roman"/>
      <w:kern w:val="0"/>
      <w:sz w:val="32"/>
      <w:szCs w:val="20"/>
    </w:rPr>
  </w:style>
  <w:style w:type="character" w:customStyle="1" w:styleId="27">
    <w:name w:val="标题 6 Char"/>
    <w:basedOn w:val="17"/>
    <w:link w:val="5"/>
    <w:qFormat/>
    <w:uiPriority w:val="0"/>
    <w:rPr>
      <w:rFonts w:ascii="Cambria" w:hAnsi="Cambria" w:eastAsia="宋体" w:cs="Times New Roman"/>
      <w:b/>
      <w:bCs/>
      <w:sz w:val="24"/>
      <w:szCs w:val="24"/>
    </w:rPr>
  </w:style>
  <w:style w:type="paragraph" w:customStyle="1" w:styleId="28">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kern w:val="0"/>
      <w:sz w:val="24"/>
      <w:szCs w:val="22"/>
      <w:lang w:val="en-US" w:eastAsia="zh-CN" w:bidi="ar-SA"/>
    </w:rPr>
  </w:style>
  <w:style w:type="character" w:customStyle="1" w:styleId="29">
    <w:name w:val="正文文本 Char"/>
    <w:basedOn w:val="17"/>
    <w:link w:val="8"/>
    <w:qFormat/>
    <w:uiPriority w:val="0"/>
    <w:rPr>
      <w:rFonts w:ascii="Times New Roman" w:hAnsi="Times New Roman" w:eastAsia="宋体" w:cs="Times New Roman"/>
      <w:kern w:val="0"/>
      <w:sz w:val="24"/>
      <w:szCs w:val="24"/>
    </w:rPr>
  </w:style>
  <w:style w:type="character" w:customStyle="1" w:styleId="30">
    <w:name w:val="日期 Char"/>
    <w:basedOn w:val="17"/>
    <w:link w:val="9"/>
    <w:qFormat/>
    <w:uiPriority w:val="0"/>
    <w:rPr>
      <w:rFonts w:ascii="Times New Roman" w:hAnsi="Times New Roman" w:eastAsia="宋体" w:cs="Times New Roman"/>
      <w:b/>
      <w:bCs/>
      <w:spacing w:val="20"/>
      <w:szCs w:val="24"/>
    </w:rPr>
  </w:style>
  <w:style w:type="paragraph" w:customStyle="1" w:styleId="31">
    <w:name w:val="纯文本11"/>
    <w:basedOn w:val="1"/>
    <w:qFormat/>
    <w:uiPriority w:val="0"/>
    <w:pPr>
      <w:widowControl w:val="0"/>
      <w:adjustRightInd w:val="0"/>
      <w:jc w:val="both"/>
      <w:textAlignment w:val="baseline"/>
    </w:pPr>
    <w:rPr>
      <w:rFonts w:ascii="宋体" w:hAnsi="Courier New" w:eastAsia="楷体_GB2312"/>
      <w:kern w:val="2"/>
      <w:sz w:val="26"/>
      <w:szCs w:val="20"/>
    </w:rPr>
  </w:style>
  <w:style w:type="paragraph" w:customStyle="1" w:styleId="32">
    <w:name w:val="Plain Text1"/>
    <w:basedOn w:val="1"/>
    <w:qFormat/>
    <w:uiPriority w:val="0"/>
    <w:pPr>
      <w:widowControl w:val="0"/>
      <w:adjustRightInd w:val="0"/>
      <w:jc w:val="both"/>
    </w:pPr>
    <w:rPr>
      <w:rFonts w:hint="eastAsia" w:ascii="宋体" w:hAnsi="Courier New" w:eastAsia="楷体_GB2312"/>
      <w:kern w:val="2"/>
      <w:sz w:val="28"/>
      <w:szCs w:val="20"/>
    </w:rPr>
  </w:style>
  <w:style w:type="paragraph" w:customStyle="1" w:styleId="33">
    <w:name w:val="WPSOffice手动目录 1"/>
    <w:qFormat/>
    <w:uiPriority w:val="0"/>
    <w:pPr>
      <w:spacing w:before="240" w:after="240"/>
    </w:pPr>
    <w:rPr>
      <w:rFonts w:ascii="Calibri" w:hAnsi="Calibri" w:eastAsia="宋体" w:cs="Times New Roman"/>
      <w:kern w:val="0"/>
      <w:sz w:val="28"/>
      <w:szCs w:val="20"/>
      <w:lang w:val="en-US" w:eastAsia="zh-CN" w:bidi="ar-SA"/>
    </w:rPr>
  </w:style>
  <w:style w:type="character" w:customStyle="1" w:styleId="34">
    <w:name w:val="批注框文本 Char"/>
    <w:basedOn w:val="17"/>
    <w:link w:val="10"/>
    <w:qFormat/>
    <w:uiPriority w:val="0"/>
    <w:rPr>
      <w:rFonts w:ascii="Times New Roman" w:hAnsi="Times New Roman" w:eastAsia="宋体" w:cs="Times New Roman"/>
      <w:kern w:val="0"/>
      <w:sz w:val="18"/>
      <w:szCs w:val="18"/>
    </w:rPr>
  </w:style>
  <w:style w:type="character" w:customStyle="1" w:styleId="35">
    <w:name w:val="正文文本缩进 3 Char"/>
    <w:basedOn w:val="17"/>
    <w:link w:val="14"/>
    <w:qFormat/>
    <w:uiPriority w:val="0"/>
    <w:rPr>
      <w:kern w:val="2"/>
      <w:sz w:val="24"/>
      <w:szCs w:val="24"/>
    </w:rPr>
  </w:style>
  <w:style w:type="paragraph" w:customStyle="1" w:styleId="36">
    <w:name w:val="Plain Text"/>
    <w:basedOn w:val="1"/>
    <w:qFormat/>
    <w:uiPriority w:val="0"/>
    <w:pPr>
      <w:keepNext w:val="0"/>
      <w:keepLines w:val="0"/>
      <w:widowControl w:val="0"/>
      <w:suppressLineNumbers w:val="0"/>
      <w:adjustRightInd w:val="0"/>
      <w:spacing w:before="0" w:beforeAutospacing="0" w:after="0" w:afterAutospacing="0"/>
      <w:ind w:left="0" w:right="0"/>
      <w:jc w:val="both"/>
    </w:pPr>
    <w:rPr>
      <w:rFonts w:hint="eastAsia" w:ascii="宋体" w:hAnsi="Courier New" w:eastAsia="楷体_GB2312" w:cs="Times New Roman"/>
      <w:kern w:val="2"/>
      <w:sz w:val="26"/>
      <w:szCs w:val="20"/>
      <w:lang w:val="en-US" w:eastAsia="zh-CN" w:bidi="ar"/>
    </w:rPr>
  </w:style>
  <w:style w:type="paragraph" w:customStyle="1" w:styleId="37">
    <w:name w:val="正文1"/>
    <w:basedOn w:val="1"/>
    <w:next w:val="1"/>
    <w:qFormat/>
    <w:uiPriority w:val="0"/>
    <w:pPr>
      <w:keepNext w:val="0"/>
      <w:keepLines w:val="0"/>
      <w:widowControl/>
      <w:suppressLineNumbers w:val="0"/>
      <w:spacing w:before="120" w:beforeAutospacing="0" w:after="0" w:afterAutospacing="0" w:line="360" w:lineRule="auto"/>
      <w:ind w:left="420" w:right="0" w:firstLine="527"/>
      <w:jc w:val="left"/>
    </w:pPr>
    <w:rPr>
      <w:rFonts w:hint="eastAsia" w:ascii="宋体" w:hAnsi="宋体" w:eastAsia="宋体" w:cs="Times New Roman"/>
      <w:kern w:val="0"/>
      <w:sz w:val="24"/>
      <w:szCs w:val="24"/>
      <w:lang w:val="en-US" w:eastAsia="zh-CN" w:bidi="ar"/>
    </w:rPr>
  </w:style>
  <w:style w:type="paragraph" w:customStyle="1" w:styleId="38">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4"/>
      <w:lang w:val="en-US" w:eastAsia="zh-CN" w:bidi="ar"/>
    </w:rPr>
  </w:style>
  <w:style w:type="character" w:customStyle="1" w:styleId="39">
    <w:name w:val="列出段落 Char"/>
    <w:basedOn w:val="17"/>
    <w:qFormat/>
    <w:uiPriority w:val="0"/>
    <w:rPr>
      <w:kern w:val="2"/>
      <w:sz w:val="21"/>
      <w:szCs w:val="24"/>
    </w:rPr>
  </w:style>
  <w:style w:type="paragraph" w:styleId="40">
    <w:name w:val="List Paragraph"/>
    <w:basedOn w:val="1"/>
    <w:qFormat/>
    <w:uiPriority w:val="0"/>
    <w:pPr>
      <w:widowControl w:val="0"/>
      <w:ind w:firstLine="420" w:firstLineChars="200"/>
      <w:jc w:val="both"/>
    </w:pPr>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6329</Words>
  <Characters>6631</Characters>
  <Lines>130</Lines>
  <Paragraphs>36</Paragraphs>
  <TotalTime>1</TotalTime>
  <ScaleCrop>false</ScaleCrop>
  <LinksUpToDate>false</LinksUpToDate>
  <CharactersWithSpaces>6787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2024-10-22T03:12:00Z</dcterms:created>
  <dc:creator>뒣뒴</dc:creator>
  <cp:lastModifiedBy>YFY</cp:lastModifiedBy>
  <dcterms:modified xsi:type="dcterms:W3CDTF">2025-12-16T05:40:54Z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eyJoZGlkIjoiNjcxMjRkMjZkNjA4MTc1MDExZGUzNTQ0NmM3YjFmOTUiLCJ1c2VySWQiOiI0MTgyNzg2NjIifQ==</vt:lpwstr>
  </property>
  <property fmtid="{D5CDD505-2E9C-101B-9397-08002B2CF9AE}" pid="3" name="KSOProductBuildVer">
    <vt:lpwstr>2052-12.1.0.23542</vt:lpwstr>
  </property>
  <property fmtid="{D5CDD505-2E9C-101B-9397-08002B2CF9AE}" pid="4" name="ICV">
    <vt:lpwstr>C01B3F31909E479BB32707F8E6CAD184_13</vt:lpwstr>
  </property>
</Properties>
</file>