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spacing w:line="500" w:lineRule="exact"/>
        <w:rPr>
          <w:rFonts w:ascii="仿宋" w:hAnsi="仿宋" w:eastAsia="仿宋" w:cs="仿宋"/>
          <w:b/>
          <w:bCs/>
          <w:color w:val="000000"/>
          <w:sz w:val="84"/>
        </w:rPr>
      </w:pPr>
      <w:r>
        <w:rPr>
          <w:rFonts w:ascii="仿宋" w:hAnsi="仿宋" w:eastAsia="仿宋" w:cs="仿宋"/>
          <w:b/>
          <w:bCs/>
          <w:color w:val="000000"/>
          <w:sz w:val="84"/>
        </w:rPr>
      </w:r>
      <w:r/>
    </w:p>
    <w:p>
      <w:pPr>
        <w:pStyle w:val="1039"/>
        <w:ind w:firstLine="0"/>
        <w:jc w:val="center"/>
        <w:spacing w:line="720" w:lineRule="auto"/>
        <w:rPr>
          <w:rFonts w:ascii="仿宋" w:hAnsi="仿宋" w:eastAsia="仿宋" w:cs="仿宋"/>
          <w:b/>
          <w:bCs/>
          <w:color w:val="000000"/>
          <w:sz w:val="32"/>
        </w:rPr>
      </w:pPr>
      <w:r>
        <w:rPr>
          <w:rFonts w:hint="eastAsia" w:ascii="仿宋" w:hAnsi="仿宋" w:eastAsia="仿宋" w:cs="仿宋"/>
          <w:b/>
          <w:bCs/>
          <w:color w:val="000000"/>
          <w:sz w:val="84"/>
        </w:rPr>
        <w:t xml:space="preserve">招　标　文　件</w:t>
      </w:r>
      <w:r/>
    </w:p>
    <w:p>
      <w:pPr>
        <w:ind w:firstLine="964"/>
        <w:spacing w:line="500" w:lineRule="exact"/>
        <w:rPr>
          <w:rFonts w:ascii="仿宋" w:hAnsi="仿宋" w:eastAsia="仿宋" w:cs="仿宋"/>
          <w:b/>
          <w:bCs/>
          <w:color w:val="000000"/>
          <w:sz w:val="32"/>
        </w:rPr>
      </w:pPr>
      <w:r>
        <w:rPr>
          <w:rFonts w:ascii="仿宋" w:hAnsi="仿宋" w:eastAsia="仿宋" w:cs="仿宋"/>
          <w:b/>
          <w:bCs/>
          <w:color w:val="000000"/>
          <w:sz w:val="32"/>
        </w:rPr>
      </w:r>
      <w:r/>
    </w:p>
    <w:p>
      <w:pPr>
        <w:ind w:firstLine="1285"/>
        <w:spacing w:line="500" w:lineRule="exact"/>
        <w:rPr>
          <w:rFonts w:ascii="仿宋" w:hAnsi="仿宋" w:eastAsia="仿宋" w:cs="仿宋"/>
          <w:b/>
          <w:bCs/>
          <w:color w:val="000000"/>
          <w:sz w:val="32"/>
        </w:rPr>
      </w:pPr>
      <w:r>
        <w:rPr>
          <w:rFonts w:hint="eastAsia" w:ascii="仿宋" w:hAnsi="仿宋" w:eastAsia="仿宋" w:cs="仿宋"/>
          <w:b/>
          <w:bCs/>
          <w:color w:val="000000"/>
          <w:sz w:val="32"/>
        </w:rPr>
        <w:t xml:space="preserve">项目名称：沭阳县刘集镇智慧农场建设项目</w:t>
      </w:r>
      <w:r/>
    </w:p>
    <w:p>
      <w:pPr>
        <w:ind w:firstLine="1285"/>
        <w:spacing w:line="500" w:lineRule="exact"/>
        <w:rPr>
          <w:rFonts w:hint="eastAsia" w:ascii="仿宋" w:hAnsi="仿宋" w:eastAsia="仿宋" w:cs="仿宋"/>
          <w:b/>
          <w:bCs/>
          <w:color w:val="000000"/>
          <w:sz w:val="32"/>
        </w:rPr>
      </w:pPr>
      <w:r>
        <w:rPr>
          <w:rFonts w:hint="eastAsia" w:ascii="仿宋" w:hAnsi="仿宋" w:eastAsia="仿宋" w:cs="仿宋"/>
          <w:b/>
          <w:bCs/>
          <w:color w:val="000000"/>
          <w:sz w:val="32"/>
        </w:rPr>
        <w:t xml:space="preserve">项目编号：JSZC-321322-TXJS-G2024-0035      </w:t>
      </w:r>
      <w:r/>
    </w:p>
    <w:p>
      <w:pPr>
        <w:ind w:firstLine="1807"/>
        <w:spacing w:line="500" w:lineRule="exact"/>
        <w:rPr>
          <w:rFonts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u w:val="single"/>
        </w:rPr>
        <w:t xml:space="preserve">服务</w:t>
      </w:r>
      <w:r>
        <w:rPr>
          <w:rFonts w:hint="eastAsia" w:ascii="仿宋" w:hAnsi="仿宋" w:eastAsia="仿宋" w:cs="仿宋"/>
          <w:b/>
          <w:color w:val="000000"/>
          <w:sz w:val="30"/>
          <w:szCs w:val="30"/>
        </w:rPr>
        <w:t xml:space="preserve">项目，</w:t>
      </w:r>
      <w:r>
        <w:rPr>
          <w:rFonts w:hint="eastAsia" w:ascii="仿宋" w:hAnsi="仿宋" w:eastAsia="仿宋" w:cs="仿宋"/>
          <w:b/>
          <w:color w:val="000000"/>
          <w:sz w:val="30"/>
          <w:szCs w:val="30"/>
          <w:u w:val="single"/>
          <w:lang w:val="en-US" w:eastAsia="zh-CN"/>
        </w:rPr>
        <w:t xml:space="preserve">本项目非</w:t>
      </w:r>
      <w:r>
        <w:rPr>
          <w:rFonts w:hint="eastAsia" w:ascii="仿宋" w:hAnsi="仿宋" w:eastAsia="仿宋" w:cs="仿宋"/>
          <w:b/>
          <w:color w:val="000000"/>
          <w:sz w:val="30"/>
          <w:szCs w:val="30"/>
        </w:rPr>
        <w:t xml:space="preserve">专门面向中小企业）</w:t>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39"/>
        <w:ind w:firstLine="1054"/>
        <w:jc w:val="both"/>
        <w:spacing w:line="500" w:lineRule="exact"/>
        <w:rPr>
          <w:rFonts w:ascii="仿宋" w:hAnsi="仿宋" w:eastAsia="仿宋" w:cs="仿宋"/>
          <w:b/>
          <w:bCs/>
          <w:color w:val="000000"/>
          <w:sz w:val="32"/>
          <w:u w:val="single"/>
        </w:rPr>
      </w:pPr>
      <w:r>
        <w:rPr>
          <w:rFonts w:hint="eastAsia" w:ascii="仿宋" w:hAnsi="仿宋" w:eastAsia="仿宋" w:cs="仿宋"/>
          <w:b/>
          <w:bCs/>
          <w:color w:val="000000"/>
          <w:sz w:val="32"/>
        </w:rPr>
        <w:t xml:space="preserve">采购人：</w:t>
      </w:r>
      <w:r>
        <w:rPr>
          <w:rFonts w:hint="eastAsia" w:ascii="仿宋" w:hAnsi="仿宋" w:eastAsia="仿宋" w:cs="仿宋"/>
          <w:b/>
          <w:bCs/>
          <w:color w:val="000000"/>
          <w:sz w:val="32"/>
          <w:u w:val="single"/>
        </w:rPr>
        <w:t xml:space="preserve">沭阳县刘集镇人民政府</w:t>
      </w:r>
      <w:r/>
    </w:p>
    <w:p>
      <w:pPr>
        <w:pStyle w:val="1039"/>
        <w:ind w:firstLine="1054"/>
        <w:jc w:val="both"/>
        <w:spacing w:line="500" w:lineRule="exact"/>
        <w:rPr>
          <w:rFonts w:ascii="仿宋" w:hAnsi="仿宋" w:eastAsia="仿宋" w:cs="仿宋"/>
          <w:b/>
          <w:bCs/>
          <w:color w:val="000000"/>
          <w:sz w:val="32"/>
          <w:u w:val="single"/>
        </w:rPr>
      </w:pPr>
      <w:r>
        <w:rPr>
          <w:rFonts w:hint="eastAsia" w:ascii="仿宋" w:hAnsi="仿宋" w:eastAsia="仿宋" w:cs="仿宋"/>
          <w:b/>
          <w:bCs/>
          <w:color w:val="000000"/>
          <w:sz w:val="32"/>
        </w:rPr>
        <w:t xml:space="preserve">采购代理机构：</w:t>
      </w:r>
      <w:r>
        <w:rPr>
          <w:rFonts w:hint="eastAsia" w:ascii="仿宋" w:hAnsi="仿宋" w:eastAsia="仿宋" w:cs="仿宋"/>
          <w:b/>
          <w:bCs/>
          <w:color w:val="000000"/>
          <w:sz w:val="32"/>
          <w:u w:val="single"/>
        </w:rPr>
        <w:t xml:space="preserve">江苏天信建设项目咨询有限公司</w:t>
      </w:r>
      <w:r/>
    </w:p>
    <w:p>
      <w:pPr>
        <w:pStyle w:val="1039"/>
        <w:ind w:firstLine="2570"/>
        <w:jc w:val="both"/>
        <w:spacing w:line="500" w:lineRule="exact"/>
        <w:rPr>
          <w:rFonts w:ascii="仿宋" w:hAnsi="仿宋" w:eastAsia="仿宋" w:cs="仿宋"/>
          <w:b/>
          <w:bCs/>
          <w:color w:val="000000"/>
          <w:sz w:val="32"/>
        </w:rPr>
      </w:pPr>
      <w:r>
        <w:rPr>
          <w:rFonts w:hint="eastAsia" w:ascii="仿宋" w:hAnsi="仿宋" w:eastAsia="仿宋" w:cs="仿宋"/>
          <w:b/>
          <w:bCs/>
          <w:color w:val="000000"/>
          <w:sz w:val="32"/>
        </w:rPr>
        <w:t xml:space="preserve">2024年</w:t>
      </w:r>
      <w:r>
        <w:rPr>
          <w:rFonts w:hint="eastAsia" w:ascii="仿宋" w:hAnsi="仿宋" w:eastAsia="仿宋" w:cs="仿宋"/>
          <w:b/>
          <w:bCs/>
          <w:color w:val="000000"/>
          <w:sz w:val="32"/>
          <w:lang w:val="en-US" w:eastAsia="zh-CN"/>
        </w:rPr>
        <w:t xml:space="preserve">06</w:t>
      </w:r>
      <w:r>
        <w:rPr>
          <w:rFonts w:hint="eastAsia" w:ascii="仿宋" w:hAnsi="仿宋" w:eastAsia="仿宋" w:cs="仿宋"/>
          <w:b/>
          <w:bCs/>
          <w:color w:val="000000"/>
          <w:sz w:val="32"/>
        </w:rPr>
        <w:t xml:space="preserve">月</w:t>
      </w:r>
      <w:r>
        <w:rPr>
          <w:rFonts w:hint="eastAsia" w:ascii="仿宋" w:hAnsi="仿宋" w:eastAsia="仿宋" w:cs="仿宋"/>
          <w:b/>
          <w:bCs/>
          <w:color w:val="000000"/>
          <w:sz w:val="32"/>
          <w:lang w:val="en-US" w:eastAsia="zh-CN"/>
        </w:rPr>
        <w:t xml:space="preserve">26</w:t>
      </w:r>
      <w:r>
        <w:rPr>
          <w:rFonts w:hint="eastAsia" w:ascii="仿宋" w:hAnsi="仿宋" w:eastAsia="仿宋" w:cs="仿宋"/>
          <w:b/>
          <w:bCs/>
          <w:color w:val="000000"/>
          <w:sz w:val="32"/>
        </w:rPr>
        <w:t xml:space="preserve">日</w:t>
      </w:r>
      <w:r/>
    </w:p>
    <w:p>
      <w:pPr>
        <w:pStyle w:val="1039"/>
        <w:ind w:firstLine="0"/>
        <w:spacing w:line="500" w:lineRule="exact"/>
        <w:rPr>
          <w:rFonts w:ascii="仿宋" w:hAnsi="仿宋" w:eastAsia="仿宋" w:cs="仿宋"/>
          <w:color w:val="000000"/>
          <w:u w:val="single"/>
        </w:rPr>
      </w:pPr>
      <w:r>
        <w:rPr>
          <w:rFonts w:hint="eastAsia" w:ascii="仿宋" w:hAnsi="仿宋" w:eastAsia="仿宋" w:cs="仿宋"/>
          <w:color w:val="000000"/>
        </w:rPr>
        <w:t xml:space="preserve">                        </w:t>
      </w:r>
      <w:r/>
    </w:p>
    <w:p>
      <w:pPr>
        <w:pStyle w:val="1039"/>
        <w:ind w:firstLine="0"/>
        <w:jc w:val="center"/>
        <w:spacing w:line="500" w:lineRule="exact"/>
        <w:rPr>
          <w:rFonts w:ascii="仿宋" w:hAnsi="仿宋" w:eastAsia="仿宋" w:cs="仿宋"/>
          <w:color w:val="000000"/>
        </w:rPr>
      </w:pPr>
      <w:r>
        <w:rPr>
          <w:rFonts w:ascii="仿宋" w:hAnsi="仿宋" w:eastAsia="仿宋" w:cs="仿宋"/>
          <w:color w:val="000000"/>
        </w:rPr>
      </w:r>
      <w:r/>
    </w:p>
    <w:p>
      <w:pPr>
        <w:jc w:val="center"/>
        <w:spacing w:line="500" w:lineRule="exact"/>
        <w:rPr>
          <w:rFonts w:ascii="仿宋" w:hAnsi="仿宋" w:eastAsia="仿宋" w:cs="仿宋"/>
          <w:b/>
          <w:color w:val="000000"/>
          <w:sz w:val="44"/>
        </w:rPr>
        <w:outlineLvl w:val="0"/>
      </w:pPr>
      <w:r>
        <w:rPr>
          <w:rFonts w:hint="eastAsia" w:ascii="仿宋" w:hAnsi="仿宋" w:eastAsia="仿宋" w:cs="仿宋"/>
          <w:color w:val="000000"/>
        </w:rPr>
        <w:br w:type="page" w:clear="all"/>
      </w:r>
      <w:r/>
      <w:bookmarkStart w:id="1" w:name="_Toc20823272"/>
      <w:r/>
      <w:bookmarkStart w:id="2" w:name="_Toc479757206"/>
      <w:r/>
      <w:bookmarkStart w:id="3" w:name="_Toc513029200"/>
      <w:r/>
      <w:bookmarkStart w:id="4" w:name="_Toc16938516"/>
      <w:r/>
      <w:bookmarkStart w:id="5" w:name="_Toc523127445"/>
      <w:r>
        <w:rPr>
          <w:rFonts w:hint="eastAsia" w:ascii="仿宋" w:hAnsi="仿宋" w:eastAsia="仿宋" w:cs="仿宋"/>
          <w:color w:val="000000"/>
        </w:rPr>
        <w:t xml:space="preserve"> </w:t>
      </w:r>
      <w:r>
        <w:rPr>
          <w:rFonts w:hint="eastAsia" w:ascii="仿宋" w:hAnsi="仿宋" w:eastAsia="仿宋" w:cs="仿宋"/>
          <w:b/>
          <w:color w:val="000000"/>
          <w:sz w:val="44"/>
        </w:rPr>
        <w:t xml:space="preserve">总  目  录</w:t>
      </w:r>
      <w:r/>
    </w:p>
    <w:p>
      <w:pPr>
        <w:spacing w:line="500" w:lineRule="exact"/>
        <w:rPr>
          <w:rFonts w:ascii="仿宋" w:hAnsi="仿宋" w:eastAsia="仿宋" w:cs="仿宋"/>
          <w:b/>
          <w:color w:val="000000"/>
          <w:sz w:val="28"/>
        </w:rPr>
      </w:pPr>
      <w:r>
        <w:rPr>
          <w:rFonts w:ascii="仿宋" w:hAnsi="仿宋" w:eastAsia="仿宋" w:cs="仿宋"/>
          <w:b/>
          <w:color w:val="000000"/>
          <w:sz w:val="28"/>
        </w:rPr>
      </w:r>
      <w:r/>
    </w:p>
    <w:p>
      <w:pPr>
        <w:numPr>
          <w:ilvl w:val="0"/>
          <w:numId w:val="4"/>
        </w:numPr>
        <w:spacing w:line="500" w:lineRule="exact"/>
        <w:rPr>
          <w:rFonts w:ascii="仿宋" w:hAnsi="仿宋" w:eastAsia="仿宋" w:cs="仿宋"/>
          <w:color w:val="000000"/>
          <w:sz w:val="32"/>
        </w:rPr>
        <w:outlineLvl w:val="0"/>
      </w:pPr>
      <w:r>
        <w:rPr>
          <w:rFonts w:hint="eastAsia" w:ascii="仿宋" w:hAnsi="仿宋" w:eastAsia="仿宋" w:cs="仿宋"/>
          <w:color w:val="000000"/>
          <w:sz w:val="36"/>
        </w:rPr>
        <w:t xml:space="preserve">投标邀请……………………………………3 </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bCs/>
          <w:color w:val="000000"/>
          <w:sz w:val="36"/>
          <w:szCs w:val="36"/>
        </w:rPr>
        <w:t xml:space="preserve">投标人须知</w:t>
      </w:r>
      <w:r>
        <w:rPr>
          <w:rFonts w:hint="eastAsia" w:ascii="仿宋" w:hAnsi="仿宋" w:eastAsia="仿宋" w:cs="仿宋"/>
          <w:color w:val="000000"/>
          <w:sz w:val="36"/>
          <w:szCs w:val="36"/>
        </w:rPr>
        <w:t xml:space="preserve">…</w:t>
      </w:r>
      <w:r>
        <w:rPr>
          <w:rFonts w:hint="eastAsia" w:ascii="仿宋" w:hAnsi="仿宋" w:eastAsia="仿宋" w:cs="仿宋"/>
          <w:color w:val="000000"/>
          <w:sz w:val="36"/>
        </w:rPr>
        <w:t xml:space="preserve">………………………………6  </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合同文本……………………………………21</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采购需求……………………………………27</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bCs/>
          <w:color w:val="000000"/>
          <w:sz w:val="36"/>
          <w:szCs w:val="36"/>
        </w:rPr>
        <w:t xml:space="preserve">评标方法与评标标准</w:t>
      </w:r>
      <w:r>
        <w:rPr>
          <w:rFonts w:hint="eastAsia" w:ascii="仿宋" w:hAnsi="仿宋" w:eastAsia="仿宋" w:cs="仿宋"/>
          <w:color w:val="000000"/>
          <w:sz w:val="36"/>
        </w:rPr>
        <w:t xml:space="preserve">………………………31</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投标文件格式………………………………36</w:t>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pStyle w:val="945"/>
        <w:ind w:firstLine="2429"/>
        <w:jc w:val="both"/>
        <w:spacing w:line="500" w:lineRule="exact"/>
        <w:rPr>
          <w:rFonts w:ascii="仿宋" w:hAnsi="仿宋" w:eastAsia="仿宋" w:cs="仿宋"/>
          <w:b w:val="0"/>
          <w:bCs w:val="0"/>
          <w:color w:val="000000"/>
        </w:rPr>
      </w:pPr>
      <w:r>
        <w:rPr>
          <w:highlight w:val="none"/>
        </w:rPr>
      </w:r>
      <w:r>
        <w:rPr>
          <w:highlight w:val="none"/>
        </w:rPr>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沭阳县刘集镇智慧农场建设项目 JSZC-321322-TXJS-G2024-0035 招标项目的潜在投标人应在供应商应在采购文件提供的时间内，通过“苏采云”系统（网址： http://jszfcg.jsczt.cn/）或宿迁市政府采购网点击“政府采购管理交易系统（苏采云）”，使用CA锁进入系统从“项目参与”--“采购项目”菜单中，找到本项目获取采购文件（后缀名为“.kedt”）。 获取招标文件，并于2024-07-17 09:30 （北京时间）前递交投标文件。</w:t>
            </w:r>
            <w:r/>
          </w:p>
        </w:tc>
      </w:tr>
    </w:tbl>
    <w:p>
      <w:pPr>
        <w:pStyle w:val="75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项目编号：JSZC-321322-TXJS-G2024-0035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项目名称：沭阳县刘集镇智慧农场建设项目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预算金额：217.100000万元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最高限价为207万元；高于此限价作废标处理。</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加强农场管理、提升农场生产效率、促进农场增产增收，运用遥感、物联网，利用大数据、AI等现代信息技术技术构建刘集智慧农场综合管理平台。项目总体建设刘集智慧农场“5大系统”综合管理平台，即农情感知系统、智能仓储系统、智能灌溉系统、智能装备系统、智慧农场综合管理系统，结合智能化设备，力求化解无人或少人状态下的农场农情监测、灾害评估、精细化农事操作等大田精细化作业技术难题，通过本次推进刘集智慧农场信息化建设，帮助管理者降低人力劳动成本，增加刘集智慧农场经济收入，打造农情准监测、农事精作业、农业高科技的“精、准、高</w:t>
      </w:r>
      <w:r>
        <w:rPr>
          <w:rFonts w:ascii="FangSong" w:hAnsi="FangSong" w:eastAsia="FangSong" w:cs="FangSong"/>
          <w:color w:val="000000"/>
          <w:sz w:val="28"/>
        </w:rPr>
        <w:t xml:space="preserve">”智慧农场综合管理示范样板。详见采购需求。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自合同签订之日起120日历天。</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本项目（是/否）接受联合体投标：不接受联合体</w:t>
      </w:r>
      <w:r/>
    </w:p>
    <w:p>
      <w:pPr>
        <w:pStyle w:val="753"/>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1.响应声明及承诺函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pStyle w:val="753"/>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2024年06月27日至2024年07月03日，每天上午00:00-12:00，下午12:00-23:59（北京时间，法定节假日除外）</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地点：供应商应在采购文件提供的时间内，通过“苏采云”系统（网址：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方式：供应商应在采购文件提供的时间内，通过“苏采云”系统（网址：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53"/>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2024-07-17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5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53"/>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4.如果投标人通过苏采云系统参与政府采购项目，相关操作手册详见链接：http://www.ccgp-jiangsu.gov.cn/jiangsu/zlxz/ee/ee3a4bc5a3454aa2b0d9312230633ce9.html。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5.现场勘察及答疑：本项目不组织集中勘察及答疑，投标人如对采购需求有疑问，请咨询采购单位或采购代理联系人。</w:t>
      </w:r>
      <w:r/>
    </w:p>
    <w:p>
      <w:pPr>
        <w:pStyle w:val="753"/>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单位名称：沭阳县刘集镇人民政府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单位地址：沭阳县刘集镇刘集街</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联系人：吴驰</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联系电话：15559552216</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pStyle w:val="945"/>
        <w:ind w:firstLine="2429"/>
        <w:jc w:val="both"/>
        <w:spacing w:line="500" w:lineRule="exact"/>
        <w:rPr>
          <w:highlight w:val="none"/>
        </w:rPr>
      </w:pPr>
      <w:r/>
      <w:bookmarkStart w:id="44" w:name="_Toc120614211"/>
      <w:r>
        <w:rPr>
          <w:rFonts w:hint="eastAsia" w:ascii="仿宋" w:hAnsi="仿宋" w:eastAsia="仿宋" w:cs="仿宋"/>
          <w:color w:val="000000"/>
        </w:rPr>
        <w:br w:type="page" w:clear="all"/>
      </w:r>
      <w:r>
        <w:rPr>
          <w:rFonts w:hint="eastAsia" w:ascii="仿宋" w:hAnsi="仿宋" w:eastAsia="仿宋" w:cs="仿宋"/>
          <w:color w:val="000000"/>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仿宋" w:hAnsi="仿宋" w:eastAsia="仿宋" w:cs="仿宋"/>
          <w:color w:val="000000"/>
        </w:rPr>
        <w:t xml:space="preserve">投标人须知</w:t>
      </w:r>
      <w:bookmarkEnd w:id="45"/>
      <w:r/>
      <w:bookmarkEnd w:id="46"/>
      <w:r/>
      <w:bookmarkEnd w:id="47"/>
      <w:r/>
      <w:bookmarkEnd w:id="48"/>
      <w:r/>
      <w:r/>
    </w:p>
    <w:p>
      <w:pPr>
        <w:pStyle w:val="946"/>
        <w:ind w:firstLine="498"/>
        <w:spacing w:before="0" w:after="0" w:line="500" w:lineRule="exact"/>
        <w:rPr>
          <w:rFonts w:ascii="仿宋" w:hAnsi="仿宋" w:eastAsia="仿宋" w:cs="仿宋"/>
          <w:color w:val="000000"/>
        </w:rPr>
      </w:pPr>
      <w:r/>
      <w:bookmarkStart w:id="49" w:name="_Toc513029203"/>
      <w:r/>
      <w:bookmarkStart w:id="50" w:name="_Toc16938519"/>
      <w:r/>
      <w:bookmarkStart w:id="51" w:name="_Toc20823275"/>
      <w:r/>
      <w:bookmarkStart w:id="52" w:name="_Toc120614214"/>
      <w:r>
        <w:rPr>
          <w:rFonts w:hint="eastAsia" w:ascii="仿宋" w:hAnsi="仿宋" w:eastAsia="仿宋" w:cs="仿宋"/>
          <w:color w:val="000000"/>
        </w:rPr>
        <w:t xml:space="preserve">一、总则</w:t>
      </w:r>
      <w:bookmarkEnd w:id="49"/>
      <w:r/>
      <w:bookmarkEnd w:id="50"/>
      <w:r/>
      <w:bookmarkEnd w:id="51"/>
      <w:r/>
      <w:bookmarkEnd w:id="52"/>
      <w:r/>
      <w:r/>
    </w:p>
    <w:p>
      <w:pPr>
        <w:pStyle w:val="948"/>
        <w:ind w:firstLine="420"/>
        <w:spacing w:before="0" w:after="0" w:line="500" w:lineRule="exact"/>
        <w:rPr>
          <w:rFonts w:ascii="仿宋" w:hAnsi="仿宋" w:eastAsia="仿宋" w:cs="仿宋"/>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仿宋" w:hAnsi="仿宋" w:eastAsia="仿宋" w:cs="仿宋"/>
          <w:b w:val="0"/>
          <w:bCs w:val="0"/>
          <w:color w:val="000000"/>
        </w:rPr>
        <w:t xml:space="preserve">1</w:t>
      </w:r>
      <w:bookmarkEnd w:id="54"/>
      <w:r>
        <w:rPr>
          <w:rFonts w:hint="eastAsia" w:ascii="仿宋" w:hAnsi="仿宋" w:eastAsia="仿宋" w:cs="仿宋"/>
          <w:b w:val="0"/>
          <w:bCs w:val="0"/>
          <w:color w:val="000000"/>
        </w:rPr>
        <w:t xml:space="preserve">、招标方式</w:t>
      </w:r>
      <w:bookmarkEnd w:id="55"/>
      <w:r/>
      <w:bookmarkEnd w:id="56"/>
      <w:r/>
      <w:bookmarkEnd w:id="57"/>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1.1 本次招标采取公开招标方式，本招标文件仅适用于招标公告中所述项目。</w:t>
      </w:r>
      <w:r/>
    </w:p>
    <w:p>
      <w:pPr>
        <w:pStyle w:val="948"/>
        <w:ind w:firstLine="420"/>
        <w:spacing w:before="0" w:after="0" w:line="500" w:lineRule="exact"/>
        <w:rPr>
          <w:rFonts w:ascii="仿宋" w:hAnsi="仿宋" w:eastAsia="仿宋" w:cs="仿宋"/>
          <w:b w:val="0"/>
          <w:bCs w:val="0"/>
          <w:color w:val="000000"/>
        </w:rPr>
      </w:pPr>
      <w:r/>
      <w:bookmarkStart w:id="58" w:name="_Toc20823277"/>
      <w:r/>
      <w:bookmarkStart w:id="59" w:name="_Toc513029205"/>
      <w:r/>
      <w:bookmarkStart w:id="60" w:name="_Toc16938521"/>
      <w:r>
        <w:rPr>
          <w:rFonts w:hint="eastAsia" w:ascii="仿宋" w:hAnsi="仿宋" w:eastAsia="仿宋" w:cs="仿宋"/>
          <w:b w:val="0"/>
          <w:bCs w:val="0"/>
          <w:color w:val="000000"/>
        </w:rPr>
        <w:t xml:space="preserve">2、合格的投标人</w:t>
      </w:r>
      <w:bookmarkEnd w:id="58"/>
      <w:r/>
      <w:bookmarkEnd w:id="59"/>
      <w:r/>
      <w:bookmarkEnd w:id="60"/>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2.1满足招标公告中投标人的资格要求的规定。</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2.2 满足本文件实质性要求和条件的规定。</w:t>
      </w:r>
      <w:r/>
    </w:p>
    <w:p>
      <w:pPr>
        <w:pStyle w:val="948"/>
        <w:ind w:firstLine="420"/>
        <w:spacing w:before="0" w:after="0" w:line="500" w:lineRule="exact"/>
        <w:rPr>
          <w:rFonts w:ascii="仿宋" w:hAnsi="仿宋" w:eastAsia="仿宋" w:cs="仿宋"/>
          <w:b w:val="0"/>
          <w:bCs w:val="0"/>
          <w:color w:val="000000"/>
        </w:rPr>
      </w:pPr>
      <w:r/>
      <w:bookmarkStart w:id="61" w:name="_Toc20823278"/>
      <w:r/>
      <w:bookmarkStart w:id="62" w:name="_Toc16938522"/>
      <w:r/>
      <w:bookmarkStart w:id="63" w:name="_Toc513029206"/>
      <w:r>
        <w:rPr>
          <w:rFonts w:hint="eastAsia" w:ascii="仿宋" w:hAnsi="仿宋" w:eastAsia="仿宋" w:cs="仿宋"/>
          <w:b w:val="0"/>
          <w:bCs w:val="0"/>
          <w:color w:val="000000"/>
        </w:rPr>
        <w:t xml:space="preserve">3、适用法律</w:t>
      </w:r>
      <w:bookmarkEnd w:id="61"/>
      <w:r/>
      <w:bookmarkEnd w:id="62"/>
      <w:r/>
      <w:bookmarkEnd w:id="63"/>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3.1 本次招标及由此产生的合同受中华人民共和国有关的法律法规制约和保护。</w:t>
      </w:r>
      <w:r/>
    </w:p>
    <w:p>
      <w:pPr>
        <w:pStyle w:val="948"/>
        <w:ind w:firstLine="420"/>
        <w:spacing w:before="0" w:after="0" w:line="500" w:lineRule="exact"/>
        <w:rPr>
          <w:rFonts w:ascii="仿宋" w:hAnsi="仿宋" w:eastAsia="仿宋" w:cs="仿宋"/>
          <w:b w:val="0"/>
          <w:bCs w:val="0"/>
          <w:color w:val="000000"/>
        </w:rPr>
      </w:pPr>
      <w:r/>
      <w:bookmarkStart w:id="64" w:name="_Toc16938523"/>
      <w:r/>
      <w:bookmarkStart w:id="65" w:name="_Toc513029207"/>
      <w:r/>
      <w:bookmarkStart w:id="66" w:name="_Toc462564067"/>
      <w:r/>
      <w:bookmarkStart w:id="67" w:name="_Toc20823279"/>
      <w:r>
        <w:rPr>
          <w:rFonts w:hint="eastAsia" w:ascii="仿宋" w:hAnsi="仿宋" w:eastAsia="仿宋" w:cs="仿宋"/>
          <w:b w:val="0"/>
          <w:bCs w:val="0"/>
          <w:color w:val="000000"/>
        </w:rPr>
        <w:t xml:space="preserve">4、投标费用</w:t>
      </w:r>
      <w:bookmarkEnd w:id="64"/>
      <w:r/>
      <w:bookmarkEnd w:id="65"/>
      <w:r/>
      <w:bookmarkEnd w:id="66"/>
      <w:r/>
      <w:bookmarkEnd w:id="67"/>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投标人应自行承担所有与参加投标有关的费用，无论投标过程中的做法和结果如何，采购代理机构在任何情况下均无义务和责任承担这些费用。</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4.2代理费用收取方式及标准：按以下第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 种方式执行</w:t>
      </w:r>
      <w:r/>
    </w:p>
    <w:p>
      <w:pPr>
        <w:ind w:firstLine="480"/>
        <w:spacing w:line="50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4.2.1无需支付；</w:t>
      </w:r>
      <w:r/>
    </w:p>
    <w:p>
      <w:pPr>
        <w:pStyle w:val="1047"/>
        <w:ind w:firstLine="480"/>
        <w:spacing w:line="500" w:lineRule="exact"/>
        <w:rPr>
          <w:rFonts w:ascii="仿宋" w:hAnsi="仿宋" w:eastAsia="仿宋" w:cs="仿宋"/>
          <w:color w:val="000000"/>
          <w:sz w:val="24"/>
          <w:szCs w:val="21"/>
          <w:lang w:val="en-US"/>
        </w:rPr>
      </w:pPr>
      <w:r>
        <w:rPr>
          <w:rFonts w:hint="eastAsia" w:ascii="仿宋" w:hAnsi="仿宋" w:eastAsia="仿宋" w:cs="仿宋"/>
          <w:color w:val="000000"/>
          <w:sz w:val="24"/>
          <w:szCs w:val="21"/>
          <w:lang w:val="zh-CN"/>
        </w:rPr>
        <w:t xml:space="preserve">4.2.2采购人支付，具体方式及标准为：按照“苏招协[2022]002 号”文件规定的标准。（支持数字人民币形式支付）。</w:t>
      </w:r>
      <w:r>
        <w:rPr>
          <w:rFonts w:hint="eastAsia" w:ascii="仿宋" w:hAnsi="仿宋" w:eastAsia="仿宋" w:cs="仿宋"/>
          <w:color w:val="000000"/>
          <w:sz w:val="24"/>
          <w:szCs w:val="21"/>
          <w:lang w:val="en-US"/>
        </w:rPr>
        <w:t xml:space="preserve">  </w:t>
      </w:r>
      <w:r/>
    </w:p>
    <w:p>
      <w:pPr>
        <w:pStyle w:val="948"/>
        <w:ind w:firstLine="602"/>
        <w:spacing w:before="0" w:after="0" w:line="500" w:lineRule="exact"/>
        <w:rPr>
          <w:rFonts w:ascii="仿宋" w:hAnsi="仿宋" w:eastAsia="仿宋" w:cs="仿宋"/>
          <w:b w:val="0"/>
          <w:bCs w:val="0"/>
          <w:color w:val="000000"/>
        </w:rPr>
      </w:pPr>
      <w:r>
        <w:rPr>
          <w:rFonts w:hint="eastAsia" w:ascii="仿宋" w:hAnsi="仿宋" w:eastAsia="仿宋" w:cs="仿宋"/>
          <w:color w:val="000000"/>
          <w:sz w:val="30"/>
        </w:rPr>
        <w:t xml:space="preserve">5、</w:t>
      </w:r>
      <w:r>
        <w:rPr>
          <w:rFonts w:hint="eastAsia" w:ascii="仿宋" w:hAnsi="仿宋" w:eastAsia="仿宋" w:cs="仿宋"/>
          <w:b w:val="0"/>
          <w:bCs w:val="0"/>
          <w:color w:val="000000"/>
        </w:rPr>
        <w:t xml:space="preserve">招标文件的约束力</w:t>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p>
    <w:p>
      <w:pPr>
        <w:pStyle w:val="946"/>
        <w:ind w:firstLine="321"/>
        <w:spacing w:before="0" w:after="0" w:line="500" w:lineRule="exact"/>
        <w:rPr>
          <w:rFonts w:ascii="仿宋" w:hAnsi="仿宋" w:eastAsia="仿宋" w:cs="仿宋"/>
          <w:color w:val="000000"/>
        </w:rPr>
      </w:pPr>
      <w:r/>
      <w:bookmarkStart w:id="68" w:name="_Toc16938525"/>
      <w:r/>
      <w:bookmarkStart w:id="69" w:name="_Toc513029209"/>
      <w:r/>
      <w:bookmarkStart w:id="70" w:name="_Toc20823281"/>
      <w:r/>
      <w:bookmarkStart w:id="71" w:name="_Toc120614215"/>
      <w:r>
        <w:rPr>
          <w:rFonts w:hint="eastAsia" w:ascii="仿宋" w:hAnsi="仿宋" w:eastAsia="仿宋" w:cs="仿宋"/>
          <w:color w:val="000000"/>
        </w:rPr>
        <w:t xml:space="preserve">二、招标文件</w:t>
      </w:r>
      <w:bookmarkEnd w:id="68"/>
      <w:r/>
      <w:bookmarkEnd w:id="69"/>
      <w:r/>
      <w:bookmarkEnd w:id="70"/>
      <w:r/>
      <w:bookmarkEnd w:id="71"/>
      <w:r/>
      <w:r/>
    </w:p>
    <w:p>
      <w:pPr>
        <w:pStyle w:val="948"/>
        <w:ind w:firstLine="420"/>
        <w:spacing w:before="0" w:after="0" w:line="500" w:lineRule="exact"/>
        <w:rPr>
          <w:rFonts w:ascii="仿宋" w:hAnsi="仿宋" w:eastAsia="仿宋" w:cs="仿宋"/>
          <w:b w:val="0"/>
          <w:bCs w:val="0"/>
          <w:color w:val="000000"/>
        </w:rPr>
      </w:pPr>
      <w:r/>
      <w:bookmarkStart w:id="72" w:name="_Toc513029210"/>
      <w:r/>
      <w:bookmarkStart w:id="73" w:name="_Toc16938526"/>
      <w:r/>
      <w:bookmarkStart w:id="74" w:name="_Toc20823282"/>
      <w:r>
        <w:rPr>
          <w:rFonts w:hint="eastAsia" w:ascii="仿宋" w:hAnsi="仿宋" w:eastAsia="仿宋" w:cs="仿宋"/>
          <w:b w:val="0"/>
          <w:bCs w:val="0"/>
          <w:color w:val="000000"/>
        </w:rPr>
        <w:t xml:space="preserve">6、招标文件构成</w:t>
      </w:r>
      <w:bookmarkEnd w:id="72"/>
      <w:r/>
      <w:bookmarkEnd w:id="73"/>
      <w:r/>
      <w:bookmarkEnd w:id="74"/>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6.1</w:t>
      </w:r>
      <w:r>
        <w:rPr>
          <w:rFonts w:hint="eastAsia" w:ascii="仿宋" w:hAnsi="仿宋" w:eastAsia="仿宋" w:cs="仿宋"/>
          <w:color w:val="000000"/>
          <w:sz w:val="24"/>
        </w:rPr>
        <w:t xml:space="preserve"> 招标文件由以下部分组成：</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请仔细检查招标文件是否齐全，如有缺漏请立即与采购代理机构联系解决。</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6.2</w:t>
      </w:r>
      <w:r>
        <w:rPr>
          <w:rFonts w:hint="eastAsia" w:ascii="仿宋" w:hAnsi="仿宋" w:eastAsia="仿宋" w:cs="仿宋"/>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8"/>
        <w:ind w:firstLine="560"/>
        <w:spacing w:before="0" w:after="0" w:line="500" w:lineRule="exact"/>
        <w:rPr>
          <w:rFonts w:ascii="仿宋" w:hAnsi="仿宋" w:eastAsia="仿宋" w:cs="仿宋"/>
          <w:b w:val="0"/>
          <w:bCs w:val="0"/>
          <w:color w:val="000000"/>
        </w:rPr>
      </w:pPr>
      <w:r/>
      <w:bookmarkStart w:id="75" w:name="_Toc513029211"/>
      <w:r/>
      <w:bookmarkStart w:id="76" w:name="_Toc16938527"/>
      <w:r/>
      <w:bookmarkStart w:id="77" w:name="_Toc20823283"/>
      <w:r/>
      <w:bookmarkStart w:id="78" w:name="_Toc462564070"/>
      <w:r>
        <w:rPr>
          <w:rFonts w:hint="eastAsia" w:ascii="仿宋" w:hAnsi="仿宋" w:eastAsia="仿宋" w:cs="仿宋"/>
          <w:b w:val="0"/>
          <w:bCs w:val="0"/>
          <w:color w:val="000000"/>
        </w:rPr>
        <w:t xml:space="preserve">7、招标文件的澄清</w:t>
      </w:r>
      <w:bookmarkEnd w:id="75"/>
      <w:r/>
      <w:bookmarkEnd w:id="76"/>
      <w:r/>
      <w:bookmarkEnd w:id="77"/>
      <w:r/>
      <w:bookmarkEnd w:id="78"/>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rPr>
        <w:t xml:space="preserve">7.1</w:t>
      </w:r>
      <w:r>
        <w:rPr>
          <w:rFonts w:hint="eastAsia" w:ascii="仿宋" w:hAnsi="仿宋" w:eastAsia="仿宋" w:cs="仿宋"/>
          <w:color w:val="000000"/>
          <w:sz w:val="24"/>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rPr>
        <w:t xml:space="preserve">按招标公告中的通讯地址，以书面形式通知采购代理机构。</w:t>
      </w:r>
      <w:r/>
    </w:p>
    <w:p>
      <w:pPr>
        <w:pStyle w:val="948"/>
        <w:ind w:firstLine="560"/>
        <w:spacing w:before="0" w:after="0" w:line="500" w:lineRule="exact"/>
        <w:rPr>
          <w:rFonts w:ascii="仿宋" w:hAnsi="仿宋" w:eastAsia="仿宋" w:cs="仿宋"/>
          <w:b w:val="0"/>
          <w:bCs w:val="0"/>
          <w:color w:val="000000"/>
        </w:rPr>
      </w:pPr>
      <w:r/>
      <w:bookmarkStart w:id="79" w:name="_Toc16938528"/>
      <w:r/>
      <w:bookmarkStart w:id="80" w:name="_Toc462564071"/>
      <w:r/>
      <w:bookmarkStart w:id="81" w:name="_Toc513029212"/>
      <w:r/>
      <w:bookmarkStart w:id="82" w:name="_Toc20823284"/>
      <w:r>
        <w:rPr>
          <w:rFonts w:hint="eastAsia" w:ascii="仿宋" w:hAnsi="仿宋" w:eastAsia="仿宋" w:cs="仿宋"/>
          <w:b w:val="0"/>
          <w:bCs w:val="0"/>
          <w:color w:val="000000"/>
        </w:rPr>
        <w:t xml:space="preserve">8、招标文件的修改</w:t>
      </w:r>
      <w:bookmarkEnd w:id="79"/>
      <w:r/>
      <w:bookmarkEnd w:id="80"/>
      <w:r/>
      <w:bookmarkEnd w:id="81"/>
      <w:r/>
      <w:bookmarkEnd w:id="82"/>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8.2 在投标截止时间前，采购代理机构可以对招标文件进行修改。</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8.3 采购代理机构有权按照法定的要求推迟投标截止日期和开标日期。</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8.4招标文件的修改将在原公告媒体上发布更正公告，补充文件将作为招标文件的组成部分，并对投标人具有约束力。</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946"/>
        <w:ind w:firstLine="482"/>
        <w:spacing w:before="0" w:after="0" w:line="500" w:lineRule="exact"/>
        <w:rPr>
          <w:rFonts w:ascii="仿宋" w:hAnsi="仿宋" w:eastAsia="仿宋" w:cs="仿宋"/>
          <w:color w:val="000000"/>
        </w:rPr>
      </w:pPr>
      <w:r/>
      <w:bookmarkStart w:id="83" w:name="_Toc513029213"/>
      <w:r/>
      <w:bookmarkStart w:id="84" w:name="_Toc20823285"/>
      <w:r/>
      <w:bookmarkStart w:id="85" w:name="_Toc462564072"/>
      <w:r/>
      <w:bookmarkStart w:id="86" w:name="_Toc16938529"/>
      <w:r/>
      <w:bookmarkStart w:id="87" w:name="_Toc120614216"/>
      <w:r>
        <w:rPr>
          <w:rFonts w:hint="eastAsia" w:ascii="仿宋" w:hAnsi="仿宋" w:eastAsia="仿宋" w:cs="仿宋"/>
          <w:color w:val="000000"/>
        </w:rPr>
        <w:t xml:space="preserve">三、投标文件的编制</w:t>
      </w:r>
      <w:bookmarkEnd w:id="83"/>
      <w:r/>
      <w:bookmarkEnd w:id="84"/>
      <w:r/>
      <w:bookmarkEnd w:id="85"/>
      <w:r/>
      <w:bookmarkEnd w:id="86"/>
      <w:r/>
      <w:bookmarkEnd w:id="87"/>
      <w:r/>
      <w:r/>
    </w:p>
    <w:p>
      <w:pPr>
        <w:pStyle w:val="948"/>
        <w:ind w:firstLine="560"/>
        <w:spacing w:before="0" w:after="0" w:line="500" w:lineRule="exact"/>
        <w:rPr>
          <w:rFonts w:ascii="仿宋" w:hAnsi="仿宋" w:eastAsia="仿宋" w:cs="仿宋"/>
          <w:bCs w:val="0"/>
          <w:color w:val="000000"/>
        </w:rPr>
      </w:pPr>
      <w:r/>
      <w:bookmarkStart w:id="88" w:name="_Toc513029214"/>
      <w:r/>
      <w:bookmarkStart w:id="89" w:name="_Toc20823286"/>
      <w:r/>
      <w:bookmarkStart w:id="90" w:name="_Toc462564073"/>
      <w:r/>
      <w:bookmarkStart w:id="91" w:name="_Toc16938530"/>
      <w:r>
        <w:rPr>
          <w:rFonts w:hint="eastAsia" w:ascii="仿宋" w:hAnsi="仿宋" w:eastAsia="仿宋" w:cs="仿宋"/>
          <w:b w:val="0"/>
          <w:bCs w:val="0"/>
          <w:color w:val="000000"/>
        </w:rPr>
        <w:t xml:space="preserve">9、投标文件的语言及度量衡单位</w:t>
      </w:r>
      <w:bookmarkEnd w:id="88"/>
      <w:r/>
      <w:bookmarkEnd w:id="89"/>
      <w:r/>
      <w:bookmarkEnd w:id="90"/>
      <w:r/>
      <w:bookmarkEnd w:id="91"/>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9.1</w:t>
      </w:r>
      <w:r>
        <w:rPr>
          <w:rFonts w:hint="eastAsia" w:ascii="仿宋" w:hAnsi="仿宋" w:eastAsia="仿宋" w:cs="仿宋"/>
          <w:color w:val="000000"/>
          <w:sz w:val="24"/>
        </w:rPr>
        <w:t xml:space="preserve"> 投标人提交的投标文件以及投标人与采购代理机构就有关投标的所有来往通知、函件和文件均应使用</w:t>
      </w:r>
      <w:r>
        <w:rPr>
          <w:rFonts w:hint="eastAsia" w:ascii="仿宋" w:hAnsi="仿宋" w:eastAsia="仿宋" w:cs="仿宋"/>
          <w:b/>
          <w:bCs/>
          <w:color w:val="000000"/>
          <w:sz w:val="24"/>
        </w:rPr>
        <w:t xml:space="preserve">简体中文</w:t>
      </w:r>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9.2</w:t>
      </w:r>
      <w:r>
        <w:rPr>
          <w:rFonts w:hint="eastAsia" w:ascii="仿宋" w:hAnsi="仿宋" w:eastAsia="仿宋" w:cs="仿宋"/>
          <w:color w:val="000000"/>
          <w:sz w:val="24"/>
        </w:rPr>
        <w:t xml:space="preserve"> 除技术性能另有规定外，投标文件所使用的度量衡单位，均须采用国家法定计量单位。</w:t>
      </w:r>
      <w:r/>
    </w:p>
    <w:p>
      <w:pPr>
        <w:pStyle w:val="948"/>
        <w:ind w:firstLine="420"/>
        <w:spacing w:before="0" w:after="0" w:line="500" w:lineRule="exact"/>
        <w:rPr>
          <w:rFonts w:ascii="仿宋" w:hAnsi="仿宋" w:eastAsia="仿宋" w:cs="仿宋"/>
          <w:b w:val="0"/>
          <w:bCs w:val="0"/>
          <w:color w:val="000000"/>
        </w:rPr>
      </w:pPr>
      <w:r/>
      <w:bookmarkStart w:id="92" w:name="_Toc513029215"/>
      <w:r/>
      <w:bookmarkStart w:id="93" w:name="_Toc20823287"/>
      <w:r/>
      <w:bookmarkStart w:id="94" w:name="_Toc16938531"/>
      <w:r/>
      <w:bookmarkStart w:id="95" w:name="_Toc462564074"/>
      <w:r>
        <w:rPr>
          <w:rFonts w:hint="eastAsia" w:ascii="仿宋" w:hAnsi="仿宋" w:eastAsia="仿宋" w:cs="仿宋"/>
          <w:b w:val="0"/>
          <w:bCs w:val="0"/>
          <w:color w:val="000000"/>
        </w:rPr>
        <w:t xml:space="preserve">10、投标文件构成</w:t>
      </w:r>
      <w:bookmarkEnd w:id="92"/>
      <w:r/>
      <w:bookmarkEnd w:id="93"/>
      <w:r/>
      <w:bookmarkEnd w:id="94"/>
      <w:r/>
      <w:bookmarkEnd w:id="95"/>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lang w:val="zh-CN"/>
        </w:rPr>
        <w:t xml:space="preserve">各投标人在编制投标文件时请按照招标文件第六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规定的格式进行，混乱的编排导致投标文件被误读或评委会查找不到有效文件是投标人的风险。</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10.2 投标人编写的投标文件应包括资格证明文件、符合性证明文件、投标分项报价表、响应及偏离表、其他证明文件、投标函、开标一览表等部分。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10.2 如标书制作工具中格式和内容与“宿迁市政府采购网”发布的招标文件不一致，请以“宿迁市政府采购网”发布的招标文件为准。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10.6中标后按相关要求提供与电子投标文件一致的纸质打印投标文件2份。 </w:t>
      </w:r>
      <w:r/>
    </w:p>
    <w:p>
      <w:pPr>
        <w:ind w:firstLine="480"/>
        <w:spacing w:line="500" w:lineRule="exact"/>
        <w:rPr>
          <w:rFonts w:ascii="仿宋" w:hAnsi="仿宋" w:eastAsia="仿宋" w:cs="仿宋"/>
          <w:bCs/>
          <w:color w:val="000000"/>
          <w:sz w:val="24"/>
        </w:rPr>
      </w:pPr>
      <w:r/>
      <w:bookmarkStart w:id="96" w:name="EBc50e2bb832bb43068403b10c1cce6141"/>
      <w:r>
        <w:rPr>
          <w:rFonts w:hint="eastAsia" w:ascii="仿宋" w:hAnsi="仿宋" w:eastAsia="仿宋" w:cs="仿宋"/>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948"/>
        <w:ind w:firstLine="420"/>
        <w:spacing w:before="0" w:after="0" w:line="500" w:lineRule="exact"/>
        <w:rPr>
          <w:rFonts w:ascii="仿宋" w:hAnsi="仿宋" w:eastAsia="仿宋" w:cs="仿宋"/>
          <w:b w:val="0"/>
          <w:bCs w:val="0"/>
          <w:color w:val="000000"/>
        </w:rPr>
      </w:pPr>
      <w:r/>
      <w:bookmarkStart w:id="97" w:name="_Hlt26670360"/>
      <w:r/>
      <w:bookmarkEnd w:id="97"/>
      <w:r/>
      <w:bookmarkStart w:id="98" w:name="_Hlt26954838"/>
      <w:r/>
      <w:bookmarkEnd w:id="98"/>
      <w:r/>
      <w:bookmarkStart w:id="99" w:name="_Hlt26668975"/>
      <w:r/>
      <w:bookmarkEnd w:id="99"/>
      <w:r/>
      <w:bookmarkStart w:id="100" w:name="_Toc513029216"/>
      <w:r/>
      <w:bookmarkStart w:id="101" w:name="_Toc14577354"/>
      <w:r/>
      <w:bookmarkStart w:id="102" w:name="_Toc14577357"/>
      <w:r/>
      <w:bookmarkStart w:id="103" w:name="_Toc513029219"/>
      <w:r/>
      <w:bookmarkStart w:id="104" w:name="_Toc49090509"/>
      <w:r/>
      <w:bookmarkStart w:id="105" w:name="_Toc49090507"/>
      <w:r>
        <w:rPr>
          <w:rFonts w:hint="eastAsia" w:ascii="仿宋" w:hAnsi="仿宋" w:eastAsia="仿宋" w:cs="仿宋"/>
          <w:b w:val="0"/>
          <w:bCs w:val="0"/>
          <w:color w:val="000000"/>
        </w:rPr>
        <w:t xml:space="preserve">11、证明投标人及投标标的符合招标文件规定的文件</w:t>
      </w:r>
      <w:bookmarkEnd w:id="100"/>
      <w:r/>
      <w:bookmarkEnd w:id="101"/>
      <w:r/>
      <w:bookmarkEnd w:id="102"/>
      <w:r/>
      <w:bookmarkEnd w:id="103"/>
      <w:r/>
      <w:bookmarkEnd w:id="104"/>
      <w:r/>
      <w:bookmarkEnd w:id="105"/>
      <w:r/>
      <w:r/>
    </w:p>
    <w:p>
      <w:pPr>
        <w:spacing w:line="500" w:lineRule="exact"/>
        <w:rPr>
          <w:rFonts w:ascii="仿宋" w:hAnsi="仿宋" w:eastAsia="仿宋" w:cs="仿宋"/>
          <w:color w:val="000000"/>
          <w:sz w:val="24"/>
          <w:szCs w:val="24"/>
        </w:rPr>
      </w:pPr>
      <w:r/>
      <w:bookmarkStart w:id="106" w:name="_Toc14577355"/>
      <w:r/>
      <w:bookmarkStart w:id="107" w:name="_Toc49090508"/>
      <w:r>
        <w:rPr>
          <w:rFonts w:hint="eastAsia" w:ascii="仿宋" w:hAnsi="仿宋" w:eastAsia="仿宋" w:cs="仿宋"/>
          <w:color w:val="000000"/>
          <w:sz w:val="24"/>
          <w:szCs w:val="24"/>
        </w:rPr>
        <w:t xml:space="preserve">    11.1 投标人应按照法律、法规、规章和规范性文件以及招标文件要求提交证明文件，证明其及投标标的符合招标文件规定。</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12、投标分项报价</w:t>
      </w:r>
      <w:bookmarkEnd w:id="106"/>
      <w:r/>
      <w:bookmarkStart w:id="108" w:name="_Hlt26670373"/>
      <w:r/>
      <w:bookmarkEnd w:id="108"/>
      <w:r>
        <w:rPr>
          <w:rFonts w:hint="eastAsia" w:ascii="仿宋" w:hAnsi="仿宋" w:eastAsia="仿宋" w:cs="仿宋"/>
          <w:b w:val="0"/>
          <w:bCs w:val="0"/>
          <w:color w:val="000000"/>
        </w:rPr>
        <w:t xml:space="preserve">表</w:t>
      </w:r>
      <w:bookmarkEnd w:id="107"/>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12.1</w:t>
      </w:r>
      <w:r>
        <w:rPr>
          <w:rFonts w:hint="eastAsia" w:ascii="仿宋" w:hAnsi="仿宋" w:eastAsia="仿宋" w:cs="仿宋"/>
          <w:color w:val="000000"/>
          <w:sz w:val="24"/>
        </w:rPr>
        <w:t xml:space="preserve"> 投</w:t>
      </w:r>
      <w:bookmarkStart w:id="109" w:name="_Hlt26954840"/>
      <w:r/>
      <w:bookmarkEnd w:id="109"/>
      <w:r>
        <w:rPr>
          <w:rFonts w:hint="eastAsia" w:ascii="仿宋" w:hAnsi="仿宋" w:eastAsia="仿宋" w:cs="仿宋"/>
          <w:color w:val="000000"/>
          <w:sz w:val="24"/>
        </w:rPr>
        <w:t xml:space="preserve">标人应按照招标文件规定格式填报投标分项报价表</w:t>
      </w:r>
      <w:bookmarkStart w:id="110" w:name="_Hlt26670399"/>
      <w:r/>
      <w:bookmarkEnd w:id="110"/>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12.2</w:t>
      </w:r>
      <w:r>
        <w:rPr>
          <w:rFonts w:hint="eastAsia" w:ascii="仿宋" w:hAnsi="仿宋" w:eastAsia="仿宋" w:cs="仿宋"/>
          <w:bCs/>
          <w:color w:val="000000"/>
          <w:sz w:val="24"/>
        </w:rPr>
        <w:t xml:space="preserve">投标货币。投标文件中的单价和总价无特殊规定的采用人民币报价，以元为单位标注。</w:t>
      </w:r>
      <w:r>
        <w:rPr>
          <w:rFonts w:hint="eastAsia" w:ascii="仿宋" w:hAnsi="仿宋" w:eastAsia="仿宋" w:cs="仿宋"/>
          <w:color w:val="000000"/>
          <w:sz w:val="24"/>
        </w:rPr>
        <w:t xml:space="preserve">招标文件中另有规定的按规定执行。</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12.3本项目不接受备选的投标方案或有选择的报价，只允许有一个报价。投标报价内容包括：服务、税费、人工等完成本项目所涉及到的一切相关费用。</w:t>
      </w:r>
      <w:r/>
    </w:p>
    <w:p>
      <w:pPr>
        <w:pStyle w:val="948"/>
        <w:ind w:firstLine="420"/>
        <w:spacing w:before="0" w:after="0" w:line="500" w:lineRule="exact"/>
        <w:rPr>
          <w:rFonts w:ascii="仿宋" w:hAnsi="仿宋" w:eastAsia="仿宋" w:cs="仿宋"/>
          <w:b w:val="0"/>
          <w:bCs w:val="0"/>
        </w:rPr>
      </w:pPr>
      <w:r/>
      <w:bookmarkStart w:id="111" w:name="_Hlt26668983"/>
      <w:r/>
      <w:bookmarkEnd w:id="111"/>
      <w:r/>
      <w:bookmarkStart w:id="112" w:name="_Hlt26670403"/>
      <w:r/>
      <w:bookmarkEnd w:id="112"/>
      <w:r/>
      <w:bookmarkStart w:id="113" w:name="_Hlt26670486"/>
      <w:r/>
      <w:bookmarkEnd w:id="113"/>
      <w:r/>
      <w:bookmarkStart w:id="114" w:name="_Hlt26954844"/>
      <w:r/>
      <w:bookmarkEnd w:id="114"/>
      <w:r/>
      <w:bookmarkStart w:id="115" w:name="_Hlt26954846"/>
      <w:r/>
      <w:bookmarkEnd w:id="115"/>
      <w:r/>
      <w:bookmarkStart w:id="116" w:name="_Hlt26954842"/>
      <w:r/>
      <w:bookmarkEnd w:id="116"/>
      <w:r/>
      <w:bookmarkStart w:id="117" w:name="_Hlt26954731"/>
      <w:r/>
      <w:bookmarkEnd w:id="117"/>
      <w:r/>
      <w:bookmarkStart w:id="118" w:name="_Hlt26954848"/>
      <w:r/>
      <w:bookmarkEnd w:id="118"/>
      <w:r/>
      <w:bookmarkStart w:id="119" w:name="_Hlt26670425"/>
      <w:r/>
      <w:bookmarkEnd w:id="119"/>
      <w:r/>
      <w:bookmarkStart w:id="120" w:name="_Hlt26670482"/>
      <w:r/>
      <w:bookmarkEnd w:id="120"/>
      <w:r>
        <w:rPr>
          <w:rFonts w:hint="eastAsia" w:ascii="仿宋" w:hAnsi="仿宋" w:eastAsia="仿宋" w:cs="仿宋"/>
          <w:b w:val="0"/>
          <w:bCs w:val="0"/>
        </w:rPr>
        <w:t xml:space="preserve">13、技术要求响应及偏离表、商务要求响应及偏离表</w:t>
      </w:r>
      <w:r/>
    </w:p>
    <w:p>
      <w:pPr>
        <w:ind w:firstLine="480"/>
        <w:spacing w:line="500" w:lineRule="exact"/>
        <w:rPr>
          <w:rFonts w:ascii="仿宋" w:hAnsi="仿宋" w:eastAsia="仿宋" w:cs="仿宋"/>
          <w:sz w:val="24"/>
          <w:lang w:val="zh-CN"/>
        </w:rPr>
      </w:pPr>
      <w:r/>
      <w:bookmarkStart w:id="121" w:name="_Toc14577359"/>
      <w:r/>
      <w:bookmarkStart w:id="122" w:name="_Toc49090510"/>
      <w:r>
        <w:rPr>
          <w:rFonts w:hint="eastAsia" w:ascii="仿宋" w:hAnsi="仿宋" w:eastAsia="仿宋" w:cs="仿宋"/>
          <w:bCs/>
          <w:sz w:val="24"/>
          <w:lang w:val="zh-CN"/>
        </w:rPr>
        <w:t xml:space="preserve">13.1</w:t>
      </w:r>
      <w:r>
        <w:rPr>
          <w:rFonts w:hint="eastAsia" w:ascii="仿宋" w:hAnsi="仿宋" w:eastAsia="仿宋" w:cs="仿宋"/>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仿宋" w:hAnsi="仿宋" w:eastAsia="仿宋" w:cs="仿宋"/>
          <w:sz w:val="24"/>
          <w:lang w:val="zh-CN"/>
        </w:rPr>
      </w:pPr>
      <w:r>
        <w:rPr>
          <w:rFonts w:hint="eastAsia" w:ascii="仿宋" w:hAnsi="仿宋" w:eastAsia="仿宋" w:cs="仿宋"/>
          <w:sz w:val="24"/>
          <w:lang w:val="zh-CN"/>
        </w:rPr>
        <w:t xml:space="preserve">13.2 投标人可在投标文件中提供认为需要的其他技术文件或说明。</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14、投标声明及承诺函和开标一览表</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14.1</w:t>
      </w:r>
      <w:r>
        <w:rPr>
          <w:rFonts w:hint="eastAsia" w:ascii="仿宋" w:hAnsi="仿宋" w:eastAsia="仿宋" w:cs="仿宋"/>
          <w:color w:val="000000"/>
          <w:sz w:val="24"/>
        </w:rPr>
        <w:t xml:space="preserve"> 投标人应按照招标文件中提供的格式完整、正确填写投标声明及承诺函、开标一览表。</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14.2</w:t>
      </w:r>
      <w:r>
        <w:rPr>
          <w:rFonts w:hint="eastAsia" w:ascii="仿宋" w:hAnsi="仿宋" w:eastAsia="仿宋" w:cs="仿宋"/>
          <w:color w:val="000000"/>
          <w:sz w:val="24"/>
        </w:rPr>
        <w:t xml:space="preserve"> 对于采用货币报价的项目，</w:t>
      </w:r>
      <w:r>
        <w:rPr>
          <w:rFonts w:hint="eastAsia" w:ascii="仿宋" w:hAnsi="仿宋" w:eastAsia="仿宋" w:cs="仿宋"/>
          <w:bCs/>
          <w:color w:val="000000"/>
          <w:sz w:val="24"/>
        </w:rPr>
        <w:t xml:space="preserve">开标一览表中的投标总报价应与投标分项报价表中的投标总报价一致，如不一致，</w:t>
      </w:r>
      <w:r>
        <w:rPr>
          <w:rFonts w:hint="eastAsia" w:ascii="仿宋" w:hAnsi="仿宋" w:eastAsia="仿宋" w:cs="仿宋"/>
          <w:color w:val="000000"/>
          <w:sz w:val="24"/>
          <w:szCs w:val="24"/>
        </w:rPr>
        <w:t xml:space="preserve">不作为无效投标处理</w:t>
      </w:r>
      <w:r>
        <w:rPr>
          <w:rFonts w:hint="eastAsia" w:ascii="仿宋" w:hAnsi="仿宋" w:eastAsia="仿宋" w:cs="仿宋"/>
          <w:bCs/>
          <w:color w:val="000000"/>
          <w:sz w:val="24"/>
        </w:rPr>
        <w:t xml:space="preserve">，但评标时按开标一览表中价格为准</w:t>
      </w:r>
      <w:r>
        <w:rPr>
          <w:rFonts w:hint="eastAsia" w:ascii="仿宋" w:hAnsi="仿宋" w:eastAsia="仿宋" w:cs="仿宋"/>
          <w:b/>
          <w:bCs/>
          <w:color w:val="000000"/>
          <w:sz w:val="24"/>
        </w:rPr>
        <w:t xml:space="preserve">。</w:t>
      </w:r>
      <w:bookmarkEnd w:id="121"/>
      <w:r/>
      <w:bookmarkEnd w:id="122"/>
      <w:r/>
      <w:r/>
    </w:p>
    <w:p>
      <w:pPr>
        <w:pStyle w:val="948"/>
        <w:ind w:firstLine="420"/>
        <w:spacing w:before="0" w:after="0" w:line="500" w:lineRule="exact"/>
        <w:rPr>
          <w:rFonts w:ascii="仿宋" w:hAnsi="仿宋" w:eastAsia="仿宋" w:cs="仿宋"/>
          <w:b w:val="0"/>
          <w:bCs w:val="0"/>
          <w:color w:val="000000"/>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ascii="仿宋" w:hAnsi="仿宋" w:eastAsia="仿宋" w:cs="仿宋"/>
          <w:b w:val="0"/>
          <w:bCs w:val="0"/>
          <w:color w:val="000000"/>
        </w:rPr>
        <w:t xml:space="preserve">15、投标有效期</w:t>
      </w:r>
      <w:bookmarkEnd w:id="126"/>
      <w:r/>
      <w:bookmarkEnd w:id="127"/>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15.1</w:t>
      </w:r>
      <w:r>
        <w:rPr>
          <w:rFonts w:hint="eastAsia" w:ascii="仿宋" w:hAnsi="仿宋" w:eastAsia="仿宋" w:cs="仿宋"/>
          <w:bCs/>
          <w:color w:val="000000"/>
          <w:sz w:val="24"/>
        </w:rPr>
        <w:t xml:space="preserve"> 投标有效期为开标之日后</w:t>
      </w:r>
      <w:r>
        <w:rPr>
          <w:rFonts w:hint="eastAsia" w:ascii="仿宋" w:hAnsi="仿宋" w:eastAsia="仿宋" w:cs="仿宋"/>
          <w:b/>
          <w:color w:val="000000"/>
          <w:sz w:val="24"/>
          <w:u w:val="single"/>
        </w:rPr>
        <w:t xml:space="preserve">六十（60）天</w:t>
      </w:r>
      <w:r>
        <w:rPr>
          <w:rFonts w:hint="eastAsia" w:ascii="仿宋" w:hAnsi="仿宋" w:eastAsia="仿宋" w:cs="仿宋"/>
          <w:bCs/>
          <w:color w:val="000000"/>
          <w:sz w:val="24"/>
        </w:rPr>
        <w:t xml:space="preserve">。投标有效期比规定短的将被视为未实质性响应招标文件而予以拒绝。</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16、投标有效期的延长</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16.1</w:t>
      </w:r>
      <w:r>
        <w:rPr>
          <w:rFonts w:hint="eastAsia" w:ascii="仿宋" w:hAnsi="仿宋" w:eastAsia="仿宋" w:cs="仿宋"/>
          <w:bCs/>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rPr>
          <w:rFonts w:hint="eastAsia" w:ascii="仿宋" w:hAnsi="仿宋" w:eastAsia="仿宋" w:cs="仿宋"/>
          <w:color w:val="000000"/>
          <w:sz w:val="24"/>
          <w:szCs w:val="24"/>
        </w:rPr>
        <w:t xml:space="preserve">，同时受投标有效期约束的所有权利与义务均延长至新的有效期</w:t>
      </w:r>
      <w:r>
        <w:rPr>
          <w:rFonts w:hint="eastAsia" w:ascii="仿宋" w:hAnsi="仿宋" w:eastAsia="仿宋" w:cs="仿宋"/>
          <w:bCs/>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16.2中标人的投标文件作为项目服务合同的附件，其有效期至中标人全部合同义务履行完毕为止。 </w:t>
      </w:r>
      <w:r/>
    </w:p>
    <w:p>
      <w:pPr>
        <w:pStyle w:val="946"/>
        <w:ind w:firstLine="482"/>
        <w:spacing w:before="0" w:after="0" w:line="500" w:lineRule="exact"/>
        <w:rPr>
          <w:rFonts w:ascii="仿宋" w:hAnsi="仿宋" w:eastAsia="仿宋" w:cs="仿宋"/>
          <w:color w:val="000000"/>
        </w:rPr>
      </w:pPr>
      <w:r/>
      <w:bookmarkStart w:id="128" w:name="_Hlt26954852"/>
      <w:r/>
      <w:bookmarkEnd w:id="128"/>
      <w:r/>
      <w:bookmarkStart w:id="129" w:name="_Hlt26954739"/>
      <w:r/>
      <w:bookmarkEnd w:id="129"/>
      <w:r/>
      <w:bookmarkStart w:id="130" w:name="_Toc120614217"/>
      <w:r/>
      <w:bookmarkStart w:id="131" w:name="_Toc20823296"/>
      <w:r/>
      <w:bookmarkStart w:id="132" w:name="_Toc16938540"/>
      <w:r/>
      <w:bookmarkStart w:id="133" w:name="_Toc513029224"/>
      <w:r>
        <w:rPr>
          <w:rFonts w:hint="eastAsia" w:ascii="仿宋" w:hAnsi="仿宋" w:eastAsia="仿宋" w:cs="仿宋"/>
          <w:color w:val="000000"/>
        </w:rPr>
        <w:t xml:space="preserve">四、投标文件的递交</w:t>
      </w:r>
      <w:bookmarkEnd w:id="130"/>
      <w:r/>
      <w:bookmarkEnd w:id="131"/>
      <w:r/>
      <w:bookmarkEnd w:id="132"/>
      <w:r/>
      <w:bookmarkEnd w:id="133"/>
      <w:r/>
      <w:r/>
    </w:p>
    <w:p>
      <w:pPr>
        <w:pStyle w:val="948"/>
        <w:ind w:firstLine="560"/>
        <w:spacing w:before="0" w:after="0" w:line="500" w:lineRule="exact"/>
        <w:rPr>
          <w:rFonts w:ascii="仿宋" w:hAnsi="仿宋" w:eastAsia="仿宋" w:cs="仿宋"/>
          <w:b w:val="0"/>
          <w:bCs w:val="0"/>
          <w:color w:val="000000"/>
        </w:rPr>
      </w:pPr>
      <w:r/>
      <w:bookmarkStart w:id="134" w:name="_Toc513029225"/>
      <w:r/>
      <w:bookmarkStart w:id="135" w:name="_Toc462564084"/>
      <w:r/>
      <w:bookmarkStart w:id="136" w:name="_Toc16938541"/>
      <w:r/>
      <w:bookmarkStart w:id="137" w:name="_Toc20823297"/>
      <w:r>
        <w:rPr>
          <w:rFonts w:hint="eastAsia" w:ascii="仿宋" w:hAnsi="仿宋" w:eastAsia="仿宋" w:cs="仿宋"/>
          <w:b w:val="0"/>
          <w:bCs w:val="0"/>
          <w:color w:val="000000"/>
        </w:rPr>
        <w:t xml:space="preserve">17、投标文件</w:t>
      </w:r>
      <w:bookmarkEnd w:id="134"/>
      <w:r/>
      <w:bookmarkEnd w:id="135"/>
      <w:r/>
      <w:bookmarkEnd w:id="136"/>
      <w:r/>
      <w:bookmarkEnd w:id="137"/>
      <w:r>
        <w:rPr>
          <w:rFonts w:hint="eastAsia" w:ascii="仿宋" w:hAnsi="仿宋" w:eastAsia="仿宋" w:cs="仿宋"/>
          <w:b w:val="0"/>
          <w:bCs w:val="0"/>
          <w:color w:val="000000"/>
        </w:rPr>
        <w:t xml:space="preserve">的递交</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17.1投标人应当按照《操作手册》规定，在投标截止时间前制作并上传电子投标文件。</w:t>
      </w:r>
      <w:bookmarkStart w:id="138" w:name="_Toc16938542"/>
      <w:r/>
      <w:bookmarkStart w:id="139" w:name="_Toc513029226"/>
      <w:r/>
      <w:bookmarkStart w:id="140" w:name="_Toc20823298"/>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17.2投标人通过“苏采云”系统不见面开标大厅在线参与开标活动。（具体操作详见《“苏采云”系统投标人操作手册》，网址链接</w:t>
      </w:r>
      <w:r>
        <w:rPr>
          <w:rFonts w:hint="eastAsia" w:ascii="仿宋" w:hAnsi="仿宋" w:eastAsia="仿宋" w:cs="仿宋"/>
          <w:color w:val="000000"/>
          <w:sz w:val="22"/>
          <w:szCs w:val="20"/>
        </w:rPr>
        <w:t xml:space="preserve">http://www.ccgp-jiangsu.gov.cn//webfile/jiangsu/202311/1699268553318052447.pdf）</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18、投标截止</w:t>
      </w:r>
      <w:bookmarkEnd w:id="138"/>
      <w:r/>
      <w:bookmarkEnd w:id="139"/>
      <w:r/>
      <w:bookmarkEnd w:id="140"/>
      <w:r>
        <w:rPr>
          <w:rFonts w:hint="eastAsia" w:ascii="仿宋" w:hAnsi="仿宋" w:eastAsia="仿宋" w:cs="仿宋"/>
          <w:b w:val="0"/>
          <w:bCs w:val="0"/>
          <w:color w:val="000000"/>
        </w:rPr>
        <w:t xml:space="preserve">时间</w:t>
      </w:r>
      <w:r/>
    </w:p>
    <w:p>
      <w:pPr>
        <w:ind w:firstLine="480"/>
        <w:spacing w:line="500" w:lineRule="exact"/>
        <w:rPr>
          <w:rFonts w:ascii="仿宋" w:hAnsi="仿宋" w:eastAsia="仿宋" w:cs="仿宋"/>
          <w:bCs/>
          <w:iCs/>
          <w:color w:val="000000"/>
          <w:sz w:val="24"/>
        </w:rPr>
      </w:pPr>
      <w:r>
        <w:rPr>
          <w:rFonts w:hint="eastAsia" w:ascii="仿宋" w:hAnsi="仿宋" w:eastAsia="仿宋" w:cs="仿宋"/>
          <w:iCs/>
          <w:color w:val="000000"/>
          <w:sz w:val="24"/>
        </w:rPr>
        <w:t xml:space="preserve">18.1</w:t>
      </w:r>
      <w:r>
        <w:rPr>
          <w:rFonts w:hint="eastAsia" w:ascii="仿宋" w:hAnsi="仿宋" w:eastAsia="仿宋" w:cs="仿宋"/>
          <w:bCs/>
          <w:iCs/>
          <w:color w:val="000000"/>
          <w:sz w:val="24"/>
        </w:rPr>
        <w:t xml:space="preserve"> 投标人上传电子投标文件的时间不得迟于招标公告中规定的投标截止时间。</w:t>
      </w:r>
      <w:r/>
    </w:p>
    <w:p>
      <w:pPr>
        <w:ind w:firstLine="480"/>
        <w:spacing w:line="500" w:lineRule="exact"/>
        <w:rPr>
          <w:rFonts w:ascii="仿宋" w:hAnsi="仿宋" w:eastAsia="仿宋" w:cs="仿宋"/>
          <w:bCs/>
          <w:iCs/>
          <w:color w:val="000000"/>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18.2</w:t>
      </w:r>
      <w:r>
        <w:rPr>
          <w:rFonts w:hint="eastAsia" w:ascii="仿宋" w:hAnsi="仿宋" w:eastAsia="仿宋" w:cs="仿宋"/>
          <w:bCs/>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48"/>
        <w:ind w:firstLine="420"/>
        <w:spacing w:before="0" w:after="0" w:line="500" w:lineRule="exact"/>
        <w:rPr>
          <w:rFonts w:ascii="仿宋" w:hAnsi="仿宋" w:eastAsia="仿宋" w:cs="仿宋"/>
          <w:b w:val="0"/>
          <w:bCs w:val="0"/>
          <w:color w:val="000000"/>
        </w:rPr>
      </w:pPr>
      <w:r/>
      <w:bookmarkStart w:id="141" w:name="_Toc20823299"/>
      <w:r/>
      <w:bookmarkStart w:id="142" w:name="_Toc513029227"/>
      <w:r/>
      <w:bookmarkStart w:id="143" w:name="_Toc16938543"/>
      <w:r>
        <w:rPr>
          <w:rFonts w:hint="eastAsia" w:ascii="仿宋" w:hAnsi="仿宋" w:eastAsia="仿宋" w:cs="仿宋"/>
          <w:b w:val="0"/>
          <w:bCs w:val="0"/>
          <w:color w:val="000000"/>
        </w:rPr>
        <w:t xml:space="preserve">19、投标文件</w:t>
      </w:r>
      <w:bookmarkEnd w:id="141"/>
      <w:r/>
      <w:bookmarkEnd w:id="142"/>
      <w:r/>
      <w:bookmarkEnd w:id="143"/>
      <w:r>
        <w:rPr>
          <w:rFonts w:hint="eastAsia" w:ascii="仿宋" w:hAnsi="仿宋" w:eastAsia="仿宋" w:cs="仿宋"/>
          <w:b w:val="0"/>
          <w:bCs w:val="0"/>
          <w:color w:val="000000"/>
        </w:rPr>
        <w:t xml:space="preserve">的拒收</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19.1</w:t>
      </w:r>
      <w:r>
        <w:rPr>
          <w:rFonts w:hint="eastAsia" w:ascii="仿宋" w:hAnsi="仿宋" w:eastAsia="仿宋" w:cs="仿宋"/>
          <w:bCs/>
          <w:color w:val="000000"/>
          <w:sz w:val="24"/>
        </w:rPr>
        <w:t xml:space="preserve">采购代理机构拒绝接收在其规定的投标截止时间后上传的任何投标文件。</w:t>
      </w:r>
      <w:r/>
    </w:p>
    <w:p>
      <w:pPr>
        <w:pStyle w:val="948"/>
        <w:ind w:firstLine="420"/>
        <w:spacing w:before="0" w:after="0" w:line="500" w:lineRule="exact"/>
        <w:rPr>
          <w:rFonts w:ascii="仿宋" w:hAnsi="仿宋" w:eastAsia="仿宋" w:cs="仿宋"/>
          <w:b w:val="0"/>
          <w:bCs w:val="0"/>
          <w:color w:val="000000"/>
        </w:rPr>
      </w:pPr>
      <w:r/>
      <w:bookmarkStart w:id="144" w:name="_Toc20823300"/>
      <w:r/>
      <w:bookmarkStart w:id="145" w:name="_Toc513029228"/>
      <w:r/>
      <w:bookmarkStart w:id="146" w:name="_Toc16938544"/>
      <w:r>
        <w:rPr>
          <w:rFonts w:hint="eastAsia" w:ascii="仿宋" w:hAnsi="仿宋" w:eastAsia="仿宋" w:cs="仿宋"/>
          <w:b w:val="0"/>
          <w:bCs w:val="0"/>
          <w:color w:val="000000"/>
        </w:rPr>
        <w:t xml:space="preserve">20、投标文件的撤回和修改</w:t>
      </w:r>
      <w:bookmarkEnd w:id="144"/>
      <w:r/>
      <w:bookmarkEnd w:id="145"/>
      <w:r/>
      <w:bookmarkEnd w:id="146"/>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20.1 投标文件的撤回</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20.1.1 电子投标文件的撤回</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投标人可在投标截止时间前，撤回其电子投标文件，具体操作方法见《操作手册》。</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20.1.2 投标人撤回电子投标文件，则认为其不再参与本项目投标活动。</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20.2 投标文件的修改</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20.2.1投标人可在投标截止时间前，对其电子投标文件进行修改，具体操作方法见《操作手册》。</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20.2.2</w:t>
      </w:r>
      <w:r>
        <w:rPr>
          <w:rFonts w:hint="eastAsia" w:ascii="仿宋" w:hAnsi="仿宋" w:eastAsia="仿宋" w:cs="仿宋"/>
          <w:bCs/>
          <w:color w:val="000000"/>
          <w:sz w:val="24"/>
        </w:rPr>
        <w:t xml:space="preserve"> 在投标截止时间之后，投标人不得对其电子投标文件作任何修改。</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20.3</w:t>
      </w:r>
      <w:r>
        <w:rPr>
          <w:rFonts w:hint="eastAsia" w:ascii="仿宋" w:hAnsi="仿宋" w:eastAsia="仿宋" w:cs="仿宋"/>
          <w:bCs/>
          <w:color w:val="000000"/>
          <w:sz w:val="24"/>
        </w:rPr>
        <w:t xml:space="preserve"> 在投标截止时间至招标文件中规定的投标有效期满之间的这段时间内，投标人不得撤回其投标。</w:t>
      </w:r>
      <w:r/>
    </w:p>
    <w:p>
      <w:pPr>
        <w:pStyle w:val="946"/>
        <w:ind w:firstLine="482"/>
        <w:spacing w:before="0" w:after="0" w:line="500" w:lineRule="exact"/>
        <w:rPr>
          <w:rFonts w:ascii="仿宋" w:hAnsi="仿宋" w:eastAsia="仿宋" w:cs="仿宋"/>
          <w:color w:val="000000"/>
        </w:rPr>
      </w:pPr>
      <w:r/>
      <w:bookmarkStart w:id="147" w:name="_Toc16938545"/>
      <w:r/>
      <w:bookmarkStart w:id="148" w:name="_Toc20823301"/>
      <w:r/>
      <w:bookmarkStart w:id="149" w:name="_Toc120614218"/>
      <w:r/>
      <w:bookmarkStart w:id="150" w:name="_Toc513029229"/>
      <w:r>
        <w:rPr>
          <w:rFonts w:hint="eastAsia" w:ascii="仿宋" w:hAnsi="仿宋" w:eastAsia="仿宋" w:cs="仿宋"/>
          <w:color w:val="000000"/>
        </w:rPr>
        <w:t xml:space="preserve">五、开标与评标</w:t>
      </w:r>
      <w:bookmarkEnd w:id="147"/>
      <w:r/>
      <w:bookmarkEnd w:id="148"/>
      <w:r/>
      <w:bookmarkEnd w:id="149"/>
      <w:r/>
      <w:bookmarkEnd w:id="150"/>
      <w:r/>
      <w:r/>
    </w:p>
    <w:p>
      <w:pPr>
        <w:pStyle w:val="948"/>
        <w:ind w:firstLine="420"/>
        <w:spacing w:before="0" w:after="0" w:line="500" w:lineRule="exact"/>
        <w:rPr>
          <w:rFonts w:ascii="仿宋" w:hAnsi="仿宋" w:eastAsia="仿宋" w:cs="仿宋"/>
          <w:b w:val="0"/>
          <w:bCs w:val="0"/>
          <w:color w:val="000000"/>
        </w:rPr>
      </w:pPr>
      <w:r/>
      <w:bookmarkStart w:id="151" w:name="_Toc16938546"/>
      <w:r/>
      <w:bookmarkStart w:id="152" w:name="_Toc20823302"/>
      <w:r/>
      <w:bookmarkStart w:id="153" w:name="_Toc513029230"/>
      <w:r>
        <w:rPr>
          <w:rFonts w:hint="eastAsia" w:ascii="仿宋" w:hAnsi="仿宋" w:eastAsia="仿宋" w:cs="仿宋"/>
          <w:b w:val="0"/>
          <w:bCs w:val="0"/>
          <w:color w:val="000000"/>
        </w:rPr>
        <w:t xml:space="preserve">21、开标</w:t>
      </w:r>
      <w:bookmarkEnd w:id="151"/>
      <w:r/>
      <w:bookmarkEnd w:id="152"/>
      <w:r/>
      <w:bookmarkEnd w:id="153"/>
      <w:r/>
      <w:r/>
    </w:p>
    <w:p>
      <w:pPr>
        <w:pStyle w:val="1061"/>
        <w:ind w:firstLine="420"/>
        <w:spacing w:line="500" w:lineRule="exact"/>
        <w:rPr>
          <w:rFonts w:ascii="仿宋" w:hAnsi="仿宋" w:eastAsia="仿宋" w:cs="仿宋"/>
          <w:color w:val="000000"/>
          <w:sz w:val="24"/>
          <w:lang w:val="en-US"/>
        </w:rPr>
      </w:pPr>
      <w:r>
        <w:rPr>
          <w:rFonts w:hint="eastAsia" w:ascii="仿宋" w:hAnsi="仿宋" w:eastAsia="仿宋" w:cs="仿宋"/>
          <w:color w:val="000000"/>
          <w:sz w:val="24"/>
        </w:rPr>
        <w:t xml:space="preserve">21.1</w:t>
      </w:r>
      <w:r>
        <w:rPr>
          <w:rFonts w:hint="eastAsia" w:ascii="仿宋" w:hAnsi="仿宋" w:eastAsia="仿宋" w:cs="仿宋"/>
          <w:bCs/>
          <w:color w:val="000000"/>
          <w:sz w:val="24"/>
        </w:rPr>
        <w:t xml:space="preserve"> 采购代理机构将在招标公告中规定的时间和地点组织公开开标</w:t>
      </w:r>
      <w:r>
        <w:rPr>
          <w:rFonts w:hint="eastAsia" w:ascii="仿宋" w:hAnsi="仿宋" w:eastAsia="仿宋" w:cs="仿宋"/>
          <w:color w:val="000000"/>
          <w:sz w:val="24"/>
          <w:lang w:val="en-US"/>
        </w:rPr>
        <w:t xml:space="preserve">。投标人应当按照《“苏采云”系统供应商操作手册》规定，参加开标活动和在“苏采云”系统规定的时间内对投标文件进行解密。</w:t>
      </w:r>
      <w:r/>
    </w:p>
    <w:p>
      <w:pPr>
        <w:pStyle w:val="1061"/>
        <w:ind w:firstLine="420"/>
        <w:spacing w:line="500" w:lineRule="exact"/>
        <w:rPr>
          <w:rFonts w:ascii="仿宋" w:hAnsi="仿宋" w:eastAsia="仿宋" w:cs="仿宋"/>
          <w:color w:val="000000"/>
          <w:sz w:val="24"/>
          <w:szCs w:val="24"/>
        </w:rPr>
      </w:pPr>
      <w:r>
        <w:rPr>
          <w:rFonts w:hint="eastAsia" w:ascii="仿宋" w:hAnsi="仿宋" w:eastAsia="仿宋" w:cs="仿宋"/>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00" w:lineRule="exact"/>
        <w:rPr>
          <w:rFonts w:ascii="仿宋" w:hAnsi="仿宋" w:eastAsia="仿宋" w:cs="仿宋"/>
          <w:color w:val="000000"/>
        </w:rPr>
      </w:pPr>
      <w:r>
        <w:rPr>
          <w:rFonts w:hint="eastAsia" w:ascii="仿宋" w:hAnsi="仿宋" w:eastAsia="仿宋" w:cs="仿宋"/>
          <w:bCs/>
          <w:color w:val="000000"/>
          <w:sz w:val="24"/>
        </w:rPr>
        <w:t xml:space="preserve">21.3投标人在开标过程中涉及到的投标文件解密、开标结果确认等工作，应按照《操作手册》规定执行。</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21.4投标人如果对开标过程和开标记录有疑义，应当根据《操作手册》规定提出，如 “苏采云”系统中《开标记录表》宣布后5分钟内未提出的，视同认可开标结果。</w:t>
      </w:r>
      <w:r/>
    </w:p>
    <w:p>
      <w:pPr>
        <w:pStyle w:val="948"/>
        <w:ind w:firstLine="420"/>
        <w:spacing w:before="0" w:after="0" w:line="500" w:lineRule="exact"/>
        <w:rPr>
          <w:rFonts w:ascii="仿宋" w:hAnsi="仿宋" w:eastAsia="仿宋" w:cs="仿宋"/>
          <w:b w:val="0"/>
          <w:bCs w:val="0"/>
          <w:color w:val="000000"/>
        </w:rPr>
      </w:pPr>
      <w:r/>
      <w:bookmarkStart w:id="154" w:name="_Toc16938547"/>
      <w:r/>
      <w:bookmarkStart w:id="155" w:name="_Toc20823303"/>
      <w:r/>
      <w:bookmarkStart w:id="156" w:name="_Toc513029231"/>
      <w:r>
        <w:rPr>
          <w:rFonts w:hint="eastAsia" w:ascii="仿宋" w:hAnsi="仿宋" w:eastAsia="仿宋" w:cs="仿宋"/>
          <w:b w:val="0"/>
          <w:bCs w:val="0"/>
          <w:color w:val="000000"/>
        </w:rPr>
        <w:t xml:space="preserve">22、评委会</w:t>
      </w:r>
      <w:r/>
    </w:p>
    <w:p>
      <w:pPr>
        <w:spacing w:line="5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开标后，采购代理机构将立即组织评委会（以下简称评委会）进行评标。</w:t>
      </w:r>
      <w:r/>
    </w:p>
    <w:p>
      <w:pPr>
        <w:spacing w:line="5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22.2 评委会由采购人代表和有关技术、经济等方面的专家组成，且人员构成符合政府采购有关规定。</w:t>
      </w:r>
      <w:r/>
    </w:p>
    <w:p>
      <w:pPr>
        <w:spacing w:line="5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22.3评委会独立工作，负责评审所有投标文件并确定中标侯选人。</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23、评标过程的保密与公正</w:t>
      </w:r>
      <w:bookmarkEnd w:id="154"/>
      <w:r/>
      <w:bookmarkEnd w:id="155"/>
      <w:r/>
      <w:bookmarkEnd w:id="156"/>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23.1</w:t>
      </w:r>
      <w:r>
        <w:rPr>
          <w:rFonts w:hint="eastAsia" w:ascii="仿宋" w:hAnsi="仿宋" w:eastAsia="仿宋" w:cs="仿宋"/>
          <w:bCs/>
          <w:color w:val="000000"/>
          <w:sz w:val="24"/>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rPr>
        <w:t xml:space="preserve">23.2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23.3 采购代理机构和评委会不向未中标的投标人解释未中标原因，也不公布评标过程中的相关细节。</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23.4 采用综合评分法的项目，未中标的投标人可于中标结果公告期限届满之日起通过“苏采云”系统查看自己的评审得分及排序情况。</w:t>
      </w:r>
      <w:r/>
    </w:p>
    <w:p>
      <w:pPr>
        <w:pStyle w:val="948"/>
        <w:ind w:firstLine="420"/>
        <w:spacing w:before="0" w:after="0" w:line="500" w:lineRule="exact"/>
        <w:rPr>
          <w:rFonts w:ascii="仿宋" w:hAnsi="仿宋" w:eastAsia="仿宋" w:cs="仿宋"/>
          <w:b w:val="0"/>
          <w:bCs w:val="0"/>
          <w:color w:val="000000"/>
        </w:rPr>
      </w:pPr>
      <w:r/>
      <w:bookmarkStart w:id="157" w:name="_Toc513029232"/>
      <w:r/>
      <w:bookmarkStart w:id="158" w:name="_Toc20823304"/>
      <w:r/>
      <w:bookmarkStart w:id="159" w:name="_Toc16938548"/>
      <w:r>
        <w:rPr>
          <w:rFonts w:hint="eastAsia" w:ascii="仿宋" w:hAnsi="仿宋" w:eastAsia="仿宋" w:cs="仿宋"/>
          <w:b w:val="0"/>
          <w:bCs w:val="0"/>
          <w:color w:val="000000"/>
        </w:rPr>
        <w:t xml:space="preserve">24、投标文件的澄清</w:t>
      </w:r>
      <w:bookmarkEnd w:id="157"/>
      <w:r/>
      <w:bookmarkEnd w:id="158"/>
      <w:r/>
      <w:bookmarkEnd w:id="159"/>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评委会并非对每个投标人都做澄清要求。</w:t>
      </w:r>
      <w:r/>
    </w:p>
    <w:p>
      <w:pPr>
        <w:pStyle w:val="1061"/>
        <w:ind w:firstLine="422"/>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24.2需要投标人进行澄清、说明和补正的，</w:t>
      </w:r>
      <w:r>
        <w:rPr>
          <w:rFonts w:hint="eastAsia" w:ascii="仿宋" w:hAnsi="仿宋" w:eastAsia="仿宋" w:cs="仿宋"/>
          <w:color w:val="000000"/>
          <w:sz w:val="24"/>
          <w:lang w:val="en-US"/>
        </w:rPr>
        <w:t xml:space="preserve">本项目投标人的澄清、说明或者补正采用线上澄清，</w:t>
      </w:r>
      <w:r>
        <w:rPr>
          <w:rFonts w:hint="eastAsia" w:ascii="仿宋" w:hAnsi="仿宋" w:eastAsia="仿宋" w:cs="仿宋"/>
          <w:color w:val="000000"/>
          <w:sz w:val="24"/>
          <w:szCs w:val="24"/>
        </w:rPr>
        <w:t xml:space="preserve">评委会将通过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向投标人发出“澄清要求函”，接到“澄清要求函”的投标人应当按照要求</w:t>
      </w:r>
      <w:r>
        <w:rPr>
          <w:rFonts w:hint="eastAsia" w:ascii="仿宋" w:hAnsi="仿宋" w:eastAsia="仿宋" w:cs="仿宋"/>
          <w:color w:val="000000"/>
          <w:sz w:val="24"/>
          <w:lang w:val="en-US"/>
        </w:rPr>
        <w:t xml:space="preserve">在规定时间内</w:t>
      </w:r>
      <w:r>
        <w:rPr>
          <w:rFonts w:hint="eastAsia" w:ascii="仿宋" w:hAnsi="仿宋" w:eastAsia="仿宋" w:cs="仿宋"/>
          <w:color w:val="000000"/>
          <w:sz w:val="24"/>
          <w:szCs w:val="24"/>
          <w:lang w:val="en-US"/>
        </w:rPr>
        <w:t xml:space="preserve">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中提交“澄清响应函”并加盖CA电子公章。澄清、说明和补正的内容作为投标文件的补充部分，具体操作方式见《操作手册》。</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24.3 接到评委会澄清、说明和补正要求的投标人如未按规定做出澄清、说明和补正，其风险由投标人自行承担。</w:t>
      </w:r>
      <w:r/>
    </w:p>
    <w:p>
      <w:pPr>
        <w:pStyle w:val="948"/>
        <w:ind w:firstLine="420"/>
        <w:spacing w:before="0" w:after="0" w:line="500" w:lineRule="exact"/>
        <w:rPr>
          <w:rFonts w:ascii="仿宋" w:hAnsi="仿宋" w:eastAsia="仿宋" w:cs="仿宋"/>
          <w:b w:val="0"/>
          <w:bCs w:val="0"/>
          <w:color w:val="000000"/>
        </w:rPr>
      </w:pPr>
      <w:r/>
      <w:bookmarkStart w:id="160" w:name="_Toc513029233"/>
      <w:r/>
      <w:bookmarkStart w:id="161" w:name="_Toc16938549"/>
      <w:r/>
      <w:bookmarkStart w:id="162" w:name="_Toc20823305"/>
      <w:r>
        <w:rPr>
          <w:rFonts w:hint="eastAsia" w:ascii="仿宋" w:hAnsi="仿宋" w:eastAsia="仿宋" w:cs="仿宋"/>
          <w:b w:val="0"/>
          <w:bCs w:val="0"/>
          <w:color w:val="000000"/>
        </w:rPr>
        <w:t xml:space="preserve">25、对投标文件的初审</w:t>
      </w:r>
      <w:bookmarkEnd w:id="160"/>
      <w:r/>
      <w:bookmarkEnd w:id="161"/>
      <w:r/>
      <w:bookmarkEnd w:id="162"/>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25.1</w:t>
      </w:r>
      <w:r>
        <w:rPr>
          <w:rFonts w:hint="eastAsia" w:ascii="仿宋" w:hAnsi="仿宋" w:eastAsia="仿宋" w:cs="仿宋"/>
          <w:bCs/>
          <w:color w:val="000000"/>
          <w:sz w:val="24"/>
        </w:rPr>
        <w:t xml:space="preserve">投标文件初审分为资格审查和符合性审查。</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25.1.1 资格审查：依据法律法规和招标文件的规定，</w:t>
      </w:r>
      <w:r>
        <w:rPr>
          <w:rFonts w:hint="eastAsia" w:ascii="仿宋" w:hAnsi="仿宋" w:eastAsia="仿宋" w:cs="仿宋"/>
          <w:color w:val="000000"/>
          <w:sz w:val="24"/>
        </w:rPr>
        <w:t xml:space="preserve">由采购人或其委托的代理机构对投标文件中的资格证明文件进行审查，以确定投标人是否具备投标资格。</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25.1.3对各投标人符合性审查过程中，对初步被认定为无效投标者，由评委会组长或采购人代表将集体意见通过</w:t>
      </w:r>
      <w:r>
        <w:rPr>
          <w:rFonts w:hint="eastAsia" w:ascii="仿宋" w:hAnsi="仿宋" w:eastAsia="仿宋" w:cs="仿宋"/>
          <w:color w:val="000000"/>
          <w:sz w:val="24"/>
          <w:lang w:val="zh-CN"/>
        </w:rPr>
        <w:t xml:space="preserve">“苏采云”系统中告知未通过符合性审查的原因，评标结束后，将不再告知未通过符合性审查的原因</w:t>
      </w:r>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25.4</w:t>
      </w:r>
      <w:r>
        <w:rPr>
          <w:rFonts w:hint="eastAsia" w:ascii="仿宋" w:hAnsi="仿宋" w:eastAsia="仿宋" w:cs="仿宋"/>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（1）投标文件中开标一览表内容与投标文件中相应内容不一致的，以开标一览表为准。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（2）大写金额和小写金额不一致的，以大写金额为准。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（3）单价金额小数点或者百分比有明显错位的，以开标一览表的总价为准，并修改单价。</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（4）总价金额与按单价汇总金额不一致的，以单价金额计算结果为准。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同时出现两种以上错误的，按照前款规定的顺序修正。</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25.5 </w:t>
      </w:r>
      <w:r>
        <w:rPr>
          <w:rFonts w:hint="eastAsia" w:ascii="仿宋" w:hAnsi="仿宋" w:eastAsia="仿宋" w:cs="仿宋"/>
          <w:bCs/>
          <w:color w:val="000000"/>
          <w:sz w:val="24"/>
        </w:rPr>
        <w:t xml:space="preserve">评委会将按上述修正错误的方法调整投标文件中的投标报价，并通过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告知投标人，调整后的价格应对投标人具有约束力。如果投标人不接受修正后的价格，则其投标将被拒绝。</w:t>
      </w:r>
      <w:r/>
    </w:p>
    <w:p>
      <w:pPr>
        <w:ind w:firstLine="420"/>
        <w:spacing w:line="500" w:lineRule="exact"/>
        <w:rPr>
          <w:rFonts w:ascii="仿宋" w:hAnsi="仿宋" w:eastAsia="仿宋" w:cs="仿宋"/>
          <w:color w:val="000000"/>
          <w:sz w:val="24"/>
        </w:rPr>
      </w:pPr>
      <w:r/>
      <w:bookmarkStart w:id="163" w:name="_Toc16938550"/>
      <w:r/>
      <w:bookmarkStart w:id="164" w:name="_Toc513029234"/>
      <w:r/>
      <w:bookmarkStart w:id="165" w:name="_Toc20823306"/>
      <w:r>
        <w:rPr>
          <w:rFonts w:hint="eastAsia" w:ascii="仿宋" w:hAnsi="仿宋" w:eastAsia="仿宋" w:cs="仿宋"/>
          <w:color w:val="000000"/>
          <w:sz w:val="24"/>
        </w:rPr>
        <w:t xml:space="preserve">25.6投标人在开、评标全过程中应应随时保持系统在线，及时在</w:t>
      </w:r>
      <w:r>
        <w:rPr>
          <w:rFonts w:hint="eastAsia" w:ascii="仿宋" w:hAnsi="仿宋" w:eastAsia="仿宋" w:cs="仿宋"/>
          <w:color w:val="000000"/>
          <w:sz w:val="24"/>
          <w:szCs w:val="24"/>
        </w:rPr>
        <w:t xml:space="preserve">“苏采云”系统</w:t>
      </w:r>
      <w:r>
        <w:rPr>
          <w:rFonts w:hint="eastAsia" w:ascii="仿宋" w:hAnsi="仿宋" w:eastAsia="仿宋" w:cs="仿宋"/>
          <w:color w:val="000000"/>
          <w:sz w:val="24"/>
        </w:rPr>
        <w:t xml:space="preserve">查阅、答复相关信息。</w:t>
      </w:r>
      <w:r/>
    </w:p>
    <w:p>
      <w:pPr>
        <w:pStyle w:val="948"/>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26、</w:t>
      </w:r>
      <w:bookmarkEnd w:id="163"/>
      <w:r/>
      <w:bookmarkEnd w:id="164"/>
      <w:r/>
      <w:bookmarkEnd w:id="165"/>
      <w:r>
        <w:rPr>
          <w:rFonts w:hint="eastAsia" w:ascii="仿宋" w:hAnsi="仿宋" w:eastAsia="仿宋" w:cs="仿宋"/>
          <w:b w:val="0"/>
          <w:bCs w:val="0"/>
          <w:color w:val="000000"/>
        </w:rPr>
        <w:t xml:space="preserve">无效投标条款和废标条款</w:t>
      </w:r>
      <w:r/>
    </w:p>
    <w:p>
      <w:pPr>
        <w:spacing w:line="500" w:lineRule="exact"/>
        <w:rPr>
          <w:rFonts w:ascii="仿宋" w:hAnsi="仿宋" w:eastAsia="仿宋" w:cs="仿宋"/>
          <w:bCs/>
          <w:color w:val="000000"/>
          <w:sz w:val="24"/>
        </w:rPr>
      </w:pPr>
      <w:r/>
      <w:bookmarkStart w:id="166" w:name="_Toc20823307"/>
      <w:r/>
      <w:bookmarkStart w:id="167" w:name="_Toc513029235"/>
      <w:r/>
      <w:bookmarkStart w:id="168" w:name="_Toc16938551"/>
      <w:r>
        <w:rPr>
          <w:rFonts w:hint="eastAsia" w:ascii="仿宋" w:hAnsi="仿宋" w:eastAsia="仿宋" w:cs="仿宋"/>
          <w:bCs/>
          <w:color w:val="000000"/>
          <w:sz w:val="24"/>
        </w:rPr>
        <w:t xml:space="preserve">26.1无效投标条款</w:t>
      </w:r>
      <w:r/>
    </w:p>
    <w:p>
      <w:pPr>
        <w:ind w:firstLine="480"/>
        <w:spacing w:line="500" w:lineRule="exact"/>
        <w:rPr>
          <w:rFonts w:ascii="仿宋" w:hAnsi="仿宋" w:eastAsia="仿宋" w:cs="仿宋"/>
          <w:bCs/>
          <w:color w:val="000000"/>
          <w:sz w:val="24"/>
          <w:szCs w:val="24"/>
        </w:rPr>
      </w:pPr>
      <w:r>
        <w:rPr>
          <w:rFonts w:hint="eastAsia" w:ascii="仿宋" w:hAnsi="仿宋" w:eastAsia="仿宋" w:cs="仿宋"/>
          <w:bCs/>
          <w:color w:val="000000"/>
          <w:sz w:val="24"/>
        </w:rPr>
        <w:t xml:space="preserve">26</w:t>
      </w:r>
      <w:r>
        <w:rPr>
          <w:rFonts w:hint="eastAsia" w:ascii="仿宋" w:hAnsi="仿宋" w:eastAsia="仿宋" w:cs="仿宋"/>
          <w:bCs/>
          <w:color w:val="000000"/>
          <w:sz w:val="24"/>
          <w:szCs w:val="24"/>
        </w:rPr>
        <w:t xml:space="preserve">.1.1 投标人在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规定的时间内未成功解密电子投标文件的。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26.1.2 投标人未按照招标文件要求上传电子投标文件的。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26.1.3同一投标人提交两个（含两个）以上不同的投标报价的。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26.1.4投标人不具备招标文件中规定资格要求的。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26.1.5投标人的报价超过了采购预算或最高限价的。</w:t>
      </w:r>
      <w:r/>
    </w:p>
    <w:p>
      <w:pPr>
        <w:ind w:firstLine="480"/>
        <w:spacing w:line="500" w:lineRule="exact"/>
        <w:rPr>
          <w:rFonts w:ascii="仿宋" w:hAnsi="仿宋" w:eastAsia="仿宋" w:cs="仿宋"/>
          <w:bCs/>
          <w:i/>
          <w:color w:val="000000"/>
          <w:sz w:val="24"/>
          <w:u w:val="single"/>
        </w:rPr>
      </w:pPr>
      <w:r>
        <w:rPr>
          <w:rFonts w:hint="eastAsia" w:ascii="仿宋" w:hAnsi="仿宋" w:eastAsia="仿宋" w:cs="仿宋"/>
          <w:bCs/>
          <w:color w:val="000000"/>
          <w:sz w:val="24"/>
        </w:rPr>
        <w:t xml:space="preserve">26.1.6未通过符合性审查的。</w:t>
      </w:r>
      <w:r/>
    </w:p>
    <w:p>
      <w:pPr>
        <w:ind w:firstLine="360"/>
        <w:spacing w:line="500" w:lineRule="exact"/>
        <w:rPr>
          <w:rFonts w:ascii="仿宋" w:hAnsi="仿宋" w:eastAsia="仿宋" w:cs="仿宋"/>
          <w:bCs/>
          <w:i/>
          <w:color w:val="000000"/>
          <w:sz w:val="24"/>
          <w:u w:val="single"/>
        </w:rPr>
      </w:pPr>
      <w:r>
        <w:rPr>
          <w:rFonts w:hint="eastAsia" w:ascii="仿宋" w:hAnsi="仿宋" w:eastAsia="仿宋" w:cs="仿宋"/>
          <w:bCs/>
          <w:color w:val="000000"/>
          <w:sz w:val="24"/>
        </w:rPr>
        <w:t xml:space="preserve"> 26.1.7不符合招标文件中规定的实质性要求和条件的（</w:t>
      </w:r>
      <w:r>
        <w:rPr>
          <w:rFonts w:hint="eastAsia" w:ascii="仿宋" w:hAnsi="仿宋" w:eastAsia="仿宋" w:cs="仿宋"/>
          <w:bCs/>
          <w:i/>
          <w:color w:val="000000"/>
          <w:sz w:val="24"/>
          <w:u w:val="single"/>
        </w:rPr>
        <w:t xml:space="preserve">加斜体下划线内容或打“★”内容为实质性要求和条件）。</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26.1.9 投标文件含有采购人不能接受的附加条件的。</w:t>
      </w:r>
      <w:r/>
    </w:p>
    <w:p>
      <w:pPr>
        <w:ind w:firstLine="420"/>
        <w:spacing w:line="500" w:lineRule="exact"/>
        <w:rPr>
          <w:rFonts w:ascii="仿宋" w:hAnsi="仿宋" w:eastAsia="仿宋" w:cs="仿宋"/>
          <w:bCs/>
          <w:color w:val="000000"/>
          <w:sz w:val="24"/>
          <w:highlight w:val="yellow"/>
        </w:rPr>
      </w:pPr>
      <w:r>
        <w:rPr>
          <w:rFonts w:hint="eastAsia" w:ascii="仿宋" w:hAnsi="仿宋" w:eastAsia="仿宋" w:cs="仿宋"/>
          <w:bCs/>
          <w:color w:val="000000"/>
          <w:sz w:val="24"/>
        </w:rPr>
        <w:t xml:space="preserve">26.1.10评委会认为投标人的报价明显低于其他通过符合性审查投标人的报价，有可能影响产品质量或者不能诚信履约的，将通过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要求其在合理的时间内提供说明，必要时提交相关证明材料；投标人不能证明其报价合理性的，评委会应当将其作为无效投标处理。</w:t>
      </w:r>
      <w:r/>
    </w:p>
    <w:p>
      <w:pPr>
        <w:ind w:firstLine="420"/>
        <w:spacing w:line="500" w:lineRule="exact"/>
        <w:rPr>
          <w:rFonts w:ascii="仿宋" w:hAnsi="仿宋" w:eastAsia="仿宋" w:cs="仿宋"/>
          <w:color w:val="000000"/>
        </w:rPr>
      </w:pPr>
      <w:r>
        <w:rPr>
          <w:rFonts w:hint="eastAsia" w:ascii="仿宋" w:hAnsi="仿宋" w:eastAsia="仿宋" w:cs="仿宋"/>
          <w:color w:val="000000"/>
          <w:sz w:val="24"/>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人所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产品不在强制采购范围内的。（所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产品如属于政府强制采购节能产品品目清单范围内，</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文件中必须提供国家确定的认证机构出具的、处于有效期之内的该节能产品认证证书图片）。</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26.1.12 投标文件未按照招标文件要求加盖CA电子公章的。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26.1.13其他法律、法规及本招标文件规定的属无效投标的情形。</w:t>
      </w:r>
      <w:r/>
    </w:p>
    <w:p>
      <w:pPr>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26.2废标条款</w:t>
      </w:r>
      <w:r/>
    </w:p>
    <w:p>
      <w:pPr>
        <w:ind w:left="479"/>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26.2.1符合专业条件的投标人或者对招标文件作实质响应的投标人不足三家的。26.2.2出现影响采购公正的违法、违规行为的。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26.2.3因重大变故，采购任务取消的。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26.2.4评委会认定招标文件存在歧义、重大缺陷导致评审工作无法进行。</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26.2.5 因</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系统故障原因造成开标不成功的。</w:t>
      </w:r>
      <w:r/>
    </w:p>
    <w:p>
      <w:pPr>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26.3 投标截止时间结束后参加投标的投标人不足三家的处理：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26.3.1如出现投标截止时间结束后参加投标的投标人或者在评标期间对招标文件做出实质响应的投标人不足三家情况，按政府采购相关规定执行。</w:t>
      </w:r>
      <w:r/>
    </w:p>
    <w:p>
      <w:pPr>
        <w:pStyle w:val="946"/>
        <w:ind w:firstLine="482"/>
        <w:spacing w:before="0" w:after="0" w:line="500" w:lineRule="exact"/>
        <w:rPr>
          <w:rFonts w:ascii="仿宋" w:hAnsi="仿宋" w:eastAsia="仿宋" w:cs="仿宋"/>
          <w:color w:val="000000"/>
        </w:rPr>
      </w:pPr>
      <w:r/>
      <w:bookmarkStart w:id="169" w:name="_Toc120614219"/>
      <w:r>
        <w:rPr>
          <w:rFonts w:hint="eastAsia" w:ascii="仿宋" w:hAnsi="仿宋" w:eastAsia="仿宋" w:cs="仿宋"/>
          <w:color w:val="000000"/>
        </w:rPr>
        <w:t xml:space="preserve">六、</w:t>
      </w:r>
      <w:bookmarkEnd w:id="166"/>
      <w:r/>
      <w:bookmarkEnd w:id="167"/>
      <w:r/>
      <w:bookmarkEnd w:id="168"/>
      <w:r>
        <w:rPr>
          <w:rFonts w:hint="eastAsia" w:ascii="仿宋" w:hAnsi="仿宋" w:eastAsia="仿宋" w:cs="仿宋"/>
          <w:color w:val="000000"/>
        </w:rPr>
        <w:t xml:space="preserve">定标</w:t>
      </w:r>
      <w:bookmarkEnd w:id="169"/>
      <w:r/>
      <w:r/>
    </w:p>
    <w:p>
      <w:pPr>
        <w:pStyle w:val="948"/>
        <w:ind w:firstLine="600"/>
        <w:spacing w:before="0" w:after="0" w:line="500" w:lineRule="exact"/>
        <w:rPr>
          <w:rFonts w:ascii="仿宋" w:hAnsi="仿宋" w:eastAsia="仿宋" w:cs="仿宋"/>
          <w:b w:val="0"/>
          <w:color w:val="000000"/>
          <w:sz w:val="30"/>
          <w:szCs w:val="30"/>
        </w:rPr>
      </w:pPr>
      <w:r/>
      <w:bookmarkStart w:id="170" w:name="_Toc513029238"/>
      <w:r/>
      <w:bookmarkStart w:id="171" w:name="_Toc16938554"/>
      <w:r/>
      <w:bookmarkStart w:id="172" w:name="_Toc20823310"/>
      <w:r>
        <w:rPr>
          <w:rFonts w:hint="eastAsia" w:ascii="仿宋" w:hAnsi="仿宋" w:eastAsia="仿宋" w:cs="仿宋"/>
          <w:b w:val="0"/>
          <w:color w:val="000000"/>
          <w:sz w:val="30"/>
          <w:szCs w:val="30"/>
        </w:rPr>
        <w:t xml:space="preserve">27、</w:t>
      </w:r>
      <w:bookmarkEnd w:id="170"/>
      <w:r>
        <w:rPr>
          <w:rFonts w:hint="eastAsia" w:ascii="仿宋" w:hAnsi="仿宋" w:eastAsia="仿宋" w:cs="仿宋"/>
          <w:b w:val="0"/>
          <w:color w:val="000000"/>
          <w:sz w:val="30"/>
          <w:szCs w:val="30"/>
        </w:rPr>
        <w:t xml:space="preserve">确定</w:t>
      </w:r>
      <w:bookmarkEnd w:id="171"/>
      <w:r/>
      <w:bookmarkEnd w:id="172"/>
      <w:r>
        <w:rPr>
          <w:rFonts w:hint="eastAsia" w:ascii="仿宋" w:hAnsi="仿宋" w:eastAsia="仿宋" w:cs="仿宋"/>
          <w:b w:val="0"/>
          <w:color w:val="000000"/>
          <w:sz w:val="30"/>
          <w:szCs w:val="30"/>
        </w:rPr>
        <w:t xml:space="preserve">中标单位</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27.1中标候选人的选取原则和数量见招标文件第五章规定。 </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27.2 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lang w:val="en-US" w:eastAsia="zh-CN"/>
        </w:rPr>
        <w:t xml:space="preserve">1</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种方式确定中标人</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（1）评委会直接确定排名第一的中标候选人为中标人；</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（2）采购人在评委会推荐的中标候选人中按顺序确定中标人。</w:t>
      </w:r>
      <w:r/>
    </w:p>
    <w:p>
      <w:pPr>
        <w:ind w:firstLine="480"/>
        <w:spacing w:line="500" w:lineRule="exact"/>
        <w:rPr>
          <w:rFonts w:ascii="仿宋" w:hAnsi="仿宋" w:eastAsia="仿宋" w:cs="仿宋"/>
          <w:color w:val="000000"/>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种方式确定中标人的，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27.3 </w:t>
      </w:r>
      <w:r>
        <w:rPr>
          <w:rFonts w:hint="eastAsia" w:ascii="仿宋" w:hAnsi="仿宋" w:eastAsia="仿宋" w:cs="仿宋"/>
          <w:color w:val="000000"/>
          <w:sz w:val="24"/>
          <w:szCs w:val="24"/>
        </w:rPr>
        <w:t xml:space="preserve">采购代理机构将在“宿迁市政府采购网”发布中标公告，公告期限为1个工作日。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  若有充分证据证明，中标人出现下列情况之一的，一经查实，将被取消中标资格：</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27.4.1提供虚假材料谋取中标的。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27.4.2向采购人、采购代理机构行贿或者提供其他不正当利益的。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27.4.3属于本文件规定的无效条件，但在评标过程中又未被评委会发现的。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27.4.4与采购人或者其他投标人恶意串通的。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27.4.5采取不正当手段诋毁、排挤其他投标人的。</w:t>
      </w:r>
      <w:r/>
    </w:p>
    <w:p>
      <w:pPr>
        <w:ind w:firstLine="480"/>
        <w:spacing w:line="500" w:lineRule="exact"/>
        <w:rPr>
          <w:rFonts w:ascii="仿宋" w:hAnsi="仿宋" w:eastAsia="仿宋" w:cs="仿宋"/>
          <w:color w:val="000000"/>
          <w:sz w:val="24"/>
          <w:szCs w:val="24"/>
        </w:rPr>
      </w:pPr>
      <w:r/>
      <w:bookmarkStart w:id="173" w:name="_Toc200451960"/>
      <w:r>
        <w:rPr>
          <w:rFonts w:hint="eastAsia" w:ascii="仿宋" w:hAnsi="仿宋" w:eastAsia="仿宋" w:cs="仿宋"/>
          <w:color w:val="000000"/>
          <w:sz w:val="24"/>
          <w:szCs w:val="24"/>
        </w:rPr>
        <w:t xml:space="preserve">27.5 有下列情形之一的，视为投标人串通投标，投标无效：</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27.5.1不同投标人的投标文件由同一单位或者个人编制。</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27.5.2不同投标人委托同一单位或者个人办理投标事宜。</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27.5.3 不同投标人的投标文件载明的项目管理成员或者联系人员为同一人。</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27.5.4不同投标人的投标文件异常一致或者投标报价呈规律性差异。</w:t>
      </w:r>
      <w:r/>
    </w:p>
    <w:p>
      <w:pPr>
        <w:pStyle w:val="948"/>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28、质疑处理</w:t>
      </w:r>
      <w:bookmarkEnd w:id="173"/>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28.1 提出质疑的投标人应当是参与所质疑项目采购活动的投标人。潜在投标人依法获取其可质疑的采购文件的，可以对采购文件提出质疑。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28.2.1对可以质疑的采购文件提出质疑的，为收到采购文件之日或者采购文件公告期限届满之日；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28.2.2对采购过程提出质疑的，为各采购程序环节结束之日；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28.2.3对中标或者成交结果提出质疑的，为中标或者成交结果公告期限届满之日。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 投标人应以书面形式向采购人或者其委托的采购代理机构提出质疑。质疑超出采购机构代理范围的，投标人应当向采购人提出。</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接收质疑函的方式：现场接收或邮寄接收。</w:t>
      </w:r>
      <w:r/>
    </w:p>
    <w:p>
      <w:pPr>
        <w:ind w:firstLine="480"/>
        <w:spacing w:line="500" w:lineRule="exact"/>
        <w:rPr>
          <w:rFonts w:ascii="仿宋" w:hAnsi="仿宋" w:eastAsia="仿宋" w:cs="仿宋"/>
          <w:color w:val="000000"/>
          <w:sz w:val="24"/>
          <w:szCs w:val="24"/>
          <w:u w:val="none"/>
        </w:rPr>
      </w:pPr>
      <w:r>
        <w:rPr>
          <w:rFonts w:hint="eastAsia" w:ascii="仿宋" w:hAnsi="仿宋" w:eastAsia="仿宋" w:cs="仿宋"/>
          <w:color w:val="000000"/>
          <w:sz w:val="24"/>
          <w:szCs w:val="24"/>
          <w:u w:val="none"/>
        </w:rPr>
        <w:t xml:space="preserve">联系部门：沭阳县刘集镇人民政府、江苏天信建设项目咨询有限公司</w:t>
      </w:r>
      <w:r/>
    </w:p>
    <w:p>
      <w:pPr>
        <w:ind w:firstLine="480"/>
        <w:spacing w:line="500" w:lineRule="exact"/>
        <w:rPr>
          <w:rFonts w:ascii="仿宋" w:hAnsi="仿宋" w:eastAsia="仿宋" w:cs="仿宋"/>
          <w:color w:val="000000"/>
          <w:sz w:val="24"/>
          <w:szCs w:val="24"/>
          <w:u w:val="none"/>
        </w:rPr>
      </w:pPr>
      <w:r>
        <w:rPr>
          <w:rFonts w:hint="eastAsia" w:ascii="仿宋" w:hAnsi="仿宋" w:eastAsia="仿宋" w:cs="仿宋"/>
          <w:color w:val="000000"/>
          <w:sz w:val="24"/>
          <w:szCs w:val="24"/>
          <w:u w:val="none"/>
        </w:rPr>
        <w:t xml:space="preserve">联系电话：</w:t>
      </w:r>
      <w:r>
        <w:rPr>
          <w:rFonts w:hint="eastAsia" w:ascii="仿宋" w:hAnsi="仿宋" w:eastAsia="仿宋" w:cs="仿宋"/>
          <w:color w:val="000000"/>
          <w:sz w:val="24"/>
          <w:szCs w:val="24"/>
          <w:u w:val="none"/>
          <w:lang w:eastAsia="zh-CN"/>
        </w:rPr>
        <w:t xml:space="preserve">吴驰</w:t>
      </w:r>
      <w:r>
        <w:rPr>
          <w:rFonts w:hint="eastAsia" w:ascii="仿宋" w:hAnsi="仿宋" w:eastAsia="仿宋" w:cs="仿宋"/>
          <w:color w:val="000000"/>
          <w:sz w:val="24"/>
          <w:szCs w:val="24"/>
          <w:u w:val="none"/>
          <w:lang w:val="en-US" w:eastAsia="zh-CN"/>
        </w:rPr>
        <w:t xml:space="preserve">15559552216</w:t>
      </w:r>
      <w:r>
        <w:rPr>
          <w:rFonts w:hint="eastAsia" w:ascii="仿宋" w:hAnsi="仿宋" w:eastAsia="仿宋" w:cs="仿宋"/>
          <w:color w:val="000000"/>
          <w:sz w:val="24"/>
          <w:szCs w:val="24"/>
          <w:u w:val="none"/>
        </w:rPr>
        <w:t xml:space="preserve">、王成成18082138011</w:t>
      </w:r>
      <w:r/>
    </w:p>
    <w:p>
      <w:pPr>
        <w:ind w:firstLine="480"/>
        <w:spacing w:line="500" w:lineRule="exact"/>
        <w:rPr>
          <w:rFonts w:ascii="仿宋" w:hAnsi="仿宋" w:eastAsia="仿宋" w:cs="仿宋"/>
          <w:color w:val="000000"/>
          <w:sz w:val="24"/>
          <w:szCs w:val="24"/>
          <w:u w:val="none"/>
        </w:rPr>
      </w:pPr>
      <w:r>
        <w:rPr>
          <w:rFonts w:hint="eastAsia" w:ascii="仿宋" w:hAnsi="仿宋" w:eastAsia="仿宋" w:cs="仿宋"/>
          <w:color w:val="000000"/>
          <w:sz w:val="24"/>
          <w:szCs w:val="24"/>
          <w:u w:val="none"/>
        </w:rPr>
        <w:t xml:space="preserve">通讯地址：沭阳207路、沭阳县常州路2号7楼</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 以下情形的质疑不予受理</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28.5.1 内容不符合《政府采购质疑和投诉办法》第十二条规定的质疑。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28.5.2 超出政府采购法定期限的质疑。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28.5.3 以传真、电子邮件等方式递交的非原件形式的质疑。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28.5.4 未参加投标活动的投标人或在投标活动中自身权益未受到损害的投标人所提出的质疑。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28.5.5投标人组成联合体参加投标，联合体中任何一方或多方未按要求签字、盖章、加盖公章的质疑。</w:t>
      </w:r>
      <w:r/>
    </w:p>
    <w:p>
      <w:pPr>
        <w:ind w:firstLine="468"/>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948"/>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29、中标通知书</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29.l</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46"/>
        <w:ind w:firstLine="643"/>
        <w:spacing w:before="0" w:after="0" w:line="500" w:lineRule="exact"/>
        <w:rPr>
          <w:rFonts w:ascii="仿宋" w:hAnsi="仿宋" w:eastAsia="仿宋" w:cs="仿宋"/>
          <w:color w:val="000000"/>
        </w:rPr>
      </w:pPr>
      <w:r/>
      <w:bookmarkStart w:id="174" w:name="_Toc20823308"/>
      <w:r/>
      <w:bookmarkStart w:id="175" w:name="_Toc16938552"/>
      <w:r/>
      <w:bookmarkStart w:id="176" w:name="_Toc120614220"/>
      <w:r/>
      <w:bookmarkStart w:id="177" w:name="_Toc513029236"/>
      <w:r>
        <w:rPr>
          <w:rFonts w:hint="eastAsia" w:ascii="仿宋" w:hAnsi="仿宋" w:eastAsia="仿宋" w:cs="仿宋"/>
          <w:color w:val="000000"/>
        </w:rPr>
        <w:t xml:space="preserve">七、授予合同</w:t>
      </w:r>
      <w:bookmarkEnd w:id="174"/>
      <w:r/>
      <w:bookmarkEnd w:id="175"/>
      <w:r/>
      <w:bookmarkEnd w:id="176"/>
      <w:r/>
      <w:bookmarkEnd w:id="177"/>
      <w:r/>
      <w:r/>
    </w:p>
    <w:p>
      <w:pPr>
        <w:pStyle w:val="948"/>
        <w:ind w:firstLine="600"/>
        <w:spacing w:before="0" w:after="0" w:line="500" w:lineRule="exact"/>
        <w:rPr>
          <w:rFonts w:ascii="仿宋" w:hAnsi="仿宋" w:eastAsia="仿宋" w:cs="仿宋"/>
          <w:b w:val="0"/>
          <w:color w:val="000000"/>
          <w:sz w:val="30"/>
          <w:szCs w:val="30"/>
        </w:rPr>
      </w:pPr>
      <w:r/>
      <w:bookmarkStart w:id="178" w:name="_Toc16938553"/>
      <w:r/>
      <w:bookmarkStart w:id="179" w:name="_Toc20823309"/>
      <w:r/>
      <w:bookmarkStart w:id="180" w:name="_Toc513029237"/>
      <w:r>
        <w:rPr>
          <w:rFonts w:hint="eastAsia" w:ascii="仿宋" w:hAnsi="仿宋" w:eastAsia="仿宋" w:cs="仿宋"/>
          <w:b w:val="0"/>
          <w:color w:val="000000"/>
          <w:sz w:val="30"/>
          <w:szCs w:val="30"/>
        </w:rPr>
        <w:t xml:space="preserve">30. 签订合同</w:t>
      </w:r>
      <w:r/>
    </w:p>
    <w:p>
      <w:pPr>
        <w:ind w:firstLine="600"/>
        <w:spacing w:line="500" w:lineRule="exact"/>
        <w:rPr>
          <w:rFonts w:ascii="仿宋" w:hAnsi="仿宋" w:eastAsia="仿宋" w:cs="仿宋"/>
          <w:bCs/>
          <w:color w:val="000000"/>
          <w:sz w:val="24"/>
          <w:lang w:val="zh-CN"/>
        </w:rPr>
      </w:pPr>
      <w:r>
        <w:rPr>
          <w:rFonts w:hint="eastAsia" w:ascii="仿宋" w:hAnsi="仿宋" w:eastAsia="仿宋" w:cs="仿宋"/>
          <w:bCs/>
          <w:color w:val="000000"/>
          <w:sz w:val="24"/>
          <w:szCs w:val="24"/>
        </w:rPr>
        <w:t xml:space="preserve">30</w:t>
      </w:r>
      <w:r>
        <w:rPr>
          <w:rFonts w:hint="eastAsia" w:ascii="仿宋" w:hAnsi="仿宋" w:eastAsia="仿宋" w:cs="仿宋"/>
          <w:color w:val="000000"/>
          <w:sz w:val="24"/>
          <w:szCs w:val="24"/>
        </w:rPr>
        <w:t xml:space="preserve">.l中标人应当在中标通知书发出之日起15日内，按照招标文件确定的事项与采购人签订政府采购合同。</w:t>
      </w:r>
      <w:r>
        <w:rPr>
          <w:rFonts w:hint="eastAsia" w:ascii="仿宋" w:hAnsi="仿宋" w:eastAsia="仿宋" w:cs="仿宋"/>
          <w:bCs/>
          <w:color w:val="000000"/>
          <w:sz w:val="24"/>
          <w:lang w:val="zh-CN"/>
        </w:rPr>
        <w:t xml:space="preserve">并在签订之日起2个工作日内将政府采购合同在指定的媒体上公告，但政府采购合同中涉及国家秘密、商业秘密的内容除外。</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30.4本项目的非主体、非关键性工作是否允许分包按以下第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p>
    <w:p>
      <w:pPr>
        <w:ind w:firstLine="72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30.</w:t>
      </w:r>
      <w:r>
        <w:rPr>
          <w:rFonts w:hint="eastAsia" w:ascii="仿宋" w:hAnsi="仿宋" w:eastAsia="仿宋" w:cs="仿宋"/>
          <w:bCs/>
          <w:color w:val="000000"/>
          <w:sz w:val="24"/>
          <w:lang w:val="en-US" w:eastAsia="zh-CN"/>
        </w:rPr>
        <w:t xml:space="preserve">5</w:t>
      </w:r>
      <w:r>
        <w:rPr>
          <w:rFonts w:hint="eastAsia" w:ascii="仿宋" w:hAnsi="仿宋" w:eastAsia="仿宋" w:cs="仿宋"/>
          <w:bCs/>
          <w:color w:val="000000"/>
          <w:sz w:val="24"/>
        </w:rPr>
        <w:t xml:space="preserve">履约保证金</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color w:val="000000"/>
          <w:sz w:val="24"/>
          <w:szCs w:val="24"/>
          <w:u w:val="single"/>
        </w:rPr>
        <w:t xml:space="preserve">1</w:t>
      </w:r>
      <w:r>
        <w:rPr>
          <w:rFonts w:hint="eastAsia" w:ascii="仿宋" w:hAnsi="仿宋" w:eastAsia="仿宋" w:cs="仿宋"/>
          <w:bCs/>
          <w:color w:val="000000"/>
          <w:sz w:val="24"/>
          <w:lang w:val="zh-CN"/>
        </w:rPr>
        <w:t xml:space="preserve">方式确定履约保证收取方式。</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(1)不收取履约保证金。</w:t>
      </w:r>
      <w:r/>
    </w:p>
    <w:p>
      <w:pPr>
        <w:ind w:firstLine="480"/>
        <w:spacing w:line="500" w:lineRule="exact"/>
        <w:rPr>
          <w:rFonts w:ascii="仿宋" w:hAnsi="仿宋" w:eastAsia="仿宋" w:cs="仿宋"/>
          <w:bCs/>
          <w:sz w:val="24"/>
          <w:lang w:val="zh-CN"/>
        </w:rPr>
      </w:pPr>
      <w:r>
        <w:rPr>
          <w:rFonts w:hint="eastAsia" w:ascii="仿宋" w:hAnsi="仿宋" w:eastAsia="仿宋" w:cs="仿宋"/>
          <w:bCs/>
          <w:color w:val="000000"/>
          <w:sz w:val="24"/>
          <w:lang w:val="zh-CN"/>
        </w:rPr>
        <w:t xml:space="preserve">(2)履约保证金应在采购合同签订前提交，履约保证金的金额：</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rPr>
          <w:rFonts w:hint="eastAsia" w:ascii="仿宋" w:hAnsi="仿宋" w:eastAsia="仿宋" w:cs="仿宋"/>
          <w:bCs/>
          <w:color w:val="000000"/>
          <w:sz w:val="24"/>
          <w:lang w:val="zh-CN"/>
        </w:rPr>
        <w:t xml:space="preserve">按采购合同总价的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lang w:val="zh-CN"/>
        </w:rPr>
        <w:t xml:space="preserve">%计取。除银行电汇、网上</w:t>
      </w:r>
      <w:r>
        <w:rPr>
          <w:rFonts w:hint="eastAsia" w:ascii="仿宋" w:hAnsi="仿宋" w:eastAsia="仿宋" w:cs="仿宋"/>
          <w:bCs/>
          <w:sz w:val="24"/>
          <w:lang w:val="zh-CN"/>
        </w:rPr>
        <w:t xml:space="preserve">银行、数字人民币外，投标人还可选用银行保函、担保公司的保证担保或保险公司的保证保险等多种形式向采购人缴纳；</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sz w:val="24"/>
          <w:lang w:val="zh-CN"/>
        </w:rPr>
        <w:t xml:space="preserve">履约保证金退还的方式：以银行电汇、网上银行、数字人民币形式</w:t>
      </w:r>
      <w:r>
        <w:rPr>
          <w:rFonts w:hint="eastAsia" w:ascii="仿宋" w:hAnsi="仿宋" w:eastAsia="仿宋" w:cs="仿宋"/>
          <w:bCs/>
          <w:color w:val="000000"/>
          <w:sz w:val="24"/>
          <w:lang w:val="zh-CN"/>
        </w:rPr>
        <w:t xml:space="preserve">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履约保证金退还的条件：按以下</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lang w:val="zh-CN"/>
        </w:rPr>
        <w:t xml:space="preserve">方式实行：</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a</w:t>
      </w:r>
      <w:r>
        <w:rPr>
          <w:rFonts w:hint="eastAsia" w:ascii="仿宋" w:hAnsi="仿宋" w:eastAsia="仿宋" w:cs="仿宋"/>
          <w:color w:val="000000"/>
          <w:sz w:val="24"/>
          <w:szCs w:val="24"/>
          <w:lang w:val="zh-CN"/>
        </w:rPr>
        <w:t xml:space="preserve">、货物类项目，项目验收合格，出具验收报告及履约保证金收据申请退付；</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b</w:t>
      </w:r>
      <w:r>
        <w:rPr>
          <w:rFonts w:hint="eastAsia" w:ascii="仿宋" w:hAnsi="仿宋" w:eastAsia="仿宋" w:cs="仿宋"/>
          <w:color w:val="000000"/>
          <w:sz w:val="24"/>
          <w:szCs w:val="24"/>
          <w:lang w:val="zh-CN"/>
        </w:rPr>
        <w:t xml:space="preserve">、服务类项目，项目履约期满评价合格，出具履约评价报告及履约保证金收据申请退付；</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c</w:t>
      </w:r>
      <w:r>
        <w:rPr>
          <w:rFonts w:hint="eastAsia" w:ascii="仿宋" w:hAnsi="仿宋" w:eastAsia="仿宋" w:cs="仿宋"/>
          <w:color w:val="000000"/>
          <w:sz w:val="24"/>
          <w:szCs w:val="24"/>
          <w:lang w:val="zh-CN"/>
        </w:rPr>
        <w:t xml:space="preserve">、工程类项目，项目完工验收合格，出具完工证明及履约保证金收据申请退付；</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履约保证金退还时间：采购单位收到投标人退付申请后5个工作日内退还；</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8"/>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31、服务（包含与服务相关的货物）的追加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948"/>
        <w:ind w:firstLine="600"/>
        <w:spacing w:before="0" w:after="0" w:line="500" w:lineRule="exact"/>
        <w:rPr>
          <w:rFonts w:ascii="仿宋" w:hAnsi="仿宋" w:eastAsia="仿宋" w:cs="仿宋"/>
          <w:b w:val="0"/>
          <w:color w:val="000000"/>
          <w:sz w:val="30"/>
          <w:szCs w:val="30"/>
        </w:rPr>
      </w:pPr>
      <w:r/>
      <w:bookmarkStart w:id="181" w:name="_Toc513029242"/>
      <w:r/>
      <w:bookmarkStart w:id="182" w:name="_Toc16938558"/>
      <w:r/>
      <w:bookmarkStart w:id="183" w:name="_Toc120614221"/>
      <w:r/>
      <w:bookmarkStart w:id="184" w:name="_Toc20823314"/>
      <w:r/>
      <w:bookmarkStart w:id="185" w:name="_Toc479757207"/>
      <w:r>
        <w:rPr>
          <w:rFonts w:hint="eastAsia" w:ascii="仿宋" w:hAnsi="仿宋" w:eastAsia="仿宋" w:cs="仿宋"/>
          <w:b w:val="0"/>
          <w:color w:val="000000"/>
          <w:sz w:val="30"/>
          <w:szCs w:val="30"/>
        </w:rPr>
        <w:t xml:space="preserve">32、政府采购履约资金扶持政策</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rPr>
        <w:t xml:space="preserve">32.1依</w:t>
      </w:r>
      <w:r>
        <w:rPr>
          <w:rFonts w:hint="eastAsia" w:ascii="仿宋" w:hAnsi="仿宋" w:eastAsia="仿宋" w:cs="仿宋"/>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8"/>
        <w:ind w:firstLine="602"/>
        <w:spacing w:before="0" w:after="0" w:line="50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33、验收及付款</w:t>
      </w:r>
      <w:r/>
    </w:p>
    <w:p>
      <w:pPr>
        <w:ind w:firstLine="482"/>
        <w:spacing w:line="4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4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60" w:lineRule="exact"/>
        <w:rPr>
          <w:rFonts w:ascii="仿宋" w:hAnsi="仿宋" w:eastAsia="仿宋" w:cs="仿宋"/>
          <w:color w:val="000000"/>
          <w:sz w:val="24"/>
        </w:rPr>
      </w:pPr>
      <w:r>
        <w:rPr>
          <w:rFonts w:hint="eastAsia" w:ascii="仿宋" w:hAnsi="仿宋" w:eastAsia="仿宋" w:cs="仿宋"/>
          <w:bCs/>
          <w:color w:val="000000"/>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00" w:lineRule="exact"/>
        <w:rPr>
          <w:rFonts w:ascii="仿宋" w:hAnsi="仿宋" w:eastAsia="仿宋" w:cs="仿宋"/>
          <w:b/>
          <w:color w:val="000000"/>
          <w:sz w:val="24"/>
        </w:rPr>
      </w:pPr>
      <w:r>
        <w:rPr>
          <w:rFonts w:hint="eastAsia" w:ascii="仿宋" w:hAnsi="仿宋" w:eastAsia="仿宋" w:cs="仿宋"/>
          <w:b/>
          <w:color w:val="000000"/>
          <w:sz w:val="24"/>
          <w:highlight w:val="white"/>
        </w:rPr>
        <w:t xml:space="preserve">34、付款</w:t>
      </w:r>
      <w:r/>
    </w:p>
    <w:p>
      <w:pPr>
        <w:ind w:firstLine="482"/>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 </w:t>
      </w:r>
      <w:bookmarkStart w:id="186" w:name="EBec7f529f50594afd871ea9378869e456"/>
      <w:r>
        <w:rPr>
          <w:rFonts w:hint="eastAsia" w:ascii="仿宋" w:hAnsi="仿宋" w:eastAsia="仿宋" w:cs="仿宋"/>
          <w:bCs/>
          <w:color w:val="000000"/>
          <w:sz w:val="24"/>
          <w:highlight w:val="white"/>
        </w:rPr>
        <w:t xml:space="preserve">按照以下</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highlight w:val="white"/>
        </w:rPr>
        <w:t xml:space="preserve">类项目确定的付款方式，采购人及时办理付款手续。对于满足合同约定支付条件的，自收到发票后15日内将资金支付到合同约定的供应商账户或供应商数字人民币账户。</w:t>
      </w:r>
      <w:bookmarkEnd w:id="186"/>
      <w:r/>
      <w:r/>
    </w:p>
    <w:p>
      <w:pPr>
        <w:ind w:firstLine="482"/>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（1）货物类项目</w:t>
      </w:r>
      <w:r/>
    </w:p>
    <w:p>
      <w:pPr>
        <w:ind w:firstLine="482"/>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rPr>
          <w:rFonts w:hint="eastAsia" w:ascii="仿宋" w:hAnsi="仿宋" w:eastAsia="仿宋" w:cs="仿宋"/>
          <w:bCs/>
          <w:color w:val="000000"/>
          <w:sz w:val="24"/>
          <w:highlight w:val="white"/>
        </w:rPr>
        <w:t xml:space="preserve">，合同签订后按规定支付； </w:t>
      </w:r>
      <w:r/>
    </w:p>
    <w:p>
      <w:pPr>
        <w:ind w:firstLine="482"/>
        <w:spacing w:line="560" w:lineRule="exact"/>
        <w:rPr>
          <w:rFonts w:ascii="仿宋" w:hAnsi="仿宋" w:eastAsia="仿宋" w:cs="仿宋"/>
          <w:bCs/>
          <w:color w:val="000000"/>
          <w:sz w:val="24"/>
          <w:highlight w:val="white"/>
          <w:u w:val="single"/>
        </w:rPr>
      </w:pPr>
      <w:r>
        <w:rPr>
          <w:rFonts w:hint="eastAsia" w:ascii="仿宋" w:hAnsi="仿宋" w:eastAsia="仿宋" w:cs="仿宋"/>
          <w:bCs/>
          <w:color w:val="000000"/>
          <w:sz w:val="24"/>
          <w:highlight w:val="white"/>
        </w:rPr>
        <w:t xml:space="preserve">进度款：</w:t>
      </w:r>
      <w:bookmarkStart w:id="187" w:name="EBf1f8b954f7504a2cb44cef25707c76a6"/>
      <w:r/>
      <w:bookmarkEnd w:id="187"/>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highlight w:val="white"/>
          <w:u w:val="single"/>
        </w:rPr>
        <w:t xml:space="preserve">。</w:t>
      </w:r>
      <w:r/>
    </w:p>
    <w:p>
      <w:pPr>
        <w:ind w:firstLine="482"/>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（2）服务类项目</w:t>
      </w:r>
      <w:r/>
    </w:p>
    <w:p>
      <w:pPr>
        <w:ind w:firstLine="482"/>
        <w:spacing w:line="560" w:lineRule="exact"/>
        <w:rPr>
          <w:rFonts w:ascii="仿宋" w:hAnsi="仿宋" w:eastAsia="仿宋" w:cs="仿宋"/>
          <w:color w:val="000000"/>
          <w:sz w:val="24"/>
          <w:highlight w:val="white"/>
        </w:rPr>
      </w:pPr>
      <w:r>
        <w:rPr>
          <w:rFonts w:hint="eastAsia" w:ascii="仿宋" w:hAnsi="仿宋" w:eastAsia="仿宋" w:cs="仿宋"/>
          <w:bCs/>
          <w:color w:val="000000"/>
          <w:sz w:val="24"/>
          <w:highlight w:val="white"/>
        </w:rPr>
        <w:t xml:space="preserve">预付款：合同金额的</w:t>
      </w:r>
      <w:bookmarkStart w:id="188" w:name="EBe373fd05aa034cc3a1a41aadf8509e01"/>
      <w:r>
        <w:rPr>
          <w:rFonts w:hint="eastAsia" w:ascii="仿宋" w:hAnsi="仿宋" w:eastAsia="仿宋" w:cs="仿宋"/>
          <w:bCs/>
          <w:color w:val="000000"/>
          <w:sz w:val="24"/>
          <w:u w:val="single"/>
        </w:rPr>
        <w:t xml:space="preserve">30</w:t>
      </w:r>
      <w:r>
        <w:rPr>
          <w:rFonts w:hint="eastAsia" w:ascii="仿宋" w:hAnsi="仿宋" w:eastAsia="仿宋" w:cs="仿宋"/>
          <w:bCs/>
          <w:color w:val="000000"/>
          <w:sz w:val="24"/>
          <w:highlight w:val="white"/>
        </w:rPr>
        <w:t xml:space="preserve">%</w:t>
      </w:r>
      <w:bookmarkEnd w:id="188"/>
      <w:r>
        <w:rPr>
          <w:rFonts w:hint="eastAsia" w:ascii="仿宋" w:hAnsi="仿宋" w:eastAsia="仿宋" w:cs="仿宋"/>
          <w:bCs/>
          <w:color w:val="000000"/>
          <w:sz w:val="24"/>
          <w:highlight w:val="white"/>
        </w:rPr>
        <w:t xml:space="preserve">，合同签订后按规定支付；</w:t>
      </w:r>
      <w:r>
        <w:rPr>
          <w:rFonts w:hint="eastAsia" w:ascii="仿宋" w:hAnsi="仿宋" w:eastAsia="仿宋" w:cs="仿宋"/>
          <w:color w:val="000000"/>
          <w:sz w:val="24"/>
          <w:highlight w:val="white"/>
        </w:rPr>
        <w:t xml:space="preserve"> </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进度款：</w:t>
      </w:r>
      <w:bookmarkStart w:id="189" w:name="EB5e42c1c1be704ecfa15d9f8f317e8f12"/>
      <w:r/>
      <w:bookmarkEnd w:id="189"/>
      <w:r>
        <w:rPr>
          <w:rFonts w:hint="eastAsia" w:ascii="仿宋" w:hAnsi="仿宋" w:eastAsia="仿宋" w:cs="仿宋"/>
          <w:bCs/>
          <w:color w:val="000000"/>
          <w:sz w:val="24"/>
          <w:highlight w:val="white"/>
        </w:rPr>
        <w:t xml:space="preserve">合同签订且在收到供应商发票后15日内，采购人支付给中标供应商合同额的30%作为预付款，</w:t>
      </w:r>
      <w:r>
        <w:rPr>
          <w:rFonts w:hint="eastAsia" w:ascii="仿宋" w:hAnsi="仿宋" w:eastAsia="仿宋" w:cs="仿宋"/>
          <w:bCs/>
          <w:sz w:val="24"/>
        </w:rPr>
        <w:t xml:space="preserve">初验完成且收到供应商发票后15日内支付至合同总额80%；初验完成满一年采购人3个工作日内组织终验并出具终验报告，在收到供应商发票后15日内，支付至合同总额100%。</w:t>
      </w:r>
      <w:r>
        <w:rPr>
          <w:rFonts w:hint="eastAsia" w:ascii="仿宋" w:hAnsi="仿宋" w:eastAsia="仿宋" w:cs="仿宋"/>
          <w:bCs/>
          <w:color w:val="000000"/>
          <w:sz w:val="24"/>
          <w:highlight w:val="white"/>
        </w:rPr>
        <w:t xml:space="preserve">（合同款支付方式可采用数字人民币支付）。</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注：在签订合同时，供应商明确表示无需预付款或者主动要求降低预付款比例的，采购人可不适用预付规定。</w:t>
      </w:r>
      <w:r/>
    </w:p>
    <w:p>
      <w:pPr>
        <w:jc w:val="center"/>
        <w:rPr>
          <w:rFonts w:ascii="仿宋" w:hAnsi="仿宋" w:eastAsia="仿宋" w:cs="仿宋"/>
          <w:bCs/>
          <w:color w:val="000000"/>
          <w:sz w:val="44"/>
          <w:szCs w:val="28"/>
        </w:rPr>
      </w:pPr>
      <w:r>
        <w:rPr>
          <w:rFonts w:hint="eastAsia" w:ascii="仿宋" w:hAnsi="仿宋" w:eastAsia="仿宋" w:cs="仿宋"/>
          <w:bCs/>
          <w:color w:val="000000"/>
          <w:sz w:val="44"/>
        </w:rPr>
        <w:br w:type="page" w:clear="all"/>
      </w:r>
      <w:r>
        <w:rPr>
          <w:rFonts w:hint="eastAsia" w:ascii="仿宋" w:hAnsi="仿宋" w:eastAsia="仿宋" w:cs="仿宋"/>
          <w:bCs/>
          <w:color w:val="000000"/>
          <w:sz w:val="44"/>
          <w:szCs w:val="28"/>
        </w:rPr>
        <w:t xml:space="preserve">第三章  合同文本</w:t>
      </w:r>
      <w:bookmarkEnd w:id="181"/>
      <w:r/>
      <w:bookmarkEnd w:id="182"/>
      <w:r/>
      <w:bookmarkEnd w:id="183"/>
      <w:r/>
      <w:bookmarkEnd w:id="184"/>
      <w:r/>
      <w:bookmarkEnd w:id="185"/>
      <w:r/>
      <w:r/>
    </w:p>
    <w:p>
      <w:pPr>
        <w:pStyle w:val="1101"/>
        <w:jc w:val="left"/>
        <w:spacing w:line="360" w:lineRule="exact"/>
        <w:rPr>
          <w:rFonts w:ascii="仿宋" w:hAnsi="仿宋" w:eastAsia="仿宋" w:cs="仿宋"/>
          <w:bCs/>
          <w:sz w:val="24"/>
        </w:rPr>
      </w:pPr>
      <w:r/>
      <w:bookmarkStart w:id="190" w:name="_Hlt16619350"/>
      <w:r/>
      <w:bookmarkStart w:id="191" w:name="_Toc120614244"/>
      <w:r/>
      <w:bookmarkStart w:id="192" w:name="_Toc16938590"/>
      <w:r/>
      <w:bookmarkStart w:id="193" w:name="_Toc20823346"/>
      <w:r/>
      <w:bookmarkStart w:id="194" w:name="_Toc479757211"/>
      <w:r/>
      <w:bookmarkStart w:id="195" w:name="_Toc462564139"/>
      <w:r>
        <w:rPr>
          <w:rFonts w:hint="eastAsia" w:ascii="仿宋" w:hAnsi="仿宋" w:eastAsia="仿宋" w:cs="仿宋"/>
          <w:bCs/>
          <w:sz w:val="24"/>
        </w:rPr>
        <w:t xml:space="preserve">采购单位（全称）： </w:t>
      </w:r>
      <w:r>
        <w:rPr>
          <w:rFonts w:hint="eastAsia" w:ascii="仿宋" w:hAnsi="仿宋" w:eastAsia="仿宋" w:cs="仿宋"/>
          <w:bCs/>
          <w:sz w:val="24"/>
          <w:u w:val="single"/>
        </w:rPr>
        <w:t xml:space="preserve">                </w:t>
      </w:r>
      <w:r>
        <w:rPr>
          <w:rFonts w:hint="eastAsia" w:ascii="仿宋" w:hAnsi="仿宋" w:eastAsia="仿宋" w:cs="仿宋"/>
          <w:bCs/>
          <w:sz w:val="24"/>
        </w:rPr>
        <w:t xml:space="preserve">（简称甲方）</w:t>
      </w:r>
      <w:r/>
    </w:p>
    <w:p>
      <w:pPr>
        <w:pStyle w:val="1101"/>
        <w:jc w:val="left"/>
        <w:spacing w:line="360" w:lineRule="exact"/>
        <w:rPr>
          <w:rFonts w:ascii="仿宋" w:hAnsi="仿宋" w:eastAsia="仿宋" w:cs="仿宋"/>
          <w:bCs/>
          <w:sz w:val="24"/>
        </w:rPr>
      </w:pPr>
      <w:r>
        <w:rPr>
          <w:rFonts w:hint="eastAsia" w:ascii="仿宋" w:hAnsi="仿宋" w:eastAsia="仿宋" w:cs="仿宋"/>
          <w:bCs/>
          <w:sz w:val="24"/>
        </w:rPr>
        <w:t xml:space="preserve">中标供应商（全称）：</w:t>
      </w:r>
      <w:r>
        <w:rPr>
          <w:rFonts w:hint="eastAsia" w:ascii="仿宋" w:hAnsi="仿宋" w:eastAsia="仿宋" w:cs="仿宋"/>
          <w:bCs/>
          <w:sz w:val="24"/>
          <w:u w:val="single"/>
        </w:rPr>
        <w:t xml:space="preserve">                </w:t>
      </w:r>
      <w:r>
        <w:rPr>
          <w:rFonts w:hint="eastAsia" w:ascii="仿宋" w:hAnsi="仿宋" w:eastAsia="仿宋" w:cs="仿宋"/>
          <w:bCs/>
          <w:sz w:val="24"/>
        </w:rPr>
        <w:t xml:space="preserve">（简称乙方）</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依照《中华人民共和国政府采购法》、《中华人民共和国民法典》及其他有关法律、行政法规，遵循平等、自愿、公平和诚实信用的原则，双方就</w:t>
      </w:r>
      <w:r>
        <w:rPr>
          <w:rFonts w:hint="eastAsia" w:ascii="仿宋" w:hAnsi="仿宋" w:eastAsia="仿宋" w:cs="仿宋"/>
          <w:bCs/>
          <w:sz w:val="24"/>
          <w:u w:val="single"/>
        </w:rPr>
        <w:t xml:space="preserve">                        </w:t>
      </w:r>
      <w:r>
        <w:rPr>
          <w:rFonts w:hint="eastAsia" w:ascii="仿宋" w:hAnsi="仿宋" w:eastAsia="仿宋" w:cs="仿宋"/>
          <w:bCs/>
          <w:sz w:val="24"/>
        </w:rPr>
        <w:t xml:space="preserve">相关事项协商一致，达成如下合同条款：</w:t>
      </w:r>
      <w:r/>
    </w:p>
    <w:p>
      <w:pPr>
        <w:pStyle w:val="1102"/>
        <w:ind w:firstLine="0"/>
        <w:jc w:val="left"/>
        <w:spacing w:line="360" w:lineRule="exact"/>
        <w:rPr>
          <w:rFonts w:ascii="仿宋" w:hAnsi="仿宋" w:eastAsia="仿宋" w:cs="仿宋"/>
          <w:bCs/>
          <w:u w:val="single"/>
        </w:rPr>
      </w:pPr>
      <w:r>
        <w:rPr>
          <w:rFonts w:hint="eastAsia" w:ascii="仿宋" w:hAnsi="仿宋" w:eastAsia="仿宋" w:cs="仿宋"/>
          <w:bCs/>
          <w:sz w:val="24"/>
        </w:rPr>
        <w:t xml:space="preserve">一、乙方向甲方提供总价值为：</w:t>
      </w:r>
      <w:r>
        <w:rPr>
          <w:rFonts w:hint="eastAsia" w:ascii="宋体" w:hAnsi="宋体" w:cs="宋体"/>
          <w:bCs/>
          <w:sz w:val="24"/>
          <w:szCs w:val="24"/>
        </w:rPr>
        <w:t xml:space="preserve">   万元整（￥：       ）</w:t>
      </w:r>
      <w:r/>
    </w:p>
    <w:tbl>
      <w:tblPr>
        <w:tblStyle w:val="762"/>
        <w:tblW w:w="9020" w:type="dxa"/>
        <w:tblInd w:w="98" w:type="dxa"/>
        <w:tblLayout w:type="autofit"/>
        <w:tblCellMar>
          <w:left w:w="108" w:type="dxa"/>
          <w:top w:w="0" w:type="dxa"/>
          <w:right w:w="108" w:type="dxa"/>
          <w:bottom w:w="0" w:type="dxa"/>
        </w:tblCellMar>
        <w:tblLook w:val="04A0" w:firstRow="1" w:lastRow="0" w:firstColumn="1" w:lastColumn="0" w:noHBand="0" w:noVBand="1"/>
      </w:tblPr>
      <w:tblGrid>
        <w:gridCol w:w="701"/>
        <w:gridCol w:w="1091"/>
        <w:gridCol w:w="3674"/>
        <w:gridCol w:w="695"/>
        <w:gridCol w:w="699"/>
        <w:gridCol w:w="935"/>
        <w:gridCol w:w="1225"/>
      </w:tblGrid>
      <w:tr>
        <w:trPr>
          <w:trHeight w:val="63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货物名称</w:t>
            </w:r>
            <w:r/>
          </w:p>
        </w:tc>
        <w:tc>
          <w:tcPr>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品牌.型号</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单价(元)</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总价(元)</w:t>
            </w:r>
            <w:r/>
          </w:p>
        </w:tc>
      </w:tr>
      <w:tr>
        <w:trPr>
          <w:trHeight w:val="321"/>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103"/>
              <w:jc w:val="left"/>
              <w:widowControl/>
              <w:rPr>
                <w:rFonts w:ascii="宋体" w:hAnsi="宋体" w:cs="宋体"/>
                <w:b/>
                <w:bCs/>
                <w:color w:val="000000"/>
                <w:sz w:val="22"/>
              </w:rPr>
            </w:pPr>
            <w:r>
              <w:rPr>
                <w:rFonts w:hint="eastAsia" w:ascii="宋体" w:hAnsi="宋体" w:cs="宋体"/>
                <w:b/>
                <w:bCs/>
                <w:color w:val="000000"/>
                <w:sz w:val="22"/>
              </w:rPr>
              <w:t xml:space="preserve">一、</w:t>
            </w:r>
            <w:r/>
          </w:p>
        </w:tc>
      </w:tr>
      <w:tr>
        <w:trPr>
          <w:trHeight w:val="1252"/>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trHeight w:val="1252"/>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服务名称</w:t>
            </w:r>
            <w:r/>
          </w:p>
        </w:tc>
        <w:tc>
          <w:tcPr>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服务内容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单价(元)</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b/>
                <w:bCs/>
                <w:color w:val="000000"/>
                <w:sz w:val="20"/>
                <w:szCs w:val="20"/>
              </w:rPr>
              <w:t xml:space="preserve">总价(元)</w:t>
            </w:r>
            <w:r/>
          </w:p>
        </w:tc>
      </w:tr>
      <w:tr>
        <w:trPr>
          <w:trHeight w:val="1252"/>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1103"/>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1103"/>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1103"/>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trHeight w:val="321"/>
        </w:trPr>
        <w:tc>
          <w:tcPr>
            <w:gridSpan w:val="6"/>
            <w:tcBorders>
              <w:top w:val="single" w:color="000000" w:sz="4" w:space="0"/>
              <w:left w:val="single" w:color="000000" w:sz="4" w:space="0"/>
              <w:bottom w:val="single" w:color="000000" w:sz="4" w:space="0"/>
              <w:right w:val="single" w:color="000000" w:sz="4" w:space="0"/>
            </w:tcBorders>
            <w:tcW w:w="7795"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1103"/>
              <w:jc w:val="center"/>
              <w:widowControl/>
              <w:rPr>
                <w:rFonts w:ascii="宋体" w:hAnsi="宋体" w:cs="宋体"/>
                <w:b/>
                <w:bCs/>
                <w:color w:val="000000"/>
                <w:sz w:val="20"/>
                <w:szCs w:val="20"/>
              </w:rPr>
            </w:pPr>
            <w:r>
              <w:rPr>
                <w:rFonts w:hint="eastAsia" w:ascii="宋体" w:hAnsi="宋体" w:cs="宋体"/>
                <w:b/>
                <w:bCs/>
                <w:color w:val="000000"/>
                <w:sz w:val="20"/>
                <w:szCs w:val="20"/>
              </w:rPr>
              <w:t xml:space="preserve"> </w:t>
            </w:r>
            <w:r/>
          </w:p>
        </w:tc>
      </w:tr>
      <w:tr>
        <w:trPr>
          <w:trHeight w:val="767"/>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103"/>
              <w:jc w:val="center"/>
              <w:widowControl/>
              <w:rPr>
                <w:rFonts w:ascii="宋体" w:hAnsi="宋体" w:cs="宋体"/>
                <w:b/>
                <w:bCs/>
                <w:color w:val="000000"/>
                <w:sz w:val="22"/>
              </w:rPr>
            </w:pPr>
            <w:r>
              <w:rPr>
                <w:rFonts w:hint="eastAsia" w:ascii="宋体" w:hAnsi="宋体" w:cs="宋体"/>
                <w:b/>
                <w:bCs/>
                <w:color w:val="000000"/>
                <w:sz w:val="22"/>
              </w:rPr>
              <w:t xml:space="preserve">报价总计</w:t>
            </w:r>
            <w:r/>
          </w:p>
        </w:tc>
        <w:tc>
          <w:tcPr>
            <w:gridSpan w:val="5"/>
            <w:tcBorders>
              <w:top w:val="single" w:color="000000" w:sz="4" w:space="0"/>
              <w:left w:val="single" w:color="000000" w:sz="4" w:space="0"/>
              <w:bottom w:val="single" w:color="000000" w:sz="4" w:space="0"/>
              <w:right w:val="single" w:color="000000" w:sz="4" w:space="0"/>
            </w:tcBorders>
            <w:tcW w:w="7228" w:type="dxa"/>
            <w:vAlign w:val="center"/>
            <w:textDirection w:val="lrTb"/>
            <w:noWrap w:val="false"/>
          </w:tcPr>
          <w:p>
            <w:pPr>
              <w:pStyle w:val="1103"/>
              <w:jc w:val="left"/>
              <w:widowControl/>
              <w:rPr>
                <w:rStyle w:val="1104"/>
                <w:rFonts w:hint="default"/>
              </w:rPr>
            </w:pPr>
            <w:r>
              <w:rPr>
                <w:rStyle w:val="1104"/>
                <w:rFonts w:hint="default"/>
              </w:rPr>
              <w:t xml:space="preserve">          ￥  </w:t>
            </w:r>
            <w:r/>
          </w:p>
          <w:p>
            <w:pPr>
              <w:pStyle w:val="1103"/>
              <w:jc w:val="left"/>
              <w:widowControl/>
              <w:rPr>
                <w:rFonts w:ascii="宋体" w:hAnsi="宋体" w:cs="宋体"/>
                <w:b/>
                <w:bCs/>
                <w:color w:val="000000"/>
                <w:sz w:val="22"/>
              </w:rPr>
            </w:pPr>
            <w:r>
              <w:rPr>
                <w:rStyle w:val="1104"/>
                <w:rFonts w:hint="default"/>
              </w:rPr>
              <w:t xml:space="preserve">          人民币（大写）：</w:t>
            </w:r>
            <w:r>
              <w:rPr>
                <w:rStyle w:val="1105"/>
                <w:rFonts w:hint="default"/>
              </w:rPr>
              <w:t xml:space="preserve">   </w:t>
            </w:r>
            <w:r>
              <w:rPr>
                <w:rStyle w:val="1104"/>
                <w:rFonts w:hint="default"/>
              </w:rPr>
              <w:t xml:space="preserve">仟</w:t>
            </w:r>
            <w:r>
              <w:rPr>
                <w:rStyle w:val="1105"/>
                <w:rFonts w:hint="default"/>
              </w:rPr>
              <w:t xml:space="preserve">   </w:t>
            </w:r>
            <w:r>
              <w:rPr>
                <w:rStyle w:val="1104"/>
                <w:rFonts w:hint="default"/>
              </w:rPr>
              <w:t xml:space="preserve">佰</w:t>
            </w:r>
            <w:r>
              <w:rPr>
                <w:rStyle w:val="1105"/>
                <w:rFonts w:hint="default"/>
              </w:rPr>
              <w:t xml:space="preserve">     </w:t>
            </w:r>
            <w:r>
              <w:rPr>
                <w:rStyle w:val="1104"/>
                <w:rFonts w:hint="default"/>
              </w:rPr>
              <w:t xml:space="preserve">万元整</w:t>
            </w:r>
            <w:r/>
          </w:p>
        </w:tc>
      </w:tr>
    </w:tbl>
    <w:p>
      <w:pPr>
        <w:pStyle w:val="1101"/>
        <w:ind w:firstLine="480"/>
        <w:spacing w:line="360" w:lineRule="exact"/>
        <w:rPr>
          <w:rFonts w:ascii="仿宋" w:hAnsi="仿宋" w:eastAsia="仿宋" w:cs="仿宋"/>
          <w:bCs/>
          <w:sz w:val="24"/>
        </w:rPr>
      </w:pPr>
      <w:r>
        <w:rPr>
          <w:rFonts w:ascii="仿宋" w:hAnsi="仿宋" w:eastAsia="仿宋" w:cs="仿宋"/>
          <w:bCs/>
          <w:sz w:val="24"/>
        </w:rPr>
      </w:r>
      <w:r/>
    </w:p>
    <w:p>
      <w:pPr>
        <w:pStyle w:val="1101"/>
        <w:ind w:firstLine="480"/>
        <w:spacing w:line="360" w:lineRule="exact"/>
        <w:rPr>
          <w:rFonts w:ascii="仿宋" w:hAnsi="仿宋" w:eastAsia="仿宋" w:cs="仿宋"/>
          <w:bCs/>
          <w:sz w:val="24"/>
        </w:rPr>
      </w:pPr>
      <w:r>
        <w:rPr>
          <w:rFonts w:ascii="仿宋" w:hAnsi="仿宋" w:eastAsia="仿宋" w:cs="仿宋"/>
          <w:bCs/>
          <w:sz w:val="24"/>
        </w:rPr>
        <w:t xml:space="preserve">（一）本项目对任何有选择的报价将不予接受，只允许有一个报价。报价内容包括：货物本身价格、运输、装卸、人工、安装、集成、产品损耗、售后服务、检测费、培训、税金、维保及货物交付使用过程中涉及到的其他费用，结算时不作调整。</w:t>
      </w:r>
      <w:r/>
    </w:p>
    <w:p>
      <w:pPr>
        <w:pStyle w:val="1101"/>
        <w:ind w:firstLine="480"/>
        <w:spacing w:line="360" w:lineRule="exact"/>
        <w:rPr>
          <w:rFonts w:ascii="仿宋" w:hAnsi="仿宋" w:eastAsia="仿宋" w:cs="仿宋"/>
          <w:bCs/>
          <w:sz w:val="24"/>
        </w:rPr>
      </w:pPr>
      <w:r>
        <w:rPr>
          <w:rFonts w:ascii="仿宋" w:hAnsi="仿宋" w:eastAsia="仿宋" w:cs="仿宋"/>
          <w:bCs/>
          <w:sz w:val="24"/>
        </w:rPr>
        <w:t xml:space="preserve">（二）报价注意事项：</w:t>
      </w:r>
      <w:r/>
    </w:p>
    <w:p>
      <w:pPr>
        <w:pStyle w:val="1101"/>
        <w:ind w:firstLine="480"/>
        <w:spacing w:line="360" w:lineRule="exact"/>
        <w:rPr>
          <w:rFonts w:ascii="仿宋" w:hAnsi="仿宋" w:eastAsia="仿宋" w:cs="仿宋"/>
          <w:bCs/>
          <w:sz w:val="24"/>
        </w:rPr>
      </w:pPr>
      <w:r>
        <w:rPr>
          <w:rFonts w:ascii="仿宋" w:hAnsi="仿宋" w:eastAsia="仿宋" w:cs="仿宋"/>
          <w:bCs/>
          <w:sz w:val="24"/>
        </w:rPr>
        <w:t xml:space="preserve">价格一律以人民币计算，以元为单位标准；</w:t>
      </w:r>
      <w:r/>
    </w:p>
    <w:p>
      <w:pPr>
        <w:pStyle w:val="1101"/>
        <w:ind w:firstLine="480"/>
        <w:spacing w:line="360" w:lineRule="exact"/>
        <w:rPr>
          <w:rFonts w:ascii="仿宋" w:hAnsi="仿宋" w:eastAsia="仿宋" w:cs="仿宋"/>
          <w:bCs/>
          <w:sz w:val="24"/>
        </w:rPr>
      </w:pPr>
      <w:r>
        <w:rPr>
          <w:rFonts w:ascii="仿宋" w:hAnsi="仿宋" w:eastAsia="仿宋" w:cs="仿宋"/>
          <w:bCs/>
          <w:sz w:val="24"/>
        </w:rPr>
        <w:t xml:space="preserve">（三）项目采购、运输、安装至该项目完成期间，涉及相关人员安全问题，由中标人承担。</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二、交货时间、地点、质保期</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（一）工期：签订合同后</w:t>
      </w:r>
      <w:r>
        <w:rPr>
          <w:rFonts w:hint="eastAsia" w:ascii="仿宋" w:hAnsi="仿宋" w:eastAsia="仿宋" w:cs="仿宋"/>
          <w:bCs/>
          <w:sz w:val="24"/>
          <w:lang w:val="en-US" w:eastAsia="zh-CN"/>
        </w:rPr>
        <w:t xml:space="preserve">120</w:t>
      </w:r>
      <w:r>
        <w:rPr>
          <w:rFonts w:hint="eastAsia" w:ascii="仿宋" w:hAnsi="仿宋" w:eastAsia="仿宋" w:cs="仿宋"/>
          <w:bCs/>
          <w:sz w:val="24"/>
        </w:rPr>
        <w:t xml:space="preserve">日历天内安装调试完毕。</w:t>
      </w:r>
      <w:r/>
    </w:p>
    <w:p>
      <w:pPr>
        <w:pStyle w:val="1101"/>
        <w:ind w:firstLine="480"/>
        <w:spacing w:line="360" w:lineRule="exact"/>
        <w:rPr>
          <w:rFonts w:ascii="仿宋" w:hAnsi="仿宋" w:eastAsia="仿宋" w:cs="仿宋"/>
          <w:bCs/>
          <w:sz w:val="24"/>
          <w:u w:val="single"/>
        </w:rPr>
      </w:pPr>
      <w:r>
        <w:rPr>
          <w:rFonts w:hint="eastAsia" w:ascii="仿宋" w:hAnsi="仿宋" w:eastAsia="仿宋" w:cs="仿宋"/>
          <w:bCs/>
          <w:sz w:val="24"/>
        </w:rPr>
        <w:t xml:space="preserve">（二）交货地点：采购人指定地点。</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（三）质保期：</w:t>
      </w:r>
      <w:r>
        <w:rPr>
          <w:rFonts w:hint="eastAsia" w:ascii="仿宋" w:hAnsi="仿宋" w:eastAsia="仿宋" w:cs="仿宋"/>
          <w:bCs/>
          <w:sz w:val="24"/>
          <w:lang w:val="en-US" w:eastAsia="zh-CN"/>
        </w:rPr>
        <w:t xml:space="preserve">三年</w:t>
      </w:r>
      <w:r>
        <w:rPr>
          <w:rFonts w:hint="eastAsia" w:ascii="仿宋" w:hAnsi="仿宋" w:eastAsia="仿宋" w:cs="仿宋"/>
          <w:bCs/>
          <w:sz w:val="24"/>
        </w:rPr>
        <w:t xml:space="preserve"> </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三、质量技术标准：合格。</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四、运输方式及费用</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由乙方视情况自定运输方式，费用自负。</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五、验收</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一）在货物进场交付使用后7个工作日内，甲方根据技术要求组织验收，验收内容包括：型号、规格、数量、外观质量、及货物包装是否完好是否合格，所提供货物的装箱清单、用户手册、原厂保修卡、随机资料、随机工具等是否齐全。验收合格并不免除乙方对标的物由于设计、工艺或材料的缺陷/瑕疵而发生的任何不足或故障负责，并承担由此引起的一切后果，使用期内甲方行使本条权利不受时间限制。</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（二)甲方应按签订采购合同约定时间组织验收，并出具验收是否合格报告。验收主体由采购单位组织本单位纪检及相关人员验收，也可邀请相关专业人员参与验收，因此产生的费用由乙方支付。</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三）甲方在验收中，如发现有与合同规定不符的，应在3天内向乙方提出书面意见，不签发验收单，并同时将该书面意见提交至政府采购科。乙方在接到甲方书面意见后，应在3天内予以处理，并将处理结果以书面形式告知政府采购科。项目完成整体验收合格前的相关验收记录（中间验收）并不免除乙方对标的物的质量保证责任，相关设备及安装、调试等是否合格，以最终验收为准。</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六、付款方式：</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预付款：合同金额的30%，合同签订后按规定支付； </w:t>
      </w:r>
      <w:r/>
    </w:p>
    <w:p>
      <w:pPr>
        <w:pStyle w:val="1101"/>
        <w:ind w:firstLine="480"/>
        <w:spacing w:line="360" w:lineRule="exact"/>
        <w:rPr>
          <w:rFonts w:ascii="仿宋" w:hAnsi="仿宋" w:eastAsia="仿宋" w:cs="仿宋"/>
          <w:bCs/>
          <w:sz w:val="24"/>
        </w:rPr>
      </w:pPr>
      <w:r>
        <w:rPr>
          <w:rFonts w:hint="eastAsia" w:ascii="仿宋" w:hAnsi="仿宋" w:eastAsia="仿宋" w:cs="仿宋"/>
          <w:bCs/>
          <w:sz w:val="24"/>
        </w:rPr>
        <w:t xml:space="preserve">进度款：合同签订且在收到供应商发票后15日内，采购人支付给中标供应商合同额的30%作为预付款，初验完成且收到供应商发票后15日内支付至合同总额80%；初验完成满一年采购人3个工作日内组织终验并出具终验报告，在收到供应商发票后15日内，支付至合同总额100%。（合同款支付方式可采用数字人民币支付）。</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七、售后服务</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（一）验收通过之日起对设备免费保修</w:t>
      </w:r>
      <w:r>
        <w:rPr>
          <w:rFonts w:hint="eastAsia" w:ascii="仿宋" w:hAnsi="仿宋" w:eastAsia="仿宋" w:cs="仿宋"/>
          <w:bCs/>
          <w:sz w:val="24"/>
          <w:u w:val="single"/>
        </w:rPr>
        <w:t xml:space="preserve">  </w:t>
      </w:r>
      <w:r>
        <w:rPr>
          <w:rFonts w:hint="eastAsia" w:ascii="仿宋" w:hAnsi="仿宋" w:eastAsia="仿宋" w:cs="仿宋"/>
          <w:bCs/>
          <w:sz w:val="24"/>
        </w:rPr>
        <w:t xml:space="preserve">年。在</w:t>
      </w:r>
      <w:r>
        <w:rPr>
          <w:rFonts w:hint="eastAsia" w:ascii="仿宋" w:hAnsi="仿宋" w:eastAsia="仿宋" w:cs="仿宋"/>
          <w:bCs/>
          <w:sz w:val="24"/>
          <w:u w:val="single"/>
        </w:rPr>
        <w:t xml:space="preserve">  </w:t>
      </w:r>
      <w:r>
        <w:rPr>
          <w:rFonts w:hint="eastAsia" w:ascii="仿宋" w:hAnsi="仿宋" w:eastAsia="仿宋" w:cs="仿宋"/>
          <w:bCs/>
          <w:sz w:val="24"/>
        </w:rPr>
        <w:t xml:space="preserve">年保修期内乙方对产品质量实行三包，因设备配置或制造质量问题而引起的故障，乙方应在2小时内立即予以免费维修或更换，提供软件终身免费升级服务，由此引起的一切费用由乙方承担。</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（二）技术支持响应时间。一般问题即时电话支持，难点、重点问题24小时内现场解决，若外地企业，必须授权委托本地化服务，质保期内相关费用由乙方承担，质保期满后乙方收取成本费。</w:t>
      </w:r>
      <w:r/>
    </w:p>
    <w:p>
      <w:pPr>
        <w:pStyle w:val="1101"/>
        <w:ind w:right="-73" w:firstLine="480"/>
        <w:jc w:val="left"/>
        <w:spacing w:line="360" w:lineRule="exact"/>
        <w:rPr>
          <w:rFonts w:ascii="仿宋" w:hAnsi="仿宋" w:eastAsia="仿宋" w:cs="仿宋"/>
          <w:bCs/>
          <w:sz w:val="24"/>
        </w:rPr>
      </w:pPr>
      <w:r>
        <w:rPr>
          <w:rFonts w:hint="eastAsia" w:ascii="仿宋" w:hAnsi="仿宋" w:eastAsia="仿宋" w:cs="仿宋"/>
          <w:bCs/>
          <w:sz w:val="24"/>
        </w:rPr>
        <w:t xml:space="preserve">八、履约保证金</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不收取</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九、违约条款</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（一）乙方不按期完成合同约定的内容，应向甲方支付违约金，除甲方或不可抗力造成原因外，每延迟交付一天，按合同总价款的</w:t>
      </w:r>
      <w:r>
        <w:rPr>
          <w:rFonts w:hint="eastAsia" w:ascii="仿宋" w:hAnsi="仿宋" w:eastAsia="仿宋" w:cs="仿宋"/>
          <w:bCs/>
          <w:sz w:val="24"/>
          <w:u w:val="single"/>
        </w:rPr>
        <w:t xml:space="preserve">0.5%</w:t>
      </w:r>
      <w:r>
        <w:rPr>
          <w:rFonts w:hint="eastAsia" w:ascii="仿宋" w:hAnsi="仿宋" w:eastAsia="仿宋" w:cs="仿宋"/>
          <w:bCs/>
          <w:sz w:val="24"/>
        </w:rPr>
        <w:t xml:space="preserve">支付违约金，违约金可直接从履约保证金中扣除; 延期超过</w:t>
      </w:r>
      <w:r>
        <w:rPr>
          <w:rFonts w:hint="eastAsia" w:ascii="仿宋" w:hAnsi="仿宋" w:eastAsia="仿宋" w:cs="仿宋"/>
          <w:bCs/>
          <w:sz w:val="24"/>
          <w:u w:val="single"/>
        </w:rPr>
        <w:t xml:space="preserve"> 3</w:t>
      </w:r>
      <w:r>
        <w:rPr>
          <w:rFonts w:hint="eastAsia" w:ascii="仿宋" w:hAnsi="仿宋" w:eastAsia="仿宋" w:cs="仿宋"/>
          <w:bCs/>
          <w:sz w:val="24"/>
        </w:rPr>
        <w:t xml:space="preserve">日，甲方有权强制解除合同并没收履约保证金。               </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（二）乙方所供产品品种、型号、规格、花色、质量不符合规定的，由其负责包换或包修，并承担修理、调换或退货而支付的实际费用。 </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（三）非因甲方原因，乙方不履行本合同规定的义务，致使工期延误，甲方有权要求其强制履行或解除合同，并要求乙方等额赔偿由此造成的一切损失。</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（四）本项目不得转让分包，如有发生，除没收其履约保证金外，无条件清理退场，所造成的一切损失由乙方负责。</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（五）甲方未按约定期限付款的，除向乙方支付货款外，须按中国人民银行有关规定向乙方支付滞纳金。</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十、知识产权</w:t>
      </w:r>
      <w:r/>
    </w:p>
    <w:p>
      <w:pPr>
        <w:pStyle w:val="1106"/>
        <w:ind w:firstLine="480"/>
        <w:spacing w:line="360" w:lineRule="exact"/>
        <w:rPr>
          <w:rFonts w:ascii="仿宋" w:hAnsi="仿宋" w:eastAsia="仿宋" w:cs="仿宋"/>
          <w:bCs/>
          <w:sz w:val="24"/>
        </w:rPr>
      </w:pPr>
      <w:r>
        <w:rPr>
          <w:rFonts w:hint="eastAsia" w:ascii="仿宋" w:hAnsi="仿宋" w:eastAsia="仿宋" w:cs="仿宋"/>
          <w:bCs/>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十一、合同生效及审核</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本合同经甲方、乙方签字盖章后生效，合同签订的内容不能超出招标文件和投标文件的实质性内容。</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十二、合同的组成部分</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本合同条款、中标通知书、招标（谈判）文件、投（竞）标文件及投（竞）标人在开标时的书面承诺等构成合同的组成部分。 </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十三、本合同一式六份，以中文书写，甲方、乙方各执二份，政府采购科各一份。</w:t>
      </w:r>
      <w:r/>
    </w:p>
    <w:p>
      <w:pPr>
        <w:pStyle w:val="1101"/>
        <w:ind w:firstLine="480"/>
        <w:jc w:val="left"/>
        <w:spacing w:line="360" w:lineRule="exact"/>
        <w:rPr>
          <w:rFonts w:ascii="仿宋" w:hAnsi="仿宋" w:eastAsia="仿宋" w:cs="仿宋"/>
          <w:bCs/>
          <w:sz w:val="32"/>
        </w:rPr>
      </w:pPr>
      <w:r>
        <w:rPr>
          <w:rFonts w:hint="eastAsia" w:ascii="仿宋" w:hAnsi="仿宋" w:eastAsia="仿宋" w:cs="仿宋"/>
          <w:bCs/>
          <w:sz w:val="24"/>
        </w:rPr>
        <w:t xml:space="preserve">十四、本合同一切未尽事宜，按合同法有关规定执行，无相关规定的，由甲乙双方协商解决。</w:t>
      </w:r>
      <w:r/>
    </w:p>
    <w:p>
      <w:pPr>
        <w:pStyle w:val="1101"/>
        <w:ind w:firstLine="640"/>
        <w:jc w:val="center"/>
        <w:spacing w:line="360" w:lineRule="exact"/>
        <w:widowControl/>
        <w:rPr>
          <w:rFonts w:ascii="仿宋" w:hAnsi="仿宋" w:eastAsia="仿宋" w:cs="仿宋"/>
          <w:bCs/>
          <w:sz w:val="32"/>
        </w:rPr>
      </w:pPr>
      <w:r>
        <w:rPr>
          <w:rFonts w:ascii="仿宋" w:hAnsi="仿宋" w:eastAsia="仿宋" w:cs="仿宋"/>
          <w:bCs/>
          <w:sz w:val="32"/>
        </w:rPr>
      </w:r>
      <w:r/>
    </w:p>
    <w:p>
      <w:pPr>
        <w:pStyle w:val="1101"/>
        <w:ind w:firstLine="640"/>
        <w:jc w:val="center"/>
        <w:spacing w:line="360" w:lineRule="exact"/>
        <w:widowControl/>
        <w:rPr>
          <w:rFonts w:ascii="仿宋" w:hAnsi="仿宋" w:eastAsia="仿宋" w:cs="仿宋"/>
          <w:bCs/>
          <w:sz w:val="32"/>
        </w:rPr>
      </w:pPr>
      <w:r>
        <w:rPr>
          <w:rFonts w:hint="eastAsia" w:ascii="仿宋" w:hAnsi="仿宋" w:eastAsia="仿宋" w:cs="仿宋"/>
          <w:bCs/>
          <w:sz w:val="32"/>
        </w:rPr>
        <w:t xml:space="preserve">通用条款</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十五、词语涵义</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（一）合同：甲乙双方签署的、合同格式中载明的甲方与乙方所达成的协议，包括所有的附件、附录和构成合同的所有文件。</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（二）合同价：根据合同规定，乙方在正确地完全履行合同义务后甲方应支付给乙方的价格。</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（三）货物：乙方根据合同规定须向甲方提供的一切产品、机械、仪表、备件、工具、手册和其他技术资料及其他材料。</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（四）服务：根据合同规定乙方承担与供货有关的辅助服务，如运输、保险以及其它的伴随服务，比如调试、提供技术援助、培训和其他类似的乙方应承担的义务。</w:t>
      </w:r>
      <w:r/>
    </w:p>
    <w:p>
      <w:pPr>
        <w:pStyle w:val="1101"/>
        <w:ind w:firstLine="480"/>
        <w:jc w:val="left"/>
        <w:spacing w:line="360" w:lineRule="exact"/>
        <w:widowControl/>
        <w:rPr>
          <w:rFonts w:ascii="仿宋" w:hAnsi="仿宋" w:eastAsia="仿宋" w:cs="仿宋"/>
          <w:bCs/>
          <w:sz w:val="24"/>
        </w:rPr>
      </w:pPr>
      <w:r>
        <w:rPr>
          <w:rFonts w:hint="eastAsia" w:ascii="仿宋" w:hAnsi="仿宋" w:eastAsia="仿宋" w:cs="仿宋"/>
          <w:bCs/>
          <w:sz w:val="24"/>
        </w:rPr>
        <w:t xml:space="preserve">（五）甲方：采购单位，即</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（六）乙方：提供货物和服务的公司或实体，即</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（七）不可抗力：指</w:t>
      </w:r>
      <w:r>
        <w:rPr>
          <w:rFonts w:hint="eastAsia" w:ascii="仿宋" w:hAnsi="仿宋" w:eastAsia="仿宋" w:cs="仿宋"/>
          <w:bCs/>
          <w:spacing w:val="8"/>
          <w:sz w:val="24"/>
        </w:rPr>
        <w:t xml:space="preserve">不能预见、不能避免和不能克服的客观情况，</w:t>
      </w:r>
      <w:r>
        <w:rPr>
          <w:rFonts w:hint="eastAsia" w:ascii="仿宋" w:hAnsi="仿宋" w:eastAsia="仿宋" w:cs="仿宋"/>
          <w:bCs/>
          <w:sz w:val="24"/>
        </w:rPr>
        <w:t xml:space="preserve">如战争、动乱、空中飞行物体坠落或其它非甲乙方责任造成的爆炸、火灾，以及协议条款约定等级以上的风、雨、雪、地震等。</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十六、技术规格</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乙方所提供货物的技术规格应与招标文件规定的技术规格以及所附的技术规格响应表相一致。</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十七、专利权</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乙方应保证甲方在使用该货物或其任何一部分时不受第三方提出侵犯其专利权、商标权和工业设计权的起诉。一旦出现专利侵权，乙方应负全部责任。</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十八、包装要求</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（二）每件包装箱内应附一份详细装箱单和质量合格标识。</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十九、装运条件及安全措施</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1.根据采购人指定地点，乙方负责安排运输，并承担运费。</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2.在货物运输和施工安装所有过程中，乙方应做好安全工作，否则，发生的一切事故，皆由乙方自行承担。</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二十、付款</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（一）本合同以人民币付款。</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（二）乙方应按照与甲方签订的合同规定交货。交货后乙方向甲方提供下列单据，按合同规定审核后付款：</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1、发票；</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2、制造厂家出具的质量检验合格证书等；</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3、装箱单；</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4、验收合格证书；</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5、甲方加盖公章证明货物交付使用合格的验收合格报告。</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二十一、伴随服务</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乙方应按照国家有关规定和合同中所附的服务承诺提供服务，主要包括：</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（一）货物的现场；</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（二）提供货物组装和维修所需的工具；</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（三）在合同中乙方承诺的期限内对所提供货物实施运行监督、维修，该服务并不能免除乙方在质量保证期内应承担的义务；</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（四）在项目交货现场就货物的、启动、运行、维护对使用方人员进行培训。</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二十二、质量保证</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（一）乙方所提供的产品必须符合最新的国家标准和行业标准。</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乙方应保证货物是全新、未使用过的原装合格正品，并完全符合合同规定的质量、规格和性能。货物在正确、正常使用和保养条件下，在其使用寿命内应具有满意的性能。货物最终验收后，在质量保证期内，对由于设计、工艺或材料缺陷而发生任何不足或故障，乙方应负责并承担相应费用。</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二十三、检验</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甲方在乙方交货后及时组织验收，如果货物的质量和规格与合同规定相符，甲方应及时填写验收表，加盖公章后报政府采购科；如果货物的质量、规格与合同规定不符，或在质量保证期内发现货物是有缺陷的（包括潜在缺陷或使用不符合要求的材料），甲方应报请法定检验机构进行检查，有权凭其出具的检验报告向乙方提出索赔，检验报告送政府采购科备案。</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（三）供应商所投产品需进行商品包装和快递包装的，应不低于《关于印发〈商品包装政府采购需求标准（试行）〉、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二十四、索赔</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2、根据货物的低劣程度、损坏程度以及甲方所遭损失的数额，乙方须降低货物的价格。</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二十五、误期赔偿</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二十六、不可抗力</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二十七、税费</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中国政府根据现行税法规定对甲方征收的与本合同有关的一切税费由甲方负担；规定对乙方征收的与本合同有关的一切税费由乙方负担。</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二十八、合同争议</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甲乙双方应通过友好协商，解决在执行本合同中所发生的或与本合同有关的一切争议。如果协商仍得不到解决，任何一方均可按“中华人民共和国民法典”规定提交调解和仲裁。   </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二十九、适用法律</w:t>
      </w:r>
      <w:r/>
    </w:p>
    <w:p>
      <w:pPr>
        <w:pStyle w:val="1101"/>
        <w:ind w:firstLine="480"/>
        <w:jc w:val="left"/>
        <w:spacing w:line="360" w:lineRule="exact"/>
        <w:rPr>
          <w:rFonts w:ascii="仿宋" w:hAnsi="仿宋" w:eastAsia="仿宋" w:cs="仿宋"/>
          <w:bCs/>
          <w:sz w:val="24"/>
        </w:rPr>
      </w:pPr>
      <w:r>
        <w:rPr>
          <w:rFonts w:hint="eastAsia" w:ascii="仿宋" w:hAnsi="仿宋" w:eastAsia="仿宋" w:cs="仿宋"/>
          <w:bCs/>
          <w:sz w:val="24"/>
        </w:rPr>
        <w:t xml:space="preserve">本合同应按照中华人民共和国的现行法律进行解释。</w:t>
      </w:r>
      <w:r/>
    </w:p>
    <w:p>
      <w:pPr>
        <w:pStyle w:val="1101"/>
        <w:jc w:val="left"/>
        <w:spacing w:line="360" w:lineRule="exact"/>
        <w:rPr>
          <w:rFonts w:ascii="仿宋" w:hAnsi="仿宋" w:eastAsia="仿宋" w:cs="仿宋"/>
          <w:bCs/>
          <w:sz w:val="24"/>
        </w:rPr>
      </w:pPr>
      <w:r>
        <w:rPr>
          <w:rFonts w:ascii="仿宋" w:hAnsi="仿宋" w:eastAsia="仿宋" w:cs="仿宋"/>
          <w:bCs/>
          <w:sz w:val="24"/>
        </w:rPr>
      </w:r>
      <w:r/>
    </w:p>
    <w:p>
      <w:pPr>
        <w:pStyle w:val="1101"/>
        <w:jc w:val="left"/>
        <w:spacing w:line="360" w:lineRule="auto"/>
        <w:rPr>
          <w:rFonts w:ascii="仿宋" w:hAnsi="仿宋" w:eastAsia="仿宋" w:cs="仿宋"/>
          <w:bCs/>
          <w:sz w:val="24"/>
        </w:rPr>
      </w:pPr>
      <w:r>
        <w:rPr>
          <w:rFonts w:hint="eastAsia" w:ascii="仿宋" w:hAnsi="仿宋" w:eastAsia="仿宋" w:cs="仿宋"/>
          <w:bCs/>
          <w:sz w:val="24"/>
        </w:rPr>
        <w:t xml:space="preserve">甲方：</w:t>
      </w:r>
      <w:r>
        <w:rPr>
          <w:rFonts w:hint="eastAsia" w:ascii="仿宋" w:hAnsi="仿宋" w:eastAsia="仿宋" w:cs="仿宋"/>
          <w:bCs/>
          <w:sz w:val="24"/>
          <w:u w:val="single"/>
        </w:rPr>
        <w:t xml:space="preserve">               </w:t>
      </w:r>
      <w:r>
        <w:rPr>
          <w:rFonts w:hint="eastAsia" w:ascii="仿宋" w:hAnsi="仿宋" w:eastAsia="仿宋" w:cs="仿宋"/>
          <w:bCs/>
          <w:sz w:val="24"/>
        </w:rPr>
        <w:t xml:space="preserve">（盖章）      乙方：</w:t>
      </w:r>
      <w:r>
        <w:rPr>
          <w:rFonts w:hint="eastAsia" w:ascii="仿宋" w:hAnsi="仿宋" w:eastAsia="仿宋" w:cs="仿宋"/>
          <w:bCs/>
          <w:sz w:val="24"/>
          <w:u w:val="single"/>
        </w:rPr>
        <w:t xml:space="preserve">                     </w:t>
      </w:r>
      <w:r>
        <w:rPr>
          <w:rFonts w:hint="eastAsia" w:ascii="仿宋" w:hAnsi="仿宋" w:eastAsia="仿宋" w:cs="仿宋"/>
          <w:bCs/>
          <w:sz w:val="24"/>
        </w:rPr>
        <w:t xml:space="preserve">（盖章）             </w:t>
      </w:r>
      <w:r/>
    </w:p>
    <w:p>
      <w:pPr>
        <w:pStyle w:val="1101"/>
        <w:jc w:val="left"/>
        <w:spacing w:line="360" w:lineRule="auto"/>
        <w:widowControl/>
        <w:rPr>
          <w:rFonts w:ascii="仿宋" w:hAnsi="仿宋" w:eastAsia="仿宋" w:cs="仿宋"/>
          <w:bCs/>
          <w:sz w:val="24"/>
          <w:u w:val="single"/>
        </w:rPr>
      </w:pPr>
      <w:r>
        <w:rPr>
          <w:rFonts w:hint="eastAsia" w:ascii="仿宋" w:hAnsi="仿宋" w:eastAsia="仿宋" w:cs="仿宋"/>
          <w:bCs/>
          <w:sz w:val="24"/>
        </w:rPr>
        <w:t xml:space="preserve">地址：</w:t>
      </w:r>
      <w:r>
        <w:rPr>
          <w:rFonts w:hint="eastAsia" w:ascii="仿宋" w:hAnsi="仿宋" w:eastAsia="仿宋" w:cs="仿宋"/>
          <w:bCs/>
          <w:sz w:val="24"/>
          <w:u w:val="single"/>
        </w:rPr>
        <w:t xml:space="preserve">                         </w:t>
      </w:r>
      <w:r>
        <w:rPr>
          <w:rFonts w:hint="eastAsia" w:ascii="仿宋" w:hAnsi="仿宋" w:eastAsia="仿宋" w:cs="仿宋"/>
          <w:bCs/>
          <w:sz w:val="24"/>
        </w:rPr>
        <w:t xml:space="preserve">    地址：</w:t>
      </w:r>
      <w:r>
        <w:rPr>
          <w:rFonts w:hint="eastAsia" w:ascii="仿宋" w:hAnsi="仿宋" w:eastAsia="仿宋" w:cs="仿宋"/>
          <w:bCs/>
          <w:sz w:val="24"/>
          <w:u w:val="single"/>
        </w:rPr>
        <w:t xml:space="preserve">                            </w:t>
      </w:r>
      <w:r>
        <w:rPr>
          <w:rFonts w:hint="eastAsia" w:ascii="仿宋" w:hAnsi="仿宋" w:eastAsia="仿宋" w:cs="仿宋"/>
          <w:bCs/>
          <w:sz w:val="24"/>
        </w:rPr>
        <w:t xml:space="preserve"> </w:t>
      </w:r>
      <w:r/>
    </w:p>
    <w:p>
      <w:pPr>
        <w:pStyle w:val="1101"/>
        <w:jc w:val="left"/>
        <w:spacing w:line="360" w:lineRule="auto"/>
        <w:widowControl/>
        <w:rPr>
          <w:rFonts w:ascii="仿宋" w:hAnsi="仿宋" w:eastAsia="仿宋" w:cs="仿宋"/>
          <w:bCs/>
          <w:sz w:val="24"/>
        </w:rPr>
      </w:pPr>
      <w:r>
        <w:rPr>
          <w:rFonts w:hint="eastAsia" w:ascii="仿宋" w:hAnsi="仿宋" w:eastAsia="仿宋" w:cs="仿宋"/>
          <w:bCs/>
          <w:sz w:val="24"/>
        </w:rPr>
        <w:t xml:space="preserve">法定（授权）代表人：</w:t>
      </w:r>
      <w:r>
        <w:rPr>
          <w:rFonts w:hint="eastAsia" w:ascii="仿宋" w:hAnsi="仿宋" w:eastAsia="仿宋" w:cs="仿宋"/>
          <w:bCs/>
          <w:sz w:val="24"/>
          <w:u w:val="single"/>
        </w:rPr>
        <w:t xml:space="preserve">           </w:t>
      </w:r>
      <w:r>
        <w:rPr>
          <w:rFonts w:hint="eastAsia" w:ascii="仿宋" w:hAnsi="仿宋" w:eastAsia="仿宋" w:cs="仿宋"/>
          <w:bCs/>
          <w:sz w:val="24"/>
        </w:rPr>
        <w:t xml:space="preserve">    法定（授权）代表人：</w:t>
      </w:r>
      <w:r>
        <w:rPr>
          <w:rFonts w:hint="eastAsia" w:ascii="仿宋" w:hAnsi="仿宋" w:eastAsia="仿宋" w:cs="仿宋"/>
          <w:bCs/>
          <w:sz w:val="24"/>
          <w:u w:val="single"/>
        </w:rPr>
        <w:t xml:space="preserve">              </w:t>
      </w:r>
      <w:r/>
    </w:p>
    <w:p>
      <w:pPr>
        <w:pStyle w:val="1101"/>
        <w:jc w:val="left"/>
        <w:spacing w:line="360" w:lineRule="auto"/>
        <w:widowControl/>
        <w:rPr>
          <w:rFonts w:ascii="仿宋" w:hAnsi="仿宋" w:eastAsia="仿宋" w:cs="仿宋"/>
          <w:bCs/>
          <w:sz w:val="24"/>
        </w:rPr>
      </w:pPr>
      <w:r>
        <w:rPr>
          <w:rFonts w:hint="eastAsia" w:ascii="仿宋" w:hAnsi="仿宋" w:eastAsia="仿宋" w:cs="仿宋"/>
          <w:bCs/>
          <w:sz w:val="24"/>
        </w:rPr>
        <w:t xml:space="preserve">联系人：</w:t>
      </w:r>
      <w:r>
        <w:rPr>
          <w:rFonts w:hint="eastAsia" w:ascii="仿宋" w:hAnsi="仿宋" w:eastAsia="仿宋" w:cs="仿宋"/>
          <w:bCs/>
          <w:sz w:val="24"/>
          <w:u w:val="single"/>
        </w:rPr>
        <w:t xml:space="preserve">                       </w:t>
      </w:r>
      <w:r>
        <w:rPr>
          <w:rFonts w:hint="eastAsia" w:ascii="仿宋" w:hAnsi="仿宋" w:eastAsia="仿宋" w:cs="仿宋"/>
          <w:bCs/>
          <w:sz w:val="24"/>
        </w:rPr>
        <w:t xml:space="preserve">    联系人：</w:t>
      </w:r>
      <w:r>
        <w:rPr>
          <w:rFonts w:hint="eastAsia" w:ascii="仿宋" w:hAnsi="仿宋" w:eastAsia="仿宋" w:cs="仿宋"/>
          <w:bCs/>
          <w:sz w:val="24"/>
          <w:u w:val="single"/>
        </w:rPr>
        <w:t xml:space="preserve">                               </w:t>
      </w:r>
      <w:r>
        <w:rPr>
          <w:rFonts w:hint="eastAsia" w:ascii="仿宋" w:hAnsi="仿宋" w:eastAsia="仿宋" w:cs="仿宋"/>
          <w:bCs/>
          <w:sz w:val="24"/>
        </w:rPr>
        <w:t xml:space="preserve"> </w:t>
      </w:r>
      <w:r/>
    </w:p>
    <w:p>
      <w:pPr>
        <w:pStyle w:val="1101"/>
        <w:jc w:val="left"/>
        <w:spacing w:line="360" w:lineRule="auto"/>
        <w:widowControl/>
        <w:rPr>
          <w:rFonts w:ascii="仿宋" w:hAnsi="仿宋" w:eastAsia="仿宋" w:cs="仿宋"/>
          <w:bCs/>
          <w:sz w:val="24"/>
        </w:rPr>
      </w:pPr>
      <w:r>
        <w:rPr>
          <w:rFonts w:hint="eastAsia" w:ascii="仿宋" w:hAnsi="仿宋" w:eastAsia="仿宋" w:cs="仿宋"/>
          <w:bCs/>
          <w:sz w:val="24"/>
        </w:rPr>
        <w:t xml:space="preserve">联系电话：</w:t>
      </w:r>
      <w:r>
        <w:rPr>
          <w:rFonts w:hint="eastAsia" w:ascii="仿宋" w:hAnsi="仿宋" w:eastAsia="仿宋" w:cs="仿宋"/>
          <w:bCs/>
          <w:sz w:val="24"/>
          <w:u w:val="single"/>
        </w:rPr>
        <w:t xml:space="preserve">                     </w:t>
      </w:r>
      <w:r>
        <w:rPr>
          <w:rFonts w:hint="eastAsia" w:ascii="仿宋" w:hAnsi="仿宋" w:eastAsia="仿宋" w:cs="仿宋"/>
          <w:bCs/>
          <w:sz w:val="24"/>
        </w:rPr>
        <w:t xml:space="preserve">    联系电话：</w:t>
      </w:r>
      <w:r>
        <w:rPr>
          <w:rFonts w:hint="eastAsia" w:ascii="仿宋" w:hAnsi="仿宋" w:eastAsia="仿宋" w:cs="仿宋"/>
          <w:bCs/>
          <w:sz w:val="24"/>
          <w:u w:val="single"/>
        </w:rPr>
        <w:t xml:space="preserve">                              </w:t>
      </w:r>
      <w:r>
        <w:rPr>
          <w:rFonts w:hint="eastAsia" w:ascii="仿宋" w:hAnsi="仿宋" w:eastAsia="仿宋" w:cs="仿宋"/>
          <w:bCs/>
          <w:sz w:val="24"/>
        </w:rPr>
        <w:t xml:space="preserve">  </w:t>
      </w:r>
      <w:r/>
    </w:p>
    <w:p>
      <w:pPr>
        <w:pStyle w:val="1099"/>
        <w:spacing w:line="360" w:lineRule="auto"/>
      </w:pPr>
      <w:r>
        <w:rPr>
          <w:rFonts w:hint="eastAsia" w:ascii="仿宋" w:hAnsi="仿宋" w:eastAsia="仿宋" w:cs="仿宋"/>
          <w:bCs/>
          <w:sz w:val="24"/>
          <w:u w:val="single"/>
        </w:rPr>
        <w:t xml:space="preserve">2024 </w:t>
      </w:r>
      <w:r>
        <w:rPr>
          <w:rFonts w:hint="eastAsia" w:ascii="仿宋" w:hAnsi="仿宋" w:eastAsia="仿宋" w:cs="仿宋"/>
          <w:bCs/>
          <w:sz w:val="24"/>
        </w:rPr>
        <w:t xml:space="preserve">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                 </w:t>
      </w:r>
      <w:r>
        <w:rPr>
          <w:rFonts w:hint="eastAsia" w:ascii="仿宋" w:hAnsi="仿宋" w:eastAsia="仿宋" w:cs="仿宋"/>
          <w:bCs/>
          <w:sz w:val="24"/>
          <w:u w:val="single"/>
        </w:rPr>
        <w:t xml:space="preserve">2024 </w:t>
      </w:r>
      <w:r>
        <w:rPr>
          <w:rFonts w:hint="eastAsia" w:ascii="仿宋" w:hAnsi="仿宋" w:eastAsia="仿宋" w:cs="仿宋"/>
          <w:bCs/>
          <w:sz w:val="24"/>
        </w:rPr>
        <w:t xml:space="preserve">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w:t>
      </w:r>
      <w:r/>
    </w:p>
    <w:p>
      <w:r/>
      <w:r/>
    </w:p>
    <w:p>
      <w:r/>
      <w:r/>
    </w:p>
    <w:p>
      <w:pPr>
        <w:ind w:left="536"/>
        <w:spacing w:before="1" w:line="220" w:lineRule="auto"/>
        <w:rPr>
          <w:rFonts w:ascii="仿宋" w:hAnsi="仿宋" w:eastAsia="仿宋" w:cs="仿宋"/>
          <w:b/>
          <w:bCs/>
          <w:spacing w:val="-10"/>
          <w:sz w:val="24"/>
          <w:szCs w:val="24"/>
        </w:rPr>
      </w:pPr>
      <w:r>
        <w:rPr>
          <w:rFonts w:ascii="仿宋" w:hAnsi="仿宋" w:eastAsia="仿宋" w:cs="仿宋"/>
          <w:b/>
          <w:bCs/>
          <w:spacing w:val="-10"/>
          <w:sz w:val="24"/>
          <w:szCs w:val="2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92"/>
        <w:jc w:val="center"/>
        <w:spacing w:before="120" w:after="120" w:line="500" w:lineRule="exact"/>
        <w:rPr>
          <w:highlight w:val="red"/>
        </w:rPr>
      </w:pPr>
      <w:r>
        <w:rPr>
          <w:rFonts w:hint="eastAsia" w:ascii="仿宋" w:hAnsi="仿宋" w:eastAsia="仿宋" w:cs="仿宋"/>
          <w:b/>
          <w:color w:val="000000"/>
          <w:sz w:val="44"/>
        </w:rPr>
        <w:t xml:space="preserve">第</w:t>
      </w:r>
      <w:bookmarkEnd w:id="190"/>
      <w:r>
        <w:rPr>
          <w:rFonts w:hint="eastAsia" w:ascii="仿宋" w:hAnsi="仿宋" w:eastAsia="仿宋" w:cs="仿宋"/>
          <w:b/>
          <w:color w:val="000000"/>
          <w:sz w:val="44"/>
        </w:rPr>
        <w:t xml:space="preserve">四章 采购需求</w:t>
      </w:r>
      <w:bookmarkEnd w:id="191"/>
      <w:r/>
      <w:bookmarkEnd w:id="192"/>
      <w:r/>
      <w:bookmarkEnd w:id="193"/>
      <w:r/>
      <w:bookmarkStart w:id="196" w:name="EB7816f6fdbc96408ea7b735c177a21493"/>
      <w:r/>
      <w:bookmarkStart w:id="197" w:name="_Toc26554093"/>
      <w:r/>
      <w:bookmarkStart w:id="198" w:name="_Toc120614281"/>
      <w:r/>
      <w:bookmarkStart w:id="199" w:name="_Toc49090575"/>
      <w:r/>
      <w:r/>
    </w:p>
    <w:p>
      <w:pPr>
        <w:pStyle w:val="1095"/>
        <w:spacing w:after="200" w:line="400" w:lineRule="exact"/>
        <w:rPr>
          <w:rFonts w:ascii="新宋体" w:hAnsi="新宋体" w:eastAsia="新宋体"/>
          <w:b/>
          <w:color w:val="000000"/>
          <w:sz w:val="28"/>
          <w:szCs w:val="28"/>
        </w:rPr>
      </w:pPr>
      <w:r>
        <w:rPr>
          <w:rFonts w:hint="eastAsia" w:ascii="新宋体" w:hAnsi="新宋体" w:eastAsia="新宋体"/>
          <w:b/>
          <w:color w:val="000000"/>
          <w:sz w:val="28"/>
          <w:szCs w:val="28"/>
        </w:rPr>
        <w:t xml:space="preserve">一、项目概况</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1、项目背景</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“十四五”期间，江苏省计划建设</w:t>
      </w:r>
      <w:r>
        <w:rPr>
          <w:rFonts w:ascii="仿宋" w:hAnsi="仿宋" w:eastAsia="仿宋" w:cs="仿宋"/>
          <w:bCs/>
          <w:color w:val="000000"/>
          <w:sz w:val="24"/>
        </w:rPr>
        <w:t xml:space="preserve">400</w:t>
      </w:r>
      <w:r>
        <w:rPr>
          <w:rFonts w:hint="eastAsia" w:ascii="仿宋" w:hAnsi="仿宋" w:eastAsia="仿宋" w:cs="仿宋"/>
          <w:bCs/>
          <w:color w:val="000000"/>
          <w:sz w:val="24"/>
        </w:rPr>
        <w:t xml:space="preserve">个以上粮食生产“无人化农场”和特色农业生产全程机械化示范基地，加强物联网、大数据等信息技术与农业生产、经营、管理等各领域融合，实现无人耕地、无人插秧、无人植保、收割、自动灌溉等智能化功能，达到从“会种地”到“慧种地”转变，利用数字化农业管理、智能化农业生产提高现代农业生产水平，用科技促进乡村振兴。</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rPr>
        <w:t xml:space="preserve">在此背景下，刘集智慧农场为加强农场管理、提升农场生产效率、促进农场增产增收，应用物联网技术、卫星遥感技术、高分辨率影像分析处理技术等，利用智能化设备，有效提升农业耕作精细化程度和智能化管理水平，打造智慧农场综合管理示范样板。</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2、项目目标及需求</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为加强农场管理、提升农场生产效率、促进农场增产增收，运用遥感、物联网，利用大数据、AI等现代信息技术技术构建刘集智慧农场综合管理平台。项目总体建设刘集智慧农场“5大系统”综合管理平台，即农情感知系统、智能仓储系统、智能灌溉系统、智能装备系统、智慧农场综合管理系统，结合智能化设备，力求化解无人或少人状态下的农场农情监测、灾害评估、精细化农事操作等大田精细化作业技术难题，通过本次推进刘集智慧农场信息化建设，帮助管理者降低人力劳动成本，增加刘集智慧农场经济收入，打造农情准监测、农事精作业、农业高科技的</w:t>
      </w:r>
      <w:bookmarkStart w:id="200" w:name="_Hlk155194411"/>
      <w:r>
        <w:rPr>
          <w:rFonts w:hint="eastAsia" w:ascii="仿宋" w:hAnsi="仿宋" w:eastAsia="仿宋" w:cs="仿宋"/>
          <w:bCs/>
          <w:color w:val="000000"/>
          <w:sz w:val="24"/>
          <w:highlight w:val="white"/>
        </w:rPr>
        <w:t xml:space="preserve">“精、准、高”</w:t>
      </w:r>
      <w:bookmarkEnd w:id="200"/>
      <w:r>
        <w:rPr>
          <w:rFonts w:hint="eastAsia" w:ascii="仿宋" w:hAnsi="仿宋" w:eastAsia="仿宋" w:cs="仿宋"/>
          <w:bCs/>
          <w:color w:val="000000"/>
          <w:sz w:val="24"/>
          <w:highlight w:val="white"/>
        </w:rPr>
        <w:t xml:space="preserve">智慧农场综合管理示范样板。</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3、工期：120日历天。</w:t>
      </w:r>
      <w:r/>
    </w:p>
    <w:p>
      <w:pPr>
        <w:ind w:firstLine="480"/>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4、质量要求：合格。</w:t>
      </w:r>
      <w:r/>
    </w:p>
    <w:p>
      <w:pPr>
        <w:ind w:firstLine="480"/>
        <w:spacing w:line="500" w:lineRule="exact"/>
        <w:rPr>
          <w:rFonts w:hint="eastAsia" w:ascii="仿宋" w:hAnsi="仿宋" w:eastAsia="仿宋" w:cs="仿宋"/>
          <w:bCs/>
          <w:color w:val="000000"/>
          <w:sz w:val="24"/>
          <w:highlight w:val="white"/>
          <w:lang w:val="en-US" w:eastAsia="zh-CN"/>
        </w:rPr>
      </w:pPr>
      <w:r>
        <w:rPr>
          <w:rFonts w:hint="eastAsia" w:ascii="仿宋" w:hAnsi="仿宋" w:eastAsia="仿宋" w:cs="仿宋"/>
          <w:bCs/>
          <w:color w:val="000000"/>
          <w:sz w:val="24"/>
          <w:highlight w:val="white"/>
          <w:lang w:val="en-US" w:eastAsia="zh-CN"/>
        </w:rPr>
        <w:t xml:space="preserve">5、</w:t>
      </w:r>
      <w:r>
        <w:rPr>
          <w:rFonts w:hint="eastAsia" w:ascii="仿宋" w:hAnsi="仿宋" w:eastAsia="仿宋" w:cs="仿宋"/>
          <w:color w:val="000000"/>
          <w:sz w:val="24"/>
          <w:lang w:val="en-US" w:eastAsia="zh-CN"/>
        </w:rPr>
        <w:t xml:space="preserve">本项目所属行业：农、林、牧、渔业。</w:t>
      </w:r>
      <w:r/>
    </w:p>
    <w:p>
      <w:pPr>
        <w:pStyle w:val="1095"/>
        <w:spacing w:before="156" w:after="156" w:line="400" w:lineRule="exact"/>
        <w:rPr>
          <w:rFonts w:ascii="新宋体" w:hAnsi="新宋体" w:eastAsia="新宋体"/>
          <w:b/>
          <w:color w:val="000000"/>
          <w:sz w:val="28"/>
          <w:szCs w:val="28"/>
        </w:rPr>
      </w:pPr>
      <w:r>
        <w:rPr>
          <w:rFonts w:hint="eastAsia" w:ascii="新宋体" w:hAnsi="新宋体" w:eastAsia="新宋体"/>
          <w:b/>
          <w:color w:val="000000"/>
          <w:sz w:val="28"/>
          <w:szCs w:val="28"/>
        </w:rPr>
        <w:t xml:space="preserve">二、付款方式</w:t>
      </w:r>
      <w:r/>
    </w:p>
    <w:p>
      <w:pPr>
        <w:ind w:firstLine="482"/>
        <w:spacing w:line="560" w:lineRule="exact"/>
        <w:rPr>
          <w:rFonts w:ascii="仿宋" w:hAnsi="仿宋" w:eastAsia="仿宋" w:cs="仿宋"/>
          <w:color w:val="000000"/>
          <w:sz w:val="24"/>
          <w:highlight w:val="white"/>
        </w:rPr>
      </w:pPr>
      <w:r>
        <w:rPr>
          <w:rFonts w:hint="eastAsia" w:ascii="仿宋" w:hAnsi="仿宋" w:eastAsia="仿宋" w:cs="仿宋"/>
          <w:bCs/>
          <w:color w:val="000000"/>
          <w:sz w:val="24"/>
          <w:highlight w:val="white"/>
        </w:rPr>
        <w:t xml:space="preserve">预付款：合同金额的</w:t>
      </w:r>
      <w:r>
        <w:rPr>
          <w:rFonts w:hint="eastAsia" w:ascii="仿宋" w:hAnsi="仿宋" w:eastAsia="仿宋" w:cs="仿宋"/>
          <w:bCs/>
          <w:color w:val="000000"/>
          <w:sz w:val="24"/>
          <w:u w:val="single"/>
        </w:rPr>
        <w:t xml:space="preserve">30</w:t>
      </w:r>
      <w:r>
        <w:rPr>
          <w:rFonts w:hint="eastAsia" w:ascii="仿宋" w:hAnsi="仿宋" w:eastAsia="仿宋" w:cs="仿宋"/>
          <w:bCs/>
          <w:color w:val="000000"/>
          <w:sz w:val="24"/>
          <w:highlight w:val="white"/>
        </w:rPr>
        <w:t xml:space="preserve">%，合同签订后按规定支付；</w:t>
      </w:r>
      <w:r>
        <w:rPr>
          <w:rFonts w:hint="eastAsia" w:ascii="仿宋" w:hAnsi="仿宋" w:eastAsia="仿宋" w:cs="仿宋"/>
          <w:color w:val="000000"/>
          <w:sz w:val="24"/>
          <w:highlight w:val="white"/>
        </w:rPr>
        <w:t xml:space="preserve"> </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进度款：合同签订且在收到供应商发票后15日内，采购人支付给中标供应商合同额的30%作为预付款，</w:t>
      </w:r>
      <w:r>
        <w:rPr>
          <w:rFonts w:hint="eastAsia" w:ascii="仿宋" w:hAnsi="仿宋" w:eastAsia="仿宋" w:cs="仿宋"/>
          <w:bCs/>
          <w:sz w:val="24"/>
        </w:rPr>
        <w:t xml:space="preserve">初验完成且收到供应商发票后15日内支付至合同总额80%；初验完成满一年采购人3个工作日内组织终验并出具终验报告，在收到供应商发票后15</w:t>
      </w:r>
      <w:r>
        <w:rPr>
          <w:rFonts w:hint="eastAsia" w:ascii="仿宋" w:hAnsi="仿宋" w:eastAsia="仿宋" w:cs="仿宋"/>
          <w:bCs/>
          <w:color w:val="000000"/>
          <w:sz w:val="24"/>
          <w:highlight w:val="white"/>
        </w:rPr>
        <w:t xml:space="preserve">日内，支付至合同总额100%。（合同款支付方式可采用数字人民币支付）。</w:t>
      </w:r>
      <w:r/>
    </w:p>
    <w:p>
      <w:pPr>
        <w:ind w:firstLine="480"/>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注：在签订合同时，供应商明确表示无需预付款或者主动要求降低预付款比例的，采购人可不适用预付规定。</w:t>
      </w:r>
      <w:r/>
    </w:p>
    <w:p>
      <w:pPr>
        <w:pStyle w:val="1100"/>
        <w:numPr>
          <w:ilvl w:val="0"/>
          <w:numId w:val="6"/>
        </w:numPr>
        <w:spacing w:line="360" w:lineRule="auto"/>
        <w:rPr>
          <w:rFonts w:ascii="新宋体" w:hAnsi="新宋体" w:eastAsia="新宋体"/>
          <w:b/>
          <w:color w:val="000000"/>
          <w:sz w:val="28"/>
          <w:szCs w:val="28"/>
        </w:rPr>
      </w:pPr>
      <w:r>
        <w:rPr>
          <w:rFonts w:hint="eastAsia" w:ascii="新宋体" w:hAnsi="新宋体" w:eastAsia="新宋体"/>
          <w:b/>
          <w:color w:val="000000"/>
          <w:sz w:val="28"/>
          <w:szCs w:val="28"/>
        </w:rPr>
        <w:t xml:space="preserve">服务及设备内容</w:t>
      </w:r>
      <w:r>
        <w:rPr>
          <w:rFonts w:hint="eastAsia" w:ascii="新宋体" w:hAnsi="新宋体" w:eastAsia="新宋体"/>
          <w:b/>
          <w:color w:val="000000"/>
          <w:sz w:val="28"/>
          <w:szCs w:val="28"/>
          <w:lang w:val="en-US" w:eastAsia="zh-CN"/>
        </w:rPr>
        <w:t xml:space="preserve">和</w:t>
      </w:r>
      <w:r>
        <w:rPr>
          <w:rFonts w:hint="eastAsia" w:ascii="新宋体" w:hAnsi="新宋体" w:eastAsia="新宋体"/>
          <w:b/>
          <w:color w:val="000000"/>
          <w:sz w:val="28"/>
          <w:szCs w:val="28"/>
        </w:rPr>
        <w:t xml:space="preserve">要求</w:t>
      </w:r>
      <w:bookmarkStart w:id="201" w:name="_Hlk104777202"/>
      <w:r/>
      <w:bookmarkEnd w:id="201"/>
      <w:r/>
      <w:r/>
    </w:p>
    <w:tbl>
      <w:tblPr>
        <w:tblStyle w:val="7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90"/>
        <w:gridCol w:w="1045"/>
        <w:gridCol w:w="954"/>
        <w:gridCol w:w="5397"/>
        <w:gridCol w:w="590"/>
        <w:gridCol w:w="593"/>
      </w:tblGrid>
      <w:tr>
        <w:trPr/>
        <w:tc>
          <w:tcPr>
            <w:shd w:val="clear" w:color="auto" w:fill="auto"/>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建设内容</w:t>
            </w:r>
            <w:r/>
          </w:p>
        </w:tc>
        <w:tc>
          <w:tcPr>
            <w:shd w:val="clear" w:color="auto" w:fill="auto"/>
            <w:tcBorders>
              <w:top w:val="single" w:color="auto" w:sz="4" w:space="0"/>
              <w:left w:val="none" w:color="000000" w:sz="4" w:space="0"/>
              <w:bottom w:val="single" w:color="auto" w:sz="4" w:space="0"/>
              <w:right w:val="single" w:color="auto" w:sz="4" w:space="0"/>
            </w:tcBorders>
            <w:tcW w:w="294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一</w:t>
            </w:r>
            <w:r/>
          </w:p>
        </w:tc>
        <w:tc>
          <w:tcPr>
            <w:gridSpan w:val="5"/>
            <w:shd w:val="clear" w:color="auto" w:fill="auto"/>
            <w:tcBorders>
              <w:top w:val="single" w:color="auto" w:sz="4" w:space="0"/>
              <w:left w:val="none" w:color="000000" w:sz="4" w:space="0"/>
              <w:bottom w:val="single" w:color="auto" w:sz="4" w:space="0"/>
              <w:right w:val="single" w:color="auto" w:sz="4" w:space="0"/>
            </w:tcBorders>
            <w:tcW w:w="46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硬件部分</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57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农情感知系统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土壤墒情仪</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包括土壤温湿度、土壤氮磷钾、PH等监测。</w:t>
            </w:r>
            <w:r>
              <w:rPr>
                <w:rFonts w:hint="eastAsia" w:ascii="宋体" w:hAnsi="宋体" w:cs="宋体"/>
                <w:color w:val="000000"/>
                <w:sz w:val="24"/>
                <w:szCs w:val="24"/>
              </w:rPr>
              <w:br/>
            </w:r>
            <w:r>
              <w:rPr>
                <w:rFonts w:hint="eastAsia" w:ascii="宋体" w:hAnsi="宋体" w:cs="宋体"/>
                <w:color w:val="000000"/>
                <w:sz w:val="24"/>
                <w:szCs w:val="24"/>
              </w:rPr>
              <w:t xml:space="preserve">1、主机可以实时显示采集数据，包括：土壤温湿度电导率,,PH值，氮磷钾监测等。</w:t>
            </w:r>
            <w:r>
              <w:rPr>
                <w:rFonts w:hint="eastAsia" w:ascii="宋体" w:hAnsi="宋体" w:cs="宋体"/>
                <w:color w:val="000000"/>
                <w:sz w:val="24"/>
                <w:szCs w:val="24"/>
              </w:rPr>
              <w:br/>
            </w:r>
            <w:r>
              <w:rPr>
                <w:rFonts w:hint="eastAsia" w:ascii="宋体" w:hAnsi="宋体" w:cs="宋体"/>
                <w:color w:val="000000"/>
                <w:sz w:val="24"/>
                <w:szCs w:val="24"/>
              </w:rPr>
              <w:t xml:space="preserve">2、内核： ARM 32位Cortex-M3 CPU； </w:t>
            </w:r>
            <w:r>
              <w:rPr>
                <w:rFonts w:hint="eastAsia" w:ascii="宋体" w:hAnsi="宋体" w:cs="宋体"/>
                <w:color w:val="000000"/>
                <w:sz w:val="24"/>
                <w:szCs w:val="24"/>
              </w:rPr>
              <w:br/>
            </w:r>
            <w:r>
              <w:rPr>
                <w:rFonts w:hint="eastAsia" w:ascii="宋体" w:hAnsi="宋体" w:cs="宋体"/>
                <w:color w:val="000000"/>
                <w:sz w:val="24"/>
                <w:szCs w:val="24"/>
              </w:rPr>
              <w:t xml:space="preserve">▲3、UI液晶屏显示数据，时间，日期，参数设置等，整体界面清晰美观；（提供第三方检测机构出具的检测报告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4、具有看门狗电路，自动复位功能，保证系统稳定运行； </w:t>
            </w:r>
            <w:r>
              <w:rPr>
                <w:rFonts w:hint="eastAsia" w:ascii="宋体" w:hAnsi="宋体" w:cs="宋体"/>
                <w:color w:val="000000"/>
                <w:sz w:val="24"/>
                <w:szCs w:val="24"/>
              </w:rPr>
              <w:br/>
            </w:r>
            <w:r>
              <w:rPr>
                <w:rFonts w:hint="eastAsia" w:ascii="宋体" w:hAnsi="宋体" w:cs="宋体"/>
                <w:color w:val="000000"/>
                <w:sz w:val="24"/>
                <w:szCs w:val="24"/>
              </w:rPr>
              <w:t xml:space="preserve">5、可扩展U盘存储，实现数据可通过配套上位机软件接电脑导出 ；</w:t>
            </w:r>
            <w:r>
              <w:rPr>
                <w:rFonts w:hint="eastAsia" w:ascii="宋体" w:hAnsi="宋体" w:cs="宋体"/>
                <w:color w:val="000000"/>
                <w:sz w:val="24"/>
                <w:szCs w:val="24"/>
              </w:rPr>
              <w:br/>
            </w:r>
            <w:r>
              <w:rPr>
                <w:rFonts w:hint="eastAsia" w:ascii="宋体" w:hAnsi="宋体" w:cs="宋体"/>
                <w:color w:val="000000"/>
                <w:sz w:val="24"/>
                <w:szCs w:val="24"/>
              </w:rPr>
              <w:t xml:space="preserve">▲6、支持主动上报和被动招测上报方式在设备上切换；（可提供第三方检测机构出具的检测报告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7、支持XPH、MODBUS、JSON协议设备可手动切换，设备串口通讯地址手动切</w:t>
            </w:r>
            <w:r>
              <w:rPr>
                <w:rFonts w:hint="eastAsia" w:ascii="宋体" w:hAnsi="宋体" w:cs="宋体"/>
                <w:color w:val="000000"/>
                <w:sz w:val="24"/>
                <w:szCs w:val="24"/>
              </w:rPr>
              <w:br/>
            </w:r>
            <w:r>
              <w:rPr>
                <w:rFonts w:hint="eastAsia" w:ascii="宋体" w:hAnsi="宋体" w:cs="宋体"/>
                <w:color w:val="000000"/>
                <w:sz w:val="24"/>
                <w:szCs w:val="24"/>
              </w:rPr>
              <w:t xml:space="preserve">▲8、换支持远程或本地串口升级程序；（提供第三方检测机构出具的检测报告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9、稳定性：具有看门狗电路，自动复位功能，保证系统稳定运行。</w:t>
            </w:r>
            <w:r>
              <w:rPr>
                <w:rFonts w:hint="eastAsia" w:ascii="宋体" w:hAnsi="宋体" w:cs="宋体"/>
                <w:color w:val="000000"/>
                <w:sz w:val="24"/>
                <w:szCs w:val="24"/>
              </w:rPr>
              <w:br/>
            </w:r>
            <w:r>
              <w:rPr>
                <w:rFonts w:hint="eastAsia" w:ascii="宋体" w:hAnsi="宋体" w:cs="宋体"/>
                <w:color w:val="000000"/>
                <w:sz w:val="24"/>
                <w:szCs w:val="24"/>
              </w:rPr>
              <w:t xml:space="preserve">▲10、支持本机物理按键操作设置参数；（提供第三方检测机构出具的检测报告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11、历时数据存储间隔1-240min可手动设置；</w:t>
            </w:r>
            <w:r>
              <w:rPr>
                <w:rFonts w:hint="eastAsia" w:ascii="宋体" w:hAnsi="宋体" w:cs="宋体"/>
                <w:color w:val="000000"/>
                <w:sz w:val="24"/>
                <w:szCs w:val="24"/>
              </w:rPr>
              <w:br/>
            </w:r>
            <w:r>
              <w:rPr>
                <w:rFonts w:hint="eastAsia" w:ascii="宋体" w:hAnsi="宋体" w:cs="宋体"/>
                <w:color w:val="000000"/>
                <w:sz w:val="24"/>
                <w:szCs w:val="24"/>
              </w:rPr>
              <w:t xml:space="preserve">▲12、电器安全性能符合GB 4793.1-2007技术规范要求，电源端子与物联网终端外壳之间的绝缘电阻不小于10M</w:t>
            </w:r>
            <w:r>
              <w:rPr>
                <w:rFonts w:ascii="宋体" w:hAnsi="宋体" w:cs="Calibri"/>
                <w:color w:val="000000"/>
                <w:sz w:val="24"/>
                <w:szCs w:val="24"/>
              </w:rPr>
              <w:t xml:space="preserve">Ω</w:t>
            </w:r>
            <w:r>
              <w:rPr>
                <w:rFonts w:hint="eastAsia" w:ascii="宋体" w:hAnsi="宋体" w:cs="宋体"/>
                <w:color w:val="000000"/>
                <w:sz w:val="24"/>
                <w:szCs w:val="24"/>
              </w:rPr>
              <w:t xml:space="preserve">；使用交流电源，能承受3000V高压，历时1min，无击穿和飞弧现象；正常工作环境下，泄露电流值不大于：交流5mA；（可提供第三方检测机构出具的检测报告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▲13、环境适应符合GB/T 2423.1-2008、GB/T 2423.2-2008及GB/T 2423.3-2016环境适应技术规范要求，工作环境温度：-20~50℃，工作湿度：0-95%RH无冷凝；（可提供第三方检测机构出具的检测报告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14、4G通信。工作模式：透明传输模式，HTTPD模式，FTP模式，设置命令：AT+命令结构，网络协议：TCP/UDP/DNS/HTTP/FTP</w:t>
            </w:r>
            <w:r>
              <w:rPr>
                <w:rFonts w:hint="eastAsia" w:ascii="宋体" w:hAnsi="宋体" w:cs="宋体"/>
                <w:color w:val="000000"/>
                <w:sz w:val="24"/>
                <w:szCs w:val="24"/>
              </w:rPr>
              <w:br/>
            </w:r>
            <w:r>
              <w:rPr>
                <w:rFonts w:hint="eastAsia" w:ascii="宋体" w:hAnsi="宋体" w:cs="宋体"/>
                <w:color w:val="000000"/>
                <w:sz w:val="24"/>
                <w:szCs w:val="24"/>
              </w:rPr>
              <w:t xml:space="preserve">15、网络查看：无需指定电脑查看数据，任何可上网电脑可在云端物联网平台中查看数据和曲线图，曲线和数据都可下载到本地电脑中。</w:t>
            </w:r>
            <w:r>
              <w:rPr>
                <w:rFonts w:hint="eastAsia" w:ascii="宋体" w:hAnsi="宋体" w:cs="宋体"/>
                <w:color w:val="000000"/>
                <w:sz w:val="24"/>
                <w:szCs w:val="24"/>
              </w:rPr>
              <w:br/>
            </w:r>
            <w:r>
              <w:rPr>
                <w:rFonts w:hint="eastAsia" w:ascii="宋体" w:hAnsi="宋体" w:cs="宋体"/>
                <w:color w:val="000000"/>
                <w:sz w:val="24"/>
                <w:szCs w:val="24"/>
              </w:rPr>
              <w:t xml:space="preserve">16、在设备安装后，提供本机账号，可以查看数据。</w:t>
            </w:r>
            <w:r>
              <w:rPr>
                <w:rFonts w:hint="eastAsia" w:ascii="宋体" w:hAnsi="宋体" w:cs="宋体"/>
                <w:color w:val="000000"/>
                <w:sz w:val="24"/>
                <w:szCs w:val="24"/>
              </w:rPr>
              <w:br/>
            </w:r>
            <w:r>
              <w:rPr>
                <w:rFonts w:hint="eastAsia" w:ascii="宋体" w:hAnsi="宋体" w:cs="宋体"/>
                <w:color w:val="000000"/>
                <w:sz w:val="24"/>
                <w:szCs w:val="24"/>
              </w:rPr>
              <w:t xml:space="preserve">17、土壤水分测量范围：0-100%，分辨率：0.1%，准确度：±3%。</w:t>
            </w:r>
            <w:r>
              <w:rPr>
                <w:rFonts w:hint="eastAsia" w:ascii="宋体" w:hAnsi="宋体" w:cs="宋体"/>
                <w:color w:val="000000"/>
                <w:sz w:val="24"/>
                <w:szCs w:val="24"/>
              </w:rPr>
              <w:br/>
            </w:r>
            <w:r>
              <w:rPr>
                <w:rFonts w:hint="eastAsia" w:ascii="宋体" w:hAnsi="宋体" w:cs="宋体"/>
                <w:color w:val="000000"/>
                <w:sz w:val="24"/>
                <w:szCs w:val="24"/>
              </w:rPr>
              <w:t xml:space="preserve">18、土壤温度测量范围：-50-100℃，分辨率：0.1，准确度：0.5℃。</w:t>
            </w:r>
            <w:r>
              <w:rPr>
                <w:rFonts w:hint="eastAsia" w:ascii="宋体" w:hAnsi="宋体" w:cs="宋体"/>
                <w:color w:val="000000"/>
                <w:sz w:val="24"/>
                <w:szCs w:val="24"/>
              </w:rPr>
              <w:br/>
            </w:r>
            <w:r>
              <w:rPr>
                <w:rFonts w:hint="eastAsia" w:ascii="宋体" w:hAnsi="宋体" w:cs="宋体"/>
                <w:color w:val="000000"/>
                <w:sz w:val="24"/>
                <w:szCs w:val="24"/>
              </w:rPr>
              <w:t xml:space="preserve">19、土壤EC测量范围：0-10000us/cm，分辨率：1us/cm，准确度：5%。可同时输出盐分数值。</w:t>
            </w:r>
            <w:r>
              <w:rPr>
                <w:rFonts w:hint="eastAsia" w:ascii="宋体" w:hAnsi="宋体" w:cs="宋体"/>
                <w:color w:val="000000"/>
                <w:sz w:val="24"/>
                <w:szCs w:val="24"/>
              </w:rPr>
              <w:br/>
            </w:r>
            <w:r>
              <w:rPr>
                <w:rFonts w:hint="eastAsia" w:ascii="宋体" w:hAnsi="宋体" w:cs="宋体"/>
                <w:color w:val="000000"/>
                <w:sz w:val="24"/>
                <w:szCs w:val="24"/>
              </w:rPr>
              <w:t xml:space="preserve">20、土壤PH值测量范围：0-14，分辨率：0.01，准确度：±0.1</w:t>
            </w:r>
            <w:r>
              <w:rPr>
                <w:rFonts w:hint="eastAsia" w:ascii="宋体" w:hAnsi="宋体" w:cs="宋体"/>
                <w:color w:val="000000"/>
                <w:sz w:val="24"/>
                <w:szCs w:val="24"/>
              </w:rPr>
              <w:br/>
            </w:r>
            <w:r>
              <w:rPr>
                <w:rFonts w:hint="eastAsia" w:ascii="宋体" w:hAnsi="宋体" w:cs="宋体"/>
                <w:color w:val="000000"/>
                <w:sz w:val="24"/>
                <w:szCs w:val="24"/>
              </w:rPr>
              <w:t xml:space="preserve">21、土壤氮磷钾值测量范围：0-1999mg/kg，分辨率：1mg/kg，准确度：±5%</w:t>
            </w:r>
            <w:r>
              <w:rPr>
                <w:rFonts w:hint="eastAsia" w:ascii="宋体" w:hAnsi="宋体" w:cs="宋体"/>
                <w:color w:val="000000"/>
                <w:sz w:val="24"/>
                <w:szCs w:val="24"/>
              </w:rPr>
              <w:br/>
            </w:r>
            <w:r>
              <w:rPr>
                <w:rFonts w:hint="eastAsia" w:ascii="宋体" w:hAnsi="宋体" w:cs="宋体"/>
                <w:color w:val="000000"/>
                <w:sz w:val="24"/>
                <w:szCs w:val="24"/>
              </w:rPr>
              <w:t xml:space="preserve">22、数据将数据可在平台上查询历史数据和分析图表</w:t>
            </w:r>
            <w:r>
              <w:rPr>
                <w:rFonts w:hint="eastAsia" w:ascii="宋体" w:hAnsi="宋体" w:cs="宋体"/>
                <w:color w:val="000000"/>
                <w:sz w:val="24"/>
                <w:szCs w:val="24"/>
              </w:rPr>
              <w:br/>
            </w:r>
            <w:r>
              <w:rPr>
                <w:rFonts w:hint="eastAsia" w:ascii="宋体" w:hAnsi="宋体" w:cs="宋体"/>
                <w:color w:val="000000"/>
                <w:sz w:val="24"/>
                <w:szCs w:val="24"/>
              </w:rPr>
              <w:t xml:space="preserve">23、可选配太阳能光伏板：60W太阳能板，30AH电池供电</w:t>
            </w:r>
            <w:r>
              <w:rPr>
                <w:rFonts w:hint="eastAsia" w:ascii="宋体" w:hAnsi="宋体" w:cs="宋体"/>
                <w:color w:val="000000"/>
                <w:sz w:val="24"/>
                <w:szCs w:val="24"/>
              </w:rPr>
              <w:br/>
            </w:r>
            <w:r>
              <w:rPr>
                <w:rFonts w:hint="eastAsia" w:ascii="宋体" w:hAnsi="宋体" w:cs="宋体"/>
                <w:color w:val="000000"/>
                <w:sz w:val="24"/>
                <w:szCs w:val="24"/>
              </w:rPr>
              <w:t xml:space="preserve">24、防护设施：防雨箱。2米镀锌钢管，立柱支架，含地基或膨胀螺丝配件</w:t>
            </w:r>
            <w:r>
              <w:rPr>
                <w:rFonts w:hint="eastAsia" w:ascii="宋体" w:hAnsi="宋体" w:cs="宋体"/>
                <w:color w:val="000000"/>
                <w:sz w:val="24"/>
                <w:szCs w:val="24"/>
              </w:rPr>
              <w:br/>
            </w:r>
            <w:r>
              <w:rPr>
                <w:rFonts w:hint="eastAsia" w:ascii="宋体" w:hAnsi="宋体" w:cs="宋体"/>
                <w:color w:val="000000"/>
                <w:sz w:val="24"/>
                <w:szCs w:val="24"/>
              </w:rPr>
              <w:t xml:space="preserve">25、无线通讯：大容量3年费用手机卡</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none" w:color="000000"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小型气象站</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1、主机可以实时显示采集数据，包括：风速，风向，温湿度，气压，雨量，照度等。</w:t>
            </w:r>
            <w:r>
              <w:rPr>
                <w:rFonts w:hint="eastAsia" w:ascii="宋体" w:hAnsi="宋体" w:cs="宋体"/>
                <w:color w:val="000000"/>
                <w:sz w:val="24"/>
                <w:szCs w:val="24"/>
              </w:rPr>
              <w:br/>
            </w:r>
            <w:r>
              <w:rPr>
                <w:rFonts w:hint="eastAsia" w:ascii="宋体" w:hAnsi="宋体" w:cs="宋体"/>
                <w:color w:val="000000"/>
                <w:sz w:val="24"/>
                <w:szCs w:val="24"/>
              </w:rPr>
              <w:t xml:space="preserve">2、内核： ARM 32位Cortex-M3 CPU；</w:t>
            </w:r>
            <w:r>
              <w:rPr>
                <w:rFonts w:hint="eastAsia" w:ascii="宋体" w:hAnsi="宋体" w:cs="宋体"/>
                <w:color w:val="000000"/>
                <w:sz w:val="24"/>
                <w:szCs w:val="24"/>
              </w:rPr>
              <w:br/>
            </w:r>
            <w:r>
              <w:rPr>
                <w:rFonts w:hint="eastAsia" w:ascii="宋体" w:hAnsi="宋体" w:cs="宋体"/>
                <w:color w:val="000000"/>
                <w:sz w:val="24"/>
                <w:szCs w:val="24"/>
              </w:rPr>
              <w:t xml:space="preserve">3、UI液晶屏显示数据，时间，日期，参数设置等，整体界面清晰美观；</w:t>
            </w:r>
            <w:r>
              <w:rPr>
                <w:rFonts w:hint="eastAsia" w:ascii="宋体" w:hAnsi="宋体" w:cs="宋体"/>
                <w:color w:val="000000"/>
                <w:sz w:val="24"/>
                <w:szCs w:val="24"/>
              </w:rPr>
              <w:br/>
            </w:r>
            <w:r>
              <w:rPr>
                <w:rFonts w:hint="eastAsia" w:ascii="宋体" w:hAnsi="宋体" w:cs="宋体"/>
                <w:color w:val="000000"/>
                <w:sz w:val="24"/>
                <w:szCs w:val="24"/>
              </w:rPr>
              <w:t xml:space="preserve">4、具有看门狗电路，自动复位功能，保证系统稳定运行； </w:t>
            </w:r>
            <w:r>
              <w:rPr>
                <w:rFonts w:hint="eastAsia" w:ascii="宋体" w:hAnsi="宋体" w:cs="宋体"/>
                <w:color w:val="000000"/>
                <w:sz w:val="24"/>
                <w:szCs w:val="24"/>
              </w:rPr>
              <w:br/>
            </w:r>
            <w:r>
              <w:rPr>
                <w:rFonts w:hint="eastAsia" w:ascii="宋体" w:hAnsi="宋体" w:cs="宋体"/>
                <w:color w:val="000000"/>
                <w:sz w:val="24"/>
                <w:szCs w:val="24"/>
              </w:rPr>
              <w:t xml:space="preserve">5、可扩展U盘存储，实现数据可通过配套上位机软件接电脑导出 ；</w:t>
            </w:r>
            <w:r>
              <w:rPr>
                <w:rFonts w:hint="eastAsia" w:ascii="宋体" w:hAnsi="宋体" w:cs="宋体"/>
                <w:color w:val="000000"/>
                <w:sz w:val="24"/>
                <w:szCs w:val="24"/>
              </w:rPr>
              <w:br/>
            </w:r>
            <w:r>
              <w:rPr>
                <w:rFonts w:hint="eastAsia" w:ascii="宋体" w:hAnsi="宋体" w:cs="宋体"/>
                <w:color w:val="000000"/>
                <w:sz w:val="24"/>
                <w:szCs w:val="24"/>
              </w:rPr>
              <w:t xml:space="preserve">6、支持主动上报和被动招测上报方式在设备上切换；</w:t>
            </w:r>
            <w:r>
              <w:rPr>
                <w:rFonts w:hint="eastAsia" w:ascii="宋体" w:hAnsi="宋体" w:cs="宋体"/>
                <w:color w:val="000000"/>
                <w:sz w:val="24"/>
                <w:szCs w:val="24"/>
              </w:rPr>
              <w:br/>
            </w:r>
            <w:r>
              <w:rPr>
                <w:rFonts w:hint="eastAsia" w:ascii="宋体" w:hAnsi="宋体" w:cs="宋体"/>
                <w:color w:val="000000"/>
                <w:sz w:val="24"/>
                <w:szCs w:val="24"/>
              </w:rPr>
              <w:t xml:space="preserve">7、支持XPH、MODBUS、JSON协议设备可手动切换，设备串口通讯地址手动切</w:t>
            </w:r>
            <w:r>
              <w:rPr>
                <w:rFonts w:hint="eastAsia" w:ascii="宋体" w:hAnsi="宋体" w:cs="宋体"/>
                <w:color w:val="000000"/>
                <w:sz w:val="24"/>
                <w:szCs w:val="24"/>
              </w:rPr>
              <w:br/>
            </w:r>
            <w:r>
              <w:rPr>
                <w:rFonts w:hint="eastAsia" w:ascii="宋体" w:hAnsi="宋体" w:cs="宋体"/>
                <w:color w:val="000000"/>
                <w:sz w:val="24"/>
                <w:szCs w:val="24"/>
              </w:rPr>
              <w:t xml:space="preserve">8、换支持远程或本地串口升级程序；</w:t>
            </w:r>
            <w:r>
              <w:rPr>
                <w:rFonts w:hint="eastAsia" w:ascii="宋体" w:hAnsi="宋体" w:cs="宋体"/>
                <w:color w:val="000000"/>
                <w:sz w:val="24"/>
                <w:szCs w:val="24"/>
              </w:rPr>
              <w:br/>
            </w:r>
            <w:r>
              <w:rPr>
                <w:rFonts w:hint="eastAsia" w:ascii="宋体" w:hAnsi="宋体" w:cs="宋体"/>
                <w:color w:val="000000"/>
                <w:sz w:val="24"/>
                <w:szCs w:val="24"/>
              </w:rPr>
              <w:t xml:space="preserve">9、稳定性：具有看门狗电路，自动复位功能，保证系统稳定运行。</w:t>
            </w:r>
            <w:r>
              <w:rPr>
                <w:rFonts w:hint="eastAsia" w:ascii="宋体" w:hAnsi="宋体" w:cs="宋体"/>
                <w:color w:val="000000"/>
                <w:sz w:val="24"/>
                <w:szCs w:val="24"/>
              </w:rPr>
              <w:br/>
            </w:r>
            <w:r>
              <w:rPr>
                <w:rFonts w:hint="eastAsia" w:ascii="宋体" w:hAnsi="宋体" w:cs="宋体"/>
                <w:color w:val="000000"/>
                <w:sz w:val="24"/>
                <w:szCs w:val="24"/>
              </w:rPr>
              <w:t xml:space="preserve">10、支持本机物理按键操作设置参数； </w:t>
            </w:r>
            <w:r>
              <w:rPr>
                <w:rFonts w:hint="eastAsia" w:ascii="宋体" w:hAnsi="宋体" w:cs="宋体"/>
                <w:color w:val="000000"/>
                <w:sz w:val="24"/>
                <w:szCs w:val="24"/>
              </w:rPr>
              <w:br/>
            </w:r>
            <w:r>
              <w:rPr>
                <w:rFonts w:hint="eastAsia" w:ascii="宋体" w:hAnsi="宋体" w:cs="宋体"/>
                <w:color w:val="000000"/>
                <w:sz w:val="24"/>
                <w:szCs w:val="24"/>
              </w:rPr>
              <w:t xml:space="preserve">11、历时数据存储间隔1-240min可手动设置；</w:t>
            </w:r>
            <w:r>
              <w:rPr>
                <w:rFonts w:hint="eastAsia" w:ascii="宋体" w:hAnsi="宋体" w:cs="宋体"/>
                <w:color w:val="000000"/>
                <w:sz w:val="24"/>
                <w:szCs w:val="24"/>
              </w:rPr>
              <w:br/>
            </w:r>
            <w:r>
              <w:rPr>
                <w:rFonts w:hint="eastAsia" w:ascii="宋体" w:hAnsi="宋体" w:cs="宋体"/>
                <w:color w:val="000000"/>
                <w:sz w:val="24"/>
                <w:szCs w:val="24"/>
              </w:rPr>
              <w:t xml:space="preserve">12、电器安全性能符合GB 4793.1-2007技术规范要求，电源端子与物联网终端外壳之间的绝缘电阻不小于10M</w:t>
            </w:r>
            <w:r>
              <w:rPr>
                <w:rFonts w:ascii="宋体" w:hAnsi="宋体" w:cs="Calibri"/>
                <w:color w:val="000000"/>
                <w:sz w:val="24"/>
                <w:szCs w:val="24"/>
              </w:rPr>
              <w:t xml:space="preserve">Ω</w:t>
            </w:r>
            <w:r>
              <w:rPr>
                <w:rFonts w:hint="eastAsia" w:ascii="宋体" w:hAnsi="宋体" w:cs="宋体"/>
                <w:color w:val="000000"/>
                <w:sz w:val="24"/>
                <w:szCs w:val="24"/>
              </w:rPr>
              <w:t xml:space="preserve">；使用交流电源，能承受3000V高压，历时1min，无击穿和飞弧现象；正常工作环境下，泄露电流值不大于：交流5mA；</w:t>
            </w:r>
            <w:r>
              <w:rPr>
                <w:rFonts w:hint="eastAsia" w:ascii="宋体" w:hAnsi="宋体" w:cs="宋体"/>
                <w:color w:val="000000"/>
                <w:sz w:val="24"/>
                <w:szCs w:val="24"/>
              </w:rPr>
              <w:br/>
            </w:r>
            <w:r>
              <w:rPr>
                <w:rFonts w:hint="eastAsia" w:ascii="宋体" w:hAnsi="宋体" w:cs="宋体"/>
                <w:color w:val="000000"/>
                <w:sz w:val="24"/>
                <w:szCs w:val="24"/>
              </w:rPr>
              <w:t xml:space="preserve">13、环境适应符合GB/T 2423.1-2008、GB/T 2423.2-2008及GB/T 2423.3-2016环境适应技术规范要求，工作环境温度：-20~50℃，工作湿度：0-95%RH无冷凝；</w:t>
            </w:r>
            <w:r>
              <w:rPr>
                <w:rFonts w:hint="eastAsia" w:ascii="宋体" w:hAnsi="宋体" w:cs="宋体"/>
                <w:color w:val="000000"/>
                <w:sz w:val="24"/>
                <w:szCs w:val="24"/>
              </w:rPr>
              <w:br/>
            </w:r>
            <w:r>
              <w:rPr>
                <w:rFonts w:hint="eastAsia" w:ascii="宋体" w:hAnsi="宋体" w:cs="宋体"/>
                <w:color w:val="000000"/>
                <w:sz w:val="24"/>
                <w:szCs w:val="24"/>
              </w:rPr>
              <w:t xml:space="preserve">14、4G通信。工作模式：透明传输模式，HTTPD模式，FTP模式，设置命令：AT+命令结构，网络协议：TCP/UDP/DNS/HTTP/FTP</w:t>
            </w:r>
            <w:r>
              <w:rPr>
                <w:rFonts w:hint="eastAsia" w:ascii="宋体" w:hAnsi="宋体" w:cs="宋体"/>
                <w:color w:val="000000"/>
                <w:sz w:val="24"/>
                <w:szCs w:val="24"/>
              </w:rPr>
              <w:br/>
            </w:r>
            <w:r>
              <w:rPr>
                <w:rFonts w:hint="eastAsia" w:ascii="宋体" w:hAnsi="宋体" w:cs="宋体"/>
                <w:color w:val="000000"/>
                <w:sz w:val="24"/>
                <w:szCs w:val="24"/>
              </w:rPr>
              <w:t xml:space="preserve">15、网络查看：无需指定电脑查看数据，任何可上网电脑可在云端物联网平台中查看数据和曲线图，曲线和数据都可下载到本地电脑中。</w:t>
            </w:r>
            <w:r>
              <w:rPr>
                <w:rFonts w:hint="eastAsia" w:ascii="宋体" w:hAnsi="宋体" w:cs="宋体"/>
                <w:color w:val="000000"/>
                <w:sz w:val="24"/>
                <w:szCs w:val="24"/>
              </w:rPr>
              <w:br/>
            </w:r>
            <w:r>
              <w:rPr>
                <w:rFonts w:hint="eastAsia" w:ascii="宋体" w:hAnsi="宋体" w:cs="宋体"/>
                <w:color w:val="000000"/>
                <w:sz w:val="24"/>
                <w:szCs w:val="24"/>
              </w:rPr>
              <w:t xml:space="preserve">16、设备安装后，提供本机账号，可以查看现气象数据。</w:t>
            </w:r>
            <w:r>
              <w:rPr>
                <w:rFonts w:hint="eastAsia" w:ascii="宋体" w:hAnsi="宋体" w:cs="宋体"/>
                <w:color w:val="000000"/>
                <w:sz w:val="24"/>
                <w:szCs w:val="24"/>
              </w:rPr>
              <w:br/>
            </w:r>
            <w:r>
              <w:rPr>
                <w:rFonts w:hint="eastAsia" w:ascii="宋体" w:hAnsi="宋体" w:cs="宋体"/>
                <w:color w:val="000000"/>
                <w:sz w:val="24"/>
                <w:szCs w:val="24"/>
              </w:rPr>
              <w:t xml:space="preserve">▲17、空气温度测量范围：-50~60℃，分辨率：0.1℃，准确度：±0.5℃。（可提供第三方检测中心出具的报告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▲18、空气相对湿度测量范围：0～99%RH，分辨率：0.1%，准确度：±5%RH。（可提供第三方检测中心出具的报告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19、大气压力测量范围：500-1100hpa，分辨率：0.1hpa，准确度：±1hpa。</w:t>
            </w:r>
            <w:r>
              <w:rPr>
                <w:rFonts w:hint="eastAsia" w:ascii="宋体" w:hAnsi="宋体" w:cs="宋体"/>
                <w:color w:val="000000"/>
                <w:sz w:val="24"/>
                <w:szCs w:val="24"/>
              </w:rPr>
              <w:br/>
            </w:r>
            <w:r>
              <w:rPr>
                <w:rFonts w:hint="eastAsia" w:ascii="宋体" w:hAnsi="宋体" w:cs="宋体"/>
                <w:color w:val="000000"/>
                <w:sz w:val="24"/>
                <w:szCs w:val="24"/>
              </w:rPr>
              <w:t xml:space="preserve">▲20、风向测量范围：0～360°，分辨率：1，准确度：±1/2方位。（可提供第三方检测中心出具的报告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▲21、风速测量范围：0-70m/s分辨率：±0.1m/s准确度：±0.8m/s（可提供第三方检测中心出具的报告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22、降水量测量范围：0～4mm/min，分辨率：0.2mm，准确度：±4%。</w:t>
            </w:r>
            <w:r>
              <w:rPr>
                <w:rFonts w:hint="eastAsia" w:ascii="宋体" w:hAnsi="宋体" w:cs="宋体"/>
                <w:color w:val="000000"/>
                <w:sz w:val="24"/>
                <w:szCs w:val="24"/>
              </w:rPr>
              <w:br/>
            </w:r>
            <w:r>
              <w:rPr>
                <w:rFonts w:hint="eastAsia" w:ascii="宋体" w:hAnsi="宋体" w:cs="宋体"/>
                <w:color w:val="000000"/>
                <w:sz w:val="24"/>
                <w:szCs w:val="24"/>
              </w:rPr>
              <w:t xml:space="preserve">23、照度测量范围：0-200000lux，分辨率10lux，准确度±7%</w:t>
            </w:r>
            <w:r>
              <w:rPr>
                <w:rFonts w:hint="eastAsia" w:ascii="宋体" w:hAnsi="宋体" w:cs="宋体"/>
                <w:color w:val="000000"/>
                <w:sz w:val="24"/>
                <w:szCs w:val="24"/>
              </w:rPr>
              <w:br/>
            </w:r>
            <w:r>
              <w:rPr>
                <w:rFonts w:hint="eastAsia" w:ascii="宋体" w:hAnsi="宋体" w:cs="宋体"/>
                <w:color w:val="000000"/>
                <w:sz w:val="24"/>
                <w:szCs w:val="24"/>
              </w:rPr>
              <w:t xml:space="preserve">24、防护设施：防雨箱。定制镀锌钢管，立柱支架，含地基或膨胀螺丝配件，避雷配件</w:t>
            </w:r>
            <w:r>
              <w:rPr>
                <w:rFonts w:hint="eastAsia" w:ascii="宋体" w:hAnsi="宋体" w:cs="宋体"/>
                <w:color w:val="000000"/>
                <w:sz w:val="24"/>
                <w:szCs w:val="24"/>
              </w:rPr>
              <w:br/>
            </w:r>
            <w:r>
              <w:rPr>
                <w:rFonts w:hint="eastAsia" w:ascii="宋体" w:hAnsi="宋体" w:cs="宋体"/>
                <w:color w:val="000000"/>
                <w:sz w:val="24"/>
                <w:szCs w:val="24"/>
              </w:rPr>
              <w:t xml:space="preserve">25、轻型百叶箱：颜色：白色；层数：8层；材质：高科技优质抗紫外线材料；可安装大气温湿度气压传感器</w:t>
            </w:r>
            <w:r>
              <w:rPr>
                <w:rFonts w:hint="eastAsia" w:ascii="宋体" w:hAnsi="宋体" w:cs="宋体"/>
                <w:color w:val="000000"/>
                <w:sz w:val="24"/>
                <w:szCs w:val="24"/>
              </w:rPr>
              <w:br/>
            </w:r>
            <w:r>
              <w:rPr>
                <w:rFonts w:hint="eastAsia" w:ascii="宋体" w:hAnsi="宋体" w:cs="宋体"/>
                <w:color w:val="000000"/>
                <w:sz w:val="24"/>
                <w:szCs w:val="24"/>
              </w:rPr>
              <w:t xml:space="preserve">26、无线通讯：大容量3年费用手机卡 </w:t>
            </w:r>
            <w:r>
              <w:rPr>
                <w:rFonts w:hint="eastAsia" w:ascii="宋体" w:hAnsi="宋体" w:cs="宋体"/>
                <w:color w:val="000000"/>
                <w:sz w:val="24"/>
                <w:szCs w:val="24"/>
              </w:rPr>
              <w:br/>
            </w:r>
            <w:r>
              <w:rPr>
                <w:rFonts w:hint="eastAsia" w:ascii="宋体" w:hAnsi="宋体" w:cs="宋体"/>
                <w:color w:val="000000"/>
                <w:sz w:val="24"/>
                <w:szCs w:val="24"/>
              </w:rPr>
              <w:t xml:space="preserve">27、太阳能供电系统，60W太阳能板，30AH电池</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none" w:color="000000"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虫情测报灯</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一、产品要求</w:t>
            </w:r>
            <w:r>
              <w:rPr>
                <w:rFonts w:hint="eastAsia" w:ascii="宋体" w:hAnsi="宋体" w:cs="宋体"/>
                <w:color w:val="000000"/>
                <w:sz w:val="24"/>
                <w:szCs w:val="24"/>
              </w:rPr>
              <w:br/>
            </w:r>
            <w:r>
              <w:rPr>
                <w:rFonts w:hint="eastAsia" w:ascii="宋体" w:hAnsi="宋体" w:cs="宋体"/>
                <w:color w:val="000000"/>
                <w:sz w:val="24"/>
                <w:szCs w:val="24"/>
              </w:rPr>
              <w:t xml:space="preserve">虫情测报灯专为农林虫情测报而研制，该灯利用现代光、电、数控技术，实现了虫体远红外自动处理、自动拍照、整灯自动运行等功能。在无人监管的情况下，能自动完成诱虫、杀虫、拍照、收集、排水等系统作业。可增设风速风向、环境温湿度、光照等多种传感器接口，并可通过4G上传数据，以监测环境与病虫害之间的关系。广泛应用于农业、林业、牧业、蔬菜、烟草、茶叶、药材、园林、果园、城镇绿化、检疫等领域。</w:t>
            </w:r>
            <w:r>
              <w:rPr>
                <w:rFonts w:hint="eastAsia" w:ascii="宋体" w:hAnsi="宋体" w:cs="宋体"/>
                <w:color w:val="000000"/>
                <w:sz w:val="24"/>
                <w:szCs w:val="24"/>
              </w:rPr>
              <w:br/>
            </w:r>
            <w:r>
              <w:rPr>
                <w:rFonts w:hint="eastAsia" w:ascii="宋体" w:hAnsi="宋体" w:cs="宋体"/>
                <w:color w:val="000000"/>
                <w:sz w:val="24"/>
                <w:szCs w:val="24"/>
              </w:rPr>
              <w:t xml:space="preserve">二、性能特点</w:t>
            </w:r>
            <w:r>
              <w:rPr>
                <w:rFonts w:hint="eastAsia" w:ascii="宋体" w:hAnsi="宋体" w:cs="宋体"/>
                <w:color w:val="000000"/>
                <w:sz w:val="24"/>
                <w:szCs w:val="24"/>
              </w:rPr>
              <w:br/>
            </w:r>
            <w:r>
              <w:rPr>
                <w:rFonts w:hint="eastAsia" w:ascii="宋体" w:hAnsi="宋体" w:cs="宋体"/>
                <w:color w:val="000000"/>
                <w:sz w:val="24"/>
                <w:szCs w:val="24"/>
              </w:rPr>
              <w:t xml:space="preserve">1. 生产及检验标准符合GB/T 24689.1-2009植物保护机械 虫情采集设备</w:t>
            </w:r>
            <w:r>
              <w:rPr>
                <w:rFonts w:hint="eastAsia" w:ascii="宋体" w:hAnsi="宋体" w:cs="宋体"/>
                <w:color w:val="000000"/>
                <w:sz w:val="24"/>
                <w:szCs w:val="24"/>
              </w:rPr>
              <w:br/>
            </w:r>
            <w:r>
              <w:rPr>
                <w:rFonts w:hint="eastAsia" w:ascii="宋体" w:hAnsi="宋体" w:cs="宋体"/>
                <w:color w:val="000000"/>
                <w:sz w:val="24"/>
                <w:szCs w:val="24"/>
              </w:rPr>
              <w:t xml:space="preserve">2. 整体结构采用不锈钢,符合GB/T4237国家标准</w:t>
            </w:r>
            <w:r>
              <w:rPr>
                <w:rFonts w:hint="eastAsia" w:ascii="宋体" w:hAnsi="宋体" w:cs="宋体"/>
                <w:color w:val="000000"/>
                <w:sz w:val="24"/>
                <w:szCs w:val="24"/>
              </w:rPr>
              <w:br/>
            </w:r>
            <w:r>
              <w:rPr>
                <w:rFonts w:hint="eastAsia" w:ascii="宋体" w:hAnsi="宋体" w:cs="宋体"/>
                <w:color w:val="000000"/>
                <w:sz w:val="24"/>
                <w:szCs w:val="24"/>
              </w:rPr>
              <w:t xml:space="preserve">3. 采用光控、雨控、时控等多种控制方式，使用4G/以太网等使设备与物联网平台进行数据交换；</w:t>
            </w:r>
            <w:r>
              <w:rPr>
                <w:rFonts w:hint="eastAsia" w:ascii="宋体" w:hAnsi="宋体" w:cs="宋体"/>
                <w:color w:val="000000"/>
                <w:sz w:val="24"/>
                <w:szCs w:val="24"/>
              </w:rPr>
              <w:br/>
            </w:r>
            <w:r>
              <w:rPr>
                <w:rFonts w:hint="eastAsia" w:ascii="宋体" w:hAnsi="宋体" w:cs="宋体"/>
                <w:color w:val="000000"/>
                <w:sz w:val="24"/>
                <w:szCs w:val="24"/>
              </w:rPr>
              <w:t xml:space="preserve">4. 电源输入：可选AC220V、400W太阳能板&amp;200AH电池的太阳能供电系统</w:t>
            </w:r>
            <w:r>
              <w:rPr>
                <w:rFonts w:hint="eastAsia" w:ascii="宋体" w:hAnsi="宋体" w:cs="宋体"/>
                <w:color w:val="000000"/>
                <w:sz w:val="24"/>
                <w:szCs w:val="24"/>
              </w:rPr>
              <w:br/>
            </w:r>
            <w:r>
              <w:rPr>
                <w:rFonts w:hint="eastAsia" w:ascii="宋体" w:hAnsi="宋体" w:cs="宋体"/>
                <w:color w:val="000000"/>
                <w:sz w:val="24"/>
                <w:szCs w:val="24"/>
              </w:rPr>
              <w:t xml:space="preserve">5. 绝缘电阻：≥2.5M</w:t>
            </w:r>
            <w:r>
              <w:rPr>
                <w:rFonts w:ascii="宋体" w:hAnsi="宋体" w:cs="Calibri"/>
                <w:color w:val="000000"/>
                <w:sz w:val="24"/>
                <w:szCs w:val="24"/>
              </w:rPr>
              <w:t xml:space="preserve">Ω</w:t>
            </w:r>
            <w:r>
              <w:rPr>
                <w:rFonts w:hint="eastAsia" w:ascii="宋体" w:hAnsi="宋体" w:cs="宋体"/>
                <w:color w:val="000000"/>
                <w:sz w:val="24"/>
                <w:szCs w:val="24"/>
              </w:rPr>
              <w:t xml:space="preserve">，带漏电保护装置</w:t>
            </w:r>
            <w:r>
              <w:rPr>
                <w:rFonts w:hint="eastAsia" w:ascii="宋体" w:hAnsi="宋体" w:cs="宋体"/>
                <w:color w:val="000000"/>
                <w:sz w:val="24"/>
                <w:szCs w:val="24"/>
              </w:rPr>
              <w:br/>
            </w:r>
            <w:r>
              <w:rPr>
                <w:rFonts w:hint="eastAsia" w:ascii="宋体" w:hAnsi="宋体" w:cs="宋体"/>
                <w:color w:val="000000"/>
                <w:sz w:val="24"/>
                <w:szCs w:val="24"/>
              </w:rPr>
              <w:t xml:space="preserve">6. 液晶显示屏：10英寸彩色液晶触摸平板电脑，实时显示当前工作状态以及环境数据，可进行本地配置</w:t>
            </w:r>
            <w:r>
              <w:rPr>
                <w:rFonts w:hint="eastAsia" w:ascii="宋体" w:hAnsi="宋体" w:cs="宋体"/>
                <w:color w:val="000000"/>
                <w:sz w:val="24"/>
                <w:szCs w:val="24"/>
              </w:rPr>
              <w:br/>
            </w:r>
            <w:r>
              <w:rPr>
                <w:rFonts w:hint="eastAsia" w:ascii="宋体" w:hAnsi="宋体" w:cs="宋体"/>
                <w:color w:val="000000"/>
                <w:sz w:val="24"/>
                <w:szCs w:val="24"/>
              </w:rPr>
              <w:t xml:space="preserve">7. 排水装置：下雨自动进入雨控模式，雨控电机启动进行排水</w:t>
            </w:r>
            <w:r>
              <w:rPr>
                <w:rFonts w:hint="eastAsia" w:ascii="宋体" w:hAnsi="宋体" w:cs="宋体"/>
                <w:color w:val="000000"/>
                <w:sz w:val="24"/>
                <w:szCs w:val="24"/>
              </w:rPr>
              <w:br/>
            </w:r>
            <w:r>
              <w:rPr>
                <w:rFonts w:hint="eastAsia" w:ascii="宋体" w:hAnsi="宋体" w:cs="宋体"/>
                <w:color w:val="000000"/>
                <w:sz w:val="24"/>
                <w:szCs w:val="24"/>
              </w:rPr>
              <w:t xml:space="preserve">8. 灯管：采用365-395波长的诱虫灯管，启动时间小于5秒</w:t>
            </w:r>
            <w:r>
              <w:rPr>
                <w:rFonts w:hint="eastAsia" w:ascii="宋体" w:hAnsi="宋体" w:cs="宋体"/>
                <w:color w:val="000000"/>
                <w:sz w:val="24"/>
                <w:szCs w:val="24"/>
              </w:rPr>
              <w:br/>
            </w:r>
            <w:r>
              <w:rPr>
                <w:rFonts w:hint="eastAsia" w:ascii="宋体" w:hAnsi="宋体" w:cs="宋体"/>
                <w:color w:val="000000"/>
                <w:sz w:val="24"/>
                <w:szCs w:val="24"/>
              </w:rPr>
              <w:t xml:space="preserve">9.虫水分离机构：具有自动排水的虫水分离机构，能有效将雨虫分离，箱体内不留明显积水。</w:t>
            </w:r>
            <w:r>
              <w:rPr>
                <w:rFonts w:hint="eastAsia" w:ascii="宋体" w:hAnsi="宋体" w:cs="宋体"/>
                <w:color w:val="000000"/>
                <w:sz w:val="24"/>
                <w:szCs w:val="24"/>
              </w:rPr>
              <w:br/>
            </w:r>
            <w:r>
              <w:rPr>
                <w:rFonts w:hint="eastAsia" w:ascii="宋体" w:hAnsi="宋体" w:cs="宋体"/>
                <w:color w:val="000000"/>
                <w:sz w:val="24"/>
                <w:szCs w:val="24"/>
              </w:rPr>
              <w:t xml:space="preserve">10.害虫自动烘干功能：采用红外技术，定时自动对害虫进行烘干，确保虫体干燥不腐烂；</w:t>
            </w:r>
            <w:r>
              <w:rPr>
                <w:rFonts w:hint="eastAsia" w:ascii="宋体" w:hAnsi="宋体" w:cs="宋体"/>
                <w:color w:val="000000"/>
                <w:sz w:val="24"/>
                <w:szCs w:val="24"/>
              </w:rPr>
              <w:br/>
            </w:r>
            <w:r>
              <w:rPr>
                <w:rFonts w:hint="eastAsia" w:ascii="宋体" w:hAnsi="宋体" w:cs="宋体"/>
                <w:color w:val="000000"/>
                <w:sz w:val="24"/>
                <w:szCs w:val="24"/>
              </w:rPr>
              <w:t xml:space="preserve">11.处理仓温度控制：配有温度自动调节器，工作15分钟后达到85±5℃。（提供第三方检验检测中心出具的CNAS检验报告）</w:t>
            </w:r>
            <w:r>
              <w:rPr>
                <w:rFonts w:hint="eastAsia" w:ascii="宋体" w:hAnsi="宋体" w:cs="宋体"/>
                <w:color w:val="000000"/>
                <w:sz w:val="24"/>
                <w:szCs w:val="24"/>
              </w:rPr>
              <w:br/>
            </w:r>
            <w:r>
              <w:rPr>
                <w:rFonts w:hint="eastAsia" w:ascii="宋体" w:hAnsi="宋体" w:cs="宋体"/>
                <w:color w:val="000000"/>
                <w:sz w:val="24"/>
                <w:szCs w:val="24"/>
              </w:rPr>
              <w:t xml:space="preserve">12. 接虫板：采用圆盘状聚四氟乙烯接虫板</w:t>
            </w:r>
            <w:r>
              <w:rPr>
                <w:rFonts w:hint="eastAsia" w:ascii="宋体" w:hAnsi="宋体" w:cs="宋体"/>
                <w:color w:val="000000"/>
                <w:sz w:val="24"/>
                <w:szCs w:val="24"/>
              </w:rPr>
              <w:br/>
            </w:r>
            <w:r>
              <w:rPr>
                <w:rFonts w:hint="eastAsia" w:ascii="宋体" w:hAnsi="宋体" w:cs="宋体"/>
                <w:color w:val="000000"/>
                <w:sz w:val="24"/>
                <w:szCs w:val="24"/>
              </w:rPr>
              <w:t xml:space="preserve">13. 震动装置：通过较短时间的震动，使落下来的虫体平铺到接虫板上</w:t>
            </w:r>
            <w:r>
              <w:rPr>
                <w:rFonts w:hint="eastAsia" w:ascii="宋体" w:hAnsi="宋体" w:cs="宋体"/>
                <w:color w:val="000000"/>
                <w:sz w:val="24"/>
                <w:szCs w:val="24"/>
              </w:rPr>
              <w:br/>
            </w:r>
            <w:r>
              <w:rPr>
                <w:rFonts w:hint="eastAsia" w:ascii="宋体" w:hAnsi="宋体" w:cs="宋体"/>
                <w:color w:val="000000"/>
                <w:sz w:val="24"/>
                <w:szCs w:val="24"/>
              </w:rPr>
              <w:t xml:space="preserve">14. 清扫装置：用于拍照完成后清理接虫板，使害虫进入下方的落虫箱</w:t>
            </w:r>
            <w:r>
              <w:rPr>
                <w:rFonts w:hint="eastAsia" w:ascii="宋体" w:hAnsi="宋体" w:cs="宋体"/>
                <w:color w:val="000000"/>
                <w:sz w:val="24"/>
                <w:szCs w:val="24"/>
              </w:rPr>
              <w:br/>
            </w:r>
            <w:r>
              <w:rPr>
                <w:rFonts w:hint="eastAsia" w:ascii="宋体" w:hAnsi="宋体" w:cs="宋体"/>
                <w:color w:val="000000"/>
                <w:sz w:val="24"/>
                <w:szCs w:val="24"/>
              </w:rPr>
              <w:t xml:space="preserve">15. 拍照：使用1200W的工业相机，根据设定的工作时段定时拍照</w:t>
            </w:r>
            <w:r>
              <w:rPr>
                <w:rFonts w:hint="eastAsia" w:ascii="宋体" w:hAnsi="宋体" w:cs="宋体"/>
                <w:color w:val="000000"/>
                <w:sz w:val="24"/>
                <w:szCs w:val="24"/>
              </w:rPr>
              <w:br/>
            </w:r>
            <w:r>
              <w:rPr>
                <w:rFonts w:hint="eastAsia" w:ascii="宋体" w:hAnsi="宋体" w:cs="宋体"/>
                <w:color w:val="000000"/>
                <w:sz w:val="24"/>
                <w:szCs w:val="24"/>
              </w:rPr>
              <w:t xml:space="preserve">16. 断电记忆：设备异常断电恢复后，会保持之前的工作状态</w:t>
            </w:r>
            <w:r>
              <w:rPr>
                <w:rFonts w:hint="eastAsia" w:ascii="宋体" w:hAnsi="宋体" w:cs="宋体"/>
                <w:color w:val="000000"/>
                <w:sz w:val="24"/>
                <w:szCs w:val="24"/>
              </w:rPr>
              <w:br/>
            </w:r>
            <w:r>
              <w:rPr>
                <w:rFonts w:hint="eastAsia" w:ascii="宋体" w:hAnsi="宋体" w:cs="宋体"/>
                <w:color w:val="000000"/>
                <w:sz w:val="24"/>
                <w:szCs w:val="24"/>
              </w:rPr>
              <w:t xml:space="preserve">17. 功耗：运行功率≤450W；待机功率＜15W；（可提供第三方检验检测中心出具的CNAS检验报告）</w:t>
            </w:r>
            <w:r>
              <w:rPr>
                <w:rFonts w:hint="eastAsia" w:ascii="宋体" w:hAnsi="宋体" w:cs="宋体"/>
                <w:color w:val="000000"/>
                <w:sz w:val="24"/>
                <w:szCs w:val="24"/>
              </w:rPr>
              <w:br/>
            </w:r>
            <w:r>
              <w:rPr>
                <w:rFonts w:hint="eastAsia" w:ascii="宋体" w:hAnsi="宋体" w:cs="宋体"/>
                <w:color w:val="000000"/>
                <w:sz w:val="24"/>
                <w:szCs w:val="24"/>
              </w:rPr>
              <w:t xml:space="preserve">18. 防雷装置：有避雷针和接地装置；能够有效防止雷击</w:t>
            </w:r>
            <w:r>
              <w:rPr>
                <w:rFonts w:hint="eastAsia" w:ascii="宋体" w:hAnsi="宋体" w:cs="宋体"/>
                <w:color w:val="000000"/>
                <w:sz w:val="24"/>
                <w:szCs w:val="24"/>
              </w:rPr>
              <w:br/>
            </w:r>
            <w:r>
              <w:rPr>
                <w:rFonts w:hint="eastAsia" w:ascii="宋体" w:hAnsi="宋体" w:cs="宋体"/>
                <w:color w:val="000000"/>
                <w:sz w:val="24"/>
                <w:szCs w:val="24"/>
              </w:rPr>
              <w:t xml:space="preserve">19. 撞击屏：四块撞击屏互成90度角，单屏尺寸：长608mm±2mm、宽330±2mm、厚度不小于5mm</w:t>
            </w:r>
            <w:r>
              <w:rPr>
                <w:rFonts w:hint="eastAsia" w:ascii="宋体" w:hAnsi="宋体" w:cs="宋体"/>
                <w:color w:val="000000"/>
                <w:sz w:val="24"/>
                <w:szCs w:val="24"/>
              </w:rPr>
              <w:br/>
            </w:r>
            <w:r>
              <w:rPr>
                <w:rFonts w:hint="eastAsia" w:ascii="宋体" w:hAnsi="宋体" w:cs="宋体"/>
                <w:color w:val="000000"/>
                <w:sz w:val="24"/>
                <w:szCs w:val="24"/>
              </w:rPr>
              <w:t xml:space="preserve">20. 物联网平台：设备实时上传运行状态以及图片数据，用户可通过手机或电脑查看害虫照片、进行害虫分类识别</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auto" w:sz="4" w:space="0"/>
              <w:bottom w:val="none" w:color="000000"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视频监控设备</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高清球机，用于农田周边环境监测与安防。</w:t>
            </w:r>
            <w:r>
              <w:rPr>
                <w:rFonts w:hint="eastAsia" w:ascii="宋体" w:hAnsi="宋体" w:cs="宋体"/>
                <w:color w:val="000000"/>
                <w:sz w:val="24"/>
                <w:szCs w:val="24"/>
              </w:rPr>
              <w:br/>
            </w:r>
            <w:r>
              <w:rPr>
                <w:rFonts w:hint="eastAsia" w:ascii="宋体" w:hAnsi="宋体" w:cs="宋体"/>
                <w:color w:val="000000"/>
                <w:sz w:val="24"/>
                <w:szCs w:val="24"/>
              </w:rPr>
              <w:t xml:space="preserve">主码流支持2560x1440，子码流支持704x576，第三码流支持1920x1080，设备靶面尺寸为1/2.8英寸最低照度彩色不大于0.005 lx，黑白不大于0.001 lx；支持水平旋转范围360°连续旋转，垂直旋转范围-15°~90°。支持300个预置位，可按照所设置的预置位完成大于等于8条巡航路径。支持预置位视频冻结功能.支持H.264、H.265、MJPEG视频编码格式，可将H.264、H.265格式设置为High Profile/Main/Baseline。</w:t>
            </w:r>
            <w:r>
              <w:rPr>
                <w:rFonts w:hint="eastAsia" w:ascii="宋体" w:hAnsi="宋体" w:cs="宋体"/>
                <w:color w:val="000000"/>
                <w:sz w:val="24"/>
                <w:szCs w:val="24"/>
              </w:rPr>
              <w:br/>
            </w:r>
            <w:r>
              <w:rPr>
                <w:rFonts w:hint="eastAsia" w:ascii="宋体" w:hAnsi="宋体" w:cs="宋体"/>
                <w:color w:val="000000"/>
                <w:sz w:val="24"/>
                <w:szCs w:val="24"/>
              </w:rPr>
              <w:t xml:space="preserve">▲可对经过设定区域的行人进行人脸检测和人脸跟踪，当检测到人脸后，可抓拍人脸图片。（提供具有 CNAS 或者 CMA 认证的检测机构出具的检测报告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▲设备支持接入壁装和吊装警戒配件，警戒配件支持声光警戒功能，当人或车辆进入警戒区域后，警戒配件可发出红蓝灯警示，蜂鸣器报警。（提供具有 CNAS 或者 CMA 认证的检测机构出具的检测报告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▲设备支持白光、红外光，夜间天气晴朗无遮挡条件下，开启白光灯，可识别距离设备30m处的人体轮廓；开启红外灯可识别距离设备100m处的人体轮廓。（提供具有 CNAS 或者 CMA 认证的检测机构出具的检测报告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▲设备具有1个RJ45网络接口、1路音频输入、1路音频输出、1路报警输入、1路报警输出、1个SD卡槽、1个4G模块。设备采用220V转12V电源适配器供电。工作温度：-30 °C~65 °C（提供具有 CNAS 或者 CMA 认证的检测机构出具的检测报告</w:t>
            </w:r>
            <w:r>
              <w:rPr>
                <w:rFonts w:hint="eastAsia" w:ascii="宋体" w:hAnsi="宋体" w:eastAsia="宋体" w:cs="宋体"/>
                <w:color w:val="000000"/>
                <w:sz w:val="24"/>
                <w:szCs w:val="24"/>
              </w:rPr>
              <w:t xml:space="preserve">扫描件</w:t>
            </w:r>
            <w:r>
              <w:rPr>
                <w:rFonts w:hint="eastAsia" w:ascii="宋体" w:hAnsi="宋体" w:cs="宋体"/>
                <w:color w:val="000000"/>
                <w:sz w:val="24"/>
                <w:szCs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7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智能仓储系统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视频监控设备</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2个粮仓各布设1套，粮食加工车间布设1套，农机车间布设1套。</w:t>
            </w:r>
            <w:r>
              <w:rPr>
                <w:rFonts w:hint="eastAsia" w:ascii="宋体" w:hAnsi="宋体" w:cs="宋体"/>
                <w:color w:val="000000"/>
                <w:sz w:val="24"/>
                <w:szCs w:val="24"/>
              </w:rPr>
              <w:br/>
            </w:r>
            <w:r>
              <w:rPr>
                <w:rFonts w:hint="eastAsia" w:ascii="宋体" w:hAnsi="宋体" w:cs="宋体"/>
                <w:color w:val="000000"/>
                <w:sz w:val="24"/>
                <w:szCs w:val="24"/>
              </w:rPr>
              <w:t xml:space="preserve">最高分辨率可达2560 × 1440 @25 fps，在该分辨率下可输出实时图像</w:t>
            </w:r>
            <w:r>
              <w:rPr>
                <w:rFonts w:hint="eastAsia" w:ascii="宋体" w:hAnsi="宋体" w:cs="宋体"/>
                <w:color w:val="000000"/>
                <w:sz w:val="24"/>
                <w:szCs w:val="24"/>
              </w:rPr>
              <w:br/>
            </w:r>
            <w:r>
              <w:rPr>
                <w:rFonts w:hint="eastAsia" w:ascii="宋体" w:hAnsi="宋体" w:cs="宋体"/>
                <w:color w:val="000000"/>
                <w:sz w:val="24"/>
                <w:szCs w:val="24"/>
              </w:rPr>
              <w:t xml:space="preserve">支持背光补偿，强光抑制，3D数字降噪，数字宽动态，适应不同环境</w:t>
            </w:r>
            <w:r>
              <w:rPr>
                <w:rFonts w:hint="eastAsia" w:ascii="宋体" w:hAnsi="宋体" w:cs="宋体"/>
                <w:color w:val="000000"/>
                <w:sz w:val="24"/>
                <w:szCs w:val="24"/>
              </w:rPr>
              <w:br/>
            </w:r>
            <w:r>
              <w:rPr>
                <w:rFonts w:hint="eastAsia" w:ascii="宋体" w:hAnsi="宋体" w:cs="宋体"/>
                <w:color w:val="000000"/>
                <w:sz w:val="24"/>
                <w:szCs w:val="24"/>
              </w:rPr>
              <w:t xml:space="preserve">支持萤石平台接入，支持萤石云存储</w:t>
            </w:r>
            <w:r>
              <w:rPr>
                <w:rFonts w:hint="eastAsia" w:ascii="宋体" w:hAnsi="宋体" w:cs="宋体"/>
                <w:color w:val="000000"/>
                <w:sz w:val="24"/>
                <w:szCs w:val="24"/>
              </w:rPr>
              <w:br/>
            </w:r>
            <w:r>
              <w:rPr>
                <w:rFonts w:hint="eastAsia" w:ascii="宋体" w:hAnsi="宋体" w:cs="宋体"/>
                <w:color w:val="000000"/>
                <w:sz w:val="24"/>
                <w:szCs w:val="24"/>
              </w:rPr>
              <w:t xml:space="preserve">支持低码率模式</w:t>
            </w:r>
            <w:r>
              <w:rPr>
                <w:rFonts w:hint="eastAsia" w:ascii="宋体" w:hAnsi="宋体" w:cs="宋体"/>
                <w:color w:val="000000"/>
                <w:sz w:val="24"/>
                <w:szCs w:val="24"/>
              </w:rPr>
              <w:br/>
            </w:r>
            <w:r>
              <w:rPr>
                <w:rFonts w:hint="eastAsia" w:ascii="宋体" w:hAnsi="宋体" w:cs="宋体"/>
                <w:color w:val="000000"/>
                <w:sz w:val="24"/>
                <w:szCs w:val="24"/>
              </w:rPr>
              <w:t xml:space="preserve">支持白光/红外双补光，红外光最远可达30 m，白光最远可达30 m</w:t>
            </w:r>
            <w:r>
              <w:rPr>
                <w:rFonts w:hint="eastAsia" w:ascii="宋体" w:hAnsi="宋体" w:cs="宋体"/>
                <w:color w:val="000000"/>
                <w:sz w:val="24"/>
                <w:szCs w:val="24"/>
              </w:rPr>
              <w:br/>
            </w:r>
            <w:r>
              <w:rPr>
                <w:rFonts w:hint="eastAsia" w:ascii="宋体" w:hAnsi="宋体" w:cs="宋体"/>
                <w:color w:val="000000"/>
                <w:sz w:val="24"/>
                <w:szCs w:val="24"/>
              </w:rPr>
              <w:t xml:space="preserve">支持LTE-TDD/LTE-FDD 4G无线网络传输</w:t>
            </w:r>
            <w:r>
              <w:rPr>
                <w:rFonts w:hint="eastAsia" w:ascii="宋体" w:hAnsi="宋体" w:cs="宋体"/>
                <w:color w:val="000000"/>
                <w:sz w:val="24"/>
                <w:szCs w:val="24"/>
              </w:rPr>
              <w:br/>
            </w:r>
            <w:r>
              <w:rPr>
                <w:rFonts w:hint="eastAsia" w:ascii="宋体" w:hAnsi="宋体" w:cs="宋体"/>
                <w:color w:val="000000"/>
                <w:sz w:val="24"/>
                <w:szCs w:val="24"/>
              </w:rPr>
              <w:t xml:space="preserve">1个内置麦克风，高清拾音</w:t>
            </w:r>
            <w:r>
              <w:rPr>
                <w:rFonts w:hint="eastAsia" w:ascii="宋体" w:hAnsi="宋体" w:cs="宋体"/>
                <w:color w:val="000000"/>
                <w:sz w:val="24"/>
                <w:szCs w:val="24"/>
              </w:rPr>
              <w:br/>
            </w:r>
            <w:r>
              <w:rPr>
                <w:rFonts w:hint="eastAsia" w:ascii="宋体" w:hAnsi="宋体" w:cs="宋体"/>
                <w:color w:val="000000"/>
                <w:sz w:val="24"/>
                <w:szCs w:val="24"/>
              </w:rPr>
              <w:t xml:space="preserve">1个内置扬声器，支持双向语音对讲（仅-T型号支持）</w:t>
            </w:r>
            <w:r>
              <w:rPr>
                <w:rFonts w:hint="eastAsia" w:ascii="宋体" w:hAnsi="宋体" w:cs="宋体"/>
                <w:color w:val="000000"/>
                <w:sz w:val="24"/>
                <w:szCs w:val="24"/>
              </w:rPr>
              <w:br/>
            </w:r>
            <w:r>
              <w:rPr>
                <w:rFonts w:hint="eastAsia" w:ascii="宋体" w:hAnsi="宋体" w:cs="宋体"/>
                <w:color w:val="000000"/>
                <w:sz w:val="24"/>
                <w:szCs w:val="24"/>
              </w:rPr>
              <w:t xml:space="preserve">内置SIM卡（不支持插拔替换），并支持外插Micro SIM卡，双卡单待</w:t>
            </w:r>
            <w:r>
              <w:rPr>
                <w:rFonts w:hint="eastAsia" w:ascii="宋体" w:hAnsi="宋体" w:cs="宋体"/>
                <w:color w:val="000000"/>
                <w:sz w:val="24"/>
                <w:szCs w:val="24"/>
              </w:rPr>
              <w:br/>
            </w:r>
            <w:r>
              <w:rPr>
                <w:rFonts w:hint="eastAsia" w:ascii="宋体" w:hAnsi="宋体" w:cs="宋体"/>
                <w:color w:val="000000"/>
                <w:sz w:val="24"/>
                <w:szCs w:val="24"/>
              </w:rPr>
              <w:t xml:space="preserve">支持最大256 GB MicroSD/MicroSDHC/MicroSDXC卡本地存储</w:t>
            </w:r>
            <w:r>
              <w:rPr>
                <w:rFonts w:hint="eastAsia" w:ascii="宋体" w:hAnsi="宋体" w:cs="宋体"/>
                <w:color w:val="000000"/>
                <w:sz w:val="24"/>
                <w:szCs w:val="24"/>
              </w:rPr>
              <w:br/>
            </w:r>
            <w:r>
              <w:rPr>
                <w:rFonts w:hint="eastAsia" w:ascii="宋体" w:hAnsi="宋体" w:cs="宋体"/>
                <w:color w:val="000000"/>
                <w:sz w:val="24"/>
                <w:szCs w:val="24"/>
              </w:rPr>
              <w:t xml:space="preserve">符合IP66防尘防水设计，可靠性高</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环境监测设备</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2个粮仓各布设1套，监测室内温湿度</w:t>
            </w:r>
            <w:r>
              <w:rPr>
                <w:rFonts w:hint="eastAsia" w:ascii="宋体" w:hAnsi="宋体" w:cs="宋体"/>
                <w:color w:val="000000"/>
                <w:sz w:val="24"/>
                <w:szCs w:val="24"/>
              </w:rPr>
              <w:br/>
            </w:r>
            <w:r>
              <w:rPr>
                <w:rFonts w:hint="eastAsia" w:ascii="宋体" w:hAnsi="宋体" w:cs="宋体"/>
                <w:color w:val="000000"/>
                <w:sz w:val="24"/>
                <w:szCs w:val="24"/>
              </w:rPr>
              <w:t xml:space="preserve">1、参数：全数字化检测，高精度传感器，是由高精度数字温度、湿度，可准确、快速检测出大气温度、大气湿度</w:t>
            </w:r>
            <w:r>
              <w:rPr>
                <w:rFonts w:hint="eastAsia" w:ascii="宋体" w:hAnsi="宋体" w:cs="宋体"/>
                <w:color w:val="000000"/>
                <w:sz w:val="24"/>
                <w:szCs w:val="24"/>
              </w:rPr>
              <w:br/>
            </w:r>
            <w:r>
              <w:rPr>
                <w:rFonts w:hint="eastAsia" w:ascii="宋体" w:hAnsi="宋体" w:cs="宋体"/>
                <w:color w:val="000000"/>
                <w:sz w:val="24"/>
                <w:szCs w:val="24"/>
              </w:rPr>
              <w:t xml:space="preserve">2、大气温度：量程：-50～100℃ 分辨率：0.1℃ 精度：±0.3℃  </w:t>
            </w:r>
            <w:r>
              <w:rPr>
                <w:rFonts w:hint="eastAsia" w:ascii="宋体" w:hAnsi="宋体" w:cs="宋体"/>
                <w:color w:val="000000"/>
                <w:sz w:val="24"/>
                <w:szCs w:val="24"/>
              </w:rPr>
              <w:br/>
            </w:r>
            <w:r>
              <w:rPr>
                <w:rFonts w:hint="eastAsia" w:ascii="宋体" w:hAnsi="宋体" w:cs="宋体"/>
                <w:color w:val="000000"/>
                <w:sz w:val="24"/>
                <w:szCs w:val="24"/>
              </w:rPr>
              <w:t xml:space="preserve">3、大气湿度（@T=25℃）：量程 0～100%RH 分辨率：0.1%RH 精度：±3%RH </w:t>
            </w:r>
            <w:r>
              <w:rPr>
                <w:rFonts w:hint="eastAsia" w:ascii="宋体" w:hAnsi="宋体" w:cs="宋体"/>
                <w:color w:val="000000"/>
                <w:sz w:val="24"/>
                <w:szCs w:val="24"/>
              </w:rPr>
              <w:br/>
            </w:r>
            <w:r>
              <w:rPr>
                <w:rFonts w:hint="eastAsia" w:ascii="宋体" w:hAnsi="宋体" w:cs="宋体"/>
                <w:color w:val="000000"/>
                <w:sz w:val="24"/>
                <w:szCs w:val="24"/>
              </w:rPr>
              <w:t xml:space="preserve">4、供电方式：支持市电和电池供电</w:t>
            </w:r>
            <w:r>
              <w:rPr>
                <w:rFonts w:hint="eastAsia" w:ascii="宋体" w:hAnsi="宋体" w:cs="宋体"/>
                <w:color w:val="000000"/>
                <w:sz w:val="24"/>
                <w:szCs w:val="24"/>
              </w:rPr>
              <w:br/>
            </w:r>
            <w:r>
              <w:rPr>
                <w:rFonts w:hint="eastAsia" w:ascii="宋体" w:hAnsi="宋体" w:cs="宋体"/>
                <w:color w:val="000000"/>
                <w:sz w:val="24"/>
                <w:szCs w:val="24"/>
              </w:rPr>
              <w:t xml:space="preserve">5、供电电压：DC12V-24V</w:t>
            </w:r>
            <w:r>
              <w:rPr>
                <w:rFonts w:hint="eastAsia" w:ascii="宋体" w:hAnsi="宋体" w:cs="宋体"/>
                <w:color w:val="000000"/>
                <w:sz w:val="24"/>
                <w:szCs w:val="24"/>
              </w:rPr>
              <w:br/>
            </w:r>
            <w:r>
              <w:rPr>
                <w:rFonts w:hint="eastAsia" w:ascii="宋体" w:hAnsi="宋体" w:cs="宋体"/>
                <w:color w:val="000000"/>
                <w:sz w:val="24"/>
                <w:szCs w:val="24"/>
              </w:rPr>
              <w:t xml:space="preserve">6、通讯方式：支持RS485，4G,以太网等</w:t>
            </w:r>
            <w:r>
              <w:rPr>
                <w:rFonts w:hint="eastAsia" w:ascii="宋体" w:hAnsi="宋体" w:cs="宋体"/>
                <w:color w:val="000000"/>
                <w:sz w:val="24"/>
                <w:szCs w:val="24"/>
              </w:rPr>
              <w:br/>
            </w:r>
            <w:r>
              <w:rPr>
                <w:rFonts w:hint="eastAsia" w:ascii="宋体" w:hAnsi="宋体" w:cs="宋体"/>
                <w:color w:val="000000"/>
                <w:sz w:val="24"/>
                <w:szCs w:val="24"/>
              </w:rPr>
              <w:t xml:space="preserve">7、支持多种定制外观，支持定制防水外壳封装，尺寸：117mm*86mm*41mm</w:t>
            </w:r>
            <w:r>
              <w:rPr>
                <w:rFonts w:hint="eastAsia" w:ascii="宋体" w:hAnsi="宋体" w:cs="宋体"/>
                <w:color w:val="000000"/>
                <w:sz w:val="24"/>
                <w:szCs w:val="24"/>
              </w:rPr>
              <w:br/>
            </w:r>
            <w:r>
              <w:rPr>
                <w:rFonts w:hint="eastAsia" w:ascii="宋体" w:hAnsi="宋体" w:cs="宋体"/>
                <w:color w:val="000000"/>
                <w:sz w:val="24"/>
                <w:szCs w:val="24"/>
              </w:rPr>
              <w:t xml:space="preserve">8、支持上传物联网平台，数据传输方式支持被动被动招测，主动上报可选择，</w:t>
            </w:r>
            <w:r>
              <w:rPr>
                <w:rFonts w:hint="eastAsia" w:ascii="宋体" w:hAnsi="宋体" w:cs="宋体"/>
                <w:color w:val="000000"/>
                <w:sz w:val="24"/>
                <w:szCs w:val="24"/>
              </w:rPr>
              <w:br/>
            </w:r>
            <w:r>
              <w:rPr>
                <w:rFonts w:hint="eastAsia" w:ascii="宋体" w:hAnsi="宋体" w:cs="宋体"/>
                <w:color w:val="000000"/>
                <w:sz w:val="24"/>
                <w:szCs w:val="24"/>
              </w:rPr>
              <w:t xml:space="preserve">9、支持定制数据格式，多元化的数据格式</w:t>
            </w:r>
            <w:r>
              <w:rPr>
                <w:rFonts w:hint="eastAsia" w:ascii="宋体" w:hAnsi="宋体" w:cs="宋体"/>
                <w:color w:val="000000"/>
                <w:sz w:val="24"/>
                <w:szCs w:val="24"/>
              </w:rPr>
              <w:br/>
            </w:r>
            <w:r>
              <w:rPr>
                <w:rFonts w:hint="eastAsia" w:ascii="宋体" w:hAnsi="宋体" w:cs="宋体"/>
                <w:color w:val="000000"/>
                <w:sz w:val="24"/>
                <w:szCs w:val="24"/>
              </w:rPr>
              <w:t xml:space="preserve">10、支持XPH通讯协议及标准modbus协议，支持定制协议，数据可对接第三方平台</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57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智能灌溉系统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泵站智能化改造</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基于刘集现有泵站情况，对泵站开关进行智能化改造，通过系统实现一键开启或关闭泵站的开关。</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阀门智能化改造</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基于水位监测设备，进行阀门智能化改造，实现水位数据可视化应用，支持系统对水位阈值进行设置，自动告警。</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57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智能装备系统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无人插秧机</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一、插秧机技术参数</w:t>
            </w:r>
            <w:r>
              <w:rPr>
                <w:rFonts w:hint="eastAsia" w:ascii="宋体" w:hAnsi="宋体" w:cs="宋体"/>
                <w:color w:val="000000"/>
                <w:sz w:val="24"/>
                <w:szCs w:val="24"/>
              </w:rPr>
              <w:br/>
            </w:r>
            <w:r>
              <w:rPr>
                <w:rFonts w:hint="eastAsia" w:ascii="宋体" w:hAnsi="宋体" w:cs="宋体"/>
                <w:color w:val="000000"/>
                <w:sz w:val="24"/>
                <w:szCs w:val="24"/>
              </w:rPr>
              <w:t xml:space="preserve">（1）发动机：四冲程柴油发动机≥25马力；</w:t>
            </w:r>
            <w:r>
              <w:rPr>
                <w:rFonts w:hint="eastAsia" w:ascii="宋体" w:hAnsi="宋体" w:cs="宋体"/>
                <w:color w:val="000000"/>
                <w:sz w:val="24"/>
                <w:szCs w:val="24"/>
              </w:rPr>
              <w:br/>
            </w:r>
            <w:r>
              <w:rPr>
                <w:rFonts w:hint="eastAsia" w:ascii="宋体" w:hAnsi="宋体" w:cs="宋体"/>
                <w:color w:val="000000"/>
                <w:sz w:val="24"/>
                <w:szCs w:val="24"/>
              </w:rPr>
              <w:t xml:space="preserve">（2）最小离地间隙（mm）：450~550；</w:t>
            </w:r>
            <w:r>
              <w:rPr>
                <w:rFonts w:hint="eastAsia" w:ascii="宋体" w:hAnsi="宋体" w:cs="宋体"/>
                <w:color w:val="000000"/>
                <w:sz w:val="24"/>
                <w:szCs w:val="24"/>
              </w:rPr>
              <w:br/>
            </w:r>
            <w:r>
              <w:rPr>
                <w:rFonts w:hint="eastAsia" w:ascii="宋体" w:hAnsi="宋体" w:cs="宋体"/>
                <w:color w:val="000000"/>
                <w:sz w:val="24"/>
                <w:szCs w:val="24"/>
              </w:rPr>
              <w:t xml:space="preserve">（3）变速方式：液压无极变速；</w:t>
            </w:r>
            <w:r>
              <w:rPr>
                <w:rFonts w:hint="eastAsia" w:ascii="宋体" w:hAnsi="宋体" w:cs="宋体"/>
                <w:color w:val="000000"/>
                <w:sz w:val="24"/>
                <w:szCs w:val="24"/>
              </w:rPr>
              <w:br/>
            </w:r>
            <w:r>
              <w:rPr>
                <w:rFonts w:hint="eastAsia" w:ascii="宋体" w:hAnsi="宋体" w:cs="宋体"/>
                <w:color w:val="000000"/>
                <w:sz w:val="24"/>
                <w:szCs w:val="24"/>
              </w:rPr>
              <w:t xml:space="preserve">（4）驱动方式：四轮驱动；</w:t>
            </w:r>
            <w:r>
              <w:rPr>
                <w:rFonts w:hint="eastAsia" w:ascii="宋体" w:hAnsi="宋体" w:cs="宋体"/>
                <w:color w:val="000000"/>
                <w:sz w:val="24"/>
                <w:szCs w:val="24"/>
              </w:rPr>
              <w:br/>
            </w:r>
            <w:r>
              <w:rPr>
                <w:rFonts w:hint="eastAsia" w:ascii="宋体" w:hAnsi="宋体" w:cs="宋体"/>
                <w:color w:val="000000"/>
                <w:sz w:val="24"/>
                <w:szCs w:val="24"/>
              </w:rPr>
              <w:t xml:space="preserve">（5）转向方式：液压转向；</w:t>
            </w:r>
            <w:r>
              <w:rPr>
                <w:rFonts w:hint="eastAsia" w:ascii="宋体" w:hAnsi="宋体" w:cs="宋体"/>
                <w:color w:val="000000"/>
                <w:sz w:val="24"/>
                <w:szCs w:val="24"/>
              </w:rPr>
              <w:br/>
            </w:r>
            <w:r>
              <w:rPr>
                <w:rFonts w:hint="eastAsia" w:ascii="宋体" w:hAnsi="宋体" w:cs="宋体"/>
                <w:color w:val="000000"/>
                <w:sz w:val="24"/>
                <w:szCs w:val="24"/>
              </w:rPr>
              <w:t xml:space="preserve">（6）插秧行数（行）：6；</w:t>
            </w:r>
            <w:r>
              <w:rPr>
                <w:rFonts w:hint="eastAsia" w:ascii="宋体" w:hAnsi="宋体" w:cs="宋体"/>
                <w:color w:val="000000"/>
                <w:sz w:val="24"/>
                <w:szCs w:val="24"/>
              </w:rPr>
              <w:br/>
            </w:r>
            <w:r>
              <w:rPr>
                <w:rFonts w:hint="eastAsia" w:ascii="宋体" w:hAnsi="宋体" w:cs="宋体"/>
                <w:color w:val="000000"/>
                <w:sz w:val="24"/>
                <w:szCs w:val="24"/>
              </w:rPr>
              <w:t xml:space="preserve">（7）插秧行距（mm）：300；</w:t>
            </w:r>
            <w:r>
              <w:rPr>
                <w:rFonts w:hint="eastAsia" w:ascii="宋体" w:hAnsi="宋体" w:cs="宋体"/>
                <w:color w:val="000000"/>
                <w:sz w:val="24"/>
                <w:szCs w:val="24"/>
              </w:rPr>
              <w:br/>
            </w:r>
            <w:r>
              <w:rPr>
                <w:rFonts w:hint="eastAsia" w:ascii="宋体" w:hAnsi="宋体" w:cs="宋体"/>
                <w:color w:val="000000"/>
                <w:sz w:val="24"/>
                <w:szCs w:val="24"/>
              </w:rPr>
              <w:t xml:space="preserve">（8）插秩株距（mm）：100、120、140、160、180、210、240；</w:t>
            </w:r>
            <w:r>
              <w:rPr>
                <w:rFonts w:hint="eastAsia" w:ascii="宋体" w:hAnsi="宋体" w:cs="宋体"/>
                <w:color w:val="000000"/>
                <w:sz w:val="24"/>
                <w:szCs w:val="24"/>
              </w:rPr>
              <w:br/>
            </w:r>
            <w:r>
              <w:rPr>
                <w:rFonts w:hint="eastAsia" w:ascii="宋体" w:hAnsi="宋体" w:cs="宋体"/>
                <w:color w:val="000000"/>
                <w:sz w:val="24"/>
                <w:szCs w:val="24"/>
              </w:rPr>
              <w:t xml:space="preserve">（9）插秧深度（mm）：10-53；</w:t>
            </w:r>
            <w:r>
              <w:rPr>
                <w:rFonts w:hint="eastAsia" w:ascii="宋体" w:hAnsi="宋体" w:cs="宋体"/>
                <w:color w:val="000000"/>
                <w:sz w:val="24"/>
                <w:szCs w:val="24"/>
              </w:rPr>
              <w:br/>
            </w:r>
            <w:r>
              <w:rPr>
                <w:rFonts w:hint="eastAsia" w:ascii="宋体" w:hAnsi="宋体" w:cs="宋体"/>
                <w:color w:val="000000"/>
                <w:sz w:val="24"/>
                <w:szCs w:val="24"/>
              </w:rPr>
              <w:t xml:space="preserve">（10）施肥方式：侧行开沟施肥；</w:t>
            </w:r>
            <w:r>
              <w:rPr>
                <w:rFonts w:hint="eastAsia" w:ascii="宋体" w:hAnsi="宋体" w:cs="宋体"/>
                <w:color w:val="000000"/>
                <w:sz w:val="24"/>
                <w:szCs w:val="24"/>
              </w:rPr>
              <w:br/>
            </w:r>
            <w:r>
              <w:rPr>
                <w:rFonts w:hint="eastAsia" w:ascii="宋体" w:hAnsi="宋体" w:cs="宋体"/>
                <w:color w:val="000000"/>
                <w:sz w:val="24"/>
                <w:szCs w:val="24"/>
              </w:rPr>
              <w:t xml:space="preserve">（11）支持侧身施肥；</w:t>
            </w:r>
            <w:r>
              <w:rPr>
                <w:rFonts w:hint="eastAsia" w:ascii="宋体" w:hAnsi="宋体" w:cs="宋体"/>
                <w:color w:val="000000"/>
                <w:sz w:val="24"/>
                <w:szCs w:val="24"/>
              </w:rPr>
              <w:br/>
            </w:r>
            <w:r>
              <w:rPr>
                <w:rFonts w:hint="eastAsia" w:ascii="宋体" w:hAnsi="宋体" w:cs="宋体"/>
                <w:color w:val="000000"/>
                <w:sz w:val="24"/>
                <w:szCs w:val="24"/>
              </w:rPr>
              <w:t xml:space="preserve">（12）支持360度视频作业监控。</w:t>
            </w:r>
            <w:r>
              <w:rPr>
                <w:rFonts w:hint="eastAsia" w:ascii="宋体" w:hAnsi="宋体" w:cs="宋体"/>
                <w:color w:val="000000"/>
                <w:sz w:val="24"/>
                <w:szCs w:val="24"/>
              </w:rPr>
              <w:br/>
            </w:r>
            <w:r>
              <w:rPr>
                <w:rFonts w:hint="eastAsia" w:ascii="宋体" w:hAnsi="宋体" w:cs="宋体"/>
                <w:color w:val="000000"/>
                <w:sz w:val="24"/>
                <w:szCs w:val="24"/>
              </w:rPr>
              <w:t xml:space="preserve">二、无人驾驶插秧机系统功能要求通过对插秧机加装高精度北斗导航套件,以实现不需要人介入可自动控制车辆入田作业的插秧机，能够实现插秧全程无人化作业，车辆能够实现自动规划路径、自动点火熄火、自动作业等功能。</w:t>
            </w:r>
            <w:r>
              <w:rPr>
                <w:rFonts w:hint="eastAsia" w:ascii="宋体" w:hAnsi="宋体" w:cs="宋体"/>
                <w:color w:val="000000"/>
                <w:sz w:val="24"/>
                <w:szCs w:val="24"/>
              </w:rPr>
              <w:br/>
            </w:r>
            <w:r>
              <w:rPr>
                <w:rFonts w:hint="eastAsia" w:ascii="宋体" w:hAnsi="宋体" w:cs="宋体"/>
                <w:color w:val="000000"/>
                <w:sz w:val="24"/>
                <w:szCs w:val="24"/>
              </w:rPr>
              <w:t xml:space="preserve">（1）采用电动方向盘控制方案，直线精度满足±2.5cm,衔接行间距精度满足±5cm；</w:t>
            </w:r>
            <w:r>
              <w:rPr>
                <w:rFonts w:hint="eastAsia" w:ascii="宋体" w:hAnsi="宋体" w:cs="宋体"/>
                <w:color w:val="000000"/>
                <w:sz w:val="24"/>
                <w:szCs w:val="24"/>
              </w:rPr>
              <w:br/>
            </w:r>
            <w:r>
              <w:rPr>
                <w:rFonts w:hint="eastAsia" w:ascii="宋体" w:hAnsi="宋体" w:cs="宋体"/>
                <w:color w:val="000000"/>
                <w:sz w:val="24"/>
                <w:szCs w:val="24"/>
              </w:rPr>
              <w:t xml:space="preserve">（2）插秧机自动加速减速掉头，支持作业速度预设，可根据实际情况预设车辆的作业速度及调头转弯速度；</w:t>
            </w:r>
            <w:r>
              <w:rPr>
                <w:rFonts w:hint="eastAsia" w:ascii="宋体" w:hAnsi="宋体" w:cs="宋体"/>
                <w:color w:val="000000"/>
                <w:sz w:val="24"/>
                <w:szCs w:val="24"/>
              </w:rPr>
              <w:br/>
            </w:r>
            <w:r>
              <w:rPr>
                <w:rFonts w:hint="eastAsia" w:ascii="宋体" w:hAnsi="宋体" w:cs="宋体"/>
                <w:color w:val="000000"/>
                <w:sz w:val="24"/>
                <w:szCs w:val="24"/>
              </w:rPr>
              <w:t xml:space="preserve">（3）插秧机秧箱自动起落控制；</w:t>
            </w:r>
            <w:r>
              <w:rPr>
                <w:rFonts w:hint="eastAsia" w:ascii="宋体" w:hAnsi="宋体" w:cs="宋体"/>
                <w:color w:val="000000"/>
                <w:sz w:val="24"/>
                <w:szCs w:val="24"/>
              </w:rPr>
              <w:br/>
            </w:r>
            <w:r>
              <w:rPr>
                <w:rFonts w:hint="eastAsia" w:ascii="宋体" w:hAnsi="宋体" w:cs="宋体"/>
                <w:color w:val="000000"/>
                <w:sz w:val="24"/>
                <w:szCs w:val="24"/>
              </w:rPr>
              <w:t xml:space="preserve">（4）插植部分自动耦合和分离控制；</w:t>
            </w:r>
            <w:r>
              <w:rPr>
                <w:rFonts w:hint="eastAsia" w:ascii="宋体" w:hAnsi="宋体" w:cs="宋体"/>
                <w:color w:val="000000"/>
                <w:sz w:val="24"/>
                <w:szCs w:val="24"/>
              </w:rPr>
              <w:br/>
            </w:r>
            <w:r>
              <w:rPr>
                <w:rFonts w:hint="eastAsia" w:ascii="宋体" w:hAnsi="宋体" w:cs="宋体"/>
                <w:color w:val="000000"/>
                <w:sz w:val="24"/>
                <w:szCs w:val="24"/>
              </w:rPr>
              <w:t xml:space="preserve">（5）支持云端一键控制车辆、支持云端一键下发智能路径；</w:t>
            </w:r>
            <w:r>
              <w:rPr>
                <w:rFonts w:hint="eastAsia" w:ascii="宋体" w:hAnsi="宋体" w:cs="宋体"/>
                <w:color w:val="000000"/>
                <w:sz w:val="24"/>
                <w:szCs w:val="24"/>
              </w:rPr>
              <w:br/>
            </w:r>
            <w:r>
              <w:rPr>
                <w:rFonts w:hint="eastAsia" w:ascii="宋体" w:hAnsi="宋体" w:cs="宋体"/>
                <w:color w:val="000000"/>
                <w:sz w:val="24"/>
                <w:szCs w:val="24"/>
              </w:rPr>
              <w:t xml:space="preserve">（6）支持查询实时作业轨迹、历史作业轨迹，实时作业面积以及历史作业面积；</w:t>
            </w:r>
            <w:r>
              <w:rPr>
                <w:rFonts w:hint="eastAsia" w:ascii="宋体" w:hAnsi="宋体" w:cs="宋体"/>
                <w:color w:val="000000"/>
                <w:sz w:val="24"/>
                <w:szCs w:val="24"/>
              </w:rPr>
              <w:br/>
            </w:r>
            <w:r>
              <w:rPr>
                <w:rFonts w:hint="eastAsia" w:ascii="宋体" w:hAnsi="宋体" w:cs="宋体"/>
                <w:color w:val="000000"/>
                <w:sz w:val="24"/>
                <w:szCs w:val="24"/>
              </w:rPr>
              <w:t xml:space="preserve">（7）无人驾驶控制器通讯接口；至少提供CAN，RS485，RS232通讯接口，以方便的连接车载ECU或者其他设备；电机控制：提供不低于5路独立双极性电机驱动含有电流反馈故障检测保护功能;无线接口：支持≥2.4G射频传输；终端采用10英寸以上超大电容触摸屏，易于操作。</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无人植保机</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农业无人飞机使用强劲的共轴双旋翼动力系统，采用分体式抗扭固定结构。搭载双重雾化喷洒系统、前后相控阵雷达与双目视觉系统，集航测与飞防于一体。整机含电池52公斤，喷洒载重40公斤，播撒载重50公斤，最大轴距2200mm，支持16升/分钟喷洒、108公斤/分钟播撒，配备两组有源相控阵雷达和两组双目视觉，可精准描绘地形与障碍物细节。配有后相控阵雷达，实现 3</w:t>
            </w:r>
            <w:r>
              <w:rPr>
                <w:rFonts w:hint="eastAsia" w:ascii="宋体" w:hAnsi="宋体" w:cs="宋体"/>
                <w:color w:val="000000"/>
                <w:sz w:val="24"/>
                <w:szCs w:val="24"/>
              </w:rPr>
              <w:t xml:space="preserve">60 度全向避障与智能绕行。启用RTK定位时悬停精度水平±0.1m，垂直±0.1m 未启用RTK定位时悬停精度水平±0.6m，垂直±0.3m。搭配了一款7英寸屏幕的遥控器，支持智能航线规划，还可切换手动模式，搭载四天线O3图传，传输距离远至2公里，增强图传系统抗干扰能力。可选配中继模块，当遇到图传信号遮挡严重的作业场景，中继模块可保证图传时刻在线，飞行更安全。续航方面，搭载全能变频充电站，延续电喷技术，有效省油15%。智能飞行电池，搭配风冷散热器，9分钟极速快充。充电模块可独立拆卸，满足市电、燃油充电需求。</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巡田无人机</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裸机重量（带桨叶和RTK模块）：951克</w:t>
            </w:r>
            <w:r>
              <w:rPr>
                <w:rFonts w:hint="eastAsia" w:ascii="宋体" w:hAnsi="宋体" w:cs="宋体"/>
                <w:color w:val="000000"/>
                <w:sz w:val="24"/>
                <w:szCs w:val="24"/>
              </w:rPr>
              <w:br/>
            </w:r>
            <w:r>
              <w:rPr>
                <w:rFonts w:hint="eastAsia" w:ascii="宋体" w:hAnsi="宋体" w:cs="宋体"/>
                <w:color w:val="000000"/>
                <w:sz w:val="24"/>
                <w:szCs w:val="24"/>
              </w:rPr>
              <w:t xml:space="preserve">最大起飞重量：1050克</w:t>
            </w:r>
            <w:r>
              <w:rPr>
                <w:rFonts w:hint="eastAsia" w:ascii="宋体" w:hAnsi="宋体" w:cs="宋体"/>
                <w:color w:val="000000"/>
                <w:sz w:val="24"/>
                <w:szCs w:val="24"/>
              </w:rPr>
              <w:br/>
            </w:r>
            <w:r>
              <w:rPr>
                <w:rFonts w:hint="eastAsia" w:ascii="宋体" w:hAnsi="宋体" w:cs="宋体"/>
                <w:color w:val="000000"/>
                <w:sz w:val="24"/>
                <w:szCs w:val="24"/>
              </w:rPr>
              <w:t xml:space="preserve">尺寸</w:t>
            </w:r>
            <w:r>
              <w:rPr>
                <w:rFonts w:hint="eastAsia" w:ascii="宋体" w:hAnsi="宋体" w:cs="宋体"/>
                <w:color w:val="000000"/>
                <w:sz w:val="24"/>
                <w:szCs w:val="24"/>
              </w:rPr>
              <w:br/>
            </w:r>
            <w:r>
              <w:rPr>
                <w:rFonts w:hint="eastAsia" w:ascii="宋体" w:hAnsi="宋体" w:cs="宋体"/>
                <w:color w:val="000000"/>
                <w:sz w:val="24"/>
                <w:szCs w:val="24"/>
              </w:rPr>
              <w:t xml:space="preserve">折叠（不带桨）：长223毫米，宽96.3毫米，高122.2毫米</w:t>
            </w:r>
            <w:r>
              <w:rPr>
                <w:rFonts w:hint="eastAsia" w:ascii="宋体" w:hAnsi="宋体" w:cs="宋体"/>
                <w:color w:val="000000"/>
                <w:sz w:val="24"/>
                <w:szCs w:val="24"/>
              </w:rPr>
              <w:br/>
            </w:r>
            <w:r>
              <w:rPr>
                <w:rFonts w:hint="eastAsia" w:ascii="宋体" w:hAnsi="宋体" w:cs="宋体"/>
                <w:color w:val="000000"/>
                <w:sz w:val="24"/>
                <w:szCs w:val="24"/>
              </w:rPr>
              <w:t xml:space="preserve">展开（不带桨）：长347.5毫米，宽283毫米，高139.6毫米</w:t>
            </w:r>
            <w:r>
              <w:rPr>
                <w:rFonts w:hint="eastAsia" w:ascii="宋体" w:hAnsi="宋体" w:cs="宋体"/>
                <w:color w:val="000000"/>
                <w:sz w:val="24"/>
                <w:szCs w:val="24"/>
              </w:rPr>
              <w:br/>
            </w:r>
            <w:r>
              <w:rPr>
                <w:rFonts w:hint="eastAsia" w:ascii="宋体" w:hAnsi="宋体" w:cs="宋体"/>
                <w:color w:val="000000"/>
                <w:sz w:val="24"/>
                <w:szCs w:val="24"/>
              </w:rPr>
              <w:t xml:space="preserve">轴距对角线：380.1毫米</w:t>
            </w:r>
            <w:r>
              <w:rPr>
                <w:rFonts w:hint="eastAsia" w:ascii="宋体" w:hAnsi="宋体" w:cs="宋体"/>
                <w:color w:val="000000"/>
                <w:sz w:val="24"/>
                <w:szCs w:val="24"/>
              </w:rPr>
              <w:br/>
            </w:r>
            <w:r>
              <w:rPr>
                <w:rFonts w:hint="eastAsia" w:ascii="宋体" w:hAnsi="宋体" w:cs="宋体"/>
                <w:color w:val="000000"/>
                <w:sz w:val="24"/>
                <w:szCs w:val="24"/>
              </w:rPr>
              <w:t xml:space="preserve">最大上升速度：6米/秒（普通挡），8米/秒（运动挡）</w:t>
            </w:r>
            <w:r>
              <w:rPr>
                <w:rFonts w:hint="eastAsia" w:ascii="宋体" w:hAnsi="宋体" w:cs="宋体"/>
                <w:color w:val="000000"/>
                <w:sz w:val="24"/>
                <w:szCs w:val="24"/>
              </w:rPr>
              <w:br/>
            </w:r>
            <w:r>
              <w:rPr>
                <w:rFonts w:hint="eastAsia" w:ascii="宋体" w:hAnsi="宋体" w:cs="宋体"/>
                <w:color w:val="000000"/>
                <w:sz w:val="24"/>
                <w:szCs w:val="24"/>
              </w:rPr>
              <w:t xml:space="preserve">最大下降速度：6米/秒（普通挡），6米/秒（运动挡）</w:t>
            </w:r>
            <w:r>
              <w:rPr>
                <w:rFonts w:hint="eastAsia" w:ascii="宋体" w:hAnsi="宋体" w:cs="宋体"/>
                <w:color w:val="000000"/>
                <w:sz w:val="24"/>
                <w:szCs w:val="24"/>
              </w:rPr>
              <w:br/>
            </w:r>
            <w:r>
              <w:rPr>
                <w:rFonts w:hint="eastAsia" w:ascii="宋体" w:hAnsi="宋体" w:cs="宋体"/>
                <w:color w:val="000000"/>
                <w:sz w:val="24"/>
                <w:szCs w:val="24"/>
              </w:rPr>
              <w:t xml:space="preserve">最大水平飞行速度（海平面附近无风）：15米/秒（普通挡），前飞：21米/秒，侧飞：20米/秒，后飞：19米/秒（运动挡）</w:t>
            </w:r>
            <w:r>
              <w:rPr>
                <w:rFonts w:hint="eastAsia" w:ascii="宋体" w:hAnsi="宋体" w:cs="宋体"/>
                <w:color w:val="000000"/>
                <w:sz w:val="24"/>
                <w:szCs w:val="24"/>
              </w:rPr>
              <w:br/>
            </w:r>
            <w:r>
              <w:rPr>
                <w:rFonts w:hint="eastAsia" w:ascii="宋体" w:hAnsi="宋体" w:cs="宋体"/>
                <w:color w:val="000000"/>
                <w:sz w:val="24"/>
                <w:szCs w:val="24"/>
              </w:rPr>
              <w:t xml:space="preserve">最大抗风速度：12米/秒</w:t>
            </w:r>
            <w:r>
              <w:rPr>
                <w:rFonts w:hint="eastAsia" w:ascii="宋体" w:hAnsi="宋体" w:cs="宋体"/>
                <w:color w:val="000000"/>
                <w:sz w:val="24"/>
                <w:szCs w:val="24"/>
              </w:rPr>
              <w:br/>
            </w:r>
            <w:r>
              <w:rPr>
                <w:rFonts w:hint="eastAsia" w:ascii="宋体" w:hAnsi="宋体" w:cs="宋体"/>
                <w:color w:val="000000"/>
                <w:sz w:val="24"/>
                <w:szCs w:val="24"/>
              </w:rPr>
              <w:t xml:space="preserve">最大起飞海拔高度：6000米（空载飞行）</w:t>
            </w:r>
            <w:r>
              <w:rPr>
                <w:rFonts w:hint="eastAsia" w:ascii="宋体" w:hAnsi="宋体" w:cs="宋体"/>
                <w:color w:val="000000"/>
                <w:sz w:val="24"/>
                <w:szCs w:val="24"/>
              </w:rPr>
              <w:br/>
            </w:r>
            <w:r>
              <w:rPr>
                <w:rFonts w:hint="eastAsia" w:ascii="宋体" w:hAnsi="宋体" w:cs="宋体"/>
                <w:color w:val="000000"/>
                <w:sz w:val="24"/>
                <w:szCs w:val="24"/>
              </w:rPr>
              <w:t xml:space="preserve">最长飞行时间（无风环境）：43分钟</w:t>
            </w:r>
            <w:r>
              <w:rPr>
                <w:rFonts w:hint="eastAsia" w:ascii="宋体" w:hAnsi="宋体" w:cs="宋体"/>
                <w:color w:val="000000"/>
                <w:sz w:val="24"/>
                <w:szCs w:val="24"/>
              </w:rPr>
              <w:br/>
            </w:r>
            <w:r>
              <w:rPr>
                <w:rFonts w:hint="eastAsia" w:ascii="宋体" w:hAnsi="宋体" w:cs="宋体"/>
                <w:color w:val="000000"/>
                <w:sz w:val="24"/>
                <w:szCs w:val="24"/>
              </w:rPr>
              <w:t xml:space="preserve">最长悬停时间（无风环境）：37分钟</w:t>
            </w:r>
            <w:r>
              <w:rPr>
                <w:rFonts w:hint="eastAsia" w:ascii="宋体" w:hAnsi="宋体" w:cs="宋体"/>
                <w:color w:val="000000"/>
                <w:sz w:val="24"/>
                <w:szCs w:val="24"/>
              </w:rPr>
              <w:br/>
            </w:r>
            <w:r>
              <w:rPr>
                <w:rFonts w:hint="eastAsia" w:ascii="宋体" w:hAnsi="宋体" w:cs="宋体"/>
                <w:color w:val="000000"/>
                <w:sz w:val="24"/>
                <w:szCs w:val="24"/>
              </w:rPr>
              <w:t xml:space="preserve">最大续航里程：32公里</w:t>
            </w:r>
            <w:r>
              <w:rPr>
                <w:rFonts w:hint="eastAsia" w:ascii="宋体" w:hAnsi="宋体" w:cs="宋体"/>
                <w:color w:val="000000"/>
                <w:sz w:val="24"/>
                <w:szCs w:val="24"/>
              </w:rPr>
              <w:br/>
            </w:r>
            <w:r>
              <w:rPr>
                <w:rFonts w:hint="eastAsia" w:ascii="宋体" w:hAnsi="宋体" w:cs="宋体"/>
                <w:color w:val="000000"/>
                <w:sz w:val="24"/>
                <w:szCs w:val="24"/>
              </w:rPr>
              <w:t xml:space="preserve">最大可倾斜角度：30°（普通挡），35°（运动挡）</w:t>
            </w:r>
            <w:r>
              <w:rPr>
                <w:rFonts w:hint="eastAsia" w:ascii="宋体" w:hAnsi="宋体" w:cs="宋体"/>
                <w:color w:val="000000"/>
                <w:sz w:val="24"/>
                <w:szCs w:val="24"/>
              </w:rPr>
              <w:br/>
            </w:r>
            <w:r>
              <w:rPr>
                <w:rFonts w:hint="eastAsia" w:ascii="宋体" w:hAnsi="宋体" w:cs="宋体"/>
                <w:color w:val="000000"/>
                <w:sz w:val="24"/>
                <w:szCs w:val="24"/>
              </w:rPr>
              <w:t xml:space="preserve">最大旋转角速度：200°/s</w:t>
            </w:r>
            <w:r>
              <w:rPr>
                <w:rFonts w:hint="eastAsia" w:ascii="宋体" w:hAnsi="宋体" w:cs="宋体"/>
                <w:color w:val="000000"/>
                <w:sz w:val="24"/>
                <w:szCs w:val="24"/>
              </w:rPr>
              <w:br/>
            </w:r>
            <w:r>
              <w:rPr>
                <w:rFonts w:hint="eastAsia" w:ascii="宋体" w:hAnsi="宋体" w:cs="宋体"/>
                <w:color w:val="000000"/>
                <w:sz w:val="24"/>
                <w:szCs w:val="24"/>
              </w:rPr>
              <w:t xml:space="preserve">GNSS：GPS+Galileo+BeiDou+GLONASS（仅在RTK模块开启时支持GLONASS）</w:t>
            </w:r>
            <w:r>
              <w:rPr>
                <w:rFonts w:hint="eastAsia" w:ascii="宋体" w:hAnsi="宋体" w:cs="宋体"/>
                <w:color w:val="000000"/>
                <w:sz w:val="24"/>
                <w:szCs w:val="24"/>
              </w:rPr>
              <w:br/>
            </w:r>
            <w:r>
              <w:rPr>
                <w:rFonts w:hint="eastAsia" w:ascii="宋体" w:hAnsi="宋体" w:cs="宋体"/>
                <w:color w:val="000000"/>
                <w:sz w:val="24"/>
                <w:szCs w:val="24"/>
              </w:rPr>
              <w:t xml:space="preserve">悬停精度（无风或微风环境）</w:t>
            </w:r>
            <w:r>
              <w:rPr>
                <w:rFonts w:hint="eastAsia" w:ascii="宋体" w:hAnsi="宋体" w:cs="宋体"/>
                <w:color w:val="000000"/>
                <w:sz w:val="24"/>
                <w:szCs w:val="24"/>
              </w:rPr>
              <w:br/>
            </w:r>
            <w:r>
              <w:rPr>
                <w:rFonts w:hint="eastAsia" w:ascii="宋体" w:hAnsi="宋体" w:cs="宋体"/>
                <w:color w:val="000000"/>
                <w:sz w:val="24"/>
                <w:szCs w:val="24"/>
              </w:rPr>
              <w:t xml:space="preserve">垂直：±0.1米（视觉定位正常工作时）；±0.5米（GNSS正常工作时）；±0.1米（RTK正常工作时）</w:t>
            </w:r>
            <w:r>
              <w:rPr>
                <w:rFonts w:hint="eastAsia" w:ascii="宋体" w:hAnsi="宋体" w:cs="宋体"/>
                <w:color w:val="000000"/>
                <w:sz w:val="24"/>
                <w:szCs w:val="24"/>
              </w:rPr>
              <w:br/>
            </w:r>
            <w:r>
              <w:rPr>
                <w:rFonts w:hint="eastAsia" w:ascii="宋体" w:hAnsi="宋体" w:cs="宋体"/>
                <w:color w:val="000000"/>
                <w:sz w:val="24"/>
                <w:szCs w:val="24"/>
              </w:rPr>
              <w:t xml:space="preserve">水平：±0.3米（视觉定位正常工作时）；±0.5米（高精度定位系统正常工作时）；±0.1米（RTK正常工作时）</w:t>
            </w:r>
            <w:r>
              <w:rPr>
                <w:rFonts w:hint="eastAsia" w:ascii="宋体" w:hAnsi="宋体" w:cs="宋体"/>
                <w:color w:val="000000"/>
                <w:sz w:val="24"/>
                <w:szCs w:val="24"/>
              </w:rPr>
              <w:br/>
            </w:r>
            <w:r>
              <w:rPr>
                <w:rFonts w:hint="eastAsia" w:ascii="宋体" w:hAnsi="宋体" w:cs="宋体"/>
                <w:color w:val="000000"/>
                <w:sz w:val="24"/>
                <w:szCs w:val="24"/>
              </w:rPr>
              <w:t xml:space="preserve">工作环境温度：-10°C至40°C</w:t>
            </w:r>
            <w:r>
              <w:rPr>
                <w:rFonts w:hint="eastAsia" w:ascii="宋体" w:hAnsi="宋体" w:cs="宋体"/>
                <w:color w:val="000000"/>
                <w:sz w:val="24"/>
                <w:szCs w:val="24"/>
              </w:rPr>
              <w:br/>
            </w:r>
            <w:r>
              <w:rPr>
                <w:rFonts w:hint="eastAsia" w:ascii="宋体" w:hAnsi="宋体" w:cs="宋体"/>
                <w:color w:val="000000"/>
                <w:sz w:val="24"/>
                <w:szCs w:val="24"/>
              </w:rPr>
              <w:t xml:space="preserve">机载内存：无</w:t>
            </w:r>
            <w:r>
              <w:rPr>
                <w:rFonts w:hint="eastAsia" w:ascii="宋体" w:hAnsi="宋体" w:cs="宋体"/>
                <w:color w:val="000000"/>
                <w:sz w:val="24"/>
                <w:szCs w:val="24"/>
              </w:rPr>
              <w:br/>
            </w:r>
            <w:r>
              <w:rPr>
                <w:rFonts w:hint="eastAsia" w:ascii="宋体" w:hAnsi="宋体" w:cs="宋体"/>
                <w:color w:val="000000"/>
                <w:sz w:val="24"/>
                <w:szCs w:val="24"/>
              </w:rPr>
              <w:t xml:space="preserve">电机型号：2008</w:t>
            </w:r>
            <w:r>
              <w:rPr>
                <w:rFonts w:hint="eastAsia" w:ascii="宋体" w:hAnsi="宋体" w:cs="宋体"/>
                <w:color w:val="000000"/>
                <w:sz w:val="24"/>
                <w:szCs w:val="24"/>
              </w:rPr>
              <w:br/>
            </w:r>
            <w:r>
              <w:rPr>
                <w:rFonts w:hint="eastAsia" w:ascii="宋体" w:hAnsi="宋体" w:cs="宋体"/>
                <w:color w:val="000000"/>
                <w:sz w:val="24"/>
                <w:szCs w:val="24"/>
              </w:rPr>
              <w:t xml:space="preserve">螺旋桨型号：9453F行业版</w:t>
            </w:r>
            <w:r>
              <w:rPr>
                <w:rFonts w:hint="eastAsia" w:ascii="宋体" w:hAnsi="宋体" w:cs="宋体"/>
                <w:color w:val="000000"/>
                <w:sz w:val="24"/>
                <w:szCs w:val="24"/>
              </w:rPr>
              <w:br/>
            </w:r>
            <w:r>
              <w:rPr>
                <w:rFonts w:hint="eastAsia" w:ascii="宋体" w:hAnsi="宋体" w:cs="宋体"/>
                <w:color w:val="000000"/>
                <w:sz w:val="24"/>
                <w:szCs w:val="24"/>
              </w:rPr>
              <w:t xml:space="preserve">光强传感器：无人机内置</w:t>
            </w:r>
            <w:r>
              <w:rPr>
                <w:rFonts w:hint="eastAsia" w:ascii="宋体" w:hAnsi="宋体" w:cs="宋体"/>
                <w:color w:val="000000"/>
                <w:sz w:val="24"/>
                <w:szCs w:val="24"/>
              </w:rPr>
              <w:br/>
            </w:r>
            <w:r>
              <w:rPr>
                <w:rFonts w:hint="eastAsia" w:ascii="宋体" w:hAnsi="宋体" w:cs="宋体"/>
                <w:color w:val="000000"/>
                <w:sz w:val="24"/>
                <w:szCs w:val="24"/>
              </w:rPr>
              <w:t xml:space="preserve">可见光相机</w:t>
            </w:r>
            <w:r>
              <w:rPr>
                <w:rFonts w:hint="eastAsia" w:ascii="宋体" w:hAnsi="宋体" w:cs="宋体"/>
                <w:color w:val="000000"/>
                <w:sz w:val="24"/>
                <w:szCs w:val="24"/>
              </w:rPr>
              <w:br/>
            </w:r>
            <w:r>
              <w:rPr>
                <w:rFonts w:hint="eastAsia" w:ascii="宋体" w:hAnsi="宋体" w:cs="宋体"/>
                <w:color w:val="000000"/>
                <w:sz w:val="24"/>
                <w:szCs w:val="24"/>
              </w:rPr>
              <w:t xml:space="preserve">影像传感器：4/3CMOS，有效像素2000万</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无人收割机</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一、履带式收获机技术参数</w:t>
            </w:r>
            <w:r>
              <w:rPr>
                <w:rFonts w:hint="eastAsia" w:ascii="宋体" w:hAnsi="宋体" w:cs="宋体"/>
                <w:color w:val="000000"/>
                <w:sz w:val="24"/>
                <w:szCs w:val="24"/>
              </w:rPr>
              <w:br/>
            </w:r>
            <w:r>
              <w:rPr>
                <w:rFonts w:hint="eastAsia" w:ascii="宋体" w:hAnsi="宋体" w:cs="宋体"/>
                <w:color w:val="000000"/>
                <w:sz w:val="24"/>
                <w:szCs w:val="24"/>
              </w:rPr>
              <w:t xml:space="preserve">▲（1）发动机功率/马力：≥130马力；</w:t>
            </w:r>
            <w:r>
              <w:rPr>
                <w:rFonts w:hint="eastAsia" w:ascii="宋体" w:hAnsi="宋体" w:cs="宋体"/>
                <w:color w:val="000000"/>
                <w:sz w:val="24"/>
                <w:szCs w:val="24"/>
              </w:rPr>
              <w:br/>
            </w:r>
            <w:r>
              <w:rPr>
                <w:rFonts w:hint="eastAsia" w:ascii="宋体" w:hAnsi="宋体" w:cs="宋体"/>
                <w:color w:val="000000"/>
                <w:sz w:val="24"/>
                <w:szCs w:val="24"/>
              </w:rPr>
              <w:t xml:space="preserve">（2）发动机形式：立式、直列、水冷、四冲程；</w:t>
            </w:r>
            <w:r>
              <w:rPr>
                <w:rFonts w:hint="eastAsia" w:ascii="宋体" w:hAnsi="宋体" w:cs="宋体"/>
                <w:color w:val="000000"/>
                <w:sz w:val="24"/>
                <w:szCs w:val="24"/>
              </w:rPr>
              <w:br/>
            </w:r>
            <w:r>
              <w:rPr>
                <w:rFonts w:hint="eastAsia" w:ascii="宋体" w:hAnsi="宋体" w:cs="宋体"/>
                <w:color w:val="000000"/>
                <w:sz w:val="24"/>
                <w:szCs w:val="24"/>
              </w:rPr>
              <w:t xml:space="preserve">▲（3）最小离地间隙（mm）：≥300；</w:t>
            </w:r>
            <w:r>
              <w:rPr>
                <w:rFonts w:hint="eastAsia" w:ascii="宋体" w:hAnsi="宋体" w:cs="宋体"/>
                <w:color w:val="000000"/>
                <w:sz w:val="24"/>
                <w:szCs w:val="24"/>
              </w:rPr>
              <w:br/>
            </w:r>
            <w:r>
              <w:rPr>
                <w:rFonts w:hint="eastAsia" w:ascii="宋体" w:hAnsi="宋体" w:cs="宋体"/>
                <w:color w:val="000000"/>
                <w:sz w:val="24"/>
                <w:szCs w:val="24"/>
              </w:rPr>
              <w:t xml:space="preserve">（4）割幅（m）：≥2.2；</w:t>
            </w:r>
            <w:r>
              <w:rPr>
                <w:rFonts w:hint="eastAsia" w:ascii="宋体" w:hAnsi="宋体" w:cs="宋体"/>
                <w:color w:val="000000"/>
                <w:sz w:val="24"/>
                <w:szCs w:val="24"/>
              </w:rPr>
              <w:br/>
            </w:r>
            <w:r>
              <w:rPr>
                <w:rFonts w:hint="eastAsia" w:ascii="宋体" w:hAnsi="宋体" w:cs="宋体"/>
                <w:color w:val="000000"/>
                <w:sz w:val="24"/>
                <w:szCs w:val="24"/>
              </w:rPr>
              <w:t xml:space="preserve">▲（5）喂入量（kg/s）：≥8.0；</w:t>
            </w:r>
            <w:r>
              <w:rPr>
                <w:rFonts w:hint="eastAsia" w:ascii="宋体" w:hAnsi="宋体" w:cs="宋体"/>
                <w:color w:val="000000"/>
                <w:sz w:val="24"/>
                <w:szCs w:val="24"/>
              </w:rPr>
              <w:br/>
            </w:r>
            <w:r>
              <w:rPr>
                <w:rFonts w:hint="eastAsia" w:ascii="宋体" w:hAnsi="宋体" w:cs="宋体"/>
                <w:color w:val="000000"/>
                <w:sz w:val="24"/>
                <w:szCs w:val="24"/>
              </w:rPr>
              <w:t xml:space="preserve">（6）割台升降方式：液压；</w:t>
            </w:r>
            <w:r>
              <w:rPr>
                <w:rFonts w:hint="eastAsia" w:ascii="宋体" w:hAnsi="宋体" w:cs="宋体"/>
                <w:color w:val="000000"/>
                <w:sz w:val="24"/>
                <w:szCs w:val="24"/>
              </w:rPr>
              <w:br/>
            </w:r>
            <w:r>
              <w:rPr>
                <w:rFonts w:hint="eastAsia" w:ascii="宋体" w:hAnsi="宋体" w:cs="宋体"/>
                <w:color w:val="000000"/>
                <w:sz w:val="24"/>
                <w:szCs w:val="24"/>
              </w:rPr>
              <w:t xml:space="preserve">（7）脱粒方式：纵向轴流滚筒式；</w:t>
            </w:r>
            <w:r>
              <w:rPr>
                <w:rFonts w:hint="eastAsia" w:ascii="宋体" w:hAnsi="宋体" w:cs="宋体"/>
                <w:color w:val="000000"/>
                <w:sz w:val="24"/>
                <w:szCs w:val="24"/>
              </w:rPr>
              <w:br/>
            </w:r>
            <w:r>
              <w:rPr>
                <w:rFonts w:hint="eastAsia" w:ascii="宋体" w:hAnsi="宋体" w:cs="宋体"/>
                <w:color w:val="000000"/>
                <w:sz w:val="24"/>
                <w:szCs w:val="24"/>
              </w:rPr>
              <w:t xml:space="preserve">（8）操纵部分：液压无极变速（HST）；</w:t>
            </w:r>
            <w:r>
              <w:rPr>
                <w:rFonts w:hint="eastAsia" w:ascii="宋体" w:hAnsi="宋体" w:cs="宋体"/>
                <w:color w:val="000000"/>
                <w:sz w:val="24"/>
                <w:szCs w:val="24"/>
              </w:rPr>
              <w:br/>
            </w:r>
            <w:r>
              <w:rPr>
                <w:rFonts w:hint="eastAsia" w:ascii="宋体" w:hAnsi="宋体" w:cs="宋体"/>
                <w:color w:val="000000"/>
                <w:sz w:val="24"/>
                <w:szCs w:val="24"/>
              </w:rPr>
              <w:t xml:space="preserve">（9）清选部分：振动筛+离心风扇；</w:t>
            </w:r>
            <w:r>
              <w:rPr>
                <w:rFonts w:hint="eastAsia" w:ascii="宋体" w:hAnsi="宋体" w:cs="宋体"/>
                <w:color w:val="000000"/>
                <w:sz w:val="24"/>
                <w:szCs w:val="24"/>
              </w:rPr>
              <w:br/>
            </w:r>
            <w:r>
              <w:rPr>
                <w:rFonts w:hint="eastAsia" w:ascii="宋体" w:hAnsi="宋体" w:cs="宋体"/>
                <w:color w:val="000000"/>
                <w:sz w:val="24"/>
                <w:szCs w:val="24"/>
              </w:rPr>
              <w:t xml:space="preserve">（10）卸粮方式：360度加长旋转卸粮（一键归位）；</w:t>
            </w:r>
            <w:r>
              <w:rPr>
                <w:rFonts w:hint="eastAsia" w:ascii="宋体" w:hAnsi="宋体" w:cs="宋体"/>
                <w:color w:val="000000"/>
                <w:sz w:val="24"/>
                <w:szCs w:val="24"/>
              </w:rPr>
              <w:br/>
            </w:r>
            <w:r>
              <w:rPr>
                <w:rFonts w:hint="eastAsia" w:ascii="宋体" w:hAnsi="宋体" w:cs="宋体"/>
                <w:color w:val="000000"/>
                <w:sz w:val="24"/>
                <w:szCs w:val="24"/>
              </w:rPr>
              <w:t xml:space="preserve">（11）360度作业实时监控。</w:t>
            </w:r>
            <w:r>
              <w:rPr>
                <w:rFonts w:hint="eastAsia" w:ascii="宋体" w:hAnsi="宋体" w:cs="宋体"/>
                <w:color w:val="000000"/>
                <w:sz w:val="24"/>
                <w:szCs w:val="24"/>
              </w:rPr>
              <w:br/>
            </w:r>
            <w:r>
              <w:rPr>
                <w:rFonts w:hint="eastAsia" w:ascii="宋体" w:hAnsi="宋体" w:cs="宋体"/>
                <w:color w:val="000000"/>
                <w:sz w:val="24"/>
                <w:szCs w:val="24"/>
              </w:rPr>
              <w:t xml:space="preserve">二、无人驾驶系统技术功能</w:t>
            </w:r>
            <w:r>
              <w:rPr>
                <w:rFonts w:hint="eastAsia" w:ascii="宋体" w:hAnsi="宋体" w:cs="宋体"/>
                <w:color w:val="000000"/>
                <w:sz w:val="24"/>
                <w:szCs w:val="24"/>
              </w:rPr>
              <w:br/>
            </w:r>
            <w:r>
              <w:rPr>
                <w:rFonts w:hint="eastAsia" w:ascii="宋体" w:hAnsi="宋体" w:cs="宋体"/>
                <w:color w:val="000000"/>
                <w:sz w:val="24"/>
                <w:szCs w:val="24"/>
              </w:rPr>
              <w:t xml:space="preserve">通过对具有较高电控化水平的收获机加装北斗导航套件、安全套件和作业部件控制套件实现无人驾驶收割机割台高度控制、割台离合控制、脱谷离合控制、粮桶控制、卸粮离合控制、农机智能控制，从而实现收割机的无人驾驶作业。</w:t>
            </w:r>
            <w:r>
              <w:rPr>
                <w:rFonts w:hint="eastAsia" w:ascii="宋体" w:hAnsi="宋体" w:cs="宋体"/>
                <w:color w:val="000000"/>
                <w:sz w:val="24"/>
                <w:szCs w:val="24"/>
              </w:rPr>
              <w:br/>
            </w:r>
            <w:r>
              <w:rPr>
                <w:rFonts w:hint="eastAsia" w:ascii="宋体" w:hAnsi="宋体" w:cs="宋体"/>
                <w:color w:val="000000"/>
                <w:sz w:val="24"/>
                <w:szCs w:val="24"/>
              </w:rPr>
              <w:t xml:space="preserve">实现功能：</w:t>
            </w:r>
            <w:r>
              <w:rPr>
                <w:rFonts w:hint="eastAsia" w:ascii="宋体" w:hAnsi="宋体" w:cs="宋体"/>
                <w:color w:val="000000"/>
                <w:sz w:val="24"/>
                <w:szCs w:val="24"/>
              </w:rPr>
              <w:br/>
            </w:r>
            <w:r>
              <w:rPr>
                <w:rFonts w:hint="eastAsia" w:ascii="宋体" w:hAnsi="宋体" w:cs="宋体"/>
                <w:color w:val="000000"/>
                <w:sz w:val="24"/>
                <w:szCs w:val="24"/>
              </w:rPr>
              <w:t xml:space="preserve">（1）实现直线精度满足±2.5cm，衔接行间距精度满足±5cm；</w:t>
            </w:r>
            <w:r>
              <w:rPr>
                <w:rFonts w:hint="eastAsia" w:ascii="宋体" w:hAnsi="宋体" w:cs="宋体"/>
                <w:color w:val="000000"/>
                <w:sz w:val="24"/>
                <w:szCs w:val="24"/>
              </w:rPr>
              <w:br/>
            </w:r>
            <w:r>
              <w:rPr>
                <w:rFonts w:hint="eastAsia" w:ascii="宋体" w:hAnsi="宋体" w:cs="宋体"/>
                <w:color w:val="000000"/>
                <w:sz w:val="24"/>
                <w:szCs w:val="24"/>
              </w:rPr>
              <w:t xml:space="preserve">（2）实现收割机远程点火熄火、加速减速控制、自动掉头入堑；</w:t>
            </w:r>
            <w:r>
              <w:rPr>
                <w:rFonts w:hint="eastAsia" w:ascii="宋体" w:hAnsi="宋体" w:cs="宋体"/>
                <w:color w:val="000000"/>
                <w:sz w:val="24"/>
                <w:szCs w:val="24"/>
              </w:rPr>
              <w:br/>
            </w:r>
            <w:r>
              <w:rPr>
                <w:rFonts w:hint="eastAsia" w:ascii="宋体" w:hAnsi="宋体" w:cs="宋体"/>
                <w:color w:val="000000"/>
                <w:sz w:val="24"/>
                <w:szCs w:val="24"/>
              </w:rPr>
              <w:t xml:space="preserve">（3）实现收割机割台定高控制、割台离合控制、脱谷离合控制等；</w:t>
            </w:r>
            <w:r>
              <w:rPr>
                <w:rFonts w:hint="eastAsia" w:ascii="宋体" w:hAnsi="宋体" w:cs="宋体"/>
                <w:color w:val="000000"/>
                <w:sz w:val="24"/>
                <w:szCs w:val="24"/>
              </w:rPr>
              <w:br/>
            </w:r>
            <w:r>
              <w:rPr>
                <w:rFonts w:hint="eastAsia" w:ascii="宋体" w:hAnsi="宋体" w:cs="宋体"/>
                <w:color w:val="000000"/>
                <w:sz w:val="24"/>
                <w:szCs w:val="24"/>
              </w:rPr>
              <w:t xml:space="preserve">（4）同时支持遥控、无人、手动三种模式作业;</w:t>
            </w:r>
            <w:r>
              <w:rPr>
                <w:rFonts w:hint="eastAsia" w:ascii="宋体" w:hAnsi="宋体" w:cs="宋体"/>
                <w:color w:val="000000"/>
                <w:sz w:val="24"/>
                <w:szCs w:val="24"/>
              </w:rPr>
              <w:br/>
            </w:r>
            <w:r>
              <w:rPr>
                <w:rFonts w:hint="eastAsia" w:ascii="宋体" w:hAnsi="宋体" w:cs="宋体"/>
                <w:color w:val="000000"/>
                <w:sz w:val="24"/>
                <w:szCs w:val="24"/>
              </w:rPr>
              <w:t xml:space="preserve">（5）支持手动、自动一键切换，方便车辆的运输、转场等；</w:t>
            </w:r>
            <w:r>
              <w:rPr>
                <w:rFonts w:hint="eastAsia" w:ascii="宋体" w:hAnsi="宋体" w:cs="宋体"/>
                <w:color w:val="000000"/>
                <w:sz w:val="24"/>
                <w:szCs w:val="24"/>
              </w:rPr>
              <w:br/>
            </w:r>
            <w:r>
              <w:rPr>
                <w:rFonts w:hint="eastAsia" w:ascii="宋体" w:hAnsi="宋体" w:cs="宋体"/>
                <w:color w:val="000000"/>
                <w:sz w:val="24"/>
                <w:szCs w:val="24"/>
              </w:rPr>
              <w:t xml:space="preserve">（6）支持作业速度预设，可根据实际情况预设车辆的作业速度及调头转弯速度；</w:t>
            </w:r>
            <w:r>
              <w:rPr>
                <w:rFonts w:hint="eastAsia" w:ascii="宋体" w:hAnsi="宋体" w:cs="宋体"/>
                <w:color w:val="000000"/>
                <w:sz w:val="24"/>
                <w:szCs w:val="24"/>
              </w:rPr>
              <w:br/>
            </w:r>
            <w:r>
              <w:rPr>
                <w:rFonts w:hint="eastAsia" w:ascii="宋体" w:hAnsi="宋体" w:cs="宋体"/>
                <w:color w:val="000000"/>
                <w:sz w:val="24"/>
                <w:szCs w:val="24"/>
              </w:rPr>
              <w:t xml:space="preserve">（7）支持远程协助、远程调参，可随时通过APP或遥控终端查看车辆参数；</w:t>
            </w:r>
            <w:r>
              <w:rPr>
                <w:rFonts w:hint="eastAsia" w:ascii="宋体" w:hAnsi="宋体" w:cs="宋体"/>
                <w:color w:val="000000"/>
                <w:sz w:val="24"/>
                <w:szCs w:val="24"/>
              </w:rPr>
              <w:br/>
            </w:r>
            <w:r>
              <w:rPr>
                <w:rFonts w:hint="eastAsia" w:ascii="宋体" w:hAnsi="宋体" w:cs="宋体"/>
                <w:color w:val="000000"/>
                <w:sz w:val="24"/>
                <w:szCs w:val="24"/>
              </w:rPr>
              <w:t xml:space="preserve">（8）支持平台端在线进行设备信息查看方便实时了解作业情况；</w:t>
            </w:r>
            <w:r>
              <w:rPr>
                <w:rFonts w:hint="eastAsia" w:ascii="宋体" w:hAnsi="宋体" w:cs="宋体"/>
                <w:color w:val="000000"/>
                <w:sz w:val="24"/>
                <w:szCs w:val="24"/>
              </w:rPr>
              <w:br/>
            </w:r>
            <w:r>
              <w:rPr>
                <w:rFonts w:hint="eastAsia" w:ascii="宋体" w:hAnsi="宋体" w:cs="宋体"/>
                <w:color w:val="000000"/>
                <w:sz w:val="24"/>
                <w:szCs w:val="24"/>
              </w:rPr>
              <w:t xml:space="preserve">（9）支持查询实时作业轨迹、历史作业轨迹，实时作业面积以及历史作业面积；</w:t>
            </w:r>
            <w:r>
              <w:rPr>
                <w:rFonts w:hint="eastAsia" w:ascii="宋体" w:hAnsi="宋体" w:cs="宋体"/>
                <w:color w:val="000000"/>
                <w:sz w:val="24"/>
                <w:szCs w:val="24"/>
              </w:rPr>
              <w:br/>
            </w:r>
            <w:r>
              <w:rPr>
                <w:rFonts w:hint="eastAsia" w:ascii="宋体" w:hAnsi="宋体" w:cs="宋体"/>
                <w:color w:val="000000"/>
                <w:sz w:val="24"/>
                <w:szCs w:val="24"/>
              </w:rPr>
              <w:t xml:space="preserve">（10）支持远程调试车辆参数，实时反馈终端软件界面，便于排查问题；</w:t>
            </w:r>
            <w:r>
              <w:rPr>
                <w:rFonts w:hint="eastAsia" w:ascii="宋体" w:hAnsi="宋体" w:cs="宋体"/>
                <w:color w:val="000000"/>
                <w:sz w:val="24"/>
                <w:szCs w:val="24"/>
              </w:rPr>
              <w:br/>
            </w:r>
            <w:r>
              <w:rPr>
                <w:rFonts w:hint="eastAsia" w:ascii="宋体" w:hAnsi="宋体" w:cs="宋体"/>
                <w:color w:val="000000"/>
                <w:sz w:val="24"/>
                <w:szCs w:val="24"/>
              </w:rPr>
              <w:t xml:space="preserve">（11）粮满自动停车，发出告警信号，避控至指定地点进行卸粮,卸粮完成后遥控至告警地点附近,收割机自动寻找路径进行作业；</w:t>
            </w:r>
            <w:r>
              <w:rPr>
                <w:rFonts w:hint="eastAsia" w:ascii="宋体" w:hAnsi="宋体" w:cs="宋体"/>
                <w:color w:val="000000"/>
                <w:sz w:val="24"/>
                <w:szCs w:val="24"/>
              </w:rPr>
              <w:br/>
            </w:r>
            <w:r>
              <w:rPr>
                <w:rFonts w:hint="eastAsia" w:ascii="宋体" w:hAnsi="宋体" w:cs="宋体"/>
                <w:color w:val="000000"/>
                <w:sz w:val="24"/>
                <w:szCs w:val="24"/>
              </w:rPr>
              <w:t xml:space="preserve">（12）支持手机遥控app或遥控终端控制车辆行走、控制（割取、脱粒、卸粮）离合的结合与分离、割台升降、粮筒的移动；</w:t>
            </w:r>
            <w:r>
              <w:rPr>
                <w:rFonts w:hint="eastAsia" w:ascii="宋体" w:hAnsi="宋体" w:cs="宋体"/>
                <w:color w:val="000000"/>
                <w:sz w:val="24"/>
                <w:szCs w:val="24"/>
              </w:rPr>
              <w:br/>
            </w:r>
            <w:r>
              <w:rPr>
                <w:rFonts w:hint="eastAsia" w:ascii="宋体" w:hAnsi="宋体" w:cs="宋体"/>
                <w:color w:val="000000"/>
                <w:sz w:val="24"/>
                <w:szCs w:val="24"/>
              </w:rPr>
              <w:t xml:space="preserve">（13）无人驾驶控制器通讯接口；至少提供CAN，RS485，RS232通讯接口，以方便的连接车载ECU或者其他设备；电机控制；提供不低于5路独立双极性电机驱动，含有电流反馈故障检测保护功能;无线接口；支持≥2.4G射频传输；终端采用10英寸以上超大电容触摸屏，易于操作。</w:t>
            </w:r>
            <w:r>
              <w:rPr>
                <w:rFonts w:hint="eastAsia" w:ascii="宋体" w:hAnsi="宋体" w:cs="宋体"/>
                <w:color w:val="000000"/>
                <w:sz w:val="24"/>
                <w:szCs w:val="24"/>
              </w:rPr>
              <w:br/>
            </w:r>
            <w:r>
              <w:rPr>
                <w:rFonts w:hint="eastAsia" w:ascii="宋体" w:hAnsi="宋体" w:cs="宋体"/>
                <w:color w:val="000000"/>
                <w:sz w:val="24"/>
                <w:szCs w:val="24"/>
              </w:rPr>
              <w:t xml:space="preserve">投标人所投产品需提供农机鉴定或检测机构颁发的投标产品的“农机鉴定报告”或“检验报告”的彩色扫描件作为以上“▲”号项</w:t>
            </w:r>
            <w:r>
              <w:rPr>
                <w:rFonts w:hint="eastAsia" w:ascii="宋体" w:hAnsi="宋体" w:eastAsia="宋体" w:cs="宋体"/>
                <w:color w:val="000000"/>
                <w:sz w:val="24"/>
                <w:szCs w:val="24"/>
              </w:rPr>
              <w:t xml:space="preserve">证明</w:t>
            </w:r>
            <w:r>
              <w:rPr>
                <w:rFonts w:hint="eastAsia" w:ascii="宋体" w:hAnsi="宋体" w:cs="宋体"/>
                <w:color w:val="000000"/>
                <w:sz w:val="24"/>
                <w:szCs w:val="24"/>
              </w:rPr>
              <w:t xml:space="preserve">资料。</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智慧农场综合管理系统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中控展示一体机</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屏幕 （品质：A+原装屏）</w:t>
            </w:r>
            <w:r>
              <w:rPr>
                <w:rFonts w:hint="eastAsia" w:ascii="宋体" w:hAnsi="宋体" w:cs="宋体"/>
                <w:color w:val="000000"/>
                <w:sz w:val="24"/>
                <w:szCs w:val="24"/>
              </w:rPr>
              <w:br/>
            </w:r>
            <w:r>
              <w:rPr>
                <w:rFonts w:hint="eastAsia" w:ascii="宋体" w:hAnsi="宋体" w:cs="宋体"/>
                <w:color w:val="000000"/>
                <w:sz w:val="24"/>
                <w:szCs w:val="24"/>
              </w:rPr>
              <w:t xml:space="preserve">屏幕尺寸 98寸</w:t>
            </w:r>
            <w:r>
              <w:rPr>
                <w:rFonts w:hint="eastAsia" w:ascii="宋体" w:hAnsi="宋体" w:cs="宋体"/>
                <w:color w:val="000000"/>
                <w:sz w:val="24"/>
                <w:szCs w:val="24"/>
              </w:rPr>
              <w:br/>
            </w:r>
            <w:r>
              <w:rPr>
                <w:rFonts w:hint="eastAsia" w:ascii="宋体" w:hAnsi="宋体" w:cs="宋体"/>
                <w:color w:val="000000"/>
                <w:sz w:val="24"/>
                <w:szCs w:val="24"/>
              </w:rPr>
              <w:t xml:space="preserve">分辨率 3840*2160 Full HD</w:t>
            </w:r>
            <w:r>
              <w:rPr>
                <w:rFonts w:hint="eastAsia" w:ascii="宋体" w:hAnsi="宋体" w:cs="宋体"/>
                <w:color w:val="000000"/>
                <w:sz w:val="24"/>
                <w:szCs w:val="24"/>
              </w:rPr>
              <w:br/>
            </w:r>
            <w:r>
              <w:rPr>
                <w:rFonts w:hint="eastAsia" w:ascii="宋体" w:hAnsi="宋体" w:cs="宋体"/>
                <w:color w:val="000000"/>
                <w:sz w:val="24"/>
                <w:szCs w:val="24"/>
              </w:rPr>
              <w:t xml:space="preserve">显示比例 16:9</w:t>
            </w:r>
            <w:r>
              <w:rPr>
                <w:rFonts w:hint="eastAsia" w:ascii="宋体" w:hAnsi="宋体" w:cs="宋体"/>
                <w:color w:val="000000"/>
                <w:sz w:val="24"/>
                <w:szCs w:val="24"/>
              </w:rPr>
              <w:br/>
            </w:r>
            <w:r>
              <w:rPr>
                <w:rFonts w:hint="eastAsia" w:ascii="宋体" w:hAnsi="宋体" w:cs="宋体"/>
                <w:color w:val="000000"/>
                <w:sz w:val="24"/>
                <w:szCs w:val="24"/>
              </w:rPr>
              <w:t xml:space="preserve">亮度 450 cd/m2 (Typ.)</w:t>
            </w:r>
            <w:r>
              <w:rPr>
                <w:rFonts w:hint="eastAsia" w:ascii="宋体" w:hAnsi="宋体" w:cs="宋体"/>
                <w:color w:val="000000"/>
                <w:sz w:val="24"/>
                <w:szCs w:val="24"/>
              </w:rPr>
              <w:br/>
            </w:r>
            <w:r>
              <w:rPr>
                <w:rFonts w:hint="eastAsia" w:ascii="宋体" w:hAnsi="宋体" w:cs="宋体"/>
                <w:color w:val="000000"/>
                <w:sz w:val="24"/>
                <w:szCs w:val="24"/>
              </w:rPr>
              <w:t xml:space="preserve">可视角度 左右178°、上下178°</w:t>
            </w:r>
            <w:r>
              <w:rPr>
                <w:rFonts w:hint="eastAsia" w:ascii="宋体" w:hAnsi="宋体" w:cs="宋体"/>
                <w:color w:val="000000"/>
                <w:sz w:val="24"/>
                <w:szCs w:val="24"/>
              </w:rPr>
              <w:br/>
            </w:r>
            <w:r>
              <w:rPr>
                <w:rFonts w:hint="eastAsia" w:ascii="宋体" w:hAnsi="宋体" w:cs="宋体"/>
                <w:color w:val="000000"/>
                <w:sz w:val="24"/>
                <w:szCs w:val="24"/>
              </w:rPr>
              <w:t xml:space="preserve">对比度 7000:1</w:t>
            </w:r>
            <w:r>
              <w:rPr>
                <w:rFonts w:hint="eastAsia" w:ascii="宋体" w:hAnsi="宋体" w:cs="宋体"/>
                <w:color w:val="000000"/>
                <w:sz w:val="24"/>
                <w:szCs w:val="24"/>
              </w:rPr>
              <w:br/>
            </w:r>
            <w:r>
              <w:rPr>
                <w:rFonts w:hint="eastAsia" w:ascii="宋体" w:hAnsi="宋体" w:cs="宋体"/>
                <w:color w:val="000000"/>
                <w:sz w:val="24"/>
                <w:szCs w:val="24"/>
              </w:rPr>
              <w:t xml:space="preserve">显示区域 2160×1215mm</w:t>
            </w:r>
            <w:r>
              <w:rPr>
                <w:rFonts w:hint="eastAsia" w:ascii="宋体" w:hAnsi="宋体" w:cs="宋体"/>
                <w:color w:val="000000"/>
                <w:sz w:val="24"/>
                <w:szCs w:val="24"/>
              </w:rPr>
              <w:br/>
            </w:r>
            <w:r>
              <w:rPr>
                <w:rFonts w:hint="eastAsia" w:ascii="宋体" w:hAnsi="宋体" w:cs="宋体"/>
                <w:color w:val="000000"/>
                <w:sz w:val="24"/>
                <w:szCs w:val="24"/>
              </w:rPr>
              <w:t xml:space="preserve">整机尺寸 2218.4×1278mm</w:t>
            </w:r>
            <w:r>
              <w:rPr>
                <w:rFonts w:hint="eastAsia" w:ascii="宋体" w:hAnsi="宋体" w:cs="宋体"/>
                <w:color w:val="000000"/>
                <w:sz w:val="24"/>
                <w:szCs w:val="24"/>
              </w:rPr>
              <w:br/>
            </w:r>
            <w:r>
              <w:rPr>
                <w:rFonts w:hint="eastAsia" w:ascii="宋体" w:hAnsi="宋体" w:cs="宋体"/>
                <w:color w:val="000000"/>
                <w:sz w:val="24"/>
                <w:szCs w:val="24"/>
              </w:rPr>
              <w:t xml:space="preserve">响应时间 6ms</w:t>
            </w:r>
            <w:r>
              <w:rPr>
                <w:rFonts w:hint="eastAsia" w:ascii="宋体" w:hAnsi="宋体" w:cs="宋体"/>
                <w:color w:val="000000"/>
                <w:sz w:val="24"/>
                <w:szCs w:val="24"/>
              </w:rPr>
              <w:br/>
            </w:r>
            <w:r>
              <w:rPr>
                <w:rFonts w:hint="eastAsia" w:ascii="宋体" w:hAnsi="宋体" w:cs="宋体"/>
                <w:color w:val="000000"/>
                <w:sz w:val="24"/>
                <w:szCs w:val="24"/>
              </w:rPr>
              <w:t xml:space="preserve">使用寿命 6万小时</w:t>
            </w:r>
            <w:r>
              <w:rPr>
                <w:rFonts w:hint="eastAsia" w:ascii="宋体" w:hAnsi="宋体" w:cs="宋体"/>
                <w:color w:val="000000"/>
                <w:sz w:val="24"/>
                <w:szCs w:val="24"/>
              </w:rPr>
              <w:br/>
            </w:r>
            <w:r>
              <w:rPr>
                <w:rFonts w:hint="eastAsia" w:ascii="宋体" w:hAnsi="宋体" w:cs="宋体"/>
                <w:color w:val="000000"/>
                <w:sz w:val="24"/>
                <w:szCs w:val="24"/>
              </w:rPr>
              <w:t xml:space="preserve">表面材质 钢化玻璃</w:t>
            </w:r>
            <w:r>
              <w:rPr>
                <w:rFonts w:hint="eastAsia" w:ascii="宋体" w:hAnsi="宋体" w:cs="宋体"/>
                <w:color w:val="000000"/>
                <w:sz w:val="24"/>
                <w:szCs w:val="24"/>
              </w:rPr>
              <w:br/>
            </w:r>
            <w:r>
              <w:rPr>
                <w:rFonts w:hint="eastAsia" w:ascii="宋体" w:hAnsi="宋体" w:cs="宋体"/>
                <w:color w:val="000000"/>
                <w:sz w:val="24"/>
                <w:szCs w:val="24"/>
              </w:rPr>
              <w:t xml:space="preserve">安装方式 座式</w:t>
            </w:r>
            <w:r>
              <w:rPr>
                <w:rFonts w:hint="eastAsia" w:ascii="宋体" w:hAnsi="宋体" w:cs="宋体"/>
                <w:color w:val="000000"/>
                <w:sz w:val="24"/>
                <w:szCs w:val="24"/>
              </w:rPr>
              <w:br/>
            </w:r>
            <w:r>
              <w:rPr>
                <w:rFonts w:hint="eastAsia" w:ascii="宋体" w:hAnsi="宋体" w:cs="宋体"/>
                <w:color w:val="000000"/>
                <w:sz w:val="24"/>
                <w:szCs w:val="24"/>
              </w:rPr>
              <w:t xml:space="preserve">边框造型 铝型材包边</w:t>
            </w:r>
            <w:r>
              <w:rPr>
                <w:rFonts w:hint="eastAsia" w:ascii="宋体" w:hAnsi="宋体" w:cs="宋体"/>
                <w:color w:val="000000"/>
                <w:sz w:val="24"/>
                <w:szCs w:val="24"/>
              </w:rPr>
              <w:br/>
            </w:r>
            <w:r>
              <w:rPr>
                <w:rFonts w:hint="eastAsia" w:ascii="宋体" w:hAnsi="宋体" w:cs="宋体"/>
                <w:color w:val="000000"/>
                <w:sz w:val="24"/>
                <w:szCs w:val="24"/>
              </w:rPr>
              <w:t xml:space="preserve">机体颜色 银色、黑色</w:t>
            </w:r>
            <w:r>
              <w:rPr>
                <w:rFonts w:hint="eastAsia" w:ascii="宋体" w:hAnsi="宋体" w:cs="宋体"/>
                <w:color w:val="000000"/>
                <w:sz w:val="24"/>
                <w:szCs w:val="24"/>
              </w:rPr>
              <w:br/>
            </w:r>
            <w:r>
              <w:rPr>
                <w:rFonts w:hint="eastAsia" w:ascii="宋体" w:hAnsi="宋体" w:cs="宋体"/>
                <w:color w:val="000000"/>
                <w:sz w:val="24"/>
                <w:szCs w:val="24"/>
              </w:rPr>
              <w:t xml:space="preserve">漆料 喷粉或喷漆，五金烤漆工艺</w:t>
            </w:r>
            <w:r>
              <w:rPr>
                <w:rFonts w:hint="eastAsia" w:ascii="宋体" w:hAnsi="宋体" w:cs="宋体"/>
                <w:color w:val="000000"/>
                <w:sz w:val="24"/>
                <w:szCs w:val="24"/>
              </w:rPr>
              <w:br/>
            </w:r>
            <w:r>
              <w:rPr>
                <w:rFonts w:hint="eastAsia" w:ascii="宋体" w:hAnsi="宋体" w:cs="宋体"/>
                <w:color w:val="000000"/>
                <w:sz w:val="24"/>
                <w:szCs w:val="24"/>
              </w:rPr>
              <w:t xml:space="preserve">CPU I5 </w:t>
            </w:r>
            <w:r>
              <w:rPr>
                <w:rFonts w:hint="eastAsia" w:ascii="宋体" w:hAnsi="宋体" w:cs="宋体"/>
                <w:color w:val="000000"/>
                <w:sz w:val="24"/>
                <w:szCs w:val="24"/>
              </w:rPr>
              <w:br/>
            </w:r>
            <w:r>
              <w:rPr>
                <w:rFonts w:hint="eastAsia" w:ascii="宋体" w:hAnsi="宋体" w:cs="宋体"/>
                <w:color w:val="000000"/>
                <w:sz w:val="24"/>
                <w:szCs w:val="24"/>
              </w:rPr>
              <w:t xml:space="preserve">内存 4G</w:t>
            </w:r>
            <w:r>
              <w:rPr>
                <w:rFonts w:hint="eastAsia" w:ascii="宋体" w:hAnsi="宋体" w:cs="宋体"/>
                <w:color w:val="000000"/>
                <w:sz w:val="24"/>
                <w:szCs w:val="24"/>
              </w:rPr>
              <w:br/>
            </w:r>
            <w:r>
              <w:rPr>
                <w:rFonts w:hint="eastAsia" w:ascii="宋体" w:hAnsi="宋体" w:cs="宋体"/>
                <w:color w:val="000000"/>
                <w:sz w:val="24"/>
                <w:szCs w:val="24"/>
              </w:rPr>
              <w:t xml:space="preserve">硬盘 128G</w:t>
            </w:r>
            <w:r>
              <w:rPr>
                <w:rFonts w:hint="eastAsia" w:ascii="宋体" w:hAnsi="宋体" w:cs="宋体"/>
                <w:color w:val="000000"/>
                <w:sz w:val="24"/>
                <w:szCs w:val="24"/>
              </w:rPr>
              <w:br/>
            </w:r>
            <w:r>
              <w:rPr>
                <w:rFonts w:hint="eastAsia" w:ascii="宋体" w:hAnsi="宋体" w:cs="宋体"/>
                <w:color w:val="000000"/>
                <w:sz w:val="24"/>
                <w:szCs w:val="24"/>
              </w:rPr>
              <w:t xml:space="preserve">操作系统 WINDOWS 7</w:t>
            </w:r>
            <w:r>
              <w:rPr>
                <w:rFonts w:hint="eastAsia" w:ascii="宋体" w:hAnsi="宋体" w:cs="宋体"/>
                <w:color w:val="000000"/>
                <w:sz w:val="24"/>
                <w:szCs w:val="24"/>
              </w:rPr>
              <w:br/>
            </w:r>
            <w:r>
              <w:rPr>
                <w:rFonts w:hint="eastAsia" w:ascii="宋体" w:hAnsi="宋体" w:cs="宋体"/>
                <w:color w:val="000000"/>
                <w:sz w:val="24"/>
                <w:szCs w:val="24"/>
              </w:rPr>
              <w:t xml:space="preserve">显卡类型 集成显卡</w:t>
            </w:r>
            <w:r>
              <w:rPr>
                <w:rFonts w:hint="eastAsia" w:ascii="宋体" w:hAnsi="宋体" w:cs="宋体"/>
                <w:color w:val="000000"/>
                <w:sz w:val="24"/>
                <w:szCs w:val="24"/>
              </w:rPr>
              <w:br/>
            </w:r>
            <w:r>
              <w:rPr>
                <w:rFonts w:hint="eastAsia" w:ascii="宋体" w:hAnsi="宋体" w:cs="宋体"/>
                <w:color w:val="000000"/>
                <w:sz w:val="24"/>
                <w:szCs w:val="24"/>
              </w:rPr>
              <w:t xml:space="preserve">声卡 集成声卡</w:t>
            </w:r>
            <w:r>
              <w:rPr>
                <w:rFonts w:hint="eastAsia" w:ascii="宋体" w:hAnsi="宋体" w:cs="宋体"/>
                <w:color w:val="000000"/>
                <w:sz w:val="24"/>
                <w:szCs w:val="24"/>
              </w:rPr>
              <w:br/>
            </w:r>
            <w:r>
              <w:rPr>
                <w:rFonts w:hint="eastAsia" w:ascii="宋体" w:hAnsi="宋体" w:cs="宋体"/>
                <w:color w:val="000000"/>
                <w:sz w:val="24"/>
                <w:szCs w:val="24"/>
              </w:rPr>
              <w:t xml:space="preserve">网卡 集成100-1000Mbps以太自适应网卡</w:t>
            </w:r>
            <w:r>
              <w:rPr>
                <w:rFonts w:hint="eastAsia" w:ascii="宋体" w:hAnsi="宋体" w:cs="宋体"/>
                <w:color w:val="000000"/>
                <w:sz w:val="24"/>
                <w:szCs w:val="24"/>
              </w:rPr>
              <w:br/>
            </w:r>
            <w:r>
              <w:rPr>
                <w:rFonts w:hint="eastAsia" w:ascii="宋体" w:hAnsi="宋体" w:cs="宋体"/>
                <w:color w:val="000000"/>
                <w:sz w:val="24"/>
                <w:szCs w:val="24"/>
              </w:rPr>
              <w:t xml:space="preserve">接口 USB2.0*2，USB3.0*2，DC*1，音频输入*1，音频输出*1，</w:t>
            </w:r>
            <w:r>
              <w:rPr>
                <w:rFonts w:hint="eastAsia" w:ascii="宋体" w:hAnsi="宋体" w:cs="宋体"/>
                <w:color w:val="000000"/>
                <w:sz w:val="24"/>
                <w:szCs w:val="24"/>
              </w:rPr>
              <w:br/>
            </w:r>
            <w:r>
              <w:rPr>
                <w:rFonts w:hint="eastAsia" w:ascii="宋体" w:hAnsi="宋体" w:cs="宋体"/>
                <w:color w:val="000000"/>
                <w:sz w:val="24"/>
                <w:szCs w:val="24"/>
              </w:rPr>
              <w:t xml:space="preserve">视频输出 HDMI*1，VGA*1</w:t>
            </w:r>
            <w:r>
              <w:rPr>
                <w:rFonts w:hint="eastAsia" w:ascii="宋体" w:hAnsi="宋体" w:cs="宋体"/>
                <w:color w:val="000000"/>
                <w:sz w:val="24"/>
                <w:szCs w:val="24"/>
              </w:rPr>
              <w:br/>
            </w:r>
            <w:r>
              <w:rPr>
                <w:rFonts w:hint="eastAsia" w:ascii="宋体" w:hAnsi="宋体" w:cs="宋体"/>
                <w:color w:val="000000"/>
                <w:sz w:val="24"/>
                <w:szCs w:val="24"/>
              </w:rPr>
              <w:t xml:space="preserve">网络支持 以太网、WIFI</w:t>
            </w:r>
            <w:r>
              <w:rPr>
                <w:rFonts w:hint="eastAsia" w:ascii="宋体" w:hAnsi="宋体" w:cs="宋体"/>
                <w:color w:val="000000"/>
                <w:sz w:val="24"/>
                <w:szCs w:val="24"/>
              </w:rPr>
              <w:br/>
            </w:r>
            <w:r>
              <w:rPr>
                <w:rFonts w:hint="eastAsia" w:ascii="宋体" w:hAnsi="宋体" w:cs="宋体"/>
                <w:color w:val="000000"/>
                <w:sz w:val="24"/>
                <w:szCs w:val="24"/>
              </w:rPr>
              <w:t xml:space="preserve">适用环境 室内</w:t>
            </w:r>
            <w:r>
              <w:rPr>
                <w:rFonts w:hint="eastAsia" w:ascii="宋体" w:hAnsi="宋体" w:cs="宋体"/>
                <w:color w:val="000000"/>
                <w:sz w:val="24"/>
                <w:szCs w:val="24"/>
              </w:rPr>
              <w:br/>
            </w:r>
            <w:r>
              <w:rPr>
                <w:rFonts w:hint="eastAsia" w:ascii="宋体" w:hAnsi="宋体" w:cs="宋体"/>
                <w:color w:val="000000"/>
                <w:sz w:val="24"/>
                <w:szCs w:val="24"/>
              </w:rPr>
              <w:t xml:space="preserve">工作温度 0℃-40℃</w:t>
            </w:r>
            <w:r>
              <w:rPr>
                <w:rFonts w:hint="eastAsia" w:ascii="宋体" w:hAnsi="宋体" w:cs="宋体"/>
                <w:color w:val="000000"/>
                <w:sz w:val="24"/>
                <w:szCs w:val="24"/>
              </w:rPr>
              <w:br/>
            </w:r>
            <w:r>
              <w:rPr>
                <w:rFonts w:hint="eastAsia" w:ascii="宋体" w:hAnsi="宋体" w:cs="宋体"/>
                <w:color w:val="000000"/>
                <w:sz w:val="24"/>
                <w:szCs w:val="24"/>
              </w:rPr>
              <w:t xml:space="preserve">存储温度 -20℃～60℃</w:t>
            </w:r>
            <w:r>
              <w:rPr>
                <w:rFonts w:hint="eastAsia" w:ascii="宋体" w:hAnsi="宋体" w:cs="宋体"/>
                <w:color w:val="000000"/>
                <w:sz w:val="24"/>
                <w:szCs w:val="24"/>
              </w:rPr>
              <w:br/>
            </w:r>
            <w:r>
              <w:rPr>
                <w:rFonts w:hint="eastAsia" w:ascii="宋体" w:hAnsi="宋体" w:cs="宋体"/>
                <w:color w:val="000000"/>
                <w:sz w:val="24"/>
                <w:szCs w:val="24"/>
              </w:rPr>
              <w:t xml:space="preserve">触控点数 10点红外触摸</w:t>
            </w:r>
            <w:r>
              <w:rPr>
                <w:rFonts w:hint="eastAsia" w:ascii="宋体" w:hAnsi="宋体" w:cs="宋体"/>
                <w:color w:val="000000"/>
                <w:sz w:val="24"/>
                <w:szCs w:val="24"/>
              </w:rPr>
              <w:br/>
            </w:r>
            <w:r>
              <w:rPr>
                <w:rFonts w:hint="eastAsia" w:ascii="宋体" w:hAnsi="宋体" w:cs="宋体"/>
                <w:color w:val="000000"/>
                <w:sz w:val="24"/>
                <w:szCs w:val="24"/>
              </w:rPr>
              <w:t xml:space="preserve">灵敏度 小于两盎司的施力即可感应，小于3ms的快速回应</w:t>
            </w:r>
            <w:r>
              <w:rPr>
                <w:rFonts w:hint="eastAsia" w:ascii="宋体" w:hAnsi="宋体" w:cs="宋体"/>
                <w:color w:val="000000"/>
                <w:sz w:val="24"/>
                <w:szCs w:val="24"/>
              </w:rPr>
              <w:br/>
            </w:r>
            <w:r>
              <w:rPr>
                <w:rFonts w:hint="eastAsia" w:ascii="宋体" w:hAnsi="宋体" w:cs="宋体"/>
                <w:color w:val="000000"/>
                <w:sz w:val="24"/>
                <w:szCs w:val="24"/>
              </w:rPr>
              <w:t xml:space="preserve">触摸寿命 任何一点可承受大于5，000万次的触摸，一次校正后游标不飘移</w:t>
            </w:r>
            <w:r>
              <w:rPr>
                <w:rFonts w:hint="eastAsia" w:ascii="宋体" w:hAnsi="宋体" w:cs="宋体"/>
                <w:color w:val="000000"/>
                <w:sz w:val="24"/>
                <w:szCs w:val="24"/>
              </w:rPr>
              <w:br/>
            </w:r>
            <w:r>
              <w:rPr>
                <w:rFonts w:hint="eastAsia" w:ascii="宋体" w:hAnsi="宋体" w:cs="宋体"/>
                <w:color w:val="000000"/>
                <w:sz w:val="24"/>
                <w:szCs w:val="24"/>
              </w:rPr>
              <w:t xml:space="preserve">精确度 99%的准确度</w:t>
            </w:r>
            <w:r>
              <w:rPr>
                <w:rFonts w:hint="eastAsia" w:ascii="宋体" w:hAnsi="宋体" w:cs="宋体"/>
                <w:color w:val="000000"/>
                <w:sz w:val="24"/>
                <w:szCs w:val="24"/>
              </w:rPr>
              <w:br/>
            </w:r>
            <w:r>
              <w:rPr>
                <w:rFonts w:hint="eastAsia" w:ascii="宋体" w:hAnsi="宋体" w:cs="宋体"/>
                <w:color w:val="000000"/>
                <w:sz w:val="24"/>
                <w:szCs w:val="24"/>
              </w:rPr>
              <w:t xml:space="preserve">适用环境 室内</w:t>
            </w:r>
            <w:r>
              <w:rPr>
                <w:rFonts w:hint="eastAsia" w:ascii="宋体" w:hAnsi="宋体" w:cs="宋体"/>
                <w:color w:val="000000"/>
                <w:sz w:val="24"/>
                <w:szCs w:val="24"/>
              </w:rPr>
              <w:br/>
            </w:r>
            <w:r>
              <w:rPr>
                <w:rFonts w:hint="eastAsia" w:ascii="宋体" w:hAnsi="宋体" w:cs="宋体"/>
                <w:color w:val="000000"/>
                <w:sz w:val="24"/>
                <w:szCs w:val="24"/>
              </w:rPr>
              <w:t xml:space="preserve">工作温度 0℃-40℃</w:t>
            </w:r>
            <w:r>
              <w:rPr>
                <w:rFonts w:hint="eastAsia" w:ascii="宋体" w:hAnsi="宋体" w:cs="宋体"/>
                <w:color w:val="000000"/>
                <w:sz w:val="24"/>
                <w:szCs w:val="24"/>
              </w:rPr>
              <w:br/>
            </w:r>
            <w:r>
              <w:rPr>
                <w:rFonts w:hint="eastAsia" w:ascii="宋体" w:hAnsi="宋体" w:cs="宋体"/>
                <w:color w:val="000000"/>
                <w:sz w:val="24"/>
                <w:szCs w:val="24"/>
              </w:rPr>
              <w:t xml:space="preserve">存储温度 -20℃～60℃</w:t>
            </w:r>
            <w:r>
              <w:rPr>
                <w:rFonts w:hint="eastAsia" w:ascii="宋体" w:hAnsi="宋体" w:cs="宋体"/>
                <w:color w:val="000000"/>
                <w:sz w:val="24"/>
                <w:szCs w:val="24"/>
              </w:rPr>
              <w:br/>
            </w:r>
            <w:r>
              <w:rPr>
                <w:rFonts w:hint="eastAsia" w:ascii="宋体" w:hAnsi="宋体" w:cs="宋体"/>
                <w:color w:val="000000"/>
                <w:sz w:val="24"/>
                <w:szCs w:val="24"/>
              </w:rPr>
              <w:t xml:space="preserve">工作电源 AC（100－240）V/50－60HZ</w:t>
            </w:r>
            <w:r>
              <w:rPr>
                <w:rFonts w:hint="eastAsia" w:ascii="宋体" w:hAnsi="宋体" w:cs="宋体"/>
                <w:color w:val="000000"/>
                <w:sz w:val="24"/>
                <w:szCs w:val="24"/>
              </w:rPr>
              <w:br/>
            </w:r>
            <w:r>
              <w:rPr>
                <w:rFonts w:hint="eastAsia" w:ascii="宋体" w:hAnsi="宋体" w:cs="宋体"/>
                <w:color w:val="000000"/>
                <w:sz w:val="24"/>
                <w:szCs w:val="24"/>
              </w:rPr>
              <w:t xml:space="preserve">最大功率 ＜100W</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二</w:t>
            </w:r>
            <w:r/>
          </w:p>
        </w:tc>
        <w:tc>
          <w:tcPr>
            <w:gridSpan w:val="5"/>
            <w:shd w:val="clear" w:color="auto" w:fill="auto"/>
            <w:tcBorders>
              <w:top w:val="single" w:color="auto" w:sz="4" w:space="0"/>
              <w:left w:val="none" w:color="000000" w:sz="4" w:space="0"/>
              <w:bottom w:val="single" w:color="auto" w:sz="4" w:space="0"/>
              <w:right w:val="single" w:color="auto" w:sz="4" w:space="0"/>
            </w:tcBorders>
            <w:tcW w:w="46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软件部分</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智能仓储系统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仓储档案管理</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基于刘集现有粮仓、农机车间，结合环境监测设备、视频监控设备，构建仓储档案，实现仓储设备、资源分析、调度、管理，具体包括仓储档案管理、仓储预警分析、仓储设备管理、仓储资源分析、仓储资源调度、农机车间管理等内容。</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智能灌溉系统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泵站智能管理</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农事管理人员和作业人员可根据数字处方或自己的需求设置作物在不同时期的水位上下限及是否自动供排水，当水位低于或超出警戒线会自动告警，由农事管理人员和作业人员控制系统通过开关阀门进行自动供排水。</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7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智能装备系统</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智慧农机管理</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通过安装的农机作业监管终端，对无人农机作业过程中农机位置、作业质量、作业状态、视频图像等信息进行实时监控，并能对无人作业农机进行远程作业控制，实现农场内无人作业农机的远程可视化管控和精准化调度管理。</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57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智慧农场综合管理系统 </w:t>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数据综合管理底座</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按照“苏农云”数据标准，形成基础数据无条件共享、主题数据按需共享的数据汇聚机制，建设数据库，实现与苏农云、沭阳县农业农村大数据平台数据共享。</w:t>
            </w:r>
            <w:r>
              <w:rPr>
                <w:rFonts w:hint="eastAsia" w:ascii="宋体" w:hAnsi="宋体" w:cs="宋体"/>
                <w:color w:val="000000"/>
                <w:sz w:val="24"/>
                <w:szCs w:val="24"/>
              </w:rPr>
              <w:br/>
            </w:r>
            <w:r>
              <w:rPr>
                <w:rFonts w:hint="eastAsia" w:ascii="宋体" w:hAnsi="宋体" w:cs="宋体"/>
                <w:color w:val="000000"/>
                <w:sz w:val="24"/>
                <w:szCs w:val="24"/>
              </w:rPr>
              <w:t xml:space="preserve">数据建库：通过融合刘集智慧农场已有数据及农业生产的物联网、卫星遥感、气象、人工填报、人工地面采集等数据资源，在“苏农云”的数据标准与框架下构建数据综合管理底座，建设基础资源库、专题资源库。</w:t>
            </w:r>
            <w:r>
              <w:rPr>
                <w:rFonts w:hint="eastAsia" w:ascii="宋体" w:hAnsi="宋体" w:cs="宋体"/>
                <w:color w:val="000000"/>
                <w:sz w:val="24"/>
                <w:szCs w:val="24"/>
              </w:rPr>
              <w:br/>
            </w:r>
            <w:r>
              <w:rPr>
                <w:rFonts w:hint="eastAsia" w:ascii="宋体" w:hAnsi="宋体" w:cs="宋体"/>
                <w:color w:val="000000"/>
                <w:sz w:val="24"/>
                <w:szCs w:val="24"/>
              </w:rPr>
              <w:t xml:space="preserve">数据对接：实现与“苏农云”智慧大脑地方频道、沭阳县农业农村大数据平台的对接。</w:t>
            </w:r>
            <w:r>
              <w:rPr>
                <w:rFonts w:hint="eastAsia" w:ascii="宋体" w:hAnsi="宋体" w:cs="宋体"/>
                <w:color w:val="000000"/>
                <w:sz w:val="24"/>
                <w:szCs w:val="24"/>
              </w:rPr>
              <w:br/>
            </w:r>
            <w:r>
              <w:rPr>
                <w:rFonts w:hint="eastAsia" w:ascii="宋体" w:hAnsi="宋体" w:cs="宋体"/>
                <w:color w:val="000000"/>
                <w:sz w:val="24"/>
                <w:szCs w:val="24"/>
              </w:rPr>
              <w:t xml:space="preserve">其中多元决策驾驶舱需按照“苏农云”智慧大脑地方频道的建设要求，将多元决策驾驶舱与“苏农云”智慧大脑地方频道进行对接，提供设计方案及类似功能截图。</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全域资源综合管理</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包括农田资源盘点、物联设备管理、质量安全管理等。</w:t>
            </w:r>
            <w:r>
              <w:rPr>
                <w:rFonts w:hint="eastAsia" w:ascii="宋体" w:hAnsi="宋体" w:cs="宋体"/>
                <w:color w:val="000000"/>
                <w:sz w:val="24"/>
                <w:szCs w:val="24"/>
              </w:rPr>
              <w:br/>
            </w:r>
            <w:r>
              <w:rPr>
                <w:rFonts w:hint="eastAsia" w:ascii="宋体" w:hAnsi="宋体" w:cs="宋体"/>
                <w:color w:val="000000"/>
                <w:sz w:val="24"/>
                <w:szCs w:val="24"/>
              </w:rPr>
              <w:t xml:space="preserve">1、农田资源盘点：借助卫星遥感，对农场种植基地开展基础地块数据搜集，识别农场种植基地地块的边界，并对基地地块面积进行测算和精准划分，协助管理者掌握“地在哪？谁在种？种什么？面积多大”等信息。</w:t>
            </w:r>
            <w:r>
              <w:rPr>
                <w:rFonts w:hint="eastAsia" w:ascii="宋体" w:hAnsi="宋体" w:cs="宋体"/>
                <w:color w:val="000000"/>
                <w:sz w:val="24"/>
                <w:szCs w:val="24"/>
              </w:rPr>
              <w:br/>
            </w:r>
            <w:r>
              <w:rPr>
                <w:rFonts w:hint="eastAsia" w:ascii="宋体" w:hAnsi="宋体" w:cs="宋体"/>
                <w:color w:val="000000"/>
                <w:sz w:val="24"/>
                <w:szCs w:val="24"/>
              </w:rPr>
              <w:t xml:space="preserve">2、物联设备管理：提供物联设备包括视频监控、环境监测设备、土壤墒情仪的品牌、型号、性能及相关维保信息，形成台账，并提供物联设备空间分布展示及设备运行情况分析。</w:t>
            </w:r>
            <w:r>
              <w:rPr>
                <w:rFonts w:hint="eastAsia" w:ascii="宋体" w:hAnsi="宋体" w:cs="宋体"/>
                <w:color w:val="000000"/>
                <w:sz w:val="24"/>
                <w:szCs w:val="24"/>
              </w:rPr>
              <w:br/>
            </w:r>
            <w:r>
              <w:rPr>
                <w:rFonts w:hint="eastAsia" w:ascii="宋体" w:hAnsi="宋体" w:cs="宋体"/>
                <w:color w:val="000000"/>
                <w:sz w:val="24"/>
                <w:szCs w:val="24"/>
              </w:rPr>
              <w:t xml:space="preserve">3、质量安全管理：质量安全管理可以关联农事生产全过程，可快速精准掌控农业库存信息，协助农场管理员规范库存管理、建设合理的成本预算及进销计划，并保证农业生产质量安全。具体包括农资管理、采收管理、加工管理、检测管理、溯源码管理。</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农情综合监测预警</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包括作物长势监测、作物产量预估、气象实时监测、气象灾害预警、农田视频监控、无人机巡田防护等。</w:t>
            </w:r>
            <w:r>
              <w:rPr>
                <w:rFonts w:hint="eastAsia" w:ascii="宋体" w:hAnsi="宋体" w:cs="宋体"/>
                <w:color w:val="000000"/>
                <w:sz w:val="24"/>
                <w:szCs w:val="24"/>
              </w:rPr>
              <w:br/>
            </w:r>
            <w:r>
              <w:rPr>
                <w:rFonts w:hint="eastAsia" w:ascii="宋体" w:hAnsi="宋体" w:cs="宋体"/>
                <w:color w:val="000000"/>
                <w:sz w:val="24"/>
                <w:szCs w:val="24"/>
              </w:rPr>
              <w:t xml:space="preserve">1、作物长势监测：利用多源卫星影像数据，反演相关植被指数，对农作物（水稻、小麦）的生长趋势进行不间断地观察，获得农作物（水稻、小麦）长势的综合评估，哪里长得好，哪里长得不好，一目了然。</w:t>
            </w:r>
            <w:r>
              <w:rPr>
                <w:rFonts w:hint="eastAsia" w:ascii="宋体" w:hAnsi="宋体" w:cs="宋体"/>
                <w:color w:val="000000"/>
                <w:sz w:val="24"/>
                <w:szCs w:val="24"/>
              </w:rPr>
              <w:br/>
            </w:r>
            <w:r>
              <w:rPr>
                <w:rFonts w:hint="eastAsia" w:ascii="宋体" w:hAnsi="宋体" w:cs="宋体"/>
                <w:color w:val="000000"/>
                <w:sz w:val="24"/>
                <w:szCs w:val="24"/>
              </w:rPr>
              <w:t xml:space="preserve">▲投标人所投产品需提供详细的NDVI长势提取模型设计方案、应用场景介绍及证明材料，证明材料类型可为第三方测试报告或模型案例合同证明的原件扫描件。</w:t>
            </w:r>
            <w:r>
              <w:rPr>
                <w:rFonts w:hint="eastAsia" w:ascii="宋体" w:hAnsi="宋体" w:cs="宋体"/>
                <w:color w:val="000000"/>
                <w:sz w:val="24"/>
                <w:szCs w:val="24"/>
              </w:rPr>
              <w:br/>
            </w:r>
            <w:r>
              <w:rPr>
                <w:rFonts w:hint="eastAsia" w:ascii="宋体" w:hAnsi="宋体" w:cs="宋体"/>
                <w:color w:val="000000"/>
                <w:sz w:val="24"/>
                <w:szCs w:val="24"/>
              </w:rPr>
              <w:t xml:space="preserve">2、作物产量预估：采用大数据技术构建产量预测模型，对农作物（水稻、小麦）产量进行评估。</w:t>
            </w:r>
            <w:r>
              <w:rPr>
                <w:rFonts w:hint="eastAsia" w:ascii="宋体" w:hAnsi="宋体" w:cs="宋体"/>
                <w:color w:val="000000"/>
                <w:sz w:val="24"/>
                <w:szCs w:val="24"/>
              </w:rPr>
              <w:br/>
            </w:r>
            <w:r>
              <w:rPr>
                <w:rFonts w:hint="eastAsia" w:ascii="宋体" w:hAnsi="宋体" w:cs="宋体"/>
                <w:color w:val="000000"/>
                <w:sz w:val="24"/>
                <w:szCs w:val="24"/>
              </w:rPr>
              <w:t xml:space="preserve">3、气象实时监测：结合小型气象站，基于地图实时展示农场农田环境气象站采集的空气温度、空气湿度、风速风向、降雨量等信息，同时，提供多种查询方式和数据分析服务。</w:t>
            </w:r>
            <w:r>
              <w:rPr>
                <w:rFonts w:hint="eastAsia" w:ascii="宋体" w:hAnsi="宋体" w:cs="宋体"/>
                <w:color w:val="000000"/>
                <w:sz w:val="24"/>
                <w:szCs w:val="24"/>
              </w:rPr>
              <w:br/>
            </w:r>
            <w:r>
              <w:rPr>
                <w:rFonts w:hint="eastAsia" w:ascii="宋体" w:hAnsi="宋体" w:cs="宋体"/>
                <w:color w:val="000000"/>
                <w:sz w:val="24"/>
                <w:szCs w:val="24"/>
              </w:rPr>
              <w:t xml:space="preserve">4、气象灾害预警：气象灾害预报基于站点观测数据和气象数据，包括农业气象历史数据。为用户提供快速、及时、准确的农业气象灾害预报信息。</w:t>
            </w:r>
            <w:r>
              <w:rPr>
                <w:rFonts w:hint="eastAsia" w:ascii="宋体" w:hAnsi="宋体" w:cs="宋体"/>
                <w:color w:val="000000"/>
                <w:sz w:val="24"/>
                <w:szCs w:val="24"/>
              </w:rPr>
              <w:br/>
            </w:r>
            <w:r>
              <w:rPr>
                <w:rFonts w:hint="eastAsia" w:ascii="宋体" w:hAnsi="宋体" w:cs="宋体"/>
                <w:color w:val="000000"/>
                <w:sz w:val="24"/>
                <w:szCs w:val="24"/>
              </w:rPr>
              <w:t xml:space="preserve">5、农田视频监控：基于刘集镇地块的大致情况，布设视频监控设备，接入摄像头设备，基于地图实时展示高清摄像设备采集的作物生长情况，支持视频数据的实时查看和回放，实现现场无人职守情况下，农事作业人员对作物生长状况的远程在线监控。</w:t>
            </w:r>
            <w:r>
              <w:rPr>
                <w:rFonts w:hint="eastAsia" w:ascii="宋体" w:hAnsi="宋体" w:cs="宋体"/>
                <w:color w:val="000000"/>
                <w:sz w:val="24"/>
                <w:szCs w:val="24"/>
              </w:rPr>
              <w:br/>
            </w:r>
            <w:r>
              <w:rPr>
                <w:rFonts w:hint="eastAsia" w:ascii="宋体" w:hAnsi="宋体" w:cs="宋体"/>
                <w:color w:val="000000"/>
                <w:sz w:val="24"/>
                <w:szCs w:val="24"/>
              </w:rPr>
              <w:t xml:space="preserve">6、无人机巡田防护：运用巡田无人机，利用固定翼/多旋翼无人机搭载CCD、多光谱相机等设备，围绕农作物分类、覆盖度监测、病虫害监测、作物生长情况监测、灌溉情况监测、非粮化监测等展开巡田工作。</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病虫害远程诊断模型</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包括稻麦病害监测预警、病虫害诊断模型、病虫害预警发布等。</w:t>
            </w:r>
            <w:r>
              <w:rPr>
                <w:rFonts w:hint="eastAsia" w:ascii="宋体" w:hAnsi="宋体" w:cs="宋体"/>
                <w:color w:val="000000"/>
                <w:sz w:val="24"/>
                <w:szCs w:val="24"/>
              </w:rPr>
              <w:br/>
            </w:r>
            <w:r>
              <w:rPr>
                <w:rFonts w:hint="eastAsia" w:ascii="宋体" w:hAnsi="宋体" w:cs="宋体"/>
                <w:color w:val="000000"/>
                <w:sz w:val="24"/>
                <w:szCs w:val="24"/>
              </w:rPr>
              <w:t xml:space="preserve">1、稻麦病害监测预警：结合气象数据与历史病虫害数据，利用大数据分析技术，建立稻麦病虫害监测预警模型，对未来8天可能会发生的病虫害区域和时间进行预测。</w:t>
            </w:r>
            <w:r>
              <w:rPr>
                <w:rFonts w:hint="eastAsia" w:ascii="宋体" w:hAnsi="宋体" w:cs="宋体"/>
                <w:color w:val="000000"/>
                <w:sz w:val="24"/>
                <w:szCs w:val="24"/>
              </w:rPr>
              <w:br/>
            </w:r>
            <w:r>
              <w:rPr>
                <w:rFonts w:hint="eastAsia" w:ascii="宋体" w:hAnsi="宋体" w:cs="宋体"/>
                <w:color w:val="000000"/>
                <w:sz w:val="24"/>
                <w:szCs w:val="24"/>
              </w:rPr>
              <w:t xml:space="preserve">▲投标人所投产品需提供农作物病害预警模型的设计方案，并提供证明材料，材料类型可为第三方测试报告或模型案例合同证明，证明材料原件扫描件上传。</w:t>
            </w:r>
            <w:r>
              <w:rPr>
                <w:rFonts w:hint="eastAsia" w:ascii="宋体" w:hAnsi="宋体" w:cs="宋体"/>
                <w:color w:val="000000"/>
                <w:sz w:val="24"/>
                <w:szCs w:val="24"/>
              </w:rPr>
              <w:br/>
            </w:r>
            <w:r>
              <w:rPr>
                <w:rFonts w:hint="eastAsia" w:ascii="宋体" w:hAnsi="宋体" w:cs="宋体"/>
                <w:color w:val="000000"/>
                <w:sz w:val="24"/>
                <w:szCs w:val="24"/>
              </w:rPr>
              <w:t xml:space="preserve">2、病虫害诊断模型：利用虫情监测仪，采用大数据分析算法，智能识别病虫害信息。建立病虫害预警模型，防止病虫害发生。具体包括虫情灯的自动识别、虫情定期巡检。</w:t>
            </w:r>
            <w:r>
              <w:rPr>
                <w:rFonts w:hint="eastAsia" w:ascii="宋体" w:hAnsi="宋体" w:cs="宋体"/>
                <w:color w:val="000000"/>
                <w:sz w:val="24"/>
                <w:szCs w:val="24"/>
              </w:rPr>
              <w:br/>
            </w:r>
            <w:r>
              <w:rPr>
                <w:rFonts w:hint="eastAsia" w:ascii="宋体" w:hAnsi="宋体" w:cs="宋体"/>
                <w:color w:val="000000"/>
                <w:sz w:val="24"/>
                <w:szCs w:val="24"/>
              </w:rPr>
              <w:t xml:space="preserve">3、病虫害预警发布：通过稻麦重大病害预警、病虫害诊断模型掌握水稻稻瘟病、小麦赤霉病等病害及其他虫害的发生情况，针对高风险区域发布病害预警信息，并提供对应农药类型使用建议。</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数字处方</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运用物联网、卫星遥感等技术手段，采集相关数据，构建土壤肥力指数、建立作物缺水指数，形成施肥数字处方、灌溉数字处方，为种植施肥、灌溉等农事提供科学指导服务。</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多元决策驾驶舱</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包括全景决策驾驶舱、四季决策驾驶舱、农机决策驾驶舱等。</w:t>
            </w:r>
            <w:r>
              <w:rPr>
                <w:rFonts w:hint="eastAsia" w:ascii="宋体" w:hAnsi="宋体" w:cs="宋体"/>
                <w:color w:val="000000"/>
                <w:sz w:val="24"/>
                <w:szCs w:val="24"/>
              </w:rPr>
              <w:br/>
            </w:r>
            <w:r>
              <w:rPr>
                <w:rFonts w:hint="eastAsia" w:ascii="宋体" w:hAnsi="宋体" w:cs="宋体"/>
                <w:color w:val="000000"/>
                <w:sz w:val="24"/>
                <w:szCs w:val="24"/>
              </w:rPr>
              <w:t xml:space="preserve">1、全景决策驾驶舱：围绕600亩核心区，运用无人机以精度10cm进行倾斜摄影，建立三维模型，以沭阳智慧农场发展全貌数字化为基础，为管理者提供“一站式”的数字农场建设工作辅助决策支持。</w:t>
            </w:r>
            <w:r>
              <w:rPr>
                <w:rFonts w:hint="eastAsia" w:ascii="宋体" w:hAnsi="宋体" w:cs="宋体"/>
                <w:color w:val="000000"/>
                <w:sz w:val="24"/>
                <w:szCs w:val="24"/>
              </w:rPr>
              <w:br/>
            </w:r>
            <w:r>
              <w:rPr>
                <w:rFonts w:hint="eastAsia" w:ascii="宋体" w:hAnsi="宋体" w:cs="宋体"/>
                <w:color w:val="000000"/>
                <w:sz w:val="24"/>
                <w:szCs w:val="24"/>
              </w:rPr>
              <w:t xml:space="preserve">2、四季决策驾驶舱：全面展示农场内农业产业全景各项监控数据，建立量化指标体系，推动经验决策向数据决策转变，利用数据统计分析及二维可视化等手段，形成“春耕、夏长、秋收、冬藏”四季决策驾驶舱。</w:t>
            </w:r>
            <w:r>
              <w:rPr>
                <w:rFonts w:hint="eastAsia" w:ascii="宋体" w:hAnsi="宋体" w:cs="宋体"/>
                <w:color w:val="000000"/>
                <w:sz w:val="24"/>
                <w:szCs w:val="24"/>
              </w:rPr>
              <w:br/>
            </w:r>
            <w:r>
              <w:rPr>
                <w:rFonts w:hint="eastAsia" w:ascii="宋体" w:hAnsi="宋体" w:cs="宋体"/>
                <w:color w:val="000000"/>
                <w:sz w:val="24"/>
                <w:szCs w:val="24"/>
              </w:rPr>
              <w:t xml:space="preserve">3、农机决策驾驶舱：从产业全景构建的应用服务系统中抽取对产业监测有价值的信息，利用数据统计分析及二维可视化等手段，形成“生产、调度”统一的可视化展示大屏。</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r>
        <w:trPr/>
        <w:tc>
          <w:tcPr>
            <w:shd w:val="clear" w:color="auto" w:fill="auto"/>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57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新农人助手</w:t>
            </w:r>
            <w:r/>
          </w:p>
        </w:tc>
        <w:tc>
          <w:tcPr>
            <w:shd w:val="clear" w:color="auto" w:fill="auto"/>
            <w:tcBorders>
              <w:top w:val="none" w:color="000000" w:sz="4" w:space="0"/>
              <w:left w:val="none" w:color="000000" w:sz="4" w:space="0"/>
              <w:bottom w:val="single" w:color="auto" w:sz="4" w:space="0"/>
              <w:right w:val="single" w:color="auto" w:sz="4" w:space="0"/>
            </w:tcBorders>
            <w:tcW w:w="294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包括农情监测、资产管理、在线物联、农事执行、农事专家库、农技培训、农机租赁等。</w:t>
            </w:r>
            <w:r>
              <w:rPr>
                <w:rFonts w:hint="eastAsia" w:ascii="宋体" w:hAnsi="宋体" w:cs="宋体"/>
                <w:color w:val="000000"/>
                <w:sz w:val="24"/>
                <w:szCs w:val="24"/>
              </w:rPr>
              <w:br/>
            </w:r>
            <w:r>
              <w:rPr>
                <w:rFonts w:hint="eastAsia" w:ascii="宋体" w:hAnsi="宋体" w:cs="宋体"/>
                <w:color w:val="000000"/>
                <w:sz w:val="24"/>
                <w:szCs w:val="24"/>
              </w:rPr>
              <w:t xml:space="preserve">1、农情监测：小程序提供作物长势监测、气象变化、自然灾害预警、病虫害风险提示等服务。</w:t>
            </w:r>
            <w:r>
              <w:rPr>
                <w:rFonts w:hint="eastAsia" w:ascii="宋体" w:hAnsi="宋体" w:cs="宋体"/>
                <w:color w:val="000000"/>
                <w:sz w:val="24"/>
                <w:szCs w:val="24"/>
              </w:rPr>
              <w:br/>
            </w:r>
            <w:r>
              <w:rPr>
                <w:rFonts w:hint="eastAsia" w:ascii="宋体" w:hAnsi="宋体" w:cs="宋体"/>
                <w:color w:val="000000"/>
                <w:sz w:val="24"/>
                <w:szCs w:val="24"/>
              </w:rPr>
              <w:t xml:space="preserve">2、资产管理：围绕管理员、部分农事管理人员，提供主体管理、负责范围内的资产管理与盘点。</w:t>
            </w:r>
            <w:r>
              <w:rPr>
                <w:rFonts w:hint="eastAsia" w:ascii="宋体" w:hAnsi="宋体" w:cs="宋体"/>
                <w:color w:val="000000"/>
                <w:sz w:val="24"/>
                <w:szCs w:val="24"/>
              </w:rPr>
              <w:br/>
            </w:r>
            <w:r>
              <w:rPr>
                <w:rFonts w:hint="eastAsia" w:ascii="宋体" w:hAnsi="宋体" w:cs="宋体"/>
                <w:color w:val="000000"/>
                <w:sz w:val="24"/>
                <w:szCs w:val="24"/>
              </w:rPr>
              <w:t xml:space="preserve">3、在线物联：提供主体管理、负责范围内的在线物联实时监测。</w:t>
            </w:r>
            <w:r>
              <w:rPr>
                <w:rFonts w:hint="eastAsia" w:ascii="宋体" w:hAnsi="宋体" w:cs="宋体"/>
                <w:color w:val="000000"/>
                <w:sz w:val="24"/>
                <w:szCs w:val="24"/>
              </w:rPr>
              <w:br/>
            </w:r>
            <w:r>
              <w:rPr>
                <w:rFonts w:hint="eastAsia" w:ascii="宋体" w:hAnsi="宋体" w:cs="宋体"/>
                <w:color w:val="000000"/>
                <w:sz w:val="24"/>
                <w:szCs w:val="24"/>
              </w:rPr>
              <w:t xml:space="preserve">4、农事执行：农事办理小程序服务于农事作业人员，农事作业人员按照任务安排将每天任务完成情况进行记录和上报。具体包括任务执行和一键上报。</w:t>
            </w:r>
            <w:r>
              <w:rPr>
                <w:rFonts w:hint="eastAsia" w:ascii="宋体" w:hAnsi="宋体" w:cs="宋体"/>
                <w:color w:val="000000"/>
                <w:sz w:val="24"/>
                <w:szCs w:val="24"/>
              </w:rPr>
              <w:br/>
            </w:r>
            <w:r>
              <w:rPr>
                <w:rFonts w:hint="eastAsia" w:ascii="宋体" w:hAnsi="宋体" w:cs="宋体"/>
                <w:color w:val="000000"/>
                <w:sz w:val="24"/>
                <w:szCs w:val="24"/>
              </w:rPr>
              <w:t xml:space="preserve">5、农事专家库：打造对口专家库，提供一对一、一对多的指导服务，为农户科学种植提供基础。</w:t>
            </w:r>
            <w:r>
              <w:rPr>
                <w:rFonts w:hint="eastAsia" w:ascii="宋体" w:hAnsi="宋体" w:cs="宋体"/>
                <w:color w:val="000000"/>
                <w:sz w:val="24"/>
                <w:szCs w:val="24"/>
              </w:rPr>
              <w:br/>
            </w:r>
            <w:r>
              <w:rPr>
                <w:rFonts w:hint="eastAsia" w:ascii="宋体" w:hAnsi="宋体" w:cs="宋体"/>
                <w:color w:val="000000"/>
                <w:sz w:val="24"/>
                <w:szCs w:val="24"/>
              </w:rPr>
              <w:t xml:space="preserve">6、农技培训：提供农户线上农技培训课堂。包括农机基本操作、主粮种植技术、常见病虫害识别及应对措施。</w:t>
            </w:r>
            <w:r>
              <w:rPr>
                <w:rFonts w:hint="eastAsia" w:ascii="宋体" w:hAnsi="宋体" w:cs="宋体"/>
                <w:color w:val="000000"/>
                <w:sz w:val="24"/>
                <w:szCs w:val="24"/>
              </w:rPr>
              <w:br/>
            </w:r>
            <w:r>
              <w:rPr>
                <w:rFonts w:hint="eastAsia" w:ascii="宋体" w:hAnsi="宋体" w:cs="宋体"/>
                <w:color w:val="000000"/>
                <w:sz w:val="24"/>
                <w:szCs w:val="24"/>
              </w:rPr>
              <w:t xml:space="preserve">7、农机租赁：提供的农机租赁管理服务，支持管理人员对农机进行备案查看，维护备案信息，支持农机图片、农机设备信息、农机机主信息等数据的建档备案与线上审核，通过后进行一次线下审核，完成后方可在平台提供相应服务。</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w:t>
            </w:r>
            <w:r/>
          </w:p>
        </w:tc>
      </w:tr>
    </w:tbl>
    <w:p>
      <w:pPr>
        <w:pStyle w:val="1100"/>
        <w:numPr>
          <w:numId w:val="0"/>
        </w:numPr>
        <w:spacing w:line="360" w:lineRule="auto"/>
        <w:rPr>
          <w:rFonts w:ascii="新宋体" w:hAnsi="新宋体" w:eastAsia="新宋体"/>
          <w:b/>
          <w:color w:val="000000"/>
          <w:sz w:val="28"/>
          <w:szCs w:val="28"/>
        </w:rPr>
      </w:pPr>
      <w:r>
        <w:rPr>
          <w:rFonts w:ascii="新宋体" w:hAnsi="新宋体" w:eastAsia="新宋体"/>
          <w:b/>
          <w:color w:val="000000"/>
          <w:sz w:val="28"/>
          <w:szCs w:val="28"/>
        </w:rPr>
      </w:r>
      <w:bookmarkEnd w:id="196"/>
      <w:r/>
      <w:r/>
    </w:p>
    <w:p>
      <w:pPr>
        <w:pStyle w:val="805"/>
        <w:numPr>
          <w:ilvl w:val="0"/>
          <w:numId w:val="7"/>
        </w:numPr>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项目实施要求</w:t>
      </w:r>
      <w:r/>
    </w:p>
    <w:p>
      <w:pPr>
        <w:pStyle w:val="805"/>
        <w:numPr>
          <w:ilvl w:val="0"/>
          <w:numId w:val="8"/>
        </w:numPr>
        <w:jc w:val="left"/>
        <w:spacing w:line="360" w:lineRule="auto"/>
        <w:tabs>
          <w:tab w:val="left" w:pos="484" w:leader="none"/>
          <w:tab w:val="left" w:pos="550" w:leader="none"/>
        </w:tabs>
        <w:rPr>
          <w:rFonts w:ascii="宋体" w:hAnsi="宋体" w:eastAsia="宋体" w:cs="宋体"/>
          <w:b/>
          <w:bCs/>
          <w:sz w:val="24"/>
          <w:szCs w:val="24"/>
        </w:rPr>
        <w:outlineLvl w:val="1"/>
      </w:pPr>
      <w:r/>
      <w:bookmarkStart w:id="202" w:name="_Hlk142117001"/>
      <w:r>
        <w:rPr>
          <w:rFonts w:hint="eastAsia" w:ascii="宋体" w:hAnsi="宋体" w:eastAsia="宋体" w:cs="宋体"/>
          <w:b/>
          <w:bCs/>
          <w:sz w:val="24"/>
          <w:szCs w:val="24"/>
        </w:rPr>
        <w:t xml:space="preserve">安装方案编制要求</w:t>
      </w:r>
      <w:r/>
    </w:p>
    <w:p>
      <w:pPr>
        <w:pStyle w:val="805"/>
        <w:numPr>
          <w:ilvl w:val="0"/>
          <w:numId w:val="9"/>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安装方案编制依据</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本项目安装方案编制时除符合本项目技术方案要求外，还应符合国家和江苏地区颁发的现行有关设计、施工验收等相关方面的规范、规定。</w:t>
      </w:r>
      <w:r>
        <w:rPr>
          <w:rFonts w:hint="eastAsia" w:ascii="宋体" w:hAnsi="宋体" w:cs="宋体"/>
          <w:sz w:val="24"/>
          <w:szCs w:val="24"/>
        </w:rPr>
        <w:t xml:space="preserve">采购</w:t>
      </w:r>
      <w:r>
        <w:rPr>
          <w:rFonts w:hint="eastAsia" w:ascii="宋体" w:hAnsi="宋体" w:eastAsia="宋体" w:cs="宋体"/>
          <w:sz w:val="24"/>
          <w:szCs w:val="24"/>
        </w:rPr>
        <w:t xml:space="preserve">案未详尽之处，请供货方按国家及本地区现有规范进行施工。</w:t>
      </w:r>
      <w:r/>
    </w:p>
    <w:p>
      <w:pPr>
        <w:pStyle w:val="805"/>
        <w:numPr>
          <w:ilvl w:val="0"/>
          <w:numId w:val="9"/>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技术资料提交要求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供货方应提供包括但不限于满足货物日常使用、专用的维修工具以及使用、维护的技术文件，如设备和附件装箱清单、产品合格证、产品检验报告、保修服务卡、使用说明（原版正本）、中文维护手册。</w:t>
      </w:r>
      <w:r/>
    </w:p>
    <w:p>
      <w:pPr>
        <w:pStyle w:val="805"/>
        <w:ind w:left="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1.3安装方案编制要求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供货方的投标文件中实施方案仅作为评标依据，供货方签定合同后，需重新根据</w:t>
      </w:r>
      <w:r>
        <w:rPr>
          <w:rFonts w:hint="eastAsia" w:ascii="宋体" w:hAnsi="宋体" w:cs="宋体"/>
          <w:sz w:val="24"/>
          <w:szCs w:val="24"/>
        </w:rPr>
        <w:t xml:space="preserve">招标人</w:t>
      </w:r>
      <w:r>
        <w:rPr>
          <w:rFonts w:hint="eastAsia" w:ascii="宋体" w:hAnsi="宋体" w:eastAsia="宋体" w:cs="宋体"/>
          <w:sz w:val="24"/>
          <w:szCs w:val="24"/>
        </w:rPr>
        <w:t xml:space="preserve">的要求和项目现场的实际情况，重新优化编制《安装方案》，直至</w:t>
      </w:r>
      <w:r>
        <w:rPr>
          <w:rFonts w:hint="eastAsia" w:ascii="宋体" w:hAnsi="宋体" w:cs="宋体"/>
          <w:sz w:val="24"/>
          <w:szCs w:val="24"/>
        </w:rPr>
        <w:t xml:space="preserve">招标人</w:t>
      </w:r>
      <w:r>
        <w:rPr>
          <w:rFonts w:hint="eastAsia" w:ascii="宋体" w:hAnsi="宋体" w:eastAsia="宋体" w:cs="宋体"/>
          <w:sz w:val="24"/>
          <w:szCs w:val="24"/>
        </w:rPr>
        <w:t xml:space="preserve">完全满意为止。《安装方案》的编制应由具有相关资质的单位负责完成，供货方无相关资质的可分包。供货方需全部承担《安装方案》编制的质量与安全责任，确保项目建成后所有设备能正常运行，能满足设备使用人高效的生产要求。</w:t>
      </w:r>
      <w:r/>
    </w:p>
    <w:p>
      <w:pPr>
        <w:pStyle w:val="805"/>
        <w:ind w:left="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1.4安装方案审核要求</w:t>
      </w:r>
      <w:r/>
    </w:p>
    <w:p>
      <w:pPr>
        <w:pStyle w:val="805"/>
        <w:ind w:left="0"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如《安装方案》未经过</w:t>
      </w:r>
      <w:r>
        <w:rPr>
          <w:rFonts w:hint="eastAsia" w:ascii="宋体" w:hAnsi="宋体" w:cs="宋体"/>
          <w:sz w:val="24"/>
          <w:szCs w:val="24"/>
        </w:rPr>
        <w:t xml:space="preserve">招标人</w:t>
      </w:r>
      <w:r>
        <w:rPr>
          <w:rFonts w:hint="eastAsia" w:ascii="宋体" w:hAnsi="宋体" w:eastAsia="宋体" w:cs="宋体"/>
          <w:sz w:val="24"/>
          <w:szCs w:val="24"/>
        </w:rPr>
        <w:t xml:space="preserve">认可，经3次协商交流未达成共识后，</w:t>
      </w:r>
      <w:r>
        <w:rPr>
          <w:rFonts w:hint="eastAsia" w:ascii="宋体" w:hAnsi="宋体" w:cs="宋体"/>
          <w:sz w:val="24"/>
          <w:szCs w:val="24"/>
        </w:rPr>
        <w:t xml:space="preserve">招标人</w:t>
      </w:r>
      <w:r>
        <w:rPr>
          <w:rFonts w:hint="eastAsia" w:ascii="宋体" w:hAnsi="宋体" w:eastAsia="宋体" w:cs="宋体"/>
          <w:sz w:val="24"/>
          <w:szCs w:val="24"/>
        </w:rPr>
        <w:t xml:space="preserve">有权与供货方解除部分或全部合同。</w:t>
      </w:r>
      <w:r/>
    </w:p>
    <w:p>
      <w:pPr>
        <w:pStyle w:val="805"/>
        <w:ind w:left="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1.5知识产权保护要求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供货方应承担由于</w:t>
      </w:r>
      <w:r>
        <w:rPr>
          <w:rFonts w:hint="eastAsia" w:ascii="宋体" w:hAnsi="宋体" w:cs="宋体"/>
          <w:sz w:val="24"/>
          <w:szCs w:val="24"/>
        </w:rPr>
        <w:t xml:space="preserve">招标人</w:t>
      </w:r>
      <w:r>
        <w:rPr>
          <w:rFonts w:hint="eastAsia" w:ascii="宋体" w:hAnsi="宋体" w:eastAsia="宋体" w:cs="宋体"/>
          <w:sz w:val="24"/>
          <w:szCs w:val="24"/>
        </w:rPr>
        <w:t xml:space="preserve">在其本国使用该设备或设备任何一部分时而引起第三方提出的侵犯专利权、商标权或工业设计权的起诉、行动、行政程序索赔、请求等以及</w:t>
      </w:r>
      <w:r>
        <w:rPr>
          <w:rFonts w:hint="eastAsia" w:ascii="宋体" w:hAnsi="宋体" w:cs="宋体"/>
          <w:sz w:val="24"/>
          <w:szCs w:val="24"/>
        </w:rPr>
        <w:t xml:space="preserve">招标人</w:t>
      </w:r>
      <w:r>
        <w:rPr>
          <w:rFonts w:hint="eastAsia" w:ascii="宋体" w:hAnsi="宋体" w:eastAsia="宋体" w:cs="宋体"/>
          <w:sz w:val="24"/>
          <w:szCs w:val="24"/>
        </w:rPr>
        <w:t xml:space="preserve">为此而产生的损失和损害、费用和支出（包括律师费）。</w:t>
      </w:r>
      <w:r/>
    </w:p>
    <w:p>
      <w:pPr>
        <w:pStyle w:val="805"/>
        <w:ind w:left="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1.6验收资料上交要求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产品调试完成后，需经</w:t>
      </w:r>
      <w:r>
        <w:rPr>
          <w:rFonts w:hint="eastAsia" w:ascii="宋体" w:hAnsi="宋体" w:cs="宋体"/>
          <w:sz w:val="24"/>
          <w:szCs w:val="24"/>
        </w:rPr>
        <w:t xml:space="preserve">招标人</w:t>
      </w:r>
      <w:r>
        <w:rPr>
          <w:rFonts w:hint="eastAsia" w:ascii="宋体" w:hAnsi="宋体" w:eastAsia="宋体" w:cs="宋体"/>
          <w:sz w:val="24"/>
          <w:szCs w:val="24"/>
        </w:rPr>
        <w:t xml:space="preserve">验收合格，供货方负责将全部《安装方案》以及有关技术文件、资料、测试、验收报告等文档汇集成册交付</w:t>
      </w:r>
      <w:r>
        <w:rPr>
          <w:rFonts w:hint="eastAsia" w:ascii="宋体" w:hAnsi="宋体" w:cs="宋体"/>
          <w:sz w:val="24"/>
          <w:szCs w:val="24"/>
        </w:rPr>
        <w:t xml:space="preserve">招标人</w:t>
      </w:r>
      <w:r>
        <w:rPr>
          <w:rFonts w:hint="eastAsia" w:ascii="宋体" w:hAnsi="宋体" w:eastAsia="宋体" w:cs="宋体"/>
          <w:sz w:val="24"/>
          <w:szCs w:val="24"/>
        </w:rPr>
        <w:t xml:space="preserve">。</w:t>
      </w:r>
      <w:r/>
    </w:p>
    <w:p>
      <w:pPr>
        <w:pStyle w:val="805"/>
        <w:numPr>
          <w:ilvl w:val="0"/>
          <w:numId w:val="8"/>
        </w:numPr>
        <w:jc w:val="left"/>
        <w:spacing w:line="360" w:lineRule="auto"/>
        <w:tabs>
          <w:tab w:val="left" w:pos="484" w:leader="none"/>
          <w:tab w:val="left" w:pos="550" w:leader="none"/>
        </w:tabs>
        <w:rPr>
          <w:rFonts w:ascii="宋体" w:hAnsi="宋体" w:eastAsia="宋体" w:cs="宋体"/>
          <w:b/>
          <w:bCs/>
          <w:sz w:val="24"/>
          <w:szCs w:val="24"/>
        </w:rPr>
        <w:outlineLvl w:val="1"/>
      </w:pPr>
      <w:r>
        <w:rPr>
          <w:rFonts w:hint="eastAsia" w:ascii="宋体" w:hAnsi="宋体" w:eastAsia="宋体" w:cs="宋体"/>
          <w:b/>
          <w:bCs/>
          <w:sz w:val="24"/>
          <w:szCs w:val="24"/>
        </w:rPr>
        <w:t xml:space="preserve">项目现场管理要求</w:t>
      </w:r>
      <w:r/>
    </w:p>
    <w:p>
      <w:pPr>
        <w:pStyle w:val="805"/>
        <w:numPr>
          <w:ilvl w:val="0"/>
          <w:numId w:val="10"/>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安全管理要求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供货方应遵守现场的一切规章制度，按照</w:t>
      </w:r>
      <w:r>
        <w:rPr>
          <w:rFonts w:hint="eastAsia" w:ascii="宋体" w:hAnsi="宋体" w:cs="宋体"/>
          <w:sz w:val="24"/>
          <w:szCs w:val="24"/>
        </w:rPr>
        <w:t xml:space="preserve">招标人</w:t>
      </w:r>
      <w:r>
        <w:rPr>
          <w:rFonts w:hint="eastAsia" w:ascii="宋体" w:hAnsi="宋体" w:eastAsia="宋体" w:cs="宋体"/>
          <w:sz w:val="24"/>
          <w:szCs w:val="24"/>
        </w:rPr>
        <w:t xml:space="preserve">要求文明建设，施工人员的安全由供货方负责，</w:t>
      </w:r>
      <w:r>
        <w:rPr>
          <w:rFonts w:hint="eastAsia" w:ascii="宋体" w:hAnsi="宋体" w:cs="宋体"/>
          <w:sz w:val="24"/>
          <w:szCs w:val="24"/>
        </w:rPr>
        <w:t xml:space="preserve">招标人</w:t>
      </w:r>
      <w:r>
        <w:rPr>
          <w:rFonts w:hint="eastAsia" w:ascii="宋体" w:hAnsi="宋体" w:eastAsia="宋体" w:cs="宋体"/>
          <w:sz w:val="24"/>
          <w:szCs w:val="24"/>
        </w:rPr>
        <w:t xml:space="preserve">监督执行，如发生安全事故，由供货方负全责。现场协调工作由供货方负责，</w:t>
      </w:r>
      <w:r>
        <w:rPr>
          <w:rFonts w:hint="eastAsia" w:ascii="宋体" w:hAnsi="宋体" w:cs="宋体"/>
          <w:sz w:val="24"/>
          <w:szCs w:val="24"/>
        </w:rPr>
        <w:t xml:space="preserve">招标人</w:t>
      </w:r>
      <w:r>
        <w:rPr>
          <w:rFonts w:hint="eastAsia" w:ascii="宋体" w:hAnsi="宋体" w:eastAsia="宋体" w:cs="宋体"/>
          <w:sz w:val="24"/>
          <w:szCs w:val="24"/>
        </w:rPr>
        <w:t xml:space="preserve">配合。</w:t>
      </w:r>
      <w:r/>
    </w:p>
    <w:p>
      <w:pPr>
        <w:pStyle w:val="805"/>
        <w:numPr>
          <w:ilvl w:val="0"/>
          <w:numId w:val="10"/>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货物保管要求</w:t>
      </w:r>
      <w:r/>
    </w:p>
    <w:p>
      <w:pPr>
        <w:pStyle w:val="805"/>
        <w:ind w:left="0"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供货方负责为工具设备、安装设备等提供适当的保护、包装或覆盖等处理，负责保管、看护进场的工具设备及附配件直至验收合格，以免受损。</w:t>
      </w:r>
      <w:r/>
    </w:p>
    <w:p>
      <w:pPr>
        <w:pStyle w:val="805"/>
        <w:ind w:left="0"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供货方所供货物涉及商品包装和快递包装的，应参考《关于印发&lt;商品包装政府采购需求标准（试行）&gt;、&lt;快递包装政府采购需求标准（试行）&gt;的通知》（财办库〔2020〕123号）要求执行。</w:t>
      </w:r>
      <w:r/>
    </w:p>
    <w:p>
      <w:pPr>
        <w:pStyle w:val="805"/>
        <w:numPr>
          <w:ilvl w:val="0"/>
          <w:numId w:val="10"/>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垃圾清运要求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在安装、调试期间或保修过程中，供货方负责及时清理现场垃圾。</w:t>
      </w:r>
      <w:bookmarkEnd w:id="202"/>
      <w:r/>
      <w:r/>
    </w:p>
    <w:p>
      <w:pPr>
        <w:pStyle w:val="805"/>
        <w:numPr>
          <w:ilvl w:val="0"/>
          <w:numId w:val="8"/>
        </w:numPr>
        <w:jc w:val="left"/>
        <w:spacing w:line="360" w:lineRule="auto"/>
        <w:tabs>
          <w:tab w:val="left" w:pos="484" w:leader="none"/>
          <w:tab w:val="left" w:pos="550" w:leader="none"/>
        </w:tabs>
        <w:rPr>
          <w:rFonts w:ascii="宋体" w:hAnsi="宋体" w:eastAsia="宋体" w:cs="宋体"/>
          <w:b/>
          <w:bCs/>
          <w:sz w:val="24"/>
          <w:szCs w:val="24"/>
        </w:rPr>
        <w:outlineLvl w:val="1"/>
      </w:pPr>
      <w:r/>
      <w:bookmarkStart w:id="203" w:name="_Hlk142117040"/>
      <w:r>
        <w:rPr>
          <w:rFonts w:hint="eastAsia" w:ascii="宋体" w:hAnsi="宋体" w:eastAsia="宋体" w:cs="宋体"/>
          <w:b/>
          <w:bCs/>
          <w:sz w:val="24"/>
          <w:szCs w:val="24"/>
        </w:rPr>
        <w:t xml:space="preserve">货物质量与验收要求</w:t>
      </w:r>
      <w:bookmarkEnd w:id="203"/>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货物质量标准</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时所有货物（包括零部件）须为全新的、未使用过的原装正品，并完全符合国家质量标准。需提供厂家出具的合格证书、有国家强制性认证要求的产品须提供相应证书，货物的技术参数及配置情况必须由投标人提供国家相关检测机构出具的检验报告、生产厂家公开发布的印刷资料等技术资料予以支持。</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货物包装要求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货物为原厂商未启封全新包装，具有出厂合格证，序列号、包装箱号与出厂批号一致，并可追溯查阅。</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货物检验原则</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货物的生产、调试、维修、检验、验收原则为：有国家标准的执行国家标准；无国家标准的执行行业标准；无行业标准的执行地方标准；无地方标准的执行企业标准。所有设备在到达现场时须经</w:t>
      </w:r>
      <w:r>
        <w:rPr>
          <w:rFonts w:hint="eastAsia" w:ascii="宋体" w:hAnsi="宋体" w:cs="宋体"/>
          <w:sz w:val="24"/>
          <w:szCs w:val="24"/>
        </w:rPr>
        <w:t xml:space="preserve">招标人</w:t>
      </w:r>
      <w:r>
        <w:rPr>
          <w:rFonts w:hint="eastAsia" w:ascii="宋体" w:hAnsi="宋体" w:eastAsia="宋体" w:cs="宋体"/>
          <w:sz w:val="24"/>
          <w:szCs w:val="24"/>
        </w:rPr>
        <w:t xml:space="preserve">代表验收，验货时须提交该产品的质量合格证明。</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货物检验标准</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所有设备、附（配）件应符合本方案与招标文件要求，无瑕疵和缺陷，质量为合格产品。所有货物在到达现场时须经</w:t>
      </w:r>
      <w:r>
        <w:rPr>
          <w:rFonts w:hint="eastAsia" w:ascii="宋体" w:hAnsi="宋体" w:cs="宋体"/>
          <w:sz w:val="24"/>
          <w:szCs w:val="24"/>
        </w:rPr>
        <w:t xml:space="preserve">招标人</w:t>
      </w:r>
      <w:r>
        <w:rPr>
          <w:rFonts w:hint="eastAsia" w:ascii="宋体" w:hAnsi="宋体" w:eastAsia="宋体" w:cs="宋体"/>
          <w:sz w:val="24"/>
          <w:szCs w:val="24"/>
        </w:rPr>
        <w:t xml:space="preserve">代表验收，验货时须提交该产品的质量合格证明。如商检或货物测试中发现设备性能指标或功能上不符合招标文件和合同要求时，将被看作性能不合格，</w:t>
      </w:r>
      <w:r>
        <w:rPr>
          <w:rFonts w:hint="eastAsia" w:ascii="宋体" w:hAnsi="宋体" w:cs="宋体"/>
          <w:sz w:val="24"/>
          <w:szCs w:val="24"/>
        </w:rPr>
        <w:t xml:space="preserve">招标人</w:t>
      </w:r>
      <w:r>
        <w:rPr>
          <w:rFonts w:hint="eastAsia" w:ascii="宋体" w:hAnsi="宋体" w:eastAsia="宋体" w:cs="宋体"/>
          <w:sz w:val="24"/>
          <w:szCs w:val="24"/>
        </w:rPr>
        <w:t xml:space="preserve">有权拒收并要求赔偿。</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货物验收内容</w:t>
      </w:r>
      <w:r/>
    </w:p>
    <w:p>
      <w:pPr>
        <w:pStyle w:val="805"/>
        <w:ind w:left="0" w:firstLine="480"/>
        <w:spacing w:line="360" w:lineRule="auto"/>
        <w:rPr>
          <w:rFonts w:ascii="宋体" w:hAnsi="宋体" w:eastAsia="宋体" w:cs="宋体"/>
          <w:b/>
          <w:sz w:val="24"/>
          <w:szCs w:val="24"/>
        </w:rPr>
        <w:outlineLvl w:val="2"/>
      </w:pPr>
      <w:r>
        <w:rPr>
          <w:rFonts w:hint="eastAsia" w:ascii="宋体" w:hAnsi="宋体" w:cs="宋体"/>
          <w:sz w:val="24"/>
          <w:szCs w:val="24"/>
        </w:rPr>
        <w:t xml:space="preserve">招标人</w:t>
      </w:r>
      <w:r>
        <w:rPr>
          <w:rFonts w:hint="eastAsia" w:ascii="宋体" w:hAnsi="宋体" w:eastAsia="宋体" w:cs="宋体"/>
          <w:sz w:val="24"/>
          <w:szCs w:val="24"/>
        </w:rPr>
        <w:t xml:space="preserve">及有关部门依招标文件要求，对全部货物的型号、规格、数量、外型、外观、包装及资料、文件(如装箱单、保修单、随箱介质等）的验收。供货方必须为使用单位调试、维修、使用提供足够的技术资料和技术保障，提供设备的有关证明。</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调货换货要求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如设备运输和调试过程中因事故造成货物短缺、损坏，供货方应及时安排换货，以保证设备调试的成功完成。换货的相关费用由供货方承担。</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补充货物说明</w:t>
      </w:r>
      <w:r/>
    </w:p>
    <w:p>
      <w:pPr>
        <w:pStyle w:val="805"/>
        <w:ind w:left="0" w:firstLine="480"/>
        <w:spacing w:line="360" w:lineRule="auto"/>
        <w:rPr>
          <w:rFonts w:ascii="宋体" w:hAnsi="宋体" w:eastAsia="宋体" w:cs="宋体"/>
          <w:b/>
          <w:sz w:val="24"/>
          <w:szCs w:val="24"/>
        </w:rPr>
        <w:outlineLvl w:val="2"/>
      </w:pPr>
      <w:r>
        <w:rPr>
          <w:rFonts w:hint="eastAsia" w:ascii="宋体" w:hAnsi="宋体" w:cs="宋体"/>
          <w:sz w:val="24"/>
          <w:szCs w:val="24"/>
        </w:rPr>
        <w:t xml:space="preserve">招标人</w:t>
      </w:r>
      <w:r>
        <w:rPr>
          <w:rFonts w:hint="eastAsia" w:ascii="宋体" w:hAnsi="宋体" w:eastAsia="宋体" w:cs="宋体"/>
          <w:sz w:val="24"/>
          <w:szCs w:val="24"/>
        </w:rPr>
        <w:t xml:space="preserve">按中标价格和数量向供货方采购本项目货物后，在合同执行期若需增加采购相同品牌型号的货物，供货方必须按相同的配置和不高于中标价格销售给</w:t>
      </w:r>
      <w:r>
        <w:rPr>
          <w:rFonts w:hint="eastAsia" w:ascii="宋体" w:hAnsi="宋体" w:cs="宋体"/>
          <w:sz w:val="24"/>
          <w:szCs w:val="24"/>
        </w:rPr>
        <w:t xml:space="preserve">招标人</w:t>
      </w:r>
      <w:r>
        <w:rPr>
          <w:rFonts w:hint="eastAsia" w:ascii="宋体" w:hAnsi="宋体" w:eastAsia="宋体" w:cs="宋体"/>
          <w:sz w:val="24"/>
          <w:szCs w:val="24"/>
        </w:rPr>
        <w:t xml:space="preserve">。</w:t>
      </w:r>
      <w:r/>
    </w:p>
    <w:p>
      <w:pPr>
        <w:pStyle w:val="805"/>
        <w:numPr>
          <w:ilvl w:val="0"/>
          <w:numId w:val="11"/>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逾期交货处罚</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如供货方逾期交付货物、验收超过10个工作日的，应以合同货物总额为基数，按每天2‰向</w:t>
      </w:r>
      <w:r>
        <w:rPr>
          <w:rFonts w:hint="eastAsia" w:ascii="宋体" w:hAnsi="宋体" w:cs="宋体"/>
          <w:sz w:val="24"/>
          <w:szCs w:val="24"/>
        </w:rPr>
        <w:t xml:space="preserve">招标人</w:t>
      </w:r>
      <w:r>
        <w:rPr>
          <w:rFonts w:hint="eastAsia" w:ascii="宋体" w:hAnsi="宋体" w:eastAsia="宋体" w:cs="宋体"/>
          <w:sz w:val="24"/>
          <w:szCs w:val="24"/>
        </w:rPr>
        <w:t xml:space="preserve">支付滞纳金。</w:t>
      </w:r>
      <w:r/>
    </w:p>
    <w:p>
      <w:pPr>
        <w:pStyle w:val="805"/>
        <w:numPr>
          <w:ilvl w:val="0"/>
          <w:numId w:val="12"/>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项目质量保障措施及进度计划方案</w:t>
      </w:r>
      <w:r/>
    </w:p>
    <w:p>
      <w:pPr>
        <w:pStyle w:val="805"/>
        <w:numPr>
          <w:ilvl w:val="0"/>
          <w:numId w:val="12"/>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质量保证期限</w:t>
      </w:r>
      <w:r/>
    </w:p>
    <w:p>
      <w:pPr>
        <w:pStyle w:val="805"/>
        <w:ind w:left="0" w:firstLine="482"/>
        <w:spacing w:line="360" w:lineRule="auto"/>
        <w:rPr>
          <w:rFonts w:ascii="宋体" w:hAnsi="宋体" w:eastAsia="宋体" w:cs="宋体"/>
          <w:b/>
          <w:sz w:val="24"/>
          <w:szCs w:val="24"/>
        </w:rPr>
        <w:outlineLvl w:val="2"/>
      </w:pPr>
      <w:r>
        <w:rPr>
          <w:rFonts w:hint="eastAsia" w:ascii="宋体" w:hAnsi="宋体" w:eastAsia="宋体" w:cs="宋体"/>
          <w:b/>
          <w:bCs/>
          <w:sz w:val="24"/>
          <w:szCs w:val="24"/>
        </w:rPr>
        <w:t xml:space="preserve">自验收合格之日起，</w:t>
      </w:r>
      <w:r>
        <w:rPr>
          <w:rFonts w:hint="eastAsia" w:ascii="宋体" w:hAnsi="宋体" w:cs="宋体"/>
          <w:b/>
          <w:bCs/>
          <w:sz w:val="24"/>
          <w:szCs w:val="24"/>
        </w:rPr>
        <w:t xml:space="preserve">不低于</w:t>
      </w:r>
      <w:r>
        <w:rPr>
          <w:rFonts w:hint="eastAsia" w:ascii="宋体" w:hAnsi="宋体" w:eastAsia="宋体" w:cs="宋体"/>
          <w:b/>
          <w:bCs/>
          <w:sz w:val="24"/>
          <w:szCs w:val="24"/>
        </w:rPr>
        <w:t xml:space="preserve">3年免费质保</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国家和省市有关三包规定和厂商标准高于该要求的，应按相关规定和厂商标准执行</w:t>
      </w:r>
      <w:r>
        <w:rPr>
          <w:rFonts w:hint="eastAsia" w:ascii="宋体" w:hAnsi="宋体" w:eastAsia="宋体" w:cs="宋体"/>
          <w:sz w:val="24"/>
          <w:szCs w:val="24"/>
        </w:rPr>
        <w:t xml:space="preserve">。质保期结束后，供货方对合同中的设备提供免费保修服务，如需更换零配件，供货方只收取零配件费。</w:t>
      </w:r>
      <w:r/>
    </w:p>
    <w:p>
      <w:pPr>
        <w:pStyle w:val="805"/>
        <w:numPr>
          <w:ilvl w:val="0"/>
          <w:numId w:val="12"/>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质保维修范围</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质保期内因供货方产品质量不可靠，导致产品非主观故意损坏或遗失，由供货方免费负责维修、更换。因台风、地震不可抗力因素或发生偷盗、人为恶意破坏导致产品损坏或遗失，不属于售后服务范围，但供货方需配合</w:t>
      </w:r>
      <w:r>
        <w:rPr>
          <w:rFonts w:hint="eastAsia" w:ascii="宋体" w:hAnsi="宋体" w:cs="宋体"/>
          <w:sz w:val="24"/>
          <w:szCs w:val="24"/>
        </w:rPr>
        <w:t xml:space="preserve">招标人</w:t>
      </w:r>
      <w:r>
        <w:rPr>
          <w:rFonts w:hint="eastAsia" w:ascii="宋体" w:hAnsi="宋体" w:eastAsia="宋体" w:cs="宋体"/>
          <w:sz w:val="24"/>
          <w:szCs w:val="24"/>
        </w:rPr>
        <w:t xml:space="preserve">承担维修或更换工作，价格依产品审计单价按实结算。</w:t>
      </w:r>
      <w:r/>
    </w:p>
    <w:p>
      <w:pPr>
        <w:pStyle w:val="805"/>
        <w:ind w:left="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5、售后服务</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无论保修期内还是保修期外，供货方应满足</w:t>
      </w:r>
      <w:r>
        <w:rPr>
          <w:rFonts w:hint="eastAsia" w:ascii="宋体" w:hAnsi="宋体" w:cs="宋体"/>
          <w:sz w:val="24"/>
          <w:szCs w:val="24"/>
        </w:rPr>
        <w:t xml:space="preserve">招标人</w:t>
      </w:r>
      <w:r>
        <w:rPr>
          <w:rFonts w:hint="eastAsia" w:ascii="宋体" w:hAnsi="宋体" w:eastAsia="宋体" w:cs="宋体"/>
          <w:sz w:val="24"/>
          <w:szCs w:val="24"/>
        </w:rPr>
        <w:t xml:space="preserve">售后服务的紧急需求，提供24小时的全方位技术支持和售后服务。对</w:t>
      </w:r>
      <w:r>
        <w:rPr>
          <w:rFonts w:hint="eastAsia" w:ascii="宋体" w:hAnsi="宋体" w:cs="宋体"/>
          <w:sz w:val="24"/>
          <w:szCs w:val="24"/>
        </w:rPr>
        <w:t xml:space="preserve">招标人</w:t>
      </w:r>
      <w:r>
        <w:rPr>
          <w:rFonts w:hint="eastAsia" w:ascii="宋体" w:hAnsi="宋体" w:eastAsia="宋体" w:cs="宋体"/>
          <w:sz w:val="24"/>
          <w:szCs w:val="24"/>
        </w:rPr>
        <w:t xml:space="preserve">的故障通知，供货方在接报后1小时内响应，2小时内到达现场，4小时内处理完毕。若在12小时内仍未能有效解决故障的，供货方须免费提供同档次的货物给</w:t>
      </w:r>
      <w:r>
        <w:rPr>
          <w:rFonts w:hint="eastAsia" w:ascii="宋体" w:hAnsi="宋体" w:cs="宋体"/>
          <w:sz w:val="24"/>
          <w:szCs w:val="24"/>
        </w:rPr>
        <w:t xml:space="preserve">招标人</w:t>
      </w:r>
      <w:r>
        <w:rPr>
          <w:rFonts w:hint="eastAsia" w:ascii="宋体" w:hAnsi="宋体" w:eastAsia="宋体" w:cs="宋体"/>
          <w:sz w:val="24"/>
          <w:szCs w:val="24"/>
        </w:rPr>
        <w:t xml:space="preserve">临时使用，确保</w:t>
      </w:r>
      <w:r>
        <w:rPr>
          <w:rFonts w:hint="eastAsia" w:ascii="宋体" w:hAnsi="宋体" w:cs="宋体"/>
          <w:sz w:val="24"/>
          <w:szCs w:val="24"/>
        </w:rPr>
        <w:t xml:space="preserve">招标人</w:t>
      </w:r>
      <w:r>
        <w:rPr>
          <w:rFonts w:hint="eastAsia" w:ascii="宋体" w:hAnsi="宋体" w:eastAsia="宋体" w:cs="宋体"/>
          <w:sz w:val="24"/>
          <w:szCs w:val="24"/>
        </w:rPr>
        <w:t xml:space="preserve">的业务正常开展。</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供货方无偿培训</w:t>
      </w:r>
      <w:r>
        <w:rPr>
          <w:rFonts w:hint="eastAsia" w:ascii="宋体" w:hAnsi="宋体" w:cs="宋体"/>
          <w:sz w:val="24"/>
          <w:szCs w:val="24"/>
        </w:rPr>
        <w:t xml:space="preserve">招标人</w:t>
      </w:r>
      <w:r>
        <w:rPr>
          <w:rFonts w:hint="eastAsia" w:ascii="宋体" w:hAnsi="宋体" w:eastAsia="宋体" w:cs="宋体"/>
          <w:sz w:val="24"/>
          <w:szCs w:val="24"/>
        </w:rPr>
        <w:t xml:space="preserve">操作使用与维修人员，主要内容包括但不限于货物的基本结构、性能、操作使用方法、主要部件的构造及修理，日常使用保养与管理，安全防范，常见故障的排除，紧急情况的处理等，培训时间按</w:t>
      </w:r>
      <w:r>
        <w:rPr>
          <w:rFonts w:hint="eastAsia" w:ascii="宋体" w:hAnsi="宋体" w:cs="宋体"/>
          <w:sz w:val="24"/>
          <w:szCs w:val="24"/>
        </w:rPr>
        <w:t xml:space="preserve">招标人</w:t>
      </w:r>
      <w:r>
        <w:rPr>
          <w:rFonts w:hint="eastAsia" w:ascii="宋体" w:hAnsi="宋体" w:eastAsia="宋体" w:cs="宋体"/>
          <w:sz w:val="24"/>
          <w:szCs w:val="24"/>
        </w:rPr>
        <w:t xml:space="preserve">要求，培训地点主要在设备现场或按</w:t>
      </w:r>
      <w:r>
        <w:rPr>
          <w:rFonts w:hint="eastAsia" w:ascii="宋体" w:hAnsi="宋体" w:cs="宋体"/>
          <w:sz w:val="24"/>
          <w:szCs w:val="24"/>
        </w:rPr>
        <w:t xml:space="preserve">招标人</w:t>
      </w:r>
      <w:r>
        <w:rPr>
          <w:rFonts w:hint="eastAsia" w:ascii="宋体" w:hAnsi="宋体" w:eastAsia="宋体" w:cs="宋体"/>
          <w:sz w:val="24"/>
          <w:szCs w:val="24"/>
        </w:rPr>
        <w:t xml:space="preserve">安排。</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如果设备交付使用后，缺陷多次反复出现，供货方必须提出分析报告和解决方案，直到最后纠正缺陷，供货方提供的质保从纠正之日起重新计算质保期。</w:t>
      </w:r>
      <w:r/>
    </w:p>
    <w:p>
      <w:pPr>
        <w:pStyle w:val="805"/>
        <w:ind w:left="0" w:firstLine="24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供货方两次维修仍不能达到合同约定的质量标准和厂家的质量标准，</w:t>
      </w:r>
      <w:r>
        <w:rPr>
          <w:rFonts w:hint="eastAsia" w:ascii="宋体" w:hAnsi="宋体" w:cs="宋体"/>
          <w:sz w:val="24"/>
          <w:szCs w:val="24"/>
        </w:rPr>
        <w:t xml:space="preserve">招标人</w:t>
      </w:r>
      <w:r>
        <w:rPr>
          <w:rFonts w:hint="eastAsia" w:ascii="宋体" w:hAnsi="宋体" w:eastAsia="宋体" w:cs="宋体"/>
          <w:sz w:val="24"/>
          <w:szCs w:val="24"/>
        </w:rPr>
        <w:t xml:space="preserve">有权单方面决定退货，并依法追究供货方的违约责任。</w:t>
      </w:r>
      <w:r/>
    </w:p>
    <w:p>
      <w:pPr>
        <w:pStyle w:val="805"/>
        <w:numPr>
          <w:ilvl w:val="0"/>
          <w:numId w:val="7"/>
        </w:numPr>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商务要求</w:t>
      </w:r>
      <w:r/>
    </w:p>
    <w:p>
      <w:pPr>
        <w:pStyle w:val="805"/>
        <w:numPr>
          <w:ilvl w:val="0"/>
          <w:numId w:val="13"/>
        </w:numPr>
        <w:jc w:val="left"/>
        <w:spacing w:line="360" w:lineRule="auto"/>
        <w:tabs>
          <w:tab w:val="left" w:pos="484" w:leader="none"/>
          <w:tab w:val="left" w:pos="550" w:leader="none"/>
        </w:tabs>
        <w:rPr>
          <w:rFonts w:ascii="宋体" w:hAnsi="宋体" w:eastAsia="宋体" w:cs="宋体"/>
          <w:b/>
          <w:bCs/>
          <w:sz w:val="24"/>
          <w:szCs w:val="24"/>
        </w:rPr>
        <w:outlineLvl w:val="1"/>
      </w:pPr>
      <w:r>
        <w:rPr>
          <w:rFonts w:hint="eastAsia" w:ascii="宋体" w:hAnsi="宋体" w:eastAsia="宋体" w:cs="宋体"/>
          <w:b/>
          <w:bCs/>
          <w:sz w:val="24"/>
          <w:szCs w:val="24"/>
        </w:rPr>
        <w:t xml:space="preserve">报价清单编制要求</w:t>
      </w:r>
      <w:r/>
    </w:p>
    <w:p>
      <w:pPr>
        <w:pStyle w:val="805"/>
        <w:numPr>
          <w:ilvl w:val="0"/>
          <w:numId w:val="14"/>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投标报价范围</w:t>
      </w:r>
      <w:r/>
    </w:p>
    <w:p>
      <w:pPr>
        <w:pStyle w:val="805"/>
        <w:ind w:left="0" w:firstLine="482"/>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投标报价应包括本项目按“交钥匙工程”竣工交付时所需全部费用</w:t>
      </w:r>
      <w:r>
        <w:rPr>
          <w:rFonts w:hint="eastAsia" w:ascii="宋体" w:hAnsi="宋体" w:eastAsia="宋体" w:cs="宋体"/>
          <w:sz w:val="24"/>
          <w:szCs w:val="24"/>
        </w:rPr>
        <w:t xml:space="preserve">，包括但不限于：安装方案编制和修改完善，所有设备及配套设施采购、安</w:t>
      </w:r>
      <w:r>
        <w:rPr>
          <w:rFonts w:hint="eastAsia" w:ascii="宋体" w:hAnsi="宋体" w:eastAsia="宋体" w:cs="宋体"/>
          <w:sz w:val="24"/>
          <w:szCs w:val="24"/>
        </w:rPr>
        <w:t xml:space="preserve">装、施工、保修（执行国家相关规定）、竣工验收及相关服务等全过程的交钥匙工程全部内容，以及为完成上述内容所必须的包装、运输、附属工程、临时工程、开办费、技术措施费、工程施工过程现场服务咨询费、资料增加成本费、风险费（含设计变更）、材料、劳务、机械设备、安装、维护、管理、利润、税金、建筑垃圾清运费用（施工过程中产生的建筑垃圾，就地资源化利用或运至场外建筑垃圾具备资质的处置企业处置，且不得掺杂其他垃圾。垃圾处置费用由供货方自行考虑列入报价，结算时不再调整）、政策性文件规定费用等；相关设备应提供</w:t>
      </w:r>
      <w:r>
        <w:rPr>
          <w:rFonts w:hint="eastAsia" w:ascii="宋体" w:hAnsi="宋体" w:cs="宋体"/>
          <w:sz w:val="24"/>
          <w:szCs w:val="24"/>
        </w:rPr>
        <w:t xml:space="preserve">招标人</w:t>
      </w:r>
      <w:r>
        <w:rPr>
          <w:rFonts w:hint="eastAsia" w:ascii="宋体" w:hAnsi="宋体" w:eastAsia="宋体" w:cs="宋体"/>
          <w:sz w:val="24"/>
          <w:szCs w:val="24"/>
        </w:rPr>
        <w:t xml:space="preserve">操作手册、配件备件等。供货方需踏勘现场、充分考虑现场情况后综合考虑，结算时不再调整。</w:t>
      </w:r>
      <w:r/>
    </w:p>
    <w:p>
      <w:pPr>
        <w:pStyle w:val="805"/>
        <w:numPr>
          <w:ilvl w:val="0"/>
          <w:numId w:val="14"/>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投标报价要求</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投标时货物单价为</w:t>
      </w:r>
      <w:r>
        <w:rPr>
          <w:rFonts w:hint="eastAsia" w:ascii="宋体" w:hAnsi="宋体" w:eastAsia="宋体" w:cs="宋体"/>
          <w:b/>
          <w:bCs/>
          <w:sz w:val="24"/>
          <w:szCs w:val="24"/>
        </w:rPr>
        <w:t xml:space="preserve">全费用综合单价</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报价清单中若有漏项、缺项、少算部分，视同分摊至其余综合单价中，结算时不予增加</w:t>
      </w:r>
      <w:r>
        <w:rPr>
          <w:rFonts w:hint="eastAsia" w:ascii="宋体" w:hAnsi="宋体" w:eastAsia="宋体" w:cs="宋体"/>
          <w:sz w:val="24"/>
          <w:szCs w:val="24"/>
        </w:rPr>
        <w:t xml:space="preserve">。除</w:t>
      </w:r>
      <w:r>
        <w:rPr>
          <w:rFonts w:hint="eastAsia" w:ascii="宋体" w:hAnsi="宋体" w:cs="宋体"/>
          <w:sz w:val="24"/>
          <w:szCs w:val="24"/>
        </w:rPr>
        <w:t xml:space="preserve">招标人</w:t>
      </w:r>
      <w:r>
        <w:rPr>
          <w:rFonts w:hint="eastAsia" w:ascii="宋体" w:hAnsi="宋体" w:eastAsia="宋体" w:cs="宋体"/>
          <w:sz w:val="24"/>
          <w:szCs w:val="24"/>
        </w:rPr>
        <w:t xml:space="preserve">认可的方案变更引起的调整外，供货方不得提出任何增加费用的要求。</w:t>
      </w:r>
      <w:r/>
    </w:p>
    <w:p>
      <w:pPr>
        <w:pStyle w:val="805"/>
        <w:numPr>
          <w:ilvl w:val="0"/>
          <w:numId w:val="14"/>
        </w:numPr>
        <w:spacing w:line="360" w:lineRule="auto"/>
        <w:rPr>
          <w:rFonts w:ascii="宋体" w:hAnsi="宋体" w:eastAsia="宋体" w:cs="宋体"/>
          <w:b/>
          <w:bCs/>
          <w:sz w:val="24"/>
          <w:szCs w:val="24"/>
        </w:rPr>
        <w:outlineLvl w:val="2"/>
      </w:pPr>
      <w:r>
        <w:rPr>
          <w:rFonts w:hint="eastAsia" w:ascii="宋体" w:hAnsi="宋体" w:eastAsia="宋体" w:cs="宋体"/>
          <w:b/>
          <w:sz w:val="24"/>
          <w:szCs w:val="24"/>
        </w:rPr>
        <w:t xml:space="preserve">现场踏勘要求</w:t>
      </w:r>
      <w:r/>
    </w:p>
    <w:p>
      <w:pPr>
        <w:pStyle w:val="805"/>
        <w:ind w:left="0" w:firstLine="480"/>
        <w:spacing w:line="360" w:lineRule="auto"/>
        <w:rPr>
          <w:rFonts w:ascii="宋体" w:hAnsi="宋体" w:eastAsia="宋体" w:cs="宋体"/>
          <w:b/>
          <w:bCs/>
          <w:sz w:val="24"/>
          <w:szCs w:val="24"/>
        </w:rPr>
        <w:outlineLvl w:val="2"/>
      </w:pPr>
      <w:r>
        <w:rPr>
          <w:rFonts w:hint="eastAsia" w:ascii="宋体" w:hAnsi="宋体" w:eastAsia="宋体" w:cs="宋体"/>
          <w:sz w:val="24"/>
          <w:szCs w:val="24"/>
        </w:rPr>
        <w:t xml:space="preserve">供货方需自行组织</w:t>
      </w:r>
      <w:r>
        <w:rPr>
          <w:rFonts w:hint="eastAsia" w:ascii="宋体" w:hAnsi="宋体" w:eastAsia="宋体" w:cs="宋体"/>
          <w:b/>
          <w:sz w:val="24"/>
          <w:szCs w:val="24"/>
        </w:rPr>
        <w:t xml:space="preserve">现场踏勘</w:t>
      </w:r>
      <w:r>
        <w:rPr>
          <w:rFonts w:hint="eastAsia" w:ascii="宋体" w:hAnsi="宋体" w:eastAsia="宋体" w:cs="宋体"/>
          <w:sz w:val="24"/>
          <w:szCs w:val="24"/>
        </w:rPr>
        <w:t xml:space="preserve">，要结合设备安装实际情况勘测现场布线及辅材实际用量。</w:t>
      </w:r>
      <w:r>
        <w:rPr>
          <w:rFonts w:hint="eastAsia" w:ascii="宋体" w:hAnsi="宋体" w:eastAsia="宋体" w:cs="宋体"/>
          <w:b/>
          <w:bCs/>
          <w:sz w:val="24"/>
          <w:szCs w:val="24"/>
        </w:rPr>
        <w:t xml:space="preserve">供货方无权因现场调查不周而修改有关文件或要求补偿。</w:t>
      </w:r>
      <w:r/>
    </w:p>
    <w:p>
      <w:pPr>
        <w:pStyle w:val="805"/>
        <w:numPr>
          <w:ilvl w:val="0"/>
          <w:numId w:val="13"/>
        </w:numPr>
        <w:jc w:val="left"/>
        <w:spacing w:line="360" w:lineRule="auto"/>
        <w:tabs>
          <w:tab w:val="left" w:pos="484" w:leader="none"/>
          <w:tab w:val="left" w:pos="550" w:leader="none"/>
        </w:tabs>
        <w:rPr>
          <w:rFonts w:ascii="宋体" w:hAnsi="宋体" w:eastAsia="宋体" w:cs="宋体"/>
          <w:b/>
          <w:bCs/>
          <w:sz w:val="24"/>
          <w:szCs w:val="24"/>
        </w:rPr>
        <w:outlineLvl w:val="1"/>
      </w:pPr>
      <w:r>
        <w:rPr>
          <w:rFonts w:hint="eastAsia" w:ascii="宋体" w:hAnsi="宋体" w:eastAsia="宋体" w:cs="宋体"/>
          <w:b/>
          <w:bCs/>
          <w:sz w:val="24"/>
          <w:szCs w:val="24"/>
        </w:rPr>
        <w:t xml:space="preserve">货物资料完善要求</w:t>
      </w:r>
      <w:r/>
    </w:p>
    <w:p>
      <w:pPr>
        <w:pStyle w:val="805"/>
        <w:numPr>
          <w:ilvl w:val="0"/>
          <w:numId w:val="15"/>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货物参数优化</w:t>
      </w:r>
      <w:r/>
    </w:p>
    <w:p>
      <w:pPr>
        <w:pStyle w:val="805"/>
        <w:ind w:left="0" w:firstLine="480"/>
        <w:spacing w:line="360" w:lineRule="auto"/>
        <w:rPr>
          <w:rFonts w:ascii="宋体" w:hAnsi="宋体" w:eastAsia="宋体" w:cs="宋体"/>
          <w:b/>
          <w:sz w:val="24"/>
          <w:szCs w:val="24"/>
        </w:rPr>
        <w:outlineLvl w:val="2"/>
      </w:pPr>
      <w:r>
        <w:rPr>
          <w:rFonts w:hint="eastAsia" w:ascii="宋体" w:hAnsi="宋体" w:eastAsia="宋体" w:cs="宋体"/>
          <w:sz w:val="24"/>
          <w:szCs w:val="24"/>
        </w:rPr>
        <w:t xml:space="preserve">供货方必须严格按照项目实施要求，结合现场实际条件，依据自己的工艺标准，在不低于本文件</w:t>
      </w:r>
      <w:r>
        <w:rPr>
          <w:rFonts w:hint="eastAsia" w:ascii="宋体" w:hAnsi="宋体" w:eastAsia="宋体" w:cs="宋体"/>
          <w:b/>
          <w:sz w:val="24"/>
          <w:szCs w:val="24"/>
        </w:rPr>
        <w:t xml:space="preserve">要求参数的基础之上，编制完整的、准确的报价清单，进一步明确所选用的主材、辅材、设备等的品牌、规格、型号、参数等，并详述具体的安装工艺</w:t>
      </w:r>
      <w:r>
        <w:rPr>
          <w:rFonts w:hint="eastAsia" w:ascii="宋体" w:hAnsi="宋体" w:eastAsia="宋体" w:cs="宋体"/>
          <w:sz w:val="24"/>
          <w:szCs w:val="24"/>
        </w:rPr>
        <w:t xml:space="preserve">。供货方对采购方案中规定的技术参数、规格、数量和要求等必须等于或高于招标文件提供的详细参数。</w:t>
      </w:r>
      <w:r/>
    </w:p>
    <w:p>
      <w:pPr>
        <w:pStyle w:val="805"/>
        <w:numPr>
          <w:ilvl w:val="0"/>
          <w:numId w:val="15"/>
        </w:numPr>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货物供应保证</w:t>
      </w:r>
      <w:r/>
    </w:p>
    <w:p>
      <w:pPr>
        <w:pStyle w:val="805"/>
        <w:ind w:left="0"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供货方</w:t>
      </w:r>
      <w:r>
        <w:rPr>
          <w:rFonts w:hint="eastAsia" w:ascii="宋体" w:hAnsi="宋体" w:cs="宋体"/>
          <w:sz w:val="24"/>
          <w:szCs w:val="24"/>
        </w:rPr>
        <w:t xml:space="preserve">所投产品</w:t>
      </w:r>
      <w:r>
        <w:rPr>
          <w:rFonts w:hint="eastAsia" w:ascii="宋体" w:hAnsi="宋体" w:eastAsia="宋体" w:cs="宋体"/>
          <w:sz w:val="24"/>
          <w:szCs w:val="24"/>
        </w:rPr>
        <w:t xml:space="preserve">货物型号必须是真实存在的且尚未停产，在供货周期内按照所投设施设备的品牌、型号、规格参数供应设施设备，否则供货方需处以该货物3倍以上罚款。</w:t>
      </w:r>
      <w:r/>
    </w:p>
    <w:p>
      <w:pPr>
        <w:pStyle w:val="805"/>
        <w:ind w:left="0" w:firstLine="480"/>
        <w:spacing w:line="360" w:lineRule="auto"/>
        <w:rPr>
          <w:rFonts w:ascii="宋体" w:hAnsi="宋体" w:cs="宋体"/>
          <w:sz w:val="24"/>
          <w:szCs w:val="24"/>
        </w:rPr>
        <w:outlineLvl w:val="2"/>
      </w:pPr>
      <w:r>
        <w:rPr>
          <w:rFonts w:hint="eastAsia" w:ascii="宋体" w:hAnsi="宋体" w:cs="宋体"/>
          <w:sz w:val="24"/>
          <w:szCs w:val="24"/>
        </w:rPr>
        <w:t xml:space="preserve">供货方所投产品符合国家、省、市节能、环保要求（</w:t>
      </w:r>
      <w:r>
        <w:rPr>
          <w:rFonts w:hint="eastAsia" w:ascii="宋体" w:hAnsi="宋体" w:eastAsia="宋体" w:cs="宋体"/>
          <w:sz w:val="24"/>
          <w:szCs w:val="24"/>
        </w:rPr>
        <w:t xml:space="preserve">节能产品认证应依据相关国家标准的最新版本</w:t>
      </w:r>
      <w:r>
        <w:rPr>
          <w:rFonts w:hint="eastAsia" w:ascii="宋体" w:hAnsi="宋体" w:cs="宋体"/>
          <w:sz w:val="24"/>
          <w:szCs w:val="24"/>
        </w:rPr>
        <w:t xml:space="preserve">）。</w:t>
      </w:r>
      <w:r/>
    </w:p>
    <w:p>
      <w:pPr>
        <w:pStyle w:val="805"/>
        <w:ind w:left="0" w:firstLine="480"/>
        <w:spacing w:line="360" w:lineRule="auto"/>
        <w:rPr>
          <w:rFonts w:ascii="宋体" w:hAnsi="宋体" w:cs="宋体"/>
          <w:sz w:val="24"/>
          <w:szCs w:val="24"/>
        </w:rPr>
        <w:outlineLvl w:val="2"/>
      </w:pPr>
      <w:r>
        <w:rPr>
          <w:rFonts w:hint="eastAsia" w:ascii="宋体" w:hAnsi="宋体" w:eastAsia="宋体" w:cs="宋体"/>
          <w:sz w:val="24"/>
          <w:szCs w:val="24"/>
        </w:rPr>
        <w:t xml:space="preserve">供货方所供货物应当按照《财政部 生态环境部 工业和信息化部关于印发&lt;绿色数据中心政府采购需求标准（试行）&gt;的通知》（</w:t>
      </w:r>
      <w:bookmarkStart w:id="204" w:name="sendNo"/>
      <w:r>
        <w:rPr>
          <w:rFonts w:hint="eastAsia" w:ascii="宋体" w:hAnsi="宋体" w:eastAsia="宋体" w:cs="宋体"/>
          <w:sz w:val="24"/>
          <w:szCs w:val="24"/>
        </w:rPr>
        <w:t xml:space="preserve">财库〔2023</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号</w:t>
      </w:r>
      <w:bookmarkEnd w:id="204"/>
      <w:r>
        <w:rPr>
          <w:rFonts w:hint="eastAsia" w:ascii="宋体" w:hAnsi="宋体" w:eastAsia="宋体" w:cs="宋体"/>
          <w:sz w:val="24"/>
          <w:szCs w:val="24"/>
        </w:rPr>
        <w:t xml:space="preserve">）提供本项目所需设备及服务。</w:t>
      </w:r>
      <w:r/>
    </w:p>
    <w:p>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98"/>
        <w:spacing w:line="500" w:lineRule="exact"/>
        <w:rPr>
          <w:rFonts w:ascii="仿宋" w:hAnsi="仿宋" w:eastAsia="仿宋" w:cs="仿宋"/>
          <w:b/>
          <w:bCs/>
          <w:spacing w:val="4"/>
          <w:sz w:val="24"/>
          <w:szCs w:val="24"/>
        </w:rPr>
      </w:pPr>
      <w:r>
        <w:rPr>
          <w:rFonts w:ascii="仿宋" w:hAnsi="仿宋" w:eastAsia="仿宋" w:cs="仿宋"/>
          <w:b/>
          <w:bCs/>
          <w:spacing w:val="4"/>
          <w:sz w:val="24"/>
          <w:szCs w:val="24"/>
        </w:rPr>
      </w:r>
      <w:r/>
    </w:p>
    <w:p>
      <w:pPr>
        <w:rPr>
          <w:rFonts w:ascii="仿宋" w:hAnsi="仿宋" w:eastAsia="仿宋" w:cs="仿宋"/>
          <w:b/>
          <w:color w:val="000000"/>
          <w:sz w:val="44"/>
        </w:rPr>
      </w:pPr>
      <w:r>
        <w:rPr>
          <w:rFonts w:ascii="仿宋" w:hAnsi="仿宋" w:eastAsia="仿宋" w:cs="仿宋"/>
          <w:b/>
          <w:color w:val="000000"/>
          <w:sz w:val="44"/>
        </w:rPr>
      </w:r>
      <w:r/>
    </w:p>
    <w:p>
      <w:pPr>
        <w:rPr>
          <w:rFonts w:ascii="仿宋" w:hAnsi="仿宋" w:eastAsia="仿宋" w:cs="仿宋"/>
          <w:b/>
          <w:color w:val="000000"/>
          <w:sz w:val="44"/>
        </w:rPr>
      </w:pPr>
      <w:r>
        <w:rPr>
          <w:rFonts w:ascii="仿宋" w:hAnsi="仿宋" w:eastAsia="仿宋" w:cs="仿宋"/>
          <w:b/>
          <w:color w:val="000000"/>
          <w:sz w:val="44"/>
        </w:rPr>
      </w:r>
      <w:r/>
    </w:p>
    <w:p>
      <w:pPr>
        <w:rPr>
          <w:rFonts w:ascii="仿宋" w:hAnsi="仿宋" w:eastAsia="仿宋" w:cs="仿宋"/>
          <w:b/>
          <w:color w:val="000000"/>
          <w:sz w:val="44"/>
        </w:rPr>
      </w:pPr>
      <w:r>
        <w:rPr>
          <w:rFonts w:ascii="仿宋" w:hAnsi="仿宋" w:eastAsia="仿宋" w:cs="仿宋"/>
          <w:b/>
          <w:color w:val="000000"/>
          <w:sz w:val="44"/>
        </w:rPr>
      </w:r>
      <w:r/>
    </w:p>
    <w:p>
      <w:pPr>
        <w:pStyle w:val="944"/>
        <w:spacing w:line="500" w:lineRule="exact"/>
        <w:rPr>
          <w:rFonts w:ascii="仿宋" w:hAnsi="仿宋" w:eastAsia="仿宋" w:cs="仿宋"/>
          <w:bCs/>
          <w:color w:val="000000"/>
          <w:sz w:val="44"/>
        </w:rPr>
      </w:pPr>
      <w:r>
        <w:rPr>
          <w:rFonts w:hint="eastAsia" w:ascii="仿宋" w:hAnsi="仿宋" w:eastAsia="仿宋" w:cs="仿宋"/>
          <w:b/>
          <w:color w:val="000000"/>
          <w:sz w:val="44"/>
        </w:rPr>
        <w:t xml:space="preserve">第五章</w:t>
      </w:r>
      <w:r>
        <w:rPr>
          <w:rFonts w:hint="eastAsia" w:ascii="仿宋" w:hAnsi="仿宋" w:eastAsia="仿宋" w:cs="仿宋"/>
          <w:bCs/>
          <w:color w:val="000000"/>
          <w:sz w:val="44"/>
        </w:rPr>
        <w:t xml:space="preserve">  </w:t>
      </w:r>
      <w:r>
        <w:rPr>
          <w:rFonts w:hint="eastAsia" w:ascii="仿宋" w:hAnsi="仿宋" w:eastAsia="仿宋" w:cs="仿宋"/>
          <w:b/>
          <w:bCs/>
          <w:color w:val="000000"/>
          <w:sz w:val="44"/>
        </w:rPr>
        <w:t xml:space="preserve"> 评标方法与评标标准</w:t>
      </w:r>
      <w:r/>
    </w:p>
    <w:p>
      <w:pPr>
        <w:spacing w:line="500" w:lineRule="exact"/>
        <w:rPr>
          <w:rFonts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p>
    <w:tbl>
      <w:tblPr>
        <w:tblStyle w:val="762"/>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信用信息</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联合体投标</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不接受联合体投标</w:t>
            </w:r>
            <w:r/>
          </w:p>
        </w:tc>
      </w:tr>
    </w:tbl>
    <w:p>
      <w:pPr>
        <w:spacing w:line="500" w:lineRule="exact"/>
        <w:rPr>
          <w:rFonts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p>
    <w:tbl>
      <w:tblPr>
        <w:tblStyle w:val="762"/>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p>
    <w:p>
      <w:pPr>
        <w:ind w:firstLine="241"/>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p>
    <w:p>
      <w:pPr>
        <w:numPr>
          <w:ilvl w:val="0"/>
          <w:numId w:val="16"/>
        </w:numPr>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23"/>
        <w:gridCol w:w="1023"/>
        <w:gridCol w:w="1023"/>
        <w:gridCol w:w="6100"/>
      </w:tblGrid>
      <w:tr>
        <w:trPr/>
        <w:tc>
          <w:tcPr>
            <w:gridSpan w:val="2"/>
            <w:shd w:val="clear" w:color="auto" w:fill="auto"/>
            <w:tcBorders>
              <w:top w:val="single" w:color="auto" w:sz="4" w:space="0"/>
              <w:left w:val="single" w:color="auto" w:sz="4" w:space="0"/>
              <w:bottom w:val="single" w:color="auto" w:sz="4" w:space="0"/>
              <w:right w:val="single" w:color="auto" w:sz="4" w:space="0"/>
            </w:tcBorders>
            <w:tcW w:w="1116"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3326" w:type="pct"/>
            <w:vAlign w:val="center"/>
            <w:textDirection w:val="lrTb"/>
            <w:noWrap/>
          </w:tcPr>
          <w:p>
            <w:pPr>
              <w:jc w:val="center"/>
              <w:widowControl/>
              <w:rPr>
                <w:rFonts w:eastAsia="宋体" w:cs="Times New Roman"/>
                <w:sz w:val="20"/>
                <w:szCs w:val="20"/>
              </w:rPr>
            </w:pPr>
            <w:r>
              <w:rPr>
                <w:rFonts w:eastAsia="宋体" w:cs="Times New Roman"/>
                <w:sz w:val="20"/>
                <w:szCs w:val="20"/>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sz w:val="20"/>
                <w:szCs w:val="20"/>
              </w:rPr>
            </w:pPr>
            <w:r>
              <w:rPr>
                <w:rFonts w:eastAsia="宋体" w:cs="Times New Roman"/>
                <w:sz w:val="20"/>
                <w:szCs w:val="20"/>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所有通过评审的有效投标报价的最低报价为评标基准价；投标报价得分=(评标基准价／投标报价)×10。</w:t>
            </w:r>
            <w:r/>
          </w:p>
        </w:tc>
      </w:tr>
      <w:tr>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技术参数</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30.00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采购需求中每一项标注的▲参数部分，产品核心功能及参数完全满足的得30分，每一项负偏离扣</w:t>
            </w:r>
            <w:r>
              <w:rPr>
                <w:rFonts w:hint="eastAsia" w:eastAsia="宋体" w:cs="Times New Roman"/>
                <w:sz w:val="20"/>
                <w:szCs w:val="20"/>
              </w:rPr>
              <w:t xml:space="preserve">2</w:t>
            </w:r>
            <w:r>
              <w:rPr>
                <w:rFonts w:eastAsia="宋体" w:cs="Times New Roman"/>
                <w:sz w:val="20"/>
                <w:szCs w:val="20"/>
              </w:rPr>
              <w:t xml:space="preserve">分，扣完为止。 </w:t>
            </w:r>
            <w:r>
              <w:rPr>
                <w:rFonts w:eastAsia="宋体" w:cs="Times New Roman"/>
                <w:sz w:val="20"/>
                <w:szCs w:val="20"/>
              </w:rPr>
              <w:br/>
            </w:r>
            <w:r>
              <w:rPr>
                <w:rFonts w:eastAsia="宋体" w:cs="Times New Roman"/>
                <w:sz w:val="20"/>
                <w:szCs w:val="20"/>
              </w:rPr>
              <w:t xml:space="preserve">注：招标文件中标注的▲产品参数按文件要求提供证明材料，未标注的产品参数依据投标人所提供的“投标响应偏离表"进行评审。</w:t>
            </w:r>
            <w:r/>
          </w:p>
        </w:tc>
      </w:tr>
      <w:tr>
        <w:trPr/>
        <w:tc>
          <w:tcPr>
            <w:shd w:val="clear" w:color="auto" w:fill="auto"/>
            <w:tcBorders>
              <w:top w:val="none" w:color="000000" w:sz="4" w:space="0"/>
              <w:left w:val="single" w:color="auto" w:sz="4" w:space="0"/>
              <w:bottom w:val="single" w:color="000000" w:sz="4" w:space="0"/>
              <w:right w:val="single" w:color="auto" w:sz="4" w:space="0"/>
            </w:tcBorders>
            <w:tcW w:w="558" w:type="pct"/>
            <w:vAlign w:val="center"/>
            <w:vMerge w:val="restart"/>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6.00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自2021年起</w:t>
            </w:r>
            <w:r>
              <w:rPr>
                <w:rFonts w:hint="eastAsia" w:eastAsia="宋体" w:cs="Times New Roman"/>
                <w:sz w:val="20"/>
                <w:szCs w:val="20"/>
                <w:lang w:eastAsia="zh-CN"/>
              </w:rPr>
              <w:t xml:space="preserve">（</w:t>
            </w:r>
            <w:r>
              <w:rPr>
                <w:rFonts w:hint="eastAsia" w:eastAsia="宋体" w:cs="Times New Roman"/>
                <w:sz w:val="20"/>
                <w:szCs w:val="20"/>
                <w:lang w:val="en-US" w:eastAsia="zh-CN"/>
              </w:rPr>
              <w:t xml:space="preserve">以合同签订时间为准</w:t>
            </w:r>
            <w:r>
              <w:rPr>
                <w:rFonts w:hint="eastAsia" w:eastAsia="宋体" w:cs="Times New Roman"/>
                <w:sz w:val="20"/>
                <w:szCs w:val="20"/>
                <w:lang w:eastAsia="zh-CN"/>
              </w:rPr>
              <w:t xml:space="preserve">）</w:t>
            </w:r>
            <w:r>
              <w:rPr>
                <w:rFonts w:eastAsia="宋体" w:cs="Times New Roman"/>
                <w:sz w:val="20"/>
                <w:szCs w:val="20"/>
              </w:rPr>
              <w:t xml:space="preserve">，投标人具有与本项目类似的项目案例，每提供一个项目案例得3分，最高得6分，提供相关合同等证明材料原件扫描件，未按要求提供不得分。合同业绩中主要内容、标的、服务内容、清晰可见，否则不得分</w:t>
            </w:r>
            <w:r>
              <w:rPr>
                <w:rFonts w:eastAsia="宋体" w:cs="Times New Roman"/>
                <w:sz w:val="20"/>
                <w:szCs w:val="20"/>
              </w:rPr>
              <w:br/>
            </w:r>
            <w:r>
              <w:rPr>
                <w:rFonts w:eastAsia="宋体" w:cs="Times New Roman"/>
                <w:sz w:val="20"/>
                <w:szCs w:val="20"/>
              </w:rPr>
              <w:t xml:space="preserve">注：1、成交人提供的业绩将随成交结果一并公开。</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相关认证及证书</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c00000"/>
                <w:sz w:val="20"/>
                <w:szCs w:val="20"/>
              </w:rPr>
              <w:t xml:space="preserve">6.00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hint="eastAsia" w:eastAsia="宋体" w:cs="Times New Roman"/>
                <w:sz w:val="20"/>
                <w:szCs w:val="20"/>
              </w:rPr>
              <w:t xml:space="preserve">投标人具备质量管理体系证书、信息安全管理体系认证证书、服务管理体系认证证书、</w:t>
            </w:r>
            <w:r>
              <w:rPr>
                <w:rFonts w:hint="eastAsia" w:eastAsia="宋体" w:cs="Times New Roman"/>
                <w:color w:val="c00000"/>
                <w:sz w:val="20"/>
                <w:szCs w:val="20"/>
              </w:rPr>
              <w:t xml:space="preserve">环境管理体系认证证书</w:t>
            </w:r>
            <w:r>
              <w:rPr>
                <w:rFonts w:hint="eastAsia" w:eastAsia="宋体" w:cs="Times New Roman"/>
                <w:sz w:val="20"/>
                <w:szCs w:val="20"/>
              </w:rPr>
              <w:t xml:space="preserve">，每提供一项得</w:t>
            </w:r>
            <w:r>
              <w:rPr>
                <w:rFonts w:eastAsia="宋体" w:cs="Times New Roman"/>
                <w:sz w:val="20"/>
                <w:szCs w:val="20"/>
              </w:rPr>
              <w:t xml:space="preserve">1.5</w:t>
            </w:r>
            <w:r>
              <w:rPr>
                <w:rFonts w:hint="eastAsia" w:eastAsia="宋体" w:cs="Times New Roman"/>
                <w:sz w:val="20"/>
                <w:szCs w:val="20"/>
              </w:rPr>
              <w:t xml:space="preserve">分，最高得</w:t>
            </w:r>
            <w:r>
              <w:rPr>
                <w:rFonts w:hint="eastAsia" w:eastAsia="宋体" w:cs="Times New Roman"/>
                <w:color w:val="c00000"/>
                <w:sz w:val="20"/>
                <w:szCs w:val="20"/>
              </w:rPr>
              <w:t xml:space="preserve">6分</w:t>
            </w:r>
            <w:r>
              <w:rPr>
                <w:rFonts w:hint="eastAsia" w:eastAsia="宋体" w:cs="Times New Roman"/>
                <w:sz w:val="20"/>
                <w:szCs w:val="20"/>
              </w:rPr>
              <w:t xml:space="preserve">，未按要求提供不得分。提供原件扫描件。</w:t>
            </w:r>
            <w:r/>
          </w:p>
        </w:tc>
      </w:tr>
      <w:tr>
        <w:trPr/>
        <w:tc>
          <w:tcPr>
            <w:shd w:val="clear" w:color="auto" w:fill="auto"/>
            <w:tcBorders>
              <w:top w:val="none" w:color="000000" w:sz="4" w:space="0"/>
              <w:left w:val="single" w:color="auto" w:sz="4" w:space="0"/>
              <w:bottom w:val="single" w:color="000000" w:sz="4" w:space="0"/>
              <w:right w:val="single" w:color="auto" w:sz="4" w:space="0"/>
            </w:tcBorders>
            <w:tcW w:w="558" w:type="pct"/>
            <w:vAlign w:val="center"/>
            <w:vMerge w:val="restart"/>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项目实施方案</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目标任务与需求分析</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1、根据投标人的目标任务及需求分析方案</w:t>
            </w:r>
            <w:bookmarkStart w:id="222" w:name="_GoBack"/>
            <w:r/>
            <w:bookmarkEnd w:id="222"/>
            <w:r>
              <w:rPr>
                <w:rFonts w:eastAsia="宋体" w:cs="Times New Roman"/>
                <w:sz w:val="20"/>
                <w:szCs w:val="20"/>
              </w:rPr>
              <w:t xml:space="preserve">进行打分，能满足采购需求的计3分。方案属于简单套用，不是针对本项目编制，实施链条不完整，内容空洞或简单，无法满足采购需求的计1分，没有内容或其它的不得分。</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项目总体设计方案</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hint="eastAsia" w:eastAsia="宋体" w:cs="Times New Roman"/>
                <w:color w:val="000000"/>
                <w:sz w:val="20"/>
                <w:szCs w:val="20"/>
              </w:rPr>
              <w:t xml:space="preserve">8</w:t>
            </w:r>
            <w:r>
              <w:rPr>
                <w:rFonts w:eastAsia="宋体" w:cs="Times New Roman"/>
                <w:color w:val="000000"/>
                <w:sz w:val="20"/>
                <w:szCs w:val="20"/>
              </w:rPr>
              <w:t xml:space="preserve">.00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根据投标人的项目总体设计方案进行综合打分，包括农情感知系统、智能仓储系统、智能灌溉系统、智能装备系统、智慧农场综合管理系统等设计方案。</w:t>
            </w:r>
            <w:r>
              <w:rPr>
                <w:rFonts w:eastAsia="宋体" w:cs="Times New Roman"/>
                <w:sz w:val="20"/>
                <w:szCs w:val="20"/>
              </w:rPr>
              <w:br/>
            </w:r>
            <w:r>
              <w:rPr>
                <w:rFonts w:eastAsia="宋体" w:cs="Times New Roman"/>
                <w:sz w:val="20"/>
                <w:szCs w:val="20"/>
              </w:rPr>
              <w:t xml:space="preserve">农情感知系统需包括土壤墒情仪、小型气象站、虫情测报灯、视频监控设备等设计。</w:t>
            </w:r>
            <w:r>
              <w:rPr>
                <w:rFonts w:eastAsia="宋体" w:cs="Times New Roman"/>
                <w:sz w:val="20"/>
                <w:szCs w:val="20"/>
              </w:rPr>
              <w:br/>
            </w:r>
            <w:r>
              <w:rPr>
                <w:rFonts w:eastAsia="宋体" w:cs="Times New Roman"/>
                <w:sz w:val="20"/>
                <w:szCs w:val="20"/>
              </w:rPr>
              <w:t xml:space="preserve">智能仓储系统需包括视频监控、环境监测设备、仓储档案管理等设计。</w:t>
            </w:r>
            <w:r>
              <w:rPr>
                <w:rFonts w:eastAsia="宋体" w:cs="Times New Roman"/>
                <w:sz w:val="20"/>
                <w:szCs w:val="20"/>
              </w:rPr>
              <w:br/>
            </w:r>
            <w:r>
              <w:rPr>
                <w:rFonts w:eastAsia="宋体" w:cs="Times New Roman"/>
                <w:sz w:val="20"/>
                <w:szCs w:val="20"/>
              </w:rPr>
              <w:t xml:space="preserve">智能灌溉系统需包括泵站智能化改造、阀门智能化改造、泵站智能管理等设计。</w:t>
            </w:r>
            <w:r>
              <w:rPr>
                <w:rFonts w:eastAsia="宋体" w:cs="Times New Roman"/>
                <w:sz w:val="20"/>
                <w:szCs w:val="20"/>
              </w:rPr>
              <w:br/>
            </w:r>
            <w:r>
              <w:rPr>
                <w:rFonts w:eastAsia="宋体" w:cs="Times New Roman"/>
                <w:sz w:val="20"/>
                <w:szCs w:val="20"/>
              </w:rPr>
              <w:t xml:space="preserve">智能装备系统需包括农机装备（无人插秧机、植保无人机、巡田无人机、无人收割机）、智慧农机管理等设计。</w:t>
            </w:r>
            <w:r>
              <w:rPr>
                <w:rFonts w:eastAsia="宋体" w:cs="Times New Roman"/>
                <w:sz w:val="20"/>
                <w:szCs w:val="20"/>
              </w:rPr>
              <w:br/>
            </w:r>
            <w:r>
              <w:rPr>
                <w:rFonts w:eastAsia="宋体" w:cs="Times New Roman"/>
                <w:sz w:val="20"/>
                <w:szCs w:val="20"/>
              </w:rPr>
              <w:t xml:space="preserve">智慧农场综合管理系统需包括数据综合管理底座、全域资源综合管理、农情综合监测预警、病虫害远程诊断模型、数字处方、多元决策驾驶舱、新农人助手等模块设计。</w:t>
            </w:r>
            <w:r>
              <w:rPr>
                <w:rFonts w:eastAsia="宋体" w:cs="Times New Roman"/>
                <w:sz w:val="20"/>
                <w:szCs w:val="20"/>
              </w:rPr>
              <w:br/>
            </w:r>
            <w:r>
              <w:rPr>
                <w:rFonts w:eastAsia="宋体" w:cs="Times New Roman"/>
                <w:sz w:val="20"/>
                <w:szCs w:val="20"/>
              </w:rPr>
              <w:t xml:space="preserve">能满足采购需求的计</w:t>
            </w:r>
            <w:r>
              <w:rPr>
                <w:rFonts w:hint="eastAsia" w:eastAsia="宋体" w:cs="Times New Roman"/>
                <w:sz w:val="20"/>
                <w:szCs w:val="20"/>
              </w:rPr>
              <w:t xml:space="preserve">8</w:t>
            </w:r>
            <w:r>
              <w:rPr>
                <w:rFonts w:eastAsia="宋体" w:cs="Times New Roman"/>
                <w:sz w:val="20"/>
                <w:szCs w:val="20"/>
              </w:rPr>
              <w:t xml:space="preserve">分。方案属于简单套用，不是针对本项目编制，实施链条不完整，内容空洞或简单，无法满足采购需求的计3分，没有内容或其它的不得分。</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val="false"/>
          </w:tcPr>
          <w:p>
            <w:pPr>
              <w:jc w:val="center"/>
              <w:widowControl/>
              <w:rPr>
                <w:rFonts w:eastAsia="宋体" w:cs="Times New Roman"/>
                <w:color w:val="000000"/>
                <w:sz w:val="20"/>
                <w:szCs w:val="20"/>
              </w:rPr>
            </w:pPr>
            <w:r>
              <w:rPr>
                <w:rFonts w:eastAsia="宋体" w:cs="Times New Roman"/>
                <w:color w:val="000000"/>
                <w:sz w:val="20"/>
                <w:szCs w:val="20"/>
              </w:rPr>
              <w:t xml:space="preserve">项目质量保障措施及进度计划方案</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投标人需提供针对本项目的服务期质量保障承诺和可行的质量保障措施，项目进度计划合理，各阶段里程碑、工作目标、工作内容和提交物等设计可行。能满足采购需求的计3分。方案属于简单套用，不是针对本项目编制，实施链条不完整，内容空洞或简单，无法满足采购需求的计1分，没有内容或其它的不得分。</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售后服务</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3.00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投标人提供详细的售后服务方案，包含技术运维人员配置、售后服务响应速度、培训方案、售后服务承诺等。能满足采购需求的计3分。方案属于简单套用，不是针对本项目编制，实施链条不完整，内容空洞或简单，无法满足采购需求的计1分，没有内容或其它的不得分。</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系统演示</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center"/>
              <w:widowControl/>
              <w:rPr>
                <w:rFonts w:eastAsia="宋体" w:cs="Times New Roman"/>
                <w:color w:val="000000"/>
                <w:sz w:val="20"/>
                <w:szCs w:val="20"/>
              </w:rPr>
            </w:pPr>
            <w:r>
              <w:rPr>
                <w:rFonts w:eastAsia="宋体" w:cs="Times New Roman"/>
                <w:color w:val="000000"/>
                <w:sz w:val="20"/>
                <w:szCs w:val="20"/>
              </w:rPr>
              <w:t xml:space="preserve">22.00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投标人可采用真实系统、Demo两种方式进行录制演示，每个投标人演示时间不超过15分钟</w:t>
            </w:r>
            <w:r>
              <w:rPr>
                <w:rFonts w:hint="eastAsia" w:eastAsia="宋体" w:cs="Times New Roman"/>
                <w:sz w:val="20"/>
                <w:szCs w:val="20"/>
                <w:lang w:eastAsia="zh-CN"/>
              </w:rPr>
              <w:t xml:space="preserve">，</w:t>
            </w:r>
            <w:r>
              <w:rPr>
                <w:rFonts w:eastAsia="宋体" w:cs="Times New Roman"/>
                <w:sz w:val="20"/>
                <w:szCs w:val="20"/>
              </w:rPr>
              <w:t xml:space="preserve">单个文件不得大于50M。投标人需录制好演示，根据演示内容的功能完整性、整体集成性、操作简便性、效果流畅性和页面设计美观性等进行评分。</w:t>
            </w:r>
            <w:r>
              <w:rPr>
                <w:rFonts w:eastAsia="宋体" w:cs="Times New Roman"/>
                <w:sz w:val="20"/>
                <w:szCs w:val="20"/>
              </w:rPr>
              <w:br/>
            </w:r>
            <w:r>
              <w:rPr>
                <w:rFonts w:eastAsia="宋体" w:cs="Times New Roman"/>
                <w:sz w:val="20"/>
                <w:szCs w:val="20"/>
              </w:rPr>
              <w:t xml:space="preserve">注：</w:t>
            </w:r>
            <w:r>
              <w:rPr>
                <w:rFonts w:eastAsia="宋体" w:cs="Times New Roman"/>
                <w:sz w:val="20"/>
                <w:szCs w:val="20"/>
              </w:rPr>
              <w:br/>
            </w:r>
            <w:r>
              <w:rPr>
                <w:rFonts w:eastAsia="宋体" w:cs="Times New Roman"/>
                <w:sz w:val="20"/>
                <w:szCs w:val="20"/>
              </w:rPr>
              <w:t xml:space="preserve">1、采用真实系统录制进行演示最高得22分，少演示或不完整演示一个模块扣2分。</w:t>
            </w:r>
            <w:r>
              <w:rPr>
                <w:rFonts w:eastAsia="宋体" w:cs="Times New Roman"/>
                <w:sz w:val="20"/>
                <w:szCs w:val="20"/>
              </w:rPr>
              <w:br/>
            </w:r>
            <w:r>
              <w:rPr>
                <w:rFonts w:eastAsia="宋体" w:cs="Times New Roman"/>
                <w:sz w:val="20"/>
                <w:szCs w:val="20"/>
              </w:rPr>
              <w:t xml:space="preserve">2、采用Demo录制进行演示最高得14分，少演示或不完整演示一个模块扣2分。</w:t>
            </w:r>
            <w:r>
              <w:rPr>
                <w:rFonts w:eastAsia="宋体" w:cs="Times New Roman"/>
                <w:sz w:val="20"/>
                <w:szCs w:val="20"/>
              </w:rPr>
              <w:br/>
            </w:r>
            <w:r>
              <w:rPr>
                <w:rFonts w:eastAsia="宋体" w:cs="Times New Roman"/>
                <w:sz w:val="20"/>
                <w:szCs w:val="20"/>
              </w:rPr>
              <w:t xml:space="preserve">3、采用PPT、图片等其他方式录制演示或不演示均不得分。</w:t>
            </w:r>
            <w:r>
              <w:rPr>
                <w:rFonts w:eastAsia="宋体" w:cs="Times New Roman"/>
                <w:sz w:val="20"/>
                <w:szCs w:val="20"/>
              </w:rPr>
              <w:br/>
            </w:r>
            <w:r>
              <w:rPr>
                <w:rFonts w:eastAsia="宋体" w:cs="Times New Roman"/>
                <w:sz w:val="20"/>
                <w:szCs w:val="20"/>
              </w:rPr>
              <w:t xml:space="preserve">特别说明：</w:t>
            </w:r>
            <w:r>
              <w:rPr>
                <w:rFonts w:eastAsia="宋体" w:cs="Times New Roman"/>
                <w:sz w:val="20"/>
                <w:szCs w:val="20"/>
              </w:rPr>
              <w:br/>
            </w:r>
            <w:r>
              <w:rPr>
                <w:rFonts w:hint="eastAsia" w:eastAsia="宋体" w:cs="Times New Roman"/>
                <w:sz w:val="20"/>
                <w:szCs w:val="20"/>
                <w:lang w:val="en-US" w:eastAsia="zh-CN"/>
              </w:rPr>
              <w:t xml:space="preserve">1</w:t>
            </w:r>
            <w:r>
              <w:rPr>
                <w:rFonts w:eastAsia="宋体" w:cs="Times New Roman"/>
                <w:sz w:val="20"/>
                <w:szCs w:val="20"/>
              </w:rPr>
              <w:t xml:space="preserve">、演示内容如下：</w:t>
            </w:r>
            <w:r>
              <w:rPr>
                <w:rFonts w:eastAsia="宋体" w:cs="Times New Roman"/>
                <w:sz w:val="20"/>
                <w:szCs w:val="20"/>
              </w:rPr>
              <w:br/>
            </w:r>
            <w:r>
              <w:rPr>
                <w:rFonts w:eastAsia="宋体" w:cs="Times New Roman"/>
                <w:sz w:val="20"/>
                <w:szCs w:val="20"/>
              </w:rPr>
              <w:t xml:space="preserve">演示一：智慧农机管理</w:t>
            </w:r>
            <w:r>
              <w:rPr>
                <w:rFonts w:eastAsia="宋体" w:cs="Times New Roman"/>
                <w:sz w:val="20"/>
                <w:szCs w:val="20"/>
              </w:rPr>
              <w:br/>
            </w:r>
            <w:r>
              <w:rPr>
                <w:rFonts w:eastAsia="宋体" w:cs="Times New Roman"/>
                <w:sz w:val="20"/>
                <w:szCs w:val="20"/>
              </w:rPr>
              <w:t xml:space="preserve">至少包括实时监控、历史轨迹、车辆管理等模块。</w:t>
            </w:r>
            <w:r>
              <w:rPr>
                <w:rFonts w:eastAsia="宋体" w:cs="Times New Roman"/>
                <w:sz w:val="20"/>
                <w:szCs w:val="20"/>
              </w:rPr>
              <w:br/>
            </w:r>
            <w:r>
              <w:rPr>
                <w:rFonts w:eastAsia="宋体" w:cs="Times New Roman"/>
                <w:sz w:val="20"/>
                <w:szCs w:val="20"/>
              </w:rPr>
              <w:t xml:space="preserve">模块1：实时监控支持对插秧机、收割机、拖拉机等机型进行实时监控，支持机群、单机控制，包括点火、熄火、作业、结束等操作。</w:t>
            </w:r>
            <w:r>
              <w:rPr>
                <w:rFonts w:eastAsia="宋体" w:cs="Times New Roman"/>
                <w:sz w:val="20"/>
                <w:szCs w:val="20"/>
              </w:rPr>
              <w:br/>
            </w:r>
            <w:r>
              <w:rPr>
                <w:rFonts w:eastAsia="宋体" w:cs="Times New Roman"/>
                <w:sz w:val="20"/>
                <w:szCs w:val="20"/>
              </w:rPr>
              <w:t xml:space="preserve">模块2：历史轨迹支持先选定农机类型进行历史轨迹查看，选定农机类型后支持按照日历选定、查询农机作业日期，选定日期可在地图中展示农机的历史运作轨迹。</w:t>
            </w:r>
            <w:r>
              <w:rPr>
                <w:rFonts w:eastAsia="宋体" w:cs="Times New Roman"/>
                <w:sz w:val="20"/>
                <w:szCs w:val="20"/>
              </w:rPr>
              <w:br/>
            </w:r>
            <w:r>
              <w:rPr>
                <w:rFonts w:eastAsia="宋体" w:cs="Times New Roman"/>
                <w:sz w:val="20"/>
                <w:szCs w:val="20"/>
              </w:rPr>
              <w:t xml:space="preserve">模块3：车辆管理支持查看包括终端名称、车辆类型、车辆品牌、车辆马力等信息，并支持对车辆信息的添加、删除、编辑、查询等操作。</w:t>
            </w:r>
            <w:r>
              <w:rPr>
                <w:rFonts w:eastAsia="宋体" w:cs="Times New Roman"/>
                <w:sz w:val="20"/>
                <w:szCs w:val="20"/>
              </w:rPr>
              <w:br/>
            </w:r>
            <w:r>
              <w:rPr>
                <w:rFonts w:eastAsia="宋体" w:cs="Times New Roman"/>
                <w:sz w:val="20"/>
                <w:szCs w:val="20"/>
              </w:rPr>
              <w:t xml:space="preserve">演示二：全域资源综合管理</w:t>
            </w:r>
            <w:r>
              <w:rPr>
                <w:rFonts w:eastAsia="宋体" w:cs="Times New Roman"/>
                <w:sz w:val="20"/>
                <w:szCs w:val="20"/>
              </w:rPr>
              <w:br/>
            </w:r>
            <w:r>
              <w:rPr>
                <w:rFonts w:eastAsia="宋体" w:cs="Times New Roman"/>
                <w:sz w:val="20"/>
                <w:szCs w:val="20"/>
              </w:rPr>
              <w:t xml:space="preserve">至少包括农田资源盘点、物联设备管理等模块。</w:t>
            </w:r>
            <w:r>
              <w:rPr>
                <w:rFonts w:eastAsia="宋体" w:cs="Times New Roman"/>
                <w:sz w:val="20"/>
                <w:szCs w:val="20"/>
              </w:rPr>
              <w:br/>
            </w:r>
            <w:r>
              <w:rPr>
                <w:rFonts w:eastAsia="宋体" w:cs="Times New Roman"/>
                <w:sz w:val="20"/>
                <w:szCs w:val="20"/>
              </w:rPr>
              <w:t xml:space="preserve">模块1：农田资源盘点对地块进行管理，盘点农场地块数量、面积，点击单个地块可展示地块档案信息，包括地块编号、面积、地址、作物类型、作物品种等内容，并按不同地块编号以柱状图、列表等多种形式展示地块面积。支持对种植地块进行作物识别，并展示种植作物的总面积，可按照年份进行查看种植情况。</w:t>
            </w:r>
            <w:r>
              <w:rPr>
                <w:rFonts w:eastAsia="宋体" w:cs="Times New Roman"/>
                <w:sz w:val="20"/>
                <w:szCs w:val="20"/>
              </w:rPr>
              <w:br/>
            </w:r>
            <w:r>
              <w:rPr>
                <w:rFonts w:eastAsia="宋体" w:cs="Times New Roman"/>
                <w:sz w:val="20"/>
                <w:szCs w:val="20"/>
              </w:rPr>
              <w:t xml:space="preserve">模块2：物联设备管理支持以地图形式展示物联设备的空间分布，点击单个物联设备，可查看物联设备的实时采集数据，设备类型包括土壤墒情仪、视频监控、小型气象站等。提供按照设备类型分类下的设备在线情况查看。提供设备的告警信息。</w:t>
            </w:r>
            <w:r>
              <w:rPr>
                <w:rFonts w:eastAsia="宋体" w:cs="Times New Roman"/>
                <w:sz w:val="20"/>
                <w:szCs w:val="20"/>
              </w:rPr>
              <w:br/>
            </w:r>
            <w:r>
              <w:rPr>
                <w:rFonts w:eastAsia="宋体" w:cs="Times New Roman"/>
                <w:sz w:val="20"/>
                <w:szCs w:val="20"/>
              </w:rPr>
              <w:t xml:space="preserve">演示三：农情综合监测预警</w:t>
            </w:r>
            <w:r>
              <w:rPr>
                <w:rFonts w:eastAsia="宋体" w:cs="Times New Roman"/>
                <w:sz w:val="20"/>
                <w:szCs w:val="20"/>
              </w:rPr>
              <w:br/>
            </w:r>
            <w:r>
              <w:rPr>
                <w:rFonts w:eastAsia="宋体" w:cs="Times New Roman"/>
                <w:sz w:val="20"/>
                <w:szCs w:val="20"/>
              </w:rPr>
              <w:t xml:space="preserve">至少包括作物长势监测、作物产量预估、气象灾害预警等模块。</w:t>
            </w:r>
            <w:r>
              <w:rPr>
                <w:rFonts w:eastAsia="宋体" w:cs="Times New Roman"/>
                <w:sz w:val="20"/>
                <w:szCs w:val="20"/>
              </w:rPr>
              <w:br/>
            </w:r>
            <w:r>
              <w:rPr>
                <w:rFonts w:eastAsia="宋体" w:cs="Times New Roman"/>
                <w:sz w:val="20"/>
                <w:szCs w:val="20"/>
              </w:rPr>
              <w:t xml:space="preserve">模块1：作物长势监测支持查看基于卫星遥感影像地图的长势监测分析，包括每8天一次的长势变化分布并支持按时间自动播放长势变化、平均长势趋势曲线、作物长势面积分析。</w:t>
            </w:r>
            <w:r>
              <w:rPr>
                <w:rFonts w:eastAsia="宋体" w:cs="Times New Roman"/>
                <w:sz w:val="20"/>
                <w:szCs w:val="20"/>
              </w:rPr>
              <w:br/>
            </w:r>
            <w:r>
              <w:rPr>
                <w:rFonts w:eastAsia="宋体" w:cs="Times New Roman"/>
                <w:sz w:val="20"/>
                <w:szCs w:val="20"/>
              </w:rPr>
              <w:t xml:space="preserve">模块2：作物产量预估支持查看作物单产预估、总产预估，并按照种植区域划分对单产、总产预估以柱状图形式展示。支持按照年份进行历史单产、总产的预估对比，以折线图形式展示。</w:t>
            </w:r>
            <w:r>
              <w:rPr>
                <w:rFonts w:eastAsia="宋体" w:cs="Times New Roman"/>
                <w:sz w:val="20"/>
                <w:szCs w:val="20"/>
              </w:rPr>
              <w:br/>
            </w:r>
            <w:r>
              <w:rPr>
                <w:rFonts w:eastAsia="宋体" w:cs="Times New Roman"/>
                <w:sz w:val="20"/>
                <w:szCs w:val="20"/>
              </w:rPr>
              <w:t xml:space="preserve">模块3：气象灾害预警提供历史气象灾害变化分析，支持基于地图按照年份查看高温、低温、干旱、暴雨等灾害的分布情况，并统计当年历史灾害天数、历史灾害面积。</w:t>
            </w:r>
            <w:r>
              <w:rPr>
                <w:rFonts w:eastAsia="宋体" w:cs="Times New Roman"/>
                <w:sz w:val="20"/>
                <w:szCs w:val="20"/>
              </w:rPr>
              <w:br/>
            </w:r>
            <w:r>
              <w:rPr>
                <w:rFonts w:eastAsia="宋体" w:cs="Times New Roman"/>
                <w:sz w:val="20"/>
                <w:szCs w:val="20"/>
              </w:rPr>
              <w:t xml:space="preserve">演示四：新农人助手（小程序）</w:t>
            </w:r>
            <w:r>
              <w:rPr>
                <w:rFonts w:eastAsia="宋体" w:cs="Times New Roman"/>
                <w:sz w:val="20"/>
                <w:szCs w:val="20"/>
              </w:rPr>
              <w:br/>
            </w:r>
            <w:r>
              <w:rPr>
                <w:rFonts w:eastAsia="宋体" w:cs="Times New Roman"/>
                <w:sz w:val="20"/>
                <w:szCs w:val="20"/>
              </w:rPr>
              <w:t xml:space="preserve">至少包括长势监测、在线物联、农事记录等模块。</w:t>
            </w:r>
            <w:r>
              <w:rPr>
                <w:rFonts w:eastAsia="宋体" w:cs="Times New Roman"/>
                <w:sz w:val="20"/>
                <w:szCs w:val="20"/>
              </w:rPr>
              <w:br/>
            </w:r>
            <w:r>
              <w:rPr>
                <w:rFonts w:eastAsia="宋体" w:cs="Times New Roman"/>
                <w:sz w:val="20"/>
                <w:szCs w:val="20"/>
              </w:rPr>
              <w:t xml:space="preserve">模块1：长势监测支持小程序基于地图展示作物的长势变化情况，包括作物长势趋势、长势分级，长势趋势支持按照时间顺序以折线图等形式查看长势的变化情况，长势分级支持以柱状图等形式查看整体长势的分级面积。</w:t>
            </w:r>
            <w:r>
              <w:rPr>
                <w:rFonts w:eastAsia="宋体" w:cs="Times New Roman"/>
                <w:sz w:val="20"/>
                <w:szCs w:val="20"/>
              </w:rPr>
              <w:br/>
            </w:r>
            <w:r>
              <w:rPr>
                <w:rFonts w:eastAsia="宋体" w:cs="Times New Roman"/>
                <w:sz w:val="20"/>
                <w:szCs w:val="20"/>
              </w:rPr>
              <w:t xml:space="preserve">模块2：在线物联支持小程序基于地图查看物联设备的分布情况，点击单个物联设备，可查看当前物联设备采集的数据。</w:t>
            </w:r>
            <w:r>
              <w:rPr>
                <w:rFonts w:eastAsia="宋体" w:cs="Times New Roman"/>
                <w:sz w:val="20"/>
                <w:szCs w:val="20"/>
              </w:rPr>
              <w:br/>
            </w:r>
            <w:r>
              <w:rPr>
                <w:rFonts w:eastAsia="宋体" w:cs="Times New Roman"/>
                <w:sz w:val="20"/>
                <w:szCs w:val="20"/>
              </w:rPr>
              <w:t xml:space="preserve">模块3：农事记录支持小程序勾画地块，并对地块种植作物进行记录，自动生成地块面积、周长，支持点击单一地块进行农事记录新增，新增农事类型、作业时间、农事详情等信息，并支持添加照片或视频。</w:t>
            </w:r>
            <w:r/>
          </w:p>
        </w:tc>
      </w:tr>
      <w:tr>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jc w:val="left"/>
              <w:widowControl/>
              <w:rPr>
                <w:rFonts w:eastAsia="宋体" w:cs="Times New Roman"/>
                <w:color w:val="000000"/>
                <w:sz w:val="20"/>
                <w:szCs w:val="20"/>
              </w:rPr>
            </w:pPr>
            <w:r>
              <w:rPr>
                <w:rFonts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项目组人员配置</w:t>
            </w:r>
            <w:r/>
          </w:p>
        </w:tc>
        <w:tc>
          <w:tcPr>
            <w:shd w:val="clear" w:color="auto" w:fill="auto"/>
            <w:tcBorders>
              <w:top w:val="none" w:color="000000" w:sz="4" w:space="0"/>
              <w:left w:val="none" w:color="000000" w:sz="4" w:space="0"/>
              <w:bottom w:val="single" w:color="auto" w:sz="4" w:space="0"/>
              <w:right w:val="single" w:color="auto" w:sz="4" w:space="0"/>
            </w:tcBorders>
            <w:tcW w:w="558" w:type="pct"/>
            <w:vAlign w:val="center"/>
            <w:textDirection w:val="lrTb"/>
            <w:noWrap/>
          </w:tcPr>
          <w:p>
            <w:pPr>
              <w:jc w:val="left"/>
              <w:widowControl/>
              <w:rPr>
                <w:rFonts w:eastAsia="宋体" w:cs="Times New Roman"/>
                <w:sz w:val="20"/>
                <w:szCs w:val="20"/>
              </w:rPr>
            </w:pPr>
            <w:r>
              <w:rPr>
                <w:rFonts w:eastAsia="宋体" w:cs="Times New Roman"/>
                <w:sz w:val="20"/>
                <w:szCs w:val="20"/>
              </w:rPr>
              <w:t xml:space="preserve">9.00 </w:t>
            </w:r>
            <w:r/>
          </w:p>
        </w:tc>
        <w:tc>
          <w:tcPr>
            <w:shd w:val="clear" w:color="auto" w:fill="auto"/>
            <w:tcBorders>
              <w:top w:val="none" w:color="000000" w:sz="4" w:space="0"/>
              <w:left w:val="none" w:color="000000" w:sz="4" w:space="0"/>
              <w:bottom w:val="single" w:color="auto" w:sz="4" w:space="0"/>
              <w:right w:val="single" w:color="auto" w:sz="4" w:space="0"/>
            </w:tcBorders>
            <w:tcW w:w="3326" w:type="pct"/>
            <w:vAlign w:val="center"/>
            <w:textDirection w:val="lrTb"/>
            <w:noWrap w:val="false"/>
          </w:tcPr>
          <w:p>
            <w:pPr>
              <w:jc w:val="left"/>
              <w:widowControl/>
              <w:rPr>
                <w:rFonts w:eastAsia="宋体" w:cs="Times New Roman"/>
                <w:sz w:val="20"/>
                <w:szCs w:val="20"/>
              </w:rPr>
            </w:pPr>
            <w:r>
              <w:rPr>
                <w:rFonts w:eastAsia="宋体" w:cs="Times New Roman"/>
                <w:sz w:val="20"/>
                <w:szCs w:val="20"/>
              </w:rPr>
              <w:t xml:space="preserve">1</w:t>
            </w:r>
            <w:r>
              <w:rPr>
                <w:rFonts w:hint="eastAsia" w:eastAsia="宋体" w:cs="Times New Roman"/>
                <w:sz w:val="20"/>
                <w:szCs w:val="20"/>
              </w:rPr>
              <w:t xml:space="preserve">、项目负责人：具有农业信息技术专业证书、信息安全高级工程师证书、高级农艺师证书的，每有</w:t>
            </w:r>
            <w:r>
              <w:rPr>
                <w:rFonts w:eastAsia="宋体" w:cs="Times New Roman"/>
                <w:sz w:val="20"/>
                <w:szCs w:val="20"/>
              </w:rPr>
              <w:t xml:space="preserve">1</w:t>
            </w:r>
            <w:r>
              <w:rPr>
                <w:rFonts w:hint="eastAsia" w:eastAsia="宋体" w:cs="Times New Roman"/>
                <w:sz w:val="20"/>
                <w:szCs w:val="20"/>
              </w:rPr>
              <w:t xml:space="preserve">个得</w:t>
            </w:r>
            <w:r>
              <w:rPr>
                <w:rFonts w:eastAsia="宋体" w:cs="Times New Roman"/>
                <w:sz w:val="20"/>
                <w:szCs w:val="20"/>
              </w:rPr>
              <w:t xml:space="preserve">2</w:t>
            </w:r>
            <w:r>
              <w:rPr>
                <w:rFonts w:hint="eastAsia" w:eastAsia="宋体" w:cs="Times New Roman"/>
                <w:sz w:val="20"/>
                <w:szCs w:val="20"/>
              </w:rPr>
              <w:t xml:space="preserve">分，最高得</w:t>
            </w:r>
            <w:r>
              <w:rPr>
                <w:rFonts w:eastAsia="宋体" w:cs="Times New Roman"/>
                <w:sz w:val="20"/>
                <w:szCs w:val="20"/>
              </w:rPr>
              <w:t xml:space="preserve">6</w:t>
            </w:r>
            <w:r>
              <w:rPr>
                <w:rFonts w:hint="eastAsia" w:eastAsia="宋体" w:cs="Times New Roman"/>
                <w:sz w:val="20"/>
                <w:szCs w:val="20"/>
              </w:rPr>
              <w:t xml:space="preserve">分</w:t>
            </w:r>
            <w:r>
              <w:rPr>
                <w:rFonts w:hint="eastAsia" w:eastAsia="宋体" w:cs="Times New Roman"/>
                <w:sz w:val="20"/>
                <w:szCs w:val="20"/>
              </w:rPr>
              <w:t xml:space="preserve">；</w:t>
            </w:r>
            <w:r/>
          </w:p>
          <w:p>
            <w:pPr>
              <w:jc w:val="left"/>
              <w:widowControl/>
              <w:rPr>
                <w:rFonts w:eastAsia="宋体" w:cs="Times New Roman"/>
                <w:sz w:val="20"/>
                <w:szCs w:val="20"/>
              </w:rPr>
            </w:pPr>
            <w:r>
              <w:rPr>
                <w:rFonts w:eastAsia="宋体" w:cs="Times New Roman"/>
                <w:sz w:val="20"/>
                <w:szCs w:val="20"/>
              </w:rPr>
              <w:t xml:space="preserve">2</w:t>
            </w:r>
            <w:r>
              <w:rPr>
                <w:rFonts w:hint="eastAsia" w:eastAsia="宋体" w:cs="Times New Roman"/>
                <w:sz w:val="20"/>
                <w:szCs w:val="20"/>
              </w:rPr>
              <w:t xml:space="preserve">、技术负责人：具有信息系统项目管理师（高级）证书，得1</w:t>
            </w:r>
            <w:r>
              <w:rPr>
                <w:rFonts w:eastAsia="宋体" w:cs="Times New Roman"/>
                <w:sz w:val="20"/>
                <w:szCs w:val="20"/>
              </w:rPr>
              <w:t xml:space="preserve">.5</w:t>
            </w:r>
            <w:r>
              <w:rPr>
                <w:rFonts w:hint="eastAsia" w:eastAsia="宋体" w:cs="Times New Roman"/>
                <w:sz w:val="20"/>
                <w:szCs w:val="20"/>
              </w:rPr>
              <w:t xml:space="preserve">分；</w:t>
            </w:r>
            <w:r/>
          </w:p>
          <w:p>
            <w:pPr>
              <w:jc w:val="left"/>
              <w:widowControl/>
              <w:rPr>
                <w:rFonts w:eastAsia="宋体" w:cs="Times New Roman"/>
                <w:sz w:val="20"/>
                <w:szCs w:val="20"/>
              </w:rPr>
            </w:pPr>
            <w:r>
              <w:rPr>
                <w:rFonts w:eastAsia="宋体" w:cs="Times New Roman"/>
                <w:sz w:val="20"/>
                <w:szCs w:val="20"/>
              </w:rPr>
              <w:t xml:space="preserve">3</w:t>
            </w:r>
            <w:r>
              <w:rPr>
                <w:rFonts w:hint="eastAsia" w:eastAsia="宋体" w:cs="Times New Roman"/>
                <w:sz w:val="20"/>
                <w:szCs w:val="20"/>
              </w:rPr>
              <w:t xml:space="preserve">、项目组成员：具有高级计算机技术专业工程师证书</w:t>
            </w:r>
            <w:r>
              <w:rPr>
                <w:rFonts w:hint="eastAsia" w:eastAsia="宋体" w:cs="Times New Roman"/>
                <w:sz w:val="20"/>
                <w:szCs w:val="20"/>
              </w:rPr>
              <w:t xml:space="preserve">的，得1</w:t>
            </w:r>
            <w:r>
              <w:rPr>
                <w:rFonts w:eastAsia="宋体" w:cs="Times New Roman"/>
                <w:sz w:val="20"/>
                <w:szCs w:val="20"/>
              </w:rPr>
              <w:t xml:space="preserve">.5</w:t>
            </w:r>
            <w:r>
              <w:rPr>
                <w:rFonts w:hint="eastAsia" w:eastAsia="宋体" w:cs="Times New Roman"/>
                <w:sz w:val="20"/>
                <w:szCs w:val="20"/>
              </w:rPr>
              <w:t xml:space="preserve">分。</w:t>
            </w:r>
            <w:r/>
          </w:p>
          <w:p>
            <w:pPr>
              <w:jc w:val="left"/>
              <w:widowControl/>
              <w:rPr>
                <w:rFonts w:eastAsia="宋体" w:cs="Times New Roman"/>
                <w:sz w:val="20"/>
                <w:szCs w:val="20"/>
              </w:rPr>
            </w:pPr>
            <w:r>
              <w:rPr>
                <w:rFonts w:hint="eastAsia" w:eastAsia="宋体" w:cs="Times New Roman"/>
                <w:sz w:val="20"/>
                <w:szCs w:val="20"/>
              </w:rPr>
              <w:t xml:space="preserve">以上人员不重复计分，需提供相应的认证证书扫描件和投标人为其缴纳近三个月内任意连续一个月的社保证明及身份证证明扫描件加盖公章，未按要求提供不得分。</w:t>
            </w:r>
            <w:r/>
          </w:p>
        </w:tc>
      </w:tr>
    </w:tbl>
    <w:p>
      <w:pPr>
        <w:ind w:firstLine="241"/>
        <w:spacing w:line="500" w:lineRule="exact"/>
        <w:rPr>
          <w:rFonts w:hint="eastAsia" w:ascii="仿宋" w:hAnsi="仿宋" w:eastAsia="仿宋" w:cs="仿宋"/>
          <w:b/>
          <w:color w:val="000000"/>
          <w:sz w:val="24"/>
          <w:highlight w:val="white"/>
        </w:rPr>
      </w:pPr>
      <w:r>
        <w:rPr>
          <w:rFonts w:hint="eastAsia" w:ascii="仿宋" w:hAnsi="仿宋" w:eastAsia="仿宋" w:cs="仿宋"/>
          <w:b/>
          <w:color w:val="000000"/>
          <w:sz w:val="24"/>
          <w:highlight w:val="white"/>
        </w:rPr>
      </w:r>
      <w:r/>
    </w:p>
    <w:p>
      <w:pPr>
        <w:ind w:firstLine="241"/>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（三）评标结果。</w:t>
      </w:r>
      <w:r>
        <w:rPr>
          <w:rFonts w:hint="eastAsia" w:ascii="仿宋" w:hAnsi="仿宋" w:eastAsia="仿宋" w:cs="仿宋"/>
          <w:color w:val="000000"/>
          <w:sz w:val="24"/>
          <w:highlight w:val="white"/>
        </w:rPr>
        <w:t xml:space="preserve">评标委员会按照本办法规定推荐中标候选人，并形成评标报告。</w:t>
      </w:r>
      <w:r/>
    </w:p>
    <w:p>
      <w:pPr>
        <w:ind w:firstLine="241"/>
        <w:spacing w:line="500" w:lineRule="exact"/>
        <w:rPr>
          <w:rFonts w:ascii="仿宋" w:hAnsi="仿宋" w:eastAsia="仿宋" w:cs="仿宋"/>
          <w:b/>
          <w:color w:val="000000"/>
          <w:sz w:val="24"/>
        </w:rPr>
      </w:pPr>
      <w:r>
        <w:rPr>
          <w:rFonts w:hint="eastAsia" w:ascii="仿宋" w:hAnsi="仿宋" w:eastAsia="仿宋" w:cs="仿宋"/>
          <w:b/>
          <w:color w:val="000000"/>
          <w:sz w:val="24"/>
          <w:highlight w:val="white"/>
        </w:rPr>
        <w:t xml:space="preserve">（四）政府</w:t>
      </w:r>
      <w:r>
        <w:rPr>
          <w:rFonts w:hint="eastAsia" w:ascii="仿宋" w:hAnsi="仿宋" w:eastAsia="仿宋" w:cs="仿宋"/>
          <w:b/>
          <w:color w:val="000000"/>
          <w:sz w:val="24"/>
        </w:rPr>
        <w:t xml:space="preserve">采购政策功能落实</w:t>
      </w:r>
      <w:r/>
    </w:p>
    <w:p>
      <w:pPr>
        <w:spacing w:line="500" w:lineRule="exact"/>
        <w:rPr>
          <w:rFonts w:ascii="仿宋" w:hAnsi="仿宋" w:eastAsia="仿宋" w:cs="仿宋"/>
          <w:b/>
          <w:color w:val="000000"/>
          <w:sz w:val="24"/>
        </w:rPr>
      </w:pPr>
      <w:r>
        <w:rPr>
          <w:rFonts w:hint="eastAsia" w:ascii="仿宋" w:hAnsi="仿宋" w:eastAsia="仿宋" w:cs="仿宋"/>
          <w:b/>
          <w:bCs/>
          <w:color w:val="000000"/>
          <w:sz w:val="24"/>
        </w:rPr>
        <w:t xml:space="preserve">本项目落实的政府采购政策对应以下序号为</w:t>
      </w:r>
      <w:r>
        <w:rPr>
          <w:rFonts w:hint="eastAsia" w:ascii="仿宋" w:hAnsi="仿宋" w:eastAsia="仿宋" w:cs="仿宋"/>
          <w:b/>
          <w:bCs/>
          <w:color w:val="000000"/>
          <w:sz w:val="24"/>
          <w:u w:val="single"/>
        </w:rPr>
        <w:t xml:space="preserve">  2  </w:t>
      </w:r>
      <w:r/>
    </w:p>
    <w:p>
      <w:pPr>
        <w:numPr>
          <w:ilvl w:val="0"/>
          <w:numId w:val="17"/>
        </w:num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采购本国货物、工程和服务</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olor w:val="000000"/>
          <w:sz w:val="24"/>
          <w:highlight w:val="white"/>
        </w:rPr>
        <w:t xml:space="preserve">（财库〔2007〕119 号文）、《关于政府采购进口产品管理有关问题的通知》（财办库〔2008〕248号文）等相关规定。是否采购进口产品以采购需求中确定的为准。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2、中小企业政策</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本项目按以下第</w:t>
      </w:r>
      <w:r>
        <w:rPr>
          <w:rFonts w:hint="eastAsia" w:ascii="仿宋" w:hAnsi="仿宋" w:eastAsia="仿宋" w:cs="仿宋"/>
          <w:color w:val="000000"/>
          <w:sz w:val="24"/>
          <w:highlight w:val="white"/>
          <w:u w:val="single"/>
        </w:rPr>
        <w:t xml:space="preserve">（</w:t>
      </w:r>
      <w:r>
        <w:rPr>
          <w:rFonts w:hint="eastAsia" w:ascii="仿宋" w:hAnsi="仿宋" w:eastAsia="仿宋" w:cs="仿宋"/>
          <w:color w:val="000000"/>
          <w:sz w:val="24"/>
          <w:highlight w:val="white"/>
          <w:u w:val="single"/>
          <w:lang w:val="en-US" w:eastAsia="zh-CN"/>
        </w:rPr>
        <w:t xml:space="preserve">2</w:t>
      </w:r>
      <w:r>
        <w:rPr>
          <w:rFonts w:hint="eastAsia" w:ascii="仿宋" w:hAnsi="仿宋" w:eastAsia="仿宋" w:cs="仿宋"/>
          <w:color w:val="000000"/>
          <w:sz w:val="24"/>
          <w:highlight w:val="white"/>
          <w:u w:val="single"/>
        </w:rPr>
        <w:t xml:space="preserve">）</w:t>
      </w:r>
      <w:r>
        <w:rPr>
          <w:rFonts w:hint="eastAsia" w:ascii="仿宋" w:hAnsi="仿宋" w:eastAsia="仿宋" w:cs="仿宋"/>
          <w:color w:val="000000"/>
          <w:sz w:val="24"/>
          <w:highlight w:val="white"/>
        </w:rPr>
        <w:t xml:space="preserve">种政策确定本项目落实的中小企业政策：</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（1）本项目专门面向中小企业（含监狱企业、残疾人福利企业）采购。</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（2）投标人提供的服务符合下列</w:t>
      </w:r>
      <w:r>
        <w:rPr>
          <w:rFonts w:hint="eastAsia" w:ascii="仿宋" w:hAnsi="仿宋" w:eastAsia="仿宋" w:cs="仿宋"/>
          <w:color w:val="000000"/>
          <w:sz w:val="24"/>
        </w:rPr>
        <w:t xml:space="preserve">情形的，对小微企业报价给予</w:t>
      </w:r>
      <w:r>
        <w:rPr>
          <w:rFonts w:hint="eastAsia" w:ascii="仿宋" w:hAnsi="仿宋" w:eastAsia="仿宋" w:cs="仿宋"/>
          <w:color w:val="000000"/>
          <w:sz w:val="24"/>
          <w:u w:val="single"/>
          <w:lang w:val="en-US" w:eastAsia="zh-CN"/>
        </w:rPr>
        <w:t xml:space="preserve">15</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的扣除，用扣除后的价格参加评审。</w:t>
      </w:r>
      <w:r/>
    </w:p>
    <w:p>
      <w:pPr>
        <w:ind w:firstLine="480"/>
        <w:spacing w:line="50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本项目所属行业：农、林、牧、渔业。</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在服务采购项目中，服务由中小企业承接，即提供服务的人员为中小企业依照《中华人民共和国民法典》订立劳动合同的从业人员。</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3、政府采购节能产品、环境标志产品</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（3）采购人拟采购的产品属于优先采购的节能环保品目清单范围的，按以下条件优先采购：</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采用综合评分法的项目，对提供有效节能环保证书的投标人加分。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采用最低评标价法的项目，同等条件下优先推荐提供有效节能环保证书多的投标人为中标人。</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4、商品包装、快递包装政府采购需求标准（试行）</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5、绿色数据中心政府采购需求标准（试行）</w:t>
      </w:r>
      <w:r/>
    </w:p>
    <w:p>
      <w:pPr>
        <w:ind w:firstLine="480"/>
        <w:spacing w:line="500" w:lineRule="exact"/>
        <w:rPr>
          <w:rFonts w:ascii="仿宋" w:hAnsi="仿宋" w:eastAsia="仿宋" w:cs="仿宋"/>
          <w:color w:val="000000"/>
        </w:rPr>
      </w:pPr>
      <w:r>
        <w:rPr>
          <w:rFonts w:hint="eastAsia" w:ascii="仿宋" w:hAnsi="仿宋" w:eastAsia="仿宋" w:cs="仿宋"/>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rPr>
          <w:rFonts w:ascii="仿宋" w:hAnsi="仿宋" w:eastAsia="仿宋" w:cs="仿宋"/>
          <w:b/>
          <w:bCs/>
          <w:color w:val="000000"/>
          <w:sz w:val="56"/>
          <w:szCs w:val="40"/>
        </w:rPr>
      </w:pPr>
      <w:r>
        <w:rPr>
          <w:rFonts w:ascii="仿宋" w:hAnsi="仿宋" w:eastAsia="仿宋" w:cs="仿宋"/>
          <w:b/>
          <w:bCs/>
          <w:color w:val="000000"/>
          <w:sz w:val="56"/>
          <w:szCs w:val="40"/>
        </w:rPr>
      </w:r>
      <w:r/>
    </w:p>
    <w:p>
      <w:pPr>
        <w:rPr>
          <w:rFonts w:ascii="仿宋" w:hAnsi="仿宋" w:eastAsia="仿宋" w:cs="仿宋"/>
          <w:b/>
          <w:bCs/>
          <w:color w:val="000000"/>
          <w:sz w:val="56"/>
          <w:szCs w:val="40"/>
        </w:rPr>
      </w:pPr>
      <w:r>
        <w:rPr>
          <w:rFonts w:ascii="仿宋" w:hAnsi="仿宋" w:eastAsia="仿宋" w:cs="仿宋"/>
          <w:b/>
          <w:bCs/>
          <w:color w:val="000000"/>
          <w:sz w:val="56"/>
          <w:szCs w:val="40"/>
        </w:rPr>
      </w:r>
      <w:r/>
    </w:p>
    <w:p>
      <w:pPr>
        <w:rPr>
          <w:rFonts w:ascii="仿宋" w:hAnsi="仿宋" w:eastAsia="仿宋" w:cs="仿宋"/>
          <w:b/>
          <w:bCs/>
          <w:color w:val="000000"/>
          <w:sz w:val="56"/>
          <w:szCs w:val="40"/>
        </w:rPr>
      </w:pPr>
      <w:r>
        <w:rPr>
          <w:rFonts w:ascii="仿宋" w:hAnsi="仿宋" w:eastAsia="仿宋" w:cs="仿宋"/>
          <w:b/>
          <w:bCs/>
          <w:color w:val="000000"/>
          <w:sz w:val="56"/>
          <w:szCs w:val="40"/>
        </w:rPr>
      </w:r>
      <w:r/>
    </w:p>
    <w:p>
      <w:pPr>
        <w:rPr>
          <w:rFonts w:ascii="仿宋" w:hAnsi="仿宋" w:eastAsia="仿宋" w:cs="仿宋"/>
          <w:b/>
          <w:bCs/>
          <w:color w:val="000000"/>
          <w:sz w:val="56"/>
          <w:szCs w:val="40"/>
        </w:rPr>
      </w:pPr>
      <w:r>
        <w:rPr>
          <w:rFonts w:ascii="仿宋" w:hAnsi="仿宋" w:eastAsia="仿宋" w:cs="仿宋"/>
          <w:b/>
          <w:bCs/>
          <w:color w:val="000000"/>
          <w:sz w:val="56"/>
          <w:szCs w:val="40"/>
        </w:rPr>
      </w:r>
      <w:r/>
    </w:p>
    <w:p>
      <w:pPr>
        <w:rPr>
          <w:rFonts w:ascii="仿宋" w:hAnsi="仿宋" w:eastAsia="仿宋" w:cs="仿宋"/>
          <w:b/>
          <w:bCs/>
          <w:color w:val="000000"/>
          <w:sz w:val="56"/>
          <w:szCs w:val="40"/>
        </w:rPr>
      </w:pPr>
      <w:r>
        <w:rPr>
          <w:rFonts w:ascii="仿宋" w:hAnsi="仿宋" w:eastAsia="仿宋" w:cs="仿宋"/>
          <w:b/>
          <w:bCs/>
          <w:color w:val="000000"/>
          <w:sz w:val="56"/>
          <w:szCs w:val="40"/>
        </w:rPr>
      </w:r>
      <w:r/>
    </w:p>
    <w:p>
      <w:pPr>
        <w:pStyle w:val="795"/>
        <w:rPr>
          <w:rFonts w:ascii="仿宋" w:hAnsi="仿宋" w:eastAsia="仿宋" w:cs="仿宋"/>
        </w:rPr>
      </w:pPr>
      <w:r>
        <w:rPr>
          <w:rFonts w:ascii="仿宋" w:hAnsi="仿宋" w:eastAsia="仿宋" w:cs="仿宋"/>
        </w:rPr>
      </w:r>
      <w:r/>
    </w:p>
    <w:p>
      <w:pPr>
        <w:pStyle w:val="944"/>
        <w:spacing w:line="720" w:lineRule="auto"/>
        <w:rPr>
          <w:rFonts w:ascii="仿宋" w:hAnsi="仿宋" w:eastAsia="仿宋" w:cs="仿宋"/>
          <w:bCs/>
          <w:color w:val="000000"/>
          <w:sz w:val="56"/>
          <w:szCs w:val="40"/>
        </w:rPr>
      </w:pPr>
      <w:r>
        <w:rPr>
          <w:rFonts w:hint="eastAsia" w:ascii="仿宋" w:hAnsi="仿宋" w:eastAsia="仿宋" w:cs="仿宋"/>
          <w:b/>
          <w:bCs/>
          <w:color w:val="000000"/>
          <w:sz w:val="56"/>
          <w:szCs w:val="40"/>
        </w:rPr>
        <w:t xml:space="preserve">第六章  投标</w:t>
      </w:r>
      <w:bookmarkEnd w:id="197"/>
      <w:r/>
      <w:bookmarkEnd w:id="198"/>
      <w:r/>
      <w:bookmarkEnd w:id="199"/>
      <w:r>
        <w:rPr>
          <w:rFonts w:hint="eastAsia" w:ascii="仿宋" w:hAnsi="仿宋" w:eastAsia="仿宋" w:cs="仿宋"/>
          <w:b/>
          <w:bCs/>
          <w:color w:val="000000"/>
          <w:sz w:val="56"/>
          <w:szCs w:val="40"/>
        </w:rPr>
        <w:t xml:space="preserve">文件格式</w:t>
      </w:r>
      <w:r>
        <w:rPr>
          <w:rFonts w:hint="eastAsia" w:ascii="仿宋" w:hAnsi="仿宋" w:eastAsia="仿宋" w:cs="仿宋"/>
          <w:bCs/>
          <w:color w:val="000000"/>
          <w:sz w:val="56"/>
          <w:szCs w:val="40"/>
        </w:rPr>
        <w:t xml:space="preserve"> </w:t>
      </w:r>
      <w:r/>
    </w:p>
    <w:p>
      <w:pPr>
        <w:jc w:val="center"/>
        <w:spacing w:line="500" w:lineRule="exact"/>
        <w:rPr>
          <w:rFonts w:ascii="仿宋" w:hAnsi="仿宋" w:eastAsia="仿宋" w:cs="仿宋"/>
          <w:b/>
          <w:color w:val="000000"/>
          <w:sz w:val="72"/>
        </w:rPr>
      </w:pPr>
      <w:r/>
      <w:bookmarkStart w:id="205" w:name="_Hlt26955039"/>
      <w:r/>
      <w:bookmarkEnd w:id="205"/>
      <w:r/>
      <w:bookmarkStart w:id="206" w:name="_Hlt26671244"/>
      <w:r/>
      <w:bookmarkEnd w:id="206"/>
      <w:r/>
      <w:bookmarkStart w:id="207" w:name="_Toc49090576"/>
      <w:r/>
      <w:bookmarkStart w:id="208" w:name="_Toc120614282"/>
      <w:r/>
      <w:bookmarkStart w:id="209" w:name="_Toc26554094"/>
      <w:r/>
      <w:r/>
    </w:p>
    <w:p>
      <w:pPr>
        <w:jc w:val="center"/>
        <w:spacing w:line="720" w:lineRule="auto"/>
        <w:rPr>
          <w:rFonts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spacing w:line="500" w:lineRule="exact"/>
        <w:rPr>
          <w:rFonts w:ascii="仿宋" w:hAnsi="仿宋" w:eastAsia="仿宋" w:cs="仿宋"/>
          <w:b/>
          <w:color w:val="000000"/>
          <w:sz w:val="72"/>
        </w:rPr>
      </w:pPr>
      <w:r>
        <w:rPr>
          <w:rFonts w:ascii="仿宋" w:hAnsi="仿宋" w:eastAsia="仿宋" w:cs="仿宋"/>
          <w:b/>
          <w:color w:val="000000"/>
          <w:sz w:val="72"/>
        </w:rPr>
      </w:r>
      <w:r/>
    </w:p>
    <w:p>
      <w:pPr>
        <w:jc w:val="center"/>
        <w:spacing w:line="500" w:lineRule="exact"/>
        <w:rPr>
          <w:rFonts w:ascii="仿宋" w:hAnsi="仿宋" w:eastAsia="仿宋" w:cs="仿宋"/>
          <w:b/>
          <w:color w:val="000000"/>
          <w:sz w:val="72"/>
        </w:rPr>
      </w:pPr>
      <w:r>
        <w:rPr>
          <w:rFonts w:ascii="仿宋" w:hAnsi="仿宋" w:eastAsia="仿宋" w:cs="仿宋"/>
          <w:b/>
          <w:color w:val="000000"/>
          <w:sz w:val="72"/>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ind w:firstLine="1084"/>
        <w:spacing w:line="500" w:lineRule="exact"/>
        <w:rPr>
          <w:rFonts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（加盖CA电子公章）</w:t>
      </w:r>
      <w:r/>
    </w:p>
    <w:p>
      <w:pPr>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500" w:lineRule="exact"/>
        <w:rPr>
          <w:rFonts w:ascii="仿宋" w:hAnsi="仿宋" w:eastAsia="仿宋" w:cs="仿宋"/>
          <w:color w:val="000000"/>
        </w:rPr>
      </w:pPr>
      <w:r>
        <w:rPr>
          <w:rFonts w:ascii="仿宋" w:hAnsi="仿宋" w:eastAsia="仿宋" w:cs="仿宋"/>
          <w:color w:val="000000"/>
        </w:rPr>
      </w:r>
      <w:r/>
    </w:p>
    <w:p>
      <w:pPr>
        <w:ind w:firstLine="1084"/>
        <w:spacing w:line="500" w:lineRule="exact"/>
        <w:rPr>
          <w:rFonts w:ascii="仿宋" w:hAnsi="仿宋" w:eastAsia="仿宋" w:cs="仿宋"/>
          <w:b/>
          <w:bCs/>
          <w:color w:val="000000"/>
          <w:sz w:val="32"/>
          <w:szCs w:val="32"/>
        </w:rPr>
      </w:pPr>
      <w:r>
        <w:rPr>
          <w:rFonts w:hint="eastAsia" w:ascii="仿宋" w:hAnsi="仿宋" w:eastAsia="仿宋" w:cs="仿宋"/>
          <w:b/>
          <w:color w:val="000000"/>
          <w:sz w:val="36"/>
          <w:u w:val="single"/>
        </w:rPr>
        <w:br w:type="page" w:clear="all"/>
      </w:r>
      <w:r/>
    </w:p>
    <w:p>
      <w:pPr>
        <w:jc w:val="center"/>
        <w:spacing w:line="500" w:lineRule="exact"/>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投标文件目录</w:t>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一、投标声明及承诺函</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二、投标人基本情况</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三、满足特定资格要求的证明文件（如果设置特定资格要求，则需要提供）</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四、法人授权书</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五、开标一览表</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六、投标报价明细表</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七、中小企业声明函</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八、技术要求响应及偏离表</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九、项目组成员</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十、企业业绩</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十一、投标所需其他材料</w:t>
      </w:r>
      <w:r/>
    </w:p>
    <w:p>
      <w:pPr>
        <w:pStyle w:val="1035"/>
        <w:spacing w:line="500" w:lineRule="exact"/>
        <w:rPr>
          <w:rFonts w:ascii="仿宋" w:hAnsi="仿宋" w:eastAsia="仿宋" w:cs="仿宋"/>
          <w:caps w:val="0"/>
          <w:color w:val="000000"/>
        </w:rPr>
      </w:pPr>
      <w:r>
        <w:rPr>
          <w:rFonts w:ascii="仿宋" w:hAnsi="仿宋" w:eastAsia="仿宋" w:cs="仿宋"/>
          <w:caps w:val="0"/>
          <w:color w:val="000000"/>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pStyle w:val="1032"/>
        <w:spacing w:line="500" w:lineRule="exact"/>
        <w:rPr>
          <w:rFonts w:ascii="仿宋" w:hAnsi="仿宋" w:eastAsia="仿宋" w:cs="仿宋"/>
          <w:color w:val="000000"/>
        </w:rPr>
      </w:pPr>
      <w:r/>
      <w:bookmarkStart w:id="210" w:name="_Toc23838"/>
      <w:r/>
      <w:r/>
    </w:p>
    <w:p>
      <w:pPr>
        <w:pStyle w:val="1032"/>
        <w:spacing w:line="500" w:lineRule="exact"/>
        <w:rPr>
          <w:rFonts w:ascii="仿宋" w:hAnsi="仿宋" w:eastAsia="仿宋" w:cs="仿宋"/>
          <w:color w:val="000000"/>
        </w:rPr>
      </w:pPr>
      <w:r>
        <w:rPr>
          <w:rFonts w:ascii="仿宋" w:hAnsi="仿宋" w:eastAsia="仿宋" w:cs="仿宋"/>
          <w:color w:val="000000"/>
        </w:rPr>
      </w:r>
      <w:r/>
    </w:p>
    <w:p>
      <w:pPr>
        <w:pStyle w:val="1032"/>
        <w:spacing w:line="500" w:lineRule="exact"/>
        <w:rPr>
          <w:rFonts w:ascii="仿宋" w:hAnsi="仿宋" w:eastAsia="仿宋" w:cs="仿宋"/>
          <w:color w:val="000000"/>
        </w:rPr>
      </w:pPr>
      <w:r>
        <w:rPr>
          <w:rFonts w:ascii="仿宋" w:hAnsi="仿宋" w:eastAsia="仿宋" w:cs="仿宋"/>
          <w:color w:val="000000"/>
        </w:rPr>
      </w:r>
      <w:r/>
    </w:p>
    <w:p>
      <w:pPr>
        <w:pStyle w:val="1032"/>
        <w:spacing w:line="500" w:lineRule="exact"/>
        <w:rPr>
          <w:rFonts w:ascii="仿宋" w:hAnsi="仿宋" w:eastAsia="仿宋" w:cs="仿宋"/>
          <w:color w:val="000000"/>
        </w:rPr>
      </w:pPr>
      <w:r>
        <w:rPr>
          <w:rFonts w:hint="eastAsia" w:ascii="仿宋" w:hAnsi="仿宋" w:eastAsia="仿宋" w:cs="仿宋"/>
          <w:color w:val="000000"/>
        </w:rPr>
        <w:br w:type="page" w:clear="all"/>
      </w:r>
      <w:bookmarkEnd w:id="210"/>
      <w:r/>
      <w:r/>
    </w:p>
    <w:p>
      <w:pPr>
        <w:pStyle w:val="1065"/>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一、</w:t>
      </w:r>
      <w:bookmarkEnd w:id="207"/>
      <w:r/>
      <w:bookmarkEnd w:id="208"/>
      <w:r/>
      <w:bookmarkEnd w:id="209"/>
      <w:r/>
      <w:bookmarkStart w:id="211" w:name="_Toc120614284"/>
      <w:r>
        <w:rPr>
          <w:rFonts w:hint="eastAsia" w:ascii="仿宋" w:hAnsi="仿宋" w:eastAsia="仿宋" w:cs="仿宋"/>
          <w:b/>
          <w:color w:val="000000"/>
          <w:sz w:val="32"/>
          <w:szCs w:val="32"/>
        </w:rPr>
        <w:t xml:space="preserve">投标声明及承诺函</w:t>
      </w:r>
      <w:r/>
    </w:p>
    <w:p>
      <w:pPr>
        <w:pStyle w:val="1065"/>
        <w:jc w:val="left"/>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项目的招标文件，我方在参加本项目招投标活动中，特做出如下承诺：</w:t>
      </w:r>
      <w:r/>
    </w:p>
    <w:p>
      <w:pPr>
        <w:pStyle w:val="1065"/>
        <w:ind w:firstLine="480"/>
        <w:jc w:val="left"/>
        <w:spacing w:line="500" w:lineRule="exact"/>
        <w:rPr>
          <w:rFonts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highlight w:val="white"/>
        </w:rPr>
        <w:t xml:space="preserve">具备《中华人民共和国政府采购法》第二十二条第一款规定的6项条件；</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六、我方同意采购人、采购代理机构将本声明及承诺函上网公开。</w:t>
      </w:r>
      <w:r/>
    </w:p>
    <w:p>
      <w:pPr>
        <w:pStyle w:val="1065"/>
        <w:ind w:firstLine="480"/>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65"/>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65"/>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（加盖CA电子公章）</w:t>
      </w:r>
      <w:r/>
    </w:p>
    <w:p>
      <w:pPr>
        <w:pStyle w:val="1065"/>
        <w:ind w:firstLine="480"/>
        <w:spacing w:line="500" w:lineRule="exact"/>
        <w:rPr>
          <w:rFonts w:ascii="仿宋" w:hAnsi="仿宋" w:eastAsia="仿宋" w:cs="仿宋"/>
          <w:color w:val="000000"/>
        </w:rPr>
      </w:pPr>
      <w:r>
        <w:rPr>
          <w:rFonts w:hint="eastAsia" w:ascii="仿宋" w:hAnsi="仿宋" w:eastAsia="仿宋" w:cs="仿宋"/>
          <w:color w:val="000000"/>
          <w:sz w:val="24"/>
          <w:szCs w:val="24"/>
        </w:rPr>
        <w:t xml:space="preserve">日期：    年    月   日</w:t>
      </w:r>
      <w:r/>
    </w:p>
    <w:p>
      <w:pPr>
        <w:pStyle w:val="1032"/>
        <w:spacing w:line="500" w:lineRule="exact"/>
        <w:rPr>
          <w:rFonts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二、投标人基本情况</w:t>
      </w:r>
      <w:r/>
    </w:p>
    <w:p>
      <w:pPr>
        <w:pStyle w:val="1083"/>
        <w:jc w:val="center"/>
        <w:spacing w:line="500" w:lineRule="exact"/>
        <w:rPr>
          <w:rFonts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2376"/>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pStyle w:val="1083"/>
              <w:ind w:firstLine="1432"/>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1134"/>
        </w:trPr>
        <w:tc>
          <w:tcPr>
            <w:tcW w:w="1526"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1083"/>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p>
        </w:tc>
      </w:tr>
    </w:tbl>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pStyle w:val="1065"/>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spacing w:line="500" w:lineRule="exact"/>
        <w:rPr>
          <w:rFonts w:ascii="仿宋" w:hAnsi="仿宋" w:eastAsia="仿宋" w:cs="仿宋"/>
          <w:i/>
          <w:color w:val="000000"/>
          <w:sz w:val="32"/>
          <w:szCs w:val="32"/>
          <w:u w:val="single"/>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三、特定资格要求的证明文件</w:t>
      </w:r>
      <w:r/>
    </w:p>
    <w:p>
      <w:pPr>
        <w:spacing w:line="500" w:lineRule="exact"/>
        <w:rPr>
          <w:rFonts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p>
    <w:p>
      <w:pPr>
        <w:spacing w:line="500" w:lineRule="exact"/>
        <w:rPr>
          <w:rFonts w:ascii="仿宋" w:hAnsi="仿宋" w:eastAsia="仿宋" w:cs="仿宋"/>
          <w:bCs/>
          <w:color w:val="000000"/>
          <w:sz w:val="24"/>
        </w:rPr>
      </w:pPr>
      <w:r>
        <w:rPr>
          <w:rFonts w:ascii="仿宋" w:hAnsi="仿宋" w:eastAsia="仿宋" w:cs="仿宋"/>
          <w:bCs/>
          <w:color w:val="000000"/>
          <w:sz w:val="24"/>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pStyle w:val="1047"/>
        <w:spacing w:line="500" w:lineRule="exact"/>
        <w:rPr>
          <w:rFonts w:ascii="仿宋" w:hAnsi="仿宋" w:eastAsia="仿宋" w:cs="仿宋"/>
          <w:i/>
          <w:color w:val="000000"/>
          <w:u w:val="single"/>
          <w:lang w:val="en-US"/>
        </w:rPr>
      </w:pPr>
      <w:r>
        <w:rPr>
          <w:rFonts w:ascii="仿宋" w:hAnsi="仿宋" w:eastAsia="仿宋" w:cs="仿宋"/>
          <w:i/>
          <w:color w:val="000000"/>
          <w:u w:val="single"/>
          <w:lang w:val="en-US"/>
        </w:rPr>
      </w:r>
      <w:r/>
    </w:p>
    <w:p>
      <w:pPr>
        <w:pStyle w:val="1047"/>
        <w:spacing w:line="500" w:lineRule="exact"/>
        <w:rPr>
          <w:rFonts w:ascii="仿宋" w:hAnsi="仿宋" w:eastAsia="仿宋" w:cs="仿宋"/>
          <w:i/>
          <w:color w:val="000000"/>
          <w:u w:val="single"/>
          <w:lang w:val="en-US"/>
        </w:rPr>
      </w:pPr>
      <w:r>
        <w:rPr>
          <w:rFonts w:ascii="仿宋" w:hAnsi="仿宋" w:eastAsia="仿宋" w:cs="仿宋"/>
          <w:i/>
          <w:color w:val="000000"/>
          <w:u w:val="single"/>
          <w:lang w:val="en-US"/>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jc w:val="center"/>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四、法人授权书</w:t>
      </w:r>
      <w:r/>
    </w:p>
    <w:p>
      <w:pPr>
        <w:pStyle w:val="1051"/>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1051"/>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051"/>
        <w:ind w:firstLine="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1051"/>
        <w:ind w:firstLine="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1051"/>
        <w:ind w:firstLine="12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1051"/>
        <w:ind w:firstLine="48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1051"/>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日期：</w:t>
      </w:r>
      <w:bookmarkStart w:id="212" w:name="_Hlt26671380"/>
      <w:r/>
      <w:bookmarkEnd w:id="212"/>
      <w:r/>
      <w:bookmarkStart w:id="213" w:name="_格式3__银行出具的资信证明"/>
      <w:r/>
      <w:bookmarkEnd w:id="213"/>
      <w:r/>
      <w:bookmarkStart w:id="214" w:name="_Hlt26955070"/>
      <w:r/>
      <w:bookmarkEnd w:id="214"/>
      <w:r>
        <w:rPr>
          <w:rFonts w:hint="eastAsia" w:ascii="仿宋" w:hAnsi="仿宋" w:eastAsia="仿宋" w:cs="仿宋"/>
          <w:color w:val="000000"/>
          <w:sz w:val="24"/>
          <w:szCs w:val="24"/>
          <w:u w:val="single"/>
        </w:rPr>
        <w:t xml:space="preserve">                                         </w:t>
      </w:r>
      <w:r/>
    </w:p>
    <w:p>
      <w:pPr>
        <w:pStyle w:val="947"/>
        <w:spacing w:line="500" w:lineRule="exact"/>
        <w:rPr>
          <w:rFonts w:ascii="仿宋" w:hAnsi="仿宋" w:eastAsia="仿宋" w:cs="仿宋"/>
          <w:i/>
          <w:color w:val="000000"/>
          <w:sz w:val="24"/>
          <w:szCs w:val="24"/>
          <w:u w:val="single"/>
        </w:rPr>
      </w:pPr>
      <w:r>
        <w:rPr>
          <w:rFonts w:ascii="仿宋" w:hAnsi="仿宋" w:eastAsia="仿宋" w:cs="仿宋"/>
          <w:i/>
          <w:color w:val="000000"/>
          <w:sz w:val="24"/>
          <w:szCs w:val="24"/>
          <w:u w:val="single"/>
        </w:rPr>
      </w:r>
      <w:r/>
    </w:p>
    <w:p>
      <w:pPr>
        <w:pStyle w:val="947"/>
        <w:ind w:firstLine="0"/>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bCs/>
          <w:color w:val="000000"/>
          <w:sz w:val="24"/>
          <w:szCs w:val="24"/>
        </w:rPr>
      </w:pPr>
      <w:r>
        <w:rPr>
          <w:rFonts w:ascii="仿宋" w:hAnsi="仿宋" w:eastAsia="仿宋" w:cs="仿宋"/>
          <w:bCs/>
          <w:color w:val="000000"/>
          <w:sz w:val="24"/>
          <w:szCs w:val="24"/>
        </w:rPr>
      </w:r>
      <w:r/>
    </w:p>
    <w:p>
      <w:pPr>
        <w:spacing w:line="500" w:lineRule="exact"/>
        <w:rPr>
          <w:rFonts w:ascii="仿宋" w:hAnsi="仿宋" w:eastAsia="仿宋" w:cs="仿宋"/>
          <w:bCs/>
          <w:color w:val="000000"/>
          <w:sz w:val="24"/>
        </w:rPr>
      </w:pPr>
      <w:r>
        <w:rPr>
          <w:rFonts w:ascii="仿宋" w:hAnsi="仿宋" w:eastAsia="仿宋" w:cs="仿宋"/>
          <w:bCs/>
          <w:color w:val="000000"/>
          <w:sz w:val="24"/>
        </w:rPr>
      </w:r>
      <w:r/>
    </w:p>
    <w:p>
      <w:pPr>
        <w:spacing w:line="500" w:lineRule="exact"/>
        <w:rPr>
          <w:rFonts w:ascii="仿宋" w:hAnsi="仿宋" w:eastAsia="仿宋" w:cs="仿宋"/>
          <w:color w:val="000000"/>
          <w:sz w:val="24"/>
          <w:szCs w:val="20"/>
        </w:rPr>
      </w:pPr>
      <w:r>
        <w:rPr>
          <w:rFonts w:hint="eastAsia" w:ascii="仿宋" w:hAnsi="仿宋" w:eastAsia="仿宋" w:cs="仿宋"/>
          <w:bCs/>
          <w:color w:val="000000"/>
          <w:sz w:val="24"/>
        </w:rPr>
        <w:br w:type="page" w:clear="all"/>
      </w:r>
      <w:r>
        <w:rPr>
          <w:rFonts w:hint="eastAsia" w:ascii="仿宋" w:hAnsi="仿宋" w:eastAsia="仿宋" w:cs="仿宋"/>
          <w:b/>
          <w:color w:val="000000"/>
          <w:sz w:val="32"/>
          <w:szCs w:val="32"/>
        </w:rPr>
        <w:t xml:space="preserve">五、开标一览表</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招标编号：                                   分包号：</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投标总报价</w:t>
            </w:r>
            <w:r/>
          </w:p>
        </w:tc>
      </w:tr>
      <w:tr>
        <w:trPr>
          <w:cantSplit/>
          <w:trHeight w:val="612"/>
        </w:trPr>
        <w:tc>
          <w:tcPr>
            <w:tcW w:w="8206" w:type="dxa"/>
            <w:vAlign w:val="center"/>
            <w:textDirection w:val="lrTb"/>
            <w:noWrap w:val="false"/>
          </w:tcPr>
          <w:p>
            <w:pPr>
              <w:pStyle w:val="1039"/>
              <w:ind w:firstLine="0"/>
              <w:spacing w:before="0" w:after="0" w:line="500" w:lineRule="exact"/>
              <w:rPr>
                <w:rFonts w:ascii="仿宋" w:hAnsi="仿宋" w:eastAsia="仿宋" w:cs="仿宋"/>
                <w:color w:val="000000"/>
                <w:szCs w:val="21"/>
              </w:rPr>
            </w:pPr>
            <w:r>
              <w:rPr>
                <w:rFonts w:hint="eastAsia" w:ascii="仿宋" w:hAnsi="仿宋" w:eastAsia="仿宋" w:cs="仿宋"/>
                <w:color w:val="000000"/>
              </w:rPr>
              <w:t xml:space="preserve">小写：                             （人民币：元）</w:t>
            </w:r>
            <w:r/>
          </w:p>
        </w:tc>
      </w:tr>
    </w:tbl>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jc w:val="center"/>
        <w:spacing w:line="500" w:lineRule="exact"/>
        <w:rPr>
          <w:rFonts w:ascii="仿宋" w:hAnsi="仿宋" w:eastAsia="仿宋" w:cs="仿宋"/>
          <w:bCs/>
          <w:color w:val="000000"/>
          <w:sz w:val="24"/>
        </w:rPr>
      </w:pPr>
      <w:r>
        <w:rPr>
          <w:rFonts w:hint="eastAsia" w:ascii="仿宋" w:hAnsi="仿宋" w:eastAsia="仿宋" w:cs="仿宋"/>
          <w:color w:val="000000"/>
        </w:rPr>
        <w:br w:type="page" w:clear="all"/>
      </w:r>
      <w:r/>
    </w:p>
    <w:p>
      <w:pPr>
        <w:ind w:firstLine="480"/>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六、投标报价明细表</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分项服务名称</w:t>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分项单位</w:t>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数量</w:t>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单价</w:t>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203"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61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c>
          <w:tcPr>
            <w:tcW w:w="1798" w:type="dxa"/>
            <w:vAlign w:val="center"/>
            <w:textDirection w:val="lrTb"/>
            <w:noWrap w:val="false"/>
          </w:tcPr>
          <w:p>
            <w:pPr>
              <w:jc w:val="center"/>
              <w:spacing w:line="500" w:lineRule="exact"/>
              <w:rPr>
                <w:rFonts w:ascii="仿宋" w:hAnsi="仿宋" w:eastAsia="仿宋" w:cs="仿宋"/>
                <w:sz w:val="24"/>
                <w:szCs w:val="24"/>
              </w:rPr>
            </w:pPr>
            <w:r>
              <w:rPr>
                <w:rFonts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textDirection w:val="lrTb"/>
            <w:noWrap w:val="false"/>
          </w:tcPr>
          <w:p>
            <w:pPr>
              <w:spacing w:line="500" w:lineRule="exact"/>
              <w:rPr>
                <w:rFonts w:ascii="仿宋" w:hAnsi="仿宋" w:eastAsia="仿宋" w:cs="仿宋"/>
                <w:sz w:val="24"/>
                <w:szCs w:val="24"/>
              </w:rPr>
            </w:pPr>
            <w:r>
              <w:rPr>
                <w:rFonts w:ascii="仿宋" w:hAnsi="仿宋" w:eastAsia="仿宋" w:cs="仿宋"/>
                <w:sz w:val="24"/>
                <w:szCs w:val="24"/>
              </w:rPr>
            </w:r>
            <w:r/>
          </w:p>
        </w:tc>
      </w:tr>
    </w:tbl>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 “投标分项报价表”中“投标总报价”数额应当与“开标一览表”中“投标总报价”数额一致。</w:t>
      </w:r>
      <w:r/>
    </w:p>
    <w:p>
      <w:pPr>
        <w:pStyle w:val="945"/>
        <w:jc w:val="left"/>
        <w:keepNext w:val="0"/>
        <w:spacing w:before="120" w:after="120" w:line="500" w:lineRule="exact"/>
        <w:rPr>
          <w:rFonts w:ascii="仿宋" w:hAnsi="仿宋" w:eastAsia="仿宋" w:cs="仿宋"/>
          <w:color w:val="000000"/>
          <w:sz w:val="32"/>
          <w:szCs w:val="32"/>
        </w:rPr>
        <w:outlineLvl w:val="9"/>
      </w:pPr>
      <w:r>
        <w:rPr>
          <w:rFonts w:hint="eastAsia" w:ascii="仿宋" w:hAnsi="仿宋" w:eastAsia="仿宋" w:cs="仿宋"/>
          <w:strike/>
          <w:color w:val="000000"/>
          <w:sz w:val="32"/>
          <w:szCs w:val="32"/>
        </w:rPr>
        <w:br w:type="page" w:clear="all"/>
      </w:r>
      <w:r>
        <w:rPr>
          <w:rFonts w:hint="eastAsia" w:ascii="仿宋" w:hAnsi="仿宋" w:eastAsia="仿宋" w:cs="仿宋"/>
          <w:color w:val="000000"/>
          <w:sz w:val="32"/>
          <w:szCs w:val="32"/>
        </w:rPr>
        <w:t xml:space="preserve">七、中小企业声明函（服务）（分包号：**）</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（项目名称）（分包号：**）</w:t>
      </w:r>
      <w:r>
        <w:rPr>
          <w:rFonts w:hint="eastAsia" w:ascii="仿宋" w:hAnsi="仿宋" w:eastAsia="仿宋" w:cs="仿宋"/>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u w:val="single"/>
          <w:lang w:val="en-US" w:eastAsia="zh-CN"/>
        </w:rPr>
        <w:t xml:space="preserve">农、林、牧、渔业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36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right="180" w:firstLine="360"/>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jc w:val="center"/>
        <w:spacing w:line="500" w:lineRule="exact"/>
        <w:rPr>
          <w:rFonts w:ascii="仿宋" w:hAnsi="仿宋" w:eastAsia="仿宋" w:cs="仿宋"/>
          <w:color w:val="000000"/>
          <w:sz w:val="32"/>
          <w:szCs w:val="32"/>
        </w:rPr>
        <w:outlineLvl w:val="0"/>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残疾人福利性单位声明函</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项目（分包号：**）采购活动由本单位提供服务。</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（备注：1、投标人如不提供此声明函，价格将不做相应扣除。2、中标人为残疾人福利单位的，此声明函将随中标结果同时公告，接受社会监督。）</w:t>
      </w:r>
      <w:r/>
    </w:p>
    <w:p>
      <w:pPr>
        <w:ind w:firstLine="624"/>
        <w:spacing w:line="50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1066"/>
        <w:spacing w:line="500" w:lineRule="exact"/>
        <w:rPr>
          <w:rFonts w:ascii="仿宋" w:hAnsi="仿宋" w:eastAsia="仿宋" w:cs="仿宋"/>
          <w:color w:val="000000"/>
        </w:rPr>
      </w:pPr>
      <w:r>
        <w:rPr>
          <w:rFonts w:ascii="仿宋" w:hAnsi="仿宋" w:eastAsia="仿宋" w:cs="仿宋"/>
          <w:color w:val="000000"/>
        </w:rPr>
      </w:r>
      <w:r/>
    </w:p>
    <w:p>
      <w:pPr>
        <w:ind w:right="180" w:firstLine="360"/>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57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t xml:space="preserve">八、技术要求响应及偏离表（分包号：**）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1"/>
        <w:gridCol w:w="1030"/>
      </w:tblGrid>
      <w:tr>
        <w:trPr>
          <w:cantSplit/>
        </w:trPr>
        <w:tc>
          <w:tcPr>
            <w:tcW w:w="545" w:type="dxa"/>
            <w:vAlign w:val="center"/>
            <w:textDirection w:val="lrTb"/>
            <w:noWrap w:val="false"/>
          </w:tcPr>
          <w:p>
            <w:pPr>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291" w:type="dxa"/>
            <w:vAlign w:val="center"/>
            <w:textDirection w:val="lrTb"/>
            <w:noWrap w:val="false"/>
          </w:tcPr>
          <w:p>
            <w:pPr>
              <w:pStyle w:val="1031"/>
              <w:jc w:val="center"/>
              <w:spacing w:before="0" w:beforeAutospacing="0" w:after="0" w:afterAutospacing="0" w:line="500" w:lineRule="exact"/>
              <w:rPr>
                <w:rFonts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技术要求和商务要求中的实质性要求（</w:t>
            </w:r>
            <w:r>
              <w:rPr>
                <w:rFonts w:hint="eastAsia" w:ascii="仿宋" w:hAnsi="仿宋" w:eastAsia="仿宋" w:cs="仿宋"/>
                <w:color w:val="000000"/>
                <w:u w:val="single"/>
              </w:rPr>
              <w:t xml:space="preserve">加斜体下划线内容或</w:t>
            </w:r>
            <w:r>
              <w:rPr>
                <w:rFonts w:hint="eastAsia" w:ascii="仿宋" w:hAnsi="仿宋" w:eastAsia="仿宋" w:cs="仿宋"/>
                <w:color w:val="000000"/>
              </w:rPr>
              <w:t xml:space="preserve">打“★”内容）</w:t>
            </w:r>
            <w:r/>
          </w:p>
        </w:tc>
        <w:tc>
          <w:tcPr>
            <w:tcW w:w="2852" w:type="dxa"/>
            <w:vAlign w:val="center"/>
            <w:textDirection w:val="lrTb"/>
            <w:noWrap w:val="false"/>
          </w:tcPr>
          <w:p>
            <w:pPr>
              <w:pStyle w:val="1031"/>
              <w:jc w:val="center"/>
              <w:spacing w:before="0" w:beforeAutospacing="0" w:after="0" w:afterAutospacing="0" w:line="500" w:lineRule="exact"/>
              <w:rPr>
                <w:rFonts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响应情况（填报“响应或完全响应”）</w:t>
            </w:r>
            <w:r/>
          </w:p>
        </w:tc>
        <w:tc>
          <w:tcPr>
            <w:tcW w:w="1451" w:type="dxa"/>
            <w:vAlign w:val="center"/>
            <w:textDirection w:val="lrTb"/>
            <w:noWrap w:val="false"/>
          </w:tcPr>
          <w:p>
            <w:pPr>
              <w:pStyle w:val="1031"/>
              <w:jc w:val="center"/>
              <w:spacing w:before="0" w:beforeAutospacing="0" w:after="0" w:afterAutospacing="0" w:line="500" w:lineRule="exact"/>
              <w:rPr>
                <w:rFonts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偏离（填报“正偏离、符合或负偏离”）</w:t>
            </w:r>
            <w:r/>
          </w:p>
        </w:tc>
        <w:tc>
          <w:tcPr>
            <w:tcW w:w="1030" w:type="dxa"/>
            <w:vAlign w:val="center"/>
            <w:textDirection w:val="lrTb"/>
            <w:noWrap w:val="false"/>
          </w:tcPr>
          <w:p>
            <w:pPr>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材料</w:t>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291" w:type="dxa"/>
            <w:textDirection w:val="lrTb"/>
            <w:noWrap w:val="false"/>
          </w:tcPr>
          <w:p>
            <w:pPr>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2852"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51"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30" w:type="dxa"/>
            <w:textDirection w:val="lrTb"/>
            <w:noWrap w:val="false"/>
          </w:tcPr>
          <w:p>
            <w:pPr>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1.投标人必须对技术要求和商务要求中的实质性要求（加斜体下划线内容或打“★”内容）做出明确响应，否则作无效响应处理。</w:t>
      </w:r>
      <w:r/>
    </w:p>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2.如果采购文件要求提供证明材料，投标人必须将证明材料列于该表之下。</w:t>
      </w:r>
      <w:r/>
    </w:p>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3.投标人未对实质性要求作出明确响应的，或未按采购文件要求提供证明材料的，该分包作无效响应处理。</w:t>
      </w:r>
      <w:r/>
    </w:p>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4.行数不够，可自行添加。</w:t>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pStyle w:val="1085"/>
        <w:spacing w:line="500" w:lineRule="exact"/>
        <w:rPr>
          <w:rFonts w:ascii="仿宋" w:hAnsi="仿宋" w:eastAsia="仿宋" w:cs="仿宋"/>
          <w:color w:val="000000"/>
        </w:rPr>
        <w:outlineLvl w:val="1"/>
      </w:pPr>
      <w:r>
        <w:rPr>
          <w:rFonts w:ascii="仿宋" w:hAnsi="仿宋" w:eastAsia="仿宋" w:cs="仿宋"/>
          <w:color w:val="000000"/>
        </w:rPr>
      </w:r>
      <w:r/>
    </w:p>
    <w:p>
      <w:pPr>
        <w:pStyle w:val="1085"/>
        <w:spacing w:line="500" w:lineRule="exact"/>
        <w:rPr>
          <w:rFonts w:ascii="仿宋" w:hAnsi="仿宋" w:eastAsia="仿宋" w:cs="仿宋"/>
          <w:color w:val="000000"/>
        </w:rPr>
        <w:outlineLvl w:val="1"/>
      </w:pPr>
      <w:r>
        <w:rPr>
          <w:rFonts w:ascii="仿宋" w:hAnsi="仿宋" w:eastAsia="仿宋" w:cs="仿宋"/>
          <w:color w:val="000000"/>
        </w:rPr>
      </w:r>
      <w:r/>
    </w:p>
    <w:p>
      <w:pPr>
        <w:pStyle w:val="1085"/>
        <w:spacing w:line="500" w:lineRule="exact"/>
        <w:rPr>
          <w:rFonts w:ascii="仿宋" w:hAnsi="仿宋" w:eastAsia="仿宋" w:cs="仿宋"/>
          <w:color w:val="000000"/>
        </w:rPr>
        <w:outlineLvl w:val="1"/>
      </w:pPr>
      <w:r>
        <w:rPr>
          <w:rFonts w:ascii="仿宋" w:hAnsi="仿宋" w:eastAsia="仿宋" w:cs="仿宋"/>
          <w:color w:val="000000"/>
        </w:rPr>
      </w:r>
      <w:r/>
    </w:p>
    <w:p>
      <w:pPr>
        <w:pStyle w:val="1085"/>
        <w:spacing w:line="500" w:lineRule="exact"/>
        <w:rPr>
          <w:rFonts w:ascii="仿宋" w:hAnsi="仿宋" w:eastAsia="仿宋" w:cs="仿宋"/>
          <w:color w:val="000000"/>
        </w:rPr>
        <w:outlineLvl w:val="1"/>
      </w:pPr>
      <w:r>
        <w:rPr>
          <w:rFonts w:ascii="仿宋" w:hAnsi="仿宋" w:eastAsia="仿宋" w:cs="仿宋"/>
          <w:color w:val="000000"/>
        </w:rPr>
      </w:r>
      <w:r/>
    </w:p>
    <w:p>
      <w:pPr>
        <w:pStyle w:val="1085"/>
        <w:spacing w:line="500" w:lineRule="exact"/>
        <w:rPr>
          <w:rFonts w:ascii="仿宋" w:hAnsi="仿宋" w:eastAsia="仿宋" w:cs="仿宋"/>
          <w:color w:val="000000"/>
        </w:rPr>
        <w:outlineLvl w:val="1"/>
      </w:pPr>
      <w:r>
        <w:rPr>
          <w:rFonts w:ascii="仿宋" w:hAnsi="仿宋" w:eastAsia="仿宋" w:cs="仿宋"/>
          <w:color w:val="000000"/>
        </w:rPr>
      </w:r>
      <w:r/>
    </w:p>
    <w:p>
      <w:pPr>
        <w:pStyle w:val="1085"/>
        <w:spacing w:line="500" w:lineRule="exact"/>
        <w:rPr>
          <w:rFonts w:ascii="仿宋" w:hAnsi="仿宋" w:eastAsia="仿宋" w:cs="仿宋"/>
          <w:color w:val="000000"/>
        </w:rPr>
        <w:outlineLvl w:val="1"/>
      </w:pPr>
      <w:r>
        <w:rPr>
          <w:rFonts w:hint="eastAsia" w:ascii="仿宋" w:hAnsi="仿宋" w:eastAsia="仿宋" w:cs="仿宋"/>
          <w:color w:val="000000"/>
        </w:rPr>
        <w:t xml:space="preserve">九、项目组人员</w:t>
      </w:r>
      <w:r/>
    </w:p>
    <w:p>
      <w:pPr>
        <w:pStyle w:val="1031"/>
        <w:jc w:val="center"/>
        <w:spacing w:line="500" w:lineRule="exact"/>
        <w:rPr>
          <w:rFonts w:ascii="仿宋" w:hAnsi="仿宋" w:eastAsia="仿宋" w:cs="仿宋"/>
          <w:b/>
          <w:bCs/>
          <w:color w:val="000000"/>
          <w:sz w:val="32"/>
          <w:szCs w:val="32"/>
        </w:rPr>
      </w:pPr>
      <w:r>
        <w:rPr>
          <w:rFonts w:hint="eastAsia" w:ascii="仿宋" w:hAnsi="仿宋" w:eastAsia="仿宋" w:cs="仿宋"/>
          <w:b/>
          <w:bCs/>
          <w:color w:val="000000"/>
          <w:sz w:val="32"/>
          <w:szCs w:val="32"/>
          <w:lang w:bidi="ar"/>
        </w:rPr>
        <w:t xml:space="preserve">项目组成员</w:t>
      </w:r>
      <w:r/>
    </w:p>
    <w:tbl>
      <w:tblPr>
        <w:tblStyle w:val="76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3"/>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843" w:type="dxa"/>
            <w:vAlign w:val="center"/>
            <w:textDirection w:val="lrTb"/>
            <w:noWrap w:val="false"/>
          </w:tcPr>
          <w:p>
            <w:pPr>
              <w:pStyle w:val="1063"/>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W w:w="992" w:type="dxa"/>
            <w:vAlign w:val="center"/>
            <w:textDirection w:val="lrTb"/>
            <w:noWrap w:val="false"/>
          </w:tcPr>
          <w:p>
            <w:pPr>
              <w:pStyle w:val="1063"/>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984" w:type="dxa"/>
            <w:vAlign w:val="center"/>
            <w:textDirection w:val="lrTb"/>
            <w:noWrap w:val="false"/>
          </w:tcPr>
          <w:p>
            <w:pPr>
              <w:pStyle w:val="1063"/>
              <w:ind w:firstLine="280"/>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身份证号</w:t>
            </w:r>
            <w:r/>
          </w:p>
        </w:tc>
        <w:tc>
          <w:tcPr>
            <w:tcW w:w="1702" w:type="dxa"/>
            <w:vAlign w:val="center"/>
            <w:textDirection w:val="lrTb"/>
            <w:noWrap w:val="false"/>
          </w:tcPr>
          <w:p>
            <w:pPr>
              <w:pStyle w:val="1063"/>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962" w:type="dxa"/>
            <w:vAlign w:val="center"/>
            <w:textDirection w:val="lrTb"/>
            <w:noWrap w:val="false"/>
          </w:tcPr>
          <w:p>
            <w:pPr>
              <w:pStyle w:val="1063"/>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31"/>
              <w:jc w:val="center"/>
              <w:spacing w:line="500" w:lineRule="exact"/>
              <w:rPr>
                <w:rFonts w:ascii="仿宋" w:hAnsi="仿宋" w:eastAsia="仿宋" w:cs="仿宋"/>
                <w:color w:val="000000"/>
                <w:sz w:val="20"/>
                <w:szCs w:val="20"/>
              </w:rPr>
            </w:pPr>
            <w:r>
              <w:rPr>
                <w:rFonts w:hint="eastAsia" w:ascii="仿宋" w:hAnsi="仿宋" w:eastAsia="仿宋" w:cs="仿宋"/>
                <w:color w:val="000000"/>
                <w:sz w:val="28"/>
                <w:szCs w:val="28"/>
                <w:lang w:bidi="ar"/>
              </w:rPr>
              <w:t xml:space="preserve">项目经理</w:t>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31"/>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31"/>
              <w:ind w:firstLine="28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31"/>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31"/>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63"/>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bl>
    <w:p>
      <w:pPr>
        <w:pStyle w:val="1031"/>
        <w:ind w:firstLine="398"/>
        <w:spacing w:line="500" w:lineRule="exact"/>
        <w:rPr>
          <w:rFonts w:ascii="仿宋" w:hAnsi="仿宋" w:eastAsia="仿宋" w:cs="仿宋"/>
          <w:color w:val="000000"/>
        </w:rPr>
      </w:pPr>
      <w:r>
        <w:rPr>
          <w:rFonts w:hint="eastAsia" w:ascii="仿宋" w:hAnsi="仿宋" w:eastAsia="仿宋" w:cs="仿宋"/>
          <w:b/>
          <w:color w:val="000000"/>
          <w:lang w:bidi="ar"/>
        </w:rPr>
        <w:t xml:space="preserve">注：如供应商中标，项目组成员必须按本表承诺人员操作，不得随意更换。按投标文件要求附相关人员证书。</w:t>
      </w:r>
      <w:r/>
    </w:p>
    <w:p>
      <w:pPr>
        <w:pStyle w:val="1031"/>
        <w:ind w:firstLine="280"/>
        <w:spacing w:line="500" w:lineRule="exact"/>
        <w:rPr>
          <w:rFonts w:ascii="仿宋" w:hAnsi="仿宋" w:eastAsia="仿宋" w:cs="仿宋"/>
          <w:color w:val="000000"/>
        </w:rPr>
      </w:pPr>
      <w:r>
        <w:rPr>
          <w:rFonts w:ascii="仿宋" w:hAnsi="仿宋" w:eastAsia="仿宋" w:cs="仿宋"/>
          <w:color w:val="000000"/>
        </w:rPr>
      </w:r>
      <w:r/>
    </w:p>
    <w:p>
      <w:pPr>
        <w:pStyle w:val="1059"/>
        <w:spacing w:line="500" w:lineRule="exact"/>
        <w:rPr>
          <w:rFonts w:ascii="仿宋" w:hAnsi="仿宋" w:eastAsia="仿宋" w:cs="仿宋"/>
          <w:color w:val="000000"/>
        </w:rPr>
      </w:pPr>
      <w:r>
        <w:rPr>
          <w:rFonts w:hint="eastAsia" w:ascii="仿宋" w:hAnsi="仿宋" w:eastAsia="仿宋" w:cs="仿宋"/>
          <w:color w:val="000000"/>
        </w:rPr>
        <w:br w:type="page" w:clear="all"/>
      </w:r>
      <w:bookmarkStart w:id="215" w:name="_Toc11176"/>
      <w:r>
        <w:rPr>
          <w:rFonts w:hint="eastAsia" w:ascii="仿宋" w:hAnsi="仿宋" w:eastAsia="仿宋" w:cs="仿宋"/>
          <w:b/>
          <w:color w:val="000000"/>
          <w:sz w:val="32"/>
        </w:rPr>
        <w:t xml:space="preserve">十、</w:t>
      </w:r>
      <w:bookmarkEnd w:id="215"/>
      <w:r>
        <w:rPr>
          <w:rFonts w:hint="eastAsia" w:ascii="仿宋" w:hAnsi="仿宋" w:eastAsia="仿宋" w:cs="仿宋"/>
          <w:b/>
          <w:color w:val="000000"/>
          <w:sz w:val="32"/>
        </w:rPr>
        <w:t xml:space="preserve">企业业绩</w:t>
      </w:r>
      <w:r/>
    </w:p>
    <w:p>
      <w:pPr>
        <w:pStyle w:val="1068"/>
        <w:jc w:val="center"/>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投标人承担类似项目业绩一览表</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80"/>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827" w:type="dxa"/>
            <w:vAlign w:val="center"/>
            <w:textDirection w:val="lrTb"/>
            <w:noWrap w:val="false"/>
          </w:tcPr>
          <w:p>
            <w:pPr>
              <w:pStyle w:val="1080"/>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433" w:type="dxa"/>
            <w:vAlign w:val="center"/>
            <w:textDirection w:val="lrTb"/>
            <w:noWrap w:val="false"/>
          </w:tcPr>
          <w:p>
            <w:pPr>
              <w:pStyle w:val="1080"/>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pStyle w:val="1080"/>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1510"/>
        </w:trPr>
        <w:tc>
          <w:tcPr>
            <w:tcW w:w="1229" w:type="dxa"/>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1229" w:type="dxa"/>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1229" w:type="dxa"/>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25"/>
        </w:trPr>
        <w:tc>
          <w:tcPr>
            <w:tcW w:w="1229" w:type="dxa"/>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80"/>
              <w:jc w:val="center"/>
              <w:spacing w:line="500" w:lineRule="exact"/>
              <w:rPr>
                <w:rFonts w:ascii="仿宋" w:hAnsi="仿宋" w:eastAsia="仿宋" w:cs="仿宋"/>
                <w:color w:val="000000"/>
                <w:sz w:val="28"/>
              </w:rPr>
            </w:pPr>
            <w:r>
              <w:rPr>
                <w:rFonts w:ascii="仿宋" w:hAnsi="仿宋" w:eastAsia="仿宋" w:cs="仿宋"/>
                <w:color w:val="000000"/>
                <w:sz w:val="28"/>
              </w:rPr>
            </w:r>
            <w:r/>
          </w:p>
        </w:tc>
      </w:tr>
    </w:tbl>
    <w:p>
      <w:pPr>
        <w:pStyle w:val="1068"/>
        <w:spacing w:line="500" w:lineRule="exact"/>
        <w:rPr>
          <w:rFonts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pStyle w:val="1052"/>
        <w:spacing w:line="500" w:lineRule="exact"/>
        <w:rPr>
          <w:rFonts w:ascii="仿宋" w:hAnsi="仿宋" w:eastAsia="仿宋" w:cs="仿宋"/>
          <w:color w:val="000000"/>
        </w:rPr>
        <w:outlineLvl w:val="1"/>
      </w:pPr>
      <w:r>
        <w:rPr>
          <w:rFonts w:hint="eastAsia" w:ascii="仿宋" w:hAnsi="仿宋" w:eastAsia="仿宋" w:cs="仿宋"/>
          <w:color w:val="000000"/>
        </w:rPr>
        <w:br w:type="page" w:clear="all"/>
      </w:r>
      <w:bookmarkStart w:id="216" w:name="_Toc28140"/>
      <w:r>
        <w:rPr>
          <w:rFonts w:hint="eastAsia" w:ascii="仿宋" w:hAnsi="仿宋" w:eastAsia="仿宋" w:cs="仿宋"/>
          <w:color w:val="000000"/>
        </w:rPr>
        <w:t xml:space="preserve">十一、投标所需其他材料</w:t>
      </w:r>
      <w:bookmarkEnd w:id="216"/>
      <w:r/>
      <w:r/>
    </w:p>
    <w:p>
      <w:pPr>
        <w:pStyle w:val="1081"/>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500" w:lineRule="exact"/>
        <w:rPr>
          <w:rFonts w:ascii="仿宋" w:hAnsi="仿宋" w:eastAsia="仿宋" w:cs="仿宋"/>
          <w:color w:val="000000"/>
          <w:sz w:val="20"/>
          <w:highlight w:val="white"/>
        </w:rPr>
      </w:pPr>
      <w:r>
        <w:rPr>
          <w:rFonts w:hint="eastAsia" w:ascii="仿宋" w:hAnsi="仿宋" w:eastAsia="仿宋" w:cs="仿宋"/>
          <w:color w:val="000000"/>
          <w:sz w:val="20"/>
          <w:highlight w:val="white"/>
        </w:rPr>
        <w:t xml:space="preserve"> </w:t>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32"/>
        </w:rPr>
      </w:pPr>
      <w:r>
        <w:rPr>
          <w:rFonts w:ascii="仿宋" w:hAnsi="仿宋" w:eastAsia="仿宋" w:cs="仿宋"/>
          <w:color w:val="000000"/>
          <w:sz w:val="32"/>
        </w:rPr>
      </w:r>
      <w:bookmarkEnd w:id="211"/>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30"/>
        </w:rPr>
      </w:pPr>
      <w:r>
        <w:rPr>
          <w:rFonts w:ascii="仿宋" w:hAnsi="仿宋" w:eastAsia="仿宋" w:cs="仿宋"/>
          <w:color w:val="000000"/>
          <w:sz w:val="30"/>
        </w:rPr>
      </w:r>
      <w:r/>
    </w:p>
    <w:p>
      <w:pPr>
        <w:pStyle w:val="947"/>
        <w:ind w:firstLine="0"/>
        <w:spacing w:line="500" w:lineRule="exact"/>
        <w:rPr>
          <w:rFonts w:ascii="仿宋" w:hAnsi="仿宋" w:eastAsia="仿宋" w:cs="仿宋"/>
          <w:color w:val="000000"/>
          <w:sz w:val="24"/>
        </w:rPr>
      </w:pPr>
      <w:r/>
      <w:bookmarkStart w:id="217" w:name="_Hlt26955066"/>
      <w:r/>
      <w:bookmarkEnd w:id="217"/>
      <w:r/>
      <w:bookmarkStart w:id="218" w:name="_Hlt26671374"/>
      <w:r/>
      <w:bookmarkEnd w:id="218"/>
      <w:r/>
      <w:bookmarkStart w:id="219" w:name="_Hlt26609389"/>
      <w:r/>
      <w:bookmarkEnd w:id="219"/>
      <w:r/>
      <w:bookmarkStart w:id="220" w:name="_Toc462564146"/>
      <w:r/>
      <w:r/>
    </w:p>
    <w:p>
      <w:pPr>
        <w:spacing w:line="500" w:lineRule="exact"/>
        <w:rPr>
          <w:rFonts w:ascii="仿宋" w:hAnsi="仿宋" w:eastAsia="仿宋" w:cs="仿宋"/>
          <w:color w:val="000000"/>
          <w:sz w:val="24"/>
        </w:rPr>
      </w:pPr>
      <w:r>
        <w:rPr>
          <w:rFonts w:ascii="仿宋" w:hAnsi="仿宋" w:eastAsia="仿宋" w:cs="仿宋"/>
          <w:color w:val="000000"/>
          <w:sz w:val="24"/>
        </w:rPr>
      </w:r>
      <w:r/>
    </w:p>
    <w:p>
      <w:pPr>
        <w:pStyle w:val="1047"/>
        <w:spacing w:line="500" w:lineRule="exact"/>
        <w:rPr>
          <w:rFonts w:ascii="仿宋" w:hAnsi="仿宋" w:eastAsia="仿宋" w:cs="仿宋"/>
          <w:color w:val="000000"/>
          <w:sz w:val="24"/>
        </w:rPr>
      </w:pPr>
      <w:r>
        <w:rPr>
          <w:rFonts w:ascii="仿宋" w:hAnsi="仿宋" w:eastAsia="仿宋" w:cs="仿宋"/>
          <w:color w:val="000000"/>
          <w:sz w:val="24"/>
        </w:rPr>
      </w:r>
      <w:r/>
    </w:p>
    <w:p>
      <w:pPr>
        <w:pStyle w:val="1047"/>
        <w:spacing w:line="500" w:lineRule="exact"/>
        <w:rPr>
          <w:rFonts w:ascii="仿宋" w:hAnsi="仿宋" w:eastAsia="仿宋" w:cs="仿宋"/>
          <w:color w:val="000000"/>
          <w:sz w:val="24"/>
        </w:rPr>
      </w:pPr>
      <w:r>
        <w:rPr>
          <w:rFonts w:ascii="仿宋" w:hAnsi="仿宋" w:eastAsia="仿宋" w:cs="仿宋"/>
          <w:color w:val="000000"/>
          <w:sz w:val="24"/>
        </w:rPr>
      </w:r>
      <w:r/>
    </w:p>
    <w:p>
      <w:pPr>
        <w:pStyle w:val="1047"/>
        <w:spacing w:line="500" w:lineRule="exact"/>
        <w:rPr>
          <w:rFonts w:ascii="仿宋" w:hAnsi="仿宋" w:eastAsia="仿宋" w:cs="仿宋"/>
          <w:color w:val="000000"/>
          <w:sz w:val="24"/>
        </w:rPr>
      </w:pPr>
      <w:r>
        <w:rPr>
          <w:rFonts w:ascii="仿宋" w:hAnsi="仿宋" w:eastAsia="仿宋" w:cs="仿宋"/>
          <w:color w:val="000000"/>
          <w:sz w:val="24"/>
        </w:rPr>
      </w:r>
      <w:r/>
    </w:p>
    <w:p>
      <w:pPr>
        <w:pStyle w:val="1047"/>
        <w:spacing w:line="500" w:lineRule="exact"/>
        <w:rPr>
          <w:rFonts w:ascii="仿宋" w:hAnsi="仿宋" w:eastAsia="仿宋" w:cs="仿宋"/>
          <w:color w:val="000000"/>
          <w:sz w:val="24"/>
        </w:rPr>
      </w:pPr>
      <w:r>
        <w:rPr>
          <w:rFonts w:ascii="仿宋" w:hAnsi="仿宋" w:eastAsia="仿宋" w:cs="仿宋"/>
          <w:color w:val="000000"/>
          <w:sz w:val="24"/>
        </w:rPr>
      </w:r>
      <w:r/>
    </w:p>
    <w:p>
      <w:pPr>
        <w:pStyle w:val="1047"/>
        <w:spacing w:line="500" w:lineRule="exact"/>
        <w:rPr>
          <w:rFonts w:ascii="仿宋" w:hAnsi="仿宋" w:eastAsia="仿宋" w:cs="仿宋"/>
          <w:color w:val="000000"/>
          <w:sz w:val="24"/>
        </w:rPr>
      </w:pPr>
      <w:r>
        <w:rPr>
          <w:rFonts w:ascii="仿宋" w:hAnsi="仿宋" w:eastAsia="仿宋" w:cs="仿宋"/>
          <w:color w:val="000000"/>
          <w:sz w:val="24"/>
        </w:rPr>
      </w:r>
      <w:bookmarkEnd w:id="194"/>
      <w:r/>
      <w:bookmarkEnd w:id="195"/>
      <w:r/>
      <w:bookmarkEnd w:id="220"/>
      <w:r/>
      <w:r/>
    </w:p>
    <w:p>
      <w:pPr>
        <w:pStyle w:val="1047"/>
        <w:spacing w:line="500" w:lineRule="exact"/>
        <w:rPr>
          <w:rFonts w:ascii="仿宋" w:hAnsi="仿宋" w:eastAsia="仿宋" w:cs="仿宋"/>
          <w:color w:val="000000"/>
          <w:sz w:val="24"/>
        </w:rPr>
      </w:pPr>
      <w:r>
        <w:rPr>
          <w:rFonts w:ascii="仿宋" w:hAnsi="仿宋" w:eastAsia="仿宋" w:cs="仿宋"/>
          <w:color w:val="000000"/>
          <w:sz w:val="24"/>
        </w:rPr>
      </w:r>
      <w:r/>
    </w:p>
    <w:p>
      <w:pPr>
        <w:jc w:val="center"/>
        <w:spacing w:line="500" w:lineRule="exact"/>
        <w:rPr>
          <w:rFonts w:ascii="仿宋" w:hAnsi="仿宋" w:eastAsia="仿宋" w:cs="仿宋"/>
          <w:b/>
          <w:color w:val="000000"/>
          <w:sz w:val="32"/>
          <w:szCs w:val="32"/>
        </w:rPr>
      </w:pPr>
      <w:r/>
      <w:bookmarkStart w:id="221" w:name="_格式2__法定代表人授权书"/>
      <w:r/>
      <w:bookmarkEnd w:id="221"/>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5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0"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5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1.投标人提出质疑时，应提交质疑函和必要的证明材料。</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3.质疑投标人若对项目的某一分包进行质疑，质疑函中应列明具体分包号。</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7"/>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947"/>
        <w:spacing w:line="500" w:lineRule="exact"/>
        <w:rPr>
          <w:rFonts w:ascii="仿宋" w:hAnsi="仿宋" w:eastAsia="仿宋" w:cs="仿宋"/>
          <w:color w:val="000000"/>
          <w:sz w:val="24"/>
          <w:szCs w:val="24"/>
        </w:rPr>
      </w:pPr>
      <w:r>
        <w:rPr>
          <w:rFonts w:ascii="仿宋" w:hAnsi="仿宋" w:eastAsia="仿宋"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３５</w:t>
    </w:r>
    <w:r>
      <w:rPr>
        <w:rFonts w:ascii="宋体" w:hAnsi="宋体"/>
      </w:rPr>
      <w:fldChar w:fldCharType="end"/>
    </w:r>
    <w:r/>
  </w:p>
  <w:p>
    <w:pPr>
      <w:pStyle w:val="102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0"/>
      <w:isLgl w:val="false"/>
      <w:suff w:val="nothing"/>
      <w:lvlText w:val=""/>
      <w:lvlJc w:val="left"/>
      <w:pPr>
        <w:ind w:left="0" w:firstLine="0"/>
      </w:pPr>
      <w:rPr>
        <w:rFonts w:hint="eastAsia"/>
      </w:rPr>
    </w:lvl>
    <w:lvl w:ilvl="6">
      <w:start w:val="1"/>
      <w:numFmt w:val="decimal"/>
      <w:pStyle w:val="951"/>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82" w:hanging="48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3.%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rFonts w:hint="default" w:ascii="Times New Roman" w:hAnsi="Times New Roman" w:eastAsia="宋体"/>
        <w:b/>
        <w:i w:val="0"/>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2.%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2.%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0" w:firstLine="0"/>
      </w:pPr>
      <w:rPr>
        <w:rFonts w:hint="default" w:ascii="Times New Roman" w:hAnsi="Times New Roman" w:eastAsia="宋体"/>
        <w:b/>
        <w:i w:val="0"/>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4.%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15"/>
  </w:num>
  <w:num w:numId="4">
    <w:abstractNumId w:val="2"/>
  </w:num>
  <w:num w:numId="5">
    <w:abstractNumId w:val="1"/>
  </w:num>
  <w:num w:numId="6">
    <w:abstractNumId w:val="0"/>
  </w:num>
  <w:num w:numId="7">
    <w:abstractNumId w:val="6"/>
  </w:num>
  <w:num w:numId="8">
    <w:abstractNumId w:val="12"/>
  </w:num>
  <w:num w:numId="9">
    <w:abstractNumId w:val="13"/>
  </w:num>
  <w:num w:numId="10">
    <w:abstractNumId w:val="11"/>
  </w:num>
  <w:num w:numId="11">
    <w:abstractNumId w:val="7"/>
  </w:num>
  <w:num w:numId="12">
    <w:abstractNumId w:val="14"/>
  </w:num>
  <w:num w:numId="13">
    <w:abstractNumId w:val="9"/>
  </w:num>
  <w:num w:numId="14">
    <w:abstractNumId w:val="16"/>
  </w:num>
  <w:num w:numId="15">
    <w:abstractNumId w:val="10"/>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79"/>
    <w:uiPriority w:val="10"/>
    <w:rPr>
      <w:sz w:val="48"/>
      <w:szCs w:val="48"/>
    </w:rPr>
  </w:style>
  <w:style w:type="character" w:styleId="724">
    <w:name w:val="Subtitle Char"/>
    <w:basedOn w:val="761"/>
    <w:link w:val="773"/>
    <w:uiPriority w:val="11"/>
    <w:rPr>
      <w:sz w:val="24"/>
      <w:szCs w:val="24"/>
    </w:rPr>
  </w:style>
  <w:style w:type="character" w:styleId="725">
    <w:name w:val="Quote Char"/>
    <w:link w:val="809"/>
    <w:uiPriority w:val="29"/>
    <w:rPr>
      <w:i/>
    </w:rPr>
  </w:style>
  <w:style w:type="character" w:styleId="726">
    <w:name w:val="Intense Quote Char"/>
    <w:link w:val="811"/>
    <w:uiPriority w:val="30"/>
    <w:rPr>
      <w:i/>
    </w:rPr>
  </w:style>
  <w:style w:type="character" w:styleId="727">
    <w:name w:val="Header Char"/>
    <w:basedOn w:val="761"/>
    <w:link w:val="770"/>
    <w:uiPriority w:val="99"/>
  </w:style>
  <w:style w:type="character" w:styleId="728">
    <w:name w:val="Caption Char"/>
    <w:basedOn w:val="764"/>
    <w:link w:val="769"/>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74"/>
    <w:uiPriority w:val="99"/>
    <w:rPr>
      <w:sz w:val="18"/>
    </w:rPr>
  </w:style>
  <w:style w:type="character" w:styleId="749">
    <w:name w:val="Endnote Text Char"/>
    <w:link w:val="768"/>
    <w:uiPriority w:val="99"/>
    <w:rPr>
      <w:sz w:val="20"/>
    </w:rPr>
  </w:style>
  <w:style w:type="paragraph" w:styleId="750">
    <w:name w:val="TOC Heading"/>
    <w:uiPriority w:val="39"/>
    <w:unhideWhenUsed/>
  </w:style>
  <w:style w:type="paragraph" w:styleId="751" w:default="1">
    <w:name w:val="Normal"/>
    <w:uiPriority w:val="0"/>
    <w:qFormat/>
    <w:pPr>
      <w:jc w:val="both"/>
      <w:widowControl w:val="off"/>
    </w:pPr>
    <w:rPr>
      <w:rFonts w:ascii="Times New Roman" w:hAnsi="Times New Roman" w:eastAsia="Arial" w:cs="Arial"/>
      <w:sz w:val="21"/>
      <w:szCs w:val="21"/>
      <w:lang w:val="en-US" w:eastAsia="zh-CN" w:bidi="ar-SA"/>
    </w:rPr>
  </w:style>
  <w:style w:type="paragraph" w:styleId="752">
    <w:name w:val="Heading 1"/>
    <w:basedOn w:val="751"/>
    <w:next w:val="751"/>
    <w:link w:val="796"/>
    <w:uiPriority w:val="9"/>
    <w:qFormat/>
    <w:pPr>
      <w:keepLines/>
      <w:keepNext/>
      <w:spacing w:before="480" w:after="200"/>
      <w:outlineLvl w:val="0"/>
    </w:pPr>
    <w:rPr>
      <w:rFonts w:ascii="Arial" w:hAnsi="Arial"/>
      <w:sz w:val="40"/>
      <w:szCs w:val="40"/>
    </w:rPr>
  </w:style>
  <w:style w:type="paragraph" w:styleId="753">
    <w:name w:val="Heading 2"/>
    <w:basedOn w:val="751"/>
    <w:next w:val="751"/>
    <w:link w:val="797"/>
    <w:uiPriority w:val="9"/>
    <w:unhideWhenUsed/>
    <w:qFormat/>
    <w:pPr>
      <w:keepLines/>
      <w:keepNext/>
      <w:spacing w:before="360" w:after="200"/>
      <w:outlineLvl w:val="1"/>
    </w:pPr>
    <w:rPr>
      <w:rFonts w:ascii="Arial" w:hAnsi="Arial"/>
      <w:sz w:val="34"/>
    </w:rPr>
  </w:style>
  <w:style w:type="paragraph" w:styleId="754">
    <w:name w:val="Heading 3"/>
    <w:basedOn w:val="751"/>
    <w:next w:val="751"/>
    <w:link w:val="798"/>
    <w:uiPriority w:val="9"/>
    <w:unhideWhenUsed/>
    <w:qFormat/>
    <w:pPr>
      <w:keepLines/>
      <w:keepNext/>
      <w:spacing w:before="320" w:after="200"/>
      <w:outlineLvl w:val="2"/>
    </w:pPr>
    <w:rPr>
      <w:rFonts w:ascii="Arial" w:hAnsi="Arial"/>
      <w:sz w:val="30"/>
      <w:szCs w:val="30"/>
    </w:rPr>
  </w:style>
  <w:style w:type="paragraph" w:styleId="755">
    <w:name w:val="Heading 4"/>
    <w:basedOn w:val="751"/>
    <w:next w:val="751"/>
    <w:link w:val="799"/>
    <w:uiPriority w:val="9"/>
    <w:unhideWhenUsed/>
    <w:qFormat/>
    <w:pPr>
      <w:keepLines/>
      <w:keepNext/>
      <w:spacing w:before="320" w:after="200"/>
      <w:outlineLvl w:val="3"/>
    </w:pPr>
    <w:rPr>
      <w:rFonts w:ascii="Arial" w:hAnsi="Arial"/>
      <w:b/>
      <w:bCs/>
      <w:sz w:val="26"/>
      <w:szCs w:val="26"/>
    </w:rPr>
  </w:style>
  <w:style w:type="paragraph" w:styleId="756">
    <w:name w:val="Heading 5"/>
    <w:basedOn w:val="751"/>
    <w:next w:val="751"/>
    <w:link w:val="800"/>
    <w:uiPriority w:val="9"/>
    <w:unhideWhenUsed/>
    <w:qFormat/>
    <w:pPr>
      <w:keepLines/>
      <w:keepNext/>
      <w:spacing w:before="320" w:after="200"/>
      <w:outlineLvl w:val="4"/>
    </w:pPr>
    <w:rPr>
      <w:rFonts w:ascii="Arial" w:hAnsi="Arial"/>
      <w:b/>
      <w:bCs/>
      <w:sz w:val="24"/>
      <w:szCs w:val="24"/>
    </w:rPr>
  </w:style>
  <w:style w:type="paragraph" w:styleId="757">
    <w:name w:val="Heading 6"/>
    <w:basedOn w:val="751"/>
    <w:next w:val="751"/>
    <w:link w:val="801"/>
    <w:uiPriority w:val="9"/>
    <w:unhideWhenUsed/>
    <w:qFormat/>
    <w:pPr>
      <w:keepLines/>
      <w:keepNext/>
      <w:spacing w:before="320" w:after="200"/>
      <w:outlineLvl w:val="5"/>
    </w:pPr>
    <w:rPr>
      <w:rFonts w:ascii="Arial" w:hAnsi="Arial"/>
      <w:b/>
      <w:bCs/>
      <w:sz w:val="22"/>
      <w:szCs w:val="22"/>
    </w:rPr>
  </w:style>
  <w:style w:type="paragraph" w:styleId="758">
    <w:name w:val="Heading 7"/>
    <w:basedOn w:val="751"/>
    <w:next w:val="751"/>
    <w:link w:val="802"/>
    <w:uiPriority w:val="9"/>
    <w:unhideWhenUsed/>
    <w:qFormat/>
    <w:pPr>
      <w:keepLines/>
      <w:keepNext/>
      <w:spacing w:before="320" w:after="200"/>
      <w:outlineLvl w:val="6"/>
    </w:pPr>
    <w:rPr>
      <w:rFonts w:ascii="Arial" w:hAnsi="Arial"/>
      <w:b/>
      <w:bCs/>
      <w:i/>
      <w:iCs/>
      <w:sz w:val="22"/>
      <w:szCs w:val="22"/>
    </w:rPr>
  </w:style>
  <w:style w:type="paragraph" w:styleId="759">
    <w:name w:val="Heading 8"/>
    <w:basedOn w:val="751"/>
    <w:next w:val="751"/>
    <w:link w:val="803"/>
    <w:uiPriority w:val="9"/>
    <w:unhideWhenUsed/>
    <w:qFormat/>
    <w:pPr>
      <w:keepLines/>
      <w:keepNext/>
      <w:spacing w:before="320" w:after="200"/>
      <w:outlineLvl w:val="7"/>
    </w:pPr>
    <w:rPr>
      <w:rFonts w:ascii="Arial" w:hAnsi="Arial"/>
      <w:i/>
      <w:iCs/>
      <w:sz w:val="22"/>
      <w:szCs w:val="22"/>
    </w:rPr>
  </w:style>
  <w:style w:type="paragraph" w:styleId="760">
    <w:name w:val="Heading 9"/>
    <w:basedOn w:val="751"/>
    <w:next w:val="751"/>
    <w:link w:val="804"/>
    <w:uiPriority w:val="9"/>
    <w:unhideWhenUsed/>
    <w:qFormat/>
    <w:pPr>
      <w:keepLines/>
      <w:keepNext/>
      <w:spacing w:before="320" w:after="200"/>
      <w:outlineLvl w:val="8"/>
    </w:pPr>
    <w:rPr>
      <w:rFonts w:ascii="Arial" w:hAnsi="Arial"/>
      <w:i/>
      <w:iCs/>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c 5"/>
    <w:basedOn w:val="751"/>
    <w:next w:val="751"/>
    <w:uiPriority w:val="39"/>
    <w:unhideWhenUsed/>
    <w:qFormat/>
    <w:pPr>
      <w:ind w:left="1134"/>
      <w:spacing w:after="57"/>
    </w:pPr>
  </w:style>
  <w:style w:type="paragraph" w:styleId="766">
    <w:name w:val="toc 3"/>
    <w:basedOn w:val="751"/>
    <w:next w:val="751"/>
    <w:uiPriority w:val="39"/>
    <w:unhideWhenUsed/>
    <w:qFormat/>
    <w:pPr>
      <w:ind w:left="567"/>
      <w:spacing w:after="57"/>
    </w:pPr>
  </w:style>
  <w:style w:type="paragraph" w:styleId="767">
    <w:name w:val="toc 8"/>
    <w:basedOn w:val="751"/>
    <w:next w:val="751"/>
    <w:uiPriority w:val="39"/>
    <w:unhideWhenUsed/>
    <w:qFormat/>
    <w:pPr>
      <w:ind w:left="1984"/>
      <w:spacing w:after="57"/>
    </w:pPr>
  </w:style>
  <w:style w:type="paragraph" w:styleId="768">
    <w:name w:val="endnote text"/>
    <w:basedOn w:val="751"/>
    <w:link w:val="942"/>
    <w:uiPriority w:val="99"/>
    <w:semiHidden/>
    <w:unhideWhenUsed/>
    <w:qFormat/>
    <w:rPr>
      <w:sz w:val="20"/>
    </w:rPr>
  </w:style>
  <w:style w:type="paragraph" w:styleId="769">
    <w:name w:val="Footer"/>
    <w:basedOn w:val="751"/>
    <w:link w:val="815"/>
    <w:uiPriority w:val="99"/>
    <w:unhideWhenUsed/>
    <w:qFormat/>
    <w:pPr>
      <w:tabs>
        <w:tab w:val="center" w:pos="7143" w:leader="none"/>
        <w:tab w:val="right" w:pos="14287" w:leader="none"/>
      </w:tabs>
    </w:pPr>
  </w:style>
  <w:style w:type="paragraph" w:styleId="770">
    <w:name w:val="Header"/>
    <w:basedOn w:val="751"/>
    <w:link w:val="813"/>
    <w:uiPriority w:val="99"/>
    <w:unhideWhenUsed/>
    <w:qFormat/>
    <w:pPr>
      <w:tabs>
        <w:tab w:val="center" w:pos="7143" w:leader="none"/>
        <w:tab w:val="right" w:pos="14287" w:leader="none"/>
      </w:tabs>
    </w:pPr>
  </w:style>
  <w:style w:type="paragraph" w:styleId="771">
    <w:name w:val="toc 1"/>
    <w:basedOn w:val="751"/>
    <w:next w:val="751"/>
    <w:uiPriority w:val="39"/>
    <w:unhideWhenUsed/>
    <w:qFormat/>
    <w:pPr>
      <w:spacing w:after="57"/>
    </w:pPr>
  </w:style>
  <w:style w:type="paragraph" w:styleId="772">
    <w:name w:val="toc 4"/>
    <w:basedOn w:val="751"/>
    <w:next w:val="751"/>
    <w:uiPriority w:val="39"/>
    <w:unhideWhenUsed/>
    <w:qFormat/>
    <w:pPr>
      <w:ind w:left="850"/>
      <w:spacing w:after="57"/>
    </w:pPr>
  </w:style>
  <w:style w:type="paragraph" w:styleId="773">
    <w:name w:val="Subtitle"/>
    <w:basedOn w:val="751"/>
    <w:next w:val="751"/>
    <w:link w:val="808"/>
    <w:uiPriority w:val="11"/>
    <w:qFormat/>
    <w:pPr>
      <w:spacing w:before="200" w:after="200"/>
    </w:pPr>
    <w:rPr>
      <w:sz w:val="24"/>
      <w:szCs w:val="24"/>
    </w:rPr>
  </w:style>
  <w:style w:type="paragraph" w:styleId="774">
    <w:name w:val="footnote text"/>
    <w:basedOn w:val="751"/>
    <w:link w:val="941"/>
    <w:uiPriority w:val="99"/>
    <w:semiHidden/>
    <w:unhideWhenUsed/>
    <w:qFormat/>
    <w:pPr>
      <w:spacing w:after="40"/>
    </w:pPr>
    <w:rPr>
      <w:sz w:val="18"/>
    </w:rPr>
  </w:style>
  <w:style w:type="paragraph" w:styleId="775">
    <w:name w:val="toc 6"/>
    <w:basedOn w:val="751"/>
    <w:next w:val="751"/>
    <w:uiPriority w:val="39"/>
    <w:unhideWhenUsed/>
    <w:qFormat/>
    <w:pPr>
      <w:ind w:left="1417"/>
      <w:spacing w:after="57"/>
    </w:pPr>
  </w:style>
  <w:style w:type="paragraph" w:styleId="776">
    <w:name w:val="table of figures"/>
    <w:basedOn w:val="751"/>
    <w:next w:val="751"/>
    <w:uiPriority w:val="99"/>
    <w:unhideWhenUsed/>
    <w:qFormat/>
  </w:style>
  <w:style w:type="paragraph" w:styleId="777">
    <w:name w:val="toc 2"/>
    <w:basedOn w:val="751"/>
    <w:next w:val="751"/>
    <w:uiPriority w:val="39"/>
    <w:unhideWhenUsed/>
    <w:qFormat/>
    <w:pPr>
      <w:ind w:left="283"/>
      <w:spacing w:after="57"/>
    </w:pPr>
  </w:style>
  <w:style w:type="paragraph" w:styleId="778">
    <w:name w:val="toc 9"/>
    <w:basedOn w:val="751"/>
    <w:next w:val="751"/>
    <w:uiPriority w:val="39"/>
    <w:unhideWhenUsed/>
    <w:qFormat/>
    <w:pPr>
      <w:ind w:left="2268"/>
      <w:spacing w:after="57"/>
    </w:pPr>
  </w:style>
  <w:style w:type="paragraph" w:styleId="779">
    <w:name w:val="Title"/>
    <w:basedOn w:val="751"/>
    <w:next w:val="751"/>
    <w:link w:val="807"/>
    <w:uiPriority w:val="10"/>
    <w:qFormat/>
    <w:pPr>
      <w:contextualSpacing/>
      <w:spacing w:before="300" w:after="200"/>
    </w:pPr>
    <w:rPr>
      <w:sz w:val="48"/>
      <w:szCs w:val="48"/>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61"/>
    <w:uiPriority w:val="22"/>
    <w:qFormat/>
  </w:style>
  <w:style w:type="character" w:styleId="782">
    <w:name w:val="endnote reference"/>
    <w:uiPriority w:val="99"/>
    <w:semiHidden/>
    <w:unhideWhenUsed/>
    <w:qFormat/>
    <w:rPr>
      <w:vertAlign w:val="superscript"/>
    </w:rPr>
  </w:style>
  <w:style w:type="character" w:styleId="783">
    <w:name w:val="FollowedHyperlink"/>
    <w:basedOn w:val="761"/>
    <w:uiPriority w:val="99"/>
    <w:semiHidden/>
    <w:unhideWhenUsed/>
    <w:qFormat/>
    <w:rPr>
      <w:color w:val="800080"/>
      <w:u w:val="none"/>
    </w:rPr>
  </w:style>
  <w:style w:type="character" w:styleId="784">
    <w:name w:val="Emphasis"/>
    <w:basedOn w:val="761"/>
    <w:uiPriority w:val="20"/>
    <w:qFormat/>
  </w:style>
  <w:style w:type="character" w:styleId="785">
    <w:name w:val="HTML Definition"/>
    <w:basedOn w:val="761"/>
    <w:uiPriority w:val="99"/>
    <w:semiHidden/>
    <w:unhideWhenUsed/>
    <w:qFormat/>
  </w:style>
  <w:style w:type="character" w:styleId="786">
    <w:name w:val="HTML Typewriter"/>
    <w:basedOn w:val="761"/>
    <w:uiPriority w:val="99"/>
    <w:semiHidden/>
    <w:unhideWhenUsed/>
    <w:qFormat/>
    <w:rPr>
      <w:rFonts w:hint="default" w:ascii="monospace" w:hAnsi="monospace" w:eastAsia="monospace" w:cs="monospace"/>
      <w:sz w:val="20"/>
    </w:rPr>
  </w:style>
  <w:style w:type="character" w:styleId="787">
    <w:name w:val="HTML Acronym"/>
    <w:basedOn w:val="761"/>
    <w:uiPriority w:val="99"/>
    <w:semiHidden/>
    <w:unhideWhenUsed/>
    <w:qFormat/>
  </w:style>
  <w:style w:type="character" w:styleId="788">
    <w:name w:val="HTML Variable"/>
    <w:basedOn w:val="761"/>
    <w:uiPriority w:val="99"/>
    <w:semiHidden/>
    <w:unhideWhenUsed/>
    <w:qFormat/>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HTML Code"/>
    <w:basedOn w:val="761"/>
    <w:uiPriority w:val="99"/>
    <w:semiHidden/>
    <w:unhideWhenUsed/>
    <w:qFormat/>
    <w:rPr>
      <w:rFonts w:hint="default" w:ascii="monospace" w:hAnsi="monospace" w:eastAsia="monospace" w:cs="monospace"/>
      <w:sz w:val="20"/>
    </w:rPr>
  </w:style>
  <w:style w:type="character" w:styleId="791">
    <w:name w:val="HTML Cite"/>
    <w:basedOn w:val="761"/>
    <w:uiPriority w:val="99"/>
    <w:semiHidden/>
    <w:unhideWhenUsed/>
    <w:qFormat/>
  </w:style>
  <w:style w:type="character" w:styleId="792">
    <w:name w:val="footnote reference"/>
    <w:uiPriority w:val="99"/>
    <w:unhideWhenUsed/>
    <w:qFormat/>
    <w:rPr>
      <w:vertAlign w:val="superscript"/>
    </w:rPr>
  </w:style>
  <w:style w:type="character" w:styleId="793">
    <w:name w:val="HTML Keyboard"/>
    <w:basedOn w:val="761"/>
    <w:uiPriority w:val="99"/>
    <w:semiHidden/>
    <w:unhideWhenUsed/>
    <w:qFormat/>
    <w:rPr>
      <w:rFonts w:hint="default" w:ascii="monospace" w:hAnsi="monospace" w:eastAsia="monospace" w:cs="monospace"/>
      <w:sz w:val="20"/>
    </w:rPr>
  </w:style>
  <w:style w:type="character" w:styleId="794">
    <w:name w:val="HTML Sample"/>
    <w:basedOn w:val="761"/>
    <w:uiPriority w:val="99"/>
    <w:semiHidden/>
    <w:unhideWhenUsed/>
    <w:qFormat/>
    <w:rPr>
      <w:rFonts w:ascii="monospace" w:hAnsi="monospace" w:eastAsia="monospace" w:cs="monospace"/>
    </w:rPr>
  </w:style>
  <w:style w:type="paragraph" w:styleId="795" w:customStyle="1">
    <w:name w:val="正文文本缩进 21"/>
    <w:basedOn w:val="751"/>
    <w:link w:val="979"/>
    <w:uiPriority w:val="0"/>
    <w:qFormat/>
    <w:pPr>
      <w:ind w:left="630" w:firstLine="645"/>
    </w:pPr>
    <w:rPr>
      <w:rFonts w:ascii="Arial" w:hAnsi="Arial" w:eastAsia="仿宋_GB2312"/>
      <w:sz w:val="32"/>
      <w:szCs w:val="32"/>
    </w:rPr>
  </w:style>
  <w:style w:type="character" w:styleId="796" w:customStyle="1">
    <w:name w:val="标题 1 字符"/>
    <w:link w:val="752"/>
    <w:uiPriority w:val="9"/>
    <w:qFormat/>
    <w:rPr>
      <w:rFonts w:ascii="Arial" w:hAnsi="Arial" w:eastAsia="Arial" w:cs="Arial"/>
      <w:sz w:val="40"/>
      <w:szCs w:val="40"/>
    </w:rPr>
  </w:style>
  <w:style w:type="character" w:styleId="797" w:customStyle="1">
    <w:name w:val="标题 2 字符"/>
    <w:link w:val="753"/>
    <w:uiPriority w:val="9"/>
    <w:qFormat/>
    <w:rPr>
      <w:rFonts w:ascii="Arial" w:hAnsi="Arial" w:eastAsia="Arial" w:cs="Arial"/>
      <w:sz w:val="34"/>
    </w:rPr>
  </w:style>
  <w:style w:type="character" w:styleId="798" w:customStyle="1">
    <w:name w:val="标题 3 字符"/>
    <w:link w:val="754"/>
    <w:uiPriority w:val="9"/>
    <w:qFormat/>
    <w:rPr>
      <w:rFonts w:ascii="Arial" w:hAnsi="Arial" w:eastAsia="Arial" w:cs="Arial"/>
      <w:sz w:val="30"/>
      <w:szCs w:val="30"/>
    </w:rPr>
  </w:style>
  <w:style w:type="character" w:styleId="799" w:customStyle="1">
    <w:name w:val="标题 4 字符"/>
    <w:link w:val="755"/>
    <w:uiPriority w:val="9"/>
    <w:qFormat/>
    <w:rPr>
      <w:rFonts w:ascii="Arial" w:hAnsi="Arial" w:eastAsia="Arial" w:cs="Arial"/>
      <w:b/>
      <w:bCs/>
      <w:sz w:val="26"/>
      <w:szCs w:val="26"/>
    </w:rPr>
  </w:style>
  <w:style w:type="character" w:styleId="800" w:customStyle="1">
    <w:name w:val="标题 5 字符"/>
    <w:link w:val="756"/>
    <w:uiPriority w:val="9"/>
    <w:qFormat/>
    <w:rPr>
      <w:rFonts w:ascii="Arial" w:hAnsi="Arial" w:eastAsia="Arial" w:cs="Arial"/>
      <w:b/>
      <w:bCs/>
      <w:sz w:val="24"/>
      <w:szCs w:val="24"/>
    </w:rPr>
  </w:style>
  <w:style w:type="character" w:styleId="801" w:customStyle="1">
    <w:name w:val="标题 6 字符"/>
    <w:link w:val="757"/>
    <w:uiPriority w:val="9"/>
    <w:qFormat/>
    <w:rPr>
      <w:rFonts w:ascii="Arial" w:hAnsi="Arial" w:eastAsia="Arial" w:cs="Arial"/>
      <w:b/>
      <w:bCs/>
      <w:sz w:val="22"/>
      <w:szCs w:val="22"/>
    </w:rPr>
  </w:style>
  <w:style w:type="character" w:styleId="802" w:customStyle="1">
    <w:name w:val="标题 7 字符"/>
    <w:link w:val="758"/>
    <w:uiPriority w:val="9"/>
    <w:qFormat/>
    <w:rPr>
      <w:rFonts w:ascii="Arial" w:hAnsi="Arial" w:eastAsia="Arial" w:cs="Arial"/>
      <w:b/>
      <w:bCs/>
      <w:i/>
      <w:iCs/>
      <w:sz w:val="22"/>
      <w:szCs w:val="22"/>
    </w:rPr>
  </w:style>
  <w:style w:type="character" w:styleId="803" w:customStyle="1">
    <w:name w:val="标题 8 字符"/>
    <w:link w:val="759"/>
    <w:uiPriority w:val="9"/>
    <w:qFormat/>
    <w:rPr>
      <w:rFonts w:ascii="Arial" w:hAnsi="Arial" w:eastAsia="Arial" w:cs="Arial"/>
      <w:i/>
      <w:iCs/>
      <w:sz w:val="22"/>
      <w:szCs w:val="22"/>
    </w:rPr>
  </w:style>
  <w:style w:type="character" w:styleId="804" w:customStyle="1">
    <w:name w:val="标题 9 字符"/>
    <w:link w:val="760"/>
    <w:uiPriority w:val="9"/>
    <w:qFormat/>
    <w:rPr>
      <w:rFonts w:ascii="Arial" w:hAnsi="Arial" w:eastAsia="Arial" w:cs="Arial"/>
      <w:i/>
      <w:iCs/>
      <w:sz w:val="21"/>
      <w:szCs w:val="21"/>
    </w:rPr>
  </w:style>
  <w:style w:type="paragraph" w:styleId="805">
    <w:name w:val="List Paragraph"/>
    <w:basedOn w:val="751"/>
    <w:uiPriority w:val="34"/>
    <w:qFormat/>
    <w:pPr>
      <w:contextualSpacing/>
      <w:ind w:left="720"/>
    </w:pPr>
  </w:style>
  <w:style w:type="paragraph" w:styleId="806">
    <w:name w:val="No Spacing"/>
    <w:uiPriority w:val="1"/>
    <w:qFormat/>
    <w:rPr>
      <w:rFonts w:ascii="Arial" w:hAnsi="Arial" w:eastAsia="Arial" w:cs="Arial"/>
      <w:lang w:val="en-US" w:eastAsia="zh-CN" w:bidi="ar-SA"/>
    </w:rPr>
  </w:style>
  <w:style w:type="character" w:styleId="807" w:customStyle="1">
    <w:name w:val="标题 字符"/>
    <w:link w:val="779"/>
    <w:uiPriority w:val="10"/>
    <w:qFormat/>
    <w:rPr>
      <w:sz w:val="48"/>
      <w:szCs w:val="48"/>
    </w:rPr>
  </w:style>
  <w:style w:type="character" w:styleId="808" w:customStyle="1">
    <w:name w:val="副标题 字符"/>
    <w:link w:val="773"/>
    <w:uiPriority w:val="11"/>
    <w:qFormat/>
    <w:rPr>
      <w:sz w:val="24"/>
      <w:szCs w:val="24"/>
    </w:rPr>
  </w:style>
  <w:style w:type="paragraph" w:styleId="809">
    <w:name w:val="Quote"/>
    <w:basedOn w:val="751"/>
    <w:next w:val="751"/>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51"/>
    <w:next w:val="751"/>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70"/>
    <w:uiPriority w:val="99"/>
    <w:qFormat/>
  </w:style>
  <w:style w:type="character" w:styleId="814" w:customStyle="1">
    <w:name w:val="Footer Char"/>
    <w:uiPriority w:val="99"/>
    <w:qFormat/>
  </w:style>
  <w:style w:type="character" w:styleId="815" w:customStyle="1">
    <w:name w:val="页脚 字符"/>
    <w:link w:val="769"/>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74"/>
    <w:uiPriority w:val="99"/>
    <w:qFormat/>
    <w:rPr>
      <w:sz w:val="18"/>
    </w:rPr>
  </w:style>
  <w:style w:type="character" w:styleId="942" w:customStyle="1">
    <w:name w:val="尾注文本 字符"/>
    <w:link w:val="768"/>
    <w:uiPriority w:val="99"/>
    <w:qFormat/>
    <w:rPr>
      <w:sz w:val="20"/>
    </w:rPr>
  </w:style>
  <w:style w:type="paragraph" w:styleId="943" w:customStyle="1">
    <w:name w:val="TOC 标题1"/>
    <w:uiPriority w:val="39"/>
    <w:unhideWhenUsed/>
    <w:qFormat/>
    <w:rPr>
      <w:rFonts w:ascii="Arial" w:hAnsi="Arial" w:eastAsia="Arial" w:cs="Arial"/>
      <w:lang w:val="en-US" w:eastAsia="zh-CN" w:bidi="ar-SA"/>
    </w:rPr>
  </w:style>
  <w:style w:type="paragraph" w:styleId="944" w:customStyle="1">
    <w:name w:val="标题 11"/>
    <w:basedOn w:val="751"/>
    <w:next w:val="751"/>
    <w:link w:val="1000"/>
    <w:uiPriority w:val="0"/>
    <w:qFormat/>
    <w:pPr>
      <w:jc w:val="center"/>
      <w:keepNext/>
      <w:outlineLvl w:val="0"/>
    </w:pPr>
    <w:rPr>
      <w:rFonts w:ascii="楷体_GB2312" w:eastAsia="楷体_GB2312"/>
      <w:sz w:val="28"/>
      <w:szCs w:val="28"/>
    </w:rPr>
  </w:style>
  <w:style w:type="paragraph" w:styleId="945" w:customStyle="1">
    <w:name w:val="标题 21"/>
    <w:basedOn w:val="751"/>
    <w:next w:val="751"/>
    <w:link w:val="969"/>
    <w:uiPriority w:val="0"/>
    <w:qFormat/>
    <w:pPr>
      <w:jc w:val="center"/>
      <w:keepLines/>
      <w:keepNext/>
      <w:spacing w:before="260" w:after="260" w:line="416" w:lineRule="auto"/>
      <w:outlineLvl w:val="1"/>
    </w:pPr>
    <w:rPr>
      <w:rFonts w:ascii="Arial" w:hAnsi="Arial" w:eastAsia="幼圆"/>
      <w:b/>
      <w:bCs/>
      <w:sz w:val="44"/>
      <w:szCs w:val="44"/>
    </w:rPr>
  </w:style>
  <w:style w:type="paragraph" w:styleId="946" w:customStyle="1">
    <w:name w:val="标题 31"/>
    <w:basedOn w:val="751"/>
    <w:next w:val="947"/>
    <w:link w:val="996"/>
    <w:uiPriority w:val="0"/>
    <w:qFormat/>
    <w:pPr>
      <w:keepLines/>
      <w:keepNext/>
      <w:spacing w:before="260" w:after="260" w:line="416" w:lineRule="auto"/>
      <w:outlineLvl w:val="2"/>
    </w:pPr>
    <w:rPr>
      <w:b/>
      <w:bCs/>
      <w:sz w:val="32"/>
      <w:szCs w:val="32"/>
    </w:rPr>
  </w:style>
  <w:style w:type="paragraph" w:styleId="947" w:customStyle="1">
    <w:name w:val="正文缩进1"/>
    <w:basedOn w:val="751"/>
    <w:next w:val="751"/>
    <w:link w:val="997"/>
    <w:uiPriority w:val="0"/>
    <w:qFormat/>
    <w:pPr>
      <w:ind w:firstLine="420"/>
    </w:pPr>
  </w:style>
  <w:style w:type="paragraph" w:styleId="948" w:customStyle="1">
    <w:name w:val="标题 41"/>
    <w:basedOn w:val="751"/>
    <w:next w:val="947"/>
    <w:link w:val="998"/>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标题 51"/>
    <w:basedOn w:val="751"/>
    <w:next w:val="947"/>
    <w:link w:val="1002"/>
    <w:uiPriority w:val="0"/>
    <w:qFormat/>
    <w:pPr>
      <w:keepNext/>
      <w:outlineLvl w:val="4"/>
    </w:pPr>
    <w:rPr>
      <w:rFonts w:ascii="宋体"/>
      <w:color w:val="000000"/>
      <w:sz w:val="28"/>
      <w:szCs w:val="28"/>
    </w:rPr>
  </w:style>
  <w:style w:type="paragraph" w:styleId="950" w:customStyle="1">
    <w:name w:val="标题 61"/>
    <w:basedOn w:val="751"/>
    <w:next w:val="751"/>
    <w:link w:val="10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customStyle="1">
    <w:name w:val="标题 71"/>
    <w:basedOn w:val="751"/>
    <w:next w:val="751"/>
    <w:link w:val="999"/>
    <w:uiPriority w:val="0"/>
    <w:qFormat/>
    <w:pPr>
      <w:numPr>
        <w:ilvl w:val="6"/>
        <w:numId w:val="1"/>
      </w:numPr>
      <w:keepLines/>
      <w:keepNext/>
      <w:spacing w:before="240" w:after="64" w:line="320" w:lineRule="auto"/>
      <w:outlineLvl w:val="6"/>
    </w:pPr>
    <w:rPr>
      <w:b/>
      <w:bCs/>
      <w:sz w:val="24"/>
      <w:szCs w:val="24"/>
    </w:rPr>
  </w:style>
  <w:style w:type="paragraph" w:styleId="952" w:customStyle="1">
    <w:name w:val="标题 81"/>
    <w:basedOn w:val="751"/>
    <w:next w:val="751"/>
    <w:link w:val="10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3" w:customStyle="1">
    <w:name w:val="标题 91"/>
    <w:basedOn w:val="751"/>
    <w:next w:val="751"/>
    <w:link w:val="1006"/>
    <w:uiPriority w:val="0"/>
    <w:qFormat/>
    <w:pPr>
      <w:numPr>
        <w:ilvl w:val="8"/>
        <w:numId w:val="1"/>
      </w:numPr>
      <w:keepLines/>
      <w:keepNext/>
      <w:spacing w:before="240" w:after="64" w:line="320" w:lineRule="auto"/>
      <w:outlineLvl w:val="8"/>
    </w:pPr>
    <w:rPr>
      <w:rFonts w:ascii="Arial" w:hAnsi="Arial" w:eastAsia="黑体"/>
    </w:rPr>
  </w:style>
  <w:style w:type="character" w:styleId="954" w:customStyle="1">
    <w:name w:val="默认段落字体1"/>
    <w:uiPriority w:val="1"/>
    <w:unhideWhenUsed/>
    <w:qFormat/>
  </w:style>
  <w:style w:type="table" w:styleId="955" w:customStyle="1">
    <w:name w:val="普通表格1"/>
    <w:uiPriority w:val="99"/>
    <w:unhideWhenUsed/>
    <w:qFormat/>
    <w:tblPr>
      <w:tblCellMar>
        <w:left w:w="0" w:type="dxa"/>
        <w:top w:w="0" w:type="dxa"/>
        <w:right w:w="0" w:type="dxa"/>
        <w:bottom w:w="0" w:type="dxa"/>
      </w:tblCellMar>
    </w:tblPr>
  </w:style>
  <w:style w:type="character" w:styleId="956" w:customStyle="1">
    <w:name w:val="已访问的超链接1"/>
    <w:basedOn w:val="954"/>
    <w:uiPriority w:val="0"/>
    <w:qFormat/>
    <w:rPr>
      <w:color w:val="333333"/>
      <w:u w:val="none"/>
    </w:rPr>
  </w:style>
  <w:style w:type="character" w:styleId="957" w:customStyle="1">
    <w:name w:val="要点1"/>
    <w:uiPriority w:val="0"/>
    <w:qFormat/>
    <w:rPr>
      <w:b/>
      <w:bCs/>
    </w:rPr>
  </w:style>
  <w:style w:type="character" w:styleId="958" w:customStyle="1">
    <w:name w:val="current3"/>
    <w:basedOn w:val="954"/>
    <w:uiPriority w:val="0"/>
    <w:qFormat/>
    <w:rPr>
      <w:b/>
      <w:color w:val="ffffff"/>
      <w:shd w:val="clear" w:color="auto" w:fill="0075cc"/>
    </w:rPr>
  </w:style>
  <w:style w:type="character" w:styleId="959" w:customStyle="1">
    <w:name w:val="hour_am"/>
    <w:basedOn w:val="954"/>
    <w:uiPriority w:val="0"/>
    <w:qFormat/>
  </w:style>
  <w:style w:type="character" w:styleId="960" w:customStyle="1">
    <w:name w:val="超链接1"/>
    <w:basedOn w:val="954"/>
    <w:uiPriority w:val="0"/>
    <w:qFormat/>
    <w:rPr>
      <w:color w:val="333333"/>
      <w:u w:val="none"/>
    </w:rPr>
  </w:style>
  <w:style w:type="character" w:styleId="961" w:customStyle="1">
    <w:name w:val="HTML 变量1"/>
    <w:basedOn w:val="954"/>
    <w:uiPriority w:val="99"/>
    <w:unhideWhenUsed/>
    <w:qFormat/>
  </w:style>
  <w:style w:type="character" w:styleId="962" w:customStyle="1">
    <w:name w:val="正文文本缩进 3 Char"/>
    <w:link w:val="963"/>
    <w:uiPriority w:val="0"/>
    <w:qFormat/>
    <w:rPr>
      <w:rFonts w:ascii="Arial" w:hAnsi="Arial" w:eastAsia="仿宋_GB2312" w:cs="Arial"/>
      <w:color w:val="ffff00"/>
      <w:sz w:val="32"/>
      <w:szCs w:val="32"/>
    </w:rPr>
  </w:style>
  <w:style w:type="paragraph" w:styleId="963" w:customStyle="1">
    <w:name w:val="正文文本缩进 31"/>
    <w:basedOn w:val="751"/>
    <w:link w:val="962"/>
    <w:uiPriority w:val="0"/>
    <w:qFormat/>
    <w:pPr>
      <w:ind w:left="645" w:firstLine="645"/>
    </w:pPr>
    <w:rPr>
      <w:rFonts w:ascii="Arial" w:hAnsi="Arial" w:eastAsia="仿宋_GB2312"/>
      <w:color w:val="ffff00"/>
      <w:sz w:val="32"/>
      <w:szCs w:val="32"/>
    </w:rPr>
  </w:style>
  <w:style w:type="character" w:styleId="964" w:customStyle="1">
    <w:name w:val="layui-layer-tabnow"/>
    <w:basedOn w:val="954"/>
    <w:uiPriority w:val="0"/>
    <w:qFormat/>
    <w:rPr>
      <w:shd w:val="clear" w:color="auto" w:fill="ffffff"/>
    </w:rPr>
  </w:style>
  <w:style w:type="character" w:styleId="965" w:customStyle="1">
    <w:name w:val="页码1"/>
    <w:uiPriority w:val="0"/>
    <w:qFormat/>
  </w:style>
  <w:style w:type="character" w:styleId="966" w:customStyle="1">
    <w:name w:val="强调1"/>
    <w:basedOn w:val="954"/>
    <w:uiPriority w:val="20"/>
    <w:qFormat/>
  </w:style>
  <w:style w:type="character" w:styleId="967" w:customStyle="1">
    <w:name w:val="HTML 定义1"/>
    <w:basedOn w:val="954"/>
    <w:uiPriority w:val="99"/>
    <w:unhideWhenUsed/>
    <w:qFormat/>
  </w:style>
  <w:style w:type="character" w:styleId="968" w:customStyle="1">
    <w:name w:val="HTML 键盘1"/>
    <w:basedOn w:val="954"/>
    <w:uiPriority w:val="99"/>
    <w:unhideWhenUsed/>
    <w:qFormat/>
    <w:rPr>
      <w:rFonts w:ascii="monospace" w:hAnsi="monospace" w:eastAsia="monospace" w:cs="monospace"/>
      <w:sz w:val="20"/>
    </w:rPr>
  </w:style>
  <w:style w:type="character" w:styleId="969" w:customStyle="1">
    <w:name w:val="标题 2 Char"/>
    <w:link w:val="945"/>
    <w:uiPriority w:val="0"/>
    <w:qFormat/>
    <w:rPr>
      <w:rFonts w:ascii="Arial" w:hAnsi="Arial" w:eastAsia="幼圆" w:cs="Arial"/>
      <w:b/>
      <w:bCs/>
      <w:sz w:val="44"/>
      <w:szCs w:val="44"/>
    </w:rPr>
  </w:style>
  <w:style w:type="character" w:styleId="970" w:customStyle="1">
    <w:name w:val="HTML 打字机1"/>
    <w:basedOn w:val="954"/>
    <w:uiPriority w:val="99"/>
    <w:unhideWhenUsed/>
    <w:qFormat/>
    <w:rPr>
      <w:rFonts w:ascii="monospace" w:hAnsi="monospace" w:eastAsia="monospace" w:cs="monospace"/>
      <w:sz w:val="20"/>
    </w:rPr>
  </w:style>
  <w:style w:type="character" w:styleId="971" w:customStyle="1">
    <w:name w:val="font5 Char"/>
    <w:uiPriority w:val="0"/>
    <w:qFormat/>
    <w:rPr>
      <w:rFonts w:ascii="宋体" w:hAnsi="宋体" w:eastAsia="宋体"/>
      <w:sz w:val="28"/>
      <w:szCs w:val="28"/>
      <w:lang w:val="en-US" w:eastAsia="zh-CN" w:bidi="ar-SA"/>
    </w:rPr>
  </w:style>
  <w:style w:type="character" w:styleId="972" w:customStyle="1">
    <w:name w:val="HTML 样本1"/>
    <w:basedOn w:val="954"/>
    <w:uiPriority w:val="99"/>
    <w:unhideWhenUsed/>
    <w:qFormat/>
    <w:rPr>
      <w:rFonts w:ascii="monospace" w:hAnsi="monospace" w:eastAsia="monospace" w:cs="monospace"/>
    </w:rPr>
  </w:style>
  <w:style w:type="character" w:styleId="973" w:customStyle="1">
    <w:name w:val="HTML 代码1"/>
    <w:basedOn w:val="954"/>
    <w:uiPriority w:val="99"/>
    <w:unhideWhenUsed/>
    <w:qFormat/>
    <w:rPr>
      <w:rFonts w:ascii="monospace" w:hAnsi="monospace" w:eastAsia="monospace" w:cs="monospace"/>
      <w:sz w:val="20"/>
    </w:rPr>
  </w:style>
  <w:style w:type="character" w:styleId="974" w:customStyle="1">
    <w:name w:val="HTML 缩写1"/>
    <w:basedOn w:val="954"/>
    <w:uiPriority w:val="99"/>
    <w:unhideWhenUsed/>
    <w:qFormat/>
  </w:style>
  <w:style w:type="character" w:styleId="975" w:customStyle="1">
    <w:name w:val="批注引用1"/>
    <w:uiPriority w:val="0"/>
    <w:semiHidden/>
    <w:qFormat/>
    <w:rPr>
      <w:sz w:val="21"/>
      <w:szCs w:val="21"/>
    </w:rPr>
  </w:style>
  <w:style w:type="character" w:styleId="976" w:customStyle="1">
    <w:name w:val="HTML 引文1"/>
    <w:basedOn w:val="954"/>
    <w:uiPriority w:val="99"/>
    <w:unhideWhenUsed/>
    <w:qFormat/>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51"/>
    <w:link w:val="977"/>
    <w:uiPriority w:val="0"/>
    <w:qFormat/>
    <w:pPr>
      <w:contextualSpacing/>
      <w:ind w:left="720"/>
      <w:jc w:val="left"/>
      <w:widowControl/>
    </w:pPr>
    <w:rPr>
      <w:rFonts w:ascii="Calibri" w:hAnsi="Calibri" w:eastAsia="宋体" w:cs="Times New Roman"/>
      <w:sz w:val="24"/>
      <w:szCs w:val="24"/>
      <w:lang w:eastAsia="en-US" w:bidi="en-US"/>
    </w:rPr>
  </w:style>
  <w:style w:type="character" w:styleId="979" w:customStyle="1">
    <w:name w:val="正文文本缩进 2 Char"/>
    <w:link w:val="795"/>
    <w:uiPriority w:val="0"/>
    <w:qFormat/>
    <w:rPr>
      <w:rFonts w:ascii="Arial" w:hAnsi="Arial" w:eastAsia="仿宋_GB2312" w:cs="Arial"/>
      <w:sz w:val="32"/>
      <w:szCs w:val="32"/>
    </w:rPr>
  </w:style>
  <w:style w:type="character" w:styleId="980" w:customStyle="1">
    <w:name w:val="正文文本 Char"/>
    <w:link w:val="981"/>
    <w:uiPriority w:val="0"/>
    <w:qFormat/>
    <w:rPr>
      <w:rFonts w:ascii="楷体_GB2312" w:hAnsi="Arial" w:eastAsia="楷体_GB2312" w:cs="Times New Roman"/>
      <w:sz w:val="28"/>
      <w:szCs w:val="28"/>
    </w:rPr>
  </w:style>
  <w:style w:type="paragraph" w:styleId="981" w:customStyle="1">
    <w:name w:val="正文文本1"/>
    <w:basedOn w:val="751"/>
    <w:link w:val="980"/>
    <w:uiPriority w:val="0"/>
    <w:qFormat/>
    <w:rPr>
      <w:rFonts w:ascii="楷体_GB2312" w:hAnsi="Arial" w:eastAsia="楷体_GB2312"/>
      <w:sz w:val="28"/>
      <w:szCs w:val="28"/>
    </w:rPr>
  </w:style>
  <w:style w:type="character" w:styleId="982" w:customStyle="1">
    <w:name w:val="disabled"/>
    <w:basedOn w:val="954"/>
    <w:uiPriority w:val="0"/>
    <w:qFormat/>
    <w:rPr>
      <w:color w:val="dddddd"/>
    </w:rPr>
  </w:style>
  <w:style w:type="character" w:styleId="983" w:customStyle="1">
    <w:name w:val="二级目录 Char"/>
    <w:link w:val="984"/>
    <w:uiPriority w:val="0"/>
    <w:qFormat/>
    <w:rPr>
      <w:rFonts w:ascii="Arial" w:hAnsi="Arial" w:eastAsia="Arial" w:cs="Arial"/>
      <w:b/>
      <w:sz w:val="30"/>
      <w:szCs w:val="28"/>
    </w:rPr>
  </w:style>
  <w:style w:type="paragraph" w:styleId="984" w:customStyle="1">
    <w:name w:val="二级目录"/>
    <w:next w:val="751"/>
    <w:link w:val="983"/>
    <w:uiPriority w:val="0"/>
    <w:qFormat/>
    <w:pPr>
      <w:ind w:left="907" w:hanging="907"/>
      <w:tabs>
        <w:tab w:val="left" w:pos="907" w:leader="none"/>
        <w:tab w:val="left" w:pos="1145" w:leader="none"/>
      </w:tabs>
      <w:outlineLvl w:val="1"/>
    </w:pPr>
    <w:rPr>
      <w:rFonts w:ascii="Arial" w:hAnsi="Arial" w:eastAsia="Arial" w:cs="Arial"/>
      <w:b/>
      <w:sz w:val="30"/>
      <w:szCs w:val="28"/>
      <w:lang w:val="en-US" w:eastAsia="zh-CN" w:bidi="ar-SA"/>
    </w:rPr>
  </w:style>
  <w:style w:type="character" w:styleId="985" w:customStyle="1">
    <w:name w:val="old"/>
    <w:basedOn w:val="954"/>
    <w:uiPriority w:val="0"/>
    <w:qFormat/>
    <w:rPr>
      <w:color w:val="999999"/>
    </w:rPr>
  </w:style>
  <w:style w:type="character" w:styleId="986" w:customStyle="1">
    <w:name w:val="批注主题 Char"/>
    <w:link w:val="987"/>
    <w:uiPriority w:val="0"/>
    <w:semiHidden/>
    <w:qFormat/>
    <w:rPr>
      <w:rFonts w:ascii="Times New Roman" w:hAnsi="Times New Roman" w:eastAsia="宋体" w:cs="Times New Roman"/>
      <w:b/>
      <w:bCs/>
      <w:szCs w:val="21"/>
    </w:rPr>
  </w:style>
  <w:style w:type="paragraph" w:styleId="987" w:customStyle="1">
    <w:name w:val="批注主题1"/>
    <w:basedOn w:val="988"/>
    <w:next w:val="988"/>
    <w:link w:val="986"/>
    <w:uiPriority w:val="0"/>
    <w:semiHidden/>
    <w:qFormat/>
    <w:rPr>
      <w:b/>
      <w:bCs/>
    </w:rPr>
  </w:style>
  <w:style w:type="paragraph" w:styleId="988" w:customStyle="1">
    <w:name w:val="批注文字1"/>
    <w:basedOn w:val="751"/>
    <w:link w:val="1003"/>
    <w:uiPriority w:val="0"/>
    <w:semiHidden/>
    <w:qFormat/>
    <w:pPr>
      <w:jc w:val="left"/>
    </w:pPr>
  </w:style>
  <w:style w:type="character" w:styleId="989" w:customStyle="1">
    <w:name w:val="页眉 Char"/>
    <w:link w:val="990"/>
    <w:uiPriority w:val="0"/>
    <w:qFormat/>
    <w:rPr>
      <w:rFonts w:ascii="Times New Roman" w:hAnsi="Times New Roman" w:eastAsia="宋体" w:cs="Times New Roman"/>
      <w:sz w:val="18"/>
      <w:szCs w:val="18"/>
    </w:rPr>
  </w:style>
  <w:style w:type="paragraph" w:styleId="990" w:customStyle="1">
    <w:name w:val="页眉1"/>
    <w:basedOn w:val="751"/>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纯文本 Char"/>
    <w:link w:val="992"/>
    <w:uiPriority w:val="0"/>
    <w:qFormat/>
    <w:rPr>
      <w:rFonts w:ascii="宋体" w:hAnsi="Courier New" w:eastAsia="宋体" w:cs="Courier New"/>
      <w:szCs w:val="21"/>
    </w:rPr>
  </w:style>
  <w:style w:type="paragraph" w:styleId="992" w:customStyle="1">
    <w:name w:val="纯文本1"/>
    <w:basedOn w:val="751"/>
    <w:link w:val="991"/>
    <w:uiPriority w:val="0"/>
    <w:qFormat/>
    <w:rPr>
      <w:rFonts w:ascii="宋体" w:hAnsi="Courier New" w:cs="Courier New"/>
    </w:rPr>
  </w:style>
  <w:style w:type="character" w:styleId="993" w:customStyle="1">
    <w:name w:val="文档结构图 Char"/>
    <w:link w:val="994"/>
    <w:uiPriority w:val="0"/>
    <w:semiHidden/>
    <w:qFormat/>
    <w:rPr>
      <w:rFonts w:ascii="Times New Roman" w:hAnsi="Times New Roman" w:eastAsia="宋体" w:cs="Times New Roman"/>
      <w:szCs w:val="21"/>
      <w:shd w:val="clear" w:color="auto" w:fill="000080"/>
    </w:rPr>
  </w:style>
  <w:style w:type="paragraph" w:styleId="994" w:customStyle="1">
    <w:name w:val="文档结构图1"/>
    <w:basedOn w:val="751"/>
    <w:link w:val="993"/>
    <w:uiPriority w:val="0"/>
    <w:semiHidden/>
    <w:qFormat/>
    <w:pPr>
      <w:shd w:val="clear" w:color="auto" w:fill="000080"/>
    </w:pPr>
  </w:style>
  <w:style w:type="character" w:styleId="995" w:customStyle="1">
    <w:name w:val="glyphicon"/>
    <w:basedOn w:val="954"/>
    <w:uiPriority w:val="0"/>
    <w:qFormat/>
  </w:style>
  <w:style w:type="character" w:styleId="996" w:customStyle="1">
    <w:name w:val="标题 3 Char"/>
    <w:link w:val="946"/>
    <w:uiPriority w:val="0"/>
    <w:qFormat/>
    <w:rPr>
      <w:rFonts w:ascii="Times New Roman" w:hAnsi="Times New Roman" w:eastAsia="宋体" w:cs="Times New Roman"/>
      <w:b/>
      <w:bCs/>
      <w:sz w:val="32"/>
      <w:szCs w:val="32"/>
    </w:rPr>
  </w:style>
  <w:style w:type="character" w:styleId="997" w:customStyle="1">
    <w:name w:val="正文缩进 Char"/>
    <w:link w:val="947"/>
    <w:uiPriority w:val="0"/>
    <w:qFormat/>
    <w:rPr>
      <w:rFonts w:ascii="Times New Roman" w:hAnsi="Times New Roman" w:eastAsia="宋体" w:cs="Times New Roman"/>
      <w:szCs w:val="21"/>
    </w:rPr>
  </w:style>
  <w:style w:type="character" w:styleId="998" w:customStyle="1">
    <w:name w:val="标题 4 Char"/>
    <w:link w:val="948"/>
    <w:uiPriority w:val="0"/>
    <w:qFormat/>
    <w:rPr>
      <w:rFonts w:ascii="Arial" w:hAnsi="Arial" w:eastAsia="黑体" w:cs="Arial"/>
      <w:b/>
      <w:bCs/>
      <w:sz w:val="28"/>
      <w:szCs w:val="28"/>
    </w:rPr>
  </w:style>
  <w:style w:type="character" w:styleId="999" w:customStyle="1">
    <w:name w:val="标题 7 Char"/>
    <w:link w:val="951"/>
    <w:uiPriority w:val="0"/>
    <w:qFormat/>
    <w:rPr>
      <w:rFonts w:ascii="Times New Roman" w:hAnsi="Times New Roman" w:eastAsia="宋体" w:cs="Times New Roman"/>
      <w:b/>
      <w:bCs/>
      <w:sz w:val="24"/>
      <w:szCs w:val="24"/>
    </w:rPr>
  </w:style>
  <w:style w:type="character" w:styleId="1000" w:customStyle="1">
    <w:name w:val="标题 1 Char"/>
    <w:link w:val="944"/>
    <w:uiPriority w:val="0"/>
    <w:qFormat/>
    <w:rPr>
      <w:rFonts w:ascii="楷体_GB2312" w:hAnsi="Times New Roman" w:eastAsia="楷体_GB2312" w:cs="Times New Roman"/>
      <w:sz w:val="28"/>
      <w:szCs w:val="28"/>
    </w:rPr>
  </w:style>
  <w:style w:type="character" w:styleId="1001" w:customStyle="1">
    <w:name w:val="标题 6 Char"/>
    <w:link w:val="950"/>
    <w:uiPriority w:val="0"/>
    <w:qFormat/>
    <w:rPr>
      <w:rFonts w:ascii="Arial" w:hAnsi="Arial" w:eastAsia="黑体" w:cs="Times New Roman"/>
      <w:b/>
      <w:bCs/>
      <w:sz w:val="24"/>
      <w:szCs w:val="24"/>
    </w:rPr>
  </w:style>
  <w:style w:type="character" w:styleId="1002" w:customStyle="1">
    <w:name w:val="标题 5 Char"/>
    <w:link w:val="949"/>
    <w:uiPriority w:val="0"/>
    <w:qFormat/>
    <w:rPr>
      <w:rFonts w:ascii="宋体" w:hAnsi="Times New Roman" w:eastAsia="宋体" w:cs="Times New Roman"/>
      <w:color w:val="000000"/>
      <w:sz w:val="28"/>
      <w:szCs w:val="28"/>
    </w:rPr>
  </w:style>
  <w:style w:type="character" w:styleId="1003" w:customStyle="1">
    <w:name w:val="批注文字 Char"/>
    <w:link w:val="988"/>
    <w:uiPriority w:val="0"/>
    <w:semiHidden/>
    <w:qFormat/>
    <w:rPr>
      <w:rFonts w:ascii="Times New Roman" w:hAnsi="Times New Roman" w:eastAsia="宋体" w:cs="Times New Roman"/>
      <w:szCs w:val="21"/>
    </w:rPr>
  </w:style>
  <w:style w:type="character" w:styleId="1004" w:customStyle="1">
    <w:name w:val="正文首行缩进 Char"/>
    <w:link w:val="1005"/>
    <w:uiPriority w:val="0"/>
    <w:qFormat/>
    <w:rPr>
      <w:rFonts w:ascii="仿宋_GB2312" w:hAnsi="Times New Roman" w:eastAsia="仿宋_GB2312" w:cs="Times New Roman"/>
      <w:sz w:val="30"/>
      <w:szCs w:val="30"/>
    </w:rPr>
  </w:style>
  <w:style w:type="paragraph" w:styleId="1005" w:customStyle="1">
    <w:name w:val="正文首行缩进1"/>
    <w:basedOn w:val="751"/>
    <w:link w:val="1004"/>
    <w:uiPriority w:val="0"/>
    <w:qFormat/>
    <w:pPr>
      <w:ind w:firstLine="200"/>
      <w:spacing w:line="360" w:lineRule="auto"/>
    </w:pPr>
    <w:rPr>
      <w:rFonts w:ascii="仿宋_GB2312" w:eastAsia="仿宋_GB2312"/>
      <w:sz w:val="30"/>
      <w:szCs w:val="30"/>
    </w:rPr>
  </w:style>
  <w:style w:type="character" w:styleId="1006" w:customStyle="1">
    <w:name w:val="标题 9 Char"/>
    <w:link w:val="953"/>
    <w:uiPriority w:val="0"/>
    <w:qFormat/>
    <w:rPr>
      <w:rFonts w:ascii="Arial" w:hAnsi="Arial" w:eastAsia="黑体" w:cs="Times New Roman"/>
      <w:szCs w:val="21"/>
    </w:rPr>
  </w:style>
  <w:style w:type="character" w:styleId="1007" w:customStyle="1">
    <w:name w:val="hour_pm"/>
    <w:basedOn w:val="954"/>
    <w:uiPriority w:val="0"/>
    <w:qFormat/>
  </w:style>
  <w:style w:type="character" w:styleId="1008" w:customStyle="1">
    <w:name w:val="标题 8 Char"/>
    <w:link w:val="952"/>
    <w:uiPriority w:val="0"/>
    <w:qFormat/>
    <w:rPr>
      <w:rFonts w:ascii="Arial" w:hAnsi="Arial" w:eastAsia="黑体" w:cs="Times New Roman"/>
      <w:sz w:val="24"/>
      <w:szCs w:val="24"/>
    </w:rPr>
  </w:style>
  <w:style w:type="character" w:styleId="1009" w:customStyle="1">
    <w:name w:val="批注框文本 Char"/>
    <w:link w:val="1010"/>
    <w:uiPriority w:val="0"/>
    <w:semiHidden/>
    <w:qFormat/>
    <w:rPr>
      <w:rFonts w:ascii="Times New Roman" w:hAnsi="Times New Roman" w:eastAsia="宋体" w:cs="Times New Roman"/>
      <w:sz w:val="18"/>
      <w:szCs w:val="18"/>
    </w:rPr>
  </w:style>
  <w:style w:type="paragraph" w:styleId="1010" w:customStyle="1">
    <w:name w:val="批注框文本1"/>
    <w:basedOn w:val="751"/>
    <w:link w:val="1009"/>
    <w:uiPriority w:val="0"/>
    <w:semiHidden/>
    <w:qFormat/>
    <w:rPr>
      <w:sz w:val="18"/>
      <w:szCs w:val="18"/>
    </w:rPr>
  </w:style>
  <w:style w:type="character" w:styleId="1011" w:customStyle="1">
    <w:name w:val="first-child"/>
    <w:basedOn w:val="954"/>
    <w:uiPriority w:val="0"/>
    <w:qFormat/>
  </w:style>
  <w:style w:type="character" w:styleId="1012" w:customStyle="1">
    <w:name w:val="hover5"/>
    <w:basedOn w:val="954"/>
    <w:uiPriority w:val="0"/>
    <w:qFormat/>
    <w:rPr>
      <w:shd w:val="clear" w:color="auto" w:fill="eeeeee"/>
    </w:rPr>
  </w:style>
  <w:style w:type="character" w:styleId="1013" w:customStyle="1">
    <w:name w:val="正文文本 3 Char"/>
    <w:link w:val="1014"/>
    <w:uiPriority w:val="0"/>
    <w:qFormat/>
    <w:rPr>
      <w:rFonts w:ascii="仿宋_GB2312" w:hAnsi="Arial" w:eastAsia="仿宋_GB2312" w:cs="Times New Roman"/>
      <w:sz w:val="32"/>
      <w:szCs w:val="32"/>
    </w:rPr>
  </w:style>
  <w:style w:type="paragraph" w:styleId="1014" w:customStyle="1">
    <w:name w:val="正文文本 31"/>
    <w:basedOn w:val="751"/>
    <w:link w:val="1013"/>
    <w:uiPriority w:val="0"/>
    <w:qFormat/>
    <w:rPr>
      <w:rFonts w:ascii="仿宋_GB2312" w:hAnsi="Arial" w:eastAsia="仿宋_GB2312"/>
      <w:sz w:val="32"/>
      <w:szCs w:val="32"/>
    </w:rPr>
  </w:style>
  <w:style w:type="character" w:styleId="1015" w:customStyle="1">
    <w:name w:val="日期 Char"/>
    <w:link w:val="1016"/>
    <w:uiPriority w:val="0"/>
    <w:qFormat/>
    <w:rPr>
      <w:rFonts w:ascii="Times New Roman" w:hAnsi="Times New Roman" w:eastAsia="宋体" w:cs="Times New Roman"/>
      <w:sz w:val="24"/>
      <w:szCs w:val="24"/>
    </w:rPr>
  </w:style>
  <w:style w:type="paragraph" w:styleId="1016" w:customStyle="1">
    <w:name w:val="日期1"/>
    <w:basedOn w:val="751"/>
    <w:next w:val="751"/>
    <w:link w:val="1015"/>
    <w:uiPriority w:val="0"/>
    <w:qFormat/>
    <w:rPr>
      <w:sz w:val="24"/>
      <w:szCs w:val="24"/>
    </w:rPr>
  </w:style>
  <w:style w:type="character" w:styleId="1017" w:customStyle="1">
    <w:name w:val="正文首行缩进 2 Char"/>
    <w:link w:val="1018"/>
    <w:uiPriority w:val="0"/>
    <w:qFormat/>
    <w:rPr>
      <w:rFonts w:ascii="宋体" w:hAnsi="宋体" w:eastAsia="宋体" w:cs="Times New Roman"/>
      <w:sz w:val="32"/>
      <w:szCs w:val="20"/>
    </w:rPr>
  </w:style>
  <w:style w:type="paragraph" w:styleId="1018" w:customStyle="1">
    <w:name w:val="正文首行缩进 21"/>
    <w:basedOn w:val="1019"/>
    <w:link w:val="1017"/>
    <w:uiPriority w:val="0"/>
    <w:qFormat/>
    <w:pPr>
      <w:ind w:firstLine="420"/>
      <w:spacing w:line="360" w:lineRule="auto"/>
    </w:pPr>
    <w:rPr>
      <w:rFonts w:ascii="宋体" w:hAnsi="宋体" w:eastAsia="宋体"/>
      <w:sz w:val="21"/>
      <w:szCs w:val="20"/>
    </w:rPr>
  </w:style>
  <w:style w:type="paragraph" w:styleId="1019" w:customStyle="1">
    <w:name w:val="正文文本缩进1"/>
    <w:basedOn w:val="751"/>
    <w:next w:val="751"/>
    <w:link w:val="1026"/>
    <w:uiPriority w:val="0"/>
    <w:qFormat/>
    <w:pPr>
      <w:ind w:firstLine="645"/>
    </w:pPr>
    <w:rPr>
      <w:rFonts w:ascii="楷体_GB2312" w:eastAsia="楷体_GB2312"/>
      <w:sz w:val="32"/>
      <w:szCs w:val="32"/>
    </w:rPr>
  </w:style>
  <w:style w:type="character" w:styleId="1020" w:customStyle="1">
    <w:name w:val="页脚 Char"/>
    <w:link w:val="1021"/>
    <w:uiPriority w:val="0"/>
    <w:qFormat/>
    <w:rPr>
      <w:rFonts w:ascii="Times New Roman" w:hAnsi="Times New Roman" w:eastAsia="宋体" w:cs="Times New Roman"/>
      <w:sz w:val="18"/>
      <w:szCs w:val="18"/>
    </w:rPr>
  </w:style>
  <w:style w:type="paragraph" w:styleId="1021" w:customStyle="1">
    <w:name w:val="页脚1"/>
    <w:basedOn w:val="751"/>
    <w:link w:val="1020"/>
    <w:uiPriority w:val="0"/>
    <w:qFormat/>
    <w:pPr>
      <w:jc w:val="left"/>
      <w:tabs>
        <w:tab w:val="center" w:pos="4153" w:leader="none"/>
        <w:tab w:val="right" w:pos="8306" w:leader="none"/>
      </w:tabs>
    </w:pPr>
    <w:rPr>
      <w:sz w:val="18"/>
      <w:szCs w:val="18"/>
    </w:rPr>
  </w:style>
  <w:style w:type="character" w:styleId="1022" w:customStyle="1">
    <w:name w:val="current2"/>
    <w:basedOn w:val="954"/>
    <w:uiPriority w:val="0"/>
    <w:qFormat/>
    <w:rPr>
      <w:b/>
      <w:color w:val="ffffff"/>
      <w:shd w:val="clear" w:color="auto" w:fill="0075cc"/>
    </w:rPr>
  </w:style>
  <w:style w:type="character" w:styleId="1023" w:customStyle="1">
    <w:name w:val="正文文本 2 Char"/>
    <w:link w:val="1024"/>
    <w:uiPriority w:val="0"/>
    <w:qFormat/>
    <w:rPr>
      <w:rFonts w:ascii="楷体_GB2312" w:hAnsi="Times New Roman" w:eastAsia="楷体_GB2312" w:cs="Times New Roman"/>
      <w:sz w:val="28"/>
      <w:szCs w:val="28"/>
    </w:rPr>
  </w:style>
  <w:style w:type="paragraph" w:styleId="1024" w:customStyle="1">
    <w:name w:val="正文文本 21"/>
    <w:basedOn w:val="751"/>
    <w:link w:val="1023"/>
    <w:uiPriority w:val="0"/>
    <w:qFormat/>
    <w:pPr>
      <w:jc w:val="center"/>
      <w:widowControl/>
    </w:pPr>
    <w:rPr>
      <w:rFonts w:ascii="楷体_GB2312" w:eastAsia="楷体_GB2312"/>
      <w:sz w:val="28"/>
      <w:szCs w:val="28"/>
    </w:rPr>
  </w:style>
  <w:style w:type="character" w:styleId="1025" w:customStyle="1">
    <w:name w:val="disabled1"/>
    <w:basedOn w:val="954"/>
    <w:uiPriority w:val="0"/>
    <w:qFormat/>
    <w:rPr>
      <w:color w:val="dddddd"/>
    </w:rPr>
  </w:style>
  <w:style w:type="character" w:styleId="1026" w:customStyle="1">
    <w:name w:val="正文文本缩进 Char"/>
    <w:link w:val="1019"/>
    <w:uiPriority w:val="0"/>
    <w:qFormat/>
    <w:rPr>
      <w:rFonts w:ascii="楷体_GB2312" w:hAnsi="Times New Roman" w:eastAsia="楷体_GB2312" w:cs="Times New Roman"/>
      <w:sz w:val="32"/>
      <w:szCs w:val="32"/>
    </w:rPr>
  </w:style>
  <w:style w:type="paragraph" w:styleId="1027" w:customStyle="1">
    <w:name w:val="正文2"/>
    <w:basedOn w:val="751"/>
    <w:uiPriority w:val="0"/>
    <w:qFormat/>
    <w:pPr>
      <w:ind w:firstLine="510"/>
      <w:spacing w:before="156" w:line="360" w:lineRule="auto"/>
    </w:pPr>
    <w:rPr>
      <w:sz w:val="24"/>
      <w:szCs w:val="20"/>
    </w:rPr>
  </w:style>
  <w:style w:type="paragraph" w:styleId="1028" w:customStyle="1">
    <w:name w:val="目录 91"/>
    <w:basedOn w:val="751"/>
    <w:next w:val="751"/>
    <w:uiPriority w:val="0"/>
    <w:semiHidden/>
    <w:qFormat/>
    <w:pPr>
      <w:ind w:left="1680"/>
      <w:jc w:val="left"/>
    </w:pPr>
  </w:style>
  <w:style w:type="paragraph" w:styleId="1029" w:customStyle="1">
    <w:name w:val="列表 21"/>
    <w:basedOn w:val="751"/>
    <w:uiPriority w:val="0"/>
    <w:qFormat/>
    <w:pPr>
      <w:ind w:left="100" w:hanging="200"/>
    </w:pPr>
  </w:style>
  <w:style w:type="paragraph" w:styleId="1030" w:customStyle="1">
    <w:name w:val="部分1"/>
    <w:basedOn w:val="751"/>
    <w:uiPriority w:val="0"/>
    <w:qFormat/>
    <w:pPr>
      <w:jc w:val="center"/>
      <w:keepNext/>
      <w:pageBreakBefore/>
      <w:spacing w:line="360" w:lineRule="auto"/>
      <w:tabs>
        <w:tab w:val="left" w:pos="720" w:leader="none"/>
      </w:tabs>
      <w:outlineLvl w:val="0"/>
    </w:pPr>
    <w:rPr>
      <w:rFonts w:eastAsia="黑体"/>
      <w:b/>
      <w:sz w:val="36"/>
      <w:szCs w:val="20"/>
    </w:rPr>
  </w:style>
  <w:style w:type="paragraph" w:styleId="1031"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2" w:customStyle="1">
    <w:name w:val="Normal_1_2"/>
    <w:uiPriority w:val="0"/>
    <w:qFormat/>
    <w:rPr>
      <w:rFonts w:ascii="Times New Roman" w:hAnsi="Times New Roman" w:eastAsia="Times New Roman" w:cs="Times New Roman"/>
      <w:sz w:val="24"/>
      <w:szCs w:val="24"/>
      <w:lang w:val="en-US" w:eastAsia="zh-CN" w:bidi="ar-SA"/>
    </w:rPr>
  </w:style>
  <w:style w:type="paragraph" w:styleId="1033" w:customStyle="1">
    <w:name w:val="列表1"/>
    <w:basedOn w:val="751"/>
    <w:uiPriority w:val="0"/>
    <w:qFormat/>
    <w:pPr>
      <w:ind w:left="200" w:hanging="200"/>
    </w:pPr>
  </w:style>
  <w:style w:type="paragraph" w:styleId="1034" w:customStyle="1">
    <w:name w:val="左对齐正文"/>
    <w:uiPriority w:val="99"/>
    <w:qFormat/>
    <w:rPr>
      <w:rFonts w:ascii="Calibri" w:hAnsi="Calibri" w:eastAsia="仿宋_GB2312" w:cs="Calibri"/>
      <w:sz w:val="32"/>
      <w:szCs w:val="32"/>
      <w:lang w:val="en-US" w:eastAsia="zh-CN" w:bidi="ar-SA"/>
    </w:rPr>
  </w:style>
  <w:style w:type="paragraph" w:styleId="1035"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目录 81"/>
    <w:basedOn w:val="751"/>
    <w:next w:val="751"/>
    <w:uiPriority w:val="0"/>
    <w:semiHidden/>
    <w:qFormat/>
    <w:pPr>
      <w:ind w:left="1470"/>
      <w:jc w:val="left"/>
    </w:pPr>
  </w:style>
  <w:style w:type="paragraph" w:styleId="1037" w:customStyle="1">
    <w:name w:val="目录 61"/>
    <w:basedOn w:val="751"/>
    <w:next w:val="751"/>
    <w:uiPriority w:val="0"/>
    <w:semiHidden/>
    <w:qFormat/>
    <w:pPr>
      <w:ind w:left="1050"/>
      <w:jc w:val="left"/>
    </w:pPr>
  </w:style>
  <w:style w:type="paragraph" w:styleId="1038"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39"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40" w:customStyle="1">
    <w:name w:val="目录 41"/>
    <w:basedOn w:val="751"/>
    <w:next w:val="751"/>
    <w:uiPriority w:val="0"/>
    <w:semiHidden/>
    <w:qFormat/>
    <w:pPr>
      <w:ind w:left="630"/>
      <w:jc w:val="left"/>
    </w:pPr>
  </w:style>
  <w:style w:type="paragraph" w:styleId="1041" w:customStyle="1">
    <w:name w:val="列表 31"/>
    <w:basedOn w:val="751"/>
    <w:uiPriority w:val="0"/>
    <w:qFormat/>
    <w:pPr>
      <w:ind w:left="100" w:hanging="200"/>
    </w:pPr>
  </w:style>
  <w:style w:type="paragraph" w:styleId="1042" w:customStyle="1">
    <w:name w:val="索引 11"/>
    <w:basedOn w:val="751"/>
    <w:next w:val="751"/>
    <w:uiPriority w:val="0"/>
    <w:semiHidden/>
    <w:qFormat/>
    <w:pPr>
      <w:spacing w:line="240" w:lineRule="atLeast"/>
    </w:pPr>
    <w:rPr>
      <w:b/>
      <w:bCs/>
    </w:rPr>
  </w:style>
  <w:style w:type="paragraph" w:styleId="1043" w:customStyle="1">
    <w:name w:val="图表目录1"/>
    <w:basedOn w:val="751"/>
    <w:next w:val="751"/>
    <w:uiPriority w:val="0"/>
    <w:semiHidden/>
    <w:qFormat/>
    <w:pPr>
      <w:ind w:left="840" w:hanging="420"/>
    </w:pPr>
  </w:style>
  <w:style w:type="paragraph" w:styleId="1044" w:customStyle="1">
    <w:name w:val="目录 71"/>
    <w:basedOn w:val="751"/>
    <w:next w:val="751"/>
    <w:uiPriority w:val="0"/>
    <w:semiHidden/>
    <w:qFormat/>
    <w:pPr>
      <w:ind w:left="1260"/>
      <w:jc w:val="left"/>
    </w:pPr>
  </w:style>
  <w:style w:type="paragraph" w:styleId="1045" w:customStyle="1">
    <w:name w:val="目录 21"/>
    <w:basedOn w:val="751"/>
    <w:next w:val="751"/>
    <w:uiPriority w:val="0"/>
    <w:semiHidden/>
    <w:qFormat/>
    <w:pPr>
      <w:ind w:left="210"/>
      <w:jc w:val="left"/>
    </w:pPr>
    <w:rPr>
      <w:smallCaps/>
      <w:szCs w:val="24"/>
    </w:rPr>
  </w:style>
  <w:style w:type="paragraph" w:styleId="1046" w:customStyle="1">
    <w:name w:val="目录 31"/>
    <w:basedOn w:val="751"/>
    <w:next w:val="751"/>
    <w:uiPriority w:val="0"/>
    <w:semiHidden/>
    <w:qFormat/>
    <w:pPr>
      <w:ind w:left="420"/>
      <w:jc w:val="left"/>
    </w:pPr>
    <w:rPr>
      <w:i/>
      <w:iCs/>
      <w:szCs w:val="24"/>
    </w:rPr>
  </w:style>
  <w:style w:type="paragraph" w:styleId="1047" w:customStyle="1">
    <w:name w:val="正文空2字"/>
    <w:basedOn w:val="1034"/>
    <w:uiPriority w:val="99"/>
    <w:qFormat/>
    <w:pPr>
      <w:ind w:firstLine="640"/>
      <w:spacing w:line="560" w:lineRule="exact"/>
      <w:widowControl w:val="off"/>
    </w:pPr>
    <w:rPr>
      <w:rFonts w:ascii="仿宋_GB2312" w:hAnsi="仿宋_GB2312" w:cs="仿宋_GB2312"/>
      <w:lang w:val="zh-TW"/>
    </w:rPr>
  </w:style>
  <w:style w:type="paragraph" w:styleId="1048" w:customStyle="1">
    <w:name w:val="目录 51"/>
    <w:basedOn w:val="751"/>
    <w:next w:val="751"/>
    <w:uiPriority w:val="0"/>
    <w:semiHidden/>
    <w:qFormat/>
    <w:pPr>
      <w:ind w:left="840"/>
      <w:jc w:val="left"/>
    </w:pPr>
  </w:style>
  <w:style w:type="paragraph" w:styleId="1049"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table_1stline"/>
    <w:basedOn w:val="751"/>
    <w:uiPriority w:val="0"/>
    <w:qFormat/>
    <w:pPr>
      <w:jc w:val="left"/>
      <w:spacing w:before="120"/>
      <w:widowControl/>
    </w:pPr>
    <w:rPr>
      <w:bCs/>
      <w:sz w:val="20"/>
      <w:szCs w:val="20"/>
      <w:lang w:val="de-DE" w:eastAsia="de-DE"/>
    </w:rPr>
  </w:style>
  <w:style w:type="paragraph" w:styleId="1051" w:customStyle="1">
    <w:name w:val="Char"/>
    <w:basedOn w:val="751"/>
    <w:uiPriority w:val="0"/>
    <w:qFormat/>
    <w:pPr>
      <w:ind w:firstLine="200"/>
      <w:tabs>
        <w:tab w:val="left" w:pos="360" w:leader="none"/>
      </w:tabs>
    </w:pPr>
    <w:rPr>
      <w:sz w:val="28"/>
      <w:szCs w:val="30"/>
    </w:rPr>
  </w:style>
  <w:style w:type="paragraph" w:styleId="1052" w:customStyle="1">
    <w:name w:val="Normal_20"/>
    <w:uiPriority w:val="0"/>
    <w:qFormat/>
    <w:rPr>
      <w:rFonts w:ascii="黑体" w:hAnsi="黑体" w:eastAsia="黑体" w:cs="黑体"/>
      <w:b/>
      <w:sz w:val="32"/>
      <w:szCs w:val="24"/>
      <w:lang w:val="en-US" w:eastAsia="zh-CN" w:bidi="ar-SA"/>
    </w:rPr>
  </w:style>
  <w:style w:type="paragraph" w:styleId="1053"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附录1"/>
    <w:uiPriority w:val="0"/>
    <w:qFormat/>
    <w:pPr>
      <w:numPr>
        <w:ilvl w:val="0"/>
        <w:numId w:val="2"/>
      </w:numPr>
      <w:spacing w:before="240" w:line="600" w:lineRule="atLeast"/>
    </w:pPr>
    <w:rPr>
      <w:rFonts w:ascii="Times New Roman" w:hAnsi="Times New Roman" w:eastAsia="Arial" w:cs="Arial"/>
      <w:b/>
      <w:i/>
      <w:sz w:val="28"/>
      <w:lang w:val="en-US" w:eastAsia="zh-CN" w:bidi="ar-SA"/>
    </w:rPr>
  </w:style>
  <w:style w:type="paragraph" w:styleId="1057" w:customStyle="1">
    <w:name w:val="样式1"/>
    <w:basedOn w:val="751"/>
    <w:uiPriority w:val="0"/>
    <w:qFormat/>
    <w:pPr>
      <w:numPr>
        <w:ilvl w:val="0"/>
        <w:numId w:val="3"/>
      </w:numPr>
    </w:pPr>
    <w:rPr>
      <w:rFonts w:ascii="宋体" w:hAnsi="宋体"/>
    </w:rPr>
  </w:style>
  <w:style w:type="paragraph" w:styleId="1058" w:customStyle="1">
    <w:name w:val="索引 41"/>
    <w:basedOn w:val="751"/>
    <w:next w:val="751"/>
    <w:uiPriority w:val="0"/>
    <w:semiHidden/>
    <w:qFormat/>
    <w:pPr>
      <w:ind w:left="1260"/>
    </w:pPr>
    <w:rPr>
      <w:rFonts w:ascii="Calibri" w:hAnsi="Calibri" w:eastAsia="Calibri" w:cs="宋体"/>
      <w:sz w:val="20"/>
      <w:lang w:val="zh-CN"/>
    </w:rPr>
  </w:style>
  <w:style w:type="paragraph" w:styleId="105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修订1"/>
    <w:uiPriority w:val="99"/>
    <w:semiHidden/>
    <w:qFormat/>
    <w:rPr>
      <w:rFonts w:ascii="Times New Roman" w:hAnsi="Times New Roman" w:eastAsia="Arial" w:cs="Arial"/>
      <w:sz w:val="21"/>
      <w:szCs w:val="21"/>
      <w:lang w:val="en-US" w:eastAsia="zh-CN" w:bidi="ar-SA"/>
    </w:rPr>
  </w:style>
  <w:style w:type="paragraph" w:styleId="1061" w:customStyle="1">
    <w:name w:val="首行缩进"/>
    <w:basedOn w:val="751"/>
    <w:uiPriority w:val="0"/>
    <w:qFormat/>
    <w:pPr>
      <w:ind w:firstLine="480"/>
    </w:pPr>
    <w:rPr>
      <w:rFonts w:cs="Times New Roman"/>
      <w:lang w:val="zh-CN"/>
    </w:rPr>
  </w:style>
  <w:style w:type="paragraph" w:styleId="1062" w:customStyle="1">
    <w:name w:val="Normal_6_0"/>
    <w:uiPriority w:val="0"/>
    <w:qFormat/>
    <w:rPr>
      <w:rFonts w:ascii="黑体" w:hAnsi="黑体" w:eastAsia="黑体" w:cs="黑体"/>
      <w:b/>
      <w:sz w:val="32"/>
      <w:szCs w:val="24"/>
      <w:lang w:val="en-US" w:eastAsia="zh-CN" w:bidi="ar-SA"/>
    </w:rPr>
  </w:style>
  <w:style w:type="paragraph" w:styleId="1063" w:customStyle="1">
    <w:name w:val="正文_12_0_0_0_0"/>
    <w:basedOn w:val="751"/>
    <w:uiPriority w:val="0"/>
    <w:qFormat/>
    <w:rPr>
      <w:szCs w:val="24"/>
    </w:rPr>
  </w:style>
  <w:style w:type="paragraph" w:styleId="1064" w:customStyle="1">
    <w:name w:val="table_lines"/>
    <w:basedOn w:val="751"/>
    <w:uiPriority w:val="0"/>
    <w:qFormat/>
    <w:pPr>
      <w:jc w:val="left"/>
      <w:widowControl/>
    </w:pPr>
    <w:rPr>
      <w:sz w:val="20"/>
      <w:szCs w:val="20"/>
      <w:lang w:val="de-DE" w:eastAsia="de-DE"/>
    </w:rPr>
  </w:style>
  <w:style w:type="paragraph" w:styleId="106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正文文本12"/>
    <w:basedOn w:val="751"/>
    <w:uiPriority w:val="1"/>
    <w:qFormat/>
    <w:pPr>
      <w:ind w:left="120"/>
    </w:pPr>
    <w:rPr>
      <w:rFonts w:ascii="宋体" w:hAnsi="宋体" w:eastAsia="宋体" w:cs="宋体"/>
      <w:lang w:val="zh-CN" w:bidi="zh-CN"/>
    </w:rPr>
  </w:style>
  <w:style w:type="paragraph" w:styleId="1067" w:customStyle="1">
    <w:name w:val="Normal_0"/>
    <w:uiPriority w:val="0"/>
    <w:qFormat/>
    <w:rPr>
      <w:rFonts w:ascii="黑体" w:hAnsi="黑体" w:eastAsia="黑体" w:cs="Times New Roman"/>
      <w:b/>
      <w:sz w:val="32"/>
      <w:szCs w:val="24"/>
      <w:lang w:val="en-US" w:eastAsia="zh-CN" w:bidi="ar-SA"/>
    </w:rPr>
  </w:style>
  <w:style w:type="paragraph" w:styleId="106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Char Char Char Char"/>
    <w:basedOn w:val="994"/>
    <w:uiPriority w:val="0"/>
    <w:qFormat/>
    <w:pPr>
      <w:spacing w:line="360" w:lineRule="auto"/>
    </w:pPr>
    <w:rPr>
      <w:rFonts w:ascii="Tahoma" w:hAnsi="Tahoma"/>
      <w:sz w:val="24"/>
      <w:szCs w:val="24"/>
    </w:rPr>
  </w:style>
  <w:style w:type="paragraph" w:styleId="1070"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1"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2" w:customStyle="1">
    <w:name w:val="Char Char Char Char1"/>
    <w:basedOn w:val="994"/>
    <w:uiPriority w:val="0"/>
    <w:qFormat/>
    <w:pPr>
      <w:spacing w:line="360" w:lineRule="auto"/>
    </w:pPr>
    <w:rPr>
      <w:rFonts w:ascii="Tahoma" w:hAnsi="Tahoma"/>
      <w:sz w:val="24"/>
      <w:szCs w:val="24"/>
    </w:rPr>
  </w:style>
  <w:style w:type="paragraph" w:styleId="1073"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Char Char Char Char Char Char Char Char1"/>
    <w:basedOn w:val="751"/>
    <w:uiPriority w:val="0"/>
    <w:qFormat/>
    <w:pPr>
      <w:jc w:val="left"/>
      <w:spacing w:after="160" w:line="240" w:lineRule="exact"/>
      <w:widowControl/>
    </w:pPr>
    <w:rPr>
      <w:rFonts w:ascii="Verdana" w:hAnsi="Verdana"/>
      <w:sz w:val="20"/>
      <w:szCs w:val="20"/>
      <w:lang w:eastAsia="en-US"/>
    </w:rPr>
  </w:style>
  <w:style w:type="paragraph" w:styleId="1075"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4"/>
    <w:basedOn w:val="751"/>
    <w:next w:val="963"/>
    <w:uiPriority w:val="0"/>
    <w:qFormat/>
    <w:pPr>
      <w:ind w:firstLine="420"/>
      <w:spacing w:line="360" w:lineRule="auto"/>
    </w:pPr>
    <w:rPr>
      <w:color w:val="ff0000"/>
      <w:sz w:val="24"/>
      <w:szCs w:val="24"/>
    </w:rPr>
  </w:style>
  <w:style w:type="paragraph" w:styleId="1077"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Char1"/>
    <w:basedOn w:val="994"/>
    <w:uiPriority w:val="0"/>
    <w:qFormat/>
    <w:rPr>
      <w:rFonts w:ascii="Tahoma" w:hAnsi="Tahoma"/>
      <w:sz w:val="24"/>
      <w:szCs w:val="24"/>
    </w:rPr>
  </w:style>
  <w:style w:type="paragraph" w:styleId="1079" w:customStyle="1">
    <w:name w:val="Body Text(ch)"/>
    <w:basedOn w:val="751"/>
    <w:next w:val="981"/>
    <w:uiPriority w:val="0"/>
    <w:qFormat/>
    <w:pPr>
      <w:spacing w:after="120"/>
    </w:pPr>
    <w:rPr>
      <w:rFonts w:ascii="宋体" w:hAnsi="Arial"/>
      <w:bCs/>
      <w:iCs/>
      <w:szCs w:val="24"/>
    </w:rPr>
  </w:style>
  <w:style w:type="paragraph" w:styleId="108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8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85" w:customStyle="1">
    <w:name w:val="Normal_18_0"/>
    <w:uiPriority w:val="0"/>
    <w:qFormat/>
    <w:rPr>
      <w:rFonts w:ascii="黑体" w:hAnsi="黑体" w:eastAsia="黑体" w:cs="黑体"/>
      <w:b/>
      <w:sz w:val="32"/>
      <w:szCs w:val="24"/>
      <w:lang w:val="en-US" w:eastAsia="zh-CN" w:bidi="ar-SA"/>
    </w:rPr>
  </w:style>
  <w:style w:type="paragraph" w:styleId="1086" w:customStyle="1">
    <w:name w:val="Table Text"/>
    <w:basedOn w:val="751"/>
    <w:uiPriority w:val="0"/>
    <w:semiHidden/>
    <w:qFormat/>
    <w:rPr>
      <w:rFonts w:ascii="宋体" w:hAnsi="宋体" w:eastAsia="宋体" w:cs="宋体"/>
      <w:sz w:val="22"/>
      <w:szCs w:val="22"/>
      <w:lang w:eastAsia="en-US"/>
    </w:rPr>
  </w:style>
  <w:style w:type="paragraph" w:styleId="1087" w:customStyle="1">
    <w:name w:val="无间隔1"/>
    <w:uiPriority w:val="99"/>
    <w:qFormat/>
    <w:pPr>
      <w:jc w:val="both"/>
      <w:widowControl w:val="off"/>
    </w:pPr>
    <w:rPr>
      <w:rFonts w:ascii="Times New Roman" w:hAnsi="Times New Roman" w:eastAsia="Arial" w:cs="Arial"/>
      <w:sz w:val="21"/>
      <w:szCs w:val="21"/>
      <w:lang w:val="en-US" w:eastAsia="zh-CN" w:bidi="ar-SA"/>
    </w:rPr>
  </w:style>
  <w:style w:type="paragraph" w:styleId="1088" w:customStyle="1">
    <w:name w:val="列出段落"/>
    <w:basedOn w:val="751"/>
    <w:uiPriority w:val="0"/>
    <w:qFormat/>
    <w:pPr>
      <w:contextualSpacing/>
      <w:ind w:left="720"/>
      <w:jc w:val="left"/>
      <w:widowControl/>
    </w:pPr>
    <w:rPr>
      <w:rFonts w:ascii="Calibri" w:hAnsi="Calibri"/>
      <w:sz w:val="24"/>
      <w:szCs w:val="24"/>
      <w:lang w:eastAsia="en-US" w:bidi="en-US"/>
    </w:rPr>
  </w:style>
  <w:style w:type="paragraph" w:styleId="1089"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90"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1" w:customStyle="1">
    <w:name w:val="Char Char Char Char Char Char Char Char Char Char"/>
    <w:basedOn w:val="751"/>
    <w:uiPriority w:val="0"/>
    <w:qFormat/>
    <w:pPr>
      <w:spacing w:line="360" w:lineRule="auto"/>
    </w:pPr>
    <w:rPr>
      <w:sz w:val="24"/>
      <w:szCs w:val="20"/>
    </w:rPr>
  </w:style>
  <w:style w:type="paragraph" w:styleId="1092"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093" w:customStyle="1">
    <w:name w:val="网格型1"/>
    <w:basedOn w:val="955"/>
    <w:uiPriority w:val="0"/>
    <w:qFormat/>
    <w:pPr>
      <w:jc w:val="both"/>
      <w:widowControl w:val="off"/>
    </w:pPr>
    <w:tblPr/>
  </w:style>
  <w:style w:type="table" w:styleId="1094" w:customStyle="1">
    <w:name w:val="Table Normal"/>
    <w:uiPriority w:val="0"/>
    <w:qFormat/>
    <w:tblPr>
      <w:tblCellMar>
        <w:left w:w="0" w:type="dxa"/>
        <w:top w:w="0" w:type="dxa"/>
        <w:right w:w="0" w:type="dxa"/>
        <w:bottom w:w="0" w:type="dxa"/>
      </w:tblCellMar>
    </w:tblPr>
  </w:style>
  <w:style w:type="paragraph" w:styleId="1095"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19_0"/>
    <w:uiPriority w:val="0"/>
    <w:qFormat/>
    <w:pPr>
      <w:jc w:val="both"/>
      <w:widowControl w:val="off"/>
    </w:pPr>
    <w:rPr>
      <w:rFonts w:ascii="Times New Roman" w:hAnsi="Times New Roman" w:eastAsia="宋体" w:cs="Times New Roman"/>
      <w:sz w:val="21"/>
      <w:lang w:val="en-US" w:eastAsia="zh-CN" w:bidi="ar-SA"/>
    </w:rPr>
  </w:style>
  <w:style w:type="paragraph" w:styleId="1097" w:customStyle="1">
    <w:name w:val="标题 42"/>
    <w:basedOn w:val="1096"/>
    <w:next w:val="1096"/>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1098" w:customStyle="1">
    <w:name w:val="正文文本缩进2"/>
    <w:basedOn w:val="1096"/>
    <w:uiPriority w:val="0"/>
    <w:qFormat/>
    <w:pPr>
      <w:ind w:firstLine="225"/>
    </w:pPr>
    <w:rPr>
      <w:rFonts w:ascii="仿宋_GB2312" w:eastAsia="仿宋_GB2312"/>
      <w:sz w:val="32"/>
    </w:rPr>
  </w:style>
  <w:style w:type="paragraph" w:styleId="1099" w:customStyle="1">
    <w:name w:val="Normal_0_1"/>
    <w:uiPriority w:val="0"/>
    <w:qFormat/>
    <w:rPr>
      <w:rFonts w:ascii="黑体" w:hAnsi="黑体" w:eastAsia="黑体" w:cs="Times New Roman"/>
      <w:b/>
      <w:sz w:val="32"/>
      <w:szCs w:val="24"/>
      <w:lang w:val="en-US" w:eastAsia="zh-CN" w:bidi="ar-SA"/>
    </w:rPr>
  </w:style>
  <w:style w:type="paragraph" w:styleId="110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Normal_0_1_0"/>
    <w:uiPriority w:val="0"/>
    <w:qFormat/>
    <w:pPr>
      <w:jc w:val="both"/>
      <w:widowControl w:val="off"/>
    </w:pPr>
    <w:rPr>
      <w:rFonts w:ascii="Calibri" w:hAnsi="Calibri" w:eastAsia="Times New Roman" w:cs="Times New Roman"/>
      <w:sz w:val="21"/>
      <w:szCs w:val="22"/>
      <w:lang w:val="en-US" w:eastAsia="zh-CN" w:bidi="ar-SA"/>
    </w:rPr>
  </w:style>
  <w:style w:type="paragraph" w:styleId="1102" w:customStyle="1">
    <w:name w:val="Body Text Indent_0"/>
    <w:basedOn w:val="1101"/>
    <w:uiPriority w:val="0"/>
    <w:qFormat/>
    <w:pPr>
      <w:ind w:firstLine="225"/>
    </w:pPr>
    <w:rPr>
      <w:rFonts w:ascii="仿宋_GB2312" w:eastAsia="仿宋_GB2312"/>
      <w:sz w:val="32"/>
    </w:rPr>
  </w:style>
  <w:style w:type="paragraph" w:styleId="1103" w:customStyle="1">
    <w:name w:val="正文1_0"/>
    <w:uiPriority w:val="0"/>
    <w:qFormat/>
    <w:pPr>
      <w:jc w:val="both"/>
      <w:widowControl w:val="off"/>
    </w:pPr>
    <w:rPr>
      <w:rFonts w:ascii="Calibri" w:hAnsi="Calibri" w:eastAsia="宋体" w:cs="Times New Roman"/>
      <w:sz w:val="21"/>
      <w:szCs w:val="22"/>
      <w:lang w:val="en-US" w:eastAsia="zh-CN" w:bidi="ar-SA"/>
    </w:rPr>
  </w:style>
  <w:style w:type="character" w:styleId="1104" w:customStyle="1">
    <w:name w:val="font11"/>
    <w:uiPriority w:val="0"/>
    <w:qFormat/>
    <w:rPr>
      <w:rFonts w:hint="eastAsia" w:ascii="宋体" w:hAnsi="宋体" w:eastAsia="宋体" w:cs="宋体"/>
      <w:b/>
      <w:bCs/>
      <w:color w:val="000000"/>
      <w:sz w:val="22"/>
      <w:szCs w:val="22"/>
      <w:u w:val="none"/>
    </w:rPr>
  </w:style>
  <w:style w:type="character" w:styleId="1105" w:customStyle="1">
    <w:name w:val="font51"/>
    <w:uiPriority w:val="0"/>
    <w:qFormat/>
    <w:rPr>
      <w:rFonts w:hint="eastAsia" w:ascii="宋体" w:hAnsi="宋体" w:eastAsia="宋体" w:cs="宋体"/>
      <w:b/>
      <w:bCs/>
      <w:color w:val="000000"/>
      <w:sz w:val="22"/>
      <w:szCs w:val="22"/>
      <w:u w:val="single"/>
    </w:rPr>
  </w:style>
  <w:style w:type="paragraph" w:styleId="1106" w:customStyle="1">
    <w:name w:val="Body Text Indent 2_0"/>
    <w:basedOn w:val="1101"/>
    <w:uiPriority w:val="0"/>
    <w:qFormat/>
    <w:pPr>
      <w:ind w:firstLine="225"/>
      <w:jc w:val="left"/>
      <w:spacing w:line="540" w:lineRule="exact"/>
    </w:pPr>
    <w:rPr>
      <w:rFonts w:ascii="仿宋_GB2312" w:eastAsia="仿宋_GB2312"/>
      <w:sz w:val="32"/>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6</cp:revision>
  <dcterms:created xsi:type="dcterms:W3CDTF">2024-06-18T02:18:00Z</dcterms:created>
  <dcterms:modified xsi:type="dcterms:W3CDTF">2024-06-26T07:22:25Z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D15EF3EF920D4BFDB4E2E2D7F623BC39_13</vt:lpwstr>
  </property>
</Properties>
</file>