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ind w:firstLine="1718"/>
        <w:jc w:val="both"/>
        <w:rPr>
          <w:rFonts w:hint="eastAsia" w:ascii="仿宋" w:hAnsi="仿宋" w:eastAsia="仿宋" w:cs="仿宋"/>
          <w:color w:val="000000"/>
          <w:sz w:val="24"/>
        </w:rPr>
      </w:pPr>
      <w:r>
        <w:rPr>
          <w:rFonts w:hint="eastAsia" w:ascii="仿宋" w:hAnsi="仿宋" w:eastAsia="仿宋" w:cs="仿宋"/>
          <w:b/>
          <w:color w:val="000000"/>
          <w:spacing w:val="76"/>
          <w:sz w:val="156"/>
        </w:rPr>
        <w:t xml:space="preserve">招标文件</w:t>
      </w:r>
      <w:r/>
    </w:p>
    <w:p>
      <w:pPr>
        <w:pStyle w:val="803"/>
        <w:rPr>
          <w:rFonts w:hint="eastAsia" w:ascii="仿宋" w:hAnsi="仿宋" w:eastAsia="仿宋" w:cs="仿宋"/>
          <w:color w:val="000000"/>
          <w:sz w:val="24"/>
        </w:rPr>
      </w:pPr>
      <w:r>
        <w:rPr>
          <w:rFonts w:hint="eastAsia" w:ascii="仿宋" w:hAnsi="仿宋" w:eastAsia="仿宋" w:cs="仿宋"/>
          <w:color w:val="000000"/>
          <w:sz w:val="24"/>
        </w:rPr>
      </w:r>
      <w:r/>
    </w:p>
    <w:p>
      <w:pPr>
        <w:pStyle w:val="1086"/>
        <w:rPr>
          <w:rFonts w:hint="eastAsia" w:ascii="仿宋" w:hAnsi="仿宋" w:eastAsia="仿宋" w:cs="仿宋"/>
          <w:color w:val="000000"/>
        </w:rPr>
      </w:pPr>
      <w:r>
        <w:rPr>
          <w:rFonts w:hint="eastAsia" w:ascii="仿宋" w:hAnsi="仿宋" w:eastAsia="仿宋" w:cs="仿宋"/>
          <w:color w:val="000000"/>
        </w:rPr>
      </w:r>
      <w:r/>
    </w:p>
    <w:p>
      <w:pPr>
        <w:pStyle w:val="803"/>
        <w:rPr>
          <w:rFonts w:hint="eastAsia"/>
        </w:rPr>
      </w:pPr>
      <w:r>
        <w:rPr>
          <w:rFonts w:hint="eastAsia"/>
        </w:rPr>
      </w:r>
      <w:r/>
    </w:p>
    <w:p>
      <w:pPr>
        <w:pStyle w:val="803"/>
        <w:ind w:firstLine="960"/>
        <w:jc w:val="left"/>
        <w:rPr>
          <w:rFonts w:hint="eastAsia" w:ascii="仿宋" w:hAnsi="仿宋" w:eastAsia="仿宋" w:cs="仿宋"/>
          <w:color w:val="000000"/>
          <w:sz w:val="32"/>
          <w:lang w:eastAsia="zh-CN"/>
        </w:rPr>
      </w:pPr>
      <w:r>
        <w:rPr>
          <w:rFonts w:hint="eastAsia" w:ascii="仿宋" w:hAnsi="仿宋" w:eastAsia="仿宋" w:cs="仿宋"/>
          <w:color w:val="000000"/>
          <w:sz w:val="32"/>
          <w:lang w:eastAsia="zh-CN"/>
        </w:rPr>
        <w:t xml:space="preserve">项目编号：JSZC-320312-YXYX-G2024-0005</w:t>
      </w:r>
      <w:r/>
    </w:p>
    <w:p>
      <w:pPr>
        <w:pStyle w:val="803"/>
        <w:jc w:val="both"/>
        <w:rPr>
          <w:rFonts w:hint="eastAsia" w:ascii="仿宋" w:hAnsi="仿宋" w:eastAsia="仿宋" w:cs="仿宋"/>
          <w:color w:val="000000"/>
          <w:sz w:val="32"/>
        </w:rPr>
      </w:pPr>
      <w:r>
        <w:rPr>
          <w:rFonts w:hint="eastAsia" w:ascii="仿宋" w:hAnsi="仿宋" w:eastAsia="仿宋" w:cs="仿宋"/>
          <w:color w:val="000000"/>
          <w:sz w:val="32"/>
        </w:rPr>
      </w:r>
      <w:r/>
    </w:p>
    <w:p>
      <w:pPr>
        <w:pStyle w:val="803"/>
        <w:ind w:firstLine="960"/>
        <w:jc w:val="both"/>
        <w:rPr>
          <w:rFonts w:hint="eastAsia" w:ascii="仿宋" w:hAnsi="仿宋" w:eastAsia="仿宋" w:cs="仿宋"/>
          <w:color w:val="000000"/>
          <w:sz w:val="32"/>
          <w:szCs w:val="32"/>
        </w:rPr>
      </w:pPr>
      <w:r>
        <w:rPr>
          <w:rFonts w:hint="eastAsia" w:ascii="仿宋" w:hAnsi="仿宋" w:eastAsia="仿宋" w:cs="仿宋"/>
          <w:color w:val="000000"/>
          <w:sz w:val="32"/>
        </w:rPr>
        <w:t xml:space="preserve">项目名称：</w:t>
      </w:r>
      <w:r>
        <w:rPr>
          <w:rFonts w:hint="eastAsia" w:ascii="仿宋" w:hAnsi="仿宋" w:eastAsia="仿宋" w:cs="仿宋"/>
          <w:color w:val="000000"/>
          <w:sz w:val="32"/>
          <w:lang w:eastAsia="zh-CN"/>
        </w:rPr>
        <w:t xml:space="preserve">2024年铜山区农产品质量安全风险监测</w:t>
      </w:r>
      <w:r/>
    </w:p>
    <w:p>
      <w:pPr>
        <w:pStyle w:val="803"/>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3"/>
        <w:ind w:firstLine="960"/>
        <w:jc w:val="left"/>
        <w:rPr>
          <w:rFonts w:hint="eastAsia" w:ascii="仿宋" w:hAnsi="仿宋" w:eastAsia="仿宋" w:cs="仿宋"/>
          <w:color w:val="000000"/>
          <w:sz w:val="32"/>
          <w:lang w:eastAsia="zh-CN"/>
        </w:rPr>
      </w:pPr>
      <w:r>
        <w:rPr>
          <w:rFonts w:hint="eastAsia" w:ascii="仿宋" w:hAnsi="仿宋" w:eastAsia="仿宋" w:cs="仿宋"/>
          <w:color w:val="000000"/>
          <w:sz w:val="32"/>
        </w:rPr>
        <w:t xml:space="preserve">采购人：</w:t>
      </w:r>
      <w:r>
        <w:rPr>
          <w:rFonts w:hint="eastAsia" w:ascii="仿宋" w:hAnsi="仿宋" w:eastAsia="仿宋" w:cs="仿宋"/>
          <w:color w:val="000000"/>
          <w:sz w:val="32"/>
          <w:lang w:eastAsia="zh-CN"/>
        </w:rPr>
        <w:t xml:space="preserve">徐州市铜山区农业农村局（机关）</w:t>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2034540</wp:posOffset>
                </wp:positionH>
                <wp:positionV relativeFrom="paragraph">
                  <wp:posOffset>200660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2pt;mso-position-horizontal:absolute;mso-position-vertical-relative:text;margin-top:15.8pt;mso-position-vertical:absolute;width:114.1pt;height:114.1pt;mso-wrap-distance-left:9.0pt;mso-wrap-distance-top:0.0pt;mso-wrap-distance-right:9.0pt;mso-wrap-distance-bottom:0.0pt;" stroked="f">
                <v:path textboxrect="0,0,0,0"/>
                <w10:wrap type="square"/>
                <v:imagedata r:id="rId15" o:title=""/>
              </v:shape>
            </w:pict>
          </mc:Fallback>
        </mc:AlternateContent>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江苏友信招标代理有限公司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eastAsia="zh-CN"/>
        </w:rPr>
        <w:t xml:space="preserve">四</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eastAsia="zh-CN"/>
        </w:rPr>
        <w:t xml:space="preserve">五</w:t>
      </w:r>
      <w:r>
        <w:rPr>
          <w:rFonts w:hint="eastAsia" w:ascii="仿宋" w:hAnsi="仿宋" w:eastAsia="仿宋" w:cs="仿宋"/>
          <w:bCs/>
          <w:color w:val="auto"/>
          <w:sz w:val="30"/>
          <w:highlight w:val="none"/>
        </w:rPr>
        <w:t xml:space="preserve">月</w:t>
      </w:r>
      <w:r/>
    </w:p>
    <w:p>
      <w:pPr>
        <w:pStyle w:val="983"/>
        <w:ind w:firstLine="0"/>
        <w:jc w:val="both"/>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3"/>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highlight w:val="none"/>
        </w:rPr>
        <w:fldChar w:fldCharType="separate"/>
      </w:r>
      <w:r>
        <w:rPr>
          <w:rStyle w:val="815"/>
          <w:rFonts w:hint="eastAsia" w:ascii="仿宋" w:hAnsi="仿宋" w:eastAsia="仿宋" w:cs="仿宋"/>
          <w:color w:val="auto"/>
          <w:sz w:val="30"/>
          <w:highlight w:val="none"/>
          <w:u w:val="none"/>
        </w:rPr>
        <w:t xml:space="preserve">第一章  投标邀请</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highlight w:val="none"/>
        </w:rPr>
        <w:fldChar w:fldCharType="separate"/>
      </w:r>
      <w:r>
        <w:rPr>
          <w:rStyle w:val="815"/>
          <w:rFonts w:hint="eastAsia" w:ascii="仿宋" w:hAnsi="仿宋" w:eastAsia="仿宋" w:cs="仿宋"/>
          <w:color w:val="auto"/>
          <w:sz w:val="30"/>
          <w:highlight w:val="none"/>
          <w:u w:val="none"/>
        </w:rPr>
        <w:t xml:space="preserve">第二章  投标人须知</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highlight w:val="none"/>
        </w:rPr>
        <w:fldChar w:fldCharType="separate"/>
      </w:r>
      <w:r>
        <w:rPr>
          <w:rStyle w:val="815"/>
          <w:rFonts w:hint="eastAsia" w:ascii="仿宋" w:hAnsi="仿宋" w:eastAsia="仿宋" w:cs="仿宋"/>
          <w:color w:val="auto"/>
          <w:sz w:val="30"/>
          <w:highlight w:val="none"/>
          <w:u w:val="none"/>
        </w:rPr>
        <w:t xml:space="preserve">第三章  投标资料表</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highlight w:val="none"/>
        </w:rPr>
        <w:fldChar w:fldCharType="separate"/>
      </w:r>
      <w:r>
        <w:rPr>
          <w:rStyle w:val="815"/>
          <w:rFonts w:hint="eastAsia" w:ascii="仿宋" w:hAnsi="仿宋" w:eastAsia="仿宋" w:cs="仿宋"/>
          <w:color w:val="auto"/>
          <w:sz w:val="30"/>
          <w:highlight w:val="none"/>
          <w:u w:val="none"/>
        </w:rPr>
        <w:t xml:space="preserve">第四章  评标标准</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highlight w:val="none"/>
        </w:rPr>
        <w:fldChar w:fldCharType="separate"/>
      </w:r>
      <w:r>
        <w:rPr>
          <w:rStyle w:val="815"/>
          <w:rFonts w:hint="eastAsia" w:ascii="仿宋" w:hAnsi="仿宋" w:eastAsia="仿宋" w:cs="仿宋"/>
          <w:color w:val="auto"/>
          <w:sz w:val="30"/>
          <w:highlight w:val="none"/>
          <w:u w:val="none"/>
        </w:rPr>
        <w:t xml:space="preserve">第</w:t>
      </w:r>
      <w:r>
        <w:rPr>
          <w:rStyle w:val="815"/>
          <w:rFonts w:hint="eastAsia" w:ascii="仿宋" w:hAnsi="仿宋" w:eastAsia="仿宋" w:cs="仿宋"/>
          <w:color w:val="auto"/>
          <w:sz w:val="30"/>
          <w:highlight w:val="none"/>
          <w:u w:val="none"/>
          <w:lang w:eastAsia="zh-CN"/>
        </w:rPr>
        <w:t xml:space="preserve">五</w:t>
      </w:r>
      <w:r>
        <w:rPr>
          <w:rStyle w:val="815"/>
          <w:rFonts w:hint="eastAsia" w:ascii="仿宋" w:hAnsi="仿宋" w:eastAsia="仿宋" w:cs="仿宋"/>
          <w:color w:val="auto"/>
          <w:sz w:val="30"/>
          <w:highlight w:val="none"/>
          <w:u w:val="none"/>
        </w:rPr>
        <w:t xml:space="preserve">章  拟签订的合同文本</w:t>
      </w:r>
      <w:r>
        <w:rPr>
          <w:rFonts w:hint="eastAsia" w:ascii="仿宋" w:hAnsi="仿宋" w:eastAsia="仿宋" w:cs="仿宋"/>
          <w:color w:val="auto"/>
          <w:sz w:val="30"/>
          <w:highlight w:val="none"/>
          <w:u w:val="none"/>
        </w:rPr>
        <w:fldChar w:fldCharType="end"/>
      </w:r>
      <w:r/>
    </w:p>
    <w:p>
      <w:pPr>
        <w:ind w:firstLine="1002"/>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1002"/>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815"/>
          <w:rFonts w:hint="eastAsia" w:ascii="仿宋" w:hAnsi="仿宋" w:eastAsia="仿宋" w:cs="仿宋"/>
          <w:color w:val="000000"/>
          <w:sz w:val="30"/>
          <w:highlight w:val="none"/>
          <w:u w:val="none"/>
        </w:rPr>
        <w:t xml:space="preserve">第</w:t>
      </w:r>
      <w:r>
        <w:rPr>
          <w:rStyle w:val="815"/>
          <w:rFonts w:hint="eastAsia" w:ascii="仿宋" w:hAnsi="仿宋" w:eastAsia="仿宋" w:cs="仿宋"/>
          <w:color w:val="000000"/>
          <w:sz w:val="30"/>
          <w:highlight w:val="none"/>
          <w:u w:val="none"/>
          <w:lang w:eastAsia="zh-CN"/>
        </w:rPr>
        <w:t xml:space="preserve">六</w:t>
      </w:r>
      <w:r>
        <w:rPr>
          <w:rStyle w:val="815"/>
          <w:rFonts w:hint="eastAsia" w:ascii="仿宋" w:hAnsi="仿宋" w:eastAsia="仿宋" w:cs="仿宋"/>
          <w:color w:val="000000"/>
          <w:sz w:val="30"/>
          <w:highlight w:val="none"/>
          <w:u w:val="none"/>
        </w:rPr>
        <w:t xml:space="preserve">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815"/>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highlight w:val="none"/>
        </w:rPr>
        <w:fldChar w:fldCharType="separate"/>
      </w:r>
      <w:r>
        <w:rPr>
          <w:rStyle w:val="815"/>
          <w:rFonts w:hint="eastAsia" w:ascii="仿宋" w:hAnsi="仿宋" w:eastAsia="仿宋" w:cs="仿宋"/>
          <w:color w:val="auto"/>
          <w:sz w:val="30"/>
          <w:highlight w:val="none"/>
          <w:u w:val="none"/>
        </w:rPr>
        <w:t xml:space="preserve">第七章  投标文件相关格式</w:t>
      </w:r>
      <w:r>
        <w:rPr>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jc w:val="center"/>
        <w:spacing w:line="51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仿宋" w:hAnsi="仿宋" w:eastAsia="仿宋" w:cs="仿宋"/>
          <w:b/>
          <w:color w:val="auto"/>
          <w:sz w:val="28"/>
          <w:szCs w:val="28"/>
          <w:highlight w:val="none"/>
        </w:rPr>
      </w:r>
      <w:r/>
    </w:p>
    <w:p>
      <w:pPr>
        <w:jc w:val="center"/>
        <w:spacing w:line="520" w:lineRule="exact"/>
        <w:rPr>
          <w:rFonts w:hint="eastAsia" w:ascii="仿宋" w:hAnsi="仿宋" w:eastAsia="仿宋" w:cs="仿宋"/>
          <w:b/>
          <w:bCs w:val="0"/>
          <w:color w:val="auto"/>
          <w:sz w:val="36"/>
          <w:szCs w:val="36"/>
          <w:highlight w:val="none"/>
          <w:lang w:eastAsia="zh-CN"/>
        </w:rPr>
      </w:pPr>
      <w:r>
        <w:rPr>
          <w:rFonts w:hint="eastAsia" w:ascii="仿宋" w:hAnsi="仿宋" w:eastAsia="仿宋" w:cs="仿宋"/>
          <w:b/>
          <w:bCs w:val="0"/>
          <w:color w:val="auto"/>
          <w:sz w:val="36"/>
          <w:szCs w:val="36"/>
          <w:highlight w:val="none"/>
          <w:lang w:eastAsia="zh-CN"/>
        </w:rPr>
        <w:t xml:space="preserve">徐州市铜山区农业农村局（机关）</w:t>
      </w:r>
      <w:r/>
    </w:p>
    <w:p>
      <w:pPr>
        <w:jc w:val="center"/>
        <w:spacing w:line="520" w:lineRule="exact"/>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w:t>
      </w:r>
      <w:r>
        <w:rPr>
          <w:rFonts w:hint="eastAsia" w:ascii="仿宋" w:hAnsi="仿宋" w:eastAsia="仿宋" w:cs="仿宋"/>
          <w:b/>
          <w:bCs w:val="0"/>
          <w:color w:val="000000"/>
          <w:sz w:val="36"/>
          <w:szCs w:val="36"/>
          <w:lang w:eastAsia="zh-CN"/>
        </w:rPr>
        <w:t xml:space="preserve">2024年铜山区农产品质量安全风险监测</w:t>
      </w:r>
      <w:r>
        <w:rPr>
          <w:rFonts w:hint="eastAsia" w:ascii="仿宋" w:hAnsi="仿宋" w:eastAsia="仿宋" w:cs="仿宋"/>
          <w:b/>
          <w:bCs w:val="0"/>
          <w:color w:val="auto"/>
          <w:sz w:val="36"/>
          <w:szCs w:val="36"/>
          <w:highlight w:val="none"/>
        </w:rPr>
        <w:t xml:space="preserve">》招标文件</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1"/>
        <w:ind w:firstLine="2800"/>
        <w:spacing w:line="520" w:lineRule="exact"/>
        <w:rPr>
          <w:rFonts w:hint="eastAsia" w:ascii="仿宋" w:hAnsi="仿宋" w:eastAsia="仿宋" w:cs="仿宋"/>
          <w:color w:val="auto"/>
          <w:sz w:val="28"/>
          <w:szCs w:val="28"/>
          <w:highlight w:val="none"/>
        </w:rPr>
      </w:pPr>
      <w:r/>
      <w:bookmarkStart w:id="0" w:name="_Toc523404695"/>
      <w:r>
        <w:rPr>
          <w:rFonts w:hint="eastAsia" w:ascii="仿宋" w:hAnsi="仿宋" w:eastAsia="仿宋" w:cs="仿宋"/>
          <w:color w:val="auto"/>
          <w:sz w:val="28"/>
          <w:szCs w:val="28"/>
          <w:highlight w:val="none"/>
        </w:rPr>
        <w:t xml:space="preserve">第一章  投标邀请</w:t>
      </w:r>
      <w:bookmarkEnd w:id="0"/>
      <w:r/>
      <w:r/>
    </w:p>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江苏友信招标代理有限公司</w:t>
      </w:r>
      <w:r>
        <w:rPr>
          <w:rFonts w:hint="eastAsia" w:ascii="仿宋" w:hAnsi="仿宋" w:eastAsia="仿宋" w:cs="仿宋"/>
          <w:color w:val="auto"/>
          <w:sz w:val="28"/>
          <w:szCs w:val="28"/>
          <w:highlight w:val="none"/>
        </w:rPr>
        <w:t xml:space="preserve">对</w:t>
      </w:r>
      <w:r>
        <w:rPr>
          <w:rFonts w:hint="eastAsia" w:ascii="仿宋" w:hAnsi="仿宋" w:eastAsia="仿宋" w:cs="仿宋"/>
          <w:sz w:val="28"/>
          <w:szCs w:val="28"/>
          <w:lang w:eastAsia="zh-CN"/>
        </w:rPr>
        <w:t xml:space="preserve">徐州市铜山区农业农村局（机关）2024年铜山区农产品质量安全风险监测项目</w:t>
      </w:r>
      <w:r>
        <w:rPr>
          <w:rFonts w:hint="eastAsia" w:ascii="仿宋" w:hAnsi="仿宋" w:eastAsia="仿宋" w:cs="仿宋"/>
          <w:color w:val="auto"/>
          <w:sz w:val="28"/>
          <w:szCs w:val="28"/>
          <w:highlight w:val="none"/>
        </w:rPr>
        <w:t xml:space="preserve">进行公开招标采购，现邀请符合相关条件的供应商投标。</w:t>
      </w:r>
      <w:r/>
    </w:p>
    <w:p>
      <w:pPr>
        <w:numPr>
          <w:ilvl w:val="0"/>
          <w:numId w:val="3"/>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项目名称和项目编号</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(一)项目名称：</w:t>
      </w:r>
      <w:r>
        <w:rPr>
          <w:rFonts w:hint="eastAsia" w:ascii="仿宋" w:hAnsi="仿宋" w:eastAsia="仿宋" w:cs="仿宋"/>
          <w:sz w:val="28"/>
          <w:szCs w:val="28"/>
          <w:lang w:eastAsia="zh-CN"/>
        </w:rPr>
        <w:t xml:space="preserve">2024年铜山区农产品质量安全风险监测</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项目编号：JSZC-320312-YXYX-G2024-0005</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二、对投标人的资格要求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详见本项目公开招标公告。</w:t>
      </w:r>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获取招标文件</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（1）潜在供应商访问电子招标投标交易平台的网络地址和方法：</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③“CA数字证书”的获取：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（2）采购代理机构将数据电文形式的招标文件加载至电子招标投标交易平台，供潜在供应商下载或者查阅。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（3）苏采云系统使用谷歌浏览器参与不见面开标。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（4）售价：免费。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四、投标有关信息</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（一）投标截止时间：202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日北京时间</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（二）开标时间：202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4</w:t>
      </w:r>
      <w:bookmarkStart w:id="2" w:name="_GoBack"/>
      <w:r/>
      <w:bookmarkEnd w:id="2"/>
      <w:r>
        <w:rPr>
          <w:rFonts w:hint="eastAsia" w:ascii="仿宋" w:hAnsi="仿宋" w:eastAsia="仿宋" w:cs="仿宋"/>
          <w:color w:val="auto"/>
          <w:sz w:val="28"/>
          <w:szCs w:val="28"/>
          <w:highlight w:val="none"/>
        </w:rPr>
        <w:t xml:space="preserve">日北京时间</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w:t>
      </w:r>
      <w:r/>
    </w:p>
    <w:p>
      <w:pPr>
        <w:spacing w:line="360" w:lineRule="auto"/>
        <w:rPr>
          <w:rFonts w:hint="eastAsia" w:ascii="仿宋" w:hAnsi="仿宋" w:eastAsia="仿宋" w:cs="仿宋"/>
          <w:sz w:val="28"/>
          <w:szCs w:val="28"/>
          <w:lang w:eastAsia="zh-CN"/>
        </w:rPr>
      </w:pPr>
      <w:r>
        <w:rPr>
          <w:rFonts w:hint="eastAsia" w:ascii="仿宋" w:hAnsi="仿宋" w:eastAsia="仿宋" w:cs="仿宋"/>
          <w:color w:val="auto"/>
          <w:sz w:val="28"/>
          <w:szCs w:val="28"/>
          <w:highlight w:val="none"/>
        </w:rPr>
        <w:t xml:space="preserve">（一）名称：</w:t>
      </w:r>
      <w:r>
        <w:rPr>
          <w:rFonts w:hint="eastAsia" w:ascii="仿宋" w:hAnsi="仿宋" w:eastAsia="仿宋" w:cs="仿宋"/>
          <w:sz w:val="28"/>
          <w:szCs w:val="28"/>
          <w:lang w:eastAsia="zh-CN"/>
        </w:rPr>
        <w:t xml:space="preserve">徐州市铜山区农业农村局（机关）</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（二）地址：</w:t>
      </w:r>
      <w:r>
        <w:rPr>
          <w:rFonts w:hint="eastAsia" w:ascii="仿宋" w:hAnsi="仿宋" w:eastAsia="仿宋" w:cs="仿宋"/>
          <w:color w:val="auto"/>
          <w:sz w:val="28"/>
          <w:szCs w:val="28"/>
          <w:highlight w:val="none"/>
          <w:lang w:eastAsia="zh-CN"/>
        </w:rPr>
        <w:t xml:space="preserve">徐州市铜山区府西路</w:t>
      </w:r>
      <w:r>
        <w:rPr>
          <w:rFonts w:hint="eastAsia" w:ascii="仿宋" w:hAnsi="仿宋" w:eastAsia="仿宋" w:cs="仿宋"/>
          <w:color w:val="auto"/>
          <w:sz w:val="28"/>
          <w:szCs w:val="28"/>
          <w:highlight w:val="none"/>
          <w:lang w:val="en-US" w:eastAsia="zh-CN"/>
        </w:rPr>
        <w:t xml:space="preserve">6号</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（三）联系方法：</w:t>
      </w:r>
      <w:r>
        <w:rPr>
          <w:rFonts w:hint="eastAsia" w:ascii="仿宋" w:hAnsi="仿宋" w:eastAsia="仿宋" w:cs="仿宋"/>
          <w:color w:val="auto"/>
          <w:sz w:val="28"/>
          <w:szCs w:val="28"/>
          <w:highlight w:val="none"/>
          <w:lang w:val="en-US" w:eastAsia="zh-CN"/>
        </w:rPr>
        <w:t xml:space="preserve">0516-69683617</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（四）采购项目联系人：</w:t>
      </w:r>
      <w:r>
        <w:rPr>
          <w:rFonts w:hint="eastAsia" w:ascii="仿宋" w:hAnsi="仿宋" w:eastAsia="仿宋" w:cs="仿宋"/>
          <w:color w:val="auto"/>
          <w:sz w:val="28"/>
          <w:szCs w:val="28"/>
          <w:highlight w:val="none"/>
          <w:lang w:eastAsia="zh-CN"/>
        </w:rPr>
        <w:t xml:space="preserve">王爱华</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0516-69683617</w:t>
      </w:r>
      <w:r/>
    </w:p>
    <w:p>
      <w:pPr>
        <w:ind w:left="896" w:hanging="3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ind w:firstLine="60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0"/>
        <w:spacing w:line="400" w:lineRule="exact"/>
        <w:rPr>
          <w:rFonts w:hAnsi="宋体" w:eastAsia="宋体" w:cs="宋体"/>
        </w:rPr>
      </w:pPr>
      <w:r>
        <w:rPr>
          <w:rFonts w:ascii="宋体" w:hAnsi="宋体" w:eastAsia="宋体"/>
          <w:color w:val="auto"/>
          <w:highlight w:val="none"/>
        </w:rPr>
        <w:br w:type="page" w:clear="all"/>
      </w:r>
      <w:r/>
    </w:p>
    <w:p>
      <w:pPr>
        <w:pStyle w:val="771"/>
        <w:ind w:firstLine="2000"/>
        <w:rPr>
          <w:rFonts w:hint="eastAsia" w:ascii="仿宋" w:hAnsi="仿宋" w:eastAsia="仿宋" w:cs="仿宋"/>
          <w:color w:val="auto"/>
          <w:highlight w:val="none"/>
        </w:rPr>
      </w:pPr>
      <w:r>
        <w:rPr>
          <w:rFonts w:hint="eastAsia" w:ascii="仿宋" w:hAnsi="仿宋" w:eastAsia="仿宋" w:cs="仿宋"/>
          <w:color w:val="auto"/>
          <w:highlight w:val="none"/>
        </w:rPr>
        <w:t xml:space="preserve">第二章  投标人须知</w:t>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一、总则</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（一）采购人。采购人即指依法进行政府采购的国家机关、事业单位和团体组织。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（二）政府招标采购方式。政府采购货物或服务（以下简称“货物服务”）的招标方式，分为公开招标和邀请招标。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（五）采购人委托采购代理机构代理招标的，采购代理机构必须在采购人委托的范围内依法开展采购活动。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（六）投标人的资格条件：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投标人是指响应招标、参加投标竞争的法人、其他组织或者自然人。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2.投标人授权代表系指法定代表人或受法人委托的受托人。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（八）招标文件应包括以下内容：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第一章，投标邀请；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第二章，投标人须知；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第三章，投标资料表；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第四章，评标标准；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第五章，拟签订的合同文本；</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第六章，采购需求；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第七章，投标文件相关格式。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（九）招标文件澄清或者修改：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2.现场考察以本文件第三章《投标资料表》中的要求为准。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3.开标前答疑会以本文件第三章《投标资料表》中的要求为准。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三、投标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（十二）投标文件的构成：</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1.投标文件的构成以本文件第三章《投标资料表》中的要求为准。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（十三）投标函和价格表、商务条件、交货和提供服务的时间：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2.商务条件以本文件第三章《投标资料表》中的要求为准。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3.交货和提供服务的时间，以本文件第三章《投标资料表》中所提要求为准。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（十四）投标报价要求：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1.投标人应按照招标文件的要求报出分项价格和总价。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2.投标人应按照招标文件的要求进行报价，如投标人作出偏离，应在《偏离表》中列出。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3.采购人不支付报价以外的任何费用。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（十五）投标货币。以本文件第三章《投标资料表》中所提要求为准。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（十六）投标有效期：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（十七）投标文件的编制要求和签署要求</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（2）投标人应对 CA 证书妥善保管，如被他人盗用投标，因此带来的结果均由投标人自行承担。</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（3）投标人应当对招标文件提出的要求和条件作出实质性响应，并在电子投标系统逐条应答。</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（十八）投标文件的盖章要求：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投标文件的盖章要求，以本文件第三章《投标资料表》中所提要求为准。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（二十二）本项目不允许分包。</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在评标过程中发现投标人有上述情形的，评标委员会应当认定其投标无效，并书面报告本级财政部门。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（二十四）有下列情形之一的，其投标无效。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1.不同投标人的投标文件，由同一单位或者个人编制；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2.不同投标人委托同一单位或者个人办理投标事宜；</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3.不同投标人的投标文件中，所载明的项目管理成员或联系人为同一人；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4.不同投标人的投标文件，异常一致或者投标报价呈规律性差异；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6.电子投标文件未按规定期限投标的；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7.电子投标文件未按招标文件要求签章的；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8.投标人未在规定时间内解密电子投标文件的；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9.投标文件未按招标文件规定的内容和要求填写的；没有在投标系统指定位置上传对应文件、材料的；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10.不具备招标文件中规定的资格要求的；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11.报价超过招标文件中规定的预算金额或者最高限价的；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12.投标文件含有采购人不能接受的附加条件的；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13.法律、法规和招标文件规定的其他无效情形。</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四、开标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（二十五）开标：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2.由电子招标投标交易平台主持，邀请投标人参加。</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1.评标工作由采购代理机构负责组织，并履行下列职责：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（2）宣布评标纪律；</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（3）公布投标人名单，告知评审专家应当回避的情形；</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（4）组织评标委员会推选评标组长（采购人代表不得担任组长）；</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（5）在评标期间采取必要的通讯管理措施，保证评标活动不受外界干扰；</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（6）根据评标委员会的要求介绍政府采购相关政策法规、招标文件；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政府采购</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（10）处理与评标有关的其他事项。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2.评标委员会负责具体评标事务，并独立履行下列职责：</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（1）审查、评价投标文件是否符合招标文件的商务、技术等实质性要求；</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（2）要求投标人对投标文件有关事项作出澄清或者说明；</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（3）对投标文件进行比较和评价；</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（4）确定中标候选人名单，以及根据采购人委托直接确定中标人；</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（5）向采购人、采购代理机构或有关部门报告评标中发现的违法行为。</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（二十七）评标方法分为最低评标价法和综合评分法。</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1.评标工作程序：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（1）投标文件初审。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①资格性审查。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②符合性审查。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（2）澄清有关问题。</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（3）比较与评价。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（4）推荐中标候选供应商名单。</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（5）编写评审报告（评标报告）。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最低评标价法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综合评分法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非单一产品采购项目，多家投标人提供的核心产品品牌相同的，按前两款规定处理。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（二十九）投标文件报价出现前后不一致的，按照下列规定修正：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1.投标文件中开标一览表（报价表）内容与投标文件中相应内容不一致的，以开标一览表（报价表）为准；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4.总价金额与按单价合计金额不一致的，以单价金额计算结果为准。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同时出现两种以上不一致的，按照前款规定的顺序修正。将修正后的报价，形成投标人的澄清、说明或补正材料，经投标人确认后产生约束力。投标人不确认的，其投标无效。（本项目为固定价格）</w:t>
      </w:r>
      <w:r/>
    </w:p>
    <w:p>
      <w:pPr>
        <w:ind w:firstLine="600"/>
        <w:spacing w:line="520" w:lineRule="exact"/>
        <w:rPr>
          <w:rFonts w:hint="eastAsia" w:ascii="仿宋" w:hAnsi="仿宋" w:eastAsia="仿宋" w:cs="仿宋"/>
          <w:i/>
          <w:color w:val="auto"/>
          <w:sz w:val="28"/>
          <w:szCs w:val="28"/>
          <w:highlight w:val="none"/>
        </w:rPr>
      </w:pPr>
      <w:r>
        <w:rPr>
          <w:rFonts w:hint="eastAsia" w:ascii="仿宋" w:hAnsi="仿宋" w:eastAsia="仿宋" w:cs="仿宋"/>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（三十二）废标条款：</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出现下列情形之一的，应予废标。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1.符合专业条件的供应商或者对招标文件作实质响应的供应商不足三家的；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3.投标人的报价均超过了采购预算，采购人不能支付的；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六、定标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（三十三）采购代理机构应当在评标结束后2个工作日内将评标报告送采购人。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七、政府采购合同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（三十六）签订政府采购合同（合同签订方式）：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采购人不得向中标人提出任何不合理的要求作为签订合同的条件。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（三十八）履约保证金：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要求详见《第三章  投标资料表》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（三十九）腐败和欺诈行为：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（1）腐败和欺诈行为的含义：</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（2）如果被推荐的中标人有腐败和欺诈行为，将取消其中标资格。</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八、询问和质疑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（四十）询问和质疑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九、电子招标投标交易平台</w:t>
      </w:r>
      <w:r/>
    </w:p>
    <w:p>
      <w:pPr>
        <w:ind w:firstLine="60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http://jszfcg.jsczt.cn/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）相关要求是本招标文件的组成部分。</w:t>
      </w:r>
      <w:r/>
    </w:p>
    <w:p>
      <w:pPr>
        <w:pStyle w:val="803"/>
        <w:ind w:firstLine="480"/>
        <w:jc w:val="left"/>
        <w:keepLines w:val="0"/>
        <w:keepNext w:val="0"/>
        <w:pageBreakBefore w:val="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803"/>
        <w:ind w:firstLine="600"/>
        <w:jc w:val="left"/>
        <w:keepLines w:val="0"/>
        <w:keepNext w:val="0"/>
        <w:pageBreakBefore w:val="0"/>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r>
      <w:r/>
    </w:p>
    <w:p>
      <w:pPr>
        <w:pStyle w:val="1086"/>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3"/>
        <w:jc w:val="cente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第三章  投标资料表</w:t>
      </w:r>
      <w:r/>
    </w:p>
    <w:p>
      <w:pPr>
        <w:pStyle w:val="1019"/>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该资料表的条款项号是与《投标人须知》中条款项号对应的，或增加的条款，是对《投标人须知》的补充、修改和完善，如果有矛盾的话，应以本资料表为准。</w:t>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81"/>
        <w:tblW w:w="9510" w:type="dxa"/>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7995"/>
      </w:tblGrid>
      <w:tr>
        <w:trPr/>
        <w:tc>
          <w:tcPr>
            <w:tcW w:w="1515" w:type="dxa"/>
            <w:vAlign w:val="top"/>
            <w:textDirection w:val="lrTb"/>
            <w:noWrap w:val="false"/>
          </w:tcPr>
          <w:p>
            <w:pPr>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条款项号</w:t>
            </w:r>
            <w:r/>
          </w:p>
        </w:tc>
        <w:tc>
          <w:tcPr>
            <w:tcW w:w="7995" w:type="dxa"/>
            <w:vAlign w:val="top"/>
            <w:textDirection w:val="lrTb"/>
            <w:noWrap w:val="false"/>
          </w:tcPr>
          <w:p>
            <w:pPr>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内    容</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总则</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4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徐州市铜山区农业农村局（机关）</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本次采购采用的政府采购方式：公开招标。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采购人确定的采购项目属性：服务</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4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江苏友信招标代理有限公司</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(六)</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1.符合《中华人民共和国政府采购法》第二十二条的规定；</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b/>
                <w:color w:val="auto"/>
                <w:sz w:val="28"/>
                <w:szCs w:val="28"/>
              </w:rPr>
              <w:t xml:space="preserve">此项目属于专门面向中小微企业采购的项目，提供的服务全部由符合政策要求的中小企业承接，供应商应为中小微企业、监狱企业、残疾人福利性单位。</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同时明确相关事项如下：</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一、本项目不接受联合体参与采购活动。</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四、查询及使用供应商信用记录：</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3.“信用江苏”网（www.jscredit.gov.cn）；</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(三)截止时点（查询环节）：资格性审查前。</w:t>
            </w:r>
            <w:r/>
          </w:p>
          <w:p>
            <w:pPr>
              <w:ind w:left="98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招标代理服务费由中标人支付，标准见《招标代理服务收费标准》（见附件）。</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(九)2</w:t>
            </w:r>
            <w:r/>
          </w:p>
        </w:tc>
        <w:tc>
          <w:tcPr>
            <w:tcW w:w="7995" w:type="dxa"/>
            <w:vAlign w:val="top"/>
            <w:textDirection w:val="lrTb"/>
            <w:noWrap w:val="false"/>
          </w:tcPr>
          <w:p>
            <w:pPr>
              <w:spacing w:line="400" w:lineRule="exact"/>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不</w:t>
            </w:r>
            <w:r>
              <w:rPr>
                <w:rFonts w:hint="eastAsia" w:ascii="仿宋" w:hAnsi="仿宋" w:eastAsia="仿宋" w:cs="仿宋"/>
                <w:color w:val="auto"/>
                <w:sz w:val="28"/>
                <w:szCs w:val="28"/>
              </w:rPr>
              <w:t xml:space="preserve">安排现场考察。</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(九)3</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不安排开标前答疑会。</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w:t>
            </w:r>
            <w:r/>
          </w:p>
        </w:tc>
      </w:tr>
      <w:tr>
        <w:trPr>
          <w:trHeight w:val="51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(十一)</w:t>
            </w:r>
            <w:r/>
          </w:p>
        </w:tc>
        <w:tc>
          <w:tcPr>
            <w:tcW w:w="7995" w:type="dxa"/>
            <w:vAlign w:val="top"/>
            <w:textDirection w:val="lrTb"/>
            <w:noWrap w:val="false"/>
          </w:tcPr>
          <w:p>
            <w:pPr>
              <w:spacing w:line="400" w:lineRule="exact"/>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投标文件的语言为中文</w:t>
            </w:r>
            <w:r/>
          </w:p>
        </w:tc>
      </w:tr>
      <w:tr>
        <w:trPr>
          <w:trHeight w:val="9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(十二)1</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(十二)2</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线上投标文件编制要求：</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请按照以下要求（包括但不限于以下要求）制作：</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一、基本目录</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1.《开标一览表》（加盖电子签章）；</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2.《授权委托书》（提供原件的扫描件，格式见招标文件第七章《投标文件相关格式》）；</w:t>
            </w:r>
            <w:r/>
          </w:p>
          <w:p>
            <w:pPr>
              <w:spacing w:line="40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二、资格条件（1-7必须提供，否则投标无效）</w:t>
            </w:r>
            <w:r/>
          </w:p>
          <w:p>
            <w:pPr>
              <w:pStyle w:val="827"/>
              <w:ind w:left="551" w:hanging="551"/>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pStyle w:val="827"/>
              <w:ind w:left="551" w:hanging="551"/>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2、财务状况报告，至少提供：</w:t>
            </w:r>
            <w:r/>
          </w:p>
          <w:p>
            <w:pPr>
              <w:pStyle w:val="827"/>
              <w:ind w:left="551" w:hanging="551"/>
              <w:spacing w:line="24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提供2022年度或2023年度财务报告。</w:t>
            </w:r>
            <w:r/>
          </w:p>
          <w:p>
            <w:pPr>
              <w:pStyle w:val="827"/>
              <w:ind w:left="551" w:hanging="551"/>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827"/>
              <w:ind w:left="551" w:hanging="551"/>
              <w:spacing w:line="24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p>
          <w:p>
            <w:pPr>
              <w:pStyle w:val="827"/>
              <w:ind w:left="551" w:hanging="551"/>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提供的服务全部由符合政策要求的中小企业承接，提供《中小企业声明函》（加盖电子签章，填写完整。格式见招标文件第七章《投标文件相关格式》）</w:t>
            </w:r>
            <w:r>
              <w:rPr>
                <w:rFonts w:hint="eastAsia" w:ascii="仿宋" w:hAnsi="仿宋" w:eastAsia="仿宋" w:cs="仿宋"/>
                <w:b/>
                <w:bCs/>
                <w:color w:val="auto"/>
                <w:sz w:val="28"/>
                <w:szCs w:val="28"/>
              </w:rPr>
              <w:t xml:space="preserve">（必须提供）</w:t>
            </w:r>
            <w:r>
              <w:rPr>
                <w:rFonts w:hint="eastAsia" w:ascii="仿宋" w:hAnsi="仿宋" w:eastAsia="仿宋" w:cs="仿宋"/>
                <w:color w:val="auto"/>
                <w:sz w:val="28"/>
                <w:szCs w:val="28"/>
              </w:rPr>
              <w:t xml:space="preserve">。</w:t>
            </w:r>
            <w:r>
              <w:rPr>
                <w:rFonts w:hint="eastAsia" w:ascii="仿宋" w:hAnsi="仿宋" w:eastAsia="仿宋" w:cs="仿宋"/>
                <w:b/>
                <w:color w:val="auto"/>
                <w:sz w:val="28"/>
                <w:szCs w:val="28"/>
              </w:rPr>
              <w:t xml:space="preserve">《中小企业声明函》查询渠道参考工业和信息化部发布的中小企业规模自测小程序。</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注：监狱企业和残疾人福利性单位等同于小微企业。</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具体以《财政部 司法部关于政府采购支持监狱企业发展有关问题的通知》（财库〔2014〕68号）的规定为准。</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享受政府采购支持政策的残疾人福利性单位应当同时满足以下条件：</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①安置的残疾人占本单位在职职工人数的比例不低于25%（含25%），并且安置的残疾人人数不少于10人（含10人）；</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②依法与安置的每位残疾人签订了一年以上（含一年）的劳动合同或服务协议；</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③为安置的每位残疾人按月足额缴纳了基本养老保险、基本医疗保险、失业保险、工伤保险和生育保险等社会保险费；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具体以《三部门联合发布关于促进残疾人就业政府采购政策的通知》（财库〔2017〕141号）规定为准。</w:t>
            </w:r>
            <w:r/>
          </w:p>
          <w:p>
            <w:pPr>
              <w:spacing w:line="40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三、符合条件（必须提供，否则投标无效）</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(一)报价</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1.《分项价格表》（加盖电子签章，格式见招标文件第七章《投标文件相关格式》。）；</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（二）商务资信</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《投标函》（加盖电子签章，格式见招标文件第七章《投标文件相关格式》）；</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（三）技术响应</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1.《偏离表》（加盖电子签章，格式见招标文件第七章《投标文件相关格式》）。</w:t>
            </w:r>
            <w:r/>
          </w:p>
          <w:p>
            <w:pPr>
              <w:spacing w:line="40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四、综合评审评分项</w:t>
            </w:r>
            <w:r/>
          </w:p>
          <w:p>
            <w:pPr>
              <w:pStyle w:val="827"/>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p>
          <w:p>
            <w:pPr>
              <w:pStyle w:val="1066"/>
              <w:jc w:val="both"/>
              <w:spacing w:line="24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1、</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人员配</w:t>
            </w:r>
            <w:r>
              <w:rPr>
                <w:rFonts w:hint="eastAsia" w:ascii="仿宋" w:hAnsi="仿宋" w:eastAsia="仿宋" w:cs="仿宋"/>
                <w:color w:val="000000"/>
                <w:sz w:val="28"/>
                <w:szCs w:val="28"/>
                <w:highlight w:val="none"/>
                <w:lang w:val="en-US" w:eastAsia="zh-CN"/>
              </w:rPr>
              <w:t xml:space="preserve">备</w:t>
            </w:r>
            <w:r/>
          </w:p>
          <w:p>
            <w:pPr>
              <w:jc w:val="both"/>
              <w:spacing w:line="240" w:lineRule="auto"/>
              <w:rPr>
                <w:rFonts w:hint="eastAsia" w:ascii="仿宋" w:hAnsi="仿宋" w:eastAsia="仿宋" w:cs="仿宋"/>
                <w:color w:val="000000"/>
                <w:sz w:val="28"/>
                <w:szCs w:val="28"/>
                <w:highlight w:val="none"/>
              </w:rP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实验室能力</w:t>
            </w:r>
            <w:r/>
          </w:p>
          <w:p>
            <w:pPr>
              <w:pStyle w:val="1066"/>
              <w:jc w:val="both"/>
              <w:spacing w:line="240" w:lineRule="auto"/>
              <w:rPr>
                <w:rFonts w:hint="eastAsia" w:ascii="仿宋" w:hAnsi="仿宋" w:eastAsia="仿宋" w:cs="仿宋"/>
                <w:b w:val="0"/>
                <w:bCs/>
                <w:color w:val="auto"/>
                <w:sz w:val="28"/>
                <w:szCs w:val="28"/>
                <w:lang w:val="en-US" w:eastAsia="zh-CN"/>
              </w:rPr>
              <w:outlineLvl w:val="0"/>
            </w:pP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color w:val="000000"/>
                <w:sz w:val="28"/>
                <w:szCs w:val="28"/>
                <w:lang w:val="en-US" w:eastAsia="zh-CN"/>
              </w:rPr>
              <w:t xml:space="preserve">投标人设备配备</w:t>
            </w:r>
            <w:r/>
          </w:p>
          <w:p>
            <w:pPr>
              <w:pStyle w:val="1066"/>
              <w:jc w:val="both"/>
              <w:spacing w:line="240" w:lineRule="auto"/>
              <w:rPr>
                <w:rFonts w:hint="eastAsia" w:ascii="仿宋" w:hAnsi="仿宋" w:eastAsia="仿宋" w:cs="仿宋"/>
                <w:b w:val="0"/>
                <w:bCs/>
                <w:color w:val="auto"/>
                <w:sz w:val="28"/>
                <w:szCs w:val="28"/>
                <w:lang w:eastAsia="zh-CN"/>
              </w:rPr>
              <w:outlineLvl w:val="0"/>
            </w:pP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color w:val="000000"/>
                <w:sz w:val="28"/>
                <w:szCs w:val="28"/>
                <w:lang w:val="en-US" w:eastAsia="zh-CN"/>
              </w:rPr>
              <w:t xml:space="preserve">投标人车辆配备</w:t>
            </w:r>
            <w:r/>
          </w:p>
          <w:p>
            <w:pPr>
              <w:pStyle w:val="829"/>
              <w:ind w:left="0" w:firstLine="0"/>
              <w:spacing w:line="240" w:lineRule="auto"/>
              <w:rPr>
                <w:rFonts w:hint="eastAsia" w:ascii="仿宋" w:hAnsi="仿宋" w:eastAsia="仿宋" w:cs="仿宋"/>
                <w:color w:val="000000"/>
                <w:sz w:val="28"/>
                <w:szCs w:val="28"/>
                <w:lang w:val="en-US" w:eastAsia="zh-CN"/>
              </w:rPr>
            </w:pPr>
            <w:r>
              <w:rPr>
                <w:rFonts w:hint="eastAsia" w:ascii="仿宋" w:hAnsi="仿宋" w:eastAsia="仿宋" w:cs="仿宋"/>
                <w:b w:val="0"/>
                <w:bCs/>
                <w:color w:val="auto"/>
                <w:sz w:val="28"/>
                <w:szCs w:val="28"/>
                <w:lang w:val="en-US" w:eastAsia="zh-CN"/>
              </w:rPr>
              <w:t xml:space="preserve">5、</w:t>
            </w:r>
            <w:r>
              <w:rPr>
                <w:rFonts w:hint="eastAsia" w:ascii="仿宋" w:hAnsi="仿宋" w:eastAsia="仿宋" w:cs="仿宋"/>
                <w:color w:val="000000"/>
                <w:sz w:val="28"/>
                <w:szCs w:val="28"/>
                <w:lang w:val="en-US" w:eastAsia="zh-CN"/>
              </w:rPr>
              <w:t xml:space="preserve">投标人实施方案</w:t>
            </w:r>
            <w:r/>
          </w:p>
          <w:p>
            <w:pPr>
              <w:pStyle w:val="829"/>
              <w:ind w:left="0" w:firstLine="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6、投标人</w:t>
            </w:r>
            <w:r>
              <w:rPr>
                <w:rFonts w:hint="eastAsia" w:ascii="仿宋" w:hAnsi="仿宋" w:eastAsia="仿宋" w:cs="仿宋"/>
                <w:bCs/>
                <w:color w:val="000000"/>
                <w:sz w:val="28"/>
                <w:szCs w:val="28"/>
                <w:highlight w:val="none"/>
              </w:rPr>
              <w:t xml:space="preserve">应急预案</w:t>
            </w:r>
            <w:r/>
          </w:p>
          <w:p>
            <w:pPr>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二</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商务部分</w:t>
            </w:r>
            <w:r/>
          </w:p>
          <w:p>
            <w:pPr>
              <w:pStyle w:val="1066"/>
              <w:jc w:val="both"/>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投标人业绩</w:t>
            </w:r>
            <w:r/>
          </w:p>
          <w:p>
            <w:pPr>
              <w:jc w:val="both"/>
              <w:spacing w:line="240" w:lineRule="auto"/>
              <w:rPr>
                <w:rFonts w:hint="eastAsia" w:ascii="仿宋" w:hAnsi="仿宋" w:eastAsia="仿宋" w:cs="仿宋"/>
                <w:sz w:val="28"/>
                <w:szCs w:val="28"/>
                <w:lang w:val="en-US" w:eastAsia="zh-CN"/>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000000"/>
                <w:sz w:val="28"/>
                <w:szCs w:val="28"/>
                <w:highlight w:val="none"/>
                <w:lang w:val="en-US" w:eastAsia="zh-CN"/>
              </w:rPr>
              <w:t xml:space="preserve">投标人综合实力</w:t>
            </w:r>
            <w:r/>
          </w:p>
          <w:p>
            <w:pPr>
              <w:spacing w:line="400" w:lineRule="exact"/>
              <w:widowControl/>
              <w:rPr>
                <w:rFonts w:hint="eastAsia" w:ascii="仿宋" w:hAnsi="仿宋" w:eastAsia="仿宋" w:cs="仿宋"/>
                <w:b/>
                <w:bCs/>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、价格折扣文件格</w:t>
            </w:r>
            <w:r>
              <w:rPr>
                <w:rFonts w:hint="eastAsia" w:ascii="仿宋" w:hAnsi="仿宋" w:eastAsia="仿宋" w:cs="仿宋"/>
                <w:color w:val="auto"/>
                <w:sz w:val="28"/>
                <w:szCs w:val="28"/>
                <w:lang w:eastAsia="zh-CN"/>
              </w:rPr>
              <w:t xml:space="preserve">式：</w:t>
            </w:r>
            <w:r>
              <w:rPr>
                <w:rFonts w:hint="eastAsia" w:ascii="仿宋" w:hAnsi="仿宋" w:eastAsia="仿宋" w:cs="仿宋"/>
                <w:b w:val="0"/>
                <w:bCs w:val="0"/>
                <w:color w:val="auto"/>
                <w:sz w:val="28"/>
                <w:szCs w:val="28"/>
              </w:rPr>
              <w:t xml:space="preserve">无。</w:t>
            </w:r>
            <w:r/>
          </w:p>
          <w:p>
            <w:pPr>
              <w:spacing w:line="400" w:lineRule="exact"/>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注</w:t>
            </w:r>
            <w:r>
              <w:rPr>
                <w:rFonts w:hint="eastAsia" w:ascii="仿宋" w:hAnsi="仿宋" w:eastAsia="仿宋" w:cs="仿宋"/>
                <w:bCs/>
                <w:color w:val="auto"/>
                <w:sz w:val="28"/>
                <w:szCs w:val="28"/>
              </w:rPr>
              <w:t xml:space="preserve">：</w:t>
            </w:r>
            <w:r/>
          </w:p>
          <w:p>
            <w:pPr>
              <w:ind w:firstLine="551"/>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1.投标人应对以上文件的合法性、真实性负责。</w:t>
            </w:r>
            <w:r/>
          </w:p>
          <w:p>
            <w:pPr>
              <w:ind w:left="832" w:hanging="280"/>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(十三)2</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商务条件见：</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一、本文件第四章《评标标准》中《评分细则》。</w:t>
            </w:r>
            <w:r/>
          </w:p>
          <w:p>
            <w:pPr>
              <w:spacing w:line="40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二、本文件第三章《投标资料表》中(十二)1和(十二)2。</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(十三)3</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(十四)3</w:t>
            </w:r>
            <w:r/>
          </w:p>
        </w:tc>
        <w:tc>
          <w:tcPr>
            <w:tcW w:w="7995" w:type="dxa"/>
            <w:vAlign w:val="top"/>
            <w:textDirection w:val="lrTb"/>
            <w:noWrap w:val="false"/>
          </w:tcPr>
          <w:p>
            <w:pPr>
              <w:pStyle w:val="1008"/>
              <w:ind w:firstLine="560"/>
              <w:pageBreakBefore w:val="0"/>
              <w:spacing w:line="24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本项目采购预算总金额</w:t>
            </w:r>
            <w:r>
              <w:rPr>
                <w:rFonts w:hint="eastAsia" w:ascii="仿宋" w:hAnsi="仿宋" w:eastAsia="仿宋" w:cs="仿宋"/>
                <w:b w:val="0"/>
                <w:bCs w:val="0"/>
                <w:color w:val="auto"/>
                <w:sz w:val="28"/>
                <w:szCs w:val="28"/>
                <w:lang w:val="en-US" w:eastAsia="zh-CN"/>
              </w:rPr>
              <w:t xml:space="preserve">136.8130</w:t>
            </w:r>
            <w:r>
              <w:rPr>
                <w:rFonts w:hint="eastAsia" w:ascii="仿宋" w:hAnsi="仿宋" w:eastAsia="仿宋" w:cs="仿宋"/>
                <w:b w:val="0"/>
                <w:bCs w:val="0"/>
                <w:color w:val="auto"/>
                <w:sz w:val="28"/>
                <w:szCs w:val="28"/>
              </w:rPr>
              <w:t xml:space="preserve">万元人民币；</w:t>
            </w:r>
            <w:r/>
          </w:p>
          <w:p>
            <w:pPr>
              <w:pStyle w:val="1008"/>
              <w:pageBreakBefore w:val="0"/>
              <w:spacing w:line="240" w:lineRule="auto"/>
              <w:widowControl w:val="off"/>
              <w:rPr>
                <w:rFonts w:hint="eastAsia" w:ascii="仿宋" w:hAnsi="仿宋" w:eastAsia="仿宋" w:cs="仿宋"/>
                <w:b w:val="0"/>
                <w:bCs/>
                <w:color w:val="auto"/>
                <w:spacing w:val="-21"/>
                <w:sz w:val="28"/>
                <w:szCs w:val="28"/>
                <w:lang w:val="en-US" w:eastAsia="zh-CN"/>
              </w:rPr>
            </w:pPr>
            <w:r>
              <w:rPr>
                <w:rFonts w:hint="eastAsia" w:ascii="仿宋" w:hAnsi="仿宋" w:eastAsia="仿宋" w:cs="仿宋"/>
                <w:b w:val="0"/>
                <w:bCs/>
                <w:color w:val="auto"/>
                <w:sz w:val="28"/>
                <w:szCs w:val="28"/>
                <w:lang w:eastAsia="zh-CN"/>
              </w:rPr>
              <w:t xml:space="preserve">采购包</w:t>
            </w:r>
            <w:r>
              <w:rPr>
                <w:rFonts w:hint="eastAsia" w:ascii="仿宋" w:hAnsi="仿宋" w:eastAsia="仿宋" w:cs="仿宋"/>
                <w:b w:val="0"/>
                <w:bCs/>
                <w:color w:val="auto"/>
                <w:spacing w:val="-14"/>
                <w:sz w:val="28"/>
                <w:szCs w:val="28"/>
              </w:rPr>
              <w:t xml:space="preserve">一不接受超过</w:t>
            </w:r>
            <w:r>
              <w:rPr>
                <w:rFonts w:hint="eastAsia" w:ascii="仿宋" w:hAnsi="仿宋" w:eastAsia="仿宋" w:cs="仿宋"/>
                <w:b w:val="0"/>
                <w:bCs/>
                <w:color w:val="auto"/>
                <w:spacing w:val="-14"/>
                <w:sz w:val="28"/>
                <w:szCs w:val="28"/>
                <w:lang w:val="en-US" w:eastAsia="zh-CN"/>
              </w:rPr>
              <w:t xml:space="preserve">296000</w:t>
            </w:r>
            <w:r>
              <w:rPr>
                <w:rFonts w:hint="eastAsia" w:ascii="仿宋" w:hAnsi="仿宋" w:eastAsia="仿宋" w:cs="仿宋"/>
                <w:b w:val="0"/>
                <w:bCs/>
                <w:color w:val="auto"/>
                <w:spacing w:val="-21"/>
                <w:sz w:val="28"/>
                <w:szCs w:val="28"/>
              </w:rPr>
              <w:t xml:space="preserve">元人民币</w:t>
            </w:r>
            <w:r>
              <w:rPr>
                <w:rFonts w:hint="eastAsia" w:ascii="仿宋" w:hAnsi="仿宋" w:eastAsia="仿宋" w:cs="仿宋"/>
                <w:b w:val="0"/>
                <w:bCs/>
                <w:color w:val="auto"/>
                <w:spacing w:val="-12"/>
                <w:sz w:val="28"/>
                <w:szCs w:val="28"/>
              </w:rPr>
              <w:t xml:space="preserve">的</w:t>
            </w:r>
            <w:r>
              <w:rPr>
                <w:rFonts w:hint="eastAsia" w:ascii="仿宋" w:hAnsi="仿宋" w:eastAsia="仿宋" w:cs="仿宋"/>
                <w:b w:val="0"/>
                <w:bCs/>
                <w:color w:val="auto"/>
                <w:spacing w:val="-12"/>
                <w:sz w:val="28"/>
                <w:szCs w:val="28"/>
                <w:lang w:eastAsia="zh-CN"/>
              </w:rPr>
              <w:t xml:space="preserve">投标</w:t>
            </w:r>
            <w:r>
              <w:rPr>
                <w:rFonts w:hint="eastAsia" w:ascii="仿宋" w:hAnsi="仿宋" w:eastAsia="仿宋" w:cs="仿宋"/>
                <w:b w:val="0"/>
                <w:bCs/>
                <w:color w:val="auto"/>
                <w:spacing w:val="-12"/>
                <w:sz w:val="28"/>
                <w:szCs w:val="28"/>
              </w:rPr>
              <w:t xml:space="preserve">报价。</w:t>
            </w:r>
            <w:r/>
          </w:p>
          <w:p>
            <w:pPr>
              <w:pStyle w:val="1008"/>
              <w:pageBreakBefore w:val="0"/>
              <w:spacing w:line="240" w:lineRule="auto"/>
              <w:widowControl w:val="off"/>
              <w:rPr>
                <w:rFonts w:hint="eastAsia" w:ascii="仿宋" w:hAnsi="仿宋" w:eastAsia="仿宋" w:cs="仿宋"/>
                <w:b w:val="0"/>
                <w:bCs/>
                <w:color w:val="auto"/>
                <w:spacing w:val="-14"/>
                <w:sz w:val="28"/>
                <w:szCs w:val="28"/>
                <w:lang w:eastAsia="zh-CN"/>
              </w:rPr>
            </w:pPr>
            <w:r>
              <w:rPr>
                <w:rFonts w:hint="eastAsia" w:ascii="仿宋" w:hAnsi="仿宋" w:eastAsia="仿宋" w:cs="仿宋"/>
                <w:b w:val="0"/>
                <w:bCs/>
                <w:color w:val="auto"/>
                <w:sz w:val="28"/>
                <w:szCs w:val="28"/>
                <w:lang w:eastAsia="zh-CN"/>
              </w:rPr>
              <w:t xml:space="preserve">采购包</w:t>
            </w:r>
            <w:r>
              <w:rPr>
                <w:rFonts w:hint="eastAsia" w:ascii="仿宋" w:hAnsi="仿宋" w:eastAsia="仿宋" w:cs="仿宋"/>
                <w:b w:val="0"/>
                <w:bCs/>
                <w:color w:val="auto"/>
                <w:spacing w:val="-14"/>
                <w:sz w:val="28"/>
                <w:szCs w:val="28"/>
              </w:rPr>
              <w:t xml:space="preserve">二不接受超过</w:t>
            </w:r>
            <w:r>
              <w:rPr>
                <w:rFonts w:hint="eastAsia" w:ascii="仿宋" w:hAnsi="仿宋" w:eastAsia="仿宋" w:cs="仿宋"/>
                <w:b w:val="0"/>
                <w:bCs/>
                <w:color w:val="auto"/>
                <w:spacing w:val="-14"/>
                <w:sz w:val="28"/>
                <w:szCs w:val="28"/>
                <w:lang w:val="en-US" w:eastAsia="zh-CN"/>
              </w:rPr>
              <w:t xml:space="preserve">287000</w:t>
            </w:r>
            <w:r>
              <w:rPr>
                <w:rFonts w:hint="eastAsia" w:ascii="仿宋" w:hAnsi="仿宋" w:eastAsia="仿宋" w:cs="仿宋"/>
                <w:b w:val="0"/>
                <w:bCs/>
                <w:color w:val="auto"/>
                <w:spacing w:val="-14"/>
                <w:sz w:val="28"/>
                <w:szCs w:val="28"/>
              </w:rPr>
              <w:t xml:space="preserve">元人民币</w:t>
            </w:r>
            <w:r>
              <w:rPr>
                <w:rFonts w:hint="eastAsia" w:ascii="仿宋" w:hAnsi="仿宋" w:eastAsia="仿宋" w:cs="仿宋"/>
                <w:b w:val="0"/>
                <w:bCs/>
                <w:color w:val="auto"/>
                <w:spacing w:val="-12"/>
                <w:sz w:val="28"/>
                <w:szCs w:val="28"/>
              </w:rPr>
              <w:t xml:space="preserve">的</w:t>
            </w:r>
            <w:r>
              <w:rPr>
                <w:rFonts w:hint="eastAsia" w:ascii="仿宋" w:hAnsi="仿宋" w:eastAsia="仿宋" w:cs="仿宋"/>
                <w:b w:val="0"/>
                <w:bCs/>
                <w:color w:val="auto"/>
                <w:spacing w:val="-12"/>
                <w:sz w:val="28"/>
                <w:szCs w:val="28"/>
                <w:lang w:eastAsia="zh-CN"/>
              </w:rPr>
              <w:t xml:space="preserve">投标</w:t>
            </w:r>
            <w:r>
              <w:rPr>
                <w:rFonts w:hint="eastAsia" w:ascii="仿宋" w:hAnsi="仿宋" w:eastAsia="仿宋" w:cs="仿宋"/>
                <w:b w:val="0"/>
                <w:bCs/>
                <w:color w:val="auto"/>
                <w:spacing w:val="-12"/>
                <w:sz w:val="28"/>
                <w:szCs w:val="28"/>
              </w:rPr>
              <w:t xml:space="preserve">报价。</w:t>
            </w:r>
            <w:r/>
          </w:p>
          <w:p>
            <w:pPr>
              <w:pStyle w:val="1008"/>
              <w:pageBreakBefore w:val="0"/>
              <w:spacing w:line="240" w:lineRule="auto"/>
              <w:widowControl w:val="off"/>
              <w:rPr>
                <w:rFonts w:hint="eastAsia" w:ascii="仿宋" w:hAnsi="仿宋" w:eastAsia="仿宋" w:cs="仿宋"/>
                <w:b w:val="0"/>
                <w:bCs/>
                <w:color w:val="auto"/>
                <w:spacing w:val="-14"/>
                <w:sz w:val="28"/>
                <w:szCs w:val="28"/>
                <w:lang w:eastAsia="zh-CN"/>
              </w:rPr>
            </w:pPr>
            <w:r>
              <w:rPr>
                <w:rFonts w:hint="eastAsia" w:ascii="仿宋" w:hAnsi="仿宋" w:eastAsia="仿宋" w:cs="仿宋"/>
                <w:b w:val="0"/>
                <w:bCs/>
                <w:color w:val="auto"/>
                <w:sz w:val="28"/>
                <w:szCs w:val="28"/>
                <w:lang w:eastAsia="zh-CN"/>
              </w:rPr>
              <w:t xml:space="preserve">采购包</w:t>
            </w:r>
            <w:r>
              <w:rPr>
                <w:rFonts w:hint="eastAsia" w:ascii="仿宋" w:hAnsi="仿宋" w:eastAsia="仿宋" w:cs="仿宋"/>
                <w:b w:val="0"/>
                <w:bCs/>
                <w:color w:val="auto"/>
                <w:spacing w:val="-14"/>
                <w:sz w:val="28"/>
                <w:szCs w:val="28"/>
                <w:lang w:val="en-US" w:eastAsia="zh-CN"/>
              </w:rPr>
              <w:t xml:space="preserve">三</w:t>
            </w:r>
            <w:r>
              <w:rPr>
                <w:rFonts w:hint="eastAsia" w:ascii="仿宋" w:hAnsi="仿宋" w:eastAsia="仿宋" w:cs="仿宋"/>
                <w:b w:val="0"/>
                <w:bCs/>
                <w:color w:val="auto"/>
                <w:spacing w:val="-14"/>
                <w:sz w:val="28"/>
                <w:szCs w:val="28"/>
              </w:rPr>
              <w:t xml:space="preserve">不接受超过</w:t>
            </w:r>
            <w:r>
              <w:rPr>
                <w:rFonts w:hint="eastAsia" w:ascii="仿宋" w:hAnsi="仿宋" w:eastAsia="仿宋" w:cs="仿宋"/>
                <w:b w:val="0"/>
                <w:bCs/>
                <w:color w:val="auto"/>
                <w:spacing w:val="-14"/>
                <w:sz w:val="28"/>
                <w:szCs w:val="28"/>
                <w:lang w:val="en-US" w:eastAsia="zh-CN"/>
              </w:rPr>
              <w:t xml:space="preserve">272000</w:t>
            </w:r>
            <w:r>
              <w:rPr>
                <w:rFonts w:hint="eastAsia" w:ascii="仿宋" w:hAnsi="仿宋" w:eastAsia="仿宋" w:cs="仿宋"/>
                <w:b w:val="0"/>
                <w:bCs/>
                <w:color w:val="auto"/>
                <w:spacing w:val="-14"/>
                <w:sz w:val="28"/>
                <w:szCs w:val="28"/>
              </w:rPr>
              <w:t xml:space="preserve">元人民币</w:t>
            </w:r>
            <w:r>
              <w:rPr>
                <w:rFonts w:hint="eastAsia" w:ascii="仿宋" w:hAnsi="仿宋" w:eastAsia="仿宋" w:cs="仿宋"/>
                <w:b w:val="0"/>
                <w:bCs/>
                <w:color w:val="auto"/>
                <w:spacing w:val="-12"/>
                <w:sz w:val="28"/>
                <w:szCs w:val="28"/>
              </w:rPr>
              <w:t xml:space="preserve">的</w:t>
            </w:r>
            <w:r>
              <w:rPr>
                <w:rFonts w:hint="eastAsia" w:ascii="仿宋" w:hAnsi="仿宋" w:eastAsia="仿宋" w:cs="仿宋"/>
                <w:b w:val="0"/>
                <w:bCs/>
                <w:color w:val="auto"/>
                <w:spacing w:val="-12"/>
                <w:sz w:val="28"/>
                <w:szCs w:val="28"/>
                <w:lang w:eastAsia="zh-CN"/>
              </w:rPr>
              <w:t xml:space="preserve">投标</w:t>
            </w:r>
            <w:r>
              <w:rPr>
                <w:rFonts w:hint="eastAsia" w:ascii="仿宋" w:hAnsi="仿宋" w:eastAsia="仿宋" w:cs="仿宋"/>
                <w:b w:val="0"/>
                <w:bCs/>
                <w:color w:val="auto"/>
                <w:spacing w:val="-12"/>
                <w:sz w:val="28"/>
                <w:szCs w:val="28"/>
              </w:rPr>
              <w:t xml:space="preserve">报价。</w:t>
            </w:r>
            <w:r/>
          </w:p>
          <w:p>
            <w:pPr>
              <w:pStyle w:val="1008"/>
              <w:pageBreakBefore w:val="0"/>
              <w:spacing w:line="240" w:lineRule="auto"/>
              <w:widowControl w:val="off"/>
              <w:rPr>
                <w:rFonts w:hint="eastAsia" w:ascii="仿宋" w:hAnsi="仿宋" w:eastAsia="仿宋" w:cs="仿宋"/>
                <w:b w:val="0"/>
                <w:bCs/>
                <w:color w:val="auto"/>
                <w:spacing w:val="-14"/>
                <w:sz w:val="28"/>
                <w:szCs w:val="28"/>
                <w:lang w:eastAsia="zh-CN"/>
              </w:rPr>
            </w:pPr>
            <w:r>
              <w:rPr>
                <w:rFonts w:hint="eastAsia" w:ascii="仿宋" w:hAnsi="仿宋" w:eastAsia="仿宋" w:cs="仿宋"/>
                <w:b w:val="0"/>
                <w:bCs/>
                <w:color w:val="auto"/>
                <w:sz w:val="28"/>
                <w:szCs w:val="28"/>
                <w:lang w:eastAsia="zh-CN"/>
              </w:rPr>
              <w:t xml:space="preserve">采购包</w:t>
            </w:r>
            <w:r>
              <w:rPr>
                <w:rFonts w:hint="eastAsia" w:ascii="仿宋" w:hAnsi="仿宋" w:eastAsia="仿宋" w:cs="仿宋"/>
                <w:b w:val="0"/>
                <w:bCs/>
                <w:color w:val="auto"/>
                <w:spacing w:val="-14"/>
                <w:sz w:val="28"/>
                <w:szCs w:val="28"/>
                <w:lang w:val="en-US" w:eastAsia="zh-CN"/>
              </w:rPr>
              <w:t xml:space="preserve">四</w:t>
            </w:r>
            <w:r>
              <w:rPr>
                <w:rFonts w:hint="eastAsia" w:ascii="仿宋" w:hAnsi="仿宋" w:eastAsia="仿宋" w:cs="仿宋"/>
                <w:b w:val="0"/>
                <w:bCs/>
                <w:color w:val="auto"/>
                <w:spacing w:val="-14"/>
                <w:sz w:val="28"/>
                <w:szCs w:val="28"/>
              </w:rPr>
              <w:t xml:space="preserve">不接受超过</w:t>
            </w:r>
            <w:r>
              <w:rPr>
                <w:rFonts w:hint="eastAsia" w:ascii="仿宋" w:hAnsi="仿宋" w:eastAsia="仿宋" w:cs="仿宋"/>
                <w:b w:val="0"/>
                <w:bCs/>
                <w:color w:val="auto"/>
                <w:spacing w:val="-14"/>
                <w:sz w:val="28"/>
                <w:szCs w:val="28"/>
                <w:lang w:val="en-US" w:eastAsia="zh-CN"/>
              </w:rPr>
              <w:t xml:space="preserve">267000</w:t>
            </w:r>
            <w:r>
              <w:rPr>
                <w:rFonts w:hint="eastAsia" w:ascii="仿宋" w:hAnsi="仿宋" w:eastAsia="仿宋" w:cs="仿宋"/>
                <w:b w:val="0"/>
                <w:bCs/>
                <w:color w:val="auto"/>
                <w:spacing w:val="-14"/>
                <w:sz w:val="28"/>
                <w:szCs w:val="28"/>
              </w:rPr>
              <w:t xml:space="preserve">元人民币</w:t>
            </w:r>
            <w:r>
              <w:rPr>
                <w:rFonts w:hint="eastAsia" w:ascii="仿宋" w:hAnsi="仿宋" w:eastAsia="仿宋" w:cs="仿宋"/>
                <w:b w:val="0"/>
                <w:bCs/>
                <w:color w:val="auto"/>
                <w:spacing w:val="-12"/>
                <w:sz w:val="28"/>
                <w:szCs w:val="28"/>
              </w:rPr>
              <w:t xml:space="preserve">的</w:t>
            </w:r>
            <w:r>
              <w:rPr>
                <w:rFonts w:hint="eastAsia" w:ascii="仿宋" w:hAnsi="仿宋" w:eastAsia="仿宋" w:cs="仿宋"/>
                <w:b w:val="0"/>
                <w:bCs/>
                <w:color w:val="auto"/>
                <w:spacing w:val="-12"/>
                <w:sz w:val="28"/>
                <w:szCs w:val="28"/>
                <w:lang w:eastAsia="zh-CN"/>
              </w:rPr>
              <w:t xml:space="preserve">投标</w:t>
            </w:r>
            <w:r>
              <w:rPr>
                <w:rFonts w:hint="eastAsia" w:ascii="仿宋" w:hAnsi="仿宋" w:eastAsia="仿宋" w:cs="仿宋"/>
                <w:b w:val="0"/>
                <w:bCs/>
                <w:color w:val="auto"/>
                <w:spacing w:val="-12"/>
                <w:sz w:val="28"/>
                <w:szCs w:val="28"/>
              </w:rPr>
              <w:t xml:space="preserve">报价。</w:t>
            </w:r>
            <w:r/>
          </w:p>
          <w:p>
            <w:pPr>
              <w:pStyle w:val="827"/>
              <w:spacing w:line="240" w:lineRule="auto"/>
              <w:rPr>
                <w:rFonts w:hint="eastAsia" w:ascii="仿宋" w:hAnsi="仿宋" w:eastAsia="仿宋" w:cs="仿宋"/>
                <w:b w:val="0"/>
                <w:bCs/>
                <w:color w:val="auto"/>
                <w:spacing w:val="-12"/>
                <w:sz w:val="28"/>
                <w:szCs w:val="28"/>
              </w:rPr>
            </w:pPr>
            <w:r>
              <w:rPr>
                <w:rFonts w:hint="eastAsia" w:ascii="仿宋" w:hAnsi="仿宋" w:eastAsia="仿宋" w:cs="仿宋"/>
                <w:b w:val="0"/>
                <w:bCs/>
                <w:color w:val="auto"/>
                <w:sz w:val="28"/>
                <w:szCs w:val="28"/>
                <w:lang w:eastAsia="zh-CN"/>
              </w:rPr>
              <w:t xml:space="preserve">采购包</w:t>
            </w:r>
            <w:r>
              <w:rPr>
                <w:rFonts w:hint="eastAsia" w:ascii="仿宋" w:hAnsi="仿宋" w:eastAsia="仿宋" w:cs="仿宋"/>
                <w:b w:val="0"/>
                <w:bCs/>
                <w:color w:val="auto"/>
                <w:spacing w:val="-14"/>
                <w:sz w:val="28"/>
                <w:szCs w:val="28"/>
                <w:lang w:val="en-US" w:eastAsia="zh-CN"/>
              </w:rPr>
              <w:t xml:space="preserve">五</w:t>
            </w:r>
            <w:r>
              <w:rPr>
                <w:rFonts w:hint="eastAsia" w:ascii="仿宋" w:hAnsi="仿宋" w:eastAsia="仿宋" w:cs="仿宋"/>
                <w:b w:val="0"/>
                <w:bCs/>
                <w:color w:val="auto"/>
                <w:spacing w:val="-14"/>
                <w:sz w:val="28"/>
                <w:szCs w:val="28"/>
              </w:rPr>
              <w:t xml:space="preserve">不接受超过</w:t>
            </w:r>
            <w:r>
              <w:rPr>
                <w:rFonts w:hint="eastAsia" w:ascii="仿宋" w:hAnsi="仿宋" w:eastAsia="仿宋" w:cs="仿宋"/>
                <w:b w:val="0"/>
                <w:bCs/>
                <w:color w:val="auto"/>
                <w:spacing w:val="-14"/>
                <w:sz w:val="28"/>
                <w:szCs w:val="28"/>
                <w:lang w:val="en-US" w:eastAsia="zh-CN"/>
              </w:rPr>
              <w:t xml:space="preserve">246130</w:t>
            </w:r>
            <w:r>
              <w:rPr>
                <w:rFonts w:hint="eastAsia" w:ascii="仿宋" w:hAnsi="仿宋" w:eastAsia="仿宋" w:cs="仿宋"/>
                <w:b w:val="0"/>
                <w:bCs/>
                <w:color w:val="auto"/>
                <w:spacing w:val="-14"/>
                <w:sz w:val="28"/>
                <w:szCs w:val="28"/>
              </w:rPr>
              <w:t xml:space="preserve">元人民币</w:t>
            </w:r>
            <w:r>
              <w:rPr>
                <w:rFonts w:hint="eastAsia" w:ascii="仿宋" w:hAnsi="仿宋" w:eastAsia="仿宋" w:cs="仿宋"/>
                <w:b w:val="0"/>
                <w:bCs/>
                <w:color w:val="auto"/>
                <w:spacing w:val="-12"/>
                <w:sz w:val="28"/>
                <w:szCs w:val="28"/>
              </w:rPr>
              <w:t xml:space="preserve">的</w:t>
            </w:r>
            <w:r>
              <w:rPr>
                <w:rFonts w:hint="eastAsia" w:ascii="仿宋" w:hAnsi="仿宋" w:eastAsia="仿宋" w:cs="仿宋"/>
                <w:b w:val="0"/>
                <w:bCs/>
                <w:color w:val="auto"/>
                <w:spacing w:val="-12"/>
                <w:sz w:val="28"/>
                <w:szCs w:val="28"/>
                <w:lang w:eastAsia="zh-CN"/>
              </w:rPr>
              <w:t xml:space="preserve">投标</w:t>
            </w:r>
            <w:r>
              <w:rPr>
                <w:rFonts w:hint="eastAsia" w:ascii="仿宋" w:hAnsi="仿宋" w:eastAsia="仿宋" w:cs="仿宋"/>
                <w:b w:val="0"/>
                <w:bCs/>
                <w:color w:val="auto"/>
                <w:spacing w:val="-12"/>
                <w:sz w:val="28"/>
                <w:szCs w:val="28"/>
              </w:rPr>
              <w:t xml:space="preserve">报价。</w:t>
            </w:r>
            <w:r/>
          </w:p>
          <w:p>
            <w:pPr>
              <w:pStyle w:val="827"/>
              <w:spacing w:line="400" w:lineRule="exact"/>
              <w:rPr>
                <w:rFonts w:hint="eastAsia" w:ascii="仿宋" w:hAnsi="仿宋" w:eastAsia="仿宋" w:cs="仿宋"/>
                <w:color w:val="auto"/>
                <w:sz w:val="28"/>
                <w:szCs w:val="28"/>
              </w:rPr>
            </w:pPr>
            <w:r>
              <w:rPr>
                <w:rFonts w:hint="eastAsia" w:ascii="仿宋" w:hAnsi="仿宋" w:eastAsia="仿宋" w:cs="仿宋"/>
                <w:b w:val="0"/>
                <w:bCs/>
                <w:color w:val="auto"/>
                <w:spacing w:val="-8"/>
                <w:sz w:val="28"/>
                <w:szCs w:val="28"/>
              </w:rPr>
              <w:t xml:space="preserve">（</w:t>
            </w:r>
            <w:r>
              <w:rPr>
                <w:rFonts w:hint="eastAsia" w:ascii="仿宋" w:hAnsi="仿宋" w:eastAsia="仿宋" w:cs="仿宋"/>
                <w:b w:val="0"/>
                <w:bCs/>
                <w:color w:val="auto"/>
                <w:spacing w:val="-10"/>
                <w:sz w:val="28"/>
                <w:szCs w:val="28"/>
              </w:rPr>
              <w:t xml:space="preserve">报价包含项目完成所需全部</w:t>
            </w:r>
            <w:r>
              <w:rPr>
                <w:rFonts w:hint="eastAsia" w:ascii="仿宋" w:hAnsi="仿宋" w:eastAsia="仿宋" w:cs="仿宋"/>
                <w:b w:val="0"/>
                <w:bCs/>
                <w:color w:val="auto"/>
                <w:spacing w:val="-27"/>
                <w:sz w:val="28"/>
                <w:szCs w:val="28"/>
              </w:rPr>
              <w:t xml:space="preserve">费用</w:t>
            </w:r>
            <w:r>
              <w:rPr>
                <w:rFonts w:hint="eastAsia" w:ascii="仿宋" w:hAnsi="仿宋" w:eastAsia="仿宋" w:cs="仿宋"/>
                <w:b w:val="0"/>
                <w:bCs/>
                <w:color w:val="auto"/>
                <w:spacing w:val="-10"/>
                <w:sz w:val="28"/>
                <w:szCs w:val="28"/>
              </w:rPr>
              <w:t xml:space="preserve">（含支付现场抽样样品费</w:t>
            </w:r>
            <w:r>
              <w:rPr>
                <w:rFonts w:hint="eastAsia" w:ascii="仿宋" w:hAnsi="仿宋" w:eastAsia="仿宋" w:cs="仿宋"/>
                <w:b w:val="0"/>
                <w:bCs/>
                <w:color w:val="auto"/>
                <w:spacing w:val="-45"/>
                <w:sz w:val="28"/>
                <w:szCs w:val="28"/>
              </w:rPr>
              <w:t xml:space="preserve">）</w:t>
            </w:r>
            <w:r>
              <w:rPr>
                <w:rFonts w:hint="eastAsia" w:ascii="仿宋" w:hAnsi="仿宋" w:eastAsia="仿宋" w:cs="仿宋"/>
                <w:b w:val="0"/>
                <w:bCs/>
                <w:color w:val="auto"/>
                <w:spacing w:val="-17"/>
                <w:sz w:val="28"/>
                <w:szCs w:val="28"/>
              </w:rPr>
              <w:t xml:space="preserve">，采购人不再支付报价以外的任何费用。</w:t>
            </w:r>
            <w:r>
              <w:rPr>
                <w:rFonts w:hint="eastAsia" w:ascii="仿宋" w:hAnsi="仿宋" w:eastAsia="仿宋" w:cs="仿宋"/>
                <w:b w:val="0"/>
                <w:bCs/>
                <w:color w:val="auto"/>
                <w:sz w:val="28"/>
                <w:szCs w:val="28"/>
              </w:rPr>
              <w:t xml:space="preserve">）</w:t>
            </w:r>
            <w:r>
              <w:rPr>
                <w:rFonts w:hint="eastAsia" w:ascii="仿宋" w:hAnsi="仿宋" w:eastAsia="仿宋" w:cs="仿宋"/>
                <w:b w:val="0"/>
                <w:bCs/>
                <w:color w:val="auto"/>
                <w:spacing w:val="-11"/>
                <w:sz w:val="28"/>
                <w:szCs w:val="28"/>
                <w:lang w:val="en-US" w:eastAsia="zh-CN" w:bidi="zh-CN"/>
              </w:rPr>
              <w:t xml:space="preserve">投标人可以选择参与一个或全部采购包的投标报价，但只能中标一个采购包。</w:t>
            </w:r>
            <w:r>
              <w:rPr>
                <w:rFonts w:hint="eastAsia" w:ascii="仿宋" w:hAnsi="仿宋" w:eastAsia="仿宋" w:cs="仿宋"/>
                <w:b w:val="0"/>
                <w:bCs/>
                <w:color w:val="auto"/>
                <w:sz w:val="28"/>
                <w:szCs w:val="28"/>
                <w:highlight w:val="none"/>
                <w:lang w:eastAsia="zh-CN"/>
              </w:rPr>
              <w:t xml:space="preserve">本项目</w:t>
            </w:r>
            <w:r>
              <w:rPr>
                <w:rFonts w:hint="eastAsia" w:ascii="仿宋" w:hAnsi="仿宋" w:eastAsia="仿宋" w:cs="仿宋"/>
                <w:b w:val="0"/>
                <w:bCs/>
                <w:color w:val="auto"/>
                <w:spacing w:val="-11"/>
                <w:sz w:val="28"/>
                <w:szCs w:val="28"/>
                <w:lang w:val="en-US" w:eastAsia="zh-CN" w:bidi="zh-CN"/>
              </w:rPr>
              <w:t xml:space="preserve">按采购包1至采购包5的顺序</w:t>
            </w:r>
            <w:r>
              <w:rPr>
                <w:rFonts w:hint="eastAsia" w:ascii="仿宋" w:hAnsi="仿宋" w:eastAsia="仿宋" w:cs="仿宋"/>
                <w:b w:val="0"/>
                <w:bCs/>
                <w:color w:val="auto"/>
                <w:sz w:val="28"/>
                <w:szCs w:val="28"/>
                <w:highlight w:val="none"/>
                <w:lang w:eastAsia="zh-CN"/>
              </w:rPr>
              <w:t xml:space="preserve">依次进行评标和定标</w:t>
            </w:r>
            <w:r>
              <w:rPr>
                <w:rFonts w:hint="eastAsia" w:ascii="仿宋" w:hAnsi="仿宋" w:eastAsia="仿宋" w:cs="仿宋"/>
                <w:b w:val="0"/>
                <w:bCs/>
                <w:color w:val="auto"/>
                <w:spacing w:val="-11"/>
                <w:sz w:val="28"/>
                <w:szCs w:val="28"/>
                <w:lang w:val="en-US" w:eastAsia="zh-CN" w:bidi="zh-CN"/>
              </w:rPr>
              <w:t xml:space="preserve">。</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(十六)</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以人民币报价。</w:t>
            </w:r>
            <w:r/>
          </w:p>
        </w:tc>
      </w:tr>
      <w:tr>
        <w:trPr/>
        <w:tc>
          <w:tcPr>
            <w:tcW w:w="1515" w:type="dxa"/>
            <w:vAlign w:val="top"/>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（十七）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投标人应当通过“苏采云”系统提交数据电文形式的投标文件（即电子投标）。</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说明：本项目采用线上投标，即供应商投标文件从政府采购客户端工具制作通过“苏采云”系统提交，未提供线上投标文件的，投标无效。</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(十八)</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线上投标文件的密封、签署、盖章要求：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一、投标文件的密封（加密）要求：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二、投标文件的签署要求：见招标文件第七章《投标文件相关格式》。</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说明：投标人应在用CA数字证书以及自备的能够登录“苏采云”系统的笔记本电脑，在达到开标时间后，使用CA数字证书解密各自投标文件。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投标人未按规定加密的投标文件，“苏采云”系统应当拒收并提示。</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(十九)</w:t>
            </w:r>
            <w:r/>
          </w:p>
        </w:tc>
        <w:tc>
          <w:tcPr>
            <w:tcW w:w="7995" w:type="dxa"/>
            <w:vAlign w:val="top"/>
            <w:textDirection w:val="lrTb"/>
            <w:noWrap w:val="false"/>
          </w:tcPr>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投标文件的提交： </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1.投标文件提交时间：202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0前。</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2.投标截止时间：202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w:t>
            </w:r>
            <w:r/>
          </w:p>
          <w:p>
            <w:pPr>
              <w:spacing w:line="40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 xml:space="preserve">3.投标文件提交地点：投标人应当通过“苏采云”系统提交数据电文形式的投标文件（即电子投标），“苏采云”系统自动接收。</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（二十）</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投标人应在达到开标时间后，使用CA数字证书解密各自投标文件。</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(二十五)1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开标时间及地点：</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0（标准时间）</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(二十五)3</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所有投标人解密（或解密时间）结束后，“苏采云”系统生成开标记录并向社会公众公布，但依法应当保密的除外。</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(二十八)1（4）</w:t>
            </w:r>
            <w:r/>
          </w:p>
        </w:tc>
        <w:tc>
          <w:tcPr>
            <w:tcW w:w="7995" w:type="dxa"/>
            <w:vAlign w:val="top"/>
            <w:textDirection w:val="lrTb"/>
            <w:noWrap w:val="false"/>
          </w:tcPr>
          <w:p>
            <w:pPr>
              <w:pStyle w:val="827"/>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pStyle w:val="827"/>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二、采用综合评分法的，按评审后得分由高到低顺序排列。得分相同的，按投标报价由低到高顺序排列。得分且投标报价相同的，按实施方案得分顺序排列。</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（二十九）</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政府采购合同</w:t>
            </w:r>
            <w:r/>
          </w:p>
        </w:tc>
      </w:tr>
      <w:tr>
        <w:trPr>
          <w:trHeight w:val="938"/>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(三十七)1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采购人与中标、成交供应商应当在中标、成交通知书发出之日起30日内，按照采购文件确定的事项签订政府采购合同。</w:t>
            </w:r>
            <w:r/>
          </w:p>
        </w:tc>
      </w:tr>
      <w:tr>
        <w:trPr/>
        <w:tc>
          <w:tcPr>
            <w:tcW w:w="151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十</w:t>
            </w:r>
            <w:r>
              <w:rPr>
                <w:rFonts w:hint="eastAsia" w:ascii="仿宋" w:hAnsi="仿宋" w:eastAsia="仿宋" w:cs="仿宋"/>
                <w:color w:val="auto"/>
                <w:sz w:val="28"/>
                <w:szCs w:val="28"/>
              </w:rPr>
              <w:t xml:space="preserve">八）</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履约保证金：无。</w:t>
            </w:r>
            <w:r/>
          </w:p>
        </w:tc>
      </w:tr>
      <w:tr>
        <w:trPr>
          <w:trHeight w:val="9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(四十一)</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二、供应商在法定质疑期内一次性提出针对同一采购程序环节的质疑。</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val="en-US" w:eastAsia="zh-CN"/>
              </w:rPr>
              <w:t xml:space="preserve">杨伯永</w:t>
            </w:r>
            <w:r>
              <w:rPr>
                <w:rFonts w:hint="eastAsia" w:ascii="仿宋" w:hAnsi="仿宋" w:eastAsia="仿宋" w:cs="仿宋"/>
                <w:color w:val="auto"/>
                <w:sz w:val="28"/>
                <w:szCs w:val="28"/>
              </w:rPr>
              <w:t xml:space="preserve">;联系电话：0516-</w:t>
            </w:r>
            <w:r>
              <w:rPr>
                <w:rFonts w:hint="eastAsia" w:ascii="仿宋" w:hAnsi="仿宋" w:eastAsia="仿宋" w:cs="仿宋"/>
                <w:color w:val="auto"/>
                <w:sz w:val="28"/>
                <w:szCs w:val="28"/>
                <w:lang w:val="en-US" w:eastAsia="zh-CN"/>
              </w:rPr>
              <w:t xml:space="preserve">61211599</w:t>
            </w:r>
            <w:r>
              <w:rPr>
                <w:rFonts w:hint="eastAsia" w:ascii="仿宋" w:hAnsi="仿宋" w:eastAsia="仿宋" w:cs="仿宋"/>
                <w:color w:val="auto"/>
                <w:sz w:val="28"/>
                <w:szCs w:val="28"/>
              </w:rPr>
              <w:t xml:space="preserve">;</w:t>
            </w:r>
            <w:r/>
          </w:p>
          <w:p>
            <w:pPr>
              <w:spacing w:line="4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办公地址：</w:t>
            </w:r>
            <w:r>
              <w:rPr>
                <w:rFonts w:hint="eastAsia" w:ascii="仿宋" w:hAnsi="仿宋" w:eastAsia="仿宋" w:cs="仿宋"/>
                <w:color w:val="auto"/>
                <w:sz w:val="28"/>
                <w:szCs w:val="28"/>
                <w:lang w:val="en-US" w:eastAsia="zh-CN"/>
              </w:rPr>
              <w:t xml:space="preserve">徐州市铜山区天赋广场10号公寓楼1210室。</w:t>
            </w:r>
            <w:r/>
          </w:p>
        </w:tc>
      </w:tr>
    </w:tbl>
    <w:p>
      <w:pPr>
        <w:pStyle w:val="803"/>
        <w:rPr>
          <w:rFonts w:hint="eastAsia" w:ascii="仿宋" w:hAnsi="仿宋" w:eastAsia="仿宋" w:cs="仿宋"/>
          <w:color w:val="000000"/>
          <w:sz w:val="24"/>
        </w:rPr>
      </w:pPr>
      <w:r>
        <w:rPr>
          <w:rFonts w:hint="eastAsia" w:ascii="仿宋" w:hAnsi="仿宋" w:eastAsia="仿宋" w:cs="仿宋"/>
          <w:color w:val="000000"/>
          <w:sz w:val="24"/>
        </w:rPr>
      </w:r>
      <w:r/>
    </w:p>
    <w:p>
      <w:pPr>
        <w:pStyle w:val="803"/>
        <w:rPr>
          <w:rFonts w:hint="eastAsia" w:ascii="仿宋" w:hAnsi="仿宋" w:eastAsia="仿宋" w:cs="仿宋"/>
          <w:color w:val="000000"/>
          <w:sz w:val="24"/>
        </w:rPr>
      </w:pPr>
      <w:r>
        <w:rPr>
          <w:rFonts w:hint="eastAsia" w:ascii="仿宋" w:hAnsi="仿宋" w:eastAsia="仿宋" w:cs="仿宋"/>
          <w:color w:val="000000"/>
          <w:sz w:val="24"/>
        </w:rPr>
      </w:r>
      <w:r/>
    </w:p>
    <w:p>
      <w:pPr>
        <w:pStyle w:val="803"/>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color w:val="000000"/>
          <w:sz w:val="24"/>
        </w:rPr>
        <w:t xml:space="preserve">附件</w:t>
      </w:r>
      <w:r/>
    </w:p>
    <w:p>
      <w:pPr>
        <w:ind w:firstLine="1928"/>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81"/>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收费上</w:t>
            </w:r>
            <w:r>
              <w:rPr>
                <w:rFonts w:hint="eastAsia" w:ascii="华文仿宋" w:hAnsi="华文仿宋" w:eastAsia="华文仿宋" w:cs="华文仿宋"/>
                <w:color w:val="000000"/>
                <w:sz w:val="32"/>
                <w:szCs w:val="32"/>
                <w:lang w:val="en-US" w:eastAsia="zh-CN"/>
              </w:rPr>
              <w:t xml:space="preserve">下</w:t>
            </w:r>
            <w:r>
              <w:rPr>
                <w:rFonts w:hint="eastAsia" w:ascii="华文仿宋" w:hAnsi="华文仿宋" w:eastAsia="华文仿宋" w:cs="华文仿宋"/>
                <w:color w:val="000000"/>
                <w:sz w:val="32"/>
                <w:szCs w:val="32"/>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华文仿宋" w:hAnsi="华文仿宋" w:eastAsia="华文仿宋" w:cs="华文仿宋"/>
                <w:color w:val="000000"/>
                <w:sz w:val="32"/>
                <w:szCs w:val="32"/>
                <w:lang w:val="en-US" w:eastAsia="zh-CN"/>
              </w:rPr>
            </w:pPr>
            <w:r>
              <w:rPr>
                <w:rFonts w:hint="eastAsia" w:ascii="华文仿宋" w:hAnsi="华文仿宋" w:eastAsia="华文仿宋" w:cs="华文仿宋"/>
                <w:color w:val="000000"/>
                <w:sz w:val="32"/>
                <w:szCs w:val="32"/>
                <w:lang w:val="en-US" w:eastAsia="zh-CN"/>
              </w:rPr>
              <w:t xml:space="preserve">最低5千元</w:t>
            </w:r>
            <w:r/>
          </w:p>
          <w:p>
            <w:pPr>
              <w:keepLines w:val="0"/>
              <w:keepNext w:val="0"/>
              <w:pageBreakBefore w:val="0"/>
              <w:spacing w:line="600" w:lineRule="exact"/>
              <w:widowControl/>
              <w:rPr>
                <w:rFonts w:hint="eastAsia" w:ascii="华文仿宋" w:hAnsi="华文仿宋" w:eastAsia="华文仿宋" w:cs="华文仿宋"/>
                <w:color w:val="000000"/>
                <w:sz w:val="32"/>
                <w:szCs w:val="32"/>
                <w:lang w:val="en-US" w:eastAsia="zh-CN"/>
              </w:rPr>
            </w:pPr>
            <w:r>
              <w:rPr>
                <w:rFonts w:hint="eastAsia" w:ascii="华文仿宋" w:hAnsi="华文仿宋" w:eastAsia="华文仿宋" w:cs="华文仿宋"/>
                <w:color w:val="000000"/>
                <w:sz w:val="32"/>
                <w:szCs w:val="32"/>
                <w:lang w:val="en-US" w:eastAsia="zh-CN"/>
              </w:rPr>
              <w:t xml:space="preserve">最高15万元</w:t>
            </w:r>
            <w:r/>
          </w:p>
          <w:p>
            <w:pPr>
              <w:ind w:firstLine="320"/>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l000万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lang w:eastAsia="zh-CN"/>
              </w:rPr>
            </w:pPr>
            <w:r>
              <w:rPr>
                <w:rFonts w:hint="eastAsia" w:ascii="华文仿宋" w:hAnsi="华文仿宋" w:eastAsia="华文仿宋" w:cs="华文仿宋"/>
                <w:color w:val="000000"/>
                <w:sz w:val="32"/>
                <w:szCs w:val="32"/>
              </w:rPr>
              <w:t xml:space="preserve">50亿</w:t>
            </w:r>
            <w:r>
              <w:rPr>
                <w:rFonts w:hint="eastAsia" w:ascii="华文仿宋" w:hAnsi="华文仿宋" w:eastAsia="华文仿宋" w:cs="华文仿宋"/>
                <w:color w:val="333333"/>
                <w:sz w:val="32"/>
                <w:szCs w:val="32"/>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677"/>
        <w:spacing w:line="560" w:lineRule="exact"/>
        <w:widowControl/>
        <w:rPr>
          <w:rFonts w:hint="eastAsia" w:ascii="仿宋" w:hAnsi="仿宋" w:eastAsia="仿宋" w:cs="仿宋"/>
          <w:color w:val="ff0000"/>
          <w:sz w:val="28"/>
          <w:szCs w:val="28"/>
          <w:lang w:val="en-US" w:eastAsia="zh-CN"/>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p>
    <w:p>
      <w:pPr>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ind w:left="64"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p>
    <w:p>
      <w:pPr>
        <w:ind w:left="64"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p>
    <w:p>
      <w:pPr>
        <w:ind w:left="-1" w:firstLine="560"/>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p>
    <w:p>
      <w:pPr>
        <w:ind w:firstLine="630"/>
        <w:keepLines w:val="0"/>
        <w:keepNext w:val="0"/>
        <w:pageBreakBefore w:val="0"/>
        <w:spacing w:line="600" w:lineRule="exact"/>
        <w:rPr>
          <w:rFonts w:hint="eastAsia" w:ascii="仿宋" w:hAnsi="仿宋" w:eastAsia="仿宋" w:cs="仿宋"/>
          <w:color w:val="ff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p>
    <w:p>
      <w:pPr>
        <w:ind w:firstLine="63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.以上价格为协会指导价，</w:t>
      </w:r>
      <w:r>
        <w:rPr>
          <w:rFonts w:hint="eastAsia" w:ascii="仿宋" w:hAnsi="仿宋" w:eastAsia="仿宋" w:cs="仿宋"/>
          <w:color w:val="000000"/>
          <w:sz w:val="28"/>
          <w:szCs w:val="28"/>
          <w:lang w:val="en-US" w:eastAsia="zh-CN"/>
        </w:rPr>
        <w:t xml:space="preserve">具体价格</w:t>
      </w:r>
      <w:r>
        <w:rPr>
          <w:rFonts w:hint="eastAsia" w:ascii="仿宋" w:hAnsi="仿宋" w:eastAsia="仿宋" w:cs="仿宋"/>
          <w:color w:val="000000"/>
          <w:sz w:val="28"/>
          <w:szCs w:val="28"/>
        </w:rPr>
        <w:t xml:space="preserve">双方可协商</w:t>
      </w:r>
      <w:r>
        <w:rPr>
          <w:rFonts w:hint="eastAsia" w:ascii="仿宋" w:hAnsi="仿宋" w:eastAsia="仿宋" w:cs="仿宋"/>
          <w:color w:val="000000"/>
          <w:sz w:val="28"/>
          <w:szCs w:val="28"/>
          <w:lang w:val="en-US" w:eastAsia="zh-CN"/>
        </w:rPr>
        <w:t xml:space="preserve">确</w:t>
      </w:r>
      <w:r>
        <w:rPr>
          <w:rFonts w:hint="eastAsia" w:ascii="仿宋" w:hAnsi="仿宋" w:eastAsia="仿宋" w:cs="仿宋"/>
          <w:color w:val="000000"/>
          <w:sz w:val="28"/>
          <w:szCs w:val="28"/>
        </w:rPr>
        <w:t xml:space="preserve">定</w:t>
      </w:r>
      <w:r>
        <w:rPr>
          <w:rFonts w:hint="eastAsia" w:ascii="仿宋" w:hAnsi="仿宋" w:eastAsia="仿宋" w:cs="仿宋"/>
          <w:color w:val="000000"/>
          <w:sz w:val="28"/>
          <w:szCs w:val="28"/>
          <w:lang w:eastAsia="zh-CN"/>
        </w:rPr>
        <w:t xml:space="preserve">。</w:t>
      </w:r>
      <w:r/>
    </w:p>
    <w:p>
      <w:pPr>
        <w:ind w:firstLine="480"/>
        <w:spacing w:line="560" w:lineRule="exact"/>
        <w:rPr>
          <w:rFonts w:hint="eastAsia"/>
        </w:rPr>
      </w:pPr>
      <w:r>
        <w:rPr>
          <w:rFonts w:hint="eastAsia" w:ascii="仿宋" w:hAnsi="仿宋" w:eastAsia="仿宋" w:cs="仿宋"/>
          <w:sz w:val="28"/>
          <w:szCs w:val="28"/>
        </w:rPr>
        <w:t xml:space="preserve">9.账户信息：收款人：江苏友信招标代理有限公司 </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户银行：江苏农村商业银行北京路支行 </w:t>
      </w:r>
      <w:r/>
    </w:p>
    <w:p>
      <w:pPr>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p>
    <w:p>
      <w:pPr>
        <w:pStyle w:val="803"/>
        <w:jc w:val="center"/>
        <w:widowControl/>
        <w:rPr>
          <w:rFonts w:hint="eastAsia" w:ascii="仿宋" w:hAnsi="仿宋" w:eastAsia="仿宋" w:cs="仿宋"/>
          <w:color w:val="000000"/>
          <w:sz w:val="32"/>
          <w:szCs w:val="32"/>
        </w:rPr>
      </w:pPr>
      <w:r>
        <w:rPr>
          <w:rFonts w:hint="eastAsia" w:ascii="仿宋" w:hAnsi="仿宋" w:eastAsia="仿宋" w:cs="仿宋"/>
          <w:color w:val="000000"/>
          <w:sz w:val="30"/>
          <w:szCs w:val="30"/>
        </w:rPr>
        <w:br w:type="page" w:clear="all"/>
      </w:r>
      <w:r>
        <w:rPr>
          <w:rFonts w:hint="eastAsia" w:ascii="仿宋" w:hAnsi="仿宋" w:eastAsia="仿宋" w:cs="仿宋"/>
          <w:color w:val="000000"/>
          <w:sz w:val="32"/>
          <w:szCs w:val="32"/>
        </w:rPr>
        <w:t xml:space="preserve">第四章 评标标准</w:t>
      </w:r>
      <w:r/>
    </w:p>
    <w:p>
      <w:pPr>
        <w:jc w:val="center"/>
        <w:widowControl/>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rPr>
        <w:t xml:space="preserve">评分细则</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p>
    <w:tbl>
      <w:tblPr>
        <w:tblStyle w:val="781"/>
        <w:tblpPr w:horzAnchor="page" w:tblpX="1107" w:vertAnchor="text" w:tblpY="303" w:leftFromText="180" w:topFromText="0" w:rightFromText="180" w:bottomFromText="0"/>
        <w:tblW w:w="9890"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35"/>
        <w:gridCol w:w="1380"/>
        <w:gridCol w:w="7275"/>
      </w:tblGrid>
      <w:tr>
        <w:trPr>
          <w:trHeight w:val="454"/>
        </w:trPr>
        <w:tc>
          <w:tcPr>
            <w:gridSpan w:val="2"/>
            <w:tcW w:w="2615"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评分项目</w:t>
            </w:r>
            <w:r/>
          </w:p>
        </w:tc>
        <w:tc>
          <w:tcPr>
            <w:tcW w:w="7275" w:type="dxa"/>
            <w:vAlign w:val="center"/>
            <w:textDirection w:val="lrTb"/>
            <w:noWrap w:val="false"/>
          </w:tcPr>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评分细则</w:t>
            </w:r>
            <w:r/>
          </w:p>
        </w:tc>
      </w:tr>
      <w:tr>
        <w:trPr>
          <w:trHeight w:val="1434"/>
        </w:trPr>
        <w:tc>
          <w:tcPr>
            <w:gridSpan w:val="2"/>
            <w:tcW w:w="2615"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投标价格（</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p>
        </w:tc>
        <w:tc>
          <w:tcPr>
            <w:tcW w:w="7275" w:type="dxa"/>
            <w:vAlign w:val="center"/>
            <w:textDirection w:val="lrTb"/>
            <w:noWrap w:val="false"/>
          </w:tcPr>
          <w:p>
            <w:pPr>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采用低价优先法计算，即满足招标文件要求且投标人评审价格最低的投标报价为评标基准价，其价格得分为满分。</w:t>
            </w:r>
            <w:r/>
          </w:p>
          <w:p>
            <w:pPr>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各投标人价格得分=最低报价（投标人的最低评审价格）÷各投标人评审价格×</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。（按四舍五入取至小数点后两位）</w:t>
            </w:r>
            <w:r/>
          </w:p>
        </w:tc>
      </w:tr>
      <w:tr>
        <w:trPr>
          <w:trHeight w:val="709"/>
        </w:trPr>
        <w:tc>
          <w:tcPr>
            <w:tcW w:w="1235" w:type="dxa"/>
            <w:vAlign w:val="center"/>
            <w:vMerge w:val="restart"/>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商务</w:t>
            </w:r>
            <w:r>
              <w:rPr>
                <w:rFonts w:hint="eastAsia" w:ascii="仿宋" w:hAnsi="仿宋" w:eastAsia="仿宋" w:cs="仿宋"/>
                <w:color w:val="000000"/>
                <w:sz w:val="28"/>
                <w:szCs w:val="28"/>
                <w:highlight w:val="none"/>
              </w:rPr>
              <w:t xml:space="preserve">部分</w:t>
            </w:r>
            <w:r/>
          </w:p>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p>
        </w:tc>
        <w:tc>
          <w:tcPr>
            <w:tcW w:w="1380" w:type="dxa"/>
            <w:vAlign w:val="center"/>
            <w:textDirection w:val="lrTb"/>
            <w:noWrap w:val="false"/>
          </w:tcPr>
          <w:p>
            <w:pPr>
              <w:ind w:left="-106" w:hanging="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投标人业绩</w:t>
            </w:r>
            <w:r/>
          </w:p>
          <w:p>
            <w:pPr>
              <w:ind w:left="-106" w:hanging="1"/>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p>
        </w:tc>
        <w:tc>
          <w:tcPr>
            <w:tcW w:w="7275" w:type="dxa"/>
            <w:vAlign w:val="center"/>
            <w:textDirection w:val="lrTb"/>
            <w:noWrap w:val="false"/>
          </w:tcPr>
          <w:p>
            <w:pPr>
              <w:pStyle w:val="1066"/>
              <w:numPr>
                <w:ilvl w:val="0"/>
                <w:numId w:val="0"/>
              </w:numPr>
              <w:jc w:val="left"/>
              <w:rPr>
                <w:rFonts w:hint="eastAsia" w:ascii="仿宋" w:hAnsi="仿宋" w:eastAsia="仿宋" w:cs="仿宋"/>
                <w:b w:val="0"/>
                <w:bCs w:val="0"/>
                <w:color w:val="000000"/>
                <w:sz w:val="28"/>
                <w:szCs w:val="28"/>
                <w:highlight w:val="none"/>
              </w:rPr>
            </w:pPr>
            <w:r>
              <w:rPr>
                <w:rFonts w:hint="eastAsia" w:ascii="仿宋" w:hAnsi="仿宋" w:eastAsia="仿宋" w:cs="仿宋"/>
                <w:bCs/>
                <w:color w:val="000000"/>
                <w:sz w:val="28"/>
                <w:szCs w:val="28"/>
                <w:highlight w:val="none"/>
              </w:rPr>
              <w:t xml:space="preserve">投标文件中提供投标人为乙方，合同签订日期在</w:t>
            </w:r>
            <w:r>
              <w:rPr>
                <w:rFonts w:hint="eastAsia" w:ascii="仿宋" w:hAnsi="仿宋" w:eastAsia="仿宋" w:cs="仿宋"/>
                <w:bCs/>
                <w:color w:val="000000"/>
                <w:sz w:val="28"/>
                <w:szCs w:val="28"/>
                <w:highlight w:val="none"/>
                <w:lang w:val="en-US" w:eastAsia="zh-CN"/>
              </w:rPr>
              <w:t xml:space="preserve">2020</w:t>
            </w:r>
            <w:r>
              <w:rPr>
                <w:rFonts w:hint="eastAsia" w:ascii="仿宋" w:hAnsi="仿宋" w:eastAsia="仿宋" w:cs="仿宋"/>
                <w:bCs/>
                <w:color w:val="000000"/>
                <w:sz w:val="28"/>
                <w:szCs w:val="28"/>
                <w:highlight w:val="none"/>
              </w:rPr>
              <w:t xml:space="preserve">年1月1日以后，合同内容为与</w:t>
            </w:r>
            <w:r>
              <w:rPr>
                <w:rFonts w:hint="eastAsia" w:ascii="仿宋" w:hAnsi="仿宋" w:eastAsia="仿宋" w:cs="仿宋"/>
                <w:bCs/>
                <w:color w:val="000000"/>
                <w:sz w:val="28"/>
                <w:szCs w:val="28"/>
                <w:highlight w:val="none"/>
                <w:lang w:val="en-US" w:eastAsia="zh-CN"/>
              </w:rPr>
              <w:t xml:space="preserve">本项目相</w:t>
            </w:r>
            <w:r>
              <w:rPr>
                <w:rFonts w:hint="eastAsia" w:ascii="仿宋" w:hAnsi="仿宋" w:eastAsia="仿宋" w:cs="仿宋"/>
                <w:bCs/>
                <w:color w:val="000000"/>
                <w:sz w:val="28"/>
                <w:szCs w:val="28"/>
                <w:highlight w:val="none"/>
              </w:rPr>
              <w:t xml:space="preserve">类似业绩</w:t>
            </w:r>
            <w:r>
              <w:rPr>
                <w:rFonts w:hint="eastAsia" w:ascii="仿宋" w:hAnsi="仿宋" w:eastAsia="仿宋" w:cs="仿宋"/>
                <w:bCs/>
                <w:color w:val="000000"/>
                <w:sz w:val="28"/>
                <w:szCs w:val="28"/>
                <w:highlight w:val="none"/>
                <w:lang w:val="en-US" w:eastAsia="zh-CN"/>
              </w:rPr>
              <w:t xml:space="preserve">的</w:t>
            </w:r>
            <w:r>
              <w:rPr>
                <w:rFonts w:hint="eastAsia" w:ascii="仿宋" w:hAnsi="仿宋" w:eastAsia="仿宋" w:cs="仿宋"/>
                <w:bCs/>
                <w:color w:val="000000"/>
                <w:sz w:val="28"/>
                <w:szCs w:val="28"/>
                <w:highlight w:val="none"/>
              </w:rPr>
              <w:t xml:space="preserve">，每提供一份得</w:t>
            </w:r>
            <w:r>
              <w:rPr>
                <w:rFonts w:hint="eastAsia" w:ascii="仿宋" w:hAnsi="仿宋" w:eastAsia="仿宋" w:cs="仿宋"/>
                <w:bCs/>
                <w:strike w:val="0"/>
                <w:color w:val="000000"/>
                <w:sz w:val="28"/>
                <w:szCs w:val="28"/>
                <w:highlight w:val="none"/>
                <w:lang w:val="en-US" w:eastAsia="zh-CN"/>
              </w:rPr>
              <w:t xml:space="preserve">2分</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本项</w:t>
            </w:r>
            <w:r>
              <w:rPr>
                <w:rFonts w:hint="eastAsia" w:ascii="仿宋" w:hAnsi="仿宋" w:eastAsia="仿宋" w:cs="仿宋"/>
                <w:bCs/>
                <w:color w:val="000000"/>
                <w:sz w:val="28"/>
                <w:szCs w:val="28"/>
                <w:highlight w:val="none"/>
              </w:rPr>
              <w:t xml:space="preserve">最高得</w:t>
            </w: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分</w:t>
            </w:r>
            <w:r>
              <w:rPr>
                <w:rFonts w:hint="eastAsia" w:ascii="仿宋" w:hAnsi="仿宋" w:eastAsia="仿宋" w:cs="仿宋"/>
                <w:color w:val="000000"/>
                <w:sz w:val="28"/>
                <w:szCs w:val="28"/>
                <w:highlight w:val="none"/>
              </w:rPr>
              <w:t xml:space="preserve">。</w:t>
            </w:r>
            <w:r/>
          </w:p>
          <w:p>
            <w:pPr>
              <w:jc w:val="lef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投标文件中</w:t>
            </w:r>
            <w:r>
              <w:rPr>
                <w:rFonts w:hint="eastAsia" w:ascii="仿宋" w:hAnsi="仿宋" w:eastAsia="仿宋" w:cs="仿宋"/>
                <w:b/>
                <w:bCs/>
                <w:color w:val="000000"/>
                <w:sz w:val="28"/>
                <w:szCs w:val="28"/>
                <w:highlight w:val="none"/>
                <w:lang w:val="en-US" w:eastAsia="zh-CN"/>
              </w:rPr>
              <w:t xml:space="preserve">需</w:t>
            </w:r>
            <w:r>
              <w:rPr>
                <w:rFonts w:hint="eastAsia" w:ascii="仿宋" w:hAnsi="仿宋" w:eastAsia="仿宋" w:cs="仿宋"/>
                <w:b/>
                <w:bCs/>
                <w:color w:val="000000"/>
                <w:sz w:val="28"/>
                <w:szCs w:val="28"/>
                <w:highlight w:val="none"/>
              </w:rPr>
              <w:t xml:space="preserve">提供</w:t>
            </w:r>
            <w:r>
              <w:rPr>
                <w:rFonts w:hint="eastAsia" w:ascii="仿宋" w:hAnsi="仿宋" w:eastAsia="仿宋" w:cs="仿宋"/>
                <w:b/>
                <w:bCs/>
                <w:color w:val="000000"/>
                <w:sz w:val="28"/>
                <w:szCs w:val="28"/>
                <w:highlight w:val="none"/>
                <w:lang w:eastAsia="zh-CN"/>
              </w:rPr>
              <w:t xml:space="preserve">加盖</w:t>
            </w:r>
            <w:r>
              <w:rPr>
                <w:rFonts w:hint="eastAsia" w:ascii="仿宋" w:hAnsi="仿宋" w:eastAsia="仿宋" w:cs="仿宋"/>
                <w:b/>
                <w:bCs/>
                <w:color w:val="000000"/>
                <w:sz w:val="28"/>
                <w:szCs w:val="28"/>
                <w:highlight w:val="none"/>
                <w:lang w:val="en-US" w:eastAsia="zh-CN"/>
              </w:rPr>
              <w:t xml:space="preserve">电子签章的</w:t>
            </w:r>
            <w:r>
              <w:rPr>
                <w:rFonts w:hint="eastAsia" w:ascii="仿宋" w:hAnsi="仿宋" w:eastAsia="仿宋" w:cs="仿宋"/>
                <w:b/>
                <w:bCs/>
                <w:color w:val="000000"/>
                <w:sz w:val="28"/>
                <w:szCs w:val="28"/>
                <w:highlight w:val="none"/>
              </w:rPr>
              <w:t xml:space="preserve">合同</w:t>
            </w:r>
            <w:r>
              <w:rPr>
                <w:rFonts w:hint="eastAsia" w:ascii="仿宋" w:hAnsi="仿宋" w:eastAsia="仿宋" w:cs="仿宋"/>
                <w:b/>
                <w:bCs/>
                <w:color w:val="000000"/>
                <w:sz w:val="28"/>
                <w:szCs w:val="28"/>
                <w:highlight w:val="none"/>
                <w:lang w:val="en-US" w:eastAsia="zh-CN"/>
              </w:rPr>
              <w:t xml:space="preserve">原件扫描件</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    </w:t>
            </w:r>
            <w:r/>
          </w:p>
        </w:tc>
      </w:tr>
      <w:tr>
        <w:trPr>
          <w:trHeight w:val="709"/>
        </w:trPr>
        <w:tc>
          <w:tcPr>
            <w:tcW w:w="1235" w:type="dxa"/>
            <w:vAlign w:val="center"/>
            <w:vMerge w:val="continue"/>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0" w:type="dxa"/>
            <w:vAlign w:val="center"/>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投标人综合实力</w:t>
            </w:r>
            <w:r/>
          </w:p>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（4分）</w:t>
            </w:r>
            <w:r/>
          </w:p>
        </w:tc>
        <w:tc>
          <w:tcPr>
            <w:tcW w:w="7275" w:type="dxa"/>
            <w:vAlign w:val="center"/>
            <w:textDirection w:val="lrTb"/>
            <w:noWrap w:val="false"/>
          </w:tcPr>
          <w:p>
            <w:pPr>
              <w:jc w:val="lef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1、投标人</w:t>
            </w:r>
            <w:r>
              <w:rPr>
                <w:rFonts w:hint="eastAsia" w:ascii="仿宋" w:hAnsi="仿宋" w:eastAsia="仿宋" w:cs="仿宋"/>
                <w:color w:val="000000"/>
                <w:sz w:val="28"/>
                <w:szCs w:val="28"/>
                <w:highlight w:val="none"/>
                <w:lang w:val="en-US" w:eastAsia="zh-CN"/>
              </w:rPr>
              <w:t xml:space="preserve">获得食品检验机构资质认定CMA证书的得</w:t>
            </w:r>
            <w:r>
              <w:rPr>
                <w:rFonts w:hint="eastAsia" w:ascii="仿宋" w:hAnsi="仿宋" w:eastAsia="仿宋" w:cs="仿宋"/>
                <w:color w:val="000000"/>
                <w:sz w:val="28"/>
                <w:szCs w:val="28"/>
                <w:lang w:val="en-US" w:eastAsia="zh-CN"/>
              </w:rPr>
              <w:t xml:space="preserve">2分</w:t>
            </w:r>
            <w:r>
              <w:rPr>
                <w:rFonts w:hint="eastAsia" w:ascii="仿宋" w:hAnsi="仿宋" w:eastAsia="仿宋" w:cs="仿宋"/>
                <w:color w:val="000000"/>
                <w:sz w:val="28"/>
                <w:szCs w:val="28"/>
                <w:lang w:eastAsia="zh-CN"/>
              </w:rPr>
              <w:t xml:space="preserve">；</w:t>
            </w:r>
            <w:r/>
          </w:p>
          <w:p>
            <w:pPr>
              <w:jc w:val="both"/>
              <w:keepLines w:val="0"/>
              <w:keepNext w:val="0"/>
              <w:pageBreakBefore w:val="0"/>
              <w:spacing w:line="30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highlight w:val="none"/>
                <w:lang w:val="en-US" w:eastAsia="zh-CN"/>
              </w:rPr>
              <w:t xml:space="preserve">投标人获得CATL证书的得2分；</w:t>
            </w:r>
            <w:r/>
          </w:p>
          <w:p>
            <w:pPr>
              <w:jc w:val="both"/>
              <w:keepLines w:val="0"/>
              <w:keepNext w:val="0"/>
              <w:pageBreakBefore w:val="0"/>
              <w:spacing w:line="300" w:lineRule="auto"/>
              <w:widowControl w:val="off"/>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投标文件中需提供加盖电子签章的有效期内证书原件扫描件。</w:t>
            </w:r>
            <w:r/>
          </w:p>
        </w:tc>
      </w:tr>
      <w:tr>
        <w:trPr>
          <w:trHeight w:val="333"/>
        </w:trPr>
        <w:tc>
          <w:tcPr>
            <w:tcW w:w="1235" w:type="dxa"/>
            <w:vAlign w:val="center"/>
            <w:vMerge w:val="restart"/>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技术部分</w:t>
            </w:r>
            <w:r/>
          </w:p>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77</w:t>
            </w:r>
            <w:r>
              <w:rPr>
                <w:rFonts w:hint="eastAsia" w:ascii="仿宋" w:hAnsi="仿宋" w:eastAsia="仿宋" w:cs="仿宋"/>
                <w:color w:val="000000"/>
                <w:sz w:val="28"/>
                <w:szCs w:val="28"/>
                <w:highlight w:val="none"/>
              </w:rPr>
              <w:t xml:space="preserve">分)</w:t>
            </w:r>
            <w:r/>
          </w:p>
        </w:tc>
        <w:tc>
          <w:tcPr>
            <w:tcW w:w="1380" w:type="dxa"/>
            <w:vAlign w:val="center"/>
            <w:textDirection w:val="lrTb"/>
            <w:noWrap w:val="false"/>
          </w:tcPr>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人员配</w:t>
            </w:r>
            <w:r>
              <w:rPr>
                <w:rFonts w:hint="eastAsia" w:ascii="仿宋" w:hAnsi="仿宋" w:eastAsia="仿宋" w:cs="仿宋"/>
                <w:color w:val="000000"/>
                <w:sz w:val="28"/>
                <w:szCs w:val="28"/>
                <w:highlight w:val="none"/>
                <w:lang w:val="en-US" w:eastAsia="zh-CN"/>
              </w:rPr>
              <w:t xml:space="preserve">备(15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p>
        </w:tc>
        <w:tc>
          <w:tcPr>
            <w:tcW w:w="7275" w:type="dxa"/>
            <w:vAlign w:val="center"/>
            <w:textDirection w:val="lrTb"/>
            <w:noWrap w:val="false"/>
          </w:tcPr>
          <w:p>
            <w:pPr>
              <w:spacing w:line="24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1、</w:t>
            </w:r>
            <w:r>
              <w:rPr>
                <w:rFonts w:hint="eastAsia" w:ascii="仿宋" w:hAnsi="仿宋" w:eastAsia="仿宋" w:cs="仿宋"/>
                <w:color w:val="000000"/>
                <w:sz w:val="28"/>
                <w:szCs w:val="28"/>
                <w:highlight w:val="none"/>
                <w:lang w:val="en-US" w:eastAsia="zh-CN"/>
              </w:rPr>
              <w:t xml:space="preserve">拟派本项目的</w:t>
            </w:r>
            <w:r>
              <w:rPr>
                <w:rFonts w:hint="eastAsia" w:ascii="仿宋" w:hAnsi="仿宋" w:eastAsia="仿宋" w:cs="仿宋"/>
                <w:color w:val="000000"/>
                <w:sz w:val="28"/>
                <w:szCs w:val="28"/>
                <w:highlight w:val="none"/>
                <w:lang w:val="en-US"/>
              </w:rPr>
              <w:t xml:space="preserve">专职食品检验人员达到40人</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lang w:val="en-US"/>
              </w:rPr>
              <w:t xml:space="preserve">以上得5分；30-39人得3分；20-29人得2分；20人以下不得分；</w:t>
            </w:r>
            <w:r/>
          </w:p>
          <w:p>
            <w:pPr>
              <w:spacing w:line="24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2、拟派本项目的专职食品抽样人员达到10人</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lang w:val="en-US"/>
              </w:rPr>
              <w:t xml:space="preserve">以上得5分；5-9人得3分；5人以下不得分；</w:t>
            </w:r>
            <w:r/>
          </w:p>
          <w:p>
            <w:pPr>
              <w:spacing w:line="24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3、综合考察项目负责人的：</w:t>
            </w:r>
            <w:r/>
          </w:p>
          <w:p>
            <w:pPr>
              <w:spacing w:line="24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（1）具有研究生学历和高级职称，得5分；</w:t>
            </w:r>
            <w:r/>
          </w:p>
          <w:p>
            <w:pPr>
              <w:spacing w:line="24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（2）具有本科学历和高级职称，得3分；</w:t>
            </w:r>
            <w:r/>
          </w:p>
          <w:p>
            <w:pPr>
              <w:spacing w:line="24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（3）具有专科学历</w:t>
            </w:r>
            <w:r>
              <w:rPr>
                <w:rFonts w:hint="eastAsia" w:ascii="仿宋" w:hAnsi="仿宋" w:eastAsia="仿宋" w:cs="仿宋"/>
                <w:color w:val="000000"/>
                <w:sz w:val="28"/>
                <w:szCs w:val="28"/>
                <w:highlight w:val="none"/>
                <w:lang w:val="en-US" w:eastAsia="zh-CN"/>
              </w:rPr>
              <w:t xml:space="preserve">和</w:t>
            </w:r>
            <w:r>
              <w:rPr>
                <w:rFonts w:hint="eastAsia" w:ascii="仿宋" w:hAnsi="仿宋" w:eastAsia="仿宋" w:cs="仿宋"/>
                <w:color w:val="000000"/>
                <w:sz w:val="28"/>
                <w:szCs w:val="28"/>
                <w:highlight w:val="none"/>
                <w:lang w:val="en-US"/>
              </w:rPr>
              <w:t xml:space="preserve">中级职称，得2分；</w:t>
            </w:r>
            <w:r/>
          </w:p>
          <w:p>
            <w:pPr>
              <w:ind w:firstLine="210"/>
              <w:spacing w:line="240" w:lineRule="auto"/>
              <w:rPr>
                <w:rFonts w:hint="eastAsia" w:ascii="仿宋" w:hAnsi="仿宋" w:eastAsia="仿宋" w:cs="仿宋"/>
                <w:b w:val="0"/>
                <w:bCs w:val="0"/>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其他情况不得分，</w:t>
            </w:r>
            <w:r>
              <w:rPr>
                <w:rFonts w:hint="eastAsia" w:ascii="仿宋" w:hAnsi="仿宋" w:eastAsia="仿宋" w:cs="仿宋"/>
                <w:b w:val="0"/>
                <w:bCs w:val="0"/>
                <w:color w:val="000000"/>
                <w:sz w:val="28"/>
                <w:szCs w:val="28"/>
                <w:highlight w:val="none"/>
                <w:lang w:val="en-US" w:eastAsia="zh-CN"/>
              </w:rPr>
              <w:t xml:space="preserve">此项最高得5分。</w:t>
            </w:r>
            <w:r/>
          </w:p>
          <w:p>
            <w:pPr>
              <w:spacing w:line="240" w:lineRule="auto"/>
              <w:rPr>
                <w:rFonts w:hint="eastAsia" w:ascii="仿宋" w:hAnsi="仿宋" w:eastAsia="仿宋" w:cs="仿宋"/>
                <w:b w:val="0"/>
                <w:bCs w:val="0"/>
                <w:color w:val="000000"/>
                <w:sz w:val="28"/>
                <w:szCs w:val="28"/>
                <w:highlight w:val="none"/>
                <w:lang w:val="en-US"/>
              </w:rPr>
            </w:pPr>
            <w:r>
              <w:rPr>
                <w:rFonts w:hint="eastAsia" w:ascii="仿宋" w:hAnsi="仿宋" w:eastAsia="仿宋" w:cs="仿宋"/>
                <w:b w:val="0"/>
                <w:bCs w:val="0"/>
                <w:color w:val="000000"/>
                <w:sz w:val="28"/>
                <w:szCs w:val="28"/>
                <w:highlight w:val="none"/>
                <w:lang w:val="en-US"/>
              </w:rPr>
              <w:t xml:space="preserve">注：①以上项目人员需在</w:t>
            </w: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lang w:val="en-US"/>
              </w:rPr>
              <w:t xml:space="preserve">文件人员配备表中明确相关信息（姓名、岗位、职称等），否则不得分；</w:t>
            </w:r>
            <w:r/>
          </w:p>
          <w:p>
            <w:pPr>
              <w:spacing w:line="240" w:lineRule="auto"/>
              <w:rPr>
                <w:rFonts w:hint="eastAsia" w:ascii="仿宋" w:hAnsi="仿宋" w:eastAsia="仿宋" w:cs="仿宋"/>
                <w:b w:val="0"/>
                <w:bCs w:val="0"/>
                <w:color w:val="000000"/>
                <w:sz w:val="28"/>
                <w:szCs w:val="28"/>
                <w:highlight w:val="none"/>
                <w:lang w:val="en-US"/>
              </w:rPr>
            </w:pPr>
            <w:r>
              <w:rPr>
                <w:rFonts w:hint="eastAsia" w:ascii="仿宋" w:hAnsi="仿宋" w:eastAsia="仿宋" w:cs="仿宋"/>
                <w:b w:val="0"/>
                <w:bCs w:val="0"/>
                <w:color w:val="000000"/>
                <w:sz w:val="28"/>
                <w:szCs w:val="28"/>
                <w:highlight w:val="none"/>
                <w:lang w:val="en-US"/>
              </w:rPr>
              <w:t xml:space="preserve">②抽样人员与检验人员不得重复，重复的不计分；</w:t>
            </w:r>
            <w:r/>
          </w:p>
          <w:p>
            <w:pPr>
              <w:jc w:val="left"/>
              <w:spacing w:line="240" w:lineRule="auto"/>
              <w:rPr>
                <w:rFonts w:hint="eastAsia" w:ascii="仿宋" w:hAnsi="仿宋" w:eastAsia="仿宋" w:cs="仿宋"/>
                <w:b w:val="0"/>
                <w:bCs w:val="0"/>
                <w:color w:val="000000"/>
                <w:sz w:val="28"/>
                <w:szCs w:val="28"/>
                <w:highlight w:val="none"/>
                <w:lang w:val="en-US"/>
              </w:rPr>
            </w:pPr>
            <w:r>
              <w:rPr>
                <w:rFonts w:hint="eastAsia" w:ascii="仿宋" w:hAnsi="仿宋" w:eastAsia="仿宋" w:cs="仿宋"/>
                <w:b w:val="0"/>
                <w:bCs w:val="0"/>
                <w:color w:val="000000"/>
                <w:sz w:val="28"/>
                <w:szCs w:val="28"/>
                <w:highlight w:val="none"/>
                <w:lang w:val="en-US"/>
              </w:rPr>
              <w:t xml:space="preserve">③</w:t>
            </w:r>
            <w:r>
              <w:rPr>
                <w:rFonts w:hint="eastAsia" w:ascii="仿宋" w:hAnsi="仿宋" w:eastAsia="仿宋" w:cs="仿宋"/>
                <w:b w:val="0"/>
                <w:bCs w:val="0"/>
                <w:color w:val="000000"/>
                <w:sz w:val="28"/>
                <w:szCs w:val="28"/>
                <w:highlight w:val="none"/>
                <w:lang w:val="en-US" w:eastAsia="zh-CN"/>
              </w:rPr>
              <w:t xml:space="preserve">投标文件中需提供加盖电子签章</w:t>
            </w:r>
            <w:r>
              <w:rPr>
                <w:rFonts w:hint="eastAsia" w:ascii="仿宋" w:hAnsi="仿宋" w:eastAsia="仿宋" w:cs="仿宋"/>
                <w:b w:val="0"/>
                <w:bCs w:val="0"/>
                <w:color w:val="000000"/>
                <w:sz w:val="28"/>
                <w:szCs w:val="28"/>
                <w:highlight w:val="none"/>
                <w:lang w:val="en-US"/>
              </w:rPr>
              <w:t xml:space="preserve">的</w:t>
            </w:r>
            <w:r>
              <w:rPr>
                <w:rFonts w:hint="eastAsia" w:ascii="仿宋" w:hAnsi="仿宋" w:eastAsia="仿宋" w:cs="仿宋"/>
                <w:b w:val="0"/>
                <w:bCs w:val="0"/>
                <w:color w:val="000000"/>
                <w:sz w:val="28"/>
                <w:szCs w:val="28"/>
                <w:highlight w:val="none"/>
                <w:lang w:val="en-US" w:eastAsia="zh-CN"/>
              </w:rPr>
              <w:t xml:space="preserve">以上项目人员开标时间前3个月在投标人单位缴纳社保证明材料扫描件</w:t>
            </w:r>
            <w:r>
              <w:rPr>
                <w:rFonts w:hint="eastAsia" w:ascii="仿宋" w:hAnsi="仿宋" w:eastAsia="仿宋" w:cs="仿宋"/>
                <w:b w:val="0"/>
                <w:bCs w:val="0"/>
                <w:color w:val="000000"/>
                <w:sz w:val="28"/>
                <w:szCs w:val="28"/>
                <w:highlight w:val="none"/>
                <w:lang w:val="en-US"/>
              </w:rPr>
              <w:t xml:space="preserve">。</w:t>
            </w:r>
            <w:r/>
          </w:p>
          <w:p>
            <w:pPr>
              <w:pStyle w:val="820"/>
              <w:ind w:left="0" w:firstLine="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④投标文件中需提供加盖电子签章的项目负责人的学历和职称证书扫描件。</w:t>
            </w:r>
            <w:r/>
          </w:p>
        </w:tc>
      </w:tr>
      <w:tr>
        <w:trPr>
          <w:trHeight w:val="356"/>
        </w:trPr>
        <w:tc>
          <w:tcPr>
            <w:tcW w:w="1235" w:type="dxa"/>
            <w:vAlign w:val="center"/>
            <w:vMerge w:val="continue"/>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0" w:type="dxa"/>
            <w:vAlign w:val="center"/>
            <w:textDirection w:val="lrTb"/>
            <w:noWrap w:val="false"/>
          </w:tcPr>
          <w:p>
            <w:pPr>
              <w:pStyle w:val="106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实验室能力</w:t>
            </w:r>
            <w:r/>
          </w:p>
          <w:p>
            <w:pPr>
              <w:ind w:left="-106" w:hanging="1"/>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p>
        </w:tc>
        <w:tc>
          <w:tcPr>
            <w:tcW w:w="7275" w:type="dxa"/>
            <w:vAlign w:val="center"/>
            <w:textDirection w:val="lrTb"/>
            <w:noWrap w:val="false"/>
          </w:tcPr>
          <w:p>
            <w:pPr>
              <w:spacing w:line="30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lang w:val="en-US"/>
              </w:rPr>
              <w:t xml:space="preserve">具有开展食品安全抽样检验工作实验场所</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lang w:val="en-US"/>
              </w:rPr>
              <w:t xml:space="preserve">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rPr>
              <w:t xml:space="preserve">分；</w:t>
            </w:r>
            <w:r/>
          </w:p>
          <w:p>
            <w:pPr>
              <w:spacing w:line="30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注：（1）投标人须承诺抽样检验的实验室为投标人自有实验室，并提供承诺书</w:t>
            </w:r>
            <w:r>
              <w:rPr>
                <w:rFonts w:hint="eastAsia" w:ascii="仿宋" w:hAnsi="仿宋" w:eastAsia="仿宋" w:cs="仿宋"/>
                <w:b/>
                <w:bCs/>
                <w:color w:val="000000"/>
                <w:sz w:val="28"/>
                <w:szCs w:val="28"/>
                <w:highlight w:val="none"/>
                <w:lang w:val="en-US" w:eastAsia="zh-CN"/>
              </w:rPr>
              <w:t xml:space="preserve">（格式自拟）</w:t>
            </w:r>
            <w:r>
              <w:rPr>
                <w:rFonts w:hint="eastAsia" w:ascii="仿宋" w:hAnsi="仿宋" w:eastAsia="仿宋" w:cs="仿宋"/>
                <w:color w:val="000000"/>
                <w:sz w:val="28"/>
                <w:szCs w:val="28"/>
                <w:highlight w:val="none"/>
                <w:lang w:val="en-US"/>
              </w:rPr>
              <w:t xml:space="preserve">。采购人有权在合同签订前进行现场考察，一旦发现弄虚作假，将取消中标资格，并报有关部门严肃处理；</w:t>
            </w:r>
            <w:r/>
          </w:p>
          <w:p>
            <w:pPr>
              <w:spacing w:line="30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rPr>
              <w:t xml:space="preserve">（2）</w:t>
            </w:r>
            <w:r>
              <w:rPr>
                <w:rFonts w:hint="eastAsia" w:ascii="仿宋" w:hAnsi="仿宋" w:eastAsia="仿宋" w:cs="仿宋"/>
                <w:color w:val="000000"/>
                <w:sz w:val="28"/>
                <w:szCs w:val="28"/>
                <w:highlight w:val="none"/>
                <w:lang w:val="en-US" w:eastAsia="zh-CN"/>
              </w:rPr>
              <w:t xml:space="preserve">投标文件中需提供加盖电子签章</w:t>
            </w:r>
            <w:r>
              <w:rPr>
                <w:rFonts w:hint="eastAsia" w:ascii="仿宋" w:hAnsi="仿宋" w:eastAsia="仿宋" w:cs="仿宋"/>
                <w:color w:val="000000"/>
                <w:sz w:val="28"/>
                <w:szCs w:val="28"/>
                <w:highlight w:val="none"/>
                <w:lang w:val="en-US"/>
              </w:rPr>
              <w:t xml:space="preserve">的抽样检验场所的房产证或所有权证明文件或服务期内有效的房屋租赁合同等相关证明材料</w:t>
            </w:r>
            <w:r>
              <w:rPr>
                <w:rFonts w:hint="eastAsia" w:ascii="仿宋" w:hAnsi="仿宋" w:eastAsia="仿宋" w:cs="仿宋"/>
                <w:color w:val="000000"/>
                <w:sz w:val="28"/>
                <w:szCs w:val="28"/>
                <w:highlight w:val="none"/>
                <w:lang w:val="en-US" w:eastAsia="zh-CN"/>
              </w:rPr>
              <w:t xml:space="preserve">扫描件</w:t>
            </w:r>
            <w:r>
              <w:rPr>
                <w:rFonts w:hint="eastAsia" w:ascii="仿宋" w:hAnsi="仿宋" w:eastAsia="仿宋" w:cs="仿宋"/>
                <w:color w:val="000000"/>
                <w:sz w:val="28"/>
                <w:szCs w:val="28"/>
                <w:highlight w:val="none"/>
                <w:lang w:val="en-US"/>
              </w:rPr>
              <w:t xml:space="preserve">；</w:t>
            </w:r>
            <w:r/>
          </w:p>
          <w:p>
            <w:pPr>
              <w:spacing w:line="30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rPr>
              <w:t xml:space="preserve">（3）</w:t>
            </w:r>
            <w:r>
              <w:rPr>
                <w:rFonts w:hint="eastAsia" w:ascii="仿宋" w:hAnsi="仿宋" w:eastAsia="仿宋" w:cs="仿宋"/>
                <w:color w:val="000000"/>
                <w:sz w:val="28"/>
                <w:szCs w:val="28"/>
                <w:highlight w:val="none"/>
                <w:lang w:val="en-US" w:eastAsia="zh-CN"/>
              </w:rPr>
              <w:t xml:space="preserve">投标文件中需提供加盖电子签章</w:t>
            </w:r>
            <w:r>
              <w:rPr>
                <w:rFonts w:hint="eastAsia" w:ascii="仿宋" w:hAnsi="仿宋" w:eastAsia="仿宋" w:cs="仿宋"/>
                <w:color w:val="000000"/>
                <w:sz w:val="28"/>
                <w:szCs w:val="28"/>
                <w:highlight w:val="none"/>
                <w:lang w:val="en-US"/>
              </w:rPr>
              <w:t xml:space="preserve">的食品实验室平面布局图，并提供各组成部分面积清单；</w:t>
            </w:r>
            <w:r/>
          </w:p>
        </w:tc>
      </w:tr>
      <w:tr>
        <w:trPr>
          <w:trHeight w:val="356"/>
        </w:trPr>
        <w:tc>
          <w:tcPr>
            <w:tcW w:w="1235" w:type="dxa"/>
            <w:vAlign w:val="center"/>
            <w:vMerge w:val="continue"/>
            <w:textDirection w:val="lrTb"/>
            <w:noWrap w:val="false"/>
          </w:tcPr>
          <w:p>
            <w:pPr>
              <w:jc w:val="cente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tc>
        <w:tc>
          <w:tcPr>
            <w:tcW w:w="1380" w:type="dxa"/>
            <w:vAlign w:val="center"/>
            <w:textDirection w:val="lrTb"/>
            <w:noWrap w:val="false"/>
          </w:tcPr>
          <w:p>
            <w:pPr>
              <w:pStyle w:val="1066"/>
              <w:jc w:val="center"/>
              <w:spacing w:line="36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投标人设备配备</w:t>
            </w:r>
            <w:r/>
          </w:p>
          <w:p>
            <w:pPr>
              <w:ind w:left="-106" w:hanging="1"/>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分）</w:t>
            </w:r>
            <w:r/>
          </w:p>
        </w:tc>
        <w:tc>
          <w:tcPr>
            <w:tcW w:w="7275" w:type="dxa"/>
            <w:vAlign w:val="center"/>
            <w:textDirection w:val="lrTb"/>
            <w:noWrap w:val="false"/>
          </w:tcPr>
          <w:p>
            <w:pPr>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投标人具备在计量校准有效期内的实验室检验检测设备</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p>
          <w:p>
            <w:pPr>
              <w:spacing w:line="300" w:lineRule="auto"/>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val="en-US" w:eastAsia="zh-CN"/>
              </w:rPr>
              <w:t xml:space="preserve">投标文件中需提供加盖电子签章</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lang w:val="en-US" w:eastAsia="zh-CN"/>
              </w:rPr>
              <w:t xml:space="preserve">有效期内的</w:t>
            </w:r>
            <w:r>
              <w:rPr>
                <w:rFonts w:hint="eastAsia" w:ascii="仿宋" w:hAnsi="仿宋" w:eastAsia="仿宋" w:cs="仿宋"/>
                <w:color w:val="000000"/>
                <w:sz w:val="28"/>
                <w:szCs w:val="28"/>
                <w:highlight w:val="none"/>
              </w:rPr>
              <w:t xml:space="preserve">检定或校准证书和购置发票等有效证明材料</w:t>
            </w:r>
            <w:r>
              <w:rPr>
                <w:rFonts w:hint="eastAsia" w:ascii="仿宋" w:hAnsi="仿宋" w:eastAsia="仿宋" w:cs="仿宋"/>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。采购人</w:t>
            </w:r>
            <w:r>
              <w:rPr>
                <w:rFonts w:hint="eastAsia" w:ascii="仿宋" w:hAnsi="仿宋" w:eastAsia="仿宋" w:cs="仿宋"/>
                <w:color w:val="000000"/>
                <w:sz w:val="28"/>
                <w:szCs w:val="28"/>
                <w:highlight w:val="none"/>
                <w:lang w:val="en-US"/>
              </w:rPr>
              <w:t xml:space="preserve">有权在合同签订前</w:t>
            </w:r>
            <w:r>
              <w:rPr>
                <w:rFonts w:hint="eastAsia" w:ascii="仿宋" w:hAnsi="仿宋" w:eastAsia="仿宋" w:cs="仿宋"/>
                <w:color w:val="000000"/>
                <w:sz w:val="28"/>
                <w:szCs w:val="28"/>
                <w:highlight w:val="none"/>
              </w:rPr>
              <w:t xml:space="preserve">进行现场考察，一旦发现弄虚作假，将取消中标资格，并报有关部门处理。</w:t>
            </w:r>
            <w:r/>
          </w:p>
        </w:tc>
      </w:tr>
      <w:tr>
        <w:trPr>
          <w:trHeight w:val="356"/>
        </w:trPr>
        <w:tc>
          <w:tcPr>
            <w:tcW w:w="1235" w:type="dxa"/>
            <w:vAlign w:val="center"/>
            <w:vMerge w:val="continue"/>
            <w:textDirection w:val="lrTb"/>
            <w:noWrap w:val="false"/>
          </w:tcPr>
          <w:p>
            <w:pPr>
              <w:jc w:val="cente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tc>
        <w:tc>
          <w:tcPr>
            <w:tcW w:w="1380" w:type="dxa"/>
            <w:vAlign w:val="center"/>
            <w:textDirection w:val="lrTb"/>
            <w:noWrap w:val="false"/>
          </w:tcPr>
          <w:p>
            <w:pPr>
              <w:pStyle w:val="1066"/>
              <w:jc w:val="center"/>
              <w:spacing w:line="36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投标人车辆配备</w:t>
            </w:r>
            <w:r/>
          </w:p>
          <w:p>
            <w:pPr>
              <w:ind w:left="-106" w:hanging="1"/>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p>
        </w:tc>
        <w:tc>
          <w:tcPr>
            <w:tcW w:w="7275" w:type="dxa"/>
            <w:vAlign w:val="center"/>
            <w:textDirection w:val="lrTb"/>
            <w:noWrap w:val="false"/>
          </w:tcPr>
          <w:p>
            <w:pPr>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投标人具备：</w:t>
            </w:r>
            <w:r/>
          </w:p>
          <w:p>
            <w:pPr>
              <w:numPr>
                <w:ilvl w:val="0"/>
                <w:numId w:val="5"/>
              </w:numPr>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用于食品采样的采样车辆，每具备1台得1分；最多得6分。</w:t>
            </w:r>
            <w:r/>
          </w:p>
          <w:p>
            <w:pPr>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rPr>
              <w:t xml:space="preserve">2、</w:t>
            </w:r>
            <w:r>
              <w:rPr>
                <w:rFonts w:hint="eastAsia" w:ascii="仿宋" w:hAnsi="仿宋" w:eastAsia="仿宋" w:cs="仿宋"/>
                <w:color w:val="000000"/>
                <w:sz w:val="28"/>
                <w:szCs w:val="28"/>
              </w:rPr>
              <w:t xml:space="preserve">用于食品采样的冷藏车辆，每具备1台得1分，最多得2分。</w:t>
            </w:r>
            <w:r/>
          </w:p>
          <w:p>
            <w:pPr>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3、具备用于采样过程取证的执法记录仪不少于5部，得2分。</w:t>
            </w:r>
            <w:r/>
          </w:p>
          <w:p>
            <w:pPr>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此项最高得10分。</w:t>
            </w:r>
            <w:r/>
          </w:p>
          <w:p>
            <w:pPr>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注：（1）</w:t>
            </w:r>
            <w:r>
              <w:rPr>
                <w:rFonts w:hint="eastAsia" w:ascii="仿宋" w:hAnsi="仿宋" w:eastAsia="仿宋" w:cs="仿宋"/>
                <w:color w:val="000000"/>
                <w:sz w:val="28"/>
                <w:szCs w:val="28"/>
                <w:lang w:val="en-US" w:eastAsia="zh-CN"/>
              </w:rPr>
              <w:t xml:space="preserve">投标文</w:t>
            </w:r>
            <w:r>
              <w:rPr>
                <w:rFonts w:hint="eastAsia" w:ascii="仿宋" w:hAnsi="仿宋" w:eastAsia="仿宋" w:cs="仿宋"/>
                <w:color w:val="000000"/>
                <w:sz w:val="28"/>
                <w:szCs w:val="28"/>
                <w:highlight w:val="none"/>
                <w:lang w:val="en-US" w:eastAsia="zh-CN"/>
              </w:rPr>
              <w:t xml:space="preserve">件中需提供加盖电子签章</w:t>
            </w:r>
            <w:r>
              <w:rPr>
                <w:rFonts w:hint="eastAsia" w:ascii="仿宋" w:hAnsi="仿宋" w:eastAsia="仿宋" w:cs="仿宋"/>
                <w:color w:val="000000"/>
                <w:sz w:val="28"/>
                <w:szCs w:val="28"/>
                <w:highlight w:val="none"/>
              </w:rPr>
              <w:t xml:space="preserve">的车辆有效行驶证，登记证，有租赁情况的提供租赁合同</w:t>
            </w:r>
            <w:r>
              <w:rPr>
                <w:rFonts w:hint="eastAsia" w:ascii="仿宋" w:hAnsi="仿宋" w:eastAsia="仿宋" w:cs="仿宋"/>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w:t>
            </w:r>
            <w:r/>
          </w:p>
          <w:p>
            <w:pPr>
              <w:spacing w:line="300" w:lineRule="auto"/>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投标文件中需提供加盖电子签章</w:t>
            </w:r>
            <w:r>
              <w:rPr>
                <w:rFonts w:hint="eastAsia" w:ascii="仿宋" w:hAnsi="仿宋" w:eastAsia="仿宋" w:cs="仿宋"/>
                <w:color w:val="000000"/>
                <w:sz w:val="28"/>
                <w:szCs w:val="28"/>
                <w:highlight w:val="none"/>
              </w:rPr>
              <w:t xml:space="preserve">的执法记录仪的购置发票等有效证明材料</w:t>
            </w:r>
            <w:r>
              <w:rPr>
                <w:rFonts w:hint="eastAsia" w:ascii="仿宋" w:hAnsi="仿宋" w:eastAsia="仿宋" w:cs="仿宋"/>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w:t>
            </w:r>
            <w:r/>
          </w:p>
        </w:tc>
      </w:tr>
      <w:tr>
        <w:trPr>
          <w:trHeight w:val="356"/>
        </w:trPr>
        <w:tc>
          <w:tcPr>
            <w:tcW w:w="1235" w:type="dxa"/>
            <w:vAlign w:val="center"/>
            <w:vMerge w:val="continue"/>
            <w:textDirection w:val="lrTb"/>
            <w:noWrap w:val="false"/>
          </w:tcPr>
          <w:p>
            <w:pPr>
              <w:jc w:val="cente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tc>
        <w:tc>
          <w:tcPr>
            <w:tcW w:w="1380" w:type="dxa"/>
            <w:vAlign w:val="center"/>
            <w:textDirection w:val="lrTb"/>
            <w:noWrap w:val="false"/>
          </w:tcPr>
          <w:p>
            <w:pPr>
              <w:pStyle w:val="1081"/>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投标人实施方案</w:t>
            </w:r>
            <w:r/>
          </w:p>
          <w:p>
            <w:pPr>
              <w:pStyle w:val="1081"/>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分）</w:t>
            </w:r>
            <w:r/>
          </w:p>
        </w:tc>
        <w:tc>
          <w:tcPr>
            <w:tcW w:w="7275" w:type="dxa"/>
            <w:vAlign w:val="center"/>
            <w:textDirection w:val="lrTb"/>
            <w:noWrap w:val="false"/>
          </w:tcPr>
          <w:p>
            <w:pPr>
              <w:pStyle w:val="1081"/>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根据供应商投标文件中项目总体技术实施方案、检测质量保证措施、作业技术流程的科学性、合理性、完整性进行综合评价：</w:t>
            </w:r>
            <w:r/>
          </w:p>
          <w:p>
            <w:pPr>
              <w:pStyle w:val="1081"/>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lang w:val="en-US" w:eastAsia="zh-CN"/>
              </w:rPr>
              <w:t xml:space="preserve">科学</w:t>
            </w:r>
            <w:r>
              <w:rPr>
                <w:rFonts w:hint="eastAsia" w:ascii="仿宋" w:hAnsi="仿宋" w:eastAsia="仿宋" w:cs="仿宋"/>
                <w:color w:val="auto"/>
                <w:sz w:val="28"/>
                <w:szCs w:val="28"/>
                <w:highlight w:val="none"/>
                <w:lang w:val="en-US" w:eastAsia="zh-CN"/>
              </w:rPr>
              <w:t xml:space="preserve">性(7分)：科学性强得7分；科学性较强得5分；科学性一般得2分；</w:t>
            </w:r>
            <w:r/>
          </w:p>
          <w:p>
            <w:pPr>
              <w:pStyle w:val="1081"/>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lang w:val="en-US" w:eastAsia="zh-CN"/>
              </w:rPr>
              <w:t xml:space="preserve">合理性(7分)：合理性</w:t>
            </w:r>
            <w:r>
              <w:rPr>
                <w:rFonts w:hint="eastAsia" w:ascii="仿宋" w:hAnsi="仿宋" w:eastAsia="仿宋" w:cs="仿宋"/>
                <w:color w:val="auto"/>
                <w:sz w:val="28"/>
                <w:szCs w:val="28"/>
                <w:highlight w:val="none"/>
                <w:lang w:val="en-US" w:eastAsia="zh-CN"/>
              </w:rPr>
              <w:t xml:space="preserve">强得7分；</w:t>
            </w:r>
            <w:r>
              <w:rPr>
                <w:rFonts w:hint="eastAsia" w:ascii="仿宋" w:hAnsi="仿宋" w:eastAsia="仿宋" w:cs="仿宋"/>
                <w:color w:val="auto"/>
                <w:sz w:val="28"/>
                <w:szCs w:val="28"/>
                <w:lang w:val="en-US" w:eastAsia="zh-CN"/>
              </w:rPr>
              <w:t xml:space="preserve">合理性</w:t>
            </w:r>
            <w:r>
              <w:rPr>
                <w:rFonts w:hint="eastAsia" w:ascii="仿宋" w:hAnsi="仿宋" w:eastAsia="仿宋" w:cs="仿宋"/>
                <w:color w:val="auto"/>
                <w:sz w:val="28"/>
                <w:szCs w:val="28"/>
                <w:highlight w:val="none"/>
                <w:lang w:val="en-US" w:eastAsia="zh-CN"/>
              </w:rPr>
              <w:t xml:space="preserve">较强得5分；</w:t>
            </w:r>
            <w:r>
              <w:rPr>
                <w:rFonts w:hint="eastAsia" w:ascii="仿宋" w:hAnsi="仿宋" w:eastAsia="仿宋" w:cs="仿宋"/>
                <w:color w:val="auto"/>
                <w:sz w:val="28"/>
                <w:szCs w:val="28"/>
                <w:lang w:val="en-US" w:eastAsia="zh-CN"/>
              </w:rPr>
              <w:t xml:space="preserve">合理性</w:t>
            </w:r>
            <w:r>
              <w:rPr>
                <w:rFonts w:hint="eastAsia" w:ascii="仿宋" w:hAnsi="仿宋" w:eastAsia="仿宋" w:cs="仿宋"/>
                <w:color w:val="auto"/>
                <w:sz w:val="28"/>
                <w:szCs w:val="28"/>
                <w:highlight w:val="none"/>
                <w:lang w:val="en-US" w:eastAsia="zh-CN"/>
              </w:rPr>
              <w:t xml:space="preserve">一般得2分；</w:t>
            </w:r>
            <w:r/>
          </w:p>
          <w:p>
            <w:pPr>
              <w:pStyle w:val="1081"/>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完整性(6分)：</w:t>
            </w:r>
            <w:r>
              <w:rPr>
                <w:rFonts w:hint="eastAsia" w:ascii="仿宋" w:hAnsi="仿宋" w:eastAsia="仿宋" w:cs="仿宋"/>
                <w:color w:val="auto"/>
                <w:sz w:val="28"/>
                <w:szCs w:val="28"/>
                <w:highlight w:val="none"/>
              </w:rPr>
              <w:t xml:space="preserve">内容完整</w:t>
            </w:r>
            <w:r>
              <w:rPr>
                <w:rFonts w:hint="eastAsia" w:ascii="仿宋" w:hAnsi="仿宋" w:eastAsia="仿宋" w:cs="仿宋"/>
                <w:color w:val="auto"/>
                <w:sz w:val="28"/>
                <w:szCs w:val="28"/>
                <w:highlight w:val="none"/>
                <w:lang w:val="en-US" w:eastAsia="zh-CN"/>
              </w:rPr>
              <w:t xml:space="preserve">得6分；</w:t>
            </w:r>
            <w:r>
              <w:rPr>
                <w:rFonts w:hint="eastAsia" w:ascii="仿宋" w:hAnsi="仿宋" w:eastAsia="仿宋" w:cs="仿宋"/>
                <w:color w:val="auto"/>
                <w:sz w:val="28"/>
                <w:szCs w:val="28"/>
                <w:highlight w:val="none"/>
              </w:rPr>
              <w:t xml:space="preserve">内容较完整</w:t>
            </w:r>
            <w:r>
              <w:rPr>
                <w:rFonts w:hint="eastAsia" w:ascii="仿宋" w:hAnsi="仿宋" w:eastAsia="仿宋" w:cs="仿宋"/>
                <w:color w:val="auto"/>
                <w:sz w:val="28"/>
                <w:szCs w:val="28"/>
                <w:highlight w:val="none"/>
                <w:lang w:val="en-US" w:eastAsia="zh-CN"/>
              </w:rPr>
              <w:t xml:space="preserve">得3分；</w:t>
            </w:r>
            <w:r>
              <w:rPr>
                <w:rFonts w:hint="eastAsia" w:ascii="仿宋" w:hAnsi="仿宋" w:eastAsia="仿宋" w:cs="仿宋"/>
                <w:color w:val="auto"/>
                <w:sz w:val="28"/>
                <w:szCs w:val="28"/>
                <w:highlight w:val="none"/>
              </w:rPr>
              <w:t xml:space="preserve">内容</w:t>
            </w:r>
            <w:r>
              <w:rPr>
                <w:rFonts w:hint="eastAsia" w:ascii="仿宋" w:hAnsi="仿宋" w:eastAsia="仿宋" w:cs="仿宋"/>
                <w:color w:val="auto"/>
                <w:sz w:val="28"/>
                <w:szCs w:val="28"/>
                <w:highlight w:val="none"/>
                <w:lang w:val="en-US" w:eastAsia="zh-CN"/>
              </w:rPr>
              <w:t xml:space="preserve">欠缺得1分；</w:t>
            </w:r>
            <w:r/>
          </w:p>
          <w:p>
            <w:pPr>
              <w:pStyle w:val="1082"/>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未提供或提供与本项评分无关内容的不得分。</w:t>
            </w:r>
            <w:r/>
          </w:p>
        </w:tc>
      </w:tr>
      <w:tr>
        <w:trPr>
          <w:trHeight w:val="315"/>
        </w:trPr>
        <w:tc>
          <w:tcPr>
            <w:tcW w:w="1235" w:type="dxa"/>
            <w:vAlign w:val="center"/>
            <w:vMerge w:val="continue"/>
            <w:textDirection w:val="lrTb"/>
            <w:noWrap w:val="false"/>
          </w:tcPr>
          <w:p>
            <w:pPr>
              <w:jc w:val="cente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tc>
        <w:tc>
          <w:tcPr>
            <w:tcW w:w="1380" w:type="dxa"/>
            <w:vAlign w:val="center"/>
            <w:textDirection w:val="lrTb"/>
            <w:noWrap w:val="false"/>
          </w:tcPr>
          <w:p>
            <w:pPr>
              <w:jc w:val="center"/>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lang w:val="en-US" w:eastAsia="zh-CN"/>
              </w:rPr>
              <w:t xml:space="preserve">投标人</w:t>
            </w:r>
            <w:r>
              <w:rPr>
                <w:rFonts w:hint="eastAsia" w:ascii="仿宋" w:hAnsi="仿宋" w:eastAsia="仿宋" w:cs="仿宋"/>
                <w:bCs/>
                <w:color w:val="000000"/>
                <w:sz w:val="28"/>
                <w:szCs w:val="28"/>
                <w:highlight w:val="none"/>
              </w:rPr>
              <w:t xml:space="preserve">应急预案（</w:t>
            </w:r>
            <w:r>
              <w:rPr>
                <w:rFonts w:hint="eastAsia" w:ascii="仿宋" w:hAnsi="仿宋" w:eastAsia="仿宋" w:cs="仿宋"/>
                <w:bCs/>
                <w:color w:val="000000"/>
                <w:sz w:val="28"/>
                <w:szCs w:val="28"/>
                <w:highlight w:val="none"/>
                <w:lang w:val="en-US" w:eastAsia="zh-CN"/>
              </w:rPr>
              <w:t xml:space="preserve">20</w:t>
            </w:r>
            <w:r>
              <w:rPr>
                <w:rFonts w:hint="eastAsia" w:ascii="仿宋" w:hAnsi="仿宋" w:eastAsia="仿宋" w:cs="仿宋"/>
                <w:bCs/>
                <w:color w:val="000000"/>
                <w:sz w:val="28"/>
                <w:szCs w:val="28"/>
                <w:highlight w:val="none"/>
              </w:rPr>
              <w:t xml:space="preserve">分）</w:t>
            </w:r>
            <w:r/>
          </w:p>
        </w:tc>
        <w:tc>
          <w:tcPr>
            <w:tcW w:w="7275" w:type="dxa"/>
            <w:vAlign w:val="center"/>
            <w:textDirection w:val="lrTb"/>
            <w:noWrap w:val="false"/>
          </w:tcPr>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rPr>
              <w:t xml:space="preserve">评审专家针对</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val="en-US"/>
              </w:rPr>
              <w:t xml:space="preserve">文件中应急预案（如突发性食品安全事件，台风暴雨等灾害性天气，设备、仪器损坏，运输车辆遭遇堵车或故障等各种情况采取的应对措施），进行综合评价</w:t>
            </w:r>
            <w:r>
              <w:rPr>
                <w:rFonts w:hint="eastAsia" w:ascii="仿宋" w:hAnsi="仿宋" w:eastAsia="仿宋" w:cs="仿宋"/>
                <w:color w:val="auto"/>
                <w:sz w:val="28"/>
                <w:szCs w:val="28"/>
                <w:highlight w:val="none"/>
                <w:lang w:val="en-US" w:eastAsia="zh-CN"/>
              </w:rPr>
              <w:t xml:space="preserve">：</w:t>
            </w:r>
            <w:r/>
          </w:p>
          <w:p>
            <w:pPr>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全面性(7分)：全面具体详实得7分；较全面得5分；全面性欠缺得2分</w:t>
            </w:r>
            <w:r>
              <w:rPr>
                <w:rFonts w:hint="eastAsia" w:ascii="仿宋" w:hAnsi="仿宋" w:eastAsia="仿宋" w:cs="仿宋"/>
                <w:color w:val="auto"/>
                <w:sz w:val="28"/>
                <w:szCs w:val="28"/>
                <w:highlight w:val="none"/>
                <w:lang w:eastAsia="zh-CN"/>
              </w:rPr>
              <w:t xml:space="preserve">；</w:t>
            </w:r>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可</w:t>
            </w:r>
            <w:r>
              <w:rPr>
                <w:rFonts w:hint="eastAsia" w:ascii="仿宋" w:hAnsi="仿宋" w:eastAsia="仿宋" w:cs="仿宋"/>
                <w:color w:val="auto"/>
                <w:sz w:val="28"/>
                <w:szCs w:val="28"/>
                <w:highlight w:val="none"/>
                <w:lang w:val="en-US" w:eastAsia="zh-CN"/>
              </w:rPr>
              <w:t xml:space="preserve">行</w:t>
            </w:r>
            <w:r>
              <w:rPr>
                <w:rFonts w:hint="eastAsia" w:ascii="仿宋" w:hAnsi="仿宋" w:eastAsia="仿宋" w:cs="仿宋"/>
                <w:color w:val="auto"/>
                <w:sz w:val="28"/>
                <w:szCs w:val="28"/>
                <w:highlight w:val="none"/>
              </w:rPr>
              <w:t xml:space="preserve">性(</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bidi="ar-SA"/>
              </w:rPr>
              <w:t xml:space="preserve">符合实际切实可行</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bidi="ar-SA"/>
              </w:rPr>
              <w:t xml:space="preserve">较切实可行</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分；可</w:t>
            </w:r>
            <w:r>
              <w:rPr>
                <w:rFonts w:hint="eastAsia" w:ascii="仿宋" w:hAnsi="仿宋" w:eastAsia="仿宋" w:cs="仿宋"/>
                <w:color w:val="auto"/>
                <w:sz w:val="28"/>
                <w:szCs w:val="28"/>
                <w:highlight w:val="none"/>
                <w:lang w:val="en-US" w:eastAsia="zh-CN"/>
              </w:rPr>
              <w:t xml:space="preserve">行</w:t>
            </w:r>
            <w:r>
              <w:rPr>
                <w:rFonts w:hint="eastAsia" w:ascii="仿宋" w:hAnsi="仿宋" w:eastAsia="仿宋" w:cs="仿宋"/>
                <w:color w:val="auto"/>
                <w:sz w:val="28"/>
                <w:szCs w:val="28"/>
                <w:highlight w:val="none"/>
              </w:rPr>
              <w:t xml:space="preserve">性</w:t>
            </w:r>
            <w:r>
              <w:rPr>
                <w:rFonts w:hint="eastAsia" w:ascii="仿宋" w:hAnsi="仿宋" w:eastAsia="仿宋" w:cs="仿宋"/>
                <w:color w:val="auto"/>
                <w:sz w:val="28"/>
                <w:szCs w:val="28"/>
                <w:highlight w:val="none"/>
                <w:lang w:val="en-US" w:eastAsia="zh-CN"/>
              </w:rPr>
              <w:t xml:space="preserve">一般</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针对性强</w:t>
            </w:r>
            <w:r>
              <w:rPr>
                <w:rFonts w:hint="eastAsia" w:ascii="仿宋" w:hAnsi="仿宋" w:eastAsia="仿宋" w:cs="仿宋"/>
                <w:color w:val="auto"/>
                <w:sz w:val="28"/>
                <w:szCs w:val="28"/>
                <w:highlight w:val="none"/>
                <w:lang w:val="en-US" w:eastAsia="zh-CN"/>
              </w:rPr>
              <w:t xml:space="preserve">得6分；</w:t>
            </w:r>
            <w:r>
              <w:rPr>
                <w:rFonts w:hint="eastAsia" w:ascii="仿宋" w:hAnsi="仿宋" w:eastAsia="仿宋" w:cs="仿宋"/>
                <w:color w:val="auto"/>
                <w:sz w:val="28"/>
                <w:szCs w:val="28"/>
                <w:highlight w:val="none"/>
              </w:rPr>
              <w:t xml:space="preserve">针对性较强</w:t>
            </w:r>
            <w:r>
              <w:rPr>
                <w:rFonts w:hint="eastAsia" w:ascii="仿宋" w:hAnsi="仿宋" w:eastAsia="仿宋" w:cs="仿宋"/>
                <w:color w:val="auto"/>
                <w:sz w:val="28"/>
                <w:szCs w:val="28"/>
                <w:highlight w:val="none"/>
                <w:lang w:val="en-US" w:eastAsia="zh-CN"/>
              </w:rPr>
              <w:t xml:space="preserve">得3分；</w:t>
            </w: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val="en-US" w:eastAsia="zh-CN"/>
              </w:rPr>
              <w:t xml:space="preserve">一般得1分；</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未提供或提供与本项评分无关内容的不得分。</w:t>
            </w:r>
            <w:r/>
          </w:p>
        </w:tc>
      </w:tr>
    </w:tbl>
    <w:p>
      <w:pPr>
        <w:pStyle w:val="789"/>
        <w:ind w:left="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03"/>
        <w:rPr>
          <w:rFonts w:hint="eastAsia" w:ascii="仿宋" w:hAnsi="仿宋" w:eastAsia="仿宋" w:cs="仿宋"/>
          <w:b/>
          <w:bCs/>
          <w:color w:val="000000"/>
          <w:sz w:val="24"/>
        </w:rPr>
      </w:pPr>
      <w:r>
        <w:rPr>
          <w:rFonts w:hint="eastAsia" w:ascii="仿宋" w:hAnsi="仿宋" w:eastAsia="仿宋" w:cs="仿宋"/>
          <w:b/>
          <w:bCs/>
          <w:color w:val="000000"/>
          <w:sz w:val="24"/>
        </w:rPr>
      </w:r>
      <w:r/>
    </w:p>
    <w:p>
      <w:pPr>
        <w:jc w:val="both"/>
        <w:spacing w:line="360" w:lineRule="auto"/>
        <w:widowControl w:val="off"/>
        <w:rPr>
          <w:rFonts w:hint="eastAsia" w:ascii="仿宋" w:hAnsi="仿宋" w:eastAsia="仿宋" w:cs="仿宋"/>
          <w:b w:val="0"/>
          <w:bCs/>
          <w:color w:val="auto"/>
        </w:rPr>
      </w:pPr>
      <w:r>
        <w:rPr>
          <w:rFonts w:hint="eastAsia" w:ascii="仿宋" w:hAnsi="仿宋" w:eastAsia="仿宋" w:cs="仿宋"/>
          <w:b w:val="0"/>
          <w:bCs/>
          <w:color w:val="auto"/>
          <w:sz w:val="28"/>
          <w:szCs w:val="28"/>
        </w:rPr>
        <w:t xml:space="preserve">采购人有权对中标人以上内容进行复核，如发现存在弄虚作假或者不符合招标文件要求的行为，将被取消中标资格。</w:t>
      </w:r>
      <w:r/>
    </w:p>
    <w:p>
      <w:pPr>
        <w:pStyle w:val="1102"/>
        <w:ind w:left="0" w:right="1470"/>
        <w:rPr>
          <w:rFonts w:hint="eastAsia" w:ascii="仿宋" w:hAnsi="仿宋" w:eastAsia="仿宋" w:cs="仿宋"/>
          <w:b/>
          <w:color w:val="000000"/>
          <w:sz w:val="24"/>
          <w:szCs w:val="24"/>
        </w:rPr>
      </w:pPr>
      <w:r>
        <w:rPr>
          <w:rFonts w:hint="eastAsia" w:ascii="仿宋" w:hAnsi="仿宋" w:eastAsia="仿宋" w:cs="仿宋"/>
          <w:b w:val="0"/>
          <w:bCs/>
          <w:color w:val="auto"/>
          <w:sz w:val="28"/>
          <w:szCs w:val="28"/>
        </w:rPr>
        <w:t xml:space="preserve">本章说明：本项目采用综合评分法。</w:t>
      </w:r>
      <w:r/>
    </w:p>
    <w:p>
      <w:pPr>
        <w:pStyle w:val="803"/>
        <w:spacing w:line="360" w:lineRule="auto"/>
        <w:rPr>
          <w:rFonts w:hint="eastAsia" w:ascii="仿宋" w:hAnsi="仿宋" w:eastAsia="仿宋" w:cs="仿宋"/>
          <w:color w:val="000000"/>
          <w:sz w:val="28"/>
          <w:szCs w:val="28"/>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8"/>
          <w:szCs w:val="28"/>
        </w:rPr>
      </w:r>
      <w:r/>
    </w:p>
    <w:p>
      <w:pPr>
        <w:pStyle w:val="803"/>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p>
    <w:p>
      <w:pPr>
        <w:pStyle w:val="831"/>
        <w:rPr>
          <w:rFonts w:hint="eastAsia" w:ascii="仿宋" w:hAnsi="仿宋" w:eastAsia="仿宋" w:cs="仿宋"/>
          <w:color w:val="auto"/>
          <w:sz w:val="30"/>
          <w:szCs w:val="30"/>
          <w:lang w:val="en-US" w:eastAsia="zh-CN"/>
        </w:rPr>
      </w:pPr>
      <w:r>
        <w:rPr>
          <w:rFonts w:hint="eastAsia" w:ascii="仿宋" w:hAnsi="仿宋" w:eastAsia="仿宋" w:cs="仿宋"/>
          <w:color w:val="auto"/>
          <w:sz w:val="44"/>
          <w:szCs w:val="44"/>
          <w:lang w:eastAsia="zh-CN"/>
        </w:rPr>
        <w:t xml:space="preserve">第五章</w:t>
      </w:r>
      <w:r>
        <w:rPr>
          <w:rFonts w:hint="eastAsia" w:ascii="仿宋" w:hAnsi="仿宋" w:eastAsia="仿宋" w:cs="仿宋"/>
          <w:color w:val="auto"/>
          <w:sz w:val="44"/>
          <w:szCs w:val="44"/>
          <w:lang w:val="en-US" w:eastAsia="zh-CN"/>
        </w:rPr>
        <w:t xml:space="preserve">   拟签订的合同文本</w:t>
      </w:r>
      <w:r/>
    </w:p>
    <w:p>
      <w:pPr>
        <w:pStyle w:val="831"/>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w:t>
      </w:r>
      <w:r/>
    </w:p>
    <w:p>
      <w:pPr>
        <w:pStyle w:val="831"/>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项目编号：JSZC-320312-YXYX-G2024-0005</w:t>
      </w:r>
      <w:r/>
    </w:p>
    <w:p>
      <w:pPr>
        <w:pStyle w:val="831"/>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政</w:t>
      </w:r>
      <w:r/>
    </w:p>
    <w:p>
      <w:pPr>
        <w:pStyle w:val="831"/>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府</w:t>
      </w:r>
      <w:r/>
    </w:p>
    <w:p>
      <w:pPr>
        <w:pStyle w:val="831"/>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采</w:t>
      </w:r>
      <w:r/>
    </w:p>
    <w:p>
      <w:pPr>
        <w:pStyle w:val="831"/>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购</w:t>
      </w:r>
      <w:r/>
    </w:p>
    <w:p>
      <w:pPr>
        <w:pStyle w:val="831"/>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合</w:t>
      </w:r>
      <w:r/>
    </w:p>
    <w:p>
      <w:pPr>
        <w:pStyle w:val="831"/>
        <w:jc w:val="center"/>
        <w:rPr>
          <w:rFonts w:hint="eastAsia" w:ascii="仿宋" w:hAnsi="仿宋" w:eastAsia="仿宋" w:cs="仿宋"/>
          <w:color w:val="auto"/>
          <w:sz w:val="44"/>
          <w:szCs w:val="44"/>
          <w:lang w:eastAsia="zh-CN"/>
        </w:rPr>
      </w:pPr>
      <w:r>
        <w:rPr>
          <w:rFonts w:hint="eastAsia" w:ascii="仿宋" w:hAnsi="仿宋" w:eastAsia="仿宋" w:cs="仿宋"/>
          <w:color w:val="auto"/>
          <w:sz w:val="44"/>
          <w:szCs w:val="44"/>
          <w:lang w:eastAsia="zh-CN"/>
        </w:rPr>
        <w:t xml:space="preserve">同</w:t>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包：</w:t>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t xml:space="preserve">友情提醒：采购人与中标、成交供应商应当在中标、成交通知书发出之日起三十日内，按照采购文件确定的事项签订政府采购合同。</w:t>
      </w:r>
      <w:r/>
    </w:p>
    <w:p>
      <w:pPr>
        <w:pStyle w:val="831"/>
        <w:rPr>
          <w:rFonts w:hint="eastAsia" w:ascii="仿宋" w:hAnsi="仿宋" w:eastAsia="仿宋" w:cs="仿宋"/>
          <w:color w:val="000000"/>
          <w:sz w:val="28"/>
          <w:szCs w:val="28"/>
        </w:rPr>
      </w:pPr>
      <w:r>
        <w:rPr>
          <w:rFonts w:hint="eastAsia" w:ascii="仿宋" w:hAnsi="仿宋" w:eastAsia="仿宋" w:cs="仿宋"/>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24"/>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w:t>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824"/>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项目招标采购的结果，甲方将</w:t>
      </w:r>
      <w:r>
        <w:rPr>
          <w:rFonts w:hint="eastAsia" w:ascii="仿宋" w:hAnsi="仿宋" w:eastAsia="仿宋" w:cs="仿宋"/>
          <w:color w:val="auto"/>
          <w:sz w:val="28"/>
          <w:szCs w:val="28"/>
          <w:u w:val="single"/>
        </w:rPr>
        <w:t xml:space="preserve">             项目</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项目编号：JSZC-320312-YXYX-G2024-0005</w:t>
      </w:r>
      <w:r>
        <w:rPr>
          <w:rFonts w:hint="eastAsia" w:ascii="仿宋" w:hAnsi="仿宋" w:eastAsia="仿宋" w:cs="仿宋"/>
          <w:color w:val="auto"/>
          <w:sz w:val="28"/>
          <w:szCs w:val="28"/>
        </w:rPr>
        <w:t xml:space="preserve">）委托给乙方。根据《中华人民共和国民法典》、《中华人民共和国政府采购法》及有关法律、法规，在自愿、平等、协商一致的基础上，甲乙双方恪守公平、公正、诚信的原则，签订本合同。</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一、服务范围及内容：乙方根据甲方需求，提供下列服务： </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1、服务内容：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2、服务期限：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二、合同价及结算方式：</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1、合同总价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）。经双方协商一致， 选择以下第 （    ）种付款方式:</w:t>
      </w:r>
      <w:r/>
    </w:p>
    <w:p>
      <w:pPr>
        <w:pStyle w:val="803"/>
        <w:ind w:firstLine="56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付款方式一：提交预付款保函的</w:t>
      </w:r>
      <w:r/>
    </w:p>
    <w:p>
      <w:pPr>
        <w:pStyle w:val="803"/>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在合同签订生效15日内，乙方向甲方出具等额预付款保函后，办理政府采购资金结算手续，经审核后支付给乙方。</w:t>
      </w:r>
      <w:r/>
    </w:p>
    <w:p>
      <w:pPr>
        <w:pStyle w:val="803"/>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，在乙方完成</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任务后，买方自收到发票后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03"/>
        <w:ind w:firstLine="56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付款方式二：不提交预付款保函的</w:t>
      </w:r>
      <w:r/>
    </w:p>
    <w:p>
      <w:pPr>
        <w:pStyle w:val="803"/>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在合同签订生效，买方自收到发票（发票金额为合同总价的</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03"/>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，在乙方完成</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任务后，买方自收到发票（发票金额为合同总价的</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25"/>
        <w:ind w:firstLine="789"/>
        <w:spacing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乙方要求付款应提供以下资料：乙方开具的正式发票。 </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2、在招标文件未列明，而是乙方履行本合同必需的费用也包含在合同总价中。</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pStyle w:val="1092"/>
        <w:ind w:firstLine="482"/>
        <w:spacing w:before="120" w:after="120"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、组成本合同的有关文件</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1、乙方应按招标文件规定的时间向甲方提供服务的有关技术资料。</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3、关于本项目招标文件、投标文件或与本次采购活动方式相适应的文件及有关附件是本合同不可分割的组成部分，这些文件包括但不限于：</w:t>
      </w:r>
      <w:r/>
    </w:p>
    <w:p>
      <w:pPr>
        <w:pStyle w:val="1092"/>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（1）招标文件；（2）投标文件；（</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）中标（成交）通知书；（</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）甲乙双方补充协议；</w:t>
      </w:r>
      <w:r/>
    </w:p>
    <w:p>
      <w:pPr>
        <w:pStyle w:val="1092"/>
        <w:ind w:firstLine="482"/>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四</w:t>
      </w:r>
      <w:r>
        <w:rPr>
          <w:rFonts w:hint="eastAsia" w:ascii="仿宋" w:hAnsi="仿宋" w:eastAsia="仿宋" w:cs="仿宋"/>
          <w:b/>
          <w:bCs/>
          <w:color w:val="auto"/>
          <w:sz w:val="28"/>
          <w:szCs w:val="28"/>
        </w:rPr>
        <w:t xml:space="preserve">、甲乙双方的权利和义务：</w:t>
      </w:r>
      <w:r/>
    </w:p>
    <w:p>
      <w:pPr>
        <w:pStyle w:val="1092"/>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（一）甲方权利</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1、甲方有权要求乙方按合同规定提供服务。</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2、乙方违反合同任何条款，甲方有权提前3天以书面形式通知乙方终止本合同。</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3、甲方在项目结束后，有权要求乙方提供招标文件和合同要求中约定的全部资料。</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4、甲方委托乙方研究形成的报告及相应成果知识产权归甲方所有。</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5、对乙方工作进度、质量进行督查，甲方有权按合同约定要求乙方调整进度。</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（二）甲方义务</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1、甲方必须遵守本合同之规定及相关法律规定。</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2、甲方应尽可能向乙方提供可靠、详细的资料，并保证资料的真实性、准确性。</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3、未经乙方书面同意，甲方不得向任何第三方提供审核项目的信息。</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4、对乙方开展的项目提供必要的协助和指导。</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5、按合同约定向乙方支付项目费用。</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（三）乙方权利</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1、乙方有权要求甲方遵守本合同规定及其附件。</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2、乙方有权要求甲方按合同约定的时间支付相关费用。</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（四）乙方义务</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1、乙方必须遵守本合同之规定及相关法律规定。</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2、乙方按照本合同及招标文件和乙方的投标文件为甲方提供服务工作，乙方需要对项目组成员进行调整时，须书面征得甲方同意。</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、非经甲方书面同意，乙方不得向任何第三方透露项目的任何内容。</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、乙方人员在甲方活动时，需听从甲方有关人员安排和引导。</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、甲方提出收回向乙方提供的有关资料时，乙方应按照甲方要求将有关资料及其复制件返还甲方。</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、乙方按照合同约定要求完成项目。</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、乙方完成本协议工作内容所发生的人工、住宿、交通、餐饮等费用由乙方承担。</w:t>
      </w:r>
      <w:r/>
    </w:p>
    <w:p>
      <w:pPr>
        <w:pStyle w:val="825"/>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五</w:t>
      </w:r>
      <w:r>
        <w:rPr>
          <w:rFonts w:hint="eastAsia" w:ascii="仿宋" w:hAnsi="仿宋" w:eastAsia="仿宋" w:cs="仿宋"/>
          <w:b/>
          <w:bCs/>
          <w:color w:val="auto"/>
          <w:sz w:val="28"/>
          <w:szCs w:val="28"/>
        </w:rPr>
        <w:t xml:space="preserve">、违约责任</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1、甲方因</w:t>
      </w:r>
      <w:r>
        <w:rPr>
          <w:rFonts w:hint="eastAsia" w:ascii="仿宋" w:hAnsi="仿宋" w:eastAsia="仿宋" w:cs="仿宋"/>
          <w:color w:val="auto"/>
          <w:sz w:val="28"/>
          <w:szCs w:val="28"/>
          <w:lang w:val="en-US" w:eastAsia="zh-CN"/>
        </w:rPr>
        <w:t xml:space="preserve">政策</w:t>
      </w:r>
      <w:r>
        <w:rPr>
          <w:rFonts w:hint="eastAsia" w:ascii="仿宋" w:hAnsi="仿宋" w:eastAsia="仿宋" w:cs="仿宋"/>
          <w:color w:val="auto"/>
          <w:sz w:val="28"/>
          <w:szCs w:val="28"/>
        </w:rPr>
        <w:t xml:space="preserve">原因导致</w:t>
      </w:r>
      <w:r>
        <w:rPr>
          <w:rFonts w:hint="eastAsia" w:ascii="仿宋" w:hAnsi="仿宋" w:eastAsia="仿宋" w:cs="仿宋"/>
          <w:color w:val="auto"/>
          <w:sz w:val="28"/>
          <w:szCs w:val="28"/>
          <w:lang w:val="en-US" w:eastAsia="zh-CN"/>
        </w:rPr>
        <w:t xml:space="preserve">无法</w:t>
      </w:r>
      <w:r>
        <w:rPr>
          <w:rFonts w:hint="eastAsia" w:ascii="仿宋" w:hAnsi="仿宋" w:eastAsia="仿宋" w:cs="仿宋"/>
          <w:color w:val="auto"/>
          <w:sz w:val="28"/>
          <w:szCs w:val="28"/>
        </w:rPr>
        <w:t xml:space="preserve">继续履行本合同的，甲方可以要求解除本合同，解除通知发出后满7天合同即终止，合同款项按终止日结算，已支付但超出结算款项部分乙方应予退还甲方，已支付款项少于结算款项的，甲方应向乙方支付差额部分。</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2、乙方因无力履行合同提出解约，须全额返还甲方已支付的款项，并向甲方支付合同项目总费用100%的违约金。</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3、未经甲方同意，乙方不得私自更换投标文件中承诺的主要人员。</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4、未经甲方允许，乙方将项目转包或分包的，甲方有权终止合同，并扣</w:t>
      </w:r>
      <w:r>
        <w:rPr>
          <w:rFonts w:hint="eastAsia" w:ascii="仿宋" w:hAnsi="仿宋" w:eastAsia="仿宋" w:cs="仿宋"/>
          <w:color w:val="auto"/>
          <w:sz w:val="28"/>
          <w:szCs w:val="28"/>
          <w:lang w:val="en-US" w:eastAsia="zh-CN"/>
        </w:rPr>
        <w:t xml:space="preserve">除</w:t>
      </w:r>
      <w:r>
        <w:rPr>
          <w:rFonts w:hint="eastAsia" w:ascii="仿宋" w:hAnsi="仿宋" w:eastAsia="仿宋" w:cs="仿宋"/>
          <w:color w:val="auto"/>
          <w:sz w:val="28"/>
          <w:szCs w:val="28"/>
        </w:rPr>
        <w:t xml:space="preserve">乙方合同价20%的违约金。</w:t>
      </w:r>
      <w:r/>
    </w:p>
    <w:p>
      <w:pPr>
        <w:pStyle w:val="825"/>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六</w:t>
      </w:r>
      <w:r>
        <w:rPr>
          <w:rFonts w:hint="eastAsia" w:ascii="仿宋" w:hAnsi="仿宋" w:eastAsia="仿宋" w:cs="仿宋"/>
          <w:b/>
          <w:bCs/>
          <w:color w:val="auto"/>
          <w:sz w:val="28"/>
          <w:szCs w:val="28"/>
        </w:rPr>
        <w:t xml:space="preserve">、不可抗力事件处理</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1、在合同有效期内，任何一方因不可抗力事件导致不能履行合同，则合同履行期可延长，其延长期与不可抗力影响期相同。</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2、不可抗力事件发生后，应立即通知对方，并寄送有关权威机构出具的证明。</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3、不可抗力事件延续120天以上，双方应通过友好协商，确定是否继续履行合同。</w:t>
      </w:r>
      <w:r/>
    </w:p>
    <w:p>
      <w:pPr>
        <w:pStyle w:val="825"/>
        <w:ind w:firstLine="482"/>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七</w:t>
      </w:r>
      <w:r>
        <w:rPr>
          <w:rFonts w:hint="eastAsia" w:ascii="仿宋" w:hAnsi="仿宋" w:eastAsia="仿宋" w:cs="仿宋"/>
          <w:b/>
          <w:bCs/>
          <w:color w:val="auto"/>
          <w:sz w:val="28"/>
          <w:szCs w:val="28"/>
        </w:rPr>
        <w:t xml:space="preserve">、合同生效及其它约定事项</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1、合同经双方法定代表人或授权代表人签字并加盖单位公章后生效。</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2、招标文件和乙方的投标文件为本合同的不可分割的组成部分，与本合同具有同样效力。</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3、知识产权保证：</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乙方保证甲方在使用、接受本合同服务或其任何一部分时，不受第三方提出侵犯其专利权、版权、商标权和工业设计权等知识产权的起诉。一旦出现侵权，由乙方负全部责任。</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、本合同附件为本合同组成部分，与本合同具有同等效力。</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、本合同未尽事宜甲乙双方协商解决，协商不一致时，向甲方所在地人民法院起诉。</w:t>
      </w:r>
      <w:r/>
    </w:p>
    <w:p>
      <w:pPr>
        <w:pStyle w:val="825"/>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、本合同一式</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份，具有同等法律效力，甲方执</w:t>
      </w:r>
      <w:r>
        <w:rPr>
          <w:rFonts w:hint="eastAsia" w:ascii="仿宋" w:hAnsi="仿宋" w:eastAsia="仿宋" w:cs="仿宋"/>
          <w:color w:val="auto"/>
          <w:sz w:val="28"/>
          <w:szCs w:val="28"/>
          <w:u w:val="single"/>
        </w:rPr>
        <w:t xml:space="preserve">贰</w:t>
      </w:r>
      <w:r>
        <w:rPr>
          <w:rFonts w:hint="eastAsia" w:ascii="仿宋" w:hAnsi="仿宋" w:eastAsia="仿宋" w:cs="仿宋"/>
          <w:color w:val="auto"/>
          <w:sz w:val="28"/>
          <w:szCs w:val="28"/>
        </w:rPr>
        <w:t xml:space="preserve">份、乙方执</w:t>
      </w:r>
      <w:r>
        <w:rPr>
          <w:rFonts w:hint="eastAsia" w:ascii="仿宋" w:hAnsi="仿宋" w:eastAsia="仿宋" w:cs="仿宋"/>
          <w:color w:val="auto"/>
          <w:sz w:val="28"/>
          <w:szCs w:val="28"/>
          <w:u w:val="single"/>
        </w:rPr>
        <w:t xml:space="preserve">贰</w:t>
      </w:r>
      <w:r>
        <w:rPr>
          <w:rFonts w:hint="eastAsia" w:ascii="仿宋" w:hAnsi="仿宋" w:eastAsia="仿宋" w:cs="仿宋"/>
          <w:color w:val="auto"/>
          <w:sz w:val="28"/>
          <w:szCs w:val="28"/>
        </w:rPr>
        <w:t xml:space="preserve">份，采购代理机构</w:t>
      </w:r>
      <w:r>
        <w:rPr>
          <w:rFonts w:hint="eastAsia" w:ascii="仿宋" w:hAnsi="仿宋" w:eastAsia="仿宋" w:cs="仿宋"/>
          <w:color w:val="auto"/>
          <w:sz w:val="28"/>
          <w:szCs w:val="28"/>
          <w:u w:val="single"/>
        </w:rPr>
        <w:t xml:space="preserve">壹份</w:t>
      </w:r>
      <w:r>
        <w:rPr>
          <w:rFonts w:hint="eastAsia" w:ascii="仿宋" w:hAnsi="仿宋" w:eastAsia="仿宋" w:cs="仿宋"/>
          <w:color w:val="auto"/>
          <w:sz w:val="28"/>
          <w:szCs w:val="28"/>
        </w:rPr>
        <w:t xml:space="preserve">存档。</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甲方和乙方由其正式授权代表于上述所写日期和地点签订本合同。</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甲方（签章）：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_______________</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乙方（签章）：</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82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jc w:val="both"/>
        <w:spacing w:before="91" w:line="220" w:lineRule="auto"/>
        <w:rPr>
          <w:rFonts w:hint="eastAsia" w:ascii="仿宋" w:hAnsi="仿宋" w:eastAsia="仿宋" w:cs="仿宋"/>
          <w:color w:val="auto"/>
          <w:spacing w:val="-1"/>
          <w:sz w:val="28"/>
          <w:szCs w:val="28"/>
          <w:lang w:val="en-US" w:eastAsia="zh-CN"/>
        </w:rPr>
        <w:outlineLvl w:val="0"/>
      </w:pPr>
      <w:r>
        <w:rPr>
          <w:rFonts w:hint="eastAsia" w:ascii="仿宋" w:hAnsi="仿宋" w:eastAsia="仿宋" w:cs="仿宋"/>
          <w:color w:val="auto"/>
          <w:sz w:val="28"/>
          <w:szCs w:val="28"/>
        </w:rPr>
        <w:t xml:space="preserve">法定代表人或授权代表(签名)： _________</w:t>
      </w:r>
      <w:r/>
    </w:p>
    <w:p>
      <w:pPr>
        <w:pStyle w:val="803"/>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3"/>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3"/>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3"/>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3"/>
        <w:ind w:firstLine="2880"/>
        <w:jc w:val="both"/>
        <w:widowControl/>
        <w:rPr>
          <w:rFonts w:hint="eastAsia" w:ascii="仿宋" w:hAnsi="仿宋" w:eastAsia="仿宋" w:cs="仿宋"/>
          <w:color w:val="000000"/>
          <w:sz w:val="36"/>
          <w:szCs w:val="36"/>
        </w:rPr>
      </w:pPr>
      <w:r>
        <w:rPr>
          <w:rFonts w:hint="eastAsia" w:ascii="仿宋" w:hAnsi="仿宋" w:eastAsia="仿宋" w:cs="仿宋"/>
          <w:color w:val="000000"/>
          <w:sz w:val="32"/>
          <w:szCs w:val="32"/>
        </w:rPr>
        <w:t xml:space="preserve">第</w:t>
      </w:r>
      <w:r>
        <w:rPr>
          <w:rFonts w:hint="eastAsia" w:ascii="仿宋" w:hAnsi="仿宋" w:eastAsia="仿宋" w:cs="仿宋"/>
          <w:color w:val="000000"/>
          <w:sz w:val="32"/>
          <w:szCs w:val="32"/>
          <w:lang w:eastAsia="zh-CN"/>
        </w:rPr>
        <w:t xml:space="preserve">六</w:t>
      </w:r>
      <w:r>
        <w:rPr>
          <w:rFonts w:hint="eastAsia" w:ascii="仿宋" w:hAnsi="仿宋" w:eastAsia="仿宋" w:cs="仿宋"/>
          <w:color w:val="000000"/>
          <w:sz w:val="32"/>
          <w:szCs w:val="32"/>
        </w:rPr>
        <w:t xml:space="preserve">章  </w:t>
      </w:r>
      <w:r>
        <w:rPr>
          <w:rFonts w:hint="eastAsia" w:ascii="仿宋" w:hAnsi="仿宋" w:eastAsia="仿宋" w:cs="仿宋"/>
          <w:color w:val="auto"/>
          <w:sz w:val="36"/>
          <w:szCs w:val="36"/>
          <w:highlight w:val="none"/>
        </w:rPr>
        <w:t xml:space="preserve">采购需求</w:t>
      </w:r>
      <w:r/>
    </w:p>
    <w:p>
      <w:pPr>
        <w:ind w:right="567"/>
        <w:jc w:val="both"/>
        <w:keepLines w:val="0"/>
        <w:keepNext w:val="0"/>
        <w:pageBreakBefore w:val="0"/>
        <w:spacing w:before="125" w:line="360" w:lineRule="auto"/>
        <w:rPr>
          <w:rFonts w:hint="eastAsia" w:ascii="仿宋" w:hAnsi="仿宋" w:eastAsia="仿宋" w:cs="仿宋"/>
          <w:b/>
          <w:bCs/>
          <w:color w:val="auto"/>
          <w:sz w:val="28"/>
          <w:szCs w:val="28"/>
        </w:rPr>
      </w:pPr>
      <w:r>
        <w:rPr>
          <w:rFonts w:hint="eastAsia" w:ascii="仿宋" w:hAnsi="仿宋" w:eastAsia="仿宋" w:cs="仿宋"/>
          <w:b/>
          <w:color w:val="auto"/>
          <w:sz w:val="28"/>
          <w:szCs w:val="28"/>
        </w:rPr>
        <w:t xml:space="preserve">一、采购标的：</w:t>
      </w:r>
      <w:r>
        <w:rPr>
          <w:rFonts w:hint="eastAsia" w:ascii="仿宋" w:hAnsi="仿宋" w:eastAsia="仿宋" w:cs="仿宋"/>
          <w:b/>
          <w:bCs/>
          <w:color w:val="auto"/>
          <w:sz w:val="28"/>
          <w:szCs w:val="28"/>
        </w:rPr>
        <w:t xml:space="preserve">202</w:t>
      </w:r>
      <w:r>
        <w:rPr>
          <w:rFonts w:hint="eastAsia" w:ascii="仿宋" w:hAnsi="仿宋" w:eastAsia="仿宋" w:cs="仿宋"/>
          <w:b/>
          <w:bCs/>
          <w:color w:val="auto"/>
          <w:sz w:val="28"/>
          <w:szCs w:val="28"/>
          <w:lang w:val="en-US" w:eastAsia="zh-CN"/>
        </w:rPr>
        <w:t xml:space="preserve">4</w:t>
      </w:r>
      <w:r>
        <w:rPr>
          <w:rFonts w:hint="eastAsia" w:ascii="仿宋" w:hAnsi="仿宋" w:eastAsia="仿宋" w:cs="仿宋"/>
          <w:b/>
          <w:bCs/>
          <w:color w:val="auto"/>
          <w:sz w:val="28"/>
          <w:szCs w:val="28"/>
        </w:rPr>
        <w:t xml:space="preserve">年铜山区农产品质量安全风险监测项目</w:t>
      </w:r>
      <w:r/>
    </w:p>
    <w:p>
      <w:pPr>
        <w:pStyle w:val="786"/>
        <w:rPr>
          <w:rFonts w:hint="eastAsia" w:ascii="仿宋" w:hAnsi="仿宋" w:eastAsia="仿宋" w:cs="仿宋"/>
          <w:sz w:val="28"/>
          <w:szCs w:val="28"/>
          <w:lang w:eastAsia="zh-CN"/>
        </w:rPr>
      </w:pPr>
      <w:r>
        <w:rPr>
          <w:rFonts w:hint="eastAsia" w:ascii="仿宋" w:hAnsi="仿宋" w:eastAsia="仿宋" w:cs="仿宋"/>
          <w:b/>
          <w:bCs/>
          <w:sz w:val="28"/>
          <w:szCs w:val="28"/>
        </w:rPr>
        <w:t xml:space="preserve">二、项目预算：</w:t>
      </w:r>
      <w:r>
        <w:rPr>
          <w:rFonts w:hint="eastAsia" w:ascii="仿宋" w:hAnsi="仿宋" w:eastAsia="仿宋" w:cs="仿宋"/>
          <w:sz w:val="28"/>
          <w:szCs w:val="28"/>
        </w:rPr>
        <w:t xml:space="preserve">本项目采购预算总金额</w:t>
      </w:r>
      <w:r>
        <w:rPr>
          <w:rFonts w:hint="eastAsia" w:ascii="仿宋" w:hAnsi="仿宋" w:eastAsia="仿宋" w:cs="仿宋"/>
          <w:sz w:val="28"/>
          <w:szCs w:val="28"/>
          <w:lang w:val="en-US" w:eastAsia="zh-CN"/>
        </w:rPr>
        <w:t xml:space="preserve">136.8130</w:t>
      </w:r>
      <w:r>
        <w:rPr>
          <w:rFonts w:hint="eastAsia" w:ascii="仿宋" w:hAnsi="仿宋" w:eastAsia="仿宋" w:cs="仿宋"/>
          <w:sz w:val="28"/>
          <w:szCs w:val="28"/>
        </w:rPr>
        <w:t xml:space="preserve">万元人民币</w:t>
      </w:r>
      <w:r>
        <w:rPr>
          <w:rFonts w:hint="eastAsia" w:ascii="仿宋" w:hAnsi="仿宋" w:eastAsia="仿宋" w:cs="仿宋"/>
          <w:sz w:val="28"/>
          <w:szCs w:val="28"/>
          <w:lang w:eastAsia="zh-CN"/>
        </w:rPr>
        <w:t xml:space="preserve">，分五个采购包。</w:t>
      </w:r>
      <w:r/>
    </w:p>
    <w:p>
      <w:pPr>
        <w:pStyle w:val="786"/>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一不接受超过</w:t>
      </w:r>
      <w:r>
        <w:rPr>
          <w:rFonts w:hint="eastAsia" w:ascii="仿宋" w:hAnsi="仿宋" w:eastAsia="仿宋" w:cs="仿宋"/>
          <w:sz w:val="28"/>
          <w:szCs w:val="28"/>
          <w:lang w:val="en-US" w:eastAsia="zh-CN"/>
        </w:rPr>
        <w:t xml:space="preserve">296000</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p>
    <w:p>
      <w:pPr>
        <w:pStyle w:val="786"/>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二不接受超过</w:t>
      </w:r>
      <w:r>
        <w:rPr>
          <w:rFonts w:hint="eastAsia" w:ascii="仿宋" w:hAnsi="仿宋" w:eastAsia="仿宋" w:cs="仿宋"/>
          <w:sz w:val="28"/>
          <w:szCs w:val="28"/>
          <w:lang w:val="en-US" w:eastAsia="zh-CN"/>
        </w:rPr>
        <w:t xml:space="preserve">287000</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p>
    <w:p>
      <w:pPr>
        <w:pStyle w:val="786"/>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272000</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p>
    <w:p>
      <w:pPr>
        <w:pStyle w:val="786"/>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267000</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p>
    <w:p>
      <w:pPr>
        <w:pStyle w:val="786"/>
        <w:rPr>
          <w:rFonts w:hint="eastAsia" w:ascii="仿宋" w:hAnsi="仿宋" w:eastAsia="仿宋" w:cs="仿宋"/>
          <w:sz w:val="28"/>
          <w:szCs w:val="28"/>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246130</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p>
    <w:p>
      <w:pPr>
        <w:pStyle w:val="786"/>
        <w:rPr>
          <w:rFonts w:hint="eastAsia" w:ascii="仿宋" w:hAnsi="仿宋" w:eastAsia="仿宋" w:cs="仿宋"/>
          <w:sz w:val="28"/>
          <w:szCs w:val="28"/>
        </w:rPr>
      </w:pPr>
      <w:r>
        <w:rPr>
          <w:rFonts w:hint="eastAsia" w:ascii="仿宋" w:hAnsi="仿宋" w:eastAsia="仿宋" w:cs="仿宋"/>
          <w:sz w:val="28"/>
          <w:szCs w:val="28"/>
        </w:rPr>
        <w:t xml:space="preserve">（报价包含项目完成所需全部费用（含支付现场抽样样品费），采购人不再支付报价以外的任何费用。）</w:t>
      </w:r>
      <w:r>
        <w:rPr>
          <w:rFonts w:hint="eastAsia" w:ascii="仿宋" w:hAnsi="仿宋" w:eastAsia="仿宋" w:cs="仿宋"/>
          <w:sz w:val="28"/>
          <w:szCs w:val="28"/>
          <w:lang w:val="en-US" w:eastAsia="zh-CN"/>
        </w:rPr>
        <w:t xml:space="preserve">投标人可以选择参与一个或全部采购包的投标报价，但只能中标一个采购包。</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按采购包1至采购包5的顺序</w:t>
      </w:r>
      <w:r>
        <w:rPr>
          <w:rFonts w:hint="eastAsia" w:ascii="仿宋" w:hAnsi="仿宋" w:eastAsia="仿宋" w:cs="仿宋"/>
          <w:sz w:val="28"/>
          <w:szCs w:val="28"/>
          <w:lang w:eastAsia="zh-CN"/>
        </w:rPr>
        <w:t xml:space="preserve">依次进行评标和定标</w:t>
      </w:r>
      <w:r>
        <w:rPr>
          <w:rFonts w:hint="eastAsia" w:ascii="仿宋" w:hAnsi="仿宋" w:eastAsia="仿宋" w:cs="仿宋"/>
          <w:sz w:val="28"/>
          <w:szCs w:val="28"/>
          <w:lang w:val="en-US" w:eastAsia="zh-CN"/>
        </w:rPr>
        <w:t xml:space="preserve">。</w:t>
      </w:r>
      <w:r/>
    </w:p>
    <w:p>
      <w:pPr>
        <w:pStyle w:val="786"/>
        <w:rPr>
          <w:rFonts w:hint="eastAsia" w:ascii="仿宋" w:hAnsi="仿宋" w:eastAsia="仿宋" w:cs="仿宋"/>
          <w:b/>
          <w:bCs/>
          <w:color w:val="auto"/>
          <w:spacing w:val="-11"/>
          <w:szCs w:val="28"/>
        </w:rPr>
      </w:pPr>
      <w:r>
        <w:rPr>
          <w:rFonts w:hint="eastAsia" w:ascii="仿宋" w:hAnsi="仿宋" w:eastAsia="仿宋" w:cs="仿宋"/>
          <w:b/>
          <w:bCs/>
          <w:sz w:val="28"/>
          <w:szCs w:val="28"/>
        </w:rPr>
        <w:t xml:space="preserve">三、服务期：自合同签定之日起至项目结束</w:t>
      </w:r>
      <w:r>
        <w:rPr>
          <w:rFonts w:hint="eastAsia" w:ascii="仿宋" w:hAnsi="仿宋" w:eastAsia="仿宋" w:cs="仿宋"/>
          <w:b/>
          <w:bCs/>
          <w:color w:val="auto"/>
          <w:spacing w:val="-11"/>
          <w:szCs w:val="28"/>
        </w:rPr>
        <w:t xml:space="preserve">。</w:t>
      </w:r>
      <w:r/>
    </w:p>
    <w:p>
      <w:pPr>
        <w:ind w:right="567"/>
        <w:keepLines w:val="0"/>
        <w:keepNext w:val="0"/>
        <w:pageBreakBefore w:val="0"/>
        <w:spacing w:before="47" w:line="360" w:lineRule="auto"/>
        <w:rPr>
          <w:rFonts w:hint="eastAsia" w:ascii="仿宋" w:hAnsi="仿宋" w:eastAsia="仿宋" w:cs="仿宋"/>
          <w:b/>
          <w:sz w:val="28"/>
          <w:szCs w:val="28"/>
        </w:rPr>
      </w:pPr>
      <w:r>
        <w:rPr>
          <w:rFonts w:hint="eastAsia" w:ascii="仿宋" w:hAnsi="仿宋" w:eastAsia="仿宋" w:cs="仿宋"/>
          <w:b/>
          <w:spacing w:val="-9"/>
          <w:sz w:val="28"/>
          <w:szCs w:val="28"/>
        </w:rPr>
        <w:t xml:space="preserve">四、项目概述：</w:t>
      </w:r>
      <w:r/>
    </w:p>
    <w:p>
      <w:pPr>
        <w:pStyle w:val="786"/>
        <w:ind w:left="200" w:right="567" w:firstLine="528"/>
        <w:jc w:val="both"/>
        <w:keepLines w:val="0"/>
        <w:keepNext w:val="0"/>
        <w:pageBreakBefore w:val="0"/>
        <w:spacing w:line="360" w:lineRule="auto"/>
        <w:rPr>
          <w:rFonts w:hint="eastAsia" w:ascii="仿宋" w:hAnsi="仿宋" w:eastAsia="仿宋" w:cs="仿宋"/>
          <w:spacing w:val="-8"/>
          <w:sz w:val="28"/>
          <w:szCs w:val="28"/>
        </w:rPr>
      </w:pPr>
      <w:r>
        <w:rPr>
          <w:rFonts w:hint="eastAsia" w:ascii="仿宋" w:hAnsi="仿宋" w:eastAsia="仿宋" w:cs="仿宋"/>
          <w:spacing w:val="-8"/>
          <w:sz w:val="28"/>
          <w:szCs w:val="28"/>
          <w:lang w:val="en-US" w:eastAsia="zh-CN"/>
        </w:rPr>
        <w:t xml:space="preserve">为深入贯彻</w:t>
      </w:r>
      <w:r>
        <w:rPr>
          <w:rFonts w:hint="eastAsia" w:ascii="仿宋" w:hAnsi="仿宋" w:eastAsia="仿宋" w:cs="仿宋"/>
          <w:spacing w:val="-8"/>
          <w:sz w:val="28"/>
          <w:szCs w:val="28"/>
        </w:rPr>
        <w:t xml:space="preserve">《农产品质量安全法》、《江苏省农产品质量安全条例》</w:t>
      </w:r>
      <w:r>
        <w:rPr>
          <w:rFonts w:hint="eastAsia" w:ascii="仿宋" w:hAnsi="仿宋" w:eastAsia="仿宋" w:cs="仿宋"/>
          <w:spacing w:val="-8"/>
          <w:sz w:val="28"/>
          <w:szCs w:val="28"/>
          <w:lang w:eastAsia="zh-CN"/>
        </w:rPr>
        <w:t xml:space="preserve">，</w:t>
      </w:r>
      <w:r>
        <w:rPr>
          <w:rFonts w:hint="eastAsia" w:ascii="仿宋" w:hAnsi="仿宋" w:eastAsia="仿宋" w:cs="仿宋"/>
          <w:spacing w:val="-8"/>
          <w:sz w:val="28"/>
          <w:szCs w:val="28"/>
          <w:lang w:val="en-US" w:eastAsia="zh-CN"/>
        </w:rPr>
        <w:t xml:space="preserve">根据</w:t>
      </w:r>
      <w:r>
        <w:rPr>
          <w:rFonts w:hint="eastAsia" w:ascii="仿宋" w:hAnsi="仿宋" w:eastAsia="仿宋" w:cs="仿宋"/>
          <w:spacing w:val="-8"/>
          <w:sz w:val="28"/>
          <w:szCs w:val="28"/>
        </w:rPr>
        <w:t xml:space="preserve">省委省政府《关于深化改革加强食品安全工作的实施意见》以及我市食品安全工作评议考核有关要求，我</w:t>
      </w:r>
      <w:r>
        <w:rPr>
          <w:rFonts w:hint="eastAsia" w:ascii="仿宋" w:hAnsi="仿宋" w:eastAsia="仿宋" w:cs="仿宋"/>
          <w:spacing w:val="-8"/>
          <w:sz w:val="28"/>
          <w:szCs w:val="28"/>
          <w:lang w:val="en-US" w:eastAsia="zh-CN"/>
        </w:rPr>
        <w:t xml:space="preserve">区</w:t>
      </w:r>
      <w:r>
        <w:rPr>
          <w:rFonts w:hint="eastAsia" w:ascii="仿宋" w:hAnsi="仿宋" w:eastAsia="仿宋" w:cs="仿宋"/>
          <w:spacing w:val="-8"/>
          <w:sz w:val="28"/>
          <w:szCs w:val="28"/>
          <w:lang w:eastAsia="zh-CN"/>
        </w:rPr>
        <w:t xml:space="preserve">2024</w:t>
      </w:r>
      <w:r>
        <w:rPr>
          <w:rFonts w:hint="eastAsia" w:ascii="仿宋" w:hAnsi="仿宋" w:eastAsia="仿宋" w:cs="仿宋"/>
          <w:spacing w:val="-8"/>
          <w:sz w:val="28"/>
          <w:szCs w:val="28"/>
        </w:rPr>
        <w:t xml:space="preserve">年继续组织开展种植、畜禽、水产品等农产品质量安全的风险监测工作（包括例行监测和监督抽查），主要内</w:t>
      </w:r>
      <w:r>
        <w:rPr>
          <w:rFonts w:hint="eastAsia" w:ascii="仿宋" w:hAnsi="仿宋" w:eastAsia="仿宋" w:cs="仿宋"/>
          <w:spacing w:val="-20"/>
          <w:sz w:val="28"/>
          <w:szCs w:val="28"/>
        </w:rPr>
        <w:t xml:space="preserve">容包括</w:t>
      </w:r>
      <w:r>
        <w:rPr>
          <w:rFonts w:hint="eastAsia" w:ascii="仿宋" w:hAnsi="仿宋" w:eastAsia="仿宋" w:cs="仿宋"/>
          <w:spacing w:val="-13"/>
          <w:sz w:val="28"/>
          <w:szCs w:val="28"/>
        </w:rPr>
        <w:t xml:space="preserve">抽样、样品质量检测等。标段</w:t>
      </w:r>
      <w:r>
        <w:rPr>
          <w:rFonts w:hint="eastAsia" w:ascii="仿宋" w:hAnsi="仿宋" w:eastAsia="仿宋" w:cs="仿宋"/>
          <w:spacing w:val="-8"/>
          <w:sz w:val="28"/>
          <w:szCs w:val="28"/>
        </w:rPr>
        <w:t xml:space="preserve">划分如下：</w:t>
      </w:r>
      <w:r/>
    </w:p>
    <w:p>
      <w:pPr>
        <w:pStyle w:val="786"/>
        <w:ind w:right="567"/>
        <w:jc w:val="both"/>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pacing w:val="-8"/>
          <w:sz w:val="28"/>
          <w:szCs w:val="28"/>
          <w:lang w:val="en-US" w:eastAsia="zh-CN"/>
        </w:rPr>
        <w:t xml:space="preserve">（一）</w:t>
      </w:r>
      <w:r>
        <w:rPr>
          <w:rFonts w:hint="eastAsia" w:ascii="仿宋" w:hAnsi="仿宋" w:eastAsia="仿宋" w:cs="仿宋"/>
          <w:b/>
          <w:bCs/>
          <w:sz w:val="28"/>
          <w:szCs w:val="28"/>
          <w:lang w:eastAsia="zh-CN"/>
        </w:rPr>
        <w:t xml:space="preserve">采购包</w:t>
      </w:r>
      <w:r>
        <w:rPr>
          <w:rFonts w:hint="eastAsia" w:ascii="仿宋" w:hAnsi="仿宋" w:eastAsia="仿宋" w:cs="仿宋"/>
          <w:b/>
          <w:bCs/>
          <w:sz w:val="28"/>
          <w:szCs w:val="28"/>
        </w:rPr>
        <w:t xml:space="preserve">一：</w:t>
      </w:r>
      <w:r/>
    </w:p>
    <w:p>
      <w:pPr>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02</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年铜山区农产品质量安全风险监测项目任务分配表</w:t>
      </w:r>
      <w:bookmarkStart w:id="1" w:name="丰__县"/>
      <w:r/>
      <w:bookmarkEnd w:id="1"/>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812"/>
        <w:tblW w:w="9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855"/>
        <w:gridCol w:w="1020"/>
        <w:gridCol w:w="1185"/>
        <w:gridCol w:w="1050"/>
        <w:gridCol w:w="690"/>
        <w:gridCol w:w="1230"/>
        <w:gridCol w:w="1140"/>
        <w:gridCol w:w="1110"/>
        <w:gridCol w:w="765"/>
      </w:tblGrid>
      <w:tr>
        <w:trPr/>
        <w:tc>
          <w:tcPr>
            <w:tcW w:w="646" w:type="dxa"/>
            <w:vAlign w:val="top"/>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采购包</w:t>
            </w:r>
            <w:r/>
          </w:p>
        </w:tc>
        <w:tc>
          <w:tcPr>
            <w:tcW w:w="855" w:type="dxa"/>
            <w:vAlign w:val="top"/>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镇（街道）</w:t>
            </w:r>
            <w:r/>
          </w:p>
        </w:tc>
        <w:tc>
          <w:tcPr>
            <w:gridSpan w:val="4"/>
            <w:tcW w:w="3945" w:type="dxa"/>
            <w:vAlign w:val="top"/>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例行抽检</w:t>
            </w:r>
            <w:r/>
          </w:p>
        </w:tc>
        <w:tc>
          <w:tcPr>
            <w:gridSpan w:val="4"/>
            <w:tcW w:w="4245" w:type="dxa"/>
            <w:vAlign w:val="top"/>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监督抽检</w:t>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农产品（个）</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畜产品（个）</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水产品（个）</w:t>
            </w:r>
            <w:r/>
          </w:p>
        </w:tc>
        <w:tc>
          <w:tcPr>
            <w:tcW w:w="69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数量</w:t>
            </w:r>
            <w:r/>
          </w:p>
        </w:tc>
        <w:tc>
          <w:tcPr>
            <w:tcW w:w="1230" w:type="dxa"/>
            <w:vAlign w:val="center"/>
            <w:textDirection w:val="lrTb"/>
            <w:noWrap w:val="false"/>
          </w:tcPr>
          <w:p>
            <w:pPr>
              <w:jc w:val="center"/>
              <w:keepLines w:val="0"/>
              <w:keepNext w:val="0"/>
              <w:spacing w:after="0" w:line="240" w:lineRule="auto"/>
              <w:widowControl/>
              <w:rPr>
                <w:rFonts w:hint="eastAsia" w:ascii="仿宋" w:hAnsi="仿宋" w:eastAsia="仿宋" w:cs="仿宋"/>
                <w:b w:val="0"/>
                <w:bCs/>
                <w:sz w:val="24"/>
                <w:szCs w:val="24"/>
                <w:vertAlign w:val="baseline"/>
                <w:lang w:eastAsia="zh-CN"/>
              </w:rPr>
              <w:suppressLineNumbers w:val="0"/>
            </w:pPr>
            <w:r>
              <w:rPr>
                <w:rFonts w:hint="eastAsia" w:ascii="宋体" w:hAnsi="宋体" w:eastAsia="宋体" w:cs="宋体"/>
                <w:b w:val="0"/>
                <w:bCs/>
                <w:i w:val="0"/>
                <w:color w:val="000000"/>
                <w:sz w:val="24"/>
                <w:szCs w:val="24"/>
                <w:u w:val="none"/>
                <w:lang w:val="en-US" w:eastAsia="zh-CN" w:bidi="ar"/>
              </w:rPr>
              <w:t xml:space="preserve">农产品（个）</w:t>
            </w:r>
            <w:r/>
          </w:p>
        </w:tc>
        <w:tc>
          <w:tcPr>
            <w:tcW w:w="1140" w:type="dxa"/>
            <w:vAlign w:val="center"/>
            <w:textDirection w:val="lrTb"/>
            <w:noWrap w:val="false"/>
          </w:tcPr>
          <w:p>
            <w:pPr>
              <w:jc w:val="center"/>
              <w:keepLines w:val="0"/>
              <w:keepNext w:val="0"/>
              <w:spacing w:after="0" w:line="240" w:lineRule="auto"/>
              <w:widowControl/>
              <w:rPr>
                <w:rFonts w:hint="eastAsia" w:ascii="仿宋" w:hAnsi="仿宋" w:eastAsia="仿宋" w:cs="仿宋"/>
                <w:b w:val="0"/>
                <w:bCs/>
                <w:sz w:val="24"/>
                <w:szCs w:val="24"/>
                <w:vertAlign w:val="baseline"/>
                <w:lang w:eastAsia="zh-CN"/>
              </w:rPr>
              <w:suppressLineNumbers w:val="0"/>
            </w:pPr>
            <w:r>
              <w:rPr>
                <w:rFonts w:hint="eastAsia" w:ascii="宋体" w:hAnsi="宋体" w:eastAsia="宋体" w:cs="宋体"/>
                <w:b w:val="0"/>
                <w:bCs/>
                <w:i w:val="0"/>
                <w:color w:val="000000"/>
                <w:sz w:val="24"/>
                <w:szCs w:val="24"/>
                <w:u w:val="none"/>
                <w:lang w:val="en-US" w:eastAsia="zh-CN" w:bidi="ar"/>
              </w:rPr>
              <w:t xml:space="preserve">畜产品（个）</w:t>
            </w:r>
            <w:r/>
          </w:p>
        </w:tc>
        <w:tc>
          <w:tcPr>
            <w:tcW w:w="1110" w:type="dxa"/>
            <w:vAlign w:val="center"/>
            <w:textDirection w:val="lrTb"/>
            <w:noWrap w:val="false"/>
          </w:tcPr>
          <w:p>
            <w:pPr>
              <w:jc w:val="center"/>
              <w:keepLines w:val="0"/>
              <w:keepNext w:val="0"/>
              <w:spacing w:after="0" w:line="240" w:lineRule="auto"/>
              <w:widowControl/>
              <w:rPr>
                <w:rFonts w:hint="eastAsia" w:ascii="仿宋" w:hAnsi="仿宋" w:eastAsia="仿宋" w:cs="仿宋"/>
                <w:b w:val="0"/>
                <w:bCs/>
                <w:sz w:val="24"/>
                <w:szCs w:val="24"/>
                <w:vertAlign w:val="baseline"/>
                <w:lang w:eastAsia="zh-CN"/>
              </w:rPr>
              <w:suppressLineNumbers w:val="0"/>
            </w:pPr>
            <w:r>
              <w:rPr>
                <w:rFonts w:hint="eastAsia" w:ascii="宋体" w:hAnsi="宋体" w:eastAsia="宋体" w:cs="宋体"/>
                <w:b w:val="0"/>
                <w:bCs/>
                <w:i w:val="0"/>
                <w:color w:val="000000"/>
                <w:sz w:val="24"/>
                <w:szCs w:val="24"/>
                <w:u w:val="none"/>
                <w:lang w:val="en-US" w:eastAsia="zh-CN" w:bidi="ar"/>
              </w:rPr>
              <w:t xml:space="preserve">水产品（个）</w:t>
            </w:r>
            <w:r/>
          </w:p>
        </w:tc>
        <w:tc>
          <w:tcPr>
            <w:tcW w:w="765" w:type="dxa"/>
            <w:vAlign w:val="center"/>
            <w:textDirection w:val="lrTb"/>
            <w:noWrap w:val="false"/>
          </w:tcPr>
          <w:p>
            <w:pPr>
              <w:jc w:val="center"/>
              <w:keepLines w:val="0"/>
              <w:keepNext w:val="0"/>
              <w:spacing w:after="0" w:line="240" w:lineRule="auto"/>
              <w:widowControl/>
              <w:rPr>
                <w:rFonts w:hint="eastAsia" w:ascii="仿宋" w:hAnsi="仿宋" w:eastAsia="仿宋" w:cs="仿宋"/>
                <w:b w:val="0"/>
                <w:bCs/>
                <w:sz w:val="24"/>
                <w:szCs w:val="24"/>
                <w:vertAlign w:val="baseline"/>
                <w:lang w:eastAsia="zh-CN"/>
              </w:rPr>
              <w:suppressLineNumbers w:val="0"/>
            </w:pPr>
            <w:r>
              <w:rPr>
                <w:rFonts w:hint="eastAsia" w:ascii="宋体" w:hAnsi="宋体" w:eastAsia="宋体" w:cs="宋体"/>
                <w:b w:val="0"/>
                <w:bCs/>
                <w:i w:val="0"/>
                <w:color w:val="000000"/>
                <w:sz w:val="24"/>
                <w:szCs w:val="24"/>
                <w:u w:val="none"/>
                <w:lang w:val="en-US" w:eastAsia="zh-CN" w:bidi="ar"/>
              </w:rPr>
              <w:t xml:space="preserve">数量</w:t>
            </w:r>
            <w:r/>
          </w:p>
        </w:tc>
      </w:tr>
      <w:tr>
        <w:trPr/>
        <w:tc>
          <w:tcPr>
            <w:tcW w:w="646" w:type="dxa"/>
            <w:vAlign w:val="top"/>
            <w:vMerge w:val="restart"/>
            <w:textDirection w:val="lrTb"/>
            <w:noWrap w:val="false"/>
          </w:tcPr>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郑集</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120</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17（牛羊肉5、禽蛋12）</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w:t>
            </w:r>
            <w:r/>
          </w:p>
        </w:tc>
        <w:tc>
          <w:tcPr>
            <w:tcW w:w="690" w:type="dxa"/>
            <w:vAlign w:val="top"/>
            <w:vMerge w:val="restart"/>
            <w:textDirection w:val="lrTb"/>
            <w:noWrap w:val="false"/>
          </w:tcPr>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401</w:t>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11</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12（牛羊肉4、禽蛋8）</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w:t>
            </w:r>
            <w:r/>
          </w:p>
        </w:tc>
        <w:tc>
          <w:tcPr>
            <w:tcW w:w="765" w:type="dxa"/>
            <w:vAlign w:val="top"/>
            <w:vMerge w:val="restart"/>
            <w:textDirection w:val="lrTb"/>
            <w:noWrap w:val="false"/>
          </w:tcPr>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120</w:t>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茅村</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15</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8（禽蛋）</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3</w:t>
            </w:r>
            <w:r/>
          </w:p>
        </w:tc>
        <w:tc>
          <w:tcPr>
            <w:tcW w:w="69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10</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4（禽蛋）</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3</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柳泉</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15</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10（禽蛋）</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8</w:t>
            </w:r>
            <w:r/>
          </w:p>
        </w:tc>
        <w:tc>
          <w:tcPr>
            <w:tcW w:w="69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10</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4（禽蛋）</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利国</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7（禽蛋）</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15</w:t>
            </w:r>
            <w:r/>
          </w:p>
        </w:tc>
        <w:tc>
          <w:tcPr>
            <w:tcW w:w="69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10</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0</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沿湖</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0</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w:t>
            </w:r>
            <w:r/>
          </w:p>
        </w:tc>
        <w:tc>
          <w:tcPr>
            <w:tcW w:w="69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5</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0</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刘集</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61</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7（禽蛋）</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5</w:t>
            </w:r>
            <w:r/>
          </w:p>
        </w:tc>
        <w:tc>
          <w:tcPr>
            <w:tcW w:w="69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11</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0</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64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5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大彭</w:t>
            </w:r>
            <w:r/>
          </w:p>
        </w:tc>
        <w:tc>
          <w:tcPr>
            <w:tcW w:w="10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70</w:t>
            </w:r>
            <w:r/>
          </w:p>
        </w:tc>
        <w:tc>
          <w:tcPr>
            <w:tcW w:w="118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13（禽蛋）</w:t>
            </w:r>
            <w:r/>
          </w:p>
        </w:tc>
        <w:tc>
          <w:tcPr>
            <w:tcW w:w="105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5</w:t>
            </w:r>
            <w:r/>
          </w:p>
        </w:tc>
        <w:tc>
          <w:tcPr>
            <w:tcW w:w="69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23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12</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8（禽蛋）</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3</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bl>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lang w:eastAsia="zh-CN"/>
        </w:rPr>
        <w:t xml:space="preserve">）采购包</w:t>
      </w:r>
      <w:r>
        <w:rPr>
          <w:rFonts w:hint="eastAsia" w:ascii="仿宋" w:hAnsi="仿宋" w:eastAsia="仿宋" w:cs="仿宋"/>
          <w:b/>
          <w:bCs/>
          <w:sz w:val="28"/>
          <w:szCs w:val="28"/>
        </w:rPr>
        <w:t xml:space="preserve">二：</w:t>
      </w:r>
      <w:r/>
    </w:p>
    <w:p>
      <w:pPr>
        <w:rPr>
          <w:rFonts w:hint="eastAsia" w:ascii="仿宋" w:hAnsi="仿宋" w:eastAsia="仿宋" w:cs="仿宋"/>
          <w:sz w:val="24"/>
          <w:szCs w:val="24"/>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02</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年铜山区农产品质量安全风险监测项目任务分配表</w:t>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812"/>
        <w:tblW w:w="96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834"/>
        <w:gridCol w:w="1026"/>
        <w:gridCol w:w="1290"/>
        <w:gridCol w:w="1080"/>
        <w:gridCol w:w="720"/>
        <w:gridCol w:w="1170"/>
        <w:gridCol w:w="1110"/>
        <w:gridCol w:w="1125"/>
        <w:gridCol w:w="735"/>
      </w:tblGrid>
      <w:tr>
        <w:trPr/>
        <w:tc>
          <w:tcPr>
            <w:tcW w:w="586" w:type="dxa"/>
            <w:vAlign w:val="top"/>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标段</w:t>
            </w:r>
            <w:r/>
          </w:p>
        </w:tc>
        <w:tc>
          <w:tcPr>
            <w:tcW w:w="834" w:type="dxa"/>
            <w:vAlign w:val="top"/>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镇（街道）</w:t>
            </w:r>
            <w:r/>
          </w:p>
        </w:tc>
        <w:tc>
          <w:tcPr>
            <w:gridSpan w:val="4"/>
            <w:tcW w:w="4116" w:type="dxa"/>
            <w:vAlign w:val="top"/>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例行抽检</w:t>
            </w:r>
            <w:r/>
          </w:p>
        </w:tc>
        <w:tc>
          <w:tcPr>
            <w:gridSpan w:val="4"/>
            <w:tcW w:w="4140" w:type="dxa"/>
            <w:vAlign w:val="top"/>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监督抽检</w:t>
            </w:r>
            <w:r/>
          </w:p>
        </w:tc>
      </w:tr>
      <w:tr>
        <w:trPr/>
        <w:tc>
          <w:tcPr>
            <w:tcW w:w="58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34"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02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农产品（个）</w:t>
            </w:r>
            <w:r/>
          </w:p>
        </w:tc>
        <w:tc>
          <w:tcPr>
            <w:tcW w:w="129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畜产品（个）</w:t>
            </w:r>
            <w:r/>
          </w:p>
        </w:tc>
        <w:tc>
          <w:tcPr>
            <w:tcW w:w="108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水产品（个）</w:t>
            </w:r>
            <w:r/>
          </w:p>
        </w:tc>
        <w:tc>
          <w:tcPr>
            <w:tcW w:w="7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数量</w:t>
            </w:r>
            <w:r/>
          </w:p>
        </w:tc>
        <w:tc>
          <w:tcPr>
            <w:tcW w:w="117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农产品（个）</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畜产品（个）</w:t>
            </w:r>
            <w:r/>
          </w:p>
        </w:tc>
        <w:tc>
          <w:tcPr>
            <w:tcW w:w="112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水产品（个）</w:t>
            </w:r>
            <w:r/>
          </w:p>
        </w:tc>
        <w:tc>
          <w:tcPr>
            <w:tcW w:w="73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数量</w:t>
            </w:r>
            <w:r/>
          </w:p>
        </w:tc>
      </w:tr>
      <w:tr>
        <w:trPr/>
        <w:tc>
          <w:tcPr>
            <w:tcW w:w="586" w:type="dxa"/>
            <w:vAlign w:val="top"/>
            <w:textDirection w:val="lrTb"/>
            <w:noWrap w:val="false"/>
          </w:tcPr>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834"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何桥</w:t>
            </w:r>
            <w:r/>
          </w:p>
        </w:tc>
        <w:tc>
          <w:tcPr>
            <w:tcW w:w="102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95</w:t>
            </w:r>
            <w:r/>
          </w:p>
        </w:tc>
        <w:tc>
          <w:tcPr>
            <w:tcW w:w="129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13（禽蛋）</w:t>
            </w:r>
            <w:r/>
          </w:p>
        </w:tc>
        <w:tc>
          <w:tcPr>
            <w:tcW w:w="108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0</w:t>
            </w:r>
            <w:r/>
          </w:p>
        </w:tc>
        <w:tc>
          <w:tcPr>
            <w:tcW w:w="720" w:type="dxa"/>
            <w:vAlign w:val="top"/>
            <w:vMerge w:val="restart"/>
            <w:textDirection w:val="lrTb"/>
            <w:noWrap w:val="false"/>
          </w:tcPr>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440</w:t>
            </w:r>
            <w:r/>
          </w:p>
        </w:tc>
        <w:tc>
          <w:tcPr>
            <w:tcW w:w="117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15</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4（禽蛋）</w:t>
            </w:r>
            <w:r/>
          </w:p>
        </w:tc>
        <w:tc>
          <w:tcPr>
            <w:tcW w:w="112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0</w:t>
            </w:r>
            <w:r/>
          </w:p>
        </w:tc>
        <w:tc>
          <w:tcPr>
            <w:tcW w:w="735" w:type="dxa"/>
            <w:vAlign w:val="top"/>
            <w:vMerge w:val="restart"/>
            <w:textDirection w:val="lrTb"/>
            <w:noWrap w:val="false"/>
          </w:tcPr>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66</w:t>
            </w:r>
            <w:r/>
          </w:p>
        </w:tc>
      </w:tr>
      <w:tr>
        <w:trPr/>
        <w:tc>
          <w:tcPr>
            <w:tcW w:w="586" w:type="dxa"/>
            <w:vAlign w:val="top"/>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34"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黄集</w:t>
            </w:r>
            <w:r/>
          </w:p>
        </w:tc>
        <w:tc>
          <w:tcPr>
            <w:tcW w:w="102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213</w:t>
            </w:r>
            <w:r/>
          </w:p>
        </w:tc>
        <w:tc>
          <w:tcPr>
            <w:tcW w:w="129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20（猪肉5,、牛羊肉3、禽蛋12）</w:t>
            </w:r>
            <w:r/>
          </w:p>
        </w:tc>
        <w:tc>
          <w:tcPr>
            <w:tcW w:w="108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w:t>
            </w:r>
            <w:r/>
          </w:p>
        </w:tc>
        <w:tc>
          <w:tcPr>
            <w:tcW w:w="72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17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20</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8（牛羊肉4、禽蛋4）</w:t>
            </w:r>
            <w:r/>
          </w:p>
        </w:tc>
        <w:tc>
          <w:tcPr>
            <w:tcW w:w="112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w:t>
            </w:r>
            <w:r/>
          </w:p>
        </w:tc>
        <w:tc>
          <w:tcPr>
            <w:tcW w:w="73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58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34"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马坡</w:t>
            </w:r>
            <w:r/>
          </w:p>
        </w:tc>
        <w:tc>
          <w:tcPr>
            <w:tcW w:w="102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80</w:t>
            </w:r>
            <w:r/>
          </w:p>
        </w:tc>
        <w:tc>
          <w:tcPr>
            <w:tcW w:w="129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7（禽蛋）</w:t>
            </w:r>
            <w:r/>
          </w:p>
        </w:tc>
        <w:tc>
          <w:tcPr>
            <w:tcW w:w="108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w:t>
            </w:r>
            <w:r/>
          </w:p>
        </w:tc>
        <w:tc>
          <w:tcPr>
            <w:tcW w:w="72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17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11</w:t>
            </w:r>
            <w:r/>
          </w:p>
        </w:tc>
        <w:tc>
          <w:tcPr>
            <w:tcW w:w="1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12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4</w:t>
            </w:r>
            <w:r/>
          </w:p>
        </w:tc>
        <w:tc>
          <w:tcPr>
            <w:tcW w:w="73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bl>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（三）采购包</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年铜山区农产品质量安全风险监测项目任务分配表</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812"/>
        <w:tblW w:w="9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698"/>
        <w:gridCol w:w="936"/>
        <w:gridCol w:w="1210"/>
        <w:gridCol w:w="1170"/>
        <w:gridCol w:w="825"/>
        <w:gridCol w:w="960"/>
        <w:gridCol w:w="1290"/>
        <w:gridCol w:w="1125"/>
        <w:gridCol w:w="780"/>
      </w:tblGrid>
      <w:tr>
        <w:trPr/>
        <w:tc>
          <w:tcPr>
            <w:tcW w:w="697" w:type="dxa"/>
            <w:vAlign w:val="top"/>
            <w:vMerge w:val="restart"/>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vertAlign w:val="baseline"/>
                <w:lang w:eastAsia="zh-CN"/>
              </w:rPr>
              <w:t xml:space="preserve">采购包</w:t>
            </w:r>
            <w:r/>
          </w:p>
        </w:tc>
        <w:tc>
          <w:tcPr>
            <w:tcW w:w="698" w:type="dxa"/>
            <w:vAlign w:val="top"/>
            <w:vMerge w:val="restart"/>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镇（街道）</w:t>
            </w:r>
            <w:r/>
          </w:p>
        </w:tc>
        <w:tc>
          <w:tcPr>
            <w:gridSpan w:val="4"/>
            <w:tcW w:w="4141"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例行抽检</w:t>
            </w:r>
            <w:r/>
          </w:p>
        </w:tc>
        <w:tc>
          <w:tcPr>
            <w:gridSpan w:val="4"/>
            <w:tcW w:w="4155"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监督抽检</w:t>
            </w:r>
            <w:r/>
          </w:p>
        </w:tc>
      </w:tr>
      <w:tr>
        <w:trPr/>
        <w:tc>
          <w:tcPr>
            <w:tcW w:w="697"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c>
          <w:tcPr>
            <w:tcW w:w="698"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c>
          <w:tcPr>
            <w:tcW w:w="936"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农产品（个）</w:t>
            </w:r>
            <w:r/>
          </w:p>
        </w:tc>
        <w:tc>
          <w:tcPr>
            <w:tcW w:w="121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畜产品（个）</w:t>
            </w:r>
            <w:r/>
          </w:p>
        </w:tc>
        <w:tc>
          <w:tcPr>
            <w:tcW w:w="117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水产品（个）</w:t>
            </w:r>
            <w:r/>
          </w:p>
        </w:tc>
        <w:tc>
          <w:tcPr>
            <w:tcW w:w="825"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数量</w:t>
            </w:r>
            <w:r/>
          </w:p>
        </w:tc>
        <w:tc>
          <w:tcPr>
            <w:tcW w:w="96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农产品（个）</w:t>
            </w:r>
            <w:r/>
          </w:p>
        </w:tc>
        <w:tc>
          <w:tcPr>
            <w:tcW w:w="129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畜产品（个）</w:t>
            </w:r>
            <w:r/>
          </w:p>
        </w:tc>
        <w:tc>
          <w:tcPr>
            <w:tcW w:w="1125"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水产品（个）</w:t>
            </w:r>
            <w:r/>
          </w:p>
        </w:tc>
        <w:tc>
          <w:tcPr>
            <w:tcW w:w="78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数量</w:t>
            </w:r>
            <w:r/>
          </w:p>
        </w:tc>
      </w:tr>
      <w:tr>
        <w:trPr/>
        <w:tc>
          <w:tcPr>
            <w:tcW w:w="697" w:type="dxa"/>
            <w:vAlign w:val="top"/>
            <w:vMerge w:val="restart"/>
            <w:textDirection w:val="lrTb"/>
            <w:noWrap w:val="false"/>
          </w:tcPr>
          <w:p>
            <w:pPr>
              <w:spacing w:after="0" w:line="240" w:lineRule="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 xml:space="preserve">3</w:t>
            </w:r>
            <w:r/>
          </w:p>
        </w:tc>
        <w:tc>
          <w:tcPr>
            <w:tcW w:w="698"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房村</w:t>
            </w:r>
            <w:r/>
          </w:p>
        </w:tc>
        <w:tc>
          <w:tcPr>
            <w:tcW w:w="936"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200</w:t>
            </w:r>
            <w:r/>
          </w:p>
        </w:tc>
        <w:tc>
          <w:tcPr>
            <w:tcW w:w="121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29（禽蛋）</w:t>
            </w:r>
            <w:r/>
          </w:p>
        </w:tc>
        <w:tc>
          <w:tcPr>
            <w:tcW w:w="117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5</w:t>
            </w:r>
            <w:r/>
          </w:p>
        </w:tc>
        <w:tc>
          <w:tcPr>
            <w:tcW w:w="825" w:type="dxa"/>
            <w:vAlign w:val="top"/>
            <w:vMerge w:val="restart"/>
            <w:textDirection w:val="lrTb"/>
            <w:noWrap w:val="false"/>
          </w:tcPr>
          <w:p>
            <w:pPr>
              <w:spacing w:after="0" w:line="240" w:lineRule="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 xml:space="preserve">409</w:t>
            </w:r>
            <w:r/>
          </w:p>
        </w:tc>
        <w:tc>
          <w:tcPr>
            <w:tcW w:w="96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18</w:t>
            </w:r>
            <w:r/>
          </w:p>
        </w:tc>
        <w:tc>
          <w:tcPr>
            <w:tcW w:w="129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16（禽蛋）</w:t>
            </w:r>
            <w:r/>
          </w:p>
        </w:tc>
        <w:tc>
          <w:tcPr>
            <w:tcW w:w="1125"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5</w:t>
            </w:r>
            <w:r/>
          </w:p>
        </w:tc>
        <w:tc>
          <w:tcPr>
            <w:tcW w:w="780" w:type="dxa"/>
            <w:vAlign w:val="top"/>
            <w:vMerge w:val="restart"/>
            <w:textDirection w:val="lrTb"/>
            <w:noWrap w:val="false"/>
          </w:tcPr>
          <w:p>
            <w:pPr>
              <w:spacing w:after="0" w:line="240" w:lineRule="auto"/>
              <w:rPr>
                <w:rFonts w:hint="default"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 xml:space="preserve">70</w:t>
            </w:r>
            <w:r/>
          </w:p>
        </w:tc>
      </w:tr>
      <w:tr>
        <w:trPr/>
        <w:tc>
          <w:tcPr>
            <w:tcW w:w="697"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c>
          <w:tcPr>
            <w:tcW w:w="698"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单集</w:t>
            </w:r>
            <w:r/>
          </w:p>
        </w:tc>
        <w:tc>
          <w:tcPr>
            <w:tcW w:w="936"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78</w:t>
            </w:r>
            <w:r/>
          </w:p>
        </w:tc>
        <w:tc>
          <w:tcPr>
            <w:tcW w:w="121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13（牛羊肉5、禽蛋8）</w:t>
            </w:r>
            <w:r/>
          </w:p>
        </w:tc>
        <w:tc>
          <w:tcPr>
            <w:tcW w:w="117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2</w:t>
            </w:r>
            <w:r/>
          </w:p>
        </w:tc>
        <w:tc>
          <w:tcPr>
            <w:tcW w:w="825"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c>
          <w:tcPr>
            <w:tcW w:w="96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11</w:t>
            </w:r>
            <w:r/>
          </w:p>
        </w:tc>
        <w:tc>
          <w:tcPr>
            <w:tcW w:w="129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4（禽蛋）</w:t>
            </w:r>
            <w:r/>
          </w:p>
        </w:tc>
        <w:tc>
          <w:tcPr>
            <w:tcW w:w="1125"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0</w:t>
            </w:r>
            <w:r/>
          </w:p>
        </w:tc>
        <w:tc>
          <w:tcPr>
            <w:tcW w:w="780"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r>
      <w:tr>
        <w:trPr/>
        <w:tc>
          <w:tcPr>
            <w:tcW w:w="697"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c>
          <w:tcPr>
            <w:tcW w:w="698"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大许</w:t>
            </w:r>
            <w:r/>
          </w:p>
        </w:tc>
        <w:tc>
          <w:tcPr>
            <w:tcW w:w="936"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70</w:t>
            </w:r>
            <w:r/>
          </w:p>
        </w:tc>
        <w:tc>
          <w:tcPr>
            <w:tcW w:w="121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10（禽蛋）</w:t>
            </w:r>
            <w:r/>
          </w:p>
        </w:tc>
        <w:tc>
          <w:tcPr>
            <w:tcW w:w="117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2</w:t>
            </w:r>
            <w:r/>
          </w:p>
        </w:tc>
        <w:tc>
          <w:tcPr>
            <w:tcW w:w="825"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c>
          <w:tcPr>
            <w:tcW w:w="96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12</w:t>
            </w:r>
            <w:r/>
          </w:p>
        </w:tc>
        <w:tc>
          <w:tcPr>
            <w:tcW w:w="1290"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4（禽蛋）</w:t>
            </w:r>
            <w:r/>
          </w:p>
        </w:tc>
        <w:tc>
          <w:tcPr>
            <w:tcW w:w="1125" w:type="dxa"/>
            <w:vAlign w:val="center"/>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4"/>
                <w:szCs w:val="24"/>
                <w:lang w:val="en-US" w:eastAsia="zh-CN"/>
              </w:rPr>
              <w:t xml:space="preserve">0</w:t>
            </w:r>
            <w:r/>
          </w:p>
        </w:tc>
        <w:tc>
          <w:tcPr>
            <w:tcW w:w="780" w:type="dxa"/>
            <w:vAlign w:val="top"/>
            <w:vMerge w:val="continue"/>
            <w:textDirection w:val="lrTb"/>
            <w:noWrap w:val="false"/>
          </w:tcPr>
          <w:p>
            <w:pPr>
              <w:spacing w:after="0" w:line="240" w:lineRule="auto"/>
              <w:rPr>
                <w:rFonts w:hint="eastAsia" w:ascii="仿宋" w:hAnsi="仿宋" w:eastAsia="仿宋" w:cs="仿宋"/>
                <w:b w:val="0"/>
                <w:bCs w:val="0"/>
                <w:sz w:val="28"/>
                <w:szCs w:val="28"/>
                <w:vertAlign w:val="baseline"/>
                <w:lang w:eastAsia="zh-CN"/>
              </w:rPr>
            </w:pPr>
            <w:r>
              <w:rPr>
                <w:rFonts w:hint="eastAsia" w:ascii="仿宋" w:hAnsi="仿宋" w:eastAsia="仿宋" w:cs="仿宋"/>
                <w:b w:val="0"/>
                <w:bCs w:val="0"/>
                <w:sz w:val="28"/>
                <w:szCs w:val="28"/>
                <w:vertAlign w:val="baseline"/>
                <w:lang w:eastAsia="zh-CN"/>
              </w:rPr>
            </w:r>
            <w:r/>
          </w:p>
        </w:tc>
      </w:tr>
    </w:tbl>
    <w:p>
      <w:pPr>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r>
      <w:r/>
    </w:p>
    <w:p>
      <w:pPr>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lang w:eastAsia="zh-CN"/>
        </w:rPr>
        <w:t xml:space="preserve">）采购包</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rPr>
        <w:t xml:space="preserve">：</w:t>
      </w:r>
      <w:r/>
    </w:p>
    <w:p>
      <w:pPr>
        <w:rPr>
          <w:rFonts w:hint="eastAsia" w:ascii="仿宋" w:hAnsi="仿宋" w:eastAsia="仿宋" w:cs="仿宋"/>
          <w:sz w:val="24"/>
          <w:szCs w:val="24"/>
          <w:lang w:eastAsia="zh-CN"/>
        </w:rPr>
      </w:pP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年铜山区农产品质量安全风险监测项目任务分配表</w:t>
      </w:r>
      <w:r/>
    </w:p>
    <w:tbl>
      <w:tblPr>
        <w:tblStyle w:val="812"/>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06"/>
        <w:gridCol w:w="936"/>
        <w:gridCol w:w="1303"/>
        <w:gridCol w:w="1035"/>
        <w:gridCol w:w="765"/>
        <w:gridCol w:w="1125"/>
        <w:gridCol w:w="1140"/>
        <w:gridCol w:w="1125"/>
        <w:gridCol w:w="720"/>
      </w:tblGrid>
      <w:tr>
        <w:trPr/>
        <w:tc>
          <w:tcPr>
            <w:tcW w:w="691" w:type="dxa"/>
            <w:vAlign w:val="center"/>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采购包</w:t>
            </w:r>
            <w:r/>
          </w:p>
        </w:tc>
        <w:tc>
          <w:tcPr>
            <w:tcW w:w="806" w:type="dxa"/>
            <w:vAlign w:val="center"/>
            <w:vMerge w:val="restart"/>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镇（街道）</w:t>
            </w:r>
            <w:r/>
          </w:p>
        </w:tc>
        <w:tc>
          <w:tcPr>
            <w:gridSpan w:val="4"/>
            <w:tcW w:w="4039"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例行抽检</w:t>
            </w:r>
            <w:r/>
          </w:p>
        </w:tc>
        <w:tc>
          <w:tcPr>
            <w:gridSpan w:val="4"/>
            <w:tcW w:w="411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监督抽检</w:t>
            </w:r>
            <w:r/>
          </w:p>
        </w:tc>
      </w:tr>
      <w:tr>
        <w:trPr/>
        <w:tc>
          <w:tcPr>
            <w:tcW w:w="691"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06"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93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农产品（个）</w:t>
            </w:r>
            <w:r/>
          </w:p>
        </w:tc>
        <w:tc>
          <w:tcPr>
            <w:tcW w:w="1303"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畜产品（个）</w:t>
            </w:r>
            <w:r/>
          </w:p>
        </w:tc>
        <w:tc>
          <w:tcPr>
            <w:tcW w:w="103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水产品（个）</w:t>
            </w:r>
            <w:r/>
          </w:p>
        </w:tc>
        <w:tc>
          <w:tcPr>
            <w:tcW w:w="76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数量</w:t>
            </w:r>
            <w:r/>
          </w:p>
        </w:tc>
        <w:tc>
          <w:tcPr>
            <w:tcW w:w="112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农产品（个）</w:t>
            </w:r>
            <w:r/>
          </w:p>
        </w:tc>
        <w:tc>
          <w:tcPr>
            <w:tcW w:w="114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畜产品（个）</w:t>
            </w:r>
            <w:r/>
          </w:p>
        </w:tc>
        <w:tc>
          <w:tcPr>
            <w:tcW w:w="112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水产品（个）</w:t>
            </w:r>
            <w:r/>
          </w:p>
        </w:tc>
        <w:tc>
          <w:tcPr>
            <w:tcW w:w="720"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数量</w:t>
            </w:r>
            <w:r/>
          </w:p>
        </w:tc>
      </w:tr>
      <w:tr>
        <w:trPr/>
        <w:tc>
          <w:tcPr>
            <w:tcW w:w="691" w:type="dxa"/>
            <w:vAlign w:val="top"/>
            <w:vMerge w:val="restart"/>
            <w:textDirection w:val="lrTb"/>
            <w:noWrap w:val="false"/>
          </w:tcPr>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80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汉王</w:t>
            </w:r>
            <w:r/>
          </w:p>
        </w:tc>
        <w:tc>
          <w:tcPr>
            <w:tcW w:w="93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60</w:t>
            </w:r>
            <w:r/>
          </w:p>
        </w:tc>
        <w:tc>
          <w:tcPr>
            <w:tcW w:w="1303"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7（禽蛋）</w:t>
            </w:r>
            <w:r/>
          </w:p>
        </w:tc>
        <w:tc>
          <w:tcPr>
            <w:tcW w:w="103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w:t>
            </w:r>
            <w:r/>
          </w:p>
        </w:tc>
        <w:tc>
          <w:tcPr>
            <w:tcW w:w="765" w:type="dxa"/>
            <w:vAlign w:val="top"/>
            <w:vMerge w:val="restart"/>
            <w:textDirection w:val="lrTb"/>
            <w:noWrap w:val="false"/>
          </w:tcPr>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411</w:t>
            </w:r>
            <w:r/>
          </w:p>
        </w:tc>
        <w:tc>
          <w:tcPr>
            <w:tcW w:w="1125"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11</w:t>
            </w:r>
            <w:r/>
          </w:p>
        </w:tc>
        <w:tc>
          <w:tcPr>
            <w:tcW w:w="1140"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4（禽蛋）</w:t>
            </w:r>
            <w:r/>
          </w:p>
        </w:tc>
        <w:tc>
          <w:tcPr>
            <w:tcW w:w="1125"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3</w:t>
            </w:r>
            <w:r/>
          </w:p>
        </w:tc>
        <w:tc>
          <w:tcPr>
            <w:tcW w:w="720" w:type="dxa"/>
            <w:vAlign w:val="top"/>
            <w:vMerge w:val="restart"/>
            <w:textDirection w:val="lrTb"/>
            <w:noWrap w:val="false"/>
          </w:tcPr>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r>
            <w:r/>
          </w:p>
          <w:p>
            <w:pPr>
              <w:spacing w:after="0" w:line="240" w:lineRule="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60</w:t>
            </w:r>
            <w:r/>
          </w:p>
        </w:tc>
      </w:tr>
      <w:tr>
        <w:trPr/>
        <w:tc>
          <w:tcPr>
            <w:tcW w:w="691"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0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棠张</w:t>
            </w:r>
            <w:r/>
          </w:p>
        </w:tc>
        <w:tc>
          <w:tcPr>
            <w:tcW w:w="93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252</w:t>
            </w:r>
            <w:r/>
          </w:p>
        </w:tc>
        <w:tc>
          <w:tcPr>
            <w:tcW w:w="1303"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13（猪肉5、牛羊肉3、禽蛋5）</w:t>
            </w:r>
            <w:r/>
          </w:p>
        </w:tc>
        <w:tc>
          <w:tcPr>
            <w:tcW w:w="103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5</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125"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20</w:t>
            </w:r>
            <w:r/>
          </w:p>
        </w:tc>
        <w:tc>
          <w:tcPr>
            <w:tcW w:w="1140"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10（猪肉2、牛羊肉4、禽蛋4）</w:t>
            </w:r>
            <w:r/>
          </w:p>
        </w:tc>
        <w:tc>
          <w:tcPr>
            <w:tcW w:w="1125"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1</w:t>
            </w:r>
            <w:r/>
          </w:p>
        </w:tc>
        <w:tc>
          <w:tcPr>
            <w:tcW w:w="72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r>
        <w:trPr/>
        <w:tc>
          <w:tcPr>
            <w:tcW w:w="691"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80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三堡</w:t>
            </w:r>
            <w:r/>
          </w:p>
        </w:tc>
        <w:tc>
          <w:tcPr>
            <w:tcW w:w="936"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60</w:t>
            </w:r>
            <w:r/>
          </w:p>
        </w:tc>
        <w:tc>
          <w:tcPr>
            <w:tcW w:w="1303"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2（禽蛋）</w:t>
            </w:r>
            <w:r/>
          </w:p>
        </w:tc>
        <w:tc>
          <w:tcPr>
            <w:tcW w:w="1035" w:type="dxa"/>
            <w:vAlign w:val="center"/>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lang w:val="en-US" w:eastAsia="zh-CN"/>
              </w:rPr>
              <w:t xml:space="preserve">6</w:t>
            </w:r>
            <w:r/>
          </w:p>
        </w:tc>
        <w:tc>
          <w:tcPr>
            <w:tcW w:w="765"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c>
          <w:tcPr>
            <w:tcW w:w="1125"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10</w:t>
            </w:r>
            <w:r/>
          </w:p>
        </w:tc>
        <w:tc>
          <w:tcPr>
            <w:tcW w:w="1140"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0</w:t>
            </w:r>
            <w:r/>
          </w:p>
        </w:tc>
        <w:tc>
          <w:tcPr>
            <w:tcW w:w="1125"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vertAlign w:val="baseline"/>
                <w:lang w:eastAsia="zh-CN"/>
              </w:rPr>
              <w:suppressLineNumbers w:val="0"/>
            </w:pPr>
            <w:r>
              <w:rPr>
                <w:rFonts w:hint="default" w:ascii="仿宋_GB2312" w:hAnsi="宋体" w:eastAsia="仿宋_GB2312" w:cs="仿宋_GB2312"/>
                <w:i w:val="0"/>
                <w:color w:val="000000"/>
                <w:sz w:val="24"/>
                <w:szCs w:val="24"/>
                <w:u w:val="none"/>
                <w:lang w:val="en-US" w:eastAsia="zh-CN" w:bidi="ar"/>
              </w:rPr>
              <w:t xml:space="preserve">1</w:t>
            </w:r>
            <w:r/>
          </w:p>
        </w:tc>
        <w:tc>
          <w:tcPr>
            <w:tcW w:w="720" w:type="dxa"/>
            <w:vAlign w:val="top"/>
            <w:vMerge w:val="continue"/>
            <w:textDirection w:val="lrTb"/>
            <w:noWrap w:val="false"/>
          </w:tcPr>
          <w:p>
            <w:pPr>
              <w:spacing w:after="0" w:line="240" w:lineRule="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r>
            <w:r/>
          </w:p>
        </w:tc>
      </w:tr>
    </w:tbl>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lang w:eastAsia="zh-CN"/>
        </w:rPr>
        <w:t xml:space="preserve">）采购包</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年铜山区农产品质量安全风险监测项目任务分配表</w:t>
      </w:r>
      <w:r/>
    </w:p>
    <w:p>
      <w:pPr>
        <w:pStyle w:val="789"/>
        <w:ind w:left="0" w:firstLine="0"/>
        <w:shd w:val="clear" w:color="auto" w:fill="auto"/>
        <w:rPr>
          <w:rFonts w:hint="eastAsia"/>
          <w:lang w:val="en-US" w:eastAsia="zh-CN"/>
        </w:rPr>
      </w:pPr>
      <w:r>
        <w:rPr>
          <w:rFonts w:hint="eastAsia"/>
          <w:lang w:val="en-US" w:eastAsia="zh-CN"/>
        </w:rPr>
      </w:r>
      <w:r/>
    </w:p>
    <w:tbl>
      <w:tblPr>
        <w:tblStyle w:val="812"/>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853"/>
        <w:gridCol w:w="1007"/>
        <w:gridCol w:w="1275"/>
        <w:gridCol w:w="1035"/>
        <w:gridCol w:w="735"/>
        <w:gridCol w:w="1170"/>
        <w:gridCol w:w="1125"/>
        <w:gridCol w:w="1125"/>
        <w:gridCol w:w="705"/>
      </w:tblGrid>
      <w:tr>
        <w:trPr/>
        <w:tc>
          <w:tcPr>
            <w:tcW w:w="616" w:type="dxa"/>
            <w:vAlign w:val="center"/>
            <w:vMerge w:val="restart"/>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采购包</w:t>
            </w:r>
            <w:r/>
          </w:p>
        </w:tc>
        <w:tc>
          <w:tcPr>
            <w:tcW w:w="853" w:type="dxa"/>
            <w:vAlign w:val="center"/>
            <w:vMerge w:val="restart"/>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镇（街道）</w:t>
            </w:r>
            <w:r/>
          </w:p>
        </w:tc>
        <w:tc>
          <w:tcPr>
            <w:gridSpan w:val="4"/>
            <w:tcW w:w="4052"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例行抽检</w:t>
            </w:r>
            <w:r/>
          </w:p>
        </w:tc>
        <w:tc>
          <w:tcPr>
            <w:gridSpan w:val="4"/>
            <w:tcW w:w="4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监督抽检</w:t>
            </w:r>
            <w:r/>
          </w:p>
        </w:tc>
      </w:tr>
      <w:tr>
        <w:trPr/>
        <w:tc>
          <w:tcPr>
            <w:tcW w:w="616"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853"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1007"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农产品（个）</w:t>
            </w:r>
            <w:r/>
          </w:p>
        </w:tc>
        <w:tc>
          <w:tcPr>
            <w:tcW w:w="127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畜产品（个）</w:t>
            </w:r>
            <w:r/>
          </w:p>
        </w:tc>
        <w:tc>
          <w:tcPr>
            <w:tcW w:w="103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水产品（个）</w:t>
            </w:r>
            <w:r/>
          </w:p>
        </w:tc>
        <w:tc>
          <w:tcPr>
            <w:tcW w:w="73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数量</w:t>
            </w:r>
            <w:r/>
          </w:p>
        </w:tc>
        <w:tc>
          <w:tcPr>
            <w:tcW w:w="1170"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农产品（个）</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畜产品（个）</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水产品（个）</w:t>
            </w:r>
            <w:r/>
          </w:p>
        </w:tc>
        <w:tc>
          <w:tcPr>
            <w:tcW w:w="70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数量</w:t>
            </w:r>
            <w:r/>
          </w:p>
        </w:tc>
      </w:tr>
      <w:tr>
        <w:trPr/>
        <w:tc>
          <w:tcPr>
            <w:tcW w:w="616" w:type="dxa"/>
            <w:vAlign w:val="top"/>
            <w:vMerge w:val="restart"/>
            <w:textDirection w:val="lrTb"/>
            <w:noWrap w:val="false"/>
          </w:tcPr>
          <w:p>
            <w:pPr>
              <w:pStyle w:val="789"/>
              <w:ind w:left="0" w:firstLine="0"/>
              <w:spacing w:after="0" w:line="240" w:lineRule="auto"/>
              <w:rPr>
                <w:rFonts w:hint="eastAsia"/>
                <w:vertAlign w:val="baseline"/>
                <w:lang w:val="en-US" w:eastAsia="zh-CN"/>
              </w:rPr>
            </w:pPr>
            <w:r>
              <w:rPr>
                <w:rFonts w:hint="eastAsia"/>
                <w:vertAlign w:val="baseline"/>
                <w:lang w:val="en-US" w:eastAsia="zh-CN"/>
              </w:rPr>
            </w:r>
            <w:r/>
          </w:p>
          <w:p>
            <w:pPr>
              <w:pStyle w:val="789"/>
              <w:ind w:left="0" w:firstLine="0"/>
              <w:spacing w:after="0" w:line="240" w:lineRule="auto"/>
              <w:rPr>
                <w:rFonts w:hint="eastAsia"/>
                <w:vertAlign w:val="baseline"/>
                <w:lang w:val="en-US" w:eastAsia="zh-CN"/>
              </w:rPr>
            </w:pPr>
            <w:r>
              <w:rPr>
                <w:rFonts w:hint="eastAsia"/>
                <w:vertAlign w:val="baseline"/>
                <w:lang w:val="en-US" w:eastAsia="zh-CN"/>
              </w:rPr>
            </w:r>
            <w:r/>
          </w:p>
          <w:p>
            <w:pPr>
              <w:pStyle w:val="789"/>
              <w:ind w:left="0" w:firstLine="0"/>
              <w:spacing w:after="0" w:line="240" w:lineRule="auto"/>
              <w:rPr>
                <w:rFonts w:hint="default"/>
                <w:vertAlign w:val="baseline"/>
                <w:lang w:val="en-US" w:eastAsia="zh-CN"/>
              </w:rPr>
            </w:pPr>
            <w:r>
              <w:rPr>
                <w:rFonts w:hint="eastAsia"/>
                <w:vertAlign w:val="baseline"/>
                <w:lang w:val="en-US" w:eastAsia="zh-CN"/>
              </w:rPr>
              <w:t xml:space="preserve">5</w:t>
            </w:r>
            <w:r/>
          </w:p>
        </w:tc>
        <w:tc>
          <w:tcPr>
            <w:tcW w:w="853"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铜山</w:t>
            </w:r>
            <w:r/>
          </w:p>
        </w:tc>
        <w:tc>
          <w:tcPr>
            <w:tcW w:w="1007"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7</w:t>
            </w:r>
            <w:r/>
          </w:p>
        </w:tc>
        <w:tc>
          <w:tcPr>
            <w:tcW w:w="127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2（禽蛋）</w:t>
            </w:r>
            <w:r/>
          </w:p>
        </w:tc>
        <w:tc>
          <w:tcPr>
            <w:tcW w:w="1035" w:type="dxa"/>
            <w:vAlign w:val="center"/>
            <w:textDirection w:val="lrTb"/>
            <w:noWrap w:val="false"/>
          </w:tcPr>
          <w:p>
            <w:pPr>
              <w:spacing w:after="0" w:line="240" w:lineRule="auto"/>
              <w:rPr>
                <w:rFonts w:hint="eastAsia"/>
                <w:vertAlign w:val="baseline"/>
                <w:lang w:val="en-US" w:eastAsia="zh-CN"/>
              </w:rPr>
            </w:pPr>
            <w:r>
              <w:rPr>
                <w:rFonts w:hint="eastAsia"/>
                <w:vertAlign w:val="baseline"/>
                <w:lang w:val="en-US" w:eastAsia="zh-CN"/>
              </w:rPr>
            </w:r>
            <w:r/>
          </w:p>
        </w:tc>
        <w:tc>
          <w:tcPr>
            <w:tcW w:w="735" w:type="dxa"/>
            <w:vAlign w:val="top"/>
            <w:vMerge w:val="restart"/>
            <w:textDirection w:val="lrTb"/>
            <w:noWrap w:val="false"/>
          </w:tcPr>
          <w:p>
            <w:pPr>
              <w:pStyle w:val="789"/>
              <w:ind w:left="0" w:firstLine="0"/>
              <w:spacing w:after="0" w:line="240" w:lineRule="auto"/>
              <w:rPr>
                <w:rFonts w:hint="eastAsia"/>
                <w:vertAlign w:val="baseline"/>
                <w:lang w:val="en-US" w:eastAsia="zh-CN"/>
              </w:rPr>
            </w:pPr>
            <w:r>
              <w:rPr>
                <w:rFonts w:hint="eastAsia"/>
                <w:vertAlign w:val="baseline"/>
                <w:lang w:val="en-US" w:eastAsia="zh-CN"/>
              </w:rPr>
            </w:r>
            <w:r/>
          </w:p>
          <w:p>
            <w:pPr>
              <w:pStyle w:val="789"/>
              <w:ind w:left="0" w:firstLine="0"/>
              <w:spacing w:after="0" w:line="240" w:lineRule="auto"/>
              <w:rPr>
                <w:rFonts w:hint="eastAsia"/>
                <w:vertAlign w:val="baseline"/>
                <w:lang w:val="en-US" w:eastAsia="zh-CN"/>
              </w:rPr>
            </w:pPr>
            <w:r>
              <w:rPr>
                <w:rFonts w:hint="eastAsia"/>
                <w:vertAlign w:val="baseline"/>
                <w:lang w:val="en-US" w:eastAsia="zh-CN"/>
              </w:rPr>
            </w:r>
            <w:r/>
          </w:p>
          <w:p>
            <w:pPr>
              <w:pStyle w:val="789"/>
              <w:ind w:left="0" w:firstLine="0"/>
              <w:spacing w:after="0" w:line="240" w:lineRule="auto"/>
              <w:rPr>
                <w:rFonts w:hint="default"/>
                <w:vertAlign w:val="baseline"/>
                <w:lang w:val="en-US" w:eastAsia="zh-CN"/>
              </w:rPr>
            </w:pPr>
            <w:r>
              <w:rPr>
                <w:rFonts w:hint="eastAsia"/>
                <w:vertAlign w:val="baseline"/>
                <w:lang w:val="en-US" w:eastAsia="zh-CN"/>
              </w:rPr>
              <w:t xml:space="preserve">339</w:t>
            </w:r>
            <w:r/>
          </w:p>
        </w:tc>
        <w:tc>
          <w:tcPr>
            <w:tcW w:w="1170"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8</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0</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0</w:t>
            </w:r>
            <w:r/>
          </w:p>
        </w:tc>
        <w:tc>
          <w:tcPr>
            <w:tcW w:w="705" w:type="dxa"/>
            <w:vAlign w:val="top"/>
            <w:vMerge w:val="restart"/>
            <w:textDirection w:val="lrTb"/>
            <w:noWrap w:val="false"/>
          </w:tcPr>
          <w:p>
            <w:pPr>
              <w:pStyle w:val="789"/>
              <w:ind w:left="0" w:firstLine="0"/>
              <w:spacing w:after="0" w:line="240" w:lineRule="auto"/>
              <w:rPr>
                <w:rFonts w:hint="eastAsia"/>
                <w:vertAlign w:val="baseline"/>
                <w:lang w:val="en-US" w:eastAsia="zh-CN"/>
              </w:rPr>
            </w:pPr>
            <w:r>
              <w:rPr>
                <w:rFonts w:hint="eastAsia"/>
                <w:vertAlign w:val="baseline"/>
                <w:lang w:val="en-US" w:eastAsia="zh-CN"/>
              </w:rPr>
            </w:r>
            <w:r/>
          </w:p>
          <w:p>
            <w:pPr>
              <w:pStyle w:val="789"/>
              <w:ind w:left="0" w:firstLine="0"/>
              <w:spacing w:after="0" w:line="240" w:lineRule="auto"/>
              <w:rPr>
                <w:rFonts w:hint="eastAsia"/>
                <w:vertAlign w:val="baseline"/>
                <w:lang w:val="en-US" w:eastAsia="zh-CN"/>
              </w:rPr>
            </w:pPr>
            <w:r>
              <w:rPr>
                <w:rFonts w:hint="eastAsia"/>
                <w:vertAlign w:val="baseline"/>
                <w:lang w:val="en-US" w:eastAsia="zh-CN"/>
              </w:rPr>
            </w:r>
            <w:r/>
          </w:p>
          <w:p>
            <w:pPr>
              <w:pStyle w:val="789"/>
              <w:ind w:left="0" w:firstLine="0"/>
              <w:spacing w:after="0" w:line="240" w:lineRule="auto"/>
              <w:rPr>
                <w:rFonts w:hint="default"/>
                <w:vertAlign w:val="baseline"/>
                <w:lang w:val="en-US" w:eastAsia="zh-CN"/>
              </w:rPr>
            </w:pPr>
            <w:r>
              <w:rPr>
                <w:rFonts w:hint="eastAsia"/>
                <w:vertAlign w:val="baseline"/>
                <w:lang w:val="en-US" w:eastAsia="zh-CN"/>
              </w:rPr>
              <w:t xml:space="preserve">84</w:t>
            </w:r>
            <w:r/>
          </w:p>
        </w:tc>
      </w:tr>
      <w:tr>
        <w:trPr/>
        <w:tc>
          <w:tcPr>
            <w:tcW w:w="616"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853"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新区</w:t>
            </w:r>
            <w:r/>
          </w:p>
        </w:tc>
        <w:tc>
          <w:tcPr>
            <w:tcW w:w="1007"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50</w:t>
            </w:r>
            <w:r/>
          </w:p>
        </w:tc>
        <w:tc>
          <w:tcPr>
            <w:tcW w:w="127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0</w:t>
            </w:r>
            <w:r/>
          </w:p>
        </w:tc>
        <w:tc>
          <w:tcPr>
            <w:tcW w:w="103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2</w:t>
            </w:r>
            <w:r/>
          </w:p>
        </w:tc>
        <w:tc>
          <w:tcPr>
            <w:tcW w:w="735"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1170"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12</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0</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0</w:t>
            </w:r>
            <w:r/>
          </w:p>
        </w:tc>
        <w:tc>
          <w:tcPr>
            <w:tcW w:w="705"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r>
      <w:tr>
        <w:trPr/>
        <w:tc>
          <w:tcPr>
            <w:tcW w:w="616"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853"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张集</w:t>
            </w:r>
            <w:r/>
          </w:p>
        </w:tc>
        <w:tc>
          <w:tcPr>
            <w:tcW w:w="1007"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175</w:t>
            </w:r>
            <w:r/>
          </w:p>
        </w:tc>
        <w:tc>
          <w:tcPr>
            <w:tcW w:w="127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10（禽蛋）</w:t>
            </w:r>
            <w:r/>
          </w:p>
        </w:tc>
        <w:tc>
          <w:tcPr>
            <w:tcW w:w="103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10</w:t>
            </w:r>
            <w:r/>
          </w:p>
        </w:tc>
        <w:tc>
          <w:tcPr>
            <w:tcW w:w="735"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1170"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18</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14（牛羊肉4、禽肉2、禽蛋8）</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5</w:t>
            </w:r>
            <w:r/>
          </w:p>
        </w:tc>
        <w:tc>
          <w:tcPr>
            <w:tcW w:w="705"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r>
      <w:tr>
        <w:trPr/>
        <w:tc>
          <w:tcPr>
            <w:tcW w:w="616"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853"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伊庄</w:t>
            </w:r>
            <w:r/>
          </w:p>
        </w:tc>
        <w:tc>
          <w:tcPr>
            <w:tcW w:w="1007"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65</w:t>
            </w:r>
            <w:r/>
          </w:p>
        </w:tc>
        <w:tc>
          <w:tcPr>
            <w:tcW w:w="127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12（禽蛋）</w:t>
            </w:r>
            <w:r/>
          </w:p>
        </w:tc>
        <w:tc>
          <w:tcPr>
            <w:tcW w:w="103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6</w:t>
            </w:r>
            <w:r/>
          </w:p>
        </w:tc>
        <w:tc>
          <w:tcPr>
            <w:tcW w:w="735"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c>
          <w:tcPr>
            <w:tcW w:w="1170"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15</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8（禽蛋）</w:t>
            </w:r>
            <w:r/>
          </w:p>
        </w:tc>
        <w:tc>
          <w:tcPr>
            <w:tcW w:w="1125" w:type="dxa"/>
            <w:vAlign w:val="center"/>
            <w:textDirection w:val="lrTb"/>
            <w:noWrap w:val="false"/>
          </w:tcPr>
          <w:p>
            <w:pPr>
              <w:spacing w:after="0" w:line="240" w:lineRule="auto"/>
              <w:rPr>
                <w:rFonts w:hint="eastAsia"/>
                <w:vertAlign w:val="baseline"/>
                <w:lang w:val="en-US" w:eastAsia="zh-CN"/>
              </w:rPr>
            </w:pPr>
            <w:r>
              <w:rPr>
                <w:rFonts w:hint="eastAsia" w:ascii="仿宋" w:hAnsi="仿宋" w:eastAsia="仿宋" w:cs="仿宋"/>
                <w:sz w:val="24"/>
                <w:szCs w:val="24"/>
                <w:lang w:val="en-US" w:eastAsia="zh-CN"/>
              </w:rPr>
              <w:t xml:space="preserve">4</w:t>
            </w:r>
            <w:r/>
          </w:p>
        </w:tc>
        <w:tc>
          <w:tcPr>
            <w:tcW w:w="705" w:type="dxa"/>
            <w:vAlign w:val="top"/>
            <w:vMerge w:val="continue"/>
            <w:textDirection w:val="lrTb"/>
            <w:noWrap w:val="false"/>
          </w:tcPr>
          <w:p>
            <w:pPr>
              <w:pStyle w:val="789"/>
              <w:spacing w:after="0" w:line="240" w:lineRule="auto"/>
              <w:rPr>
                <w:rFonts w:hint="eastAsia"/>
                <w:vertAlign w:val="baseline"/>
                <w:lang w:val="en-US" w:eastAsia="zh-CN"/>
              </w:rPr>
            </w:pPr>
            <w:r>
              <w:rPr>
                <w:rFonts w:hint="eastAsia"/>
                <w:vertAlign w:val="baseline"/>
                <w:lang w:val="en-US" w:eastAsia="zh-CN"/>
              </w:rPr>
            </w:r>
            <w:r/>
          </w:p>
        </w:tc>
      </w:tr>
    </w:tbl>
    <w:p>
      <w:pPr>
        <w:numPr>
          <w:ilvl w:val="0"/>
          <w:numId w:val="0"/>
        </w:numPr>
        <w:ind w:right="200"/>
        <w:keepLines w:val="0"/>
        <w:keepNext w:val="0"/>
        <w:pageBreakBefore w:val="0"/>
        <w:spacing w:before="61" w:line="360" w:lineRule="auto"/>
        <w:shd w:val="clear" w:color="auto"/>
        <w:rPr>
          <w:rFonts w:hint="eastAsia" w:ascii="仿宋" w:hAnsi="仿宋" w:eastAsia="仿宋" w:cs="仿宋"/>
          <w:b/>
          <w:spacing w:val="-9"/>
          <w:sz w:val="28"/>
          <w:szCs w:val="28"/>
          <w:lang w:val="en-US" w:eastAsia="zh-CN"/>
        </w:rPr>
      </w:pPr>
      <w:r>
        <w:rPr>
          <w:rFonts w:hint="eastAsia" w:ascii="仿宋" w:hAnsi="仿宋" w:eastAsia="仿宋" w:cs="仿宋"/>
          <w:b/>
          <w:spacing w:val="-9"/>
          <w:sz w:val="28"/>
          <w:szCs w:val="28"/>
          <w:lang w:val="en-US" w:eastAsia="zh-CN"/>
        </w:rPr>
      </w:r>
      <w:r/>
    </w:p>
    <w:p>
      <w:pPr>
        <w:numPr>
          <w:ilvl w:val="0"/>
          <w:numId w:val="0"/>
        </w:numPr>
        <w:ind w:right="200" w:firstLine="249"/>
        <w:keepLines w:val="0"/>
        <w:keepNext w:val="0"/>
        <w:pageBreakBefore w:val="0"/>
        <w:spacing w:before="61" w:line="360" w:lineRule="auto"/>
        <w:shd w:val="clear" w:color="auto"/>
        <w:rPr>
          <w:rFonts w:hint="eastAsia" w:ascii="仿宋" w:hAnsi="仿宋" w:eastAsia="仿宋" w:cs="仿宋"/>
          <w:b/>
          <w:sz w:val="28"/>
          <w:szCs w:val="28"/>
          <w:lang w:eastAsia="zh-CN"/>
        </w:rPr>
      </w:pPr>
      <w:r>
        <w:rPr>
          <w:rFonts w:hint="eastAsia" w:ascii="仿宋" w:hAnsi="仿宋" w:eastAsia="仿宋" w:cs="仿宋"/>
          <w:b/>
          <w:spacing w:val="-9"/>
          <w:sz w:val="28"/>
          <w:szCs w:val="28"/>
          <w:lang w:val="en-US" w:eastAsia="zh-CN"/>
        </w:rPr>
        <w:t xml:space="preserve">五、</w:t>
      </w:r>
      <w:r>
        <w:rPr>
          <w:rFonts w:hint="eastAsia" w:ascii="仿宋" w:hAnsi="仿宋" w:eastAsia="仿宋" w:cs="仿宋"/>
          <w:b/>
          <w:spacing w:val="-9"/>
          <w:sz w:val="28"/>
          <w:szCs w:val="28"/>
        </w:rPr>
        <w:t xml:space="preserve">服务要求：</w:t>
      </w:r>
      <w:r/>
    </w:p>
    <w:p>
      <w:pPr>
        <w:ind w:right="20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监测范围及对象</w:t>
      </w:r>
      <w:r/>
    </w:p>
    <w:p>
      <w:pPr>
        <w:ind w:firstLine="560"/>
        <w:keepLines w:val="0"/>
        <w:keepNext w:val="0"/>
        <w:pageBreakBefore w:val="0"/>
        <w:spacing w:line="360" w:lineRule="auto"/>
        <w:widowControl w:val="off"/>
        <w:rPr>
          <w:rFonts w:hint="eastAsia" w:ascii="仿宋" w:hAnsi="仿宋" w:eastAsia="仿宋" w:cs="仿宋"/>
          <w:spacing w:val="-11"/>
          <w:sz w:val="28"/>
          <w:szCs w:val="28"/>
        </w:rPr>
      </w:pPr>
      <w:r>
        <w:rPr>
          <w:rFonts w:hint="eastAsia" w:ascii="仿宋" w:hAnsi="仿宋" w:eastAsia="仿宋" w:cs="仿宋"/>
          <w:sz w:val="28"/>
          <w:szCs w:val="28"/>
        </w:rPr>
        <w:t xml:space="preserve">抽检产品为铜山区地产食用农产品，抽检对象为果蔬类种植产品、畜禽产品及水产品，抽检产品主要从省级追溯系统入网的主体抽取及土壤污染地区生产的农产品，不足的样品再从非入网的主体抽取。种植类产品从企业、家庭农场、合作社、小散户及收储运环节抽取；畜禽产品从屠宰场和养殖场抽取；水产品从水产养殖主体及其运输车抽取，全部产品均需可溯源，每次可根据上市季节情况覆盖一定数量的小散户。</w:t>
      </w:r>
      <w:r/>
    </w:p>
    <w:p>
      <w:pPr>
        <w:numPr>
          <w:ilvl w:val="0"/>
          <w:numId w:val="0"/>
        </w:numPr>
        <w:ind w:right="20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监测品种和</w:t>
      </w:r>
      <w:r>
        <w:rPr>
          <w:rFonts w:hint="eastAsia" w:ascii="仿宋" w:hAnsi="仿宋" w:eastAsia="仿宋" w:cs="仿宋"/>
          <w:b/>
          <w:sz w:val="28"/>
          <w:szCs w:val="28"/>
          <w:lang w:val="en-US" w:eastAsia="zh-CN"/>
        </w:rPr>
        <w:t xml:space="preserve">时间、</w:t>
      </w:r>
      <w:r>
        <w:rPr>
          <w:rFonts w:hint="eastAsia" w:ascii="仿宋" w:hAnsi="仿宋" w:eastAsia="仿宋" w:cs="仿宋"/>
          <w:b/>
          <w:sz w:val="28"/>
          <w:szCs w:val="28"/>
        </w:rPr>
        <w:t xml:space="preserve">数量</w:t>
      </w:r>
      <w:r/>
    </w:p>
    <w:p>
      <w:pPr>
        <w:ind w:left="200" w:right="200"/>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风险监测品种</w:t>
      </w:r>
      <w:r/>
    </w:p>
    <w:p>
      <w:pPr>
        <w:pStyle w:val="786"/>
        <w:ind w:right="200"/>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1.1</w:t>
      </w:r>
      <w:r>
        <w:rPr>
          <w:rFonts w:hint="eastAsia" w:ascii="仿宋" w:hAnsi="仿宋" w:eastAsia="仿宋" w:cs="仿宋"/>
          <w:spacing w:val="-11"/>
          <w:sz w:val="28"/>
          <w:szCs w:val="28"/>
        </w:rPr>
        <w:t xml:space="preserve">例行抽检品种</w:t>
      </w:r>
      <w:r/>
    </w:p>
    <w:p>
      <w:pPr>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为保证数据客观性，抽取的样品原则上不能超出以下目录品种</w:t>
      </w:r>
      <w:r>
        <w:rPr>
          <w:rFonts w:hint="eastAsia" w:ascii="仿宋" w:hAnsi="仿宋" w:eastAsia="仿宋" w:cs="仿宋"/>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蔬菜</w:t>
      </w:r>
      <w:r>
        <w:rPr>
          <w:rFonts w:hint="eastAsia" w:ascii="仿宋" w:hAnsi="仿宋" w:eastAsia="仿宋" w:cs="仿宋"/>
          <w:sz w:val="28"/>
          <w:szCs w:val="28"/>
          <w:lang w:val="en-US" w:eastAsia="zh-CN"/>
        </w:rPr>
        <w:t xml:space="preserve">产品</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蔬菜产品</w:t>
      </w:r>
      <w:r>
        <w:rPr>
          <w:rFonts w:hint="eastAsia" w:ascii="仿宋" w:hAnsi="仿宋" w:eastAsia="仿宋" w:cs="仿宋"/>
          <w:sz w:val="28"/>
          <w:szCs w:val="28"/>
        </w:rPr>
        <w:t xml:space="preserve">包括芹菜、韭菜、豇豆、大白菜、普通白菜、结球甘蓝、花椰菜、青花菜、蕹菜、茼蒿、苋菜、叶用莴苣、菠菜、</w:t>
      </w:r>
      <w:r>
        <w:rPr>
          <w:rFonts w:hint="eastAsia" w:ascii="仿宋" w:hAnsi="仿宋" w:eastAsia="仿宋" w:cs="仿宋"/>
          <w:sz w:val="28"/>
          <w:szCs w:val="28"/>
          <w:lang w:val="en-US" w:eastAsia="zh-CN"/>
        </w:rPr>
        <w:t xml:space="preserve">油麦菜、荠菜、茎用莴苣、</w:t>
      </w:r>
      <w:r>
        <w:rPr>
          <w:rFonts w:hint="eastAsia" w:ascii="仿宋" w:hAnsi="仿宋" w:eastAsia="仿宋" w:cs="仿宋"/>
          <w:sz w:val="28"/>
          <w:szCs w:val="28"/>
        </w:rPr>
        <w:t xml:space="preserve">菜豆、番茄、茄子、辣椒、黄瓜、</w:t>
      </w:r>
      <w:r>
        <w:rPr>
          <w:rFonts w:hint="eastAsia" w:ascii="仿宋" w:hAnsi="仿宋" w:eastAsia="仿宋" w:cs="仿宋"/>
          <w:sz w:val="28"/>
          <w:szCs w:val="28"/>
          <w:lang w:val="en-US" w:eastAsia="zh-CN"/>
        </w:rPr>
        <w:t xml:space="preserve">丝瓜、冬瓜</w:t>
      </w:r>
      <w:r>
        <w:rPr>
          <w:rFonts w:hint="eastAsia" w:ascii="仿宋" w:hAnsi="仿宋" w:eastAsia="仿宋" w:cs="仿宋"/>
          <w:sz w:val="28"/>
          <w:szCs w:val="28"/>
        </w:rPr>
        <w:t xml:space="preserve">、萝卜、胡萝卜、马铃薯、洋葱、姜、葱、蒜、食用菌</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均为鲜样</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水果产品包括</w:t>
      </w:r>
      <w:r>
        <w:rPr>
          <w:rFonts w:hint="eastAsia" w:ascii="仿宋" w:hAnsi="仿宋" w:eastAsia="仿宋" w:cs="仿宋"/>
          <w:sz w:val="28"/>
          <w:szCs w:val="28"/>
        </w:rPr>
        <w:t xml:space="preserve">草莓、西瓜、梨、桃、</w:t>
      </w:r>
      <w:r>
        <w:rPr>
          <w:rFonts w:hint="eastAsia" w:ascii="仿宋" w:hAnsi="仿宋" w:eastAsia="仿宋" w:cs="仿宋"/>
          <w:sz w:val="28"/>
          <w:szCs w:val="28"/>
          <w:lang w:val="en-US" w:eastAsia="zh-CN"/>
        </w:rPr>
        <w:t xml:space="preserve">葡萄、</w:t>
      </w:r>
      <w:r>
        <w:rPr>
          <w:rFonts w:hint="eastAsia" w:ascii="仿宋" w:hAnsi="仿宋" w:eastAsia="仿宋" w:cs="仿宋"/>
          <w:sz w:val="28"/>
          <w:szCs w:val="28"/>
        </w:rPr>
        <w:t xml:space="preserve">苹果。</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畜禽产品：包括猪肝、猪肉、禽肉、禽蛋、牛肉、羊肉等。</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水产品：包括养殖鱼类、虾类、蟹类、其它类。</w:t>
      </w:r>
      <w:r/>
    </w:p>
    <w:p>
      <w:pPr>
        <w:pStyle w:val="786"/>
        <w:ind w:right="200"/>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1.2</w:t>
      </w:r>
      <w:r>
        <w:rPr>
          <w:rFonts w:hint="eastAsia" w:ascii="仿宋" w:hAnsi="仿宋" w:eastAsia="仿宋" w:cs="仿宋"/>
          <w:spacing w:val="-11"/>
          <w:sz w:val="28"/>
          <w:szCs w:val="28"/>
        </w:rPr>
        <w:t xml:space="preserve">监督抽检品种</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对例行监测问题较多、风险评估中隐患较大、即将上市销售地产农产品进行抽查，</w:t>
      </w:r>
      <w:r>
        <w:rPr>
          <w:rFonts w:hint="eastAsia" w:ascii="仿宋" w:hAnsi="仿宋" w:eastAsia="仿宋" w:cs="仿宋"/>
          <w:sz w:val="28"/>
          <w:szCs w:val="28"/>
        </w:rPr>
        <w:t xml:space="preserve">监督抽查品种为种植类产品、水产品、畜禽产品，其中，以“三棵菜”（豇豆、韭菜、芹菜）、“一枚蛋”（鸡蛋）、肉牛肉羊、“四条鱼”（大口黑鲈、乌鳢、鳊鱼、鲫鱼）等10个品种为重点。抽查品种为蔬菜、畜禽肉、禽蛋和水产品。监督抽查对象以农产品生产企业、合作社、家庭农场、养殖场、种植养殖大户等农产品生产经营主体以及定点屠宰场为重点，2023年度例行监测禁限用药物检出样品、不合格样品的生产主体列为重点抽查对象。</w:t>
      </w:r>
      <w:r/>
    </w:p>
    <w:p>
      <w:pPr>
        <w:pStyle w:val="786"/>
        <w:ind w:right="567" w:firstLine="516"/>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2、</w:t>
      </w:r>
      <w:r>
        <w:rPr>
          <w:rFonts w:hint="eastAsia" w:ascii="仿宋" w:hAnsi="仿宋" w:eastAsia="仿宋" w:cs="仿宋"/>
          <w:spacing w:val="-11"/>
          <w:sz w:val="28"/>
          <w:szCs w:val="28"/>
        </w:rPr>
        <w:t xml:space="preserve">监测时间、数量</w:t>
      </w:r>
      <w:r/>
    </w:p>
    <w:p>
      <w:pPr>
        <w:pStyle w:val="786"/>
        <w:ind w:right="567"/>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2.1 </w:t>
      </w:r>
      <w:r>
        <w:rPr>
          <w:rFonts w:hint="eastAsia" w:ascii="仿宋" w:hAnsi="仿宋" w:eastAsia="仿宋" w:cs="仿宋"/>
          <w:spacing w:val="-11"/>
          <w:sz w:val="28"/>
          <w:szCs w:val="28"/>
        </w:rPr>
        <w:t xml:space="preserve">例行抽检：</w:t>
      </w:r>
      <w:r/>
    </w:p>
    <w:p>
      <w:pPr>
        <w:pStyle w:val="786"/>
        <w:ind w:right="567" w:firstLine="560"/>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z w:val="28"/>
          <w:szCs w:val="28"/>
        </w:rPr>
        <w:t xml:space="preserve">由局农产品质量安全监管科牵头、区农产品检测站和第三方抽检机构负责抽样检测工作，相关单位协助。农产品质量安全例行监测从4月开始至11月底结束，全年共监测3-4次，具体抽样时间由承检机构与各镇（街道）农产品质量安全监管站商定。全年监测总数2</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00批次样品，其中，蔬菜果品品种1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00批次样品，畜禽产品</w:t>
      </w:r>
      <w:r>
        <w:rPr>
          <w:rFonts w:hint="eastAsia" w:ascii="仿宋" w:hAnsi="仿宋" w:eastAsia="仿宋" w:cs="仿宋"/>
          <w:sz w:val="28"/>
          <w:szCs w:val="28"/>
          <w:lang w:val="en-US" w:eastAsia="zh-CN"/>
        </w:rPr>
        <w:t xml:space="preserve">200</w:t>
      </w:r>
      <w:r>
        <w:rPr>
          <w:rFonts w:hint="eastAsia" w:ascii="仿宋" w:hAnsi="仿宋" w:eastAsia="仿宋" w:cs="仿宋"/>
          <w:sz w:val="28"/>
          <w:szCs w:val="28"/>
        </w:rPr>
        <w:t xml:space="preserve">批次样品，水产品</w:t>
      </w:r>
      <w:r>
        <w:rPr>
          <w:rFonts w:hint="eastAsia" w:ascii="仿宋" w:hAnsi="仿宋" w:eastAsia="仿宋" w:cs="仿宋"/>
          <w:sz w:val="28"/>
          <w:szCs w:val="28"/>
          <w:lang w:val="en-US" w:eastAsia="zh-CN"/>
        </w:rPr>
        <w:t xml:space="preserve">100</w:t>
      </w:r>
      <w:r>
        <w:rPr>
          <w:rFonts w:hint="eastAsia" w:ascii="仿宋" w:hAnsi="仿宋" w:eastAsia="仿宋" w:cs="仿宋"/>
          <w:sz w:val="28"/>
          <w:szCs w:val="28"/>
        </w:rPr>
        <w:t xml:space="preserve">批次样品</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rPr>
        <w:t xml:space="preserve">详见</w:t>
      </w:r>
      <w:r>
        <w:rPr>
          <w:rFonts w:hint="eastAsia" w:ascii="仿宋" w:hAnsi="仿宋" w:eastAsia="仿宋" w:cs="仿宋"/>
          <w:sz w:val="28"/>
          <w:szCs w:val="28"/>
        </w:rPr>
        <w:t xml:space="preserve">任务分解表。</w:t>
      </w:r>
      <w:r/>
    </w:p>
    <w:p>
      <w:pPr>
        <w:pStyle w:val="786"/>
        <w:ind w:right="567"/>
        <w:jc w:val="both"/>
        <w:keepLines w:val="0"/>
        <w:keepNext w:val="0"/>
        <w:pageBreakBefore w:val="0"/>
        <w:spacing w:line="360" w:lineRule="auto"/>
        <w:rPr>
          <w:rFonts w:hint="eastAsia" w:ascii="仿宋" w:hAnsi="仿宋" w:eastAsia="仿宋" w:cs="仿宋"/>
          <w:spacing w:val="-11"/>
          <w:sz w:val="28"/>
          <w:szCs w:val="28"/>
          <w:lang w:val="en-US"/>
        </w:rPr>
      </w:pPr>
      <w:r>
        <w:rPr>
          <w:rFonts w:hint="eastAsia" w:ascii="仿宋" w:hAnsi="仿宋" w:eastAsia="仿宋" w:cs="仿宋"/>
          <w:spacing w:val="-11"/>
          <w:sz w:val="28"/>
          <w:szCs w:val="28"/>
          <w:lang w:val="en-US" w:eastAsia="zh-CN"/>
        </w:rPr>
        <w:t xml:space="preserve">2.2</w:t>
      </w:r>
      <w:r>
        <w:rPr>
          <w:rFonts w:hint="eastAsia" w:ascii="仿宋" w:hAnsi="仿宋" w:eastAsia="仿宋" w:cs="仿宋"/>
          <w:spacing w:val="-11"/>
          <w:sz w:val="28"/>
          <w:szCs w:val="28"/>
          <w:lang w:val="en-US"/>
        </w:rPr>
        <w:t xml:space="preserve">监督抽检：</w:t>
      </w:r>
      <w:r/>
    </w:p>
    <w:p>
      <w:pPr>
        <w:pStyle w:val="786"/>
        <w:ind w:right="567" w:firstLine="560"/>
        <w:jc w:val="both"/>
        <w:keepLines w:val="0"/>
        <w:keepNext w:val="0"/>
        <w:pageBreakBefore w:val="0"/>
        <w:spacing w:line="360" w:lineRule="auto"/>
        <w:rPr>
          <w:rFonts w:hint="eastAsia" w:ascii="仿宋" w:hAnsi="仿宋" w:eastAsia="仿宋" w:cs="仿宋"/>
          <w:spacing w:val="-11"/>
          <w:sz w:val="28"/>
          <w:szCs w:val="28"/>
          <w:lang w:val="en-US"/>
        </w:rPr>
      </w:pPr>
      <w:r>
        <w:rPr>
          <w:rFonts w:hint="eastAsia" w:ascii="仿宋" w:hAnsi="仿宋" w:eastAsia="仿宋" w:cs="仿宋"/>
          <w:sz w:val="28"/>
          <w:szCs w:val="28"/>
        </w:rPr>
        <w:t xml:space="preserve">在全区开展3次农产品质量安全监督抽查，共抽检样品</w:t>
      </w:r>
      <w:r>
        <w:rPr>
          <w:rFonts w:hint="eastAsia" w:ascii="仿宋" w:hAnsi="仿宋" w:eastAsia="仿宋" w:cs="仿宋"/>
          <w:sz w:val="28"/>
          <w:szCs w:val="28"/>
          <w:lang w:val="en-US" w:eastAsia="zh-CN"/>
        </w:rPr>
        <w:t xml:space="preserve">40</w:t>
      </w:r>
      <w:r>
        <w:rPr>
          <w:rFonts w:hint="eastAsia" w:ascii="仿宋" w:hAnsi="仿宋" w:eastAsia="仿宋" w:cs="仿宋"/>
          <w:sz w:val="28"/>
          <w:szCs w:val="28"/>
        </w:rPr>
        <w:t xml:space="preserve">0个。其中种植类样品</w:t>
      </w:r>
      <w:r>
        <w:rPr>
          <w:rFonts w:hint="eastAsia" w:ascii="仿宋" w:hAnsi="仿宋" w:eastAsia="仿宋" w:cs="仿宋"/>
          <w:sz w:val="28"/>
          <w:szCs w:val="28"/>
          <w:lang w:val="en-US" w:eastAsia="zh-CN"/>
        </w:rPr>
        <w:t xml:space="preserve">250</w:t>
      </w:r>
      <w:r>
        <w:rPr>
          <w:rFonts w:hint="eastAsia" w:ascii="仿宋" w:hAnsi="仿宋" w:eastAsia="仿宋" w:cs="仿宋"/>
          <w:sz w:val="28"/>
          <w:szCs w:val="28"/>
        </w:rPr>
        <w:t xml:space="preserve">个，畜禽样品</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0个，水产品样品</w:t>
      </w:r>
      <w:r>
        <w:rPr>
          <w:rFonts w:hint="eastAsia" w:ascii="仿宋" w:hAnsi="仿宋" w:eastAsia="仿宋" w:cs="仿宋"/>
          <w:sz w:val="28"/>
          <w:szCs w:val="28"/>
          <w:lang w:val="en-US" w:eastAsia="zh-CN"/>
        </w:rPr>
        <w:t xml:space="preserve">50</w:t>
      </w:r>
      <w:r>
        <w:rPr>
          <w:rFonts w:hint="eastAsia" w:ascii="仿宋" w:hAnsi="仿宋" w:eastAsia="仿宋" w:cs="仿宋"/>
          <w:sz w:val="28"/>
          <w:szCs w:val="28"/>
        </w:rPr>
        <w:t xml:space="preserve">个。</w:t>
      </w:r>
      <w:r>
        <w:rPr>
          <w:rFonts w:hint="eastAsia" w:ascii="仿宋" w:hAnsi="仿宋" w:eastAsia="仿宋" w:cs="仿宋"/>
          <w:spacing w:val="-11"/>
          <w:sz w:val="28"/>
          <w:szCs w:val="28"/>
          <w:lang w:val="en-US"/>
        </w:rPr>
        <w:t xml:space="preserve">详见</w:t>
      </w:r>
      <w:r>
        <w:rPr>
          <w:rFonts w:hint="eastAsia" w:ascii="仿宋" w:hAnsi="仿宋" w:eastAsia="仿宋" w:cs="仿宋"/>
          <w:spacing w:val="-11"/>
          <w:sz w:val="28"/>
          <w:szCs w:val="28"/>
        </w:rPr>
        <w:t xml:space="preserve">任务分解表。</w:t>
      </w:r>
      <w:r/>
    </w:p>
    <w:p>
      <w:pPr>
        <w:numPr>
          <w:ilvl w:val="0"/>
          <w:numId w:val="0"/>
        </w:numPr>
        <w:ind w:right="200" w:firstLine="281"/>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抽样要求</w:t>
      </w:r>
      <w:r/>
    </w:p>
    <w:p>
      <w:pPr>
        <w:numPr>
          <w:ilvl w:val="0"/>
          <w:numId w:val="0"/>
        </w:num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例行抽检：</w:t>
      </w:r>
      <w:r/>
    </w:p>
    <w:p>
      <w:pPr>
        <w:numPr>
          <w:ilvl w:val="0"/>
          <w:numId w:val="0"/>
        </w:num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监测样品必须具有代表性。凡被确定的监测点不得拒绝抽样。本监测不得向被查单位收取任何费用。</w:t>
      </w:r>
      <w:r/>
    </w:p>
    <w:p>
      <w:pPr>
        <w:pStyle w:val="786"/>
        <w:numPr>
          <w:ilvl w:val="0"/>
          <w:numId w:val="6"/>
        </w:numPr>
        <w:ind w:right="567" w:firstLine="560"/>
        <w:jc w:val="both"/>
        <w:keepLines w:val="0"/>
        <w:keepNext w:val="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监督抽查</w:t>
      </w:r>
      <w:r>
        <w:rPr>
          <w:rFonts w:hint="eastAsia" w:ascii="仿宋" w:hAnsi="仿宋" w:eastAsia="仿宋" w:cs="仿宋"/>
          <w:sz w:val="28"/>
          <w:szCs w:val="28"/>
          <w:lang w:eastAsia="zh-CN"/>
        </w:rPr>
        <w:t xml:space="preserve">：</w:t>
      </w:r>
      <w:r/>
    </w:p>
    <w:p>
      <w:pPr>
        <w:pStyle w:val="786"/>
        <w:numPr>
          <w:ilvl w:val="0"/>
          <w:numId w:val="0"/>
        </w:numPr>
        <w:ind w:right="567" w:firstLine="560"/>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z w:val="28"/>
          <w:szCs w:val="28"/>
        </w:rPr>
        <w:t xml:space="preserve">抽样工作由</w:t>
      </w:r>
      <w:r>
        <w:rPr>
          <w:rFonts w:hint="eastAsia" w:ascii="仿宋" w:hAnsi="仿宋" w:eastAsia="仿宋" w:cs="仿宋"/>
          <w:sz w:val="28"/>
          <w:szCs w:val="28"/>
          <w:lang w:val="en-US" w:eastAsia="zh-CN"/>
        </w:rPr>
        <w:t xml:space="preserve">区农业综合执法大队</w:t>
      </w:r>
      <w:r>
        <w:rPr>
          <w:rFonts w:hint="eastAsia" w:ascii="仿宋" w:hAnsi="仿宋" w:eastAsia="仿宋" w:cs="仿宋"/>
          <w:sz w:val="28"/>
          <w:szCs w:val="28"/>
        </w:rPr>
        <w:t xml:space="preserve">组织实施，监督抽查抽样时，现场持有执法证件的抽样人员应不少于2名。检测机构配合做好样品预处理及样品移送等工作。抽样严格按照《江苏省农产品质量安全监测工作主要程序和方法》进行。</w:t>
      </w:r>
      <w:r/>
    </w:p>
    <w:p>
      <w:pPr>
        <w:pStyle w:val="786"/>
        <w:ind w:right="567" w:firstLine="516"/>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3、</w:t>
      </w:r>
      <w:r>
        <w:rPr>
          <w:rFonts w:hint="eastAsia" w:ascii="仿宋" w:hAnsi="仿宋" w:eastAsia="仿宋" w:cs="仿宋"/>
          <w:spacing w:val="-11"/>
          <w:sz w:val="28"/>
          <w:szCs w:val="28"/>
        </w:rPr>
        <w:t xml:space="preserve">抽样点确定</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区农业农村局农产品质量安全监管科和各镇农监站要根据本地区蔬菜行业发展实际，按照本监测方案要求，配合承检机构制定详细的全年抽检计划，及早确定每次监测抽样对象，确保抽样工作顺利进行。年度监测计划原则上应覆盖本地区所有规模以上</w:t>
      </w:r>
      <w:r>
        <w:rPr>
          <w:rFonts w:hint="eastAsia" w:ascii="仿宋" w:hAnsi="仿宋" w:eastAsia="仿宋" w:cs="仿宋"/>
          <w:sz w:val="28"/>
          <w:szCs w:val="28"/>
          <w:lang w:val="en-US" w:eastAsia="zh-CN"/>
        </w:rPr>
        <w:t xml:space="preserve">农产品</w:t>
      </w:r>
      <w:r>
        <w:rPr>
          <w:rFonts w:hint="eastAsia" w:ascii="仿宋" w:hAnsi="仿宋" w:eastAsia="仿宋" w:cs="仿宋"/>
          <w:sz w:val="28"/>
          <w:szCs w:val="28"/>
        </w:rPr>
        <w:t xml:space="preserve">生产基地，每次抽样地点应不少于4个基地，全年同一基地抽样次数不得超过3次。</w:t>
      </w:r>
      <w:r/>
    </w:p>
    <w:p>
      <w:pPr>
        <w:pStyle w:val="786"/>
        <w:ind w:right="567" w:firstLine="516"/>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4、</w:t>
      </w:r>
      <w:r>
        <w:rPr>
          <w:rFonts w:hint="eastAsia" w:ascii="仿宋" w:hAnsi="仿宋" w:eastAsia="仿宋" w:cs="仿宋"/>
          <w:spacing w:val="-11"/>
          <w:sz w:val="28"/>
          <w:szCs w:val="28"/>
        </w:rPr>
        <w:t xml:space="preserve">抽样方法</w:t>
      </w:r>
      <w:r/>
    </w:p>
    <w:p>
      <w:pPr>
        <w:pStyle w:val="789"/>
        <w:ind w:left="0" w:right="34"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种植业样品按照《农药残留分析样本的采样方法》（NY/T 789）和《蔬菜抽样技术规范》（NY/T 2103）执行；</w:t>
      </w:r>
      <w:r/>
    </w:p>
    <w:p>
      <w:pPr>
        <w:pStyle w:val="789"/>
        <w:ind w:left="0" w:right="34"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畜禽产品按照《动物及动物产品兽药残留监控抽样规范》（NY/T 1897）执行；</w:t>
      </w:r>
      <w:r/>
    </w:p>
    <w:p>
      <w:pPr>
        <w:pStyle w:val="789"/>
        <w:ind w:left="0" w:right="34" w:firstLine="560"/>
        <w:keepLines w:val="0"/>
        <w:keepNext w:val="0"/>
        <w:pageBreakBefore w:val="0"/>
        <w:spacing w:line="360" w:lineRule="auto"/>
        <w:widowControl w:val="off"/>
        <w:rPr>
          <w:rFonts w:hint="eastAsia" w:ascii="仿宋" w:hAnsi="仿宋" w:eastAsia="仿宋" w:cs="仿宋"/>
          <w:spacing w:val="-11"/>
          <w:sz w:val="28"/>
          <w:szCs w:val="28"/>
        </w:rPr>
      </w:pPr>
      <w:r>
        <w:rPr>
          <w:rFonts w:hint="eastAsia" w:ascii="仿宋" w:hAnsi="仿宋" w:eastAsia="仿宋" w:cs="仿宋"/>
          <w:sz w:val="28"/>
          <w:szCs w:val="28"/>
        </w:rPr>
        <w:t xml:space="preserve">水产品按照《水产品抽样规范》GB/T30891)执行。</w:t>
      </w:r>
      <w:r/>
    </w:p>
    <w:p>
      <w:pPr>
        <w:pStyle w:val="786"/>
        <w:ind w:right="567" w:firstLine="516"/>
        <w:jc w:val="both"/>
        <w:keepLines w:val="0"/>
        <w:keepNext w:val="0"/>
        <w:pageBreakBefore w:val="0"/>
        <w:spacing w:line="360" w:lineRule="auto"/>
        <w:rPr>
          <w:rFonts w:hint="eastAsia" w:ascii="仿宋" w:hAnsi="仿宋" w:eastAsia="仿宋" w:cs="仿宋"/>
          <w:spacing w:val="-11"/>
          <w:sz w:val="28"/>
          <w:szCs w:val="28"/>
        </w:rPr>
      </w:pPr>
      <w:r>
        <w:rPr>
          <w:rFonts w:hint="eastAsia" w:ascii="仿宋" w:hAnsi="仿宋" w:eastAsia="仿宋" w:cs="仿宋"/>
          <w:spacing w:val="-11"/>
          <w:sz w:val="28"/>
          <w:szCs w:val="28"/>
          <w:lang w:val="en-US" w:eastAsia="zh-CN"/>
        </w:rPr>
        <w:t xml:space="preserve">5、</w:t>
      </w:r>
      <w:r>
        <w:rPr>
          <w:rFonts w:hint="eastAsia" w:ascii="仿宋" w:hAnsi="仿宋" w:eastAsia="仿宋" w:cs="仿宋"/>
          <w:spacing w:val="-11"/>
          <w:sz w:val="28"/>
          <w:szCs w:val="28"/>
        </w:rPr>
        <w:t xml:space="preserve">抽样方式</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抽样工作由区农业农村局农产品质量安全监管科牵头，</w:t>
      </w:r>
      <w:r>
        <w:rPr>
          <w:rFonts w:hint="eastAsia" w:ascii="仿宋" w:hAnsi="仿宋" w:eastAsia="仿宋" w:cs="仿宋"/>
          <w:sz w:val="28"/>
          <w:szCs w:val="28"/>
          <w:lang w:val="en-US" w:eastAsia="zh-CN"/>
        </w:rPr>
        <w:t xml:space="preserve">养殖产品抽样工作由</w:t>
      </w:r>
      <w:r>
        <w:rPr>
          <w:rFonts w:hint="eastAsia" w:ascii="仿宋" w:hAnsi="仿宋" w:eastAsia="仿宋" w:cs="仿宋"/>
          <w:sz w:val="28"/>
          <w:szCs w:val="28"/>
        </w:rPr>
        <w:t xml:space="preserve">动物卫生监督所、渔业渔政管理科具体实施，检测机构负责抽样制样。</w:t>
      </w:r>
      <w:r/>
    </w:p>
    <w:p>
      <w:pPr>
        <w:numPr>
          <w:ilvl w:val="0"/>
          <w:numId w:val="0"/>
        </w:numPr>
        <w:ind w:firstLine="516"/>
        <w:keepLines w:val="0"/>
        <w:keepNext w:val="0"/>
        <w:pageBreakBefore w:val="0"/>
        <w:spacing w:line="360" w:lineRule="auto"/>
        <w:rPr>
          <w:rFonts w:hint="eastAsia" w:ascii="仿宋" w:hAnsi="仿宋" w:eastAsia="仿宋" w:cs="仿宋"/>
          <w:spacing w:val="-11"/>
          <w:sz w:val="28"/>
          <w:szCs w:val="28"/>
          <w:lang w:val="zh-CN" w:eastAsia="zh-CN" w:bidi="zh-CN"/>
        </w:rPr>
        <w:outlineLvl w:val="0"/>
      </w:pPr>
      <w:r>
        <w:rPr>
          <w:rFonts w:hint="eastAsia" w:ascii="仿宋" w:hAnsi="仿宋" w:eastAsia="仿宋" w:cs="仿宋"/>
          <w:spacing w:val="-11"/>
          <w:sz w:val="28"/>
          <w:szCs w:val="28"/>
          <w:lang w:val="en-US" w:eastAsia="zh-CN" w:bidi="zh-CN"/>
        </w:rPr>
        <w:t xml:space="preserve">6、</w:t>
      </w:r>
      <w:r>
        <w:rPr>
          <w:rFonts w:hint="eastAsia" w:ascii="仿宋" w:hAnsi="仿宋" w:eastAsia="仿宋" w:cs="仿宋"/>
          <w:spacing w:val="-11"/>
          <w:sz w:val="28"/>
          <w:szCs w:val="28"/>
          <w:lang w:val="zh-CN" w:eastAsia="zh-CN" w:bidi="zh-CN"/>
        </w:rPr>
        <w:t xml:space="preserve">样品预处理。</w:t>
      </w:r>
      <w:r/>
    </w:p>
    <w:p>
      <w:pPr>
        <w:ind w:left="200" w:right="200" w:firstLine="560"/>
        <w:keepLines w:val="0"/>
        <w:keepNext w:val="0"/>
        <w:pageBreakBefore w:val="0"/>
        <w:spacing w:line="360" w:lineRule="auto"/>
        <w:rPr>
          <w:rFonts w:hint="eastAsia" w:ascii="仿宋" w:hAnsi="仿宋" w:eastAsia="仿宋" w:cs="仿宋"/>
          <w:sz w:val="28"/>
          <w:szCs w:val="28"/>
        </w:rPr>
        <w:outlineLvl w:val="0"/>
      </w:pPr>
      <w:r>
        <w:rPr>
          <w:rFonts w:hint="eastAsia" w:ascii="仿宋" w:hAnsi="仿宋" w:eastAsia="仿宋" w:cs="仿宋"/>
          <w:sz w:val="28"/>
          <w:szCs w:val="28"/>
          <w:lang w:val="en-US" w:eastAsia="zh-CN"/>
        </w:rPr>
        <w:t xml:space="preserve">监督抽检所抽样品按照不同检测参数需一式3份（检测样、备份样、复检样）预处理，并分别进行封存，受检单位和抽样单位均应在封条上签字并盖章。其中检测样和备份样交由承检单位进行检测，复检样由局监管科按要求保存，不得留存于受检单位。抽样时要认真填写抽样单，详细登记被检单位、样品来源等信息。</w:t>
      </w:r>
      <w:r/>
    </w:p>
    <w:p>
      <w:pPr>
        <w:pStyle w:val="772"/>
        <w:ind w:left="200" w:right="200"/>
        <w:keepLines w:val="0"/>
        <w:keepNext w:val="0"/>
        <w:pageBreakBefore w:val="0"/>
        <w:spacing w:before="1" w:line="360" w:lineRule="auto"/>
        <w:rPr>
          <w:rFonts w:hint="eastAsia" w:ascii="仿宋" w:hAnsi="仿宋" w:eastAsia="仿宋" w:cs="仿宋"/>
          <w:sz w:val="28"/>
          <w:szCs w:val="28"/>
        </w:rPr>
      </w:pPr>
      <w:r>
        <w:rPr>
          <w:rFonts w:hint="eastAsia" w:ascii="仿宋" w:hAnsi="仿宋" w:eastAsia="仿宋" w:cs="仿宋"/>
          <w:sz w:val="28"/>
          <w:szCs w:val="28"/>
        </w:rPr>
        <w:t xml:space="preserve">六、监测项目及检测方法：</w:t>
      </w:r>
      <w:r/>
    </w:p>
    <w:p>
      <w:pPr>
        <w:pStyle w:val="786"/>
        <w:keepLines w:val="0"/>
        <w:keepNext w:val="0"/>
        <w:pageBreakBefore w:val="0"/>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（一）例行监测项目、检测方法和判定依据</w:t>
      </w:r>
      <w:r/>
    </w:p>
    <w:p>
      <w:pPr>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种植业例行监测检测项目、方法和判定依据</w:t>
      </w:r>
      <w:r/>
    </w:p>
    <w:tbl>
      <w:tblPr>
        <w:tblStyle w:val="781"/>
        <w:tblpPr w:horzAnchor="page" w:tblpX="917" w:vertAnchor="text" w:tblpY="58" w:leftFromText="180" w:topFromText="0" w:rightFromText="180" w:bottomFromText="0"/>
        <w:tblW w:w="10170" w:type="dxa"/>
        <w:tblInd w:w="0" w:type="dxa"/>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725"/>
        <w:gridCol w:w="2073"/>
        <w:gridCol w:w="3372"/>
      </w:tblGrid>
      <w:tr>
        <w:trPr>
          <w:trHeight w:val="551"/>
        </w:trPr>
        <w:tc>
          <w:tcPr>
            <w:tcBorders>
              <w:top w:val="single" w:color="000000" w:sz="4" w:space="0"/>
              <w:bottom w:val="single" w:color="000000" w:sz="4" w:space="0"/>
              <w:right w:val="single" w:color="000000" w:sz="4" w:space="0"/>
            </w:tcBorders>
            <w:tcW w:w="4725"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检测方法</w:t>
            </w:r>
            <w:r/>
          </w:p>
        </w:tc>
        <w:tc>
          <w:tcPr>
            <w:tcBorders>
              <w:top w:val="single" w:color="000000" w:sz="4" w:space="0"/>
              <w:left w:val="single" w:color="000000" w:sz="4" w:space="0"/>
              <w:bottom w:val="single" w:color="000000" w:sz="4" w:space="0"/>
            </w:tcBorders>
            <w:tcW w:w="337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判定依据</w:t>
            </w:r>
            <w:r/>
          </w:p>
        </w:tc>
      </w:tr>
      <w:tr>
        <w:trPr>
          <w:cantSplit/>
          <w:trHeight w:val="2905"/>
        </w:trPr>
        <w:tc>
          <w:tcPr>
            <w:tcBorders>
              <w:top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rPr>
              <w:t xml:space="preserve">甲胺磷、甲拌磷、氧乐果、水胺硫磷、克百威、毒死蜱、三唑磷、乐果、乙酰甲胺磷、氰戊菊酯、辛硫磷、溴氰菊酯、联苯菊酯、三唑酮、腐霉利、多菌灵、吡虫啉、氯氰菊酯、氯氟氰菊酯、百菌清、啶虫脒、苯醚甲环唑、甲氨基阿维菌素苯甲酸盐、烯酰吗啉、噻虫嗪、多效唑、阿维菌素、噻虫胺</w:t>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NY/T 761或</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GB/T 20769或</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GB/T 23200.113</w:t>
            </w:r>
            <w:r/>
          </w:p>
        </w:tc>
        <w:tc>
          <w:tcPr>
            <w:tcBorders>
              <w:top w:val="single" w:color="000000" w:sz="4" w:space="0"/>
              <w:left w:val="single" w:color="000000" w:sz="4" w:space="0"/>
              <w:bottom w:val="single" w:color="000000" w:sz="4" w:space="0"/>
            </w:tcBorders>
            <w:tcW w:w="337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按GB 2763—2021和农业农村部例行监测判定标准进行判定。所监测项目全部合格者，判定为“该产品所检项目符合GB 2763—2021及例行监测的要求”；有一项指标不合格者，即判定为“该产品不合格”。</w:t>
            </w:r>
            <w:r/>
          </w:p>
        </w:tc>
      </w:tr>
    </w:tbl>
    <w:p>
      <w:pPr>
        <w:jc w:val="both"/>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1" w:hanging="1"/>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1" w:hanging="1"/>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1" w:hanging="1"/>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1" w:hanging="1"/>
        <w:jc w:val="cente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畜禽产品例行监测检测项目、方法和判定依据</w:t>
      </w:r>
      <w:r/>
    </w:p>
    <w:tbl>
      <w:tblPr>
        <w:tblStyle w:val="781"/>
        <w:tblW w:w="1018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871"/>
        <w:gridCol w:w="1172"/>
        <w:gridCol w:w="3051"/>
        <w:gridCol w:w="2094"/>
      </w:tblGrid>
      <w:tr>
        <w:trPr>
          <w:jc w:val="center"/>
          <w:trHeight w:val="392"/>
        </w:trPr>
        <w:tc>
          <w:tcPr>
            <w:tcW w:w="3871" w:type="dxa"/>
            <w:vAlign w:val="center"/>
            <w:textDirection w:val="lrTb"/>
            <w:noWrap w:val="false"/>
          </w:tcPr>
          <w:p>
            <w:pPr>
              <w:jc w:val="center"/>
              <w:spacing w:line="2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监测项目</w:t>
            </w:r>
            <w:r/>
          </w:p>
        </w:tc>
        <w:tc>
          <w:tcPr>
            <w:tcW w:w="1172" w:type="dxa"/>
            <w:vAlign w:val="center"/>
            <w:textDirection w:val="lrTb"/>
            <w:noWrap w:val="false"/>
          </w:tcPr>
          <w:p>
            <w:pPr>
              <w:jc w:val="center"/>
              <w:spacing w:line="2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样品种类</w:t>
            </w:r>
            <w:r/>
          </w:p>
        </w:tc>
        <w:tc>
          <w:tcPr>
            <w:tcW w:w="3051" w:type="dxa"/>
            <w:vAlign w:val="center"/>
            <w:textDirection w:val="lrTb"/>
            <w:noWrap w:val="false"/>
          </w:tcPr>
          <w:p>
            <w:pPr>
              <w:jc w:val="center"/>
              <w:spacing w:line="2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检测方法（推荐使用）</w:t>
            </w:r>
            <w:r/>
          </w:p>
        </w:tc>
        <w:tc>
          <w:tcPr>
            <w:tcW w:w="2094" w:type="dxa"/>
            <w:vAlign w:val="center"/>
            <w:textDirection w:val="lrTb"/>
            <w:noWrap w:val="false"/>
          </w:tcPr>
          <w:p>
            <w:pPr>
              <w:jc w:val="center"/>
              <w:spacing w:line="2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判定依据</w:t>
            </w:r>
            <w:r/>
          </w:p>
        </w:tc>
      </w:tr>
      <w:tr>
        <w:trPr>
          <w:cantSplit/>
          <w:jc w:val="center"/>
          <w:trHeight w:val="90"/>
        </w:trPr>
        <w:tc>
          <w:tcPr>
            <w:tcW w:w="387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9种β—受体激动剂（克伦特罗、莱克多巴胺、沙丁胺醇、特布他林、西马特罗、非诺特罗、氯丙那林、妥布特罗、喷布特罗）</w:t>
            </w:r>
            <w:r/>
          </w:p>
        </w:tc>
        <w:tc>
          <w:tcPr>
            <w:tcW w:w="117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猪肉、</w:t>
            </w:r>
            <w:r/>
          </w:p>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猪肝、</w:t>
            </w:r>
            <w:r/>
          </w:p>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牛肉、</w:t>
            </w:r>
            <w:r/>
          </w:p>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羊肉</w:t>
            </w:r>
            <w:r/>
          </w:p>
        </w:tc>
        <w:tc>
          <w:tcPr>
            <w:tcW w:w="305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《动物源性食品中β—受体激动剂残留检测—液相色谱—串联质谱法》（农业部1025公告—18—2008）　</w:t>
            </w:r>
            <w:r/>
          </w:p>
        </w:tc>
        <w:tc>
          <w:tcPr>
            <w:tcW w:w="2094"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w:t>
            </w:r>
            <w:r/>
          </w:p>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检测方法的定量限（判定值）均≤0.5μg /kg;</w:t>
            </w:r>
            <w:r/>
          </w:p>
        </w:tc>
      </w:tr>
      <w:tr>
        <w:trPr>
          <w:cantSplit/>
          <w:jc w:val="center"/>
          <w:trHeight w:val="831"/>
        </w:trPr>
        <w:tc>
          <w:tcPr>
            <w:tcW w:w="387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5种磺胺类（磺胺间甲氧嘧啶（SMM）、磺胺二甲嘧啶（SM2）、磺胺甲噁唑（SMZ）、磺胺二甲氧嘧啶（SDM）、磺胺喹噁啉（SQ））</w:t>
            </w:r>
            <w:r/>
          </w:p>
        </w:tc>
        <w:tc>
          <w:tcPr>
            <w:tcW w:w="117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猪肉、</w:t>
            </w:r>
            <w:r/>
          </w:p>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猪肝</w:t>
            </w:r>
            <w:r/>
          </w:p>
        </w:tc>
        <w:tc>
          <w:tcPr>
            <w:tcW w:w="305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《动物源食品中磺胺类药物残留检测 液相色谱-串联质谱法》（农业部1025号公告-23-2008）</w:t>
            </w:r>
            <w:r/>
          </w:p>
        </w:tc>
        <w:tc>
          <w:tcPr>
            <w:tcW w:w="2094" w:type="dxa"/>
            <w:vAlign w:val="top"/>
            <w:vMerge w:val="restart"/>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按《食品安全国家标准食品中兽药最大残留限量》</w:t>
            </w:r>
            <w:r/>
          </w:p>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 31650-2019）和《食品安全国家标准食品中41种兽药最大残留限量》</w:t>
            </w:r>
            <w:r/>
          </w:p>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 31650.1-2022）及相关规定执行。</w:t>
            </w:r>
            <w:r/>
          </w:p>
        </w:tc>
      </w:tr>
      <w:tr>
        <w:trPr>
          <w:cantSplit/>
          <w:jc w:val="center"/>
          <w:trHeight w:val="865"/>
        </w:trPr>
        <w:tc>
          <w:tcPr>
            <w:tcW w:w="387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8种氟喹诺酮类（恩诺沙星、环丙沙星、沙拉沙星、达氟沙星、氧氟沙星、培氟沙星、诺氟沙星和洛美沙星）</w:t>
            </w:r>
            <w:r/>
          </w:p>
        </w:tc>
        <w:tc>
          <w:tcPr>
            <w:tcW w:w="117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禽肉、</w:t>
            </w:r>
            <w:r/>
          </w:p>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禽蛋、</w:t>
            </w:r>
            <w:r/>
          </w:p>
        </w:tc>
        <w:tc>
          <w:tcPr>
            <w:tcW w:w="305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《动物源性食品中14种喹诺酮药物残留检测方法 液相色谱-质谱/质谱法》（GB/T 21312-2007）</w:t>
            </w:r>
            <w:r/>
          </w:p>
        </w:tc>
        <w:tc>
          <w:tcPr>
            <w:tcW w:w="2094" w:type="dxa"/>
            <w:vAlign w:val="top"/>
            <w:vMerge w:val="continue"/>
            <w:textDirection w:val="lrTb"/>
            <w:noWrap w:val="false"/>
          </w:tcPr>
          <w:p>
            <w:pPr>
              <w:jc w:val="center"/>
              <w:spacing w:line="280" w:lineRule="exact"/>
              <w:widowControl/>
              <w:rPr>
                <w:sz w:val="24"/>
                <w:szCs w:val="24"/>
                <w:lang w:val="en-US"/>
              </w:rPr>
            </w:pPr>
            <w:r>
              <w:rPr>
                <w:sz w:val="24"/>
                <w:szCs w:val="24"/>
                <w:lang w:val="en-US"/>
              </w:rPr>
            </w:r>
            <w:r/>
          </w:p>
        </w:tc>
      </w:tr>
      <w:tr>
        <w:trPr>
          <w:cantSplit/>
          <w:jc w:val="center"/>
          <w:trHeight w:val="985"/>
        </w:trPr>
        <w:tc>
          <w:tcPr>
            <w:tcW w:w="387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3种酰胺醇类及代谢物（氯霉素、甲砜霉素、氟苯尼考和氟苯尼考胺）</w:t>
            </w:r>
            <w:r/>
          </w:p>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r>
            <w:r/>
          </w:p>
        </w:tc>
        <w:tc>
          <w:tcPr>
            <w:tcW w:w="1172" w:type="dxa"/>
            <w:vAlign w:val="center"/>
            <w:vMerge w:val="restart"/>
            <w:textDirection w:val="lrTb"/>
            <w:noWrap w:val="false"/>
          </w:tcPr>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禽肉、</w:t>
            </w:r>
            <w:r/>
          </w:p>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禽蛋</w:t>
            </w:r>
            <w:r/>
          </w:p>
        </w:tc>
        <w:tc>
          <w:tcPr>
            <w:tcW w:w="305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《禽肉和禽蛋中酰胺醇类药物及代谢物残留量的测定液相色谱-串联质谱法》（中国农业科学院农业质量标准与检测技术研究所自建方法） 《食品安全国家标准 动物性食品中酰胺醇类药物及其代谢物残留量的测定 液相色谱-串联质谱法》(GB 31658.20-2022)</w:t>
            </w:r>
            <w:r/>
          </w:p>
        </w:tc>
        <w:tc>
          <w:tcPr>
            <w:tcW w:w="2094" w:type="dxa"/>
            <w:vAlign w:val="top"/>
            <w:vMerge w:val="continue"/>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r>
            <w:r/>
          </w:p>
        </w:tc>
      </w:tr>
      <w:tr>
        <w:trPr>
          <w:cantSplit/>
          <w:jc w:val="center"/>
          <w:trHeight w:val="710"/>
        </w:trPr>
        <w:tc>
          <w:tcPr>
            <w:tcW w:w="387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金刚烷胺</w:t>
            </w:r>
            <w:r/>
          </w:p>
        </w:tc>
        <w:tc>
          <w:tcPr>
            <w:tcW w:w="1172"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r>
            <w:r/>
          </w:p>
        </w:tc>
        <w:tc>
          <w:tcPr>
            <w:tcW w:w="3051" w:type="dxa"/>
            <w:vAlign w:val="center"/>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《食品安全国家标准 动物性食品中金刚烷胺残留量的测定液相色谱-串联质谱法》（GB 31660.5-2019） 禽肉和禽蛋中氟喹诺酮类药物及金刚烷胺残留量的测定液相色谱-串联质谱法操作细则（中国农业科学院农业质量标准与检测技术研究所自建方法）。</w:t>
            </w:r>
            <w:r/>
          </w:p>
        </w:tc>
        <w:tc>
          <w:tcPr>
            <w:tcW w:w="2094" w:type="dxa"/>
            <w:vAlign w:val="top"/>
            <w:textDirection w:val="lrTb"/>
            <w:noWrap w:val="false"/>
          </w:tcPr>
          <w:p>
            <w:pPr>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不得检出，检测方法的定量限（判定值）≤2.0μg /kg;</w:t>
            </w:r>
            <w:r/>
          </w:p>
        </w:tc>
      </w:tr>
    </w:tbl>
    <w:p>
      <w:pPr>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水产品例行监测检测项目、方法和判定值</w:t>
      </w:r>
      <w:r/>
    </w:p>
    <w:tbl>
      <w:tblPr>
        <w:tblStyle w:val="781"/>
        <w:tblW w:w="10572"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334"/>
        <w:gridCol w:w="4853"/>
        <w:gridCol w:w="2385"/>
      </w:tblGrid>
      <w:tr>
        <w:trPr>
          <w:jc w:val="center"/>
          <w:trHeight w:val="421"/>
        </w:trPr>
        <w:tc>
          <w:tcPr>
            <w:tcW w:w="3334" w:type="dxa"/>
            <w:vAlign w:val="center"/>
            <w:textDirection w:val="lrTb"/>
            <w:noWrap w:val="false"/>
          </w:tcPr>
          <w:p>
            <w:pPr>
              <w:jc w:val="center"/>
              <w:spacing w:line="280" w:lineRule="exact"/>
              <w:widowControl/>
              <w:rPr>
                <w:rFonts w:hint="eastAsia" w:ascii="仿宋" w:hAnsi="仿宋" w:eastAsia="仿宋" w:cs="仿宋"/>
                <w:b/>
                <w:bCs w:val="0"/>
                <w:sz w:val="24"/>
                <w:szCs w:val="24"/>
              </w:rPr>
            </w:pPr>
            <w:r>
              <w:rPr>
                <w:rFonts w:hint="eastAsia" w:ascii="仿宋" w:hAnsi="仿宋" w:eastAsia="仿宋" w:cs="仿宋"/>
                <w:b/>
                <w:bCs w:val="0"/>
                <w:sz w:val="24"/>
                <w:szCs w:val="24"/>
              </w:rPr>
              <w:t xml:space="preserve">监测项目</w:t>
            </w:r>
            <w:r/>
          </w:p>
        </w:tc>
        <w:tc>
          <w:tcPr>
            <w:tcW w:w="4853" w:type="dxa"/>
            <w:vAlign w:val="center"/>
            <w:textDirection w:val="lrTb"/>
            <w:noWrap w:val="false"/>
          </w:tcPr>
          <w:p>
            <w:pPr>
              <w:jc w:val="center"/>
              <w:spacing w:line="280" w:lineRule="exact"/>
              <w:widowControl/>
              <w:rPr>
                <w:rFonts w:hint="eastAsia" w:ascii="仿宋" w:hAnsi="仿宋" w:eastAsia="仿宋" w:cs="仿宋"/>
                <w:b/>
                <w:bCs w:val="0"/>
                <w:sz w:val="24"/>
                <w:szCs w:val="24"/>
              </w:rPr>
            </w:pPr>
            <w:r>
              <w:rPr>
                <w:rFonts w:hint="eastAsia" w:ascii="仿宋" w:hAnsi="仿宋" w:eastAsia="仿宋" w:cs="仿宋"/>
                <w:b/>
                <w:bCs w:val="0"/>
                <w:sz w:val="24"/>
                <w:szCs w:val="24"/>
              </w:rPr>
              <w:t xml:space="preserve">检测方法（推荐使用）</w:t>
            </w:r>
            <w:r/>
          </w:p>
        </w:tc>
        <w:tc>
          <w:tcPr>
            <w:tcW w:w="2385" w:type="dxa"/>
            <w:vAlign w:val="center"/>
            <w:textDirection w:val="lrTb"/>
            <w:noWrap w:val="false"/>
          </w:tcPr>
          <w:p>
            <w:pPr>
              <w:jc w:val="center"/>
              <w:spacing w:line="280" w:lineRule="exact"/>
              <w:widowControl/>
              <w:rPr>
                <w:rFonts w:hint="eastAsia" w:ascii="仿宋" w:hAnsi="仿宋" w:eastAsia="仿宋" w:cs="仿宋"/>
                <w:b/>
                <w:bCs w:val="0"/>
                <w:sz w:val="24"/>
                <w:szCs w:val="24"/>
              </w:rPr>
            </w:pPr>
            <w:r>
              <w:rPr>
                <w:rFonts w:hint="eastAsia" w:ascii="仿宋" w:hAnsi="仿宋" w:eastAsia="仿宋" w:cs="仿宋"/>
                <w:b/>
                <w:bCs w:val="0"/>
                <w:sz w:val="24"/>
                <w:szCs w:val="24"/>
              </w:rPr>
              <w:t xml:space="preserve">判定值（µg/kg）</w:t>
            </w:r>
            <w:r/>
          </w:p>
        </w:tc>
      </w:tr>
      <w:tr>
        <w:trPr>
          <w:cantSplit/>
          <w:jc w:val="center"/>
          <w:trHeight w:val="473"/>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氯霉素</w:t>
            </w:r>
            <w:r/>
          </w:p>
        </w:tc>
        <w:tc>
          <w:tcPr>
            <w:tcW w:w="4853" w:type="dxa"/>
            <w:vAlign w:val="center"/>
            <w:vMerge w:val="restart"/>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GB/T 20756-2006《可食动物肌肉、肝脏和水产品中氯霉素、甲砜霉素和氟苯尼考残留量的测定液相色谱-串联质谱法》GB/T22338-2008《动物源性食品中氯霉素类药物残留量测定》</w:t>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不得检出（判定限量值：0.3）</w:t>
            </w:r>
            <w:r/>
          </w:p>
        </w:tc>
      </w:tr>
      <w:tr>
        <w:trPr>
          <w:cantSplit/>
          <w:jc w:val="center"/>
          <w:trHeight w:val="592"/>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酰胺醇类（甲砜霉素、氟苯尼考、氟苯尼考胺）</w:t>
            </w:r>
            <w:r/>
          </w:p>
        </w:tc>
        <w:tc>
          <w:tcPr>
            <w:tcW w:w="4853" w:type="dxa"/>
            <w:vAlign w:val="center"/>
            <w:vMerge w:val="continue"/>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甲砜霉素：≤50</w:t>
            </w:r>
            <w:r/>
          </w:p>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氟苯尼考和氟苯尼考胺总量：≤1000</w:t>
            </w:r>
            <w:r/>
          </w:p>
        </w:tc>
      </w:tr>
      <w:tr>
        <w:trPr>
          <w:jc w:val="center"/>
          <w:trHeight w:val="566"/>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硝基呋喃类代谢物（呋喃唑酮代谢物、呋喃西林代谢物、呋喃妥因代谢物、呋喃它酮代谢物）</w:t>
            </w:r>
            <w:r/>
          </w:p>
        </w:tc>
        <w:tc>
          <w:tcPr>
            <w:tcW w:w="4853"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农业部783号公告-1-2006《水产品中硝基呋喃类代谢物残留量的测定 液相色谱-串联质谱法》</w:t>
            </w:r>
            <w:r/>
          </w:p>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 31656.13-2021 《食品安全国家标准  水产品中硝基呋喃类代谢物多残留的测定 液相色谱-串联质谱法》</w:t>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不得检出（各分项判定限量值：1.0）</w:t>
            </w:r>
            <w:r/>
          </w:p>
        </w:tc>
      </w:tr>
      <w:tr>
        <w:trPr>
          <w:jc w:val="center"/>
          <w:trHeight w:val="603"/>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孔雀石绿（包括有色孔雀石绿和无色孔雀石绿）</w:t>
            </w:r>
            <w:r/>
          </w:p>
        </w:tc>
        <w:tc>
          <w:tcPr>
            <w:tcW w:w="4853"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GB/T 20361-2006《水产品中孔雀石绿和结晶紫残留量的测定 高效液相色谱荧光检测法》</w:t>
            </w:r>
            <w:r/>
          </w:p>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GB/T 19857-2005《水产品中孔雀石绿和结晶紫残留量的测定》</w:t>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不得检出（判定限量值：有色孔雀石绿和无色孔雀石绿的总量≤1.0）</w:t>
            </w:r>
            <w:r/>
          </w:p>
        </w:tc>
      </w:tr>
      <w:tr>
        <w:trPr>
          <w:jc w:val="center"/>
          <w:trHeight w:val="603"/>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地西泮</w:t>
            </w:r>
            <w:r/>
          </w:p>
        </w:tc>
        <w:tc>
          <w:tcPr>
            <w:tcW w:w="4853"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SN/T3235-2012 《出口动物源食品中多类禁用药物残留量检测方法 液相色谱-质谱/质谱法》</w:t>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不得检出（判定限量值：0.5）</w:t>
            </w:r>
            <w:r/>
          </w:p>
        </w:tc>
      </w:tr>
      <w:tr>
        <w:trPr>
          <w:jc w:val="center"/>
          <w:trHeight w:val="921"/>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12种磺胺类（磺胺噻唑、磺胺嘧啶、磺胺甲基嘧啶、磺胺二甲基嘧啶、磺胺甲基异噁唑、磺胺多辛、磺胺异噁唑、磺胺喹噁啉、磺胺间甲氧嘧啶、磺胺间二甲氧嘧啶、磺胺氯哒嗪和磺胺甲噻二唑）</w:t>
            </w:r>
            <w:r/>
          </w:p>
        </w:tc>
        <w:tc>
          <w:tcPr>
            <w:tcW w:w="4853"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农业部1077号公告-1-2008《水产品中17种磺胺类及15种喹诺酮类药物残留量的测定 液相色谱-串联质谱法》</w:t>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总量≤100</w:t>
            </w:r>
            <w:r/>
          </w:p>
        </w:tc>
      </w:tr>
      <w:tr>
        <w:trPr>
          <w:cantSplit/>
          <w:jc w:val="center"/>
          <w:trHeight w:val="353"/>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氟喹诺酮类（恩诺沙星、环丙沙星）</w:t>
            </w:r>
            <w:r/>
          </w:p>
        </w:tc>
        <w:tc>
          <w:tcPr>
            <w:tcW w:w="4853" w:type="dxa"/>
            <w:vAlign w:val="center"/>
            <w:vMerge w:val="restart"/>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农业部1077号公告-1-2008《水产品中17种磺胺类及15种喹诺酮类药物残留量的测定 液相色谱-串联质谱法》</w:t>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总量≤100</w:t>
            </w:r>
            <w:r/>
          </w:p>
        </w:tc>
      </w:tr>
      <w:tr>
        <w:trPr>
          <w:cantSplit/>
          <w:jc w:val="center"/>
          <w:trHeight w:val="598"/>
        </w:trPr>
        <w:tc>
          <w:tcPr>
            <w:tcW w:w="3334"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食品动物中停止使用药物氟喹诺酮类（诺氟沙星、氧氟沙星、培氟沙星、洛美沙星）</w:t>
            </w:r>
            <w:r/>
          </w:p>
        </w:tc>
        <w:tc>
          <w:tcPr>
            <w:tcW w:w="4853" w:type="dxa"/>
            <w:vAlign w:val="center"/>
            <w:vMerge w:val="continue"/>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r>
            <w:r/>
          </w:p>
        </w:tc>
        <w:tc>
          <w:tcPr>
            <w:tcW w:w="2385"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不得检出(判定限量值：2.0)</w:t>
            </w:r>
            <w:r/>
          </w:p>
        </w:tc>
      </w:tr>
    </w:tbl>
    <w:p>
      <w:pPr>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注：1.其中虾蟹类不做呋喃西林代谢物SEM。</w:t>
      </w:r>
      <w:r/>
    </w:p>
    <w:p>
      <w:pPr>
        <w:ind w:firstLine="56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2.满足检测限要求的其他检测方法（包括国家标准、行业标准及农业农村部公告等）也可以使用</w:t>
      </w:r>
      <w:r/>
    </w:p>
    <w:p>
      <w:pP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（二）监督抽查项目、检测方法和判定依据</w:t>
      </w:r>
      <w:r/>
    </w:p>
    <w:p>
      <w:pPr>
        <w:ind w:left="1" w:hanging="1"/>
        <w:jc w:val="center"/>
        <w:keepLines w:val="0"/>
        <w:keepNext w:val="0"/>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种植业产品监督抽查项目、检测方法和判定依据</w:t>
      </w:r>
      <w:r/>
    </w:p>
    <w:tbl>
      <w:tblPr>
        <w:tblStyle w:val="781"/>
        <w:tblW w:w="10016"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19"/>
        <w:gridCol w:w="2856"/>
        <w:gridCol w:w="2141"/>
      </w:tblGrid>
      <w:tr>
        <w:trPr>
          <w:jc w:val="center"/>
          <w:trHeight w:val="638"/>
        </w:trPr>
        <w:tc>
          <w:tcPr>
            <w:tcBorders>
              <w:top w:val="single" w:color="000000" w:sz="4" w:space="0"/>
              <w:bottom w:val="single" w:color="000000" w:sz="4" w:space="0"/>
              <w:right w:val="single" w:color="000000" w:sz="4" w:space="0"/>
            </w:tcBorders>
            <w:tcW w:w="5019" w:type="dxa"/>
            <w:vAlign w:val="center"/>
            <w:textDirection w:val="lrTb"/>
            <w:noWrap w:val="false"/>
          </w:tcPr>
          <w:p>
            <w:pPr>
              <w:ind w:firstLine="482"/>
              <w:jc w:val="center"/>
              <w:spacing w:line="2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抽检参数</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482"/>
              <w:jc w:val="center"/>
              <w:spacing w:line="2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检测方法</w:t>
            </w:r>
            <w:r/>
          </w:p>
        </w:tc>
        <w:tc>
          <w:tcPr>
            <w:tcBorders>
              <w:top w:val="single" w:color="000000" w:sz="4" w:space="0"/>
              <w:left w:val="single" w:color="000000" w:sz="4" w:space="0"/>
              <w:bottom w:val="single" w:color="000000" w:sz="4" w:space="0"/>
            </w:tcBorders>
            <w:tcW w:w="2141" w:type="dxa"/>
            <w:vAlign w:val="center"/>
            <w:textDirection w:val="lrTb"/>
            <w:noWrap w:val="false"/>
          </w:tcPr>
          <w:p>
            <w:pPr>
              <w:jc w:val="center"/>
              <w:spacing w:line="5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判定依据</w:t>
            </w:r>
            <w:r/>
          </w:p>
        </w:tc>
      </w:tr>
      <w:tr>
        <w:trPr>
          <w:cantSplit/>
          <w:jc w:val="center"/>
          <w:trHeight w:val="2030"/>
        </w:trPr>
        <w:tc>
          <w:tcPr>
            <w:tcBorders>
              <w:top w:val="single" w:color="000000" w:sz="4" w:space="0"/>
              <w:bottom w:val="single" w:color="000000" w:sz="4" w:space="0"/>
              <w:right w:val="single" w:color="000000" w:sz="4" w:space="0"/>
            </w:tcBorders>
            <w:tcW w:w="5019" w:type="dxa"/>
            <w:vAlign w:val="center"/>
            <w:textDirection w:val="lrTb"/>
            <w:noWrap w:val="false"/>
          </w:tcPr>
          <w:p>
            <w:pPr>
              <w:jc w:val="center"/>
              <w:spacing w:line="280" w:lineRule="exact"/>
              <w:widowControl/>
              <w:rPr>
                <w:rFonts w:hint="eastAsia" w:ascii="仿宋" w:hAnsi="仿宋" w:eastAsia="仿宋" w:cs="仿宋"/>
                <w:sz w:val="24"/>
                <w:szCs w:val="24"/>
              </w:rPr>
            </w:pPr>
            <w:r>
              <w:rPr>
                <w:rFonts w:hint="eastAsia" w:ascii="仿宋" w:hAnsi="仿宋" w:eastAsia="仿宋" w:cs="仿宋"/>
                <w:sz w:val="24"/>
                <w:szCs w:val="24"/>
                <w:lang w:val="en-US"/>
              </w:rPr>
              <w:t xml:space="preserve">毒死蜱、甲胺磷、乙酰甲胺磷、甲拌磷、氧乐果、乐果、氟虫腈、三唑磷、腐霉利、阿维菌素、甲氨基阿维菌素苯甲酸盐、嘧菌酯、多菌灵、烯酰吗啉、虫螨腈、百菌清、氯氟氰菊酯、啶虫脒、吡唑醚菌酯、多效唑、吡虫啉、氯氰菊酯、灭蝇胺、噻虫嗪</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NY/T761-2008 或</w:t>
            </w:r>
            <w:r/>
          </w:p>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 23200.8-2016或</w:t>
            </w:r>
            <w:r/>
          </w:p>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GB/T 20769-2008或</w:t>
            </w:r>
            <w:r/>
          </w:p>
          <w:p>
            <w:pPr>
              <w:jc w:val="center"/>
              <w:spacing w:line="280" w:lineRule="exact"/>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GB/T 23200.113-2018或</w:t>
            </w:r>
            <w:r/>
          </w:p>
          <w:p>
            <w:pPr>
              <w:jc w:val="center"/>
              <w:spacing w:line="280" w:lineRule="exact"/>
              <w:widowControl/>
              <w:rPr>
                <w:rFonts w:hint="eastAsia" w:ascii="仿宋" w:hAnsi="仿宋" w:eastAsia="仿宋" w:cs="仿宋"/>
                <w:sz w:val="24"/>
                <w:szCs w:val="24"/>
              </w:rPr>
            </w:pPr>
            <w:r>
              <w:rPr>
                <w:rFonts w:hint="eastAsia" w:ascii="仿宋" w:hAnsi="仿宋" w:eastAsia="仿宋" w:cs="仿宋"/>
                <w:sz w:val="24"/>
                <w:szCs w:val="24"/>
                <w:lang w:val="en-US"/>
              </w:rPr>
              <w:t xml:space="preserve">GB/T23200.19</w:t>
            </w:r>
            <w:r/>
          </w:p>
        </w:tc>
        <w:tc>
          <w:tcPr>
            <w:tcBorders>
              <w:top w:val="single" w:color="000000" w:sz="4" w:space="0"/>
              <w:left w:val="single" w:color="000000" w:sz="4" w:space="0"/>
              <w:bottom w:val="single" w:color="000000" w:sz="4" w:space="0"/>
            </w:tcBorders>
            <w:tcW w:w="2141" w:type="dxa"/>
            <w:vAlign w:val="center"/>
            <w:textDirection w:val="lrTb"/>
            <w:noWrap w:val="false"/>
          </w:tcPr>
          <w:p>
            <w:pPr>
              <w:jc w:val="center"/>
              <w:spacing w:line="280" w:lineRule="exact"/>
              <w:widowControl/>
              <w:rPr>
                <w:rFonts w:hint="eastAsia" w:ascii="仿宋" w:hAnsi="仿宋" w:eastAsia="仿宋" w:cs="仿宋"/>
                <w:sz w:val="24"/>
                <w:szCs w:val="24"/>
              </w:rPr>
            </w:pPr>
            <w:r>
              <w:rPr>
                <w:rFonts w:hint="eastAsia" w:ascii="仿宋" w:hAnsi="仿宋" w:eastAsia="仿宋" w:cs="仿宋"/>
                <w:sz w:val="24"/>
                <w:szCs w:val="24"/>
                <w:lang w:val="en-US"/>
              </w:rPr>
              <w:t xml:space="preserve">GB2763-2021</w:t>
            </w:r>
            <w:r/>
          </w:p>
        </w:tc>
      </w:tr>
    </w:tbl>
    <w:p>
      <w:pPr>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畜牧业产品监督抽查项目、检测方法和判定依据</w:t>
      </w:r>
      <w:r/>
    </w:p>
    <w:tbl>
      <w:tblPr>
        <w:tblStyle w:val="781"/>
        <w:tblW w:w="10022"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44"/>
        <w:gridCol w:w="1559"/>
        <w:gridCol w:w="3219"/>
      </w:tblGrid>
      <w:tr>
        <w:trPr>
          <w:jc w:val="center"/>
          <w:trHeight w:val="472"/>
        </w:trPr>
        <w:tc>
          <w:tcPr>
            <w:tcW w:w="5244" w:type="dxa"/>
            <w:vAlign w:val="center"/>
            <w:textDirection w:val="lrTb"/>
            <w:noWrap w:val="false"/>
          </w:tcPr>
          <w:p>
            <w:pPr>
              <w:ind w:firstLine="482"/>
              <w:jc w:val="center"/>
              <w:spacing w:line="2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抽检参数</w:t>
            </w:r>
            <w:r/>
          </w:p>
        </w:tc>
        <w:tc>
          <w:tcPr>
            <w:tcW w:w="1559" w:type="dxa"/>
            <w:vAlign w:val="center"/>
            <w:textDirection w:val="lrTb"/>
            <w:noWrap w:val="false"/>
          </w:tcPr>
          <w:p>
            <w:pPr>
              <w:jc w:val="center"/>
              <w:spacing w:line="2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检测方法</w:t>
            </w:r>
            <w:r/>
          </w:p>
        </w:tc>
        <w:tc>
          <w:tcPr>
            <w:tcW w:w="3219" w:type="dxa"/>
            <w:vAlign w:val="center"/>
            <w:textDirection w:val="lrTb"/>
            <w:noWrap w:val="false"/>
          </w:tcPr>
          <w:p>
            <w:pPr>
              <w:ind w:firstLine="482"/>
              <w:jc w:val="center"/>
              <w:spacing w:line="2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判定依据</w:t>
            </w:r>
            <w:r/>
          </w:p>
        </w:tc>
      </w:tr>
      <w:tr>
        <w:trPr>
          <w:cantSplit/>
          <w:jc w:val="center"/>
          <w:trHeight w:val="2277"/>
        </w:trPr>
        <w:tc>
          <w:tcPr>
            <w:tcW w:w="5244" w:type="dxa"/>
            <w:vAlign w:val="center"/>
            <w:textDirection w:val="lrTb"/>
            <w:noWrap w:val="false"/>
          </w:tcPr>
          <w:p>
            <w:pPr>
              <w:widowControl/>
              <w:rPr>
                <w:rFonts w:hint="eastAsia" w:ascii="仿宋" w:hAnsi="仿宋" w:eastAsia="仿宋" w:cs="仿宋"/>
                <w:sz w:val="24"/>
                <w:szCs w:val="24"/>
                <w:lang w:eastAsia="zh-CN"/>
              </w:rPr>
            </w:pPr>
            <w:r>
              <w:rPr>
                <w:rFonts w:hint="eastAsia" w:ascii="仿宋" w:hAnsi="仿宋" w:eastAsia="仿宋" w:cs="仿宋"/>
                <w:sz w:val="24"/>
                <w:szCs w:val="24"/>
              </w:rPr>
              <w:t xml:space="preserve">克伦特罗、莱克多巴胺、沙丁胺醇</w:t>
            </w:r>
            <w:r>
              <w:rPr>
                <w:rFonts w:hint="eastAsia" w:ascii="仿宋" w:hAnsi="仿宋" w:eastAsia="仿宋" w:cs="仿宋"/>
                <w:sz w:val="24"/>
                <w:szCs w:val="24"/>
                <w:lang w:eastAsia="zh-CN"/>
              </w:rPr>
              <w:t xml:space="preserve">、硝基呋喃类药物代谢物（AOZ、AMOZ、AHD、SEM）、氯霉素、氟苯尼考、甲砜霉素、氧氟沙星、培氟沙星、诺氟沙星、洛美沙星、金刚烷胺</w:t>
            </w:r>
            <w:r/>
          </w:p>
        </w:tc>
        <w:tc>
          <w:tcPr>
            <w:tcW w:w="1559" w:type="dxa"/>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t xml:space="preserve">国家现行有效的检测方法，但方法最低检出限必须满足判定依据限量值。</w:t>
            </w:r>
            <w:r/>
          </w:p>
        </w:tc>
        <w:tc>
          <w:tcPr>
            <w:tcW w:w="321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农业农村部公告第250号</w:t>
            </w:r>
            <w:r/>
          </w:p>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GB 31650-2019</w:t>
            </w:r>
            <w:r/>
          </w:p>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GB 31650.1-2022</w:t>
            </w:r>
            <w:r/>
          </w:p>
          <w:p>
            <w:pPr>
              <w:jc w:val="center"/>
              <w:widowControl/>
              <w:rPr>
                <w:rFonts w:hint="eastAsia"/>
                <w:sz w:val="24"/>
                <w:szCs w:val="24"/>
              </w:rPr>
            </w:pPr>
            <w:r>
              <w:rPr>
                <w:rFonts w:hint="eastAsia" w:ascii="仿宋" w:hAnsi="仿宋" w:eastAsia="仿宋" w:cs="仿宋"/>
                <w:sz w:val="24"/>
                <w:szCs w:val="24"/>
              </w:rPr>
              <w:t xml:space="preserve">农业部公告第560号</w:t>
            </w:r>
            <w:r/>
          </w:p>
        </w:tc>
      </w:tr>
    </w:tbl>
    <w:p>
      <w:pPr>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r>
      <w:r/>
    </w:p>
    <w:p>
      <w:pPr>
        <w:jc w:val="center"/>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b/>
          <w:bCs/>
          <w:sz w:val="28"/>
          <w:szCs w:val="28"/>
        </w:rPr>
        <w:t xml:space="preserve">水产品监督抽查项目、检测方法和判定依据</w:t>
      </w:r>
      <w:r/>
    </w:p>
    <w:tbl>
      <w:tblPr>
        <w:tblStyle w:val="781"/>
        <w:tblW w:w="10039"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17"/>
        <w:gridCol w:w="4077"/>
        <w:gridCol w:w="2517"/>
        <w:gridCol w:w="1628"/>
      </w:tblGrid>
      <w:tr>
        <w:trPr>
          <w:jc w:val="center"/>
          <w:trHeight w:val="454"/>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抽检参数</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判定值</w:t>
            </w:r>
            <w:r/>
          </w:p>
          <w:p>
            <w:pPr>
              <w:jc w:val="center"/>
              <w:keepLines w:val="0"/>
              <w:keepNext w:val="0"/>
              <w:pageBreakBefore w:val="0"/>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（µg/kg）</w:t>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判定依据</w:t>
            </w:r>
            <w:r/>
          </w:p>
        </w:tc>
      </w:tr>
      <w:tr>
        <w:trPr>
          <w:jc w:val="center"/>
          <w:trHeight w:val="1677"/>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氯霉素</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GB/T 20756-2006《可食动物肌肉、肝脏和水产品中氯霉素、甲砜霉素和氟苯尼考残留量的测定液相色谱-串联质谱法》</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不得检出</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(判定值≤0.3)</w:t>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农业农村部第250号公告</w:t>
            </w:r>
            <w:r/>
          </w:p>
        </w:tc>
      </w:tr>
      <w:tr>
        <w:trPr>
          <w:jc w:val="center"/>
          <w:trHeight w:val="407"/>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孔雀石绿</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GB/T19857-2005</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《水产品中孔雀石绿和结晶紫残留量的测定》</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不得检出</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(判定值有色孔雀石绿和无色孔雀石绿的总量≤1.0)</w:t>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农业农村部第250号公告</w:t>
            </w:r>
            <w:r/>
          </w:p>
        </w:tc>
      </w:tr>
      <w:tr>
        <w:trPr>
          <w:jc w:val="center"/>
          <w:trHeight w:val="407"/>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农业部783号公告-1-2006《水产品中硝基呋喃类代谢物残留量的测定液相色谱-串联质谱法》</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不得检出</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(判定值各为≤1.0)</w:t>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农业农村部第250号公告</w:t>
            </w:r>
            <w:r/>
          </w:p>
        </w:tc>
      </w:tr>
      <w:tr>
        <w:trPr>
          <w:jc w:val="center"/>
          <w:trHeight w:val="407"/>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氧氟沙星、培氟沙星、诺氟沙星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洛美沙星</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农业部1077号公告-1-2008《水产品中17种磺胺类及15种喹诺酮类药物残留量的测定液相色谱-串联质谱法》</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不得检出</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(判定值各为</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农业部2292号公告</w:t>
            </w:r>
            <w:r/>
          </w:p>
        </w:tc>
      </w:tr>
      <w:tr>
        <w:trPr>
          <w:jc w:val="center"/>
          <w:trHeight w:val="407"/>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农业部1077号公告-1-2008《水产品中17种磺胺类及15种喹诺酮类药物残留量的测定液相色谱-串联质谱法》</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总量≤100</w:t>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GB 31650-2019</w:t>
            </w:r>
            <w:r/>
          </w:p>
        </w:tc>
      </w:tr>
      <w:tr>
        <w:trPr>
          <w:jc w:val="center"/>
          <w:trHeight w:val="407"/>
        </w:trPr>
        <w:tc>
          <w:tcPr>
            <w:tcBorders>
              <w:top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color w:val="000000"/>
                <w:sz w:val="24"/>
                <w:szCs w:val="24"/>
                <w:u w:val="none"/>
                <w:lang w:val="en-US" w:eastAsia="zh-CN" w:bidi="ar"/>
              </w:rPr>
              <w:t xml:space="preserve">地西泮</w:t>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keepLines w:val="0"/>
              <w:keepNext w:val="0"/>
              <w:widowControl/>
              <w:rPr>
                <w:rFonts w:hint="eastAsia" w:ascii="仿宋" w:hAnsi="仿宋" w:eastAsia="仿宋" w:cs="仿宋"/>
                <w:sz w:val="24"/>
                <w:szCs w:val="24"/>
              </w:rPr>
              <w:suppressLineNumbers w:val="0"/>
            </w:pPr>
            <w:r>
              <w:rPr>
                <w:rFonts w:hint="eastAsia" w:ascii="仿宋" w:hAnsi="仿宋" w:eastAsia="仿宋" w:cs="仿宋"/>
                <w:i w:val="0"/>
                <w:color w:val="000000"/>
                <w:sz w:val="24"/>
                <w:szCs w:val="24"/>
                <w:u w:val="none"/>
                <w:lang w:val="en-US" w:eastAsia="zh-CN" w:bidi="ar"/>
              </w:rPr>
              <w:t xml:space="preserve">SN/T 3235-2012</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不得检出</w:t>
            </w:r>
            <w:r/>
          </w:p>
          <w:p>
            <w:pPr>
              <w:jc w:val="both"/>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tcBorders>
            <w:tcW w:w="162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GB 31650-2019或GB 31650.1-2022</w:t>
            </w:r>
            <w:r/>
          </w:p>
        </w:tc>
      </w:tr>
    </w:tbl>
    <w:p>
      <w:pPr>
        <w:ind w:left="1058" w:hanging="856"/>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注：1.国家现行有效方法（包括国家标准、行业标准及农业农村部公告等）也可以使用，但方法最低检出限必须满足判定依据限量值。</w:t>
      </w:r>
      <w:r/>
    </w:p>
    <w:p>
      <w:pPr>
        <w:numPr>
          <w:ilvl w:val="0"/>
          <w:numId w:val="7"/>
        </w:numPr>
        <w:rPr>
          <w:rFonts w:hint="eastAsia" w:ascii="仿宋" w:hAnsi="仿宋" w:eastAsia="仿宋" w:cs="仿宋"/>
          <w:b/>
          <w:sz w:val="28"/>
          <w:szCs w:val="28"/>
        </w:rPr>
      </w:pPr>
      <w:r>
        <w:rPr>
          <w:rFonts w:hint="eastAsia" w:ascii="仿宋" w:hAnsi="仿宋" w:eastAsia="仿宋" w:cs="仿宋"/>
          <w:sz w:val="28"/>
          <w:szCs w:val="28"/>
        </w:rPr>
        <w:t xml:space="preserve">虾蟹类呋喃西林代谢物SEM不作判定。</w:t>
      </w:r>
      <w:r/>
    </w:p>
    <w:p>
      <w:pPr>
        <w:ind w:right="567" w:firstLine="281"/>
        <w:keepLines w:val="0"/>
        <w:keepNext w:val="0"/>
        <w:pageBreakBefore w:val="0"/>
        <w:spacing w:line="360" w:lineRule="auto"/>
        <w:rPr>
          <w:rFonts w:hint="eastAsia" w:ascii="仿宋" w:hAnsi="仿宋" w:eastAsia="仿宋" w:cs="仿宋"/>
          <w:b/>
          <w:sz w:val="28"/>
          <w:szCs w:val="28"/>
        </w:rPr>
        <w:outlineLvl w:val="0"/>
      </w:pPr>
      <w:r>
        <w:rPr>
          <w:rFonts w:hint="eastAsia" w:ascii="仿宋" w:hAnsi="仿宋" w:eastAsia="仿宋" w:cs="仿宋"/>
          <w:b/>
          <w:sz w:val="28"/>
          <w:szCs w:val="28"/>
        </w:rPr>
        <w:t xml:space="preserve">七、监测结果报送</w:t>
      </w:r>
      <w:r/>
    </w:p>
    <w:p>
      <w:pPr>
        <w:ind w:left="200" w:right="567" w:firstLine="280"/>
        <w:keepLines w:val="0"/>
        <w:keepNext w:val="0"/>
        <w:pageBreakBefore w:val="0"/>
        <w:spacing w:line="360" w:lineRule="auto"/>
        <w:rPr>
          <w:rFonts w:hint="eastAsia" w:ascii="仿宋" w:hAnsi="仿宋" w:eastAsia="仿宋" w:cs="仿宋"/>
          <w:sz w:val="28"/>
          <w:szCs w:val="28"/>
        </w:rPr>
        <w:outlineLvl w:val="0"/>
      </w:pPr>
      <w:r>
        <w:rPr>
          <w:rFonts w:hint="eastAsia" w:ascii="仿宋" w:hAnsi="仿宋" w:eastAsia="仿宋" w:cs="仿宋"/>
          <w:sz w:val="28"/>
          <w:szCs w:val="28"/>
        </w:rPr>
        <w:t xml:space="preserve">本年度我区例行监测抽样及检测数据上报工作继续纳入“江苏省农产品质量安全监测信息系统”。承检机构在获得样品后，及时在监测系统中填报样品信息，并点击抽样完成。承检机构应快抽、快检、快报，在抽样完成1个月内必须完成实验室检测工作，出现不合格样品24小时内通知</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并</w:t>
      </w:r>
      <w:r>
        <w:rPr>
          <w:rFonts w:hint="eastAsia" w:ascii="仿宋" w:hAnsi="仿宋" w:eastAsia="仿宋" w:cs="仿宋"/>
          <w:sz w:val="28"/>
          <w:szCs w:val="28"/>
        </w:rPr>
        <w:t xml:space="preserve">将其结果（含原始记录、确证谱图等信息）以 PDF 文件形式及时报送</w:t>
      </w:r>
      <w:r>
        <w:rPr>
          <w:rFonts w:hint="eastAsia" w:ascii="仿宋" w:hAnsi="仿宋" w:eastAsia="仿宋" w:cs="仿宋"/>
          <w:sz w:val="28"/>
          <w:szCs w:val="28"/>
          <w:lang w:val="en-US" w:eastAsia="zh-CN"/>
        </w:rPr>
        <w:t xml:space="preserve">我局监管科</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承检机构在完成检测任务后，要及时将检测工作开展情况及</w:t>
      </w:r>
      <w:r>
        <w:rPr>
          <w:rFonts w:hint="eastAsia" w:ascii="仿宋" w:hAnsi="仿宋" w:eastAsia="仿宋" w:cs="仿宋"/>
          <w:sz w:val="28"/>
          <w:szCs w:val="28"/>
        </w:rPr>
        <w:t xml:space="preserve">分析报告以正式文件形式报区农业农村局农产品质量安全监管科。</w:t>
      </w:r>
      <w:r/>
    </w:p>
    <w:p>
      <w:pPr>
        <w:ind w:left="200" w:right="567" w:firstLine="281"/>
        <w:keepLines w:val="0"/>
        <w:keepNext w:val="0"/>
        <w:pageBreakBefore w:val="0"/>
        <w:spacing w:line="360" w:lineRule="auto"/>
        <w:rPr>
          <w:rFonts w:hint="eastAsia" w:ascii="仿宋" w:hAnsi="仿宋" w:eastAsia="仿宋" w:cs="仿宋"/>
          <w:b/>
          <w:sz w:val="28"/>
          <w:szCs w:val="28"/>
        </w:rPr>
        <w:outlineLvl w:val="0"/>
      </w:pPr>
      <w:r>
        <w:rPr>
          <w:rFonts w:hint="eastAsia" w:ascii="仿宋" w:hAnsi="仿宋" w:eastAsia="仿宋" w:cs="仿宋"/>
          <w:b/>
          <w:sz w:val="28"/>
          <w:szCs w:val="28"/>
        </w:rPr>
        <w:t xml:space="preserve">八、监测有关要求和注意事项</w:t>
      </w:r>
      <w:r/>
    </w:p>
    <w:p>
      <w:pPr>
        <w:ind w:firstLine="56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1、监测工作应当保证科学性、代表性和真实性。承检机构及配合抽样单位不得提前通知被抽检单位。</w:t>
      </w:r>
      <w:r/>
    </w:p>
    <w:p>
      <w:pPr>
        <w:ind w:firstLine="56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抽检过程中不得向被抽检单位收取任何费用，必须按照规定支付被检主体样品费用。</w:t>
      </w:r>
      <w:r/>
    </w:p>
    <w:p>
      <w:pPr>
        <w:ind w:firstLine="56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3、承检机构要严格按照抽样方法和检测方法，强化检测质量控制措施。统一判定原则，检测过程要做试剂空白和加标回收。</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、对例行监测中发现的不合格产品必须进行溯源、整改，合格后方可销售，确保上市农产品质量安全。</w:t>
      </w:r>
      <w:r/>
    </w:p>
    <w:p>
      <w:p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5、未经区农业农村局许可，任何单位和个人不得引用和公布检测结果。</w:t>
      </w:r>
      <w:r/>
    </w:p>
    <w:p>
      <w:pPr>
        <w:ind w:firstLine="56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lang w:val="en-US" w:eastAsia="zh-CN"/>
        </w:rPr>
        <w:t xml:space="preserve">6、各有关单位应按本方案规定做好抽检工作。监测中有关技术问题，请与局监管科联系。</w:t>
      </w:r>
      <w:r/>
    </w:p>
    <w:p>
      <w:pPr>
        <w:pStyle w:val="786"/>
        <w:ind w:left="200" w:right="567" w:firstLine="281"/>
        <w:jc w:val="both"/>
        <w:keepLines w:val="0"/>
        <w:keepNext w:val="0"/>
        <w:pageBreakBefore w:val="0"/>
        <w:spacing w:before="140" w:line="360" w:lineRule="auto"/>
        <w:rPr>
          <w:rFonts w:hint="eastAsia" w:ascii="仿宋" w:hAnsi="仿宋" w:eastAsia="仿宋" w:cs="仿宋"/>
          <w:b/>
          <w:sz w:val="28"/>
          <w:szCs w:val="28"/>
        </w:rPr>
        <w:outlineLvl w:val="0"/>
      </w:pPr>
      <w:r>
        <w:rPr>
          <w:rFonts w:hint="eastAsia" w:ascii="仿宋" w:hAnsi="仿宋" w:eastAsia="仿宋" w:cs="仿宋"/>
          <w:b/>
          <w:sz w:val="28"/>
          <w:szCs w:val="28"/>
        </w:rPr>
        <w:t xml:space="preserve">九、实施要求</w:t>
      </w:r>
      <w:r/>
    </w:p>
    <w:p>
      <w:pPr>
        <w:pStyle w:val="786"/>
        <w:ind w:left="200" w:right="567" w:firstLine="544"/>
        <w:jc w:val="both"/>
        <w:keepLines w:val="0"/>
        <w:keepNext w:val="0"/>
        <w:pageBreakBefore w:val="0"/>
        <w:spacing w:before="140" w:line="360" w:lineRule="auto"/>
        <w:rPr>
          <w:rFonts w:hint="eastAsia" w:ascii="仿宋" w:hAnsi="仿宋" w:eastAsia="仿宋" w:cs="仿宋"/>
          <w:color w:val="0b0b0b"/>
          <w:spacing w:val="-8"/>
          <w:sz w:val="28"/>
          <w:szCs w:val="28"/>
        </w:rPr>
        <w:outlineLvl w:val="0"/>
      </w:pPr>
      <w:r>
        <w:rPr>
          <w:rFonts w:hint="eastAsia" w:ascii="仿宋" w:hAnsi="仿宋" w:eastAsia="仿宋" w:cs="仿宋"/>
          <w:color w:val="0b0b0b"/>
          <w:spacing w:val="-8"/>
          <w:sz w:val="28"/>
          <w:szCs w:val="28"/>
        </w:rPr>
        <w:t xml:space="preserve">实施方案应详实、具体、针对性强、可操作性强。要求包含但不限于以下方面：</w:t>
      </w:r>
      <w:r/>
    </w:p>
    <w:p>
      <w:pPr>
        <w:pStyle w:val="786"/>
        <w:ind w:left="200" w:right="567" w:firstLine="544"/>
        <w:jc w:val="both"/>
        <w:keepLines w:val="0"/>
        <w:keepNext w:val="0"/>
        <w:pageBreakBefore w:val="0"/>
        <w:spacing w:before="140" w:line="360" w:lineRule="auto"/>
        <w:rPr>
          <w:rFonts w:hint="eastAsia" w:ascii="仿宋" w:hAnsi="仿宋" w:eastAsia="仿宋" w:cs="仿宋"/>
          <w:color w:val="0b0b0b"/>
          <w:spacing w:val="-8"/>
          <w:sz w:val="28"/>
          <w:szCs w:val="28"/>
        </w:rPr>
        <w:outlineLvl w:val="0"/>
      </w:pPr>
      <w:r>
        <w:rPr>
          <w:rFonts w:hint="eastAsia" w:ascii="仿宋" w:hAnsi="仿宋" w:eastAsia="仿宋" w:cs="仿宋"/>
          <w:color w:val="0b0b0b"/>
          <w:spacing w:val="-8"/>
          <w:sz w:val="28"/>
          <w:szCs w:val="28"/>
        </w:rPr>
        <w:t xml:space="preserve">1、服务整体设想、策划、管理和服务的目标。</w:t>
      </w:r>
      <w:r/>
    </w:p>
    <w:p>
      <w:pPr>
        <w:pStyle w:val="786"/>
        <w:ind w:left="200" w:right="567" w:firstLine="544"/>
        <w:jc w:val="both"/>
        <w:keepLines w:val="0"/>
        <w:keepNext w:val="0"/>
        <w:pageBreakBefore w:val="0"/>
        <w:spacing w:before="140" w:line="360" w:lineRule="auto"/>
        <w:rPr>
          <w:rFonts w:hint="eastAsia" w:ascii="仿宋" w:hAnsi="仿宋" w:eastAsia="仿宋" w:cs="仿宋"/>
          <w:color w:val="0b0b0b"/>
          <w:spacing w:val="-8"/>
          <w:sz w:val="28"/>
          <w:szCs w:val="28"/>
        </w:rPr>
        <w:outlineLvl w:val="0"/>
      </w:pPr>
      <w:r>
        <w:rPr>
          <w:rFonts w:hint="eastAsia" w:ascii="仿宋" w:hAnsi="仿宋" w:eastAsia="仿宋" w:cs="仿宋"/>
          <w:color w:val="0b0b0b"/>
          <w:spacing w:val="-8"/>
          <w:sz w:val="28"/>
          <w:szCs w:val="28"/>
        </w:rPr>
        <w:t xml:space="preserve">2、服务组织机构设置及职能。</w:t>
      </w:r>
      <w:r/>
    </w:p>
    <w:p>
      <w:pPr>
        <w:pStyle w:val="786"/>
        <w:ind w:left="200" w:right="567" w:firstLine="544"/>
        <w:jc w:val="both"/>
        <w:keepLines w:val="0"/>
        <w:keepNext w:val="0"/>
        <w:pageBreakBefore w:val="0"/>
        <w:spacing w:before="140" w:line="360" w:lineRule="auto"/>
        <w:rPr>
          <w:rFonts w:hint="eastAsia" w:ascii="仿宋" w:hAnsi="仿宋" w:eastAsia="仿宋" w:cs="仿宋"/>
          <w:color w:val="0b0b0b"/>
          <w:spacing w:val="-8"/>
          <w:sz w:val="28"/>
          <w:szCs w:val="28"/>
        </w:rPr>
        <w:outlineLvl w:val="0"/>
      </w:pPr>
      <w:r>
        <w:rPr>
          <w:rFonts w:hint="eastAsia" w:ascii="仿宋" w:hAnsi="仿宋" w:eastAsia="仿宋" w:cs="仿宋"/>
          <w:color w:val="0b0b0b"/>
          <w:spacing w:val="-8"/>
          <w:sz w:val="28"/>
          <w:szCs w:val="28"/>
        </w:rPr>
        <w:t xml:space="preserve">3、服务管理规章制度。</w:t>
      </w:r>
      <w:r/>
    </w:p>
    <w:p>
      <w:pPr>
        <w:pStyle w:val="786"/>
        <w:ind w:left="200" w:right="567" w:firstLine="544"/>
        <w:jc w:val="both"/>
        <w:keepLines w:val="0"/>
        <w:keepNext w:val="0"/>
        <w:pageBreakBefore w:val="0"/>
        <w:spacing w:before="140" w:line="360" w:lineRule="auto"/>
        <w:rPr>
          <w:rFonts w:hint="eastAsia" w:ascii="仿宋" w:hAnsi="仿宋" w:eastAsia="仿宋" w:cs="仿宋"/>
          <w:color w:val="0b0b0b"/>
          <w:spacing w:val="-8"/>
          <w:sz w:val="28"/>
          <w:szCs w:val="28"/>
        </w:rPr>
        <w:outlineLvl w:val="0"/>
      </w:pPr>
      <w:r>
        <w:rPr>
          <w:rFonts w:hint="eastAsia" w:ascii="仿宋" w:hAnsi="仿宋" w:eastAsia="仿宋" w:cs="仿宋"/>
          <w:color w:val="0b0b0b"/>
          <w:spacing w:val="-8"/>
          <w:sz w:val="28"/>
          <w:szCs w:val="28"/>
        </w:rPr>
        <w:t xml:space="preserve">4、服务质量承诺及措施</w:t>
      </w:r>
      <w:r/>
    </w:p>
    <w:p>
      <w:pPr>
        <w:pStyle w:val="786"/>
        <w:ind w:left="200" w:right="567" w:firstLine="544"/>
        <w:jc w:val="both"/>
        <w:keepLines w:val="0"/>
        <w:keepNext w:val="0"/>
        <w:pageBreakBefore w:val="0"/>
        <w:spacing w:before="140" w:line="360" w:lineRule="auto"/>
        <w:rPr>
          <w:rStyle w:val="1103"/>
          <w:rFonts w:hint="eastAsia" w:ascii="仿宋" w:hAnsi="仿宋" w:eastAsia="仿宋" w:cs="仿宋"/>
          <w:color w:val="auto"/>
          <w:sz w:val="32"/>
          <w:szCs w:val="32"/>
        </w:rPr>
        <w:outlineLvl w:val="0"/>
      </w:pPr>
      <w:r>
        <w:rPr>
          <w:rFonts w:hint="eastAsia" w:ascii="仿宋" w:hAnsi="仿宋" w:eastAsia="仿宋" w:cs="仿宋"/>
          <w:color w:val="0b0b0b"/>
          <w:spacing w:val="-8"/>
          <w:sz w:val="28"/>
          <w:szCs w:val="28"/>
        </w:rPr>
        <w:t xml:space="preserve">5、安全防范及能耗管理，建立各类安全管理措施及应急处理预案</w:t>
      </w:r>
      <w:r>
        <w:rPr>
          <w:rFonts w:hint="eastAsia" w:ascii="仿宋" w:hAnsi="仿宋" w:eastAsia="仿宋" w:cs="仿宋"/>
          <w:color w:val="0b0b0b"/>
          <w:spacing w:val="-8"/>
          <w:sz w:val="28"/>
          <w:szCs w:val="28"/>
          <w:lang w:eastAsia="zh-CN"/>
        </w:rPr>
        <w:t xml:space="preserve">。</w:t>
      </w:r>
      <w:r/>
    </w:p>
    <w:p>
      <w:pPr>
        <w:ind w:firstLine="2570"/>
        <w:jc w:val="both"/>
        <w:spacing w:line="520" w:lineRule="exact"/>
        <w:rPr>
          <w:rFonts w:hint="eastAsia" w:ascii="仿宋" w:hAnsi="仿宋" w:eastAsia="仿宋" w:cs="仿宋"/>
          <w:color w:val="auto"/>
          <w:sz w:val="24"/>
          <w:szCs w:val="24"/>
        </w:rPr>
      </w:pPr>
      <w:r>
        <w:rPr>
          <w:rStyle w:val="1103"/>
          <w:rFonts w:hint="eastAsia" w:ascii="仿宋" w:hAnsi="仿宋" w:eastAsia="仿宋" w:cs="仿宋"/>
          <w:color w:val="auto"/>
          <w:sz w:val="32"/>
          <w:szCs w:val="32"/>
        </w:rPr>
        <w:t xml:space="preserve">第七章  投标文件相关格式</w:t>
      </w:r>
      <w:r/>
    </w:p>
    <w:p>
      <w:pPr>
        <w:ind w:firstLine="313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一、投标函格式</w:t>
      </w:r>
      <w:r/>
    </w:p>
    <w:p>
      <w:pPr>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江苏友信招标代理有限公司</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eastAsia="zh-CN"/>
        </w:rPr>
        <w:t xml:space="preserve">项目编号：JSZC-320312-YXYX-G2024-0005</w:t>
      </w:r>
      <w:r>
        <w:rPr>
          <w:rFonts w:hint="eastAsia" w:ascii="仿宋" w:hAnsi="仿宋" w:eastAsia="仿宋" w:cs="仿宋"/>
          <w:color w:val="auto"/>
          <w:sz w:val="28"/>
          <w:szCs w:val="28"/>
        </w:rPr>
        <w:t xml:space="preserve">]招标文件，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据此函，投标人承诺并同意如下： </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投标人唯一投标报价见《开标一览表》。</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投标人将按招标文件的规定履行合同责任和义务。</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投标人已详细审查全部招标文件，包括第[插入编号] [补遗书][如果有的话]。投标人完全理解并同意放弃对这方面有不明及误解的权力。</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投标有效期为开标之日后90天。</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投标人同意提供按照贵方可能要求的与其投标有关的一切数据或资料，完全理解贵方不一定接受最低价的投标或收到的任何投标。</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投标人同意在授予合同后，按照有关规定支付公证费(如有)。</w:t>
      </w:r>
      <w:r/>
    </w:p>
    <w:p>
      <w:pPr>
        <w:ind w:right="29"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 </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确定。</w:t>
      </w:r>
      <w:r/>
    </w:p>
    <w:p>
      <w:pPr>
        <w:ind w:right="29"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与本投标有关的一切正式往来信函请寄：</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传真： </w:t>
      </w:r>
      <w:r/>
    </w:p>
    <w:p>
      <w:pPr>
        <w:ind w:firstLine="27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500"/>
        <w:spacing w:line="480" w:lineRule="exact"/>
        <w:rPr>
          <w:rFonts w:hint="eastAsia" w:ascii="仿宋" w:hAnsi="仿宋" w:eastAsia="仿宋" w:cs="仿宋"/>
          <w:color w:val="000000"/>
          <w:sz w:val="28"/>
          <w:szCs w:val="28"/>
        </w:rPr>
      </w:pPr>
      <w:r>
        <w:rPr>
          <w:rFonts w:hint="eastAsia" w:ascii="仿宋" w:hAnsi="仿宋" w:eastAsia="仿宋" w:cs="仿宋"/>
          <w:color w:val="auto"/>
          <w:sz w:val="28"/>
          <w:szCs w:val="28"/>
        </w:rPr>
        <w:t xml:space="preserve">日期：   年  月  日</w:t>
      </w:r>
      <w:r/>
    </w:p>
    <w:p>
      <w:pPr>
        <w:pStyle w:val="803"/>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3"/>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2．开标一览表</w:t>
      </w:r>
      <w:r/>
    </w:p>
    <w:p>
      <w:pPr>
        <w:pStyle w:val="803"/>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803"/>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803"/>
        <w:ind w:left="1336" w:hanging="840"/>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2024年铜山区农产品质量安全风险监测</w:t>
      </w:r>
      <w:r/>
    </w:p>
    <w:p>
      <w:pPr>
        <w:pStyle w:val="803"/>
        <w:ind w:firstLine="56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项目编号：JSZC-320312-YXYX-G2024-0005</w:t>
      </w:r>
      <w:r/>
    </w:p>
    <w:p>
      <w:pPr>
        <w:pStyle w:val="803"/>
        <w:spacing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标段（）                                 </w:t>
      </w:r>
      <w:r>
        <w:rPr>
          <w:rFonts w:hint="eastAsia" w:ascii="仿宋" w:hAnsi="仿宋" w:eastAsia="仿宋" w:cs="仿宋"/>
          <w:color w:val="000000"/>
          <w:sz w:val="28"/>
          <w:szCs w:val="28"/>
        </w:rPr>
        <w:t xml:space="preserve">货币单位：人民币元</w:t>
      </w:r>
      <w:r>
        <w:rPr>
          <w:rFonts w:hint="eastAsia" w:ascii="仿宋" w:hAnsi="仿宋" w:eastAsia="仿宋" w:cs="仿宋"/>
          <w:color w:val="000000"/>
          <w:sz w:val="28"/>
          <w:szCs w:val="28"/>
          <w:lang w:val="en-US" w:eastAsia="zh-CN"/>
        </w:rPr>
        <w:t xml:space="preserve">   </w:t>
      </w:r>
      <w:r/>
    </w:p>
    <w:tbl>
      <w:tblPr>
        <w:tblStyle w:val="78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p>
        </w:tc>
      </w:tr>
      <w:tr>
        <w:trPr>
          <w:cantSplit/>
          <w:jc w:val="center"/>
          <w:trHeight w:val="1214"/>
        </w:trPr>
        <w:tc>
          <w:tcPr>
            <w:tcW w:w="366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28"/>
                <w:szCs w:val="28"/>
                <w:lang w:eastAsia="zh-CN"/>
              </w:rPr>
              <w:t xml:space="preserve">2024年铜山区农产品质量安全风险监测</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452"/>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p>
        </w:tc>
        <w:tc>
          <w:tcPr>
            <w:gridSpan w:val="2"/>
            <w:tcW w:w="577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1059"/>
        <w:ind w:left="0" w:firstLine="0"/>
        <w:rPr>
          <w:rFonts w:hint="default" w:ascii="仿宋" w:hAnsi="仿宋" w:eastAsia="仿宋" w:cs="仿宋"/>
          <w:color w:val="000000"/>
          <w:sz w:val="28"/>
          <w:szCs w:val="28"/>
          <w:lang w:val="en-US" w:eastAsia="zh-CN"/>
        </w:rPr>
      </w:pPr>
      <w:r>
        <w:rPr>
          <w:rFonts w:hint="default" w:ascii="仿宋" w:hAnsi="仿宋" w:eastAsia="仿宋" w:cs="仿宋"/>
          <w:color w:val="000000"/>
          <w:sz w:val="28"/>
          <w:szCs w:val="28"/>
          <w:lang w:val="en-US" w:eastAsia="zh-CN"/>
        </w:rPr>
      </w:r>
      <w:r/>
    </w:p>
    <w:p>
      <w:pPr>
        <w:pStyle w:val="832"/>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承诺：本项目由</w:t>
      </w: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本企业提供服务</w:t>
      </w:r>
      <w:r/>
    </w:p>
    <w:p>
      <w:pPr>
        <w:pStyle w:val="1059"/>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报价说明：</w:t>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1、报价包括完成项目的所有费用。采购人不再支付报价以外的任何费用。</w:t>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2、报价以总价为准，大小写不一致以大写为准；</w:t>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3、偏离说明：详见《偏离表》。</w:t>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3"/>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3"/>
        <w:ind w:firstLine="31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jc w:val="left"/>
        <w:widowControl/>
        <w:rPr>
          <w:rFonts w:hint="eastAsia" w:ascii="仿宋" w:hAnsi="仿宋" w:eastAsia="仿宋" w:cs="仿宋"/>
          <w:color w:val="auto"/>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30"/>
          <w:szCs w:val="30"/>
        </w:rPr>
        <w:t xml:space="preserve">三、分项价格表格式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2024年铜山区农产品质量安全风险监测</w:t>
      </w:r>
      <w:r>
        <w:rPr>
          <w:rFonts w:hint="eastAsia" w:ascii="仿宋" w:hAnsi="仿宋" w:eastAsia="仿宋" w:cs="仿宋"/>
          <w:color w:val="auto"/>
          <w:sz w:val="28"/>
          <w:szCs w:val="28"/>
        </w:rPr>
        <w:t xml:space="preserve"> </w:t>
      </w:r>
      <w:r/>
    </w:p>
    <w:p>
      <w:pPr>
        <w:ind w:firstLine="600"/>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项目编号：JSZC-320312-YXYX-G2024-0005</w:t>
      </w:r>
      <w:r/>
    </w:p>
    <w:p>
      <w:pPr>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货币单位：人民币元</w:t>
      </w:r>
      <w:r/>
    </w:p>
    <w:p>
      <w:pPr>
        <w:pStyle w:val="820"/>
        <w:ind w:left="0" w:firstLine="560"/>
        <w:rPr>
          <w:rFonts w:hint="eastAsia" w:eastAsia="仿宋"/>
          <w:lang w:eastAsia="zh-CN"/>
        </w:rPr>
      </w:pPr>
      <w:r>
        <w:rPr>
          <w:rFonts w:hint="eastAsia" w:ascii="仿宋" w:hAnsi="仿宋" w:eastAsia="仿宋" w:cs="仿宋"/>
          <w:color w:val="auto"/>
          <w:sz w:val="28"/>
          <w:szCs w:val="28"/>
          <w:lang w:eastAsia="zh-CN"/>
        </w:rPr>
        <w:t xml:space="preserve">标段（）</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格式自拟。</w:t>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102"/>
        <w:ind w:left="1470" w:right="147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本款说明：</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2.享受政府采购支持政策的残疾人福利性单位应满足的条件以《关于促进残疾人就业政府采购政策的通知》（财库〔2017〕141号）的规定为准。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注：①如果不提供详细分项报价的，将视为没有实质性响应招标文件。②投标人对以上数据的真实性负责。</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有权将以上内容进行公示。</w:t>
      </w:r>
      <w:r/>
    </w:p>
    <w:p>
      <w:pPr>
        <w:ind w:firstLine="560"/>
        <w:spacing w:line="480" w:lineRule="exact"/>
        <w:rPr>
          <w:rFonts w:hint="eastAsia" w:ascii="仿宋" w:hAnsi="仿宋" w:eastAsia="仿宋" w:cs="仿宋"/>
          <w:color w:val="auto"/>
          <w:sz w:val="30"/>
          <w:szCs w:val="30"/>
        </w:rPr>
      </w:pPr>
      <w:r>
        <w:rPr>
          <w:rFonts w:hint="eastAsia" w:ascii="宋体" w:hAnsi="宋体" w:eastAsia="宋体" w:cs="宋体"/>
          <w:color w:val="auto"/>
          <w:sz w:val="24"/>
          <w:szCs w:val="24"/>
        </w:rPr>
        <w:br w:type="page" w:clear="all"/>
      </w:r>
      <w:r>
        <w:rPr>
          <w:rFonts w:hint="eastAsia" w:ascii="宋体" w:hAnsi="宋体" w:cs="宋体"/>
          <w:color w:val="auto"/>
          <w:sz w:val="24"/>
          <w:szCs w:val="24"/>
          <w:lang w:val="en-US" w:eastAsia="zh-CN"/>
        </w:rPr>
        <w:t xml:space="preserve">                  </w:t>
      </w:r>
      <w:r>
        <w:rPr>
          <w:rFonts w:hint="eastAsia" w:ascii="仿宋" w:hAnsi="仿宋" w:eastAsia="仿宋" w:cs="仿宋"/>
          <w:color w:val="auto"/>
          <w:sz w:val="30"/>
          <w:szCs w:val="30"/>
        </w:rPr>
        <w:t xml:space="preserve">四、偏离表格式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2024年铜山区农产品质量安全风险监测</w:t>
      </w:r>
      <w:r>
        <w:rPr>
          <w:rFonts w:hint="eastAsia" w:ascii="仿宋" w:hAnsi="仿宋" w:eastAsia="仿宋" w:cs="仿宋"/>
          <w:color w:val="auto"/>
          <w:sz w:val="28"/>
          <w:szCs w:val="28"/>
        </w:rPr>
        <w:t xml:space="preserve"> </w:t>
      </w:r>
      <w:r/>
    </w:p>
    <w:p>
      <w:pPr>
        <w:ind w:firstLine="600"/>
        <w:spacing w:line="480" w:lineRule="exact"/>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lang w:eastAsia="zh-CN"/>
        </w:rPr>
        <w:t xml:space="preserve">项目编号：JSZC-320312-YXYX-G2024-0005</w:t>
      </w:r>
      <w:r/>
    </w:p>
    <w:p>
      <w:pPr>
        <w:pStyle w:val="820"/>
        <w:ind w:firstLine="28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lang w:eastAsia="zh-CN"/>
        </w:rPr>
        <w:t xml:space="preserve">标段（）</w:t>
      </w:r>
      <w:r/>
    </w:p>
    <w:tbl>
      <w:tblPr>
        <w:tblStyle w:val="78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序号</w:t>
            </w:r>
            <w:r/>
          </w:p>
        </w:tc>
        <w:tc>
          <w:tcPr>
            <w:tcW w:w="1404"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偏离内容</w:t>
            </w:r>
            <w:r/>
          </w:p>
        </w:tc>
        <w:tc>
          <w:tcPr>
            <w:tcW w:w="1476"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招标文件的要求</w:t>
            </w:r>
            <w:r/>
          </w:p>
        </w:tc>
        <w:tc>
          <w:tcPr>
            <w:tcW w:w="162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（正/负/无）偏离</w:t>
            </w:r>
            <w:r/>
          </w:p>
        </w:tc>
        <w:tc>
          <w:tcPr>
            <w:tcW w:w="252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说明</w:t>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firstLine="562"/>
        <w:spacing w:line="44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pStyle w:val="803"/>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3"/>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3"/>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3"/>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3"/>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left"/>
        <w:widowControl/>
        <w:rPr>
          <w:rFonts w:hint="eastAsia" w:ascii="仿宋" w:hAnsi="仿宋" w:eastAsia="仿宋" w:cs="仿宋"/>
          <w:color w:val="auto"/>
          <w:sz w:val="28"/>
          <w:szCs w:val="28"/>
        </w:rPr>
      </w:pPr>
      <w:r>
        <w:rPr>
          <w:rFonts w:hint="eastAsia" w:ascii="宋体" w:hAnsi="宋体" w:eastAsia="宋体" w:cs="宋体"/>
          <w:bCs/>
          <w:color w:val="auto"/>
          <w:sz w:val="24"/>
          <w:szCs w:val="24"/>
        </w:rPr>
        <w:t xml:space="preserve"> </w:t>
      </w:r>
      <w:r>
        <w:rPr>
          <w:rFonts w:hint="eastAsia" w:ascii="宋体" w:hAnsi="宋体" w:cs="宋体"/>
          <w:bCs/>
          <w:color w:val="auto"/>
          <w:sz w:val="24"/>
          <w:szCs w:val="24"/>
          <w:lang w:val="en-US" w:eastAsia="zh-CN"/>
        </w:rPr>
        <w:t xml:space="preserve">                   </w:t>
      </w:r>
      <w:r>
        <w:rPr>
          <w:rFonts w:hint="eastAsia" w:ascii="宋体" w:hAnsi="宋体" w:eastAsia="宋体" w:cs="宋体"/>
          <w:bCs/>
          <w:color w:val="auto"/>
          <w:sz w:val="24"/>
          <w:szCs w:val="24"/>
        </w:rPr>
        <w:t xml:space="preserve">  </w:t>
      </w:r>
      <w:r>
        <w:rPr>
          <w:rFonts w:hint="eastAsia" w:ascii="仿宋" w:hAnsi="仿宋" w:eastAsia="仿宋" w:cs="仿宋"/>
          <w:bCs/>
          <w:color w:val="auto"/>
          <w:sz w:val="28"/>
          <w:szCs w:val="28"/>
        </w:rPr>
        <w:t xml:space="preserve">五、法定代表人授权书格式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  址：</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               职务：</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统一社会信用代码：</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                   性别：男（女）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年龄：  岁                 民族：   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       ）全权代表我企业（公司）参与（</w:t>
      </w:r>
      <w:r>
        <w:rPr>
          <w:rFonts w:hint="eastAsia" w:ascii="仿宋" w:hAnsi="仿宋" w:eastAsia="仿宋" w:cs="仿宋"/>
          <w:color w:val="000000"/>
          <w:sz w:val="28"/>
          <w:szCs w:val="28"/>
          <w:lang w:eastAsia="zh-CN"/>
        </w:rPr>
        <w:t xml:space="preserve">2024年铜山区农产品质量安全风险监测</w:t>
      </w:r>
      <w:r>
        <w:rPr>
          <w:rFonts w:hint="eastAsia" w:ascii="仿宋" w:hAnsi="仿宋" w:eastAsia="仿宋" w:cs="仿宋"/>
          <w:color w:val="auto"/>
          <w:sz w:val="28"/>
          <w:szCs w:val="28"/>
        </w:rPr>
        <w:t xml:space="preserve"> ）项目（</w:t>
      </w:r>
      <w:r>
        <w:rPr>
          <w:rFonts w:hint="eastAsia" w:ascii="仿宋" w:hAnsi="仿宋" w:eastAsia="仿宋" w:cs="仿宋"/>
          <w:color w:val="auto"/>
          <w:sz w:val="28"/>
          <w:szCs w:val="28"/>
          <w:lang w:eastAsia="zh-CN"/>
        </w:rPr>
        <w:t xml:space="preserve">项目编号：JSZC-320312-YXYX-G2024-0005</w:t>
      </w:r>
      <w:r>
        <w:rPr>
          <w:rFonts w:hint="eastAsia" w:ascii="仿宋" w:hAnsi="仿宋" w:eastAsia="仿宋" w:cs="仿宋"/>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特此授权委托。</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委托人（盖单位电子签章）：       受托人（签字或盖章）：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法定代表人（签字或盖章）： </w:t>
      </w:r>
      <w:r/>
    </w:p>
    <w:p>
      <w:pPr>
        <w:ind w:right="600"/>
        <w:jc w:val="righ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   月   日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(受托人身份证复印件附后)</w:t>
      </w:r>
      <w:r/>
    </w:p>
    <w:p>
      <w:pPr>
        <w:ind w:firstLine="447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3"/>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800"/>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六、中小企业声明函格式</w:t>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000000"/>
          <w:sz w:val="28"/>
          <w:szCs w:val="28"/>
          <w:lang w:eastAsia="zh-CN"/>
        </w:rPr>
        <w:t xml:space="preserve">2024年铜山区农产品质量安全风险监测</w:t>
      </w:r>
      <w:r/>
    </w:p>
    <w:p>
      <w:pPr>
        <w:ind w:firstLine="624"/>
        <w:spacing w:line="480" w:lineRule="exact"/>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项目编号：JSZC-320312-YXYX-G2024-0005</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本公司郑重声明，根据《政府采购促进中小企业发展管理办法》（财库﹝2020﹞46 号）的规定，本公司参加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采购活动，服务全部由符合政策要求的中小企业承接。相关企业的具体情况如下：</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u w:val="single"/>
        </w:rPr>
        <w:t xml:space="preserve">（标的名称）</w:t>
      </w:r>
      <w:r>
        <w:rPr>
          <w:rFonts w:hint="eastAsia" w:ascii="仿宋" w:hAnsi="仿宋" w:eastAsia="仿宋" w:cs="仿宋"/>
          <w:color w:val="auto"/>
          <w:sz w:val="28"/>
          <w:szCs w:val="28"/>
        </w:rPr>
        <w:t xml:space="preserve">，属于</w:t>
      </w:r>
      <w:r>
        <w:rPr>
          <w:rFonts w:hint="eastAsia" w:ascii="仿宋" w:hAnsi="仿宋" w:eastAsia="仿宋" w:cs="仿宋"/>
          <w:color w:val="auto"/>
          <w:sz w:val="28"/>
          <w:szCs w:val="28"/>
          <w:u w:val="single"/>
        </w:rPr>
        <w:t xml:space="preserve">（采购文件中明确的所属行业）</w:t>
      </w:r>
      <w:r>
        <w:rPr>
          <w:rFonts w:hint="eastAsia" w:ascii="仿宋" w:hAnsi="仿宋" w:eastAsia="仿宋" w:cs="仿宋"/>
          <w:color w:val="auto"/>
          <w:sz w:val="28"/>
          <w:szCs w:val="28"/>
        </w:rPr>
        <w:t xml:space="preserve">； 承建（承接）企业为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万元，属于（中型企业、小型企业、微型企业）；</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企业名称（盖单位电子签章）：</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日期：</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
          <w:bCs/>
          <w:color w:val="auto"/>
          <w:sz w:val="28"/>
          <w:szCs w:val="28"/>
        </w:rPr>
        <w:t xml:space="preserve">本项目采购的服务属于</w:t>
      </w:r>
      <w:r>
        <w:rPr>
          <w:rFonts w:hint="eastAsia" w:ascii="仿宋" w:hAnsi="仿宋" w:eastAsia="仿宋" w:cs="仿宋"/>
          <w:b/>
          <w:bCs/>
          <w:color w:val="000000" w:themeColor="text1"/>
          <w:sz w:val="28"/>
          <w:szCs w:val="28"/>
          <w:u w:val="none"/>
          <w:lang w:eastAsia="zh-CN"/>
        </w:rPr>
        <w:t xml:space="preserve">：</w:t>
      </w:r>
      <w:r>
        <w:rPr>
          <w:rFonts w:hint="eastAsia" w:ascii="仿宋" w:hAnsi="仿宋" w:eastAsia="仿宋" w:cs="仿宋"/>
          <w:sz w:val="28"/>
          <w:szCs w:val="28"/>
          <w:u w:val="single"/>
        </w:rPr>
        <w:t xml:space="preserve">其他未列明行业</w:t>
      </w:r>
      <w:r>
        <w:rPr>
          <w:rFonts w:hint="eastAsia" w:ascii="仿宋" w:hAnsi="仿宋" w:eastAsia="仿宋" w:cs="仿宋"/>
          <w:color w:val="000000" w:themeColor="text1"/>
          <w:sz w:val="28"/>
          <w:szCs w:val="28"/>
        </w:rPr>
        <w:t xml:space="preserve">。</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1、从业人员、营业收入、资产总额填报上一年度数据，无上一年度数据的新成立企业可不填报。</w:t>
      </w:r>
      <w:r/>
    </w:p>
    <w:p>
      <w:pPr>
        <w:pStyle w:val="832"/>
        <w:ind w:firstLine="600"/>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2、《中小企业声明函》查询渠道参考工业和信息化部发布的中小企业规模自测小程序。</w:t>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32"/>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33"/>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1"/>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1473200</wp:posOffset>
                </wp:positionH>
                <wp:positionV relativeFrom="paragraph">
                  <wp:posOffset>55245</wp:posOffset>
                </wp:positionV>
                <wp:extent cx="1534795" cy="30708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16.0pt;mso-position-horizontal:absolute;mso-position-vertical-relative:text;margin-top:4.3pt;mso-position-vertical:absolute;width:120.8pt;height:241.8pt;mso-wrap-distance-left:9.0pt;mso-wrap-distance-top:0.0pt;mso-wrap-distance-right:9.0pt;mso-wrap-distance-bottom:0.0pt;" stroked="f">
                <v:path textboxrect="0,0,0,0"/>
                <v:imagedata r:id="rId16" o:title=""/>
              </v:shape>
            </w:pict>
          </mc:Fallback>
        </mc:AlternateContent>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2800"/>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残疾人福利性单位声明函</w:t>
      </w:r>
      <w:r/>
    </w:p>
    <w:p>
      <w:pPr>
        <w:pStyle w:val="803"/>
        <w:jc w:val="center"/>
        <w:spacing w:line="588" w:lineRule="exact"/>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2024年铜山区农产品质量安全风险监测</w:t>
      </w:r>
      <w:r/>
    </w:p>
    <w:p>
      <w:pPr>
        <w:pStyle w:val="803"/>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项目编号：JSZC-320312-YXYX-G2024-0005</w:t>
      </w:r>
      <w:r/>
    </w:p>
    <w:p>
      <w:pPr>
        <w:pStyle w:val="803"/>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w:t>
      </w:r>
      <w:r>
        <w:rPr>
          <w:rFonts w:hint="eastAsia" w:ascii="仿宋" w:hAnsi="仿宋" w:eastAsia="仿宋" w:cs="仿宋"/>
          <w:color w:val="000000"/>
          <w:spacing w:val="6"/>
          <w:sz w:val="28"/>
          <w:szCs w:val="28"/>
          <w:lang w:val="en-US" w:eastAsia="zh-CN"/>
        </w:rPr>
        <w:t xml:space="preserve">       </w:t>
      </w:r>
      <w:r>
        <w:rPr>
          <w:rFonts w:hint="eastAsia" w:ascii="仿宋" w:hAnsi="仿宋" w:eastAsia="仿宋" w:cs="仿宋"/>
          <w:color w:val="000000"/>
          <w:spacing w:val="6"/>
          <w:sz w:val="28"/>
          <w:szCs w:val="28"/>
          <w:u w:val="single"/>
        </w:rPr>
        <w:t xml:space="preserve">符合</w:t>
      </w:r>
      <w:r>
        <w:rPr>
          <w:rFonts w:hint="eastAsia" w:ascii="仿宋" w:hAnsi="仿宋" w:eastAsia="仿宋" w:cs="仿宋"/>
          <w:color w:val="000000"/>
          <w:spacing w:val="6"/>
          <w:sz w:val="28"/>
          <w:szCs w:val="28"/>
          <w:u w:val="single"/>
          <w:lang w:val="en-US" w:eastAsia="zh-CN"/>
        </w:rPr>
        <w:t xml:space="preserve">/不符合</w:t>
      </w:r>
      <w:r>
        <w:rPr>
          <w:rFonts w:hint="eastAsia" w:ascii="仿宋" w:hAnsi="仿宋" w:eastAsia="仿宋" w:cs="仿宋"/>
          <w:color w:val="000000"/>
          <w:spacing w:val="6"/>
          <w:sz w:val="28"/>
          <w:szCs w:val="28"/>
        </w:rPr>
        <w:t xml:space="preserve">条件的残疾人福利性单位，且本单位参加</w:t>
      </w:r>
      <w:r>
        <w:rPr>
          <w:rFonts w:hint="eastAsia" w:ascii="仿宋" w:hAnsi="仿宋" w:eastAsia="仿宋" w:cs="仿宋"/>
          <w:color w:val="000000"/>
          <w:sz w:val="28"/>
          <w:szCs w:val="28"/>
          <w:u w:val="single"/>
          <w:lang w:eastAsia="zh-CN"/>
        </w:rPr>
        <w:t xml:space="preserve">2024年铜山区农产品质量安全风险监测</w:t>
      </w:r>
      <w:r>
        <w:rPr>
          <w:rFonts w:hint="eastAsia" w:ascii="仿宋" w:hAnsi="仿宋" w:eastAsia="仿宋" w:cs="仿宋"/>
          <w:color w:val="000000"/>
          <w:sz w:val="28"/>
          <w:szCs w:val="28"/>
          <w:u w:val="single"/>
          <w:lang w:val="en-US" w:eastAsia="zh-CN"/>
        </w:rPr>
        <w:t xml:space="preserve">项目</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u w:val="single"/>
          <w:lang w:eastAsia="zh-CN"/>
        </w:rPr>
        <w:t xml:space="preserve">项目编号：JSZC-320312-YXYX-G2024-0005</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rPr>
        <w:t xml:space="preserve">采购活动提供本单位制造的货物（由本单位承担工程/提供服务），或者提供其他残疾人福利性单位制造的货物（不包括使用非残疾人福利性单位注册商标的货物）。</w:t>
      </w:r>
      <w:r/>
    </w:p>
    <w:p>
      <w:pPr>
        <w:pStyle w:val="803"/>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本单位对上述声明的真实性负责。如有虚假，将依法承担相应责任。</w:t>
      </w:r>
      <w:r/>
    </w:p>
    <w:p>
      <w:pPr>
        <w:pStyle w:val="803"/>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803"/>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3"/>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3"/>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803"/>
        <w:jc w:val="lef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8. 投标人参加政府采购活动前3年内在经营活动中没有重大违法记录的书面声明</w:t>
      </w:r>
      <w:r/>
    </w:p>
    <w:p>
      <w:pPr>
        <w:pStyle w:val="803"/>
        <w:ind w:firstLine="560"/>
        <w:jc w:val="left"/>
        <w:keepLines w:val="0"/>
        <w:keepNext w:val="0"/>
        <w:pageBreakBefore w:val="0"/>
        <w:spacing w:before="100" w:beforeAutospacing="1" w:after="100" w:afterAutospacing="1"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我单位在参加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2024年铜山区农产品质量安全风险监测</w:t>
      </w:r>
      <w:r>
        <w:rPr>
          <w:rFonts w:hint="eastAsia" w:ascii="仿宋" w:hAnsi="仿宋" w:eastAsia="仿宋" w:cs="仿宋"/>
          <w:color w:val="000000"/>
          <w:sz w:val="28"/>
          <w:szCs w:val="28"/>
          <w:u w:val="single"/>
          <w:lang w:val="en-US" w:eastAsia="zh-CN"/>
        </w:rPr>
        <w:t xml:space="preserve">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eastAsia="zh-CN"/>
        </w:rPr>
        <w:t xml:space="preserve">项目编号：JSZC-320312-YXYX-G2024-0005</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72"/>
        <w:ind w:firstLine="7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我单位对上述声明的真实性负责。如有虚假，将依法承担相应责任。</w:t>
      </w:r>
      <w:r/>
    </w:p>
    <w:p>
      <w:pPr>
        <w:pStyle w:val="803"/>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36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3"/>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p>
    <w:p>
      <w:pPr>
        <w:pStyle w:val="803"/>
        <w:ind w:firstLine="399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3"/>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3"/>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3"/>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24"/>
        <w:rPr>
          <w:rFonts w:hint="eastAsia" w:ascii="仿宋" w:hAnsi="仿宋" w:eastAsia="仿宋" w:cs="仿宋"/>
          <w:color w:val="000000"/>
        </w:rPr>
      </w:pPr>
      <w:r>
        <w:rPr>
          <w:rFonts w:hint="eastAsia" w:ascii="仿宋" w:hAnsi="仿宋" w:eastAsia="仿宋" w:cs="仿宋"/>
          <w:color w:val="000000"/>
        </w:rPr>
      </w:r>
      <w:r/>
    </w:p>
    <w:p>
      <w:pPr>
        <w:pStyle w:val="803"/>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3"/>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1059"/>
        <w:rPr>
          <w:rFonts w:hint="eastAsia" w:ascii="仿宋" w:hAnsi="仿宋" w:eastAsia="仿宋" w:cs="仿宋"/>
          <w:color w:val="000000"/>
        </w:rPr>
      </w:pPr>
      <w:r>
        <w:rPr>
          <w:rFonts w:hint="eastAsia" w:ascii="仿宋" w:hAnsi="仿宋" w:eastAsia="仿宋" w:cs="仿宋"/>
          <w:color w:val="000000"/>
        </w:rPr>
      </w:r>
      <w:r/>
    </w:p>
    <w:p>
      <w:pPr>
        <w:pStyle w:val="1059"/>
        <w:rPr>
          <w:rFonts w:hint="eastAsia" w:ascii="仿宋" w:hAnsi="仿宋" w:eastAsia="仿宋" w:cs="仿宋"/>
          <w:color w:val="000000"/>
        </w:rPr>
      </w:pPr>
      <w:r>
        <w:rPr>
          <w:rFonts w:hint="eastAsia" w:ascii="仿宋" w:hAnsi="仿宋" w:eastAsia="仿宋" w:cs="仿宋"/>
          <w:color w:val="000000"/>
        </w:rPr>
      </w:r>
      <w:r/>
    </w:p>
    <w:p>
      <w:pPr>
        <w:pStyle w:val="803"/>
        <w:numPr>
          <w:ilvl w:val="0"/>
          <w:numId w:val="8"/>
        </w:numPr>
        <w:jc w:val="center"/>
        <w:rPr>
          <w:rFonts w:hint="eastAsia" w:ascii="仿宋" w:hAnsi="仿宋" w:eastAsia="仿宋" w:cs="仿宋"/>
          <w:bCs/>
          <w:color w:val="000000"/>
          <w:sz w:val="30"/>
          <w:szCs w:val="30"/>
        </w:rPr>
      </w:pPr>
      <w:r>
        <w:rPr>
          <w:rFonts w:hint="eastAsia" w:ascii="仿宋" w:hAnsi="仿宋" w:eastAsia="仿宋" w:cs="仿宋"/>
          <w:bCs/>
          <w:color w:val="000000"/>
          <w:sz w:val="28"/>
          <w:szCs w:val="28"/>
        </w:rPr>
        <w:br w:type="page" w:clear="all"/>
      </w:r>
      <w:r>
        <w:rPr>
          <w:rFonts w:hint="eastAsia" w:ascii="仿宋" w:hAnsi="仿宋" w:eastAsia="仿宋" w:cs="仿宋"/>
          <w:bCs/>
          <w:color w:val="000000"/>
          <w:sz w:val="30"/>
          <w:szCs w:val="30"/>
        </w:rPr>
        <w:t xml:space="preserve">具备履行合同所必需的设备和专业技术能力的书面声明</w:t>
      </w:r>
      <w:r/>
    </w:p>
    <w:p>
      <w:pPr>
        <w:pStyle w:val="803"/>
        <w:jc w:val="center"/>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（附证明材料</w:t>
      </w:r>
      <w:r>
        <w:rPr>
          <w:rFonts w:hint="eastAsia" w:ascii="仿宋" w:hAnsi="仿宋" w:eastAsia="仿宋" w:cs="仿宋"/>
          <w:bCs/>
          <w:color w:val="000000"/>
          <w:sz w:val="30"/>
          <w:szCs w:val="30"/>
          <w:lang w:eastAsia="zh-CN"/>
        </w:rPr>
        <w:t xml:space="preserve">扫描件</w:t>
      </w:r>
      <w:r>
        <w:rPr>
          <w:rFonts w:hint="eastAsia" w:ascii="仿宋" w:hAnsi="仿宋" w:eastAsia="仿宋" w:cs="仿宋"/>
          <w:bCs/>
          <w:color w:val="000000"/>
          <w:sz w:val="30"/>
          <w:szCs w:val="30"/>
        </w:rPr>
        <w:t xml:space="preserve">）</w:t>
      </w:r>
      <w:r/>
    </w:p>
    <w:p>
      <w:pPr>
        <w:pStyle w:val="803"/>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03"/>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2024年铜山区农产品质量安全风险监测</w:t>
      </w:r>
      <w:r>
        <w:rPr>
          <w:rFonts w:hint="eastAsia" w:ascii="仿宋" w:hAnsi="仿宋" w:eastAsia="仿宋" w:cs="仿宋"/>
          <w:color w:val="000000"/>
          <w:sz w:val="28"/>
          <w:szCs w:val="28"/>
        </w:rPr>
        <w:t xml:space="preserve"> </w:t>
      </w:r>
      <w:r/>
    </w:p>
    <w:p>
      <w:pPr>
        <w:pStyle w:val="803"/>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项目编号：JSZC-320312-YXYX-G2024-0005</w:t>
      </w:r>
      <w:r/>
    </w:p>
    <w:p>
      <w:pPr>
        <w:pStyle w:val="832"/>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本单位郑重声明：本单位具备履行合同（项目名称：</w:t>
      </w:r>
      <w:r>
        <w:rPr>
          <w:rFonts w:hint="eastAsia" w:ascii="仿宋" w:hAnsi="仿宋" w:eastAsia="仿宋" w:cs="仿宋"/>
          <w:color w:val="000000"/>
          <w:sz w:val="28"/>
          <w:szCs w:val="28"/>
          <w:u w:val="single"/>
          <w:lang w:eastAsia="zh-CN"/>
        </w:rPr>
        <w:t xml:space="preserve">2024年铜山区农产品质量安全风险监测</w:t>
      </w:r>
      <w:r>
        <w:rPr>
          <w:rFonts w:hint="eastAsia" w:ascii="仿宋" w:hAnsi="仿宋" w:eastAsia="仿宋" w:cs="仿宋"/>
          <w:color w:val="000000"/>
          <w:sz w:val="28"/>
          <w:szCs w:val="28"/>
          <w:u w:val="single"/>
          <w:lang w:val="en-US" w:eastAsia="zh-CN"/>
        </w:rPr>
        <w:t xml:space="preserve">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项目编号：JSZC-320312-YXYX-G2024-0005</w:t>
      </w:r>
      <w:r>
        <w:rPr>
          <w:rFonts w:hint="eastAsia" w:ascii="仿宋" w:hAnsi="仿宋" w:eastAsia="仿宋" w:cs="仿宋"/>
          <w:color w:val="000000"/>
          <w:sz w:val="28"/>
          <w:szCs w:val="28"/>
        </w:rPr>
        <w:t xml:space="preserve">）所必需的设备和专业技术能力，具体为：</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3"/>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3"/>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03"/>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803"/>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803"/>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3"/>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3"/>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3"/>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81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2"/>
        <w:spacing w:line="480" w:lineRule="exact"/>
        <w:rPr>
          <w:rFonts w:hint="eastAsia" w:ascii="仿宋" w:hAnsi="仿宋" w:eastAsia="仿宋" w:cs="仿宋"/>
          <w:color w:val="auto"/>
          <w:sz w:val="30"/>
          <w:szCs w:val="30"/>
        </w:rPr>
      </w:pPr>
      <w:r>
        <w:rPr>
          <w:rFonts w:hint="eastAsia" w:ascii="仿宋" w:hAnsi="仿宋" w:eastAsia="仿宋" w:cs="仿宋"/>
          <w:color w:val="000000"/>
          <w:sz w:val="24"/>
        </w:rPr>
        <w:br w:type="page" w:clear="all"/>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auto"/>
          <w:sz w:val="30"/>
          <w:szCs w:val="30"/>
        </w:rPr>
        <w:t xml:space="preserve">预付款保函支付条款模板</w:t>
      </w:r>
      <w:r/>
    </w:p>
    <w:p>
      <w:pPr>
        <w:pStyle w:val="832"/>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符合条件一：提交预付款保函的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（1）合同签订且乙方向甲方出具预付款保函后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        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符合条件二：不提交预付款保函的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left="140"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2、付款条件二中，预付款比例设定应符合《关于做好政府采购支持企业发展有关事项的通知》(苏财购〔2020〕52号)要求。</w:t>
      </w:r>
      <w:r/>
    </w:p>
    <w:p>
      <w:pPr>
        <w:pStyle w:val="1102"/>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02"/>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02"/>
        <w:ind w:left="0" w:right="147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31"/>
        <w:rPr>
          <w:rFonts w:hint="eastAsia" w:ascii="宋体" w:hAnsi="宋体" w:eastAsia="宋体" w:cs="宋体"/>
          <w:color w:val="auto"/>
          <w:sz w:val="30"/>
          <w:szCs w:val="30"/>
        </w:rPr>
      </w:pPr>
      <w:r>
        <w:rPr>
          <w:rFonts w:hint="eastAsia" w:ascii="宋体" w:hAnsi="宋体" w:eastAsia="宋体" w:cs="宋体"/>
          <w:color w:val="auto"/>
          <w:sz w:val="30"/>
          <w:szCs w:val="30"/>
        </w:rPr>
      </w:r>
      <w:r/>
    </w:p>
    <w:p>
      <w:r/>
      <w:r/>
    </w:p>
    <w:sectPr>
      <w:headerReference w:type="default" r:id="rId10"/>
      <w:footerReference w:type="default" r:id="rId12"/>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新宋体">
    <w:panose1 w:val="02010609030101010101"/>
  </w:font>
  <w:font w:name="Symbol">
    <w:panose1 w:val="05050102010706020507"/>
  </w:font>
  <w:font w:name="仿宋">
    <w:panose1 w:val="02010609060101010101"/>
  </w:font>
  <w:font w:name="Tahoma">
    <w:panose1 w:val="020B0604030504040204"/>
  </w:font>
  <w:font w:name="楷体_GB2312">
    <w:panose1 w:val="02010609060101010101"/>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Noto Sans CJK JP Regular">
    <w:panose1 w:val="020B0503020202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4"/>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5</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5</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3"/>
                    </w:pPr>
                    <w:r/>
                    <w:r/>
                  </w:p>
                </w:txbxContent>
              </v:textbox>
            </v:shape>
          </w:pict>
        </mc:Fallback>
      </mc:AlternateContent>
    </w:r>
    <w:r/>
  </w:p>
  <w:p>
    <w:pPr>
      <w:pStyle w:val="804"/>
      <w:jc w:val="center"/>
    </w:pPr>
    <w:r/>
    <w:r/>
  </w:p>
  <w:p>
    <w:pPr>
      <w:pStyle w:val="80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4"/>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24</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3"/>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24</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ascii="宋体" w:hAnsi="宋体"/>
        <w:b/>
        <w:i/>
      </w:rPr>
      <w:pBdr>
        <w:bottom w:val="none" w:color="auto" w:sz="0" w:space="1"/>
      </w:pBdr>
    </w:pPr>
    <w:r>
      <w:rPr>
        <w:rFonts w:ascii="宋体" w:hAnsi="宋体"/>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条"/>
      <w:lvlJc w:val="left"/>
      <w:pPr/>
    </w:lvl>
    <w:lvl w:ilvl="1">
      <w:start w:val="1"/>
      <w:numFmt w:val="bullet"/>
      <w:pStyle w:val="10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8"/>
      <w:numFmt w:val="chineseCounting"/>
      <w:pStyle w:val="1010"/>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7"/>
  </w:num>
  <w:num w:numId="5">
    <w:abstractNumId w:val="2"/>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link w:val="1106"/>
    <w:uiPriority w:val="0"/>
    <w:qFormat/>
    <w:rPr>
      <w:rFonts w:hint="default" w:ascii="Times New Roman" w:hAnsi="Times New Roman" w:eastAsia="宋体" w:cs="Times New Roman"/>
    </w:rPr>
  </w:style>
  <w:style w:type="paragraph" w:styleId="771">
    <w:name w:val="Heading 1"/>
    <w:basedOn w:val="770"/>
    <w:next w:val="770"/>
    <w:link w:val="834"/>
    <w:uiPriority w:val="9"/>
    <w:qFormat/>
    <w:pPr>
      <w:keepLines/>
      <w:keepNext/>
      <w:spacing w:before="480" w:after="200"/>
      <w:outlineLvl w:val="0"/>
    </w:pPr>
    <w:rPr>
      <w:rFonts w:hint="default" w:ascii="Arial" w:hAnsi="Arial" w:eastAsia="Arial" w:cs="Arial"/>
      <w:sz w:val="40"/>
      <w:szCs w:val="40"/>
    </w:rPr>
  </w:style>
  <w:style w:type="paragraph" w:styleId="772">
    <w:name w:val="Heading 2"/>
    <w:basedOn w:val="770"/>
    <w:next w:val="770"/>
    <w:link w:val="835"/>
    <w:uiPriority w:val="9"/>
    <w:unhideWhenUsed/>
    <w:qFormat/>
    <w:pPr>
      <w:keepLines/>
      <w:keepNext/>
      <w:spacing w:before="360" w:after="200"/>
      <w:outlineLvl w:val="1"/>
    </w:pPr>
    <w:rPr>
      <w:rFonts w:hint="default" w:ascii="Arial" w:hAnsi="Arial" w:eastAsia="Arial" w:cs="Arial"/>
      <w:sz w:val="34"/>
    </w:rPr>
  </w:style>
  <w:style w:type="paragraph" w:styleId="773">
    <w:name w:val="Heading 3"/>
    <w:next w:val="770"/>
    <w:link w:val="836"/>
    <w:uiPriority w:val="9"/>
    <w:unhideWhenUsed/>
    <w:qFormat/>
    <w:pPr>
      <w:keepLines/>
      <w:keepNext/>
      <w:spacing w:before="320" w:after="200"/>
      <w:outlineLvl w:val="2"/>
    </w:pPr>
    <w:rPr>
      <w:rFonts w:hint="default" w:ascii="Arial" w:hAnsi="Arial" w:eastAsia="Arial" w:cs="Arial"/>
      <w:sz w:val="30"/>
      <w:szCs w:val="30"/>
    </w:rPr>
  </w:style>
  <w:style w:type="paragraph" w:styleId="774">
    <w:name w:val="Heading 4"/>
    <w:next w:val="770"/>
    <w:link w:val="837"/>
    <w:uiPriority w:val="9"/>
    <w:unhideWhenUsed/>
    <w:qFormat/>
    <w:pPr>
      <w:keepLines/>
      <w:keepNext/>
      <w:spacing w:before="320" w:after="200"/>
      <w:outlineLvl w:val="3"/>
    </w:pPr>
    <w:rPr>
      <w:rFonts w:hint="default" w:ascii="Arial" w:hAnsi="Arial" w:eastAsia="Arial" w:cs="Arial"/>
      <w:b/>
      <w:bCs/>
      <w:sz w:val="26"/>
      <w:szCs w:val="26"/>
    </w:rPr>
  </w:style>
  <w:style w:type="paragraph" w:styleId="775">
    <w:name w:val="Heading 5"/>
    <w:next w:val="770"/>
    <w:link w:val="838"/>
    <w:uiPriority w:val="9"/>
    <w:unhideWhenUsed/>
    <w:qFormat/>
    <w:pPr>
      <w:keepLines/>
      <w:keepNext/>
      <w:spacing w:before="320" w:after="200"/>
      <w:outlineLvl w:val="4"/>
    </w:pPr>
    <w:rPr>
      <w:rFonts w:hint="default" w:ascii="Arial" w:hAnsi="Arial" w:eastAsia="Arial" w:cs="Arial"/>
      <w:b/>
      <w:bCs/>
      <w:sz w:val="24"/>
      <w:szCs w:val="24"/>
    </w:rPr>
  </w:style>
  <w:style w:type="paragraph" w:styleId="776">
    <w:name w:val="Heading 6"/>
    <w:next w:val="770"/>
    <w:link w:val="839"/>
    <w:uiPriority w:val="9"/>
    <w:unhideWhenUsed/>
    <w:qFormat/>
    <w:pPr>
      <w:keepLines/>
      <w:keepNext/>
      <w:spacing w:before="320" w:after="200"/>
      <w:outlineLvl w:val="5"/>
    </w:pPr>
    <w:rPr>
      <w:rFonts w:hint="default" w:ascii="Arial" w:hAnsi="Arial" w:eastAsia="Arial" w:cs="Arial"/>
      <w:b/>
      <w:bCs/>
      <w:sz w:val="22"/>
      <w:szCs w:val="22"/>
    </w:rPr>
  </w:style>
  <w:style w:type="paragraph" w:styleId="777">
    <w:name w:val="Heading 7"/>
    <w:next w:val="770"/>
    <w:link w:val="84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8">
    <w:name w:val="Heading 8"/>
    <w:next w:val="770"/>
    <w:link w:val="841"/>
    <w:uiPriority w:val="9"/>
    <w:unhideWhenUsed/>
    <w:qFormat/>
    <w:pPr>
      <w:keepLines/>
      <w:keepNext/>
      <w:spacing w:before="320" w:after="200"/>
      <w:outlineLvl w:val="7"/>
    </w:pPr>
    <w:rPr>
      <w:rFonts w:hint="default" w:ascii="Arial" w:hAnsi="Arial" w:eastAsia="Arial" w:cs="Arial"/>
      <w:i/>
      <w:iCs/>
      <w:sz w:val="22"/>
      <w:szCs w:val="22"/>
    </w:rPr>
  </w:style>
  <w:style w:type="paragraph" w:styleId="779">
    <w:name w:val="Heading 9"/>
    <w:next w:val="770"/>
    <w:link w:val="842"/>
    <w:uiPriority w:val="9"/>
    <w:unhideWhenUsed/>
    <w:qFormat/>
    <w:pPr>
      <w:keepLines/>
      <w:keepNext/>
      <w:spacing w:before="320" w:after="200"/>
      <w:outlineLvl w:val="8"/>
    </w:pPr>
    <w:rPr>
      <w:rFonts w:hint="default"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next w:val="770"/>
    <w:uiPriority w:val="39"/>
    <w:unhideWhenUsed/>
    <w:qFormat/>
    <w:pPr>
      <w:ind w:left="1701" w:right="0" w:firstLine="0"/>
      <w:spacing w:after="57"/>
    </w:pPr>
    <w:rPr>
      <w:rFonts w:hint="default" w:ascii="Times New Roman" w:hAnsi="Times New Roman" w:eastAsia="宋体" w:cs="Times New Roman"/>
    </w:rPr>
  </w:style>
  <w:style w:type="paragraph" w:styleId="783">
    <w:name w:val="Normal Indent"/>
    <w:basedOn w:val="770"/>
    <w:uiPriority w:val="0"/>
    <w:qFormat/>
    <w:pPr>
      <w:ind w:firstLine="420"/>
    </w:pPr>
  </w:style>
  <w:style w:type="paragraph" w:styleId="784">
    <w:name w:val="Caption"/>
    <w:next w:val="770"/>
    <w:uiPriority w:val="35"/>
    <w:semiHidden/>
    <w:unhideWhenUsed/>
    <w:qFormat/>
    <w:pPr>
      <w:spacing w:line="276" w:lineRule="auto"/>
    </w:pPr>
    <w:rPr>
      <w:rFonts w:hint="default" w:ascii="Times New Roman" w:hAnsi="Times New Roman" w:eastAsia="宋体" w:cs="Times New Roman"/>
      <w:b/>
      <w:bCs/>
      <w:color w:val="4f81bd" w:themeColor="accent1"/>
      <w:sz w:val="18"/>
      <w:szCs w:val="18"/>
    </w:rPr>
  </w:style>
  <w:style w:type="paragraph" w:styleId="785">
    <w:name w:val="index 5"/>
    <w:basedOn w:val="770"/>
    <w:next w:val="770"/>
    <w:uiPriority w:val="0"/>
    <w:qFormat/>
    <w:pPr>
      <w:ind w:left="798"/>
      <w:jc w:val="left"/>
    </w:pPr>
    <w:rPr>
      <w:rFonts w:ascii="Calibri"/>
    </w:rPr>
  </w:style>
  <w:style w:type="paragraph" w:styleId="786">
    <w:name w:val="Body Text"/>
    <w:basedOn w:val="770"/>
    <w:uiPriority w:val="0"/>
    <w:qFormat/>
    <w:pPr>
      <w:spacing w:after="120"/>
    </w:pPr>
    <w:rPr>
      <w:rFonts w:ascii="Calibri" w:hAnsi="Calibri"/>
    </w:rPr>
  </w:style>
  <w:style w:type="paragraph" w:styleId="787">
    <w:name w:val="Body Text Indent"/>
    <w:basedOn w:val="770"/>
    <w:next w:val="788"/>
    <w:uiPriority w:val="99"/>
    <w:unhideWhenUsed/>
    <w:qFormat/>
    <w:pPr>
      <w:ind w:left="420"/>
      <w:spacing w:after="120"/>
    </w:pPr>
  </w:style>
  <w:style w:type="paragraph" w:styleId="788">
    <w:name w:val="envelope return"/>
    <w:basedOn w:val="770"/>
    <w:uiPriority w:val="0"/>
    <w:qFormat/>
    <w:rPr>
      <w:rFonts w:ascii="Arial" w:hAnsi="Arial"/>
    </w:rPr>
  </w:style>
  <w:style w:type="paragraph" w:styleId="789">
    <w:name w:val="Block Text"/>
    <w:basedOn w:val="770"/>
    <w:uiPriority w:val="0"/>
    <w:qFormat/>
    <w:pPr>
      <w:ind w:left="420" w:right="33"/>
    </w:pPr>
    <w:rPr>
      <w:sz w:val="24"/>
    </w:rPr>
  </w:style>
  <w:style w:type="paragraph" w:styleId="790">
    <w:name w:val="toc 5"/>
    <w:next w:val="770"/>
    <w:uiPriority w:val="39"/>
    <w:unhideWhenUsed/>
    <w:qFormat/>
    <w:pPr>
      <w:ind w:left="1134" w:right="0" w:firstLine="0"/>
      <w:spacing w:after="57"/>
    </w:pPr>
    <w:rPr>
      <w:rFonts w:hint="default" w:ascii="Times New Roman" w:hAnsi="Times New Roman" w:eastAsia="宋体" w:cs="Times New Roman"/>
    </w:rPr>
  </w:style>
  <w:style w:type="paragraph" w:styleId="791">
    <w:name w:val="toc 3"/>
    <w:next w:val="770"/>
    <w:uiPriority w:val="39"/>
    <w:unhideWhenUsed/>
    <w:qFormat/>
    <w:pPr>
      <w:ind w:left="567" w:right="0" w:firstLine="0"/>
      <w:spacing w:after="57"/>
    </w:pPr>
    <w:rPr>
      <w:rFonts w:hint="default" w:ascii="Times New Roman" w:hAnsi="Times New Roman" w:eastAsia="宋体" w:cs="Times New Roman"/>
    </w:rPr>
  </w:style>
  <w:style w:type="paragraph" w:styleId="792">
    <w:name w:val="toc 8"/>
    <w:next w:val="770"/>
    <w:uiPriority w:val="39"/>
    <w:unhideWhenUsed/>
    <w:qFormat/>
    <w:pPr>
      <w:ind w:left="1984" w:right="0" w:firstLine="0"/>
      <w:spacing w:after="57"/>
    </w:pPr>
    <w:rPr>
      <w:rFonts w:hint="default" w:ascii="Times New Roman" w:hAnsi="Times New Roman" w:eastAsia="宋体" w:cs="Times New Roman"/>
    </w:rPr>
  </w:style>
  <w:style w:type="paragraph" w:styleId="793">
    <w:name w:val="endnote text"/>
    <w:link w:val="979"/>
    <w:uiPriority w:val="99"/>
    <w:semiHidden/>
    <w:unhideWhenUsed/>
    <w:qFormat/>
    <w:pPr>
      <w:spacing w:after="0" w:line="240" w:lineRule="auto"/>
    </w:pPr>
    <w:rPr>
      <w:rFonts w:hint="default" w:ascii="Times New Roman" w:hAnsi="Times New Roman" w:eastAsia="宋体" w:cs="Times New Roman"/>
      <w:sz w:val="20"/>
    </w:rPr>
  </w:style>
  <w:style w:type="paragraph" w:styleId="794">
    <w:name w:val="Footer"/>
    <w:basedOn w:val="770"/>
    <w:link w:val="85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5">
    <w:name w:val="Header"/>
    <w:basedOn w:val="770"/>
    <w:link w:val="85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6">
    <w:name w:val="toc 1"/>
    <w:next w:val="770"/>
    <w:uiPriority w:val="39"/>
    <w:unhideWhenUsed/>
    <w:qFormat/>
    <w:pPr>
      <w:ind w:left="0" w:right="0" w:firstLine="0"/>
      <w:spacing w:after="57"/>
    </w:pPr>
    <w:rPr>
      <w:rFonts w:hint="default" w:ascii="Times New Roman" w:hAnsi="Times New Roman" w:eastAsia="宋体" w:cs="Times New Roman"/>
    </w:rPr>
  </w:style>
  <w:style w:type="paragraph" w:styleId="797">
    <w:name w:val="toc 4"/>
    <w:next w:val="770"/>
    <w:uiPriority w:val="39"/>
    <w:unhideWhenUsed/>
    <w:qFormat/>
    <w:pPr>
      <w:ind w:left="850" w:right="0" w:firstLine="0"/>
      <w:spacing w:after="57"/>
    </w:pPr>
    <w:rPr>
      <w:rFonts w:hint="default" w:ascii="Times New Roman" w:hAnsi="Times New Roman" w:eastAsia="宋体" w:cs="Times New Roman"/>
    </w:rPr>
  </w:style>
  <w:style w:type="paragraph" w:styleId="798">
    <w:name w:val="Subtitle"/>
    <w:link w:val="845"/>
    <w:uiPriority w:val="11"/>
    <w:qFormat/>
    <w:pPr>
      <w:spacing w:before="200" w:after="200"/>
    </w:pPr>
    <w:rPr>
      <w:rFonts w:hint="default" w:ascii="Times New Roman" w:hAnsi="Times New Roman" w:eastAsia="宋体" w:cs="Times New Roman"/>
      <w:sz w:val="24"/>
      <w:szCs w:val="24"/>
    </w:rPr>
  </w:style>
  <w:style w:type="paragraph" w:styleId="799">
    <w:name w:val="footnote text"/>
    <w:basedOn w:val="770"/>
    <w:next w:val="785"/>
    <w:link w:val="978"/>
    <w:uiPriority w:val="99"/>
    <w:semiHidden/>
    <w:unhideWhenUsed/>
    <w:qFormat/>
    <w:pPr>
      <w:spacing w:after="40" w:line="240" w:lineRule="auto"/>
    </w:pPr>
    <w:rPr>
      <w:rFonts w:hint="default" w:ascii="Times New Roman" w:hAnsi="Times New Roman" w:eastAsia="宋体" w:cs="Times New Roman"/>
      <w:sz w:val="18"/>
    </w:rPr>
  </w:style>
  <w:style w:type="paragraph" w:styleId="800">
    <w:name w:val="toc 6"/>
    <w:basedOn w:val="770"/>
    <w:next w:val="770"/>
    <w:uiPriority w:val="39"/>
    <w:unhideWhenUsed/>
    <w:qFormat/>
    <w:pPr>
      <w:ind w:left="1417" w:right="0" w:firstLine="0"/>
      <w:spacing w:after="57"/>
    </w:pPr>
    <w:rPr>
      <w:rFonts w:hint="default" w:ascii="Times New Roman" w:hAnsi="Times New Roman" w:eastAsia="宋体" w:cs="Times New Roman"/>
    </w:rPr>
  </w:style>
  <w:style w:type="paragraph" w:styleId="801">
    <w:name w:val="table of figures"/>
    <w:next w:val="770"/>
    <w:uiPriority w:val="99"/>
    <w:unhideWhenUsed/>
    <w:qFormat/>
    <w:pPr>
      <w:spacing w:after="0" w:afterAutospacing="0"/>
    </w:pPr>
    <w:rPr>
      <w:rFonts w:hint="default" w:ascii="Times New Roman" w:hAnsi="Times New Roman" w:eastAsia="宋体" w:cs="Times New Roman"/>
    </w:rPr>
  </w:style>
  <w:style w:type="paragraph" w:styleId="802">
    <w:name w:val="toc 2"/>
    <w:basedOn w:val="803"/>
    <w:next w:val="770"/>
    <w:uiPriority w:val="0"/>
    <w:qFormat/>
    <w:pPr>
      <w:ind w:left="900"/>
      <w:jc w:val="left"/>
      <w:spacing w:line="410" w:lineRule="exact"/>
    </w:pPr>
    <w:rPr>
      <w:rFonts w:ascii="Noto Sans CJK JP Regular" w:hAnsi="Noto Sans CJK JP Regular" w:eastAsia="Noto Sans CJK JP Regular"/>
      <w:sz w:val="24"/>
      <w:lang w:eastAsia="en-US"/>
    </w:rPr>
  </w:style>
  <w:style w:type="paragraph" w:styleId="803" w:customStyle="1">
    <w:name w:val="正文112"/>
    <w:next w:val="804"/>
    <w:link w:val="1052"/>
    <w:uiPriority w:val="0"/>
    <w:qFormat/>
    <w:pPr>
      <w:jc w:val="both"/>
      <w:widowControl w:val="off"/>
    </w:pPr>
    <w:rPr>
      <w:rFonts w:ascii="Times New Roman" w:hAnsi="Times New Roman" w:eastAsia="宋体" w:cs="Times New Roman"/>
      <w:sz w:val="21"/>
      <w:szCs w:val="24"/>
      <w:lang w:val="en-US" w:eastAsia="zh-CN" w:bidi="ar-SA"/>
    </w:rPr>
  </w:style>
  <w:style w:type="paragraph" w:styleId="804" w:customStyle="1">
    <w:name w:val="页脚1"/>
    <w:basedOn w:val="805"/>
    <w:link w:val="1043"/>
    <w:uiPriority w:val="0"/>
    <w:qFormat/>
    <w:pPr>
      <w:jc w:val="left"/>
      <w:tabs>
        <w:tab w:val="center" w:pos="4153" w:leader="none"/>
        <w:tab w:val="right" w:pos="8306" w:leader="none"/>
      </w:tabs>
    </w:pPr>
    <w:rPr>
      <w:sz w:val="18"/>
      <w:szCs w:val="18"/>
    </w:rPr>
  </w:style>
  <w:style w:type="paragraph" w:styleId="805" w:customStyle="1">
    <w:name w:val="正文113"/>
    <w:next w:val="80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06" w:customStyle="1">
    <w:name w:val="BodyText1I2"/>
    <w:basedOn w:val="807"/>
    <w:uiPriority w:val="0"/>
    <w:qFormat/>
    <w:pPr>
      <w:ind w:firstLine="420"/>
      <w:spacing w:line="240" w:lineRule="auto"/>
    </w:pPr>
    <w:rPr>
      <w:sz w:val="21"/>
    </w:rPr>
  </w:style>
  <w:style w:type="paragraph" w:styleId="807" w:customStyle="1">
    <w:name w:val="BodyTextIndent"/>
    <w:basedOn w:val="805"/>
    <w:uiPriority w:val="0"/>
    <w:qFormat/>
    <w:pPr>
      <w:ind w:left="420" w:firstLine="200"/>
      <w:spacing w:after="120" w:line="360" w:lineRule="auto"/>
    </w:pPr>
    <w:rPr>
      <w:rFonts w:ascii="Verdana" w:hAnsi="Verdana"/>
      <w:sz w:val="24"/>
      <w:szCs w:val="28"/>
    </w:rPr>
  </w:style>
  <w:style w:type="paragraph" w:styleId="808">
    <w:name w:val="toc 9"/>
    <w:next w:val="770"/>
    <w:uiPriority w:val="39"/>
    <w:unhideWhenUsed/>
    <w:qFormat/>
    <w:pPr>
      <w:ind w:left="2268" w:right="0" w:firstLine="0"/>
      <w:spacing w:after="57"/>
    </w:pPr>
    <w:rPr>
      <w:rFonts w:hint="default" w:ascii="Times New Roman" w:hAnsi="Times New Roman" w:eastAsia="宋体" w:cs="Times New Roman"/>
    </w:rPr>
  </w:style>
  <w:style w:type="paragraph" w:styleId="809">
    <w:name w:val="Title"/>
    <w:link w:val="844"/>
    <w:uiPriority w:val="10"/>
    <w:qFormat/>
    <w:pPr>
      <w:contextualSpacing/>
      <w:spacing w:before="300" w:after="200"/>
    </w:pPr>
    <w:rPr>
      <w:rFonts w:hint="default" w:ascii="Times New Roman" w:hAnsi="Times New Roman" w:eastAsia="宋体" w:cs="Times New Roman"/>
      <w:sz w:val="48"/>
      <w:szCs w:val="48"/>
    </w:rPr>
  </w:style>
  <w:style w:type="paragraph" w:styleId="810">
    <w:name w:val="Body Text First Indent"/>
    <w:basedOn w:val="770"/>
    <w:next w:val="800"/>
    <w:uiPriority w:val="99"/>
    <w:unhideWhenUsed/>
    <w:qFormat/>
    <w:pPr>
      <w:ind w:firstLine="420"/>
    </w:pPr>
    <w:rPr>
      <w:sz w:val="24"/>
    </w:rPr>
  </w:style>
  <w:style w:type="paragraph" w:styleId="811">
    <w:name w:val="Body Text First Indent 2"/>
    <w:basedOn w:val="787"/>
    <w:uiPriority w:val="99"/>
    <w:unhideWhenUsed/>
    <w:qFormat/>
    <w:pPr>
      <w:ind w:firstLine="420"/>
    </w:pPr>
  </w:style>
  <w:style w:type="table" w:styleId="8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page number"/>
    <w:uiPriority w:val="0"/>
    <w:qFormat/>
  </w:style>
  <w:style w:type="character" w:styleId="815">
    <w:name w:val="Hyperlink"/>
    <w:basedOn w:val="780"/>
    <w:uiPriority w:val="99"/>
    <w:unhideWhenUsed/>
    <w:qFormat/>
    <w:rPr>
      <w:color w:val="0000ff" w:themeColor="hyperlink"/>
      <w:u w:val="single"/>
    </w:rPr>
  </w:style>
  <w:style w:type="character" w:styleId="816">
    <w:name w:val="footnote reference"/>
    <w:uiPriority w:val="99"/>
    <w:unhideWhenUsed/>
    <w:qFormat/>
    <w:rPr>
      <w:vertAlign w:val="superscript"/>
    </w:rPr>
  </w:style>
  <w:style w:type="paragraph" w:styleId="817" w:customStyle="1">
    <w:name w:val="正文文本12"/>
    <w:basedOn w:val="803"/>
    <w:next w:val="818"/>
    <w:link w:val="1028"/>
    <w:uiPriority w:val="0"/>
    <w:qFormat/>
    <w:pPr>
      <w:spacing w:after="120"/>
    </w:pPr>
  </w:style>
  <w:style w:type="paragraph" w:styleId="818" w:customStyle="1">
    <w:name w:val="标题 41"/>
    <w:basedOn w:val="819"/>
    <w:next w:val="803"/>
    <w:link w:val="1004"/>
    <w:uiPriority w:val="0"/>
    <w:qFormat/>
    <w:pPr>
      <w:keepLines/>
      <w:keepNext/>
      <w:spacing w:before="280" w:after="290" w:line="376" w:lineRule="auto"/>
      <w:outlineLvl w:val="3"/>
    </w:pPr>
    <w:rPr>
      <w:rFonts w:ascii="Cambria" w:hAnsi="Cambria" w:eastAsia="宋体"/>
      <w:sz w:val="28"/>
      <w:szCs w:val="28"/>
    </w:rPr>
  </w:style>
  <w:style w:type="paragraph" w:styleId="819" w:customStyle="1">
    <w:name w:val="标题1"/>
    <w:basedOn w:val="803"/>
    <w:next w:val="770"/>
    <w:uiPriority w:val="0"/>
    <w:qFormat/>
    <w:pPr>
      <w:jc w:val="center"/>
      <w:spacing w:before="300" w:after="300"/>
      <w:outlineLvl w:val="0"/>
    </w:pPr>
    <w:rPr>
      <w:rFonts w:ascii="Cambria" w:hAnsi="Cambria" w:eastAsia="仿宋_GB2312"/>
      <w:b/>
      <w:bCs/>
      <w:sz w:val="36"/>
      <w:szCs w:val="32"/>
    </w:rPr>
  </w:style>
  <w:style w:type="paragraph" w:styleId="820" w:customStyle="1">
    <w:name w:val="文本块111"/>
    <w:basedOn w:val="770"/>
    <w:uiPriority w:val="0"/>
    <w:unhideWhenUsed/>
    <w:qFormat/>
    <w:pPr>
      <w:ind w:left="420" w:right="33"/>
      <w:jc w:val="left"/>
    </w:pPr>
    <w:rPr>
      <w:sz w:val="24"/>
      <w:szCs w:val="20"/>
    </w:rPr>
  </w:style>
  <w:style w:type="paragraph" w:styleId="821" w:customStyle="1">
    <w:name w:val="一级条标题"/>
    <w:basedOn w:val="822"/>
    <w:next w:val="8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2" w:customStyle="1">
    <w:name w:val="章标题"/>
    <w:basedOn w:val="803"/>
    <w:next w:val="77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3" w:customStyle="1">
    <w:name w:val="段"/>
    <w:next w:val="770"/>
    <w:uiPriority w:val="0"/>
    <w:qFormat/>
    <w:pPr>
      <w:ind w:firstLine="200"/>
      <w:jc w:val="both"/>
    </w:pPr>
    <w:rPr>
      <w:rFonts w:hint="default" w:ascii="宋体" w:hAnsi="Calibri" w:eastAsia="宋体" w:cs="Times New Roman"/>
      <w:sz w:val="21"/>
      <w:szCs w:val="22"/>
      <w:lang w:val="en-US" w:eastAsia="zh-CN" w:bidi="ar-SA"/>
    </w:rPr>
  </w:style>
  <w:style w:type="paragraph" w:styleId="824" w:customStyle="1">
    <w:name w:val="正文1"/>
    <w:basedOn w:val="803"/>
    <w:next w:val="770"/>
    <w:uiPriority w:val="0"/>
    <w:qFormat/>
    <w:pPr>
      <w:ind w:firstLine="361"/>
      <w:spacing w:line="360" w:lineRule="auto"/>
    </w:pPr>
    <w:rPr>
      <w:rFonts w:ascii="宋体" w:hAnsi="宋体"/>
    </w:rPr>
  </w:style>
  <w:style w:type="paragraph" w:styleId="825" w:customStyle="1">
    <w:name w:val="正文111"/>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目录 11"/>
    <w:basedOn w:val="827"/>
    <w:next w:val="825"/>
    <w:uiPriority w:val="0"/>
    <w:qFormat/>
    <w:pPr>
      <w:jc w:val="left"/>
      <w:spacing w:after="100" w:line="259" w:lineRule="auto"/>
      <w:widowControl/>
    </w:pPr>
    <w:rPr>
      <w:rFonts w:ascii="Calibri" w:hAnsi="Calibri" w:eastAsia="宋体"/>
      <w:sz w:val="22"/>
      <w:szCs w:val="22"/>
    </w:rPr>
  </w:style>
  <w:style w:type="paragraph" w:styleId="827" w:customStyle="1">
    <w:name w:val="正文11"/>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标题 21"/>
    <w:basedOn w:val="824"/>
    <w:next w:val="827"/>
    <w:link w:val="1027"/>
    <w:uiPriority w:val="0"/>
    <w:qFormat/>
    <w:pPr>
      <w:keepLines/>
      <w:keepNext/>
      <w:spacing w:before="260" w:after="260" w:line="412" w:lineRule="auto"/>
      <w:outlineLvl w:val="1"/>
    </w:pPr>
    <w:rPr>
      <w:rFonts w:ascii="Arial" w:hAnsi="Arial" w:eastAsia="黑体"/>
      <w:sz w:val="32"/>
      <w:szCs w:val="32"/>
    </w:rPr>
  </w:style>
  <w:style w:type="paragraph" w:styleId="829" w:customStyle="1">
    <w:name w:val="文本块1"/>
    <w:basedOn w:val="830"/>
    <w:uiPriority w:val="0"/>
    <w:qFormat/>
    <w:pPr>
      <w:ind w:left="1440" w:right="1440"/>
      <w:spacing w:after="120"/>
    </w:pPr>
    <w:rPr>
      <w:rFonts w:ascii="Calibri" w:hAnsi="Calibri"/>
    </w:rPr>
  </w:style>
  <w:style w:type="paragraph" w:styleId="830"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正文文本1"/>
    <w:basedOn w:val="824"/>
    <w:next w:val="827"/>
    <w:uiPriority w:val="0"/>
    <w:qFormat/>
    <w:pPr>
      <w:spacing w:after="120"/>
    </w:pPr>
    <w:rPr>
      <w:rFonts w:ascii="Calibri" w:hAnsi="Calibri"/>
    </w:rPr>
  </w:style>
  <w:style w:type="paragraph" w:styleId="832" w:customStyle="1">
    <w:name w:val="脚注文本11"/>
    <w:basedOn w:val="803"/>
    <w:next w:val="833"/>
    <w:uiPriority w:val="0"/>
    <w:qFormat/>
    <w:pPr>
      <w:jc w:val="left"/>
    </w:pPr>
    <w:rPr>
      <w:rFonts w:ascii="宋体" w:eastAsia="Times New Roman"/>
      <w:sz w:val="18"/>
      <w:szCs w:val="18"/>
    </w:rPr>
  </w:style>
  <w:style w:type="paragraph" w:styleId="833" w:customStyle="1">
    <w:name w:val="索引 511"/>
    <w:basedOn w:val="803"/>
    <w:next w:val="827"/>
    <w:uiPriority w:val="0"/>
    <w:qFormat/>
    <w:pPr>
      <w:ind w:left="798"/>
      <w:jc w:val="left"/>
    </w:pPr>
    <w:rPr>
      <w:rFonts w:ascii="Calibri" w:hAnsi="Calibri"/>
    </w:rPr>
  </w:style>
  <w:style w:type="character" w:styleId="834" w:customStyle="1">
    <w:name w:val="Heading 1 Char"/>
    <w:link w:val="771"/>
    <w:uiPriority w:val="9"/>
    <w:qFormat/>
    <w:rPr>
      <w:rFonts w:ascii="Arial" w:hAnsi="Arial" w:eastAsia="Arial" w:cs="Arial"/>
      <w:sz w:val="40"/>
      <w:szCs w:val="40"/>
    </w:rPr>
  </w:style>
  <w:style w:type="character" w:styleId="835" w:customStyle="1">
    <w:name w:val="Heading 2 Char"/>
    <w:link w:val="772"/>
    <w:uiPriority w:val="9"/>
    <w:qFormat/>
    <w:rPr>
      <w:rFonts w:ascii="Arial" w:hAnsi="Arial" w:eastAsia="Arial" w:cs="Arial"/>
      <w:sz w:val="34"/>
    </w:rPr>
  </w:style>
  <w:style w:type="character" w:styleId="836" w:customStyle="1">
    <w:name w:val="Heading 3 Char"/>
    <w:link w:val="773"/>
    <w:uiPriority w:val="9"/>
    <w:qFormat/>
    <w:rPr>
      <w:rFonts w:ascii="Arial" w:hAnsi="Arial" w:eastAsia="Arial" w:cs="Arial"/>
      <w:sz w:val="30"/>
      <w:szCs w:val="30"/>
    </w:rPr>
  </w:style>
  <w:style w:type="character" w:styleId="837" w:customStyle="1">
    <w:name w:val="Heading 4 Char"/>
    <w:link w:val="774"/>
    <w:uiPriority w:val="9"/>
    <w:qFormat/>
    <w:rPr>
      <w:rFonts w:ascii="Arial" w:hAnsi="Arial" w:eastAsia="Arial" w:cs="Arial"/>
      <w:b/>
      <w:bCs/>
      <w:sz w:val="26"/>
      <w:szCs w:val="26"/>
    </w:rPr>
  </w:style>
  <w:style w:type="character" w:styleId="838" w:customStyle="1">
    <w:name w:val="Heading 5 Char"/>
    <w:link w:val="775"/>
    <w:uiPriority w:val="9"/>
    <w:qFormat/>
    <w:rPr>
      <w:rFonts w:ascii="Arial" w:hAnsi="Arial" w:eastAsia="Arial" w:cs="Arial"/>
      <w:b/>
      <w:bCs/>
      <w:sz w:val="24"/>
      <w:szCs w:val="24"/>
    </w:rPr>
  </w:style>
  <w:style w:type="character" w:styleId="839" w:customStyle="1">
    <w:name w:val="Heading 6 Char"/>
    <w:link w:val="776"/>
    <w:uiPriority w:val="9"/>
    <w:qFormat/>
    <w:rPr>
      <w:rFonts w:ascii="Arial" w:hAnsi="Arial" w:eastAsia="Arial" w:cs="Arial"/>
      <w:b/>
      <w:bCs/>
      <w:sz w:val="22"/>
      <w:szCs w:val="22"/>
    </w:rPr>
  </w:style>
  <w:style w:type="character" w:styleId="840" w:customStyle="1">
    <w:name w:val="Heading 7 Char"/>
    <w:link w:val="777"/>
    <w:uiPriority w:val="9"/>
    <w:qFormat/>
    <w:rPr>
      <w:rFonts w:ascii="Arial" w:hAnsi="Arial" w:eastAsia="Arial" w:cs="Arial"/>
      <w:b/>
      <w:bCs/>
      <w:i/>
      <w:iCs/>
      <w:sz w:val="22"/>
      <w:szCs w:val="22"/>
    </w:rPr>
  </w:style>
  <w:style w:type="character" w:styleId="841" w:customStyle="1">
    <w:name w:val="Heading 8 Char"/>
    <w:link w:val="778"/>
    <w:uiPriority w:val="9"/>
    <w:qFormat/>
    <w:rPr>
      <w:rFonts w:ascii="Arial" w:hAnsi="Arial" w:eastAsia="Arial" w:cs="Arial"/>
      <w:i/>
      <w:iCs/>
      <w:sz w:val="22"/>
      <w:szCs w:val="22"/>
    </w:rPr>
  </w:style>
  <w:style w:type="character" w:styleId="842" w:customStyle="1">
    <w:name w:val="Heading 9 Char"/>
    <w:link w:val="779"/>
    <w:uiPriority w:val="9"/>
    <w:qFormat/>
    <w:rPr>
      <w:rFonts w:ascii="Arial" w:hAnsi="Arial" w:eastAsia="Arial" w:cs="Arial"/>
      <w:i/>
      <w:iCs/>
      <w:sz w:val="21"/>
      <w:szCs w:val="21"/>
    </w:rPr>
  </w:style>
  <w:style w:type="paragraph" w:styleId="843">
    <w:name w:val="List Paragraph"/>
    <w:basedOn w:val="770"/>
    <w:uiPriority w:val="34"/>
    <w:qFormat/>
    <w:pPr>
      <w:contextualSpacing/>
      <w:ind w:left="720"/>
    </w:pPr>
    <w:rPr>
      <w:rFonts w:hint="default" w:ascii="Times New Roman" w:hAnsi="Times New Roman" w:eastAsia="宋体" w:cs="Times New Roman"/>
    </w:rPr>
  </w:style>
  <w:style w:type="character" w:styleId="844" w:customStyle="1">
    <w:name w:val="Title Char"/>
    <w:link w:val="809"/>
    <w:uiPriority w:val="10"/>
    <w:qFormat/>
    <w:rPr>
      <w:sz w:val="48"/>
      <w:szCs w:val="48"/>
    </w:rPr>
  </w:style>
  <w:style w:type="character" w:styleId="845" w:customStyle="1">
    <w:name w:val="Subtitle Char"/>
    <w:link w:val="798"/>
    <w:uiPriority w:val="11"/>
    <w:qFormat/>
    <w:rPr>
      <w:sz w:val="24"/>
      <w:szCs w:val="24"/>
    </w:rPr>
  </w:style>
  <w:style w:type="paragraph" w:styleId="846">
    <w:name w:val="Quote"/>
    <w:link w:val="847"/>
    <w:uiPriority w:val="29"/>
    <w:qFormat/>
    <w:pPr>
      <w:ind w:left="720" w:right="720"/>
    </w:pPr>
    <w:rPr>
      <w:rFonts w:hint="default" w:ascii="Times New Roman" w:hAnsi="Times New Roman" w:eastAsia="宋体" w:cs="Times New Roman"/>
      <w:i/>
    </w:rPr>
  </w:style>
  <w:style w:type="character" w:styleId="847" w:customStyle="1">
    <w:name w:val="Quote Char"/>
    <w:link w:val="846"/>
    <w:uiPriority w:val="29"/>
    <w:qFormat/>
    <w:rPr>
      <w:i/>
    </w:rPr>
  </w:style>
  <w:style w:type="paragraph" w:styleId="848">
    <w:name w:val="Intense Quote"/>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49" w:customStyle="1">
    <w:name w:val="Intense Quote Char"/>
    <w:link w:val="848"/>
    <w:uiPriority w:val="30"/>
    <w:qFormat/>
    <w:rPr>
      <w:i/>
    </w:rPr>
  </w:style>
  <w:style w:type="character" w:styleId="850" w:customStyle="1">
    <w:name w:val="Header Char"/>
    <w:link w:val="795"/>
    <w:uiPriority w:val="99"/>
    <w:qFormat/>
  </w:style>
  <w:style w:type="character" w:styleId="851" w:customStyle="1">
    <w:name w:val="Footer Char"/>
    <w:link w:val="794"/>
    <w:uiPriority w:val="99"/>
    <w:qFormat/>
  </w:style>
  <w:style w:type="character" w:styleId="852" w:customStyle="1">
    <w:name w:val="Caption Char"/>
    <w:link w:val="794"/>
    <w:uiPriority w:val="99"/>
    <w:qFormat/>
  </w:style>
  <w:style w:type="table" w:styleId="8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link w:val="799"/>
    <w:uiPriority w:val="99"/>
    <w:qFormat/>
    <w:rPr>
      <w:sz w:val="18"/>
    </w:rPr>
  </w:style>
  <w:style w:type="character" w:styleId="979" w:customStyle="1">
    <w:name w:val="Endnote Text Char"/>
    <w:link w:val="793"/>
    <w:uiPriority w:val="99"/>
    <w:qFormat/>
    <w:rPr>
      <w:sz w:val="20"/>
    </w:r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标题 11"/>
    <w:basedOn w:val="803"/>
    <w:next w:val="770"/>
    <w:link w:val="1103"/>
    <w:uiPriority w:val="0"/>
    <w:qFormat/>
    <w:pPr>
      <w:keepLines/>
      <w:keepNext/>
      <w:spacing w:before="340" w:after="330" w:line="578" w:lineRule="auto"/>
      <w:outlineLvl w:val="0"/>
    </w:pPr>
    <w:rPr>
      <w:b/>
      <w:bCs/>
      <w:sz w:val="44"/>
      <w:szCs w:val="44"/>
    </w:rPr>
  </w:style>
  <w:style w:type="paragraph" w:styleId="982" w:customStyle="1">
    <w:name w:val="标题 31"/>
    <w:basedOn w:val="803"/>
    <w:next w:val="983"/>
    <w:link w:val="1026"/>
    <w:uiPriority w:val="0"/>
    <w:qFormat/>
    <w:pPr>
      <w:keepLines/>
      <w:keepNext/>
      <w:spacing w:before="260" w:after="260" w:line="416" w:lineRule="auto"/>
      <w:outlineLvl w:val="2"/>
    </w:pPr>
    <w:rPr>
      <w:b/>
      <w:bCs/>
      <w:sz w:val="32"/>
      <w:szCs w:val="32"/>
    </w:rPr>
  </w:style>
  <w:style w:type="paragraph" w:styleId="983" w:customStyle="1">
    <w:name w:val="正文缩进1"/>
    <w:basedOn w:val="803"/>
    <w:link w:val="1042"/>
    <w:uiPriority w:val="0"/>
    <w:qFormat/>
    <w:pPr>
      <w:ind w:firstLine="420"/>
    </w:pPr>
  </w:style>
  <w:style w:type="paragraph" w:styleId="984" w:customStyle="1">
    <w:name w:val="标题 51"/>
    <w:basedOn w:val="803"/>
    <w:next w:val="803"/>
    <w:link w:val="1055"/>
    <w:uiPriority w:val="0"/>
    <w:qFormat/>
    <w:pPr>
      <w:keepLines/>
      <w:keepNext/>
      <w:spacing w:before="280" w:after="290" w:line="376" w:lineRule="auto"/>
      <w:outlineLvl w:val="4"/>
    </w:pPr>
    <w:rPr>
      <w:b/>
      <w:bCs/>
      <w:sz w:val="28"/>
      <w:szCs w:val="28"/>
    </w:rPr>
  </w:style>
  <w:style w:type="paragraph" w:styleId="985" w:customStyle="1">
    <w:name w:val="标题 61"/>
    <w:basedOn w:val="803"/>
    <w:next w:val="803"/>
    <w:link w:val="1005"/>
    <w:uiPriority w:val="0"/>
    <w:qFormat/>
    <w:pPr>
      <w:keepLines/>
      <w:keepNext/>
      <w:spacing w:before="240" w:after="64" w:line="320" w:lineRule="auto"/>
      <w:outlineLvl w:val="5"/>
    </w:pPr>
    <w:rPr>
      <w:rFonts w:ascii="Arial" w:hAnsi="Arial" w:eastAsia="黑体"/>
      <w:b/>
      <w:bCs/>
      <w:sz w:val="20"/>
      <w:szCs w:val="20"/>
    </w:rPr>
  </w:style>
  <w:style w:type="character" w:styleId="986" w:customStyle="1">
    <w:name w:val="默认段落字体1"/>
    <w:link w:val="803"/>
    <w:uiPriority w:val="0"/>
    <w:semiHidden/>
    <w:qFormat/>
  </w:style>
  <w:style w:type="table" w:styleId="987"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sz w:val="20"/>
      <w:szCs w:val="20"/>
    </w:rPr>
    <w:tblPr/>
  </w:style>
  <w:style w:type="character" w:styleId="988" w:customStyle="1">
    <w:name w:val="超链接1"/>
    <w:basedOn w:val="986"/>
    <w:link w:val="803"/>
    <w:uiPriority w:val="0"/>
    <w:qFormat/>
    <w:rPr>
      <w:color w:val="333333"/>
      <w:u w:val="none"/>
    </w:rPr>
  </w:style>
  <w:style w:type="character" w:styleId="989" w:customStyle="1">
    <w:name w:val="批注引用1"/>
    <w:link w:val="803"/>
    <w:uiPriority w:val="0"/>
    <w:qFormat/>
    <w:rPr>
      <w:sz w:val="21"/>
      <w:szCs w:val="21"/>
    </w:rPr>
  </w:style>
  <w:style w:type="character" w:styleId="990" w:customStyle="1">
    <w:name w:val="已访问的超链接1"/>
    <w:link w:val="803"/>
    <w:uiPriority w:val="0"/>
    <w:qFormat/>
    <w:rPr>
      <w:rFonts w:ascii="Verdana" w:hAnsi="Verdana"/>
      <w:color w:val="000000"/>
      <w:sz w:val="20"/>
      <w:szCs w:val="20"/>
      <w:u w:val="none"/>
      <w:lang w:eastAsia="en-US"/>
    </w:rPr>
  </w:style>
  <w:style w:type="character" w:styleId="991" w:customStyle="1">
    <w:name w:val="页码1"/>
    <w:basedOn w:val="986"/>
    <w:link w:val="803"/>
    <w:uiPriority w:val="0"/>
    <w:qFormat/>
    <w:rPr>
      <w:rFonts w:ascii="Verdana" w:hAnsi="Verdana"/>
      <w:sz w:val="20"/>
      <w:szCs w:val="20"/>
      <w:lang w:eastAsia="en-US"/>
    </w:rPr>
  </w:style>
  <w:style w:type="character" w:styleId="992" w:customStyle="1">
    <w:name w:val="页码2"/>
    <w:basedOn w:val="986"/>
    <w:link w:val="803"/>
    <w:uiPriority w:val="0"/>
    <w:qFormat/>
  </w:style>
  <w:style w:type="character" w:styleId="993" w:customStyle="1">
    <w:name w:val="font91"/>
    <w:basedOn w:val="986"/>
    <w:link w:val="803"/>
    <w:uiPriority w:val="0"/>
    <w:qFormat/>
    <w:rPr>
      <w:rFonts w:ascii="宋体" w:hAnsi="宋体" w:eastAsia="宋体"/>
      <w:color w:val="000000"/>
      <w:sz w:val="21"/>
      <w:szCs w:val="21"/>
      <w:u w:val="none"/>
    </w:rPr>
  </w:style>
  <w:style w:type="character" w:styleId="994" w:customStyle="1">
    <w:name w:val="批注文字 Char"/>
    <w:link w:val="995"/>
    <w:uiPriority w:val="0"/>
    <w:qFormat/>
    <w:rPr>
      <w:sz w:val="21"/>
      <w:szCs w:val="24"/>
    </w:rPr>
  </w:style>
  <w:style w:type="paragraph" w:styleId="995" w:customStyle="1">
    <w:name w:val="批注文字1"/>
    <w:basedOn w:val="803"/>
    <w:link w:val="994"/>
    <w:uiPriority w:val="0"/>
    <w:qFormat/>
    <w:pPr>
      <w:jc w:val="left"/>
    </w:pPr>
  </w:style>
  <w:style w:type="character" w:styleId="996" w:customStyle="1">
    <w:name w:val="列出段落 Char"/>
    <w:link w:val="997"/>
    <w:uiPriority w:val="0"/>
    <w:qFormat/>
    <w:rPr>
      <w:rFonts w:ascii="Calibri" w:hAnsi="Calibri" w:eastAsia="宋体"/>
      <w:sz w:val="21"/>
      <w:szCs w:val="22"/>
      <w:lang w:val="en-US" w:eastAsia="zh-CN" w:bidi="ar-SA"/>
    </w:rPr>
  </w:style>
  <w:style w:type="paragraph" w:styleId="997" w:customStyle="1">
    <w:name w:val="列出段落"/>
    <w:basedOn w:val="803"/>
    <w:link w:val="996"/>
    <w:uiPriority w:val="0"/>
    <w:qFormat/>
    <w:pPr>
      <w:ind w:firstLine="420"/>
    </w:pPr>
    <w:rPr>
      <w:rFonts w:ascii="Calibri" w:hAnsi="Calibri"/>
      <w:sz w:val="22"/>
      <w:szCs w:val="22"/>
    </w:rPr>
  </w:style>
  <w:style w:type="character" w:styleId="998" w:customStyle="1">
    <w:name w:val="font141"/>
    <w:link w:val="803"/>
    <w:uiPriority w:val="0"/>
    <w:qFormat/>
    <w:rPr>
      <w:rFonts w:ascii="宋体" w:hAnsi="宋体" w:eastAsia="宋体"/>
      <w:color w:val="ff0000"/>
      <w:sz w:val="20"/>
      <w:szCs w:val="20"/>
      <w:u w:val="none"/>
    </w:rPr>
  </w:style>
  <w:style w:type="character" w:styleId="999" w:customStyle="1">
    <w:name w:val="页眉 Char"/>
    <w:link w:val="1000"/>
    <w:uiPriority w:val="0"/>
    <w:qFormat/>
    <w:rPr>
      <w:sz w:val="18"/>
      <w:szCs w:val="18"/>
    </w:rPr>
  </w:style>
  <w:style w:type="paragraph" w:styleId="1000" w:customStyle="1">
    <w:name w:val="页眉1"/>
    <w:basedOn w:val="803"/>
    <w:link w:val="999"/>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tit2"/>
    <w:link w:val="803"/>
    <w:uiPriority w:val="0"/>
    <w:qFormat/>
    <w:rPr>
      <w:b/>
      <w:bCs/>
      <w:sz w:val="48"/>
      <w:szCs w:val="48"/>
    </w:rPr>
  </w:style>
  <w:style w:type="character" w:styleId="1002" w:customStyle="1">
    <w:name w:val="style1"/>
    <w:basedOn w:val="986"/>
    <w:link w:val="803"/>
    <w:uiPriority w:val="0"/>
    <w:qFormat/>
  </w:style>
  <w:style w:type="character" w:styleId="1003" w:customStyle="1">
    <w:name w:val="强调1"/>
    <w:link w:val="803"/>
    <w:uiPriority w:val="0"/>
    <w:qFormat/>
    <w:rPr>
      <w:i/>
      <w:iCs/>
    </w:rPr>
  </w:style>
  <w:style w:type="character" w:styleId="1004" w:customStyle="1">
    <w:name w:val="标题 4 Char"/>
    <w:basedOn w:val="986"/>
    <w:link w:val="818"/>
    <w:uiPriority w:val="0"/>
    <w:semiHidden/>
    <w:qFormat/>
    <w:rPr>
      <w:rFonts w:ascii="Cambria" w:hAnsi="Cambria" w:eastAsia="宋体"/>
      <w:b/>
      <w:bCs/>
      <w:sz w:val="28"/>
      <w:szCs w:val="28"/>
    </w:rPr>
  </w:style>
  <w:style w:type="character" w:styleId="1005" w:customStyle="1">
    <w:name w:val="标题 6 Char"/>
    <w:basedOn w:val="986"/>
    <w:link w:val="985"/>
    <w:uiPriority w:val="0"/>
    <w:qFormat/>
    <w:rPr>
      <w:rFonts w:ascii="Arial" w:hAnsi="Arial" w:eastAsia="黑体"/>
      <w:b/>
      <w:bCs/>
      <w:sz w:val="21"/>
    </w:rPr>
  </w:style>
  <w:style w:type="character" w:styleId="1006" w:customStyle="1">
    <w:name w:val="标题 1 Char"/>
    <w:basedOn w:val="986"/>
    <w:link w:val="981"/>
    <w:uiPriority w:val="0"/>
    <w:qFormat/>
    <w:rPr>
      <w:b/>
      <w:bCs/>
      <w:sz w:val="44"/>
      <w:szCs w:val="44"/>
    </w:rPr>
  </w:style>
  <w:style w:type="character" w:styleId="1007" w:customStyle="1">
    <w:name w:val="纯文本 Char"/>
    <w:link w:val="1008"/>
    <w:uiPriority w:val="0"/>
    <w:qFormat/>
    <w:rPr>
      <w:rFonts w:ascii="宋体" w:hAnsi="Courier New"/>
      <w:sz w:val="21"/>
    </w:rPr>
  </w:style>
  <w:style w:type="paragraph" w:styleId="1008" w:customStyle="1">
    <w:name w:val="纯文本11"/>
    <w:basedOn w:val="803"/>
    <w:link w:val="1007"/>
    <w:uiPriority w:val="0"/>
    <w:qFormat/>
    <w:rPr>
      <w:rFonts w:ascii="宋体" w:hAnsi="Courier New"/>
      <w:sz w:val="20"/>
      <w:szCs w:val="20"/>
    </w:rPr>
  </w:style>
  <w:style w:type="character" w:styleId="1009" w:customStyle="1">
    <w:name w:val="二级目录 Char Char"/>
    <w:link w:val="1010"/>
    <w:uiPriority w:val="0"/>
    <w:qFormat/>
    <w:rPr>
      <w:b/>
      <w:sz w:val="30"/>
      <w:szCs w:val="28"/>
      <w:lang w:val="en-US" w:eastAsia="zh-CN" w:bidi="ar-SA"/>
    </w:rPr>
  </w:style>
  <w:style w:type="paragraph" w:styleId="1010" w:customStyle="1">
    <w:name w:val="二级目录"/>
    <w:next w:val="803"/>
    <w:link w:val="1009"/>
    <w:uiPriority w:val="0"/>
    <w:qFormat/>
    <w:pPr>
      <w:numPr>
        <w:ilvl w:val="0"/>
        <w:numId w:val="1"/>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11" w:customStyle="1">
    <w:name w:val="font41"/>
    <w:basedOn w:val="986"/>
    <w:link w:val="803"/>
    <w:uiPriority w:val="0"/>
    <w:qFormat/>
    <w:rPr>
      <w:rFonts w:ascii="宋体" w:hAnsi="宋体" w:eastAsia="宋体"/>
      <w:color w:val="000000"/>
      <w:sz w:val="20"/>
      <w:szCs w:val="20"/>
      <w:u w:val="none"/>
    </w:rPr>
  </w:style>
  <w:style w:type="character" w:styleId="1012" w:customStyle="1">
    <w:name w:val="正文文本 3 Char"/>
    <w:basedOn w:val="986"/>
    <w:link w:val="1013"/>
    <w:uiPriority w:val="0"/>
    <w:qFormat/>
    <w:rPr>
      <w:rFonts w:ascii="楷体_GB2312" w:hAnsi="Arial" w:eastAsia="楷体_GB2312"/>
      <w:b/>
      <w:bCs/>
      <w:color w:val="000000"/>
      <w:sz w:val="24"/>
    </w:rPr>
  </w:style>
  <w:style w:type="paragraph" w:styleId="1013" w:customStyle="1">
    <w:name w:val="正文文本 31"/>
    <w:basedOn w:val="803"/>
    <w:link w:val="1012"/>
    <w:uiPriority w:val="0"/>
    <w:qFormat/>
    <w:rPr>
      <w:rFonts w:ascii="楷体_GB2312" w:hAnsi="Arial" w:eastAsia="楷体_GB2312"/>
      <w:b/>
      <w:bCs/>
      <w:color w:val="000000"/>
      <w:sz w:val="24"/>
      <w:szCs w:val="20"/>
    </w:rPr>
  </w:style>
  <w:style w:type="character" w:styleId="1014" w:customStyle="1">
    <w:name w:val="font11"/>
    <w:link w:val="803"/>
    <w:uiPriority w:val="0"/>
    <w:qFormat/>
    <w:rPr>
      <w:rFonts w:ascii="宋体" w:hAnsi="宋体" w:eastAsia="宋体"/>
      <w:b/>
      <w:color w:val="000000"/>
      <w:sz w:val="20"/>
      <w:szCs w:val="20"/>
      <w:u w:val="none"/>
    </w:rPr>
  </w:style>
  <w:style w:type="character" w:styleId="1015" w:customStyle="1">
    <w:name w:val="z-窗体顶端 Char"/>
    <w:basedOn w:val="986"/>
    <w:link w:val="1016"/>
    <w:uiPriority w:val="0"/>
    <w:qFormat/>
    <w:rPr>
      <w:sz w:val="21"/>
    </w:rPr>
  </w:style>
  <w:style w:type="paragraph" w:styleId="1016" w:customStyle="1">
    <w:name w:val="z-窗体顶端"/>
    <w:basedOn w:val="803"/>
    <w:link w:val="1015"/>
    <w:uiPriority w:val="0"/>
    <w:qFormat/>
    <w:pPr>
      <w:ind w:firstLine="420"/>
    </w:pPr>
    <w:rPr>
      <w:sz w:val="20"/>
      <w:szCs w:val="20"/>
    </w:rPr>
  </w:style>
  <w:style w:type="character" w:styleId="1017" w:customStyle="1">
    <w:name w:val="displayarti"/>
    <w:link w:val="803"/>
    <w:uiPriority w:val="0"/>
    <w:qFormat/>
    <w:rPr>
      <w:rFonts w:ascii="Verdana" w:hAnsi="Verdana"/>
      <w:color w:val="ffffff"/>
      <w:sz w:val="20"/>
      <w:szCs w:val="20"/>
      <w:shd w:val="clear" w:color="auto" w:fill="a00000"/>
      <w:lang w:eastAsia="en-US"/>
    </w:rPr>
  </w:style>
  <w:style w:type="character" w:styleId="1018" w:customStyle="1">
    <w:name w:val="日期 Char"/>
    <w:basedOn w:val="986"/>
    <w:link w:val="1019"/>
    <w:uiPriority w:val="0"/>
    <w:qFormat/>
    <w:rPr>
      <w:rFonts w:eastAsia="仿宋_GB2312"/>
      <w:sz w:val="28"/>
    </w:rPr>
  </w:style>
  <w:style w:type="paragraph" w:styleId="1019" w:customStyle="1">
    <w:name w:val="日期1"/>
    <w:basedOn w:val="803"/>
    <w:next w:val="803"/>
    <w:link w:val="1018"/>
    <w:uiPriority w:val="0"/>
    <w:qFormat/>
    <w:rPr>
      <w:rFonts w:eastAsia="仿宋_GB2312"/>
      <w:sz w:val="28"/>
      <w:szCs w:val="20"/>
    </w:rPr>
  </w:style>
  <w:style w:type="character" w:styleId="1020" w:customStyle="1">
    <w:name w:val="正文文本缩进 2 Char"/>
    <w:basedOn w:val="986"/>
    <w:link w:val="1021"/>
    <w:uiPriority w:val="0"/>
    <w:qFormat/>
    <w:rPr>
      <w:rFonts w:ascii="仿宋_GB2312" w:eastAsia="仿宋_GB2312"/>
      <w:sz w:val="24"/>
      <w:szCs w:val="24"/>
    </w:rPr>
  </w:style>
  <w:style w:type="paragraph" w:styleId="1021" w:customStyle="1">
    <w:name w:val="正文文本缩进 21"/>
    <w:basedOn w:val="803"/>
    <w:link w:val="1020"/>
    <w:uiPriority w:val="0"/>
    <w:qFormat/>
    <w:pPr>
      <w:ind w:firstLine="475"/>
      <w:spacing w:line="10" w:lineRule="atLeast"/>
    </w:pPr>
    <w:rPr>
      <w:rFonts w:ascii="仿宋_GB2312" w:eastAsia="仿宋_GB2312"/>
      <w:sz w:val="24"/>
    </w:rPr>
  </w:style>
  <w:style w:type="character" w:styleId="1022" w:customStyle="1">
    <w:name w:val="font21"/>
    <w:link w:val="803"/>
    <w:uiPriority w:val="0"/>
    <w:qFormat/>
    <w:rPr>
      <w:rFonts w:ascii="宋体" w:hAnsi="宋体" w:eastAsia="宋体"/>
      <w:color w:val="000000"/>
      <w:sz w:val="20"/>
      <w:szCs w:val="20"/>
      <w:u w:val="none"/>
    </w:rPr>
  </w:style>
  <w:style w:type="character" w:styleId="1023" w:customStyle="1">
    <w:name w:val="gpa"/>
    <w:link w:val="803"/>
    <w:uiPriority w:val="0"/>
    <w:qFormat/>
    <w:rPr>
      <w:rFonts w:ascii="Arial" w:hAnsi="Arial"/>
      <w:sz w:val="15"/>
      <w:szCs w:val="15"/>
      <w:lang w:eastAsia="en-US"/>
    </w:rPr>
  </w:style>
  <w:style w:type="character" w:styleId="1024" w:customStyle="1">
    <w:name w:val="f141"/>
    <w:link w:val="803"/>
    <w:uiPriority w:val="0"/>
    <w:qFormat/>
    <w:rPr>
      <w:sz w:val="21"/>
      <w:szCs w:val="21"/>
    </w:rPr>
  </w:style>
  <w:style w:type="character" w:styleId="1025" w:customStyle="1">
    <w:name w:val="font151"/>
    <w:link w:val="803"/>
    <w:uiPriority w:val="0"/>
    <w:qFormat/>
    <w:rPr>
      <w:rFonts w:ascii="宋体" w:hAnsi="宋体" w:eastAsia="宋体"/>
      <w:b/>
      <w:color w:val="000000"/>
      <w:sz w:val="20"/>
      <w:szCs w:val="20"/>
      <w:u w:val="none"/>
    </w:rPr>
  </w:style>
  <w:style w:type="character" w:styleId="1026" w:customStyle="1">
    <w:name w:val="标题 3 Char"/>
    <w:basedOn w:val="986"/>
    <w:link w:val="982"/>
    <w:uiPriority w:val="0"/>
    <w:qFormat/>
    <w:rPr>
      <w:b/>
      <w:bCs/>
      <w:sz w:val="32"/>
      <w:szCs w:val="32"/>
    </w:rPr>
  </w:style>
  <w:style w:type="character" w:styleId="1027" w:customStyle="1">
    <w:name w:val="标题 2 Char"/>
    <w:link w:val="828"/>
    <w:uiPriority w:val="0"/>
    <w:qFormat/>
    <w:rPr>
      <w:rFonts w:ascii="Arial" w:hAnsi="Arial" w:eastAsia="黑体"/>
      <w:sz w:val="32"/>
      <w:szCs w:val="32"/>
      <w:lang w:val="en-US" w:eastAsia="zh-CN" w:bidi="ar-SA"/>
    </w:rPr>
  </w:style>
  <w:style w:type="character" w:styleId="1028" w:customStyle="1">
    <w:name w:val="正文文本 Char"/>
    <w:link w:val="817"/>
    <w:uiPriority w:val="0"/>
    <w:qFormat/>
    <w:rPr>
      <w:sz w:val="21"/>
      <w:szCs w:val="24"/>
    </w:rPr>
  </w:style>
  <w:style w:type="character" w:styleId="1029" w:customStyle="1">
    <w:name w:val="文档结构图 Char"/>
    <w:basedOn w:val="986"/>
    <w:link w:val="1030"/>
    <w:uiPriority w:val="0"/>
    <w:qFormat/>
    <w:rPr>
      <w:sz w:val="21"/>
      <w:shd w:val="clear" w:color="auto" w:fill="000080"/>
    </w:rPr>
  </w:style>
  <w:style w:type="paragraph" w:styleId="1030" w:customStyle="1">
    <w:name w:val="文档结构图1"/>
    <w:basedOn w:val="803"/>
    <w:link w:val="1029"/>
    <w:uiPriority w:val="0"/>
    <w:qFormat/>
    <w:pPr>
      <w:shd w:val="clear" w:color="auto" w:fill="000080"/>
    </w:pPr>
    <w:rPr>
      <w:sz w:val="20"/>
      <w:szCs w:val="20"/>
    </w:rPr>
  </w:style>
  <w:style w:type="character" w:styleId="1031" w:customStyle="1">
    <w:name w:val="m1"/>
    <w:basedOn w:val="986"/>
    <w:link w:val="803"/>
    <w:uiPriority w:val="0"/>
    <w:qFormat/>
    <w:rPr>
      <w:color w:val="0000ff"/>
    </w:rPr>
  </w:style>
  <w:style w:type="character" w:styleId="1032" w:customStyle="1">
    <w:name w:val="apple-converted-space"/>
    <w:basedOn w:val="986"/>
    <w:link w:val="803"/>
    <w:uiPriority w:val="0"/>
    <w:qFormat/>
  </w:style>
  <w:style w:type="character" w:styleId="1033" w:customStyle="1">
    <w:name w:val="批注框文本 Char"/>
    <w:link w:val="1034"/>
    <w:uiPriority w:val="0"/>
    <w:qFormat/>
    <w:rPr>
      <w:sz w:val="18"/>
      <w:szCs w:val="18"/>
    </w:rPr>
  </w:style>
  <w:style w:type="paragraph" w:styleId="1034" w:customStyle="1">
    <w:name w:val="批注框文本1"/>
    <w:basedOn w:val="803"/>
    <w:link w:val="1033"/>
    <w:uiPriority w:val="0"/>
    <w:qFormat/>
    <w:rPr>
      <w:sz w:val="18"/>
      <w:szCs w:val="18"/>
    </w:rPr>
  </w:style>
  <w:style w:type="character" w:styleId="1035" w:customStyle="1">
    <w:name w:val="font01"/>
    <w:basedOn w:val="986"/>
    <w:link w:val="803"/>
    <w:uiPriority w:val="0"/>
    <w:qFormat/>
    <w:rPr>
      <w:rFonts w:ascii="Times New Roman" w:hAnsi="Times New Roman"/>
      <w:color w:val="000000"/>
      <w:sz w:val="21"/>
      <w:szCs w:val="21"/>
      <w:u w:val="none"/>
    </w:rPr>
  </w:style>
  <w:style w:type="character" w:styleId="1036" w:customStyle="1">
    <w:name w:val="正文文本缩进 Char"/>
    <w:basedOn w:val="986"/>
    <w:link w:val="1037"/>
    <w:uiPriority w:val="0"/>
    <w:qFormat/>
    <w:rPr>
      <w:rFonts w:ascii="楷体_GB2312" w:eastAsia="楷体_GB2312"/>
      <w:sz w:val="32"/>
    </w:rPr>
  </w:style>
  <w:style w:type="paragraph" w:styleId="1037" w:customStyle="1">
    <w:name w:val="正文文本缩进1"/>
    <w:basedOn w:val="803"/>
    <w:next w:val="1038"/>
    <w:link w:val="1036"/>
    <w:uiPriority w:val="0"/>
    <w:qFormat/>
    <w:pPr>
      <w:ind w:firstLine="630"/>
    </w:pPr>
    <w:rPr>
      <w:rFonts w:ascii="楷体_GB2312" w:eastAsia="楷体_GB2312"/>
      <w:sz w:val="32"/>
      <w:szCs w:val="20"/>
    </w:rPr>
  </w:style>
  <w:style w:type="paragraph" w:styleId="1038" w:customStyle="1">
    <w:name w:val="寄信人地址1"/>
    <w:basedOn w:val="803"/>
    <w:uiPriority w:val="0"/>
    <w:qFormat/>
    <w:rPr>
      <w:rFonts w:ascii="Arial" w:hAnsi="Arial"/>
    </w:rPr>
  </w:style>
  <w:style w:type="character" w:styleId="1039" w:customStyle="1">
    <w:name w:val="纯文本 字符"/>
    <w:link w:val="803"/>
    <w:uiPriority w:val="0"/>
    <w:qFormat/>
    <w:rPr>
      <w:rFonts w:ascii="宋体" w:hAnsi="Courier New"/>
      <w:sz w:val="24"/>
      <w:szCs w:val="21"/>
    </w:rPr>
  </w:style>
  <w:style w:type="character" w:styleId="1040" w:customStyle="1">
    <w:name w:val="批注主题 Char"/>
    <w:link w:val="1041"/>
    <w:uiPriority w:val="0"/>
    <w:qFormat/>
    <w:rPr>
      <w:b/>
      <w:bCs/>
      <w:sz w:val="21"/>
      <w:szCs w:val="24"/>
    </w:rPr>
  </w:style>
  <w:style w:type="paragraph" w:styleId="1041" w:customStyle="1">
    <w:name w:val="批注主题1"/>
    <w:basedOn w:val="995"/>
    <w:next w:val="995"/>
    <w:link w:val="1040"/>
    <w:uiPriority w:val="0"/>
    <w:qFormat/>
    <w:rPr>
      <w:b/>
      <w:bCs/>
    </w:rPr>
  </w:style>
  <w:style w:type="character" w:styleId="1042" w:customStyle="1">
    <w:name w:val="正文缩进 Char"/>
    <w:link w:val="983"/>
    <w:uiPriority w:val="0"/>
    <w:qFormat/>
    <w:rPr>
      <w:sz w:val="21"/>
      <w:szCs w:val="24"/>
    </w:rPr>
  </w:style>
  <w:style w:type="character" w:styleId="1043" w:customStyle="1">
    <w:name w:val="页脚 Char"/>
    <w:link w:val="804"/>
    <w:uiPriority w:val="0"/>
    <w:qFormat/>
    <w:rPr>
      <w:sz w:val="18"/>
      <w:szCs w:val="18"/>
    </w:rPr>
  </w:style>
  <w:style w:type="character" w:styleId="1044" w:customStyle="1">
    <w:name w:val="Comment Text Char"/>
    <w:link w:val="803"/>
    <w:uiPriority w:val="0"/>
    <w:qFormat/>
    <w:rPr>
      <w:rFonts w:ascii="Calibri" w:hAnsi="Calibri" w:eastAsia="宋体"/>
      <w:sz w:val="22"/>
      <w:szCs w:val="22"/>
      <w:lang w:eastAsia="en-US"/>
    </w:rPr>
  </w:style>
  <w:style w:type="character" w:styleId="1045" w:customStyle="1">
    <w:name w:val="HTML 预设格式 Char"/>
    <w:basedOn w:val="986"/>
    <w:link w:val="1046"/>
    <w:uiPriority w:val="0"/>
    <w:qFormat/>
    <w:rPr>
      <w:rFonts w:ascii="宋体" w:hAnsi="宋体"/>
      <w:sz w:val="24"/>
    </w:rPr>
  </w:style>
  <w:style w:type="paragraph" w:styleId="1046" w:customStyle="1">
    <w:name w:val="HTML 预设格式1"/>
    <w:basedOn w:val="803"/>
    <w:link w:val="10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character" w:styleId="1047" w:customStyle="1">
    <w:name w:val="bsharetext"/>
    <w:basedOn w:val="986"/>
    <w:link w:val="803"/>
    <w:uiPriority w:val="0"/>
    <w:qFormat/>
  </w:style>
  <w:style w:type="character" w:styleId="1048" w:customStyle="1">
    <w:name w:val="列出段落 Char Char"/>
    <w:link w:val="1049"/>
    <w:uiPriority w:val="0"/>
    <w:qFormat/>
    <w:rPr>
      <w:sz w:val="21"/>
      <w:szCs w:val="24"/>
    </w:rPr>
  </w:style>
  <w:style w:type="paragraph" w:styleId="1049" w:customStyle="1">
    <w:name w:val="列出段落1"/>
    <w:basedOn w:val="803"/>
    <w:link w:val="1048"/>
    <w:uiPriority w:val="0"/>
    <w:qFormat/>
    <w:pPr>
      <w:ind w:firstLine="420"/>
    </w:pPr>
  </w:style>
  <w:style w:type="character" w:styleId="1050" w:customStyle="1">
    <w:name w:val="正文文本缩进 3 Char"/>
    <w:basedOn w:val="986"/>
    <w:link w:val="1051"/>
    <w:uiPriority w:val="0"/>
    <w:qFormat/>
    <w:rPr>
      <w:sz w:val="24"/>
    </w:rPr>
  </w:style>
  <w:style w:type="paragraph" w:styleId="1051" w:customStyle="1">
    <w:name w:val="正文文本缩进 31"/>
    <w:basedOn w:val="803"/>
    <w:link w:val="1050"/>
    <w:uiPriority w:val="0"/>
    <w:qFormat/>
    <w:pPr>
      <w:ind w:left="360"/>
      <w:spacing w:line="400" w:lineRule="exact"/>
    </w:pPr>
    <w:rPr>
      <w:sz w:val="24"/>
      <w:szCs w:val="20"/>
    </w:rPr>
  </w:style>
  <w:style w:type="character" w:styleId="1052" w:customStyle="1">
    <w:name w:val="selected"/>
    <w:link w:val="803"/>
    <w:uiPriority w:val="0"/>
    <w:qFormat/>
    <w:rPr>
      <w:rFonts w:ascii="Verdana" w:hAnsi="Verdana"/>
      <w:sz w:val="20"/>
      <w:szCs w:val="20"/>
      <w:shd w:val="clear" w:color="auto" w:fill="b00006"/>
      <w:lang w:eastAsia="en-US"/>
    </w:rPr>
  </w:style>
  <w:style w:type="character" w:styleId="1053" w:customStyle="1">
    <w:name w:val="正文文本 2 Char"/>
    <w:basedOn w:val="986"/>
    <w:link w:val="1054"/>
    <w:uiPriority w:val="0"/>
    <w:qFormat/>
    <w:rPr>
      <w:sz w:val="21"/>
    </w:rPr>
  </w:style>
  <w:style w:type="paragraph" w:styleId="1054" w:customStyle="1">
    <w:name w:val="正文文本 21"/>
    <w:basedOn w:val="803"/>
    <w:link w:val="1053"/>
    <w:uiPriority w:val="0"/>
    <w:qFormat/>
    <w:pPr>
      <w:spacing w:after="120" w:line="480" w:lineRule="auto"/>
    </w:pPr>
    <w:rPr>
      <w:sz w:val="20"/>
      <w:szCs w:val="20"/>
    </w:rPr>
  </w:style>
  <w:style w:type="character" w:styleId="1055" w:customStyle="1">
    <w:name w:val="标题 5 Char"/>
    <w:basedOn w:val="986"/>
    <w:link w:val="984"/>
    <w:uiPriority w:val="0"/>
    <w:qFormat/>
    <w:rPr>
      <w:b/>
      <w:bCs/>
      <w:sz w:val="28"/>
      <w:szCs w:val="28"/>
    </w:rPr>
  </w:style>
  <w:style w:type="paragraph" w:styleId="1056" w:customStyle="1">
    <w:name w:val="目录 81"/>
    <w:basedOn w:val="803"/>
    <w:next w:val="803"/>
    <w:uiPriority w:val="0"/>
    <w:qFormat/>
    <w:pPr>
      <w:ind w:left="2940"/>
    </w:pPr>
  </w:style>
  <w:style w:type="paragraph" w:styleId="1057" w:customStyle="1">
    <w:name w:val="目录 21"/>
    <w:basedOn w:val="803"/>
    <w:next w:val="803"/>
    <w:uiPriority w:val="0"/>
    <w:qFormat/>
    <w:pPr>
      <w:ind w:left="420"/>
    </w:pPr>
    <w:rPr>
      <w:sz w:val="20"/>
      <w:szCs w:val="20"/>
    </w:rPr>
  </w:style>
  <w:style w:type="paragraph" w:styleId="1058" w:customStyle="1">
    <w:name w:val="目录 111"/>
    <w:basedOn w:val="803"/>
    <w:next w:val="803"/>
    <w:uiPriority w:val="0"/>
    <w:qFormat/>
  </w:style>
  <w:style w:type="paragraph" w:styleId="1059" w:customStyle="1">
    <w:name w:val="文本块11"/>
    <w:basedOn w:val="803"/>
    <w:uiPriority w:val="0"/>
    <w:qFormat/>
    <w:pPr>
      <w:ind w:left="420" w:right="33"/>
      <w:jc w:val="left"/>
    </w:pPr>
    <w:rPr>
      <w:sz w:val="24"/>
      <w:szCs w:val="20"/>
    </w:rPr>
  </w:style>
  <w:style w:type="paragraph" w:styleId="1060" w:customStyle="1">
    <w:name w:val="正文首行缩进111"/>
    <w:basedOn w:val="817"/>
    <w:uiPriority w:val="0"/>
    <w:qFormat/>
    <w:pPr>
      <w:ind w:firstLine="420"/>
      <w:spacing w:after="120"/>
    </w:pPr>
    <w:rPr>
      <w:rFonts w:ascii="Times New Roman" w:eastAsia="宋体"/>
      <w:sz w:val="24"/>
      <w:szCs w:val="24"/>
    </w:rPr>
  </w:style>
  <w:style w:type="paragraph" w:styleId="1061" w:customStyle="1">
    <w:name w:val="目录 31"/>
    <w:basedOn w:val="803"/>
    <w:next w:val="803"/>
    <w:uiPriority w:val="0"/>
    <w:qFormat/>
    <w:pPr>
      <w:ind w:left="840"/>
    </w:pPr>
    <w:rPr>
      <w:sz w:val="20"/>
      <w:szCs w:val="20"/>
    </w:rPr>
  </w:style>
  <w:style w:type="paragraph" w:styleId="1062" w:customStyle="1">
    <w:name w:val="纯文本2"/>
    <w:basedOn w:val="803"/>
    <w:uiPriority w:val="0"/>
    <w:qFormat/>
    <w:pPr>
      <w:spacing w:line="360" w:lineRule="auto"/>
    </w:pPr>
    <w:rPr>
      <w:rFonts w:ascii="宋体" w:hAnsi="Courier New"/>
      <w:sz w:val="20"/>
      <w:szCs w:val="20"/>
    </w:rPr>
  </w:style>
  <w:style w:type="paragraph" w:styleId="1063" w:customStyle="1">
    <w:name w:val=" Char Char Char Char Char Char Char Char Char Char"/>
    <w:basedOn w:val="803"/>
    <w:uiPriority w:val="0"/>
    <w:qFormat/>
    <w:pPr>
      <w:jc w:val="left"/>
      <w:spacing w:after="160" w:line="240" w:lineRule="exact"/>
      <w:widowControl/>
    </w:pPr>
    <w:rPr>
      <w:rFonts w:ascii="Verdana" w:hAnsi="Verdana" w:eastAsia="仿宋_GB2312"/>
      <w:sz w:val="24"/>
      <w:szCs w:val="20"/>
      <w:lang w:eastAsia="en-US"/>
    </w:rPr>
  </w:style>
  <w:style w:type="paragraph" w:styleId="1064" w:customStyle="1">
    <w:name w:val="ft00"/>
    <w:basedOn w:val="803"/>
    <w:uiPriority w:val="0"/>
    <w:qFormat/>
    <w:pPr>
      <w:jc w:val="left"/>
      <w:spacing w:before="100" w:beforeAutospacing="1" w:after="100" w:afterAutospacing="1"/>
      <w:widowControl/>
    </w:pPr>
    <w:rPr>
      <w:rFonts w:ascii="宋体" w:hAnsi="宋体"/>
      <w:sz w:val="24"/>
    </w:rPr>
  </w:style>
  <w:style w:type="paragraph" w:styleId="1065" w:customStyle="1">
    <w:name w:val="正文首行缩进 21"/>
    <w:basedOn w:val="1037"/>
    <w:next w:val="1066"/>
    <w:uiPriority w:val="0"/>
    <w:qFormat/>
    <w:pPr>
      <w:ind w:firstLine="420"/>
    </w:pPr>
  </w:style>
  <w:style w:type="paragraph" w:styleId="1066" w:customStyle="1">
    <w:name w:val="正文12"/>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正文首行缩进1"/>
    <w:basedOn w:val="831"/>
    <w:uiPriority w:val="0"/>
    <w:qFormat/>
    <w:pPr>
      <w:ind w:firstLine="420"/>
      <w:spacing w:after="120"/>
    </w:pPr>
    <w:rPr>
      <w:rFonts w:ascii="Times New Roman" w:eastAsia="宋体"/>
      <w:sz w:val="24"/>
      <w:szCs w:val="24"/>
    </w:rPr>
  </w:style>
  <w:style w:type="paragraph" w:styleId="1068">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一级无"/>
    <w:basedOn w:val="803"/>
    <w:uiPriority w:val="0"/>
    <w:qFormat/>
    <w:pPr>
      <w:numPr>
        <w:ilvl w:val="1"/>
        <w:numId w:val="2"/>
      </w:numPr>
      <w:jc w:val="left"/>
      <w:widowControl/>
      <w:tabs>
        <w:tab w:val="left" w:pos="1200" w:leader="none"/>
        <w:tab w:val="left" w:pos="1440" w:leader="none"/>
      </w:tabs>
      <w:outlineLvl w:val="2"/>
    </w:pPr>
    <w:rPr>
      <w:rFonts w:ascii="宋体"/>
      <w:sz w:val="21"/>
      <w:szCs w:val="21"/>
    </w:rPr>
  </w:style>
  <w:style w:type="paragraph" w:styleId="1070" w:customStyle="1">
    <w:name w:val="正文文本11"/>
    <w:basedOn w:val="825"/>
    <w:next w:val="825"/>
    <w:uiPriority w:val="0"/>
    <w:qFormat/>
    <w:pPr>
      <w:spacing w:after="120"/>
    </w:pPr>
  </w:style>
  <w:style w:type="paragraph" w:styleId="1071" w:customStyle="1">
    <w:name w:val="普通(网站)1"/>
    <w:basedOn w:val="827"/>
    <w:uiPriority w:val="0"/>
    <w:qFormat/>
    <w:pPr>
      <w:jc w:val="left"/>
      <w:spacing w:before="100" w:beforeAutospacing="1" w:after="100" w:afterAutospacing="1"/>
      <w:widowControl/>
    </w:pPr>
    <w:rPr>
      <w:rFonts w:ascii="宋体" w:hAnsi="宋体"/>
      <w:sz w:val="24"/>
    </w:rPr>
  </w:style>
  <w:style w:type="paragraph" w:styleId="1072" w:customStyle="1">
    <w:name w:val="普通(网站)2"/>
    <w:basedOn w:val="803"/>
    <w:uiPriority w:val="0"/>
    <w:qFormat/>
    <w:pPr>
      <w:jc w:val="left"/>
      <w:spacing w:before="100" w:beforeAutospacing="1" w:after="100" w:afterAutospacing="1"/>
      <w:widowControl/>
    </w:pPr>
    <w:rPr>
      <w:rFonts w:ascii="宋体" w:hAnsi="宋体"/>
      <w:sz w:val="24"/>
    </w:rPr>
  </w:style>
  <w:style w:type="paragraph" w:styleId="1073" w:customStyle="1">
    <w:name w:val="p0"/>
    <w:basedOn w:val="803"/>
    <w:uiPriority w:val="0"/>
    <w:qFormat/>
    <w:pPr>
      <w:widowControl/>
    </w:pPr>
    <w:rPr>
      <w:sz w:val="21"/>
      <w:szCs w:val="21"/>
    </w:rPr>
  </w:style>
  <w:style w:type="paragraph" w:styleId="1074" w:customStyle="1">
    <w:name w:val="索引 51"/>
    <w:basedOn w:val="824"/>
    <w:next w:val="824"/>
    <w:uiPriority w:val="0"/>
    <w:qFormat/>
    <w:pPr>
      <w:ind w:left="798"/>
      <w:jc w:val="left"/>
    </w:pPr>
    <w:rPr>
      <w:rFonts w:ascii="Calibri" w:hAnsi="Calibri"/>
    </w:rPr>
  </w:style>
  <w:style w:type="paragraph" w:styleId="1075" w:customStyle="1">
    <w:name w:val="投标文件正文"/>
    <w:basedOn w:val="803"/>
    <w:uiPriority w:val="0"/>
    <w:qFormat/>
    <w:pPr>
      <w:ind w:firstLine="560"/>
      <w:spacing w:line="440" w:lineRule="exact"/>
    </w:pPr>
    <w:rPr>
      <w:rFonts w:ascii="仿宋_GB2312" w:hAnsi="Calibri" w:eastAsia="仿宋_GB2312"/>
      <w:bCs/>
      <w:sz w:val="28"/>
      <w:szCs w:val="28"/>
    </w:rPr>
  </w:style>
  <w:style w:type="paragraph" w:styleId="1076" w:customStyle="1">
    <w:name w:val="Char Char Char Char Char Char Char Char Char Char Char Char Char"/>
    <w:basedOn w:val="803"/>
    <w:uiPriority w:val="0"/>
    <w:qFormat/>
    <w:pPr>
      <w:jc w:val="left"/>
      <w:spacing w:after="160" w:line="240" w:lineRule="exact"/>
      <w:widowControl/>
    </w:pPr>
    <w:rPr>
      <w:rFonts w:ascii="Verdana" w:hAnsi="Verdana"/>
      <w:sz w:val="20"/>
      <w:szCs w:val="20"/>
      <w:lang w:eastAsia="en-US"/>
    </w:rPr>
  </w:style>
  <w:style w:type="paragraph" w:styleId="1077" w:customStyle="1">
    <w:name w:val="TOC 标题1"/>
    <w:basedOn w:val="981"/>
    <w:next w:val="803"/>
    <w:uiPriority w:val="0"/>
    <w:qFormat/>
    <w:pPr>
      <w:jc w:val="left"/>
      <w:spacing w:before="480" w:after="0" w:line="276" w:lineRule="auto"/>
      <w:widowControl/>
      <w:outlineLvl w:val="9"/>
    </w:pPr>
    <w:rPr>
      <w:rFonts w:ascii="Cambria" w:hAnsi="Cambria" w:eastAsia="宋体"/>
      <w:color w:val="365f91"/>
      <w:sz w:val="28"/>
      <w:szCs w:val="28"/>
    </w:rPr>
  </w:style>
  <w:style w:type="paragraph" w:styleId="1078" w:customStyle="1">
    <w:name w:val="列出段落4"/>
    <w:basedOn w:val="803"/>
    <w:uiPriority w:val="0"/>
    <w:qFormat/>
    <w:pPr>
      <w:ind w:firstLine="420"/>
      <w:jc w:val="left"/>
      <w:spacing w:line="360" w:lineRule="auto"/>
    </w:pPr>
    <w:rPr>
      <w:sz w:val="21"/>
      <w:szCs w:val="21"/>
    </w:rPr>
  </w:style>
  <w:style w:type="paragraph" w:styleId="1079" w:customStyle="1">
    <w:name w:val="脚注文本1"/>
    <w:basedOn w:val="824"/>
    <w:next w:val="1074"/>
    <w:uiPriority w:val="0"/>
    <w:qFormat/>
    <w:pPr>
      <w:jc w:val="left"/>
    </w:pPr>
    <w:rPr>
      <w:rFonts w:ascii="宋体" w:eastAsia="Times New Roman"/>
      <w:sz w:val="18"/>
      <w:szCs w:val="18"/>
    </w:rPr>
  </w:style>
  <w:style w:type="paragraph" w:styleId="108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表格文字"/>
    <w:basedOn w:val="803"/>
    <w:next w:val="1082"/>
    <w:uiPriority w:val="0"/>
    <w:qFormat/>
    <w:pPr>
      <w:jc w:val="left"/>
    </w:pPr>
    <w:rPr>
      <w:bCs/>
      <w:spacing w:val="10"/>
      <w:sz w:val="20"/>
      <w:szCs w:val="20"/>
    </w:rPr>
  </w:style>
  <w:style w:type="paragraph" w:styleId="1082" w:customStyle="1">
    <w:name w:val="正文文本111"/>
    <w:basedOn w:val="770"/>
    <w:next w:val="821"/>
    <w:uiPriority w:val="1"/>
    <w:qFormat/>
    <w:pPr>
      <w:spacing w:after="120"/>
    </w:pPr>
  </w:style>
  <w:style w:type="paragraph" w:styleId="1083" w:customStyle="1">
    <w:name w:val="MM Topic 3"/>
    <w:basedOn w:val="803"/>
    <w:uiPriority w:val="0"/>
    <w:qFormat/>
    <w:pPr>
      <w:keepLines/>
      <w:keepNext/>
      <w:spacing w:before="260" w:after="260" w:line="416" w:lineRule="auto"/>
      <w:outlineLvl w:val="2"/>
    </w:pPr>
    <w:rPr>
      <w:b/>
      <w:bCs/>
      <w:sz w:val="32"/>
      <w:szCs w:val="32"/>
    </w:rPr>
  </w:style>
  <w:style w:type="paragraph" w:styleId="1084" w:customStyle="1">
    <w:name w:val="普通正文"/>
    <w:basedOn w:val="803"/>
    <w:uiPriority w:val="0"/>
    <w:qFormat/>
    <w:pPr>
      <w:ind w:firstLine="480"/>
      <w:jc w:val="left"/>
      <w:spacing w:before="120" w:after="120" w:line="360" w:lineRule="auto"/>
    </w:pPr>
    <w:rPr>
      <w:rFonts w:ascii="Arial" w:hAnsi="Arial"/>
      <w:sz w:val="24"/>
    </w:rPr>
  </w:style>
  <w:style w:type="paragraph" w:styleId="1085" w:customStyle="1">
    <w:name w:val="BodyText"/>
    <w:basedOn w:val="803"/>
    <w:uiPriority w:val="0"/>
    <w:qFormat/>
    <w:pPr>
      <w:jc w:val="both"/>
      <w:spacing w:after="0"/>
    </w:pPr>
    <w:rPr>
      <w:rFonts w:ascii="楷体_GB2312" w:hAnsi="Arial" w:eastAsia="楷体_GB2312"/>
      <w:sz w:val="28"/>
    </w:rPr>
  </w:style>
  <w:style w:type="paragraph" w:styleId="1086" w:customStyle="1">
    <w:name w:val="首行缩进"/>
    <w:basedOn w:val="803"/>
    <w:next w:val="803"/>
    <w:uiPriority w:val="0"/>
    <w:qFormat/>
    <w:pPr>
      <w:ind w:firstLine="480"/>
      <w:spacing w:line="360" w:lineRule="auto"/>
    </w:pPr>
    <w:rPr>
      <w:rFonts w:ascii="宋体" w:hAnsi="宋体"/>
      <w:sz w:val="24"/>
    </w:rPr>
  </w:style>
  <w:style w:type="paragraph" w:styleId="1087" w:customStyle="1">
    <w:name w:val="列出段落2"/>
    <w:basedOn w:val="803"/>
    <w:uiPriority w:val="0"/>
    <w:qFormat/>
    <w:pPr>
      <w:ind w:firstLine="420"/>
    </w:pPr>
    <w:rPr>
      <w:rFonts w:ascii="Arial" w:hAnsi="Arial"/>
      <w:color w:val="000000"/>
      <w:sz w:val="28"/>
      <w:szCs w:val="10"/>
    </w:rPr>
  </w:style>
  <w:style w:type="paragraph" w:styleId="1088" w:customStyle="1">
    <w:name w:val="正文首行缩进11"/>
    <w:basedOn w:val="1070"/>
    <w:uiPriority w:val="0"/>
    <w:qFormat/>
    <w:pPr>
      <w:ind w:firstLine="420"/>
      <w:spacing w:after="120"/>
    </w:pPr>
    <w:rPr>
      <w:rFonts w:ascii="Times New Roman" w:eastAsia="宋体"/>
      <w:sz w:val="24"/>
      <w:szCs w:val="24"/>
    </w:rPr>
  </w:style>
  <w:style w:type="paragraph" w:styleId="1089" w:customStyle="1">
    <w:name w:val="_Style 9"/>
    <w:basedOn w:val="803"/>
    <w:uiPriority w:val="0"/>
    <w:qFormat/>
    <w:rPr>
      <w:rFonts w:ascii="Tahoma" w:hAnsi="Tahoma"/>
      <w:sz w:val="24"/>
      <w:szCs w:val="20"/>
    </w:rPr>
  </w:style>
  <w:style w:type="paragraph" w:styleId="1090" w:customStyle="1">
    <w:name w:val="List Paragraph1"/>
    <w:basedOn w:val="803"/>
    <w:uiPriority w:val="0"/>
    <w:qFormat/>
    <w:pPr>
      <w:ind w:firstLine="420"/>
    </w:pPr>
  </w:style>
  <w:style w:type="paragraph" w:styleId="1091" w:customStyle="1">
    <w:name w:val="Char Char Char Char Char Char Char Char Char Char"/>
    <w:basedOn w:val="803"/>
    <w:uiPriority w:val="0"/>
    <w:qFormat/>
    <w:pPr>
      <w:spacing w:line="360" w:lineRule="auto"/>
    </w:pPr>
    <w:rPr>
      <w:sz w:val="24"/>
      <w:szCs w:val="20"/>
    </w:rPr>
  </w:style>
  <w:style w:type="paragraph" w:styleId="1092" w:customStyle="1">
    <w:name w:val="纯文本1"/>
    <w:basedOn w:val="803"/>
    <w:uiPriority w:val="0"/>
    <w:qFormat/>
    <w:rPr>
      <w:rFonts w:ascii="宋体" w:hAnsi="Courier New"/>
      <w:sz w:val="20"/>
      <w:szCs w:val="20"/>
    </w:rPr>
  </w:style>
  <w:style w:type="paragraph" w:styleId="1093" w:customStyle="1">
    <w:name w:val="Char Char1 Char Char Char Char Char Char"/>
    <w:basedOn w:val="803"/>
    <w:uiPriority w:val="0"/>
    <w:qFormat/>
    <w:pPr>
      <w:jc w:val="center"/>
      <w:widowControl/>
    </w:pPr>
    <w:rPr>
      <w:rFonts w:ascii="宋体" w:hAnsi="宋体"/>
      <w:b/>
      <w:sz w:val="24"/>
      <w:szCs w:val="20"/>
      <w:lang w:eastAsia="en-US"/>
    </w:rPr>
  </w:style>
  <w:style w:type="paragraph" w:styleId="1094" w:customStyle="1">
    <w:name w:val="Table Paragraph"/>
    <w:basedOn w:val="803"/>
    <w:uiPriority w:val="0"/>
    <w:qFormat/>
    <w:pPr>
      <w:jc w:val="left"/>
    </w:pPr>
    <w:rPr>
      <w:rFonts w:ascii="Calibri" w:hAnsi="Calibri"/>
      <w:sz w:val="22"/>
      <w:szCs w:val="22"/>
      <w:lang w:eastAsia="en-US"/>
    </w:rPr>
  </w:style>
  <w:style w:type="paragraph" w:styleId="1095"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096"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097" w:customStyle="1">
    <w:name w:val="默认段落字体 Para Char Char Char Char Char Char Char Char Char1 Char Char Char Char Char Char Char"/>
    <w:basedOn w:val="1030"/>
    <w:uiPriority w:val="0"/>
    <w:qFormat/>
    <w:rPr>
      <w:rFonts w:ascii="Tahoma" w:hAnsi="Tahoma"/>
      <w:sz w:val="24"/>
    </w:rPr>
  </w:style>
  <w:style w:type="paragraph" w:styleId="1098" w:customStyle="1">
    <w:name w:val="表"/>
    <w:basedOn w:val="803"/>
    <w:uiPriority w:val="0"/>
    <w:qFormat/>
    <w:pPr>
      <w:jc w:val="center"/>
      <w:spacing w:line="312" w:lineRule="exact"/>
    </w:pPr>
    <w:rPr>
      <w:rFonts w:eastAsia="仿宋"/>
      <w:color w:val="080808"/>
    </w:rPr>
  </w:style>
  <w:style w:type="paragraph" w:styleId="1099" w:customStyle="1">
    <w:name w:val="默认段落字体 Para Char Char Char Char Char Char Char"/>
    <w:basedOn w:val="803"/>
    <w:uiPriority w:val="0"/>
    <w:qFormat/>
    <w:rPr>
      <w:rFonts w:ascii="Tahoma" w:hAnsi="Tahoma"/>
      <w:sz w:val="24"/>
      <w:szCs w:val="20"/>
    </w:rPr>
  </w:style>
  <w:style w:type="table" w:styleId="1100" w:customStyle="1">
    <w:name w:val="网格型1"/>
    <w:basedOn w:val="987"/>
    <w:uiPriority w:val="0"/>
    <w:qFormat/>
    <w:tblPr/>
  </w:style>
  <w:style w:type="paragraph" w:styleId="1101" w:customStyle="1">
    <w:name w:val="索引 411"/>
    <w:basedOn w:val="770"/>
    <w:next w:val="770"/>
    <w:uiPriority w:val="0"/>
    <w:qFormat/>
    <w:pPr>
      <w:ind w:left="1260"/>
    </w:pPr>
  </w:style>
  <w:style w:type="paragraph" w:styleId="1102" w:customStyle="1">
    <w:name w:val="文本块2"/>
    <w:basedOn w:val="770"/>
    <w:uiPriority w:val="6"/>
    <w:unhideWhenUsed/>
    <w:qFormat/>
    <w:pPr>
      <w:ind w:left="1440" w:right="1440"/>
      <w:spacing w:after="120"/>
    </w:pPr>
  </w:style>
  <w:style w:type="character" w:styleId="1103" w:customStyle="1">
    <w:name w:val="标题 1 字符"/>
    <w:link w:val="981"/>
    <w:uiPriority w:val="0"/>
    <w:qFormat/>
    <w:rPr>
      <w:rFonts w:eastAsia="新宋体"/>
      <w:b/>
      <w:bCs/>
      <w:sz w:val="30"/>
      <w:szCs w:val="44"/>
    </w:rPr>
  </w:style>
  <w:style w:type="paragraph" w:styleId="1104" w:customStyle="1">
    <w:name w:val="页脚11"/>
    <w:basedOn w:val="770"/>
    <w:uiPriority w:val="99"/>
    <w:qFormat/>
    <w:pPr>
      <w:jc w:val="left"/>
      <w:tabs>
        <w:tab w:val="center" w:pos="4153" w:leader="none"/>
        <w:tab w:val="right" w:pos="8306" w:leader="none"/>
      </w:tabs>
    </w:pPr>
    <w:rPr>
      <w:sz w:val="18"/>
      <w:szCs w:val="18"/>
    </w:rPr>
  </w:style>
  <w:style w:type="character" w:styleId="1105" w:customStyle="1">
    <w:name w:val="页码11"/>
    <w:basedOn w:val="1106"/>
    <w:link w:val="770"/>
    <w:uiPriority w:val="0"/>
    <w:qFormat/>
    <w:rPr>
      <w:rFonts w:hint="default" w:ascii="Times New Roman" w:hAnsi="Times New Roman" w:eastAsia="宋体" w:cs="Times New Roman"/>
    </w:rPr>
  </w:style>
  <w:style w:type="character" w:styleId="1106" w:customStyle="1">
    <w:name w:val="默认段落字体11"/>
    <w:link w:val="770"/>
    <w:uiPriority w:val="1"/>
    <w:unhideWhenUsed/>
    <w:qFormat/>
  </w:style>
  <w:style w:type="paragraph" w:styleId="1107" w:customStyle="1">
    <w:name w:val="PlainText"/>
    <w:basedOn w:val="770"/>
    <w:uiPriority w:val="0"/>
    <w:qFormat/>
    <w:pPr>
      <w:jc w:val="left"/>
    </w:pPr>
    <w:rPr>
      <w:rFonts w:ascii="宋体" w:hAnsi="Courier New"/>
      <w:szCs w:val="20"/>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友信</dc:creator>
  <cp:lastModifiedBy>杨伯永</cp:lastModifiedBy>
  <cp:revision>6</cp:revision>
  <dcterms:created xsi:type="dcterms:W3CDTF">2023-10-31T07:11:00Z</dcterms:created>
  <dcterms:modified xsi:type="dcterms:W3CDTF">2024-05-09T00:59:13Z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402D26217CA6438F94ECC059981125E3_12</vt:lpwstr>
  </property>
</Properties>
</file>