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89E15">
      <w:pPr>
        <w:spacing w:line="360" w:lineRule="auto"/>
        <w:jc w:val="center"/>
        <w:rPr>
          <w:rFonts w:hint="eastAsia" w:ascii="宋体" w:hAnsi="宋体" w:eastAsia="宋体" w:cs="宋体"/>
          <w:color w:val="auto"/>
          <w:sz w:val="84"/>
          <w:szCs w:val="84"/>
          <w:highlight w:val="none"/>
        </w:rPr>
      </w:pPr>
    </w:p>
    <w:p w14:paraId="11156C2D">
      <w:pPr>
        <w:spacing w:line="360" w:lineRule="auto"/>
        <w:jc w:val="center"/>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苏州市政府采购</w:t>
      </w:r>
    </w:p>
    <w:p w14:paraId="6D067451">
      <w:pPr>
        <w:spacing w:line="360" w:lineRule="auto"/>
        <w:jc w:val="center"/>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招</w:t>
      </w:r>
      <w:r>
        <w:rPr>
          <w:rFonts w:hint="eastAsia" w:ascii="宋体" w:hAnsi="宋体" w:eastAsia="宋体" w:cs="宋体"/>
          <w:color w:val="auto"/>
          <w:sz w:val="84"/>
          <w:szCs w:val="84"/>
          <w:highlight w:val="none"/>
        </w:rPr>
        <w:t xml:space="preserve">  </w:t>
      </w:r>
      <w:r>
        <w:rPr>
          <w:rFonts w:hint="eastAsia" w:ascii="宋体" w:hAnsi="宋体" w:eastAsia="宋体" w:cs="宋体"/>
          <w:color w:val="auto"/>
          <w:sz w:val="84"/>
          <w:szCs w:val="84"/>
          <w:highlight w:val="none"/>
        </w:rPr>
        <w:t>标</w:t>
      </w:r>
      <w:r>
        <w:rPr>
          <w:rFonts w:hint="eastAsia" w:ascii="宋体" w:hAnsi="宋体" w:eastAsia="宋体" w:cs="宋体"/>
          <w:color w:val="auto"/>
          <w:sz w:val="84"/>
          <w:szCs w:val="84"/>
          <w:highlight w:val="none"/>
        </w:rPr>
        <w:t xml:space="preserve">  </w:t>
      </w:r>
      <w:r>
        <w:rPr>
          <w:rFonts w:hint="eastAsia" w:ascii="宋体" w:hAnsi="宋体" w:eastAsia="宋体" w:cs="宋体"/>
          <w:color w:val="auto"/>
          <w:sz w:val="84"/>
          <w:szCs w:val="84"/>
          <w:highlight w:val="none"/>
        </w:rPr>
        <w:t>文</w:t>
      </w:r>
      <w:r>
        <w:rPr>
          <w:rFonts w:hint="eastAsia" w:ascii="宋体" w:hAnsi="宋体" w:eastAsia="宋体" w:cs="宋体"/>
          <w:color w:val="auto"/>
          <w:sz w:val="84"/>
          <w:szCs w:val="84"/>
          <w:highlight w:val="none"/>
        </w:rPr>
        <w:t xml:space="preserve">  </w:t>
      </w:r>
      <w:r>
        <w:rPr>
          <w:rFonts w:hint="eastAsia" w:ascii="宋体" w:hAnsi="宋体" w:eastAsia="宋体" w:cs="宋体"/>
          <w:color w:val="auto"/>
          <w:sz w:val="84"/>
          <w:szCs w:val="84"/>
          <w:highlight w:val="none"/>
        </w:rPr>
        <w:t>件</w:t>
      </w:r>
    </w:p>
    <w:p w14:paraId="6429EE2B">
      <w:pPr>
        <w:spacing w:line="360" w:lineRule="auto"/>
        <w:jc w:val="center"/>
        <w:rPr>
          <w:rFonts w:hint="eastAsia" w:ascii="宋体" w:hAnsi="宋体" w:eastAsia="宋体" w:cs="宋体"/>
          <w:color w:val="auto"/>
          <w:sz w:val="24"/>
          <w:szCs w:val="24"/>
          <w:highlight w:val="none"/>
        </w:rPr>
      </w:pPr>
    </w:p>
    <w:p w14:paraId="06C529C0">
      <w:pPr>
        <w:spacing w:line="360" w:lineRule="auto"/>
        <w:jc w:val="center"/>
        <w:rPr>
          <w:rFonts w:hint="eastAsia" w:ascii="宋体" w:hAnsi="宋体" w:eastAsia="宋体" w:cs="宋体"/>
          <w:color w:val="auto"/>
          <w:sz w:val="24"/>
          <w:szCs w:val="24"/>
          <w:highlight w:val="none"/>
        </w:rPr>
      </w:pPr>
    </w:p>
    <w:p w14:paraId="6A4C7605">
      <w:pPr>
        <w:spacing w:line="360" w:lineRule="auto"/>
        <w:jc w:val="center"/>
        <w:rPr>
          <w:rFonts w:hint="eastAsia" w:ascii="宋体" w:hAnsi="宋体" w:eastAsia="宋体" w:cs="宋体"/>
          <w:color w:val="auto"/>
          <w:sz w:val="24"/>
          <w:szCs w:val="24"/>
          <w:highlight w:val="none"/>
        </w:rPr>
      </w:pPr>
    </w:p>
    <w:p w14:paraId="28D6F40C">
      <w:pPr>
        <w:spacing w:line="360" w:lineRule="auto"/>
        <w:ind w:firstLine="1560"/>
        <w:rPr>
          <w:rFonts w:hint="eastAsia" w:ascii="宋体" w:hAnsi="宋体" w:eastAsia="宋体" w:cs="宋体"/>
          <w:color w:val="auto"/>
          <w:sz w:val="24"/>
          <w:szCs w:val="24"/>
          <w:highlight w:val="none"/>
        </w:rPr>
      </w:pPr>
    </w:p>
    <w:p w14:paraId="7F6B7118">
      <w:pPr>
        <w:spacing w:line="360" w:lineRule="auto"/>
        <w:rPr>
          <w:rFonts w:hint="eastAsia" w:ascii="宋体" w:hAnsi="宋体" w:eastAsia="宋体" w:cs="宋体"/>
          <w:color w:val="auto"/>
          <w:sz w:val="32"/>
          <w:szCs w:val="32"/>
          <w:highlight w:val="none"/>
        </w:rPr>
      </w:pPr>
    </w:p>
    <w:p w14:paraId="09EA6258">
      <w:pPr>
        <w:spacing w:line="360" w:lineRule="auto"/>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采购人：</w:t>
      </w:r>
      <w:r>
        <w:rPr>
          <w:rFonts w:hint="eastAsia" w:ascii="宋体" w:hAnsi="宋体" w:eastAsia="宋体" w:cs="宋体"/>
          <w:b/>
          <w:bCs/>
          <w:color w:val="auto"/>
          <w:sz w:val="30"/>
          <w:szCs w:val="30"/>
          <w:highlight w:val="none"/>
          <w:lang w:eastAsia="zh-CN"/>
        </w:rPr>
        <w:t>苏州市昆山生态环境局</w:t>
      </w:r>
    </w:p>
    <w:p w14:paraId="1246CBF9">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项目编号：</w:t>
      </w:r>
      <w:r>
        <w:rPr>
          <w:rFonts w:hint="eastAsia" w:ascii="宋体" w:hAnsi="宋体" w:eastAsia="宋体" w:cs="宋体"/>
          <w:b/>
          <w:bCs/>
          <w:color w:val="auto"/>
          <w:sz w:val="30"/>
          <w:szCs w:val="30"/>
          <w:highlight w:val="none"/>
          <w:lang w:eastAsia="zh-CN"/>
        </w:rPr>
        <w:t>JSZC-320583-AFEJ-G2025-0001</w:t>
      </w:r>
    </w:p>
    <w:p w14:paraId="6603FF24">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项目名称：</w:t>
      </w:r>
      <w:r>
        <w:rPr>
          <w:rFonts w:hint="eastAsia" w:ascii="宋体" w:hAnsi="宋体" w:eastAsia="宋体" w:cs="宋体"/>
          <w:b/>
          <w:bCs/>
          <w:color w:val="auto"/>
          <w:sz w:val="30"/>
          <w:szCs w:val="30"/>
          <w:highlight w:val="none"/>
          <w:lang w:eastAsia="zh-CN"/>
        </w:rPr>
        <w:t>淀山湖水系生态环境问题诊断与综合评估项目</w:t>
      </w:r>
    </w:p>
    <w:p w14:paraId="739A9283">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项目类别：服务类</w:t>
      </w:r>
    </w:p>
    <w:p w14:paraId="7A346919">
      <w:pPr>
        <w:spacing w:line="360" w:lineRule="auto"/>
        <w:jc w:val="both"/>
        <w:rPr>
          <w:rFonts w:hint="eastAsia" w:ascii="宋体" w:hAnsi="宋体" w:eastAsia="宋体" w:cs="宋体"/>
          <w:b/>
          <w:bCs/>
          <w:color w:val="auto"/>
          <w:sz w:val="30"/>
          <w:szCs w:val="30"/>
          <w:highlight w:val="none"/>
        </w:rPr>
      </w:pPr>
    </w:p>
    <w:p w14:paraId="5581865E">
      <w:pPr>
        <w:pStyle w:val="189"/>
        <w:rPr>
          <w:rFonts w:hint="eastAsia" w:ascii="宋体" w:hAnsi="宋体" w:eastAsia="宋体" w:cs="宋体"/>
          <w:b/>
          <w:bCs/>
          <w:color w:val="auto"/>
          <w:sz w:val="30"/>
          <w:szCs w:val="30"/>
          <w:highlight w:val="none"/>
        </w:rPr>
      </w:pPr>
    </w:p>
    <w:p w14:paraId="6A01A92B">
      <w:pPr>
        <w:rPr>
          <w:rFonts w:hint="eastAsia" w:ascii="宋体" w:hAnsi="宋体" w:eastAsia="宋体" w:cs="宋体"/>
          <w:color w:val="auto"/>
          <w:highlight w:val="none"/>
        </w:rPr>
      </w:pPr>
    </w:p>
    <w:p w14:paraId="6E6D3BB0">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eastAsia="zh-CN"/>
        </w:rPr>
        <w:t>艾菲尔（江苏）招投标股份有限公司</w:t>
      </w:r>
    </w:p>
    <w:p w14:paraId="6C2218D2">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二零二五</w:t>
      </w:r>
      <w:r>
        <w:rPr>
          <w:rFonts w:hint="eastAsia" w:ascii="宋体" w:hAnsi="宋体" w:eastAsia="宋体" w:cs="宋体"/>
          <w:b/>
          <w:bCs/>
          <w:color w:val="auto"/>
          <w:sz w:val="30"/>
          <w:szCs w:val="30"/>
          <w:highlight w:val="none"/>
        </w:rPr>
        <w:t>年</w:t>
      </w:r>
      <w:r>
        <w:rPr>
          <w:rFonts w:hint="eastAsia" w:ascii="宋体" w:hAnsi="宋体" w:eastAsia="宋体" w:cs="宋体"/>
          <w:b/>
          <w:bCs/>
          <w:color w:val="auto"/>
          <w:sz w:val="30"/>
          <w:szCs w:val="30"/>
          <w:highlight w:val="none"/>
          <w:lang w:val="en-US" w:eastAsia="zh-CN"/>
        </w:rPr>
        <w:t>二</w:t>
      </w:r>
      <w:r>
        <w:rPr>
          <w:rFonts w:hint="eastAsia" w:ascii="宋体" w:hAnsi="宋体" w:eastAsia="宋体" w:cs="宋体"/>
          <w:b/>
          <w:bCs/>
          <w:color w:val="auto"/>
          <w:sz w:val="30"/>
          <w:szCs w:val="30"/>
          <w:highlight w:val="none"/>
        </w:rPr>
        <w:t>月</w:t>
      </w:r>
    </w:p>
    <w:p w14:paraId="2FF00883">
      <w:pPr>
        <w:rPr>
          <w:rFonts w:hint="eastAsia" w:ascii="宋体" w:hAnsi="宋体" w:eastAsia="宋体" w:cs="宋体"/>
          <w:color w:val="auto"/>
          <w:highlight w:val="none"/>
        </w:rPr>
        <w:sectPr>
          <w:headerReference r:id="rId3" w:type="default"/>
          <w:footerReference r:id="rId4" w:type="default"/>
          <w:pgSz w:w="11906" w:h="16838"/>
          <w:pgMar w:top="1440" w:right="1800" w:bottom="1440" w:left="1800" w:header="851" w:footer="992" w:gutter="0"/>
          <w:cols w:space="1701" w:num="1"/>
          <w:docGrid w:linePitch="360" w:charSpace="0"/>
        </w:sectPr>
      </w:pPr>
    </w:p>
    <w:p w14:paraId="6AA15C78">
      <w:pPr>
        <w:spacing w:line="360" w:lineRule="auto"/>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投标须知前附表</w:t>
      </w:r>
    </w:p>
    <w:p w14:paraId="4BF6D5A6">
      <w:pPr>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本表是本招标项目的具体资料，是对投标人须知的具体补充和修改，如有矛盾，应以本表为准。</w:t>
      </w:r>
    </w:p>
    <w:tbl>
      <w:tblPr>
        <w:tblStyle w:val="31"/>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93"/>
        <w:gridCol w:w="8041"/>
      </w:tblGrid>
      <w:tr w14:paraId="4ACB2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16397EAD">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8041" w:type="dxa"/>
            <w:noWrap w:val="0"/>
            <w:vAlign w:val="center"/>
          </w:tcPr>
          <w:p w14:paraId="10CEBA86">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内容</w:t>
            </w:r>
          </w:p>
        </w:tc>
      </w:tr>
      <w:tr w14:paraId="19836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0622BA3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041" w:type="dxa"/>
            <w:noWrap w:val="0"/>
            <w:vAlign w:val="center"/>
          </w:tcPr>
          <w:p w14:paraId="09D6251D">
            <w:pP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采购编号：</w:t>
            </w:r>
            <w:r>
              <w:rPr>
                <w:rFonts w:hint="eastAsia" w:ascii="宋体" w:hAnsi="宋体" w:eastAsia="宋体" w:cs="宋体"/>
                <w:b w:val="0"/>
                <w:bCs w:val="0"/>
                <w:color w:val="auto"/>
                <w:sz w:val="24"/>
                <w:szCs w:val="24"/>
                <w:highlight w:val="none"/>
                <w:lang w:eastAsia="zh-CN"/>
              </w:rPr>
              <w:t>JSZC-320583-AFEJ-G2025-0001</w:t>
            </w:r>
          </w:p>
        </w:tc>
      </w:tr>
      <w:tr w14:paraId="459A1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75742FC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041" w:type="dxa"/>
            <w:noWrap w:val="0"/>
            <w:vAlign w:val="center"/>
          </w:tcPr>
          <w:p w14:paraId="0A153732">
            <w:pP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采购内容：</w:t>
            </w:r>
            <w:r>
              <w:rPr>
                <w:rFonts w:hint="eastAsia" w:ascii="宋体" w:hAnsi="宋体" w:eastAsia="宋体" w:cs="宋体"/>
                <w:color w:val="auto"/>
                <w:sz w:val="24"/>
                <w:highlight w:val="none"/>
                <w:lang w:eastAsia="zh-CN"/>
              </w:rPr>
              <w:t>淀山湖水系生态环境问题诊断与综合评估项目</w:t>
            </w:r>
          </w:p>
        </w:tc>
      </w:tr>
      <w:tr w14:paraId="60C66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10B007B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041" w:type="dxa"/>
            <w:noWrap w:val="0"/>
            <w:vAlign w:val="center"/>
          </w:tcPr>
          <w:p w14:paraId="3D436E6B">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项目采购预算金额：</w:t>
            </w:r>
            <w:r>
              <w:rPr>
                <w:rFonts w:hint="eastAsia" w:ascii="宋体" w:hAnsi="宋体" w:eastAsia="宋体" w:cs="宋体"/>
                <w:color w:val="auto"/>
                <w:sz w:val="24"/>
                <w:szCs w:val="24"/>
                <w:highlight w:val="none"/>
                <w:lang w:val="en-US" w:eastAsia="zh-CN"/>
              </w:rPr>
              <w:t>4800000.00元</w:t>
            </w:r>
          </w:p>
        </w:tc>
      </w:tr>
      <w:tr w14:paraId="6D291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6612614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041" w:type="dxa"/>
            <w:noWrap w:val="0"/>
            <w:vAlign w:val="center"/>
          </w:tcPr>
          <w:p w14:paraId="3082A4C2">
            <w:pP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苏州市昆山生态环境局</w:t>
            </w:r>
          </w:p>
          <w:p w14:paraId="3B4C1D85">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w:t>
            </w:r>
            <w:r>
              <w:rPr>
                <w:rFonts w:hint="eastAsia" w:ascii="宋体" w:hAnsi="宋体" w:eastAsia="宋体" w:cs="宋体"/>
                <w:color w:val="auto"/>
                <w:sz w:val="24"/>
                <w:highlight w:val="none"/>
                <w:lang w:eastAsia="zh-CN"/>
              </w:rPr>
              <w:t>址：昆山市前进西路1801号</w:t>
            </w:r>
          </w:p>
          <w:p w14:paraId="18841046">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联系人：</w:t>
            </w:r>
            <w:r>
              <w:rPr>
                <w:rFonts w:hint="eastAsia" w:ascii="宋体" w:hAnsi="宋体" w:eastAsia="宋体" w:cs="宋体"/>
                <w:color w:val="auto"/>
                <w:sz w:val="24"/>
                <w:highlight w:val="none"/>
                <w:lang w:val="en-US" w:eastAsia="zh-CN"/>
              </w:rPr>
              <w:t>吴秋菊</w:t>
            </w:r>
          </w:p>
          <w:p w14:paraId="426380DF">
            <w:pPr>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联系电话：</w:t>
            </w:r>
            <w:r>
              <w:rPr>
                <w:rFonts w:hint="eastAsia" w:ascii="宋体" w:hAnsi="宋体" w:eastAsia="宋体" w:cs="宋体"/>
                <w:color w:val="auto"/>
                <w:sz w:val="24"/>
                <w:highlight w:val="none"/>
                <w:lang w:val="en-US" w:eastAsia="zh-CN"/>
              </w:rPr>
              <w:t>0512-57554423</w:t>
            </w:r>
          </w:p>
        </w:tc>
      </w:tr>
      <w:tr w14:paraId="1B148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1F36549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041" w:type="dxa"/>
            <w:noWrap w:val="0"/>
            <w:vAlign w:val="center"/>
          </w:tcPr>
          <w:p w14:paraId="29FC6F0C">
            <w:pP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lang w:eastAsia="zh-CN"/>
              </w:rPr>
              <w:t>艾菲尔（江苏）招投标股份有限公司</w:t>
            </w:r>
          </w:p>
          <w:p w14:paraId="35463C9C">
            <w:pPr>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江苏省苏州市高新区玉山路43号1幢203-2室</w:t>
            </w:r>
          </w:p>
          <w:p w14:paraId="1D632CE6">
            <w:pPr>
              <w:rPr>
                <w:rFonts w:hint="eastAsia" w:ascii="宋体" w:hAnsi="宋体" w:eastAsia="宋体" w:cs="宋体"/>
                <w:color w:val="auto"/>
                <w:sz w:val="24"/>
                <w:highlight w:val="none"/>
              </w:rPr>
            </w:pPr>
            <w:r>
              <w:rPr>
                <w:rFonts w:hint="eastAsia" w:ascii="宋体" w:hAnsi="宋体" w:eastAsia="宋体" w:cs="宋体"/>
                <w:color w:val="auto"/>
                <w:sz w:val="24"/>
                <w:highlight w:val="none"/>
              </w:rPr>
              <w:t>业务联系人：</w:t>
            </w:r>
            <w:r>
              <w:rPr>
                <w:rFonts w:hint="eastAsia" w:ascii="宋体" w:hAnsi="宋体" w:eastAsia="宋体" w:cs="宋体"/>
                <w:color w:val="auto"/>
                <w:sz w:val="24"/>
                <w:highlight w:val="none"/>
                <w:lang w:eastAsia="zh-CN"/>
              </w:rPr>
              <w:t>傅工</w:t>
            </w:r>
          </w:p>
          <w:p w14:paraId="0E1986D4">
            <w:pP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0512-65365735、18013795708</w:t>
            </w:r>
          </w:p>
        </w:tc>
      </w:tr>
      <w:tr w14:paraId="046BF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11A4A27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041" w:type="dxa"/>
            <w:noWrap w:val="0"/>
            <w:vAlign w:val="center"/>
          </w:tcPr>
          <w:p w14:paraId="58C2E2E4">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投标有效期：</w:t>
            </w:r>
            <w:r>
              <w:rPr>
                <w:rFonts w:hint="eastAsia" w:ascii="宋体" w:hAnsi="宋体" w:eastAsia="宋体" w:cs="宋体"/>
                <w:color w:val="auto"/>
                <w:sz w:val="24"/>
                <w:highlight w:val="none"/>
                <w:lang w:val="zh-CN"/>
              </w:rPr>
              <w:t>提交投标文件截止之日起六十日历日</w:t>
            </w:r>
          </w:p>
        </w:tc>
      </w:tr>
      <w:tr w14:paraId="2866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495C02D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041" w:type="dxa"/>
            <w:noWrap w:val="0"/>
            <w:vAlign w:val="center"/>
          </w:tcPr>
          <w:p w14:paraId="57AB0F5F">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网上报名截止时间：202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17：00分</w:t>
            </w:r>
          </w:p>
        </w:tc>
      </w:tr>
      <w:tr w14:paraId="0135C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20FE955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041" w:type="dxa"/>
            <w:noWrap w:val="0"/>
            <w:vAlign w:val="center"/>
          </w:tcPr>
          <w:p w14:paraId="2408215F">
            <w:pP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投标文件份数：</w:t>
            </w:r>
            <w:r>
              <w:rPr>
                <w:rFonts w:hint="eastAsia" w:ascii="宋体" w:hAnsi="宋体" w:eastAsia="宋体" w:cs="宋体"/>
                <w:color w:val="auto"/>
                <w:sz w:val="24"/>
                <w:highlight w:val="none"/>
                <w:lang w:eastAsia="zh-CN"/>
              </w:rPr>
              <w:t>中标后由中标单位提供</w:t>
            </w:r>
            <w:r>
              <w:rPr>
                <w:rFonts w:hint="eastAsia" w:ascii="宋体" w:hAnsi="宋体" w:eastAsia="宋体" w:cs="宋体"/>
                <w:color w:val="auto"/>
                <w:sz w:val="24"/>
                <w:highlight w:val="none"/>
                <w:lang w:val="en-US" w:eastAsia="zh-CN"/>
              </w:rPr>
              <w:t>2份纸质投标文件。</w:t>
            </w:r>
          </w:p>
        </w:tc>
      </w:tr>
      <w:tr w14:paraId="3F6DA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24D25A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8041" w:type="dxa"/>
            <w:noWrap w:val="0"/>
            <w:vAlign w:val="center"/>
          </w:tcPr>
          <w:p w14:paraId="7F8BBDAC">
            <w:pP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投标时间：</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eastAsia="zh-CN"/>
              </w:rPr>
              <w:t>下</w:t>
            </w:r>
            <w:r>
              <w:rPr>
                <w:rFonts w:hint="eastAsia" w:ascii="宋体" w:hAnsi="宋体" w:eastAsia="宋体" w:cs="宋体"/>
                <w:color w:val="auto"/>
                <w:sz w:val="24"/>
                <w:highlight w:val="none"/>
              </w:rPr>
              <w:t>午</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：30分</w:t>
            </w:r>
          </w:p>
        </w:tc>
      </w:tr>
      <w:tr w14:paraId="2B792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4C04BAA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041" w:type="dxa"/>
            <w:noWrap w:val="0"/>
            <w:vAlign w:val="center"/>
          </w:tcPr>
          <w:p w14:paraId="1D16944D">
            <w:pP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投标文件递交地点：</w:t>
            </w:r>
            <w:r>
              <w:rPr>
                <w:rFonts w:hint="eastAsia" w:ascii="宋体" w:hAnsi="宋体" w:eastAsia="宋体" w:cs="宋体"/>
                <w:color w:val="auto"/>
                <w:sz w:val="24"/>
                <w:highlight w:val="none"/>
              </w:rPr>
              <w:t>“苏采云”系统（网址：http://jszfcg.jsczt.cn/）。响应文件网上提交，不需要现场参加采购活动，无需提供纸质响应文件。</w:t>
            </w:r>
          </w:p>
        </w:tc>
      </w:tr>
      <w:tr w14:paraId="1B5C2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41FD4D67">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8041" w:type="dxa"/>
            <w:noWrap w:val="0"/>
            <w:vAlign w:val="center"/>
          </w:tcPr>
          <w:p w14:paraId="6AD27BD3">
            <w:pPr>
              <w:rPr>
                <w:rFonts w:hint="eastAsia" w:ascii="宋体" w:hAnsi="宋体" w:eastAsia="宋体" w:cs="宋体"/>
                <w:color w:val="auto"/>
                <w:sz w:val="24"/>
                <w:highlight w:val="none"/>
              </w:rPr>
            </w:pPr>
            <w:r>
              <w:rPr>
                <w:rFonts w:hint="eastAsia" w:ascii="宋体" w:hAnsi="宋体" w:eastAsia="宋体" w:cs="宋体"/>
                <w:color w:val="auto"/>
                <w:sz w:val="24"/>
                <w:highlight w:val="none"/>
              </w:rPr>
              <w:t>收费标准：中标服务费的收取按差额定率累进法计算</w:t>
            </w:r>
            <w:r>
              <w:rPr>
                <w:rFonts w:hint="eastAsia" w:ascii="宋体" w:hAnsi="宋体" w:eastAsia="宋体" w:cs="宋体"/>
                <w:color w:val="auto"/>
                <w:sz w:val="24"/>
                <w:highlight w:val="none"/>
              </w:rPr>
              <w:t>：</w:t>
            </w:r>
          </w:p>
          <w:p w14:paraId="597DB84C">
            <w:pPr>
              <w:rPr>
                <w:rFonts w:hint="eastAsia" w:ascii="宋体" w:hAnsi="宋体" w:eastAsia="宋体" w:cs="宋体"/>
                <w:color w:val="auto"/>
                <w:sz w:val="24"/>
                <w:highlight w:val="none"/>
              </w:rPr>
            </w:pPr>
            <w:r>
              <w:rPr>
                <w:rFonts w:hint="eastAsia" w:ascii="宋体" w:hAnsi="宋体" w:eastAsia="宋体" w:cs="宋体"/>
                <w:color w:val="auto"/>
                <w:sz w:val="24"/>
                <w:highlight w:val="none"/>
              </w:rPr>
              <w:t>预算金额100万以下费率为预算金额1.5%；</w:t>
            </w:r>
          </w:p>
          <w:p w14:paraId="503A6F6E">
            <w:pPr>
              <w:rPr>
                <w:rFonts w:hint="eastAsia" w:ascii="宋体" w:hAnsi="宋体" w:eastAsia="宋体" w:cs="宋体"/>
                <w:color w:val="auto"/>
                <w:sz w:val="24"/>
                <w:highlight w:val="none"/>
              </w:rPr>
            </w:pPr>
            <w:r>
              <w:rPr>
                <w:rFonts w:hint="eastAsia" w:ascii="宋体" w:hAnsi="宋体" w:eastAsia="宋体" w:cs="宋体"/>
                <w:color w:val="auto"/>
                <w:sz w:val="24"/>
                <w:highlight w:val="none"/>
              </w:rPr>
              <w:t>预算金额100－500万费率为预算金额的1.1%</w:t>
            </w:r>
          </w:p>
          <w:p w14:paraId="37C64462">
            <w:pPr>
              <w:rPr>
                <w:rFonts w:hint="eastAsia" w:ascii="宋体" w:hAnsi="宋体" w:eastAsia="宋体" w:cs="宋体"/>
                <w:color w:val="auto"/>
                <w:sz w:val="24"/>
                <w:highlight w:val="none"/>
              </w:rPr>
            </w:pPr>
            <w:r>
              <w:rPr>
                <w:rFonts w:hint="eastAsia" w:ascii="宋体" w:hAnsi="宋体" w:eastAsia="宋体" w:cs="宋体"/>
                <w:color w:val="auto"/>
                <w:sz w:val="24"/>
                <w:highlight w:val="none"/>
              </w:rPr>
              <w:t>预算金额500-1000万费率为预算金额的0.8%</w:t>
            </w:r>
          </w:p>
          <w:p w14:paraId="42D769AB">
            <w:pPr>
              <w:rPr>
                <w:rFonts w:hint="eastAsia" w:ascii="宋体" w:hAnsi="宋体" w:eastAsia="宋体" w:cs="宋体"/>
                <w:color w:val="auto"/>
                <w:sz w:val="24"/>
                <w:highlight w:val="none"/>
              </w:rPr>
            </w:pPr>
            <w:r>
              <w:rPr>
                <w:rFonts w:hint="eastAsia" w:ascii="宋体" w:hAnsi="宋体" w:eastAsia="宋体" w:cs="宋体"/>
                <w:color w:val="auto"/>
                <w:sz w:val="24"/>
                <w:highlight w:val="none"/>
              </w:rPr>
              <w:t>预算金额1000-5000万费率为预算金额的0.5%</w:t>
            </w:r>
          </w:p>
          <w:p w14:paraId="08CC97D4">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注：中标服务费的收取按差额定率累进法计算，若预算金额为150万，则中标服务费＝100万×1.5%＋（150万－100万）×1.1%</w:t>
            </w:r>
          </w:p>
          <w:p w14:paraId="4F5C1A02">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服务费交纳帐户：</w:t>
            </w:r>
            <w:r>
              <w:rPr>
                <w:rFonts w:hint="eastAsia" w:ascii="宋体" w:hAnsi="宋体" w:eastAsia="宋体" w:cs="宋体"/>
                <w:color w:val="auto"/>
                <w:sz w:val="24"/>
                <w:highlight w:val="none"/>
                <w:lang w:eastAsia="zh-CN"/>
              </w:rPr>
              <w:t>艾菲尔（江苏）招投标股份有限公司</w:t>
            </w:r>
          </w:p>
          <w:p w14:paraId="0983C23C">
            <w:pPr>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号：10548401040029877</w:t>
            </w:r>
          </w:p>
          <w:p w14:paraId="4A9D12ED">
            <w:pP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开户行：中国农业银行股份有限公司苏州商业街支行</w:t>
            </w:r>
          </w:p>
        </w:tc>
      </w:tr>
      <w:tr w14:paraId="37330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2ADBC02C">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8041" w:type="dxa"/>
            <w:noWrap w:val="0"/>
            <w:vAlign w:val="center"/>
          </w:tcPr>
          <w:p w14:paraId="1E54F0F4">
            <w:pP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投标保证金：无</w:t>
            </w:r>
          </w:p>
        </w:tc>
      </w:tr>
      <w:tr w14:paraId="4E091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0860AD8E">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8041" w:type="dxa"/>
            <w:noWrap w:val="0"/>
            <w:vAlign w:val="center"/>
          </w:tcPr>
          <w:p w14:paraId="1160EDC5">
            <w:pP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评标标准：详见第六章</w:t>
            </w:r>
          </w:p>
        </w:tc>
      </w:tr>
      <w:tr w14:paraId="752E1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39571E53">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8041" w:type="dxa"/>
            <w:noWrap w:val="0"/>
            <w:vAlign w:val="center"/>
          </w:tcPr>
          <w:p w14:paraId="5181D155">
            <w:pP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评标方法：详见第六章</w:t>
            </w:r>
          </w:p>
        </w:tc>
      </w:tr>
      <w:tr w14:paraId="163AD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2" w:hRule="atLeast"/>
          <w:jc w:val="center"/>
        </w:trPr>
        <w:tc>
          <w:tcPr>
            <w:tcW w:w="993" w:type="dxa"/>
            <w:noWrap w:val="0"/>
            <w:vAlign w:val="center"/>
          </w:tcPr>
          <w:p w14:paraId="12343031">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8041" w:type="dxa"/>
            <w:noWrap w:val="0"/>
            <w:vAlign w:val="center"/>
          </w:tcPr>
          <w:p w14:paraId="5D5565C6">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落实政府采购政策需满足的资格要求：</w:t>
            </w:r>
            <w:r>
              <w:rPr>
                <w:rFonts w:hint="eastAsia" w:ascii="宋体" w:hAnsi="宋体" w:eastAsia="宋体" w:cs="宋体"/>
                <w:color w:val="auto"/>
                <w:sz w:val="24"/>
                <w:highlight w:val="none"/>
                <w:lang w:val="en-US" w:eastAsia="zh-CN"/>
              </w:rPr>
              <w:t>无</w:t>
            </w:r>
          </w:p>
        </w:tc>
      </w:tr>
      <w:tr w14:paraId="3FAD3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93" w:type="dxa"/>
            <w:noWrap w:val="0"/>
            <w:vAlign w:val="center"/>
          </w:tcPr>
          <w:p w14:paraId="131FAC5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6</w:t>
            </w:r>
          </w:p>
        </w:tc>
        <w:tc>
          <w:tcPr>
            <w:tcW w:w="8041" w:type="dxa"/>
            <w:noWrap w:val="0"/>
            <w:vAlign w:val="center"/>
          </w:tcPr>
          <w:p w14:paraId="76C9A371">
            <w:pPr>
              <w:rPr>
                <w:rFonts w:hint="eastAsia" w:ascii="宋体" w:hAnsi="宋体" w:eastAsia="宋体" w:cs="宋体"/>
                <w:color w:val="auto"/>
                <w:sz w:val="24"/>
                <w:highlight w:val="none"/>
              </w:rPr>
            </w:pPr>
            <w:r>
              <w:rPr>
                <w:rFonts w:hint="eastAsia" w:ascii="宋体" w:hAnsi="宋体" w:eastAsia="宋体" w:cs="宋体"/>
                <w:color w:val="auto"/>
                <w:sz w:val="24"/>
                <w:highlight w:val="none"/>
              </w:rPr>
              <w:t>导致无效标因素：</w:t>
            </w:r>
          </w:p>
          <w:p w14:paraId="0C04A88A">
            <w:pP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投标文件属下列情况之一的，在资格性、符合性检查时按照无效投标处理：</w:t>
            </w:r>
          </w:p>
          <w:p w14:paraId="06F84EFC">
            <w:pP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一</w:t>
            </w:r>
            <w:r>
              <w:rPr>
                <w:rFonts w:hint="eastAsia" w:ascii="宋体" w:hAnsi="宋体" w:eastAsia="宋体" w:cs="宋体"/>
                <w:color w:val="auto"/>
                <w:sz w:val="24"/>
                <w:highlight w:val="none"/>
              </w:rPr>
              <w:t>）未按照招标文件规定要求</w:t>
            </w:r>
            <w:r>
              <w:rPr>
                <w:rFonts w:hint="eastAsia" w:ascii="宋体" w:hAnsi="宋体" w:eastAsia="宋体" w:cs="宋体"/>
                <w:color w:val="auto"/>
                <w:sz w:val="24"/>
                <w:highlight w:val="none"/>
                <w:lang w:eastAsia="zh-CN"/>
              </w:rPr>
              <w:t>制作电子投标文件</w:t>
            </w:r>
            <w:r>
              <w:rPr>
                <w:rFonts w:hint="eastAsia" w:ascii="宋体" w:hAnsi="宋体" w:eastAsia="宋体" w:cs="宋体"/>
                <w:color w:val="auto"/>
                <w:sz w:val="24"/>
                <w:highlight w:val="none"/>
              </w:rPr>
              <w:t>；</w:t>
            </w:r>
          </w:p>
          <w:p w14:paraId="586D7E60">
            <w:pP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）不具备招标文件中规定资格要求的；</w:t>
            </w:r>
          </w:p>
          <w:p w14:paraId="78CB2246">
            <w:pP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三</w:t>
            </w:r>
            <w:r>
              <w:rPr>
                <w:rFonts w:hint="eastAsia" w:ascii="宋体" w:hAnsi="宋体" w:eastAsia="宋体" w:cs="宋体"/>
                <w:color w:val="auto"/>
                <w:sz w:val="24"/>
                <w:highlight w:val="none"/>
              </w:rPr>
              <w:t>）不符合法律、法规和招标文件中规定的其他实质性要求的；</w:t>
            </w:r>
          </w:p>
          <w:p w14:paraId="75413CD4">
            <w:pP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四</w:t>
            </w:r>
            <w:r>
              <w:rPr>
                <w:rFonts w:hint="eastAsia" w:ascii="宋体" w:hAnsi="宋体" w:eastAsia="宋体" w:cs="宋体"/>
                <w:color w:val="auto"/>
                <w:sz w:val="24"/>
                <w:highlight w:val="none"/>
              </w:rPr>
              <w:t>）其它在招标文件中已明确为无效标的。</w:t>
            </w:r>
          </w:p>
        </w:tc>
      </w:tr>
    </w:tbl>
    <w:p w14:paraId="59DEA37D">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4A4E415">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目</w:t>
      </w: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32"/>
          <w:szCs w:val="32"/>
          <w:highlight w:val="none"/>
        </w:rPr>
        <w:t>录</w:t>
      </w:r>
    </w:p>
    <w:p w14:paraId="30B703F5">
      <w:pPr>
        <w:spacing w:line="360" w:lineRule="auto"/>
        <w:rPr>
          <w:rFonts w:hint="eastAsia" w:ascii="宋体" w:hAnsi="宋体" w:eastAsia="宋体" w:cs="宋体"/>
          <w:color w:val="auto"/>
          <w:sz w:val="32"/>
          <w:szCs w:val="32"/>
          <w:highlight w:val="none"/>
        </w:rPr>
      </w:pPr>
    </w:p>
    <w:p w14:paraId="7D31DF42">
      <w:pPr>
        <w:widowControl/>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第一章</w:t>
      </w:r>
      <w:r>
        <w:rPr>
          <w:rFonts w:hint="eastAsia" w:ascii="宋体" w:hAnsi="宋体" w:eastAsia="宋体" w:cs="宋体"/>
          <w:color w:val="auto"/>
          <w:sz w:val="28"/>
          <w:szCs w:val="28"/>
          <w:highlight w:val="none"/>
          <w:lang w:val="en-US" w:eastAsia="zh-CN"/>
        </w:rPr>
        <w:t xml:space="preserve"> 投标邀请函</w:t>
      </w:r>
      <w:r>
        <w:rPr>
          <w:rFonts w:hint="eastAsia" w:ascii="宋体" w:hAnsi="宋体" w:eastAsia="宋体" w:cs="宋体"/>
          <w:color w:val="auto"/>
          <w:sz w:val="28"/>
          <w:szCs w:val="28"/>
          <w:highlight w:val="none"/>
        </w:rPr>
        <w:t>........................................</w:t>
      </w:r>
    </w:p>
    <w:p w14:paraId="5380FBE9">
      <w:pPr>
        <w:widowControl/>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投标人须知</w:t>
      </w:r>
      <w:r>
        <w:rPr>
          <w:rFonts w:hint="eastAsia" w:ascii="宋体" w:hAnsi="宋体" w:eastAsia="宋体" w:cs="宋体"/>
          <w:color w:val="auto"/>
          <w:sz w:val="28"/>
          <w:szCs w:val="28"/>
          <w:highlight w:val="none"/>
        </w:rPr>
        <w:t>........................................</w:t>
      </w:r>
    </w:p>
    <w:p w14:paraId="663386CA">
      <w:pPr>
        <w:widowControl/>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投标文件格式</w:t>
      </w:r>
      <w:r>
        <w:rPr>
          <w:rFonts w:hint="eastAsia" w:ascii="宋体" w:hAnsi="宋体" w:eastAsia="宋体" w:cs="宋体"/>
          <w:color w:val="auto"/>
          <w:sz w:val="28"/>
          <w:szCs w:val="28"/>
          <w:highlight w:val="none"/>
        </w:rPr>
        <w:t>......................................</w:t>
      </w:r>
    </w:p>
    <w:p w14:paraId="188CA22B">
      <w:pPr>
        <w:widowControl/>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第四章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采购需求</w:t>
      </w:r>
      <w:r>
        <w:rPr>
          <w:rFonts w:hint="eastAsia" w:ascii="宋体" w:hAnsi="宋体" w:eastAsia="宋体" w:cs="宋体"/>
          <w:color w:val="auto"/>
          <w:sz w:val="28"/>
          <w:szCs w:val="28"/>
          <w:highlight w:val="none"/>
        </w:rPr>
        <w:t>..........................................</w:t>
      </w:r>
    </w:p>
    <w:p w14:paraId="378F941F">
      <w:pPr>
        <w:widowControl/>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第五章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主要</w:t>
      </w:r>
      <w:r>
        <w:rPr>
          <w:rFonts w:hint="eastAsia" w:ascii="宋体" w:hAnsi="宋体" w:eastAsia="宋体" w:cs="宋体"/>
          <w:color w:val="auto"/>
          <w:sz w:val="28"/>
          <w:szCs w:val="28"/>
          <w:highlight w:val="none"/>
        </w:rPr>
        <w:t>条款</w:t>
      </w:r>
      <w:r>
        <w:rPr>
          <w:rFonts w:hint="eastAsia" w:ascii="宋体" w:hAnsi="宋体" w:eastAsia="宋体" w:cs="宋体"/>
          <w:color w:val="auto"/>
          <w:sz w:val="28"/>
          <w:szCs w:val="28"/>
          <w:highlight w:val="none"/>
        </w:rPr>
        <w:t>......................................</w:t>
      </w:r>
    </w:p>
    <w:p w14:paraId="04147610">
      <w:pPr>
        <w:widowControl/>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第六章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评分方法和</w:t>
      </w:r>
      <w:r>
        <w:rPr>
          <w:rFonts w:hint="eastAsia" w:ascii="宋体" w:hAnsi="宋体" w:eastAsia="宋体" w:cs="宋体"/>
          <w:color w:val="auto"/>
          <w:sz w:val="28"/>
          <w:szCs w:val="28"/>
          <w:highlight w:val="none"/>
        </w:rPr>
        <w:t>评分标准</w:t>
      </w:r>
      <w:r>
        <w:rPr>
          <w:rFonts w:hint="eastAsia" w:ascii="宋体" w:hAnsi="宋体" w:eastAsia="宋体" w:cs="宋体"/>
          <w:color w:val="auto"/>
          <w:sz w:val="28"/>
          <w:szCs w:val="28"/>
          <w:highlight w:val="none"/>
        </w:rPr>
        <w:t>................................</w:t>
      </w:r>
    </w:p>
    <w:p w14:paraId="5F400D08">
      <w:pPr>
        <w:rPr>
          <w:rFonts w:hint="eastAsia" w:ascii="宋体" w:hAnsi="宋体" w:eastAsia="宋体" w:cs="宋体"/>
          <w:color w:val="auto"/>
          <w:highlight w:val="none"/>
        </w:rPr>
      </w:pPr>
    </w:p>
    <w:p w14:paraId="6C390A69">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A09ED02">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第一章</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投标邀请函</w:t>
      </w:r>
    </w:p>
    <w:p w14:paraId="5340AD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31"/>
        <w:tblW w:w="8277"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7"/>
      </w:tblGrid>
      <w:tr w14:paraId="1FCC4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77" w:type="dxa"/>
            <w:noWrap w:val="0"/>
            <w:vAlign w:val="top"/>
          </w:tcPr>
          <w:p w14:paraId="092C8FB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项目概况</w:t>
            </w:r>
          </w:p>
          <w:p w14:paraId="3F6D437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淀山湖水系生态环境问题诊断与综合评估项目</w:t>
            </w:r>
            <w:r>
              <w:rPr>
                <w:rFonts w:hint="eastAsia" w:ascii="宋体" w:hAnsi="宋体" w:eastAsia="宋体" w:cs="宋体"/>
                <w:color w:val="auto"/>
                <w:sz w:val="24"/>
                <w:szCs w:val="24"/>
                <w:highlight w:val="none"/>
              </w:rPr>
              <w:t>采购项目的潜在供应商应在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苏采云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rPr>
              <w:t>2025年</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日13点30分</w:t>
            </w:r>
            <w:r>
              <w:rPr>
                <w:rFonts w:hint="eastAsia" w:ascii="宋体" w:hAnsi="宋体" w:eastAsia="宋体" w:cs="宋体"/>
                <w:color w:val="auto"/>
                <w:sz w:val="24"/>
                <w:szCs w:val="24"/>
                <w:highlight w:val="none"/>
              </w:rPr>
              <w:t>（北京时间）前提交</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w:t>
            </w:r>
          </w:p>
        </w:tc>
      </w:tr>
    </w:tbl>
    <w:p w14:paraId="55E164F3">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168857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JSZC-320583-AFEJ-G2025-0001</w:t>
      </w:r>
      <w:r>
        <w:rPr>
          <w:rFonts w:hint="eastAsia" w:ascii="宋体" w:hAnsi="宋体" w:eastAsia="宋体" w:cs="宋体"/>
          <w:color w:val="auto"/>
          <w:sz w:val="24"/>
          <w:szCs w:val="24"/>
          <w:highlight w:val="none"/>
        </w:rPr>
        <w:t>。</w:t>
      </w:r>
    </w:p>
    <w:p w14:paraId="57E79D6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淀山湖水系生态环境问题诊断与综合评估项目</w:t>
      </w:r>
      <w:r>
        <w:rPr>
          <w:rFonts w:hint="eastAsia" w:ascii="宋体" w:hAnsi="宋体" w:eastAsia="宋体" w:cs="宋体"/>
          <w:color w:val="auto"/>
          <w:sz w:val="24"/>
          <w:szCs w:val="24"/>
          <w:highlight w:val="none"/>
        </w:rPr>
        <w:t>。</w:t>
      </w:r>
    </w:p>
    <w:p w14:paraId="34028C0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采购预算</w:t>
      </w:r>
      <w:r>
        <w:rPr>
          <w:rFonts w:hint="eastAsia" w:ascii="宋体" w:hAnsi="宋体" w:eastAsia="宋体" w:cs="宋体"/>
          <w:color w:val="auto"/>
          <w:sz w:val="24"/>
          <w:szCs w:val="24"/>
          <w:highlight w:val="none"/>
          <w:lang w:eastAsia="zh-CN"/>
        </w:rPr>
        <w:t>人民币（大写）：肆佰</w:t>
      </w:r>
      <w:r>
        <w:rPr>
          <w:rFonts w:hint="eastAsia" w:ascii="宋体" w:hAnsi="宋体" w:eastAsia="宋体" w:cs="宋体"/>
          <w:color w:val="auto"/>
          <w:sz w:val="24"/>
          <w:szCs w:val="24"/>
          <w:highlight w:val="none"/>
          <w:lang w:val="en-US" w:eastAsia="zh-CN"/>
        </w:rPr>
        <w:t>捌</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4800000.00</w:t>
      </w:r>
      <w:r>
        <w:rPr>
          <w:rFonts w:hint="eastAsia" w:ascii="宋体" w:hAnsi="宋体" w:eastAsia="宋体" w:cs="宋体"/>
          <w:color w:val="auto"/>
          <w:sz w:val="24"/>
          <w:szCs w:val="24"/>
          <w:highlight w:val="none"/>
          <w:lang w:eastAsia="zh-CN"/>
        </w:rPr>
        <w:t>）</w:t>
      </w:r>
    </w:p>
    <w:p w14:paraId="45DF7DD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需求：以淀山湖水系（含淀山湖及主要出入湖河流）为重点，开展流域区域性系统调查研究，重点围绕氮磷等污染物源解析，分析淀山湖流域水系水质时空变化特征，从污染源、污染迁移过程和水质指标响应方面对水环境问题和污染发生、迁移过程进行跟踪式诊断，识别水环境改善关键要素，为系统开展淀山湖治理和生态保护修复，提升淀山湖水质提供技术支撑。</w:t>
      </w:r>
    </w:p>
    <w:p w14:paraId="6E8B4D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合同签订之日起至完成一个周期年的调查评估、项目成果通过专家评审止，全面完成全部工作</w:t>
      </w:r>
      <w:r>
        <w:rPr>
          <w:rFonts w:hint="eastAsia" w:ascii="宋体" w:hAnsi="宋体" w:eastAsia="宋体" w:cs="宋体"/>
          <w:color w:val="auto"/>
          <w:sz w:val="24"/>
          <w:szCs w:val="24"/>
          <w:highlight w:val="none"/>
        </w:rPr>
        <w:t>。</w:t>
      </w:r>
    </w:p>
    <w:p w14:paraId="4ACB721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w:t>
      </w:r>
      <w:r>
        <w:rPr>
          <w:rFonts w:hint="eastAsia" w:ascii="宋体" w:hAnsi="宋体" w:eastAsia="宋体" w:cs="宋体"/>
          <w:color w:val="auto"/>
          <w:sz w:val="24"/>
          <w:szCs w:val="24"/>
          <w:highlight w:val="none"/>
          <w:lang w:val="en-US" w:eastAsia="zh-CN"/>
        </w:rPr>
        <w:t>目</w:t>
      </w:r>
      <w:r>
        <w:rPr>
          <w:rFonts w:hint="eastAsia" w:ascii="宋体" w:hAnsi="宋体" w:eastAsia="宋体" w:cs="宋体"/>
          <w:color w:val="auto"/>
          <w:sz w:val="24"/>
          <w:szCs w:val="24"/>
          <w:highlight w:val="none"/>
        </w:rPr>
        <w:t>不接受联合体投标。</w:t>
      </w:r>
    </w:p>
    <w:p w14:paraId="18950A3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3B06200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1、满足《中华人民共和国政府采购法》第二十二条规定：</w:t>
      </w:r>
    </w:p>
    <w:p w14:paraId="04277C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无</w:t>
      </w:r>
      <w:r>
        <w:rPr>
          <w:rFonts w:hint="eastAsia" w:ascii="宋体" w:hAnsi="宋体" w:eastAsia="宋体" w:cs="宋体"/>
          <w:color w:val="auto"/>
          <w:sz w:val="24"/>
          <w:szCs w:val="24"/>
          <w:highlight w:val="none"/>
        </w:rPr>
        <w:t>。</w:t>
      </w:r>
    </w:p>
    <w:p w14:paraId="5AB5FBA2">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3、本项目的特定资格要求：</w:t>
      </w:r>
    </w:p>
    <w:p w14:paraId="315F9EF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（1）未被“信用中国”网站（WWW.creditchina.gov.cn）或“中国政府采购网”网站（www.ccgp.gov.cn）列入失信被执行人、重大税收违法案件当事人名单、政府采购严重失信行为记录名单；</w:t>
      </w:r>
    </w:p>
    <w:p w14:paraId="183053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）单位负责人为同一人或者存在直接控股、管理关系的不同供应商（包含法定代表人为同一个人的两个及两个以上法人，母公司、全资子公司及其控股公司），不得参加同一合同项下的政府采购活动。</w:t>
      </w:r>
    </w:p>
    <w:p w14:paraId="4B8F5548">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 </w:t>
      </w:r>
    </w:p>
    <w:p w14:paraId="0F380C9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1、报名时间：</w:t>
      </w:r>
      <w:r>
        <w:rPr>
          <w:rFonts w:hint="eastAsia" w:ascii="宋体" w:hAnsi="宋体" w:eastAsia="宋体" w:cs="宋体"/>
          <w:bCs/>
          <w:color w:val="auto"/>
          <w:sz w:val="24"/>
          <w:szCs w:val="24"/>
          <w:highlight w:val="none"/>
        </w:rPr>
        <w:t>自公告发布之日起5个工作日</w:t>
      </w:r>
    </w:p>
    <w:p w14:paraId="4584D45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2、文件</w:t>
      </w:r>
      <w:r>
        <w:rPr>
          <w:rFonts w:hint="eastAsia" w:ascii="宋体" w:hAnsi="宋体" w:eastAsia="宋体" w:cs="宋体"/>
          <w:color w:val="auto"/>
          <w:sz w:val="24"/>
          <w:szCs w:val="24"/>
          <w:highlight w:val="none"/>
        </w:rPr>
        <w:t>获取方式及</w:t>
      </w:r>
      <w:r>
        <w:rPr>
          <w:rFonts w:hint="eastAsia" w:ascii="宋体" w:hAnsi="宋体" w:eastAsia="宋体" w:cs="宋体"/>
          <w:color w:val="auto"/>
          <w:sz w:val="24"/>
          <w:szCs w:val="24"/>
          <w:highlight w:val="none"/>
        </w:rPr>
        <w:t>售价：</w:t>
      </w:r>
    </w:p>
    <w:p w14:paraId="431A83E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1文件获取方式：</w:t>
      </w:r>
      <w:r>
        <w:rPr>
          <w:rFonts w:hint="eastAsia" w:ascii="宋体" w:hAnsi="宋体" w:eastAsia="宋体" w:cs="宋体"/>
          <w:color w:val="auto"/>
          <w:sz w:val="24"/>
          <w:szCs w:val="24"/>
          <w:highlight w:val="none"/>
        </w:rPr>
        <w:t>江苏省政府采购一体化平台“苏采云”系统自行免费下载</w:t>
      </w:r>
      <w:r>
        <w:rPr>
          <w:rFonts w:hint="eastAsia" w:ascii="宋体" w:hAnsi="宋体" w:eastAsia="宋体" w:cs="宋体"/>
          <w:color w:val="auto"/>
          <w:sz w:val="24"/>
          <w:szCs w:val="24"/>
          <w:highlight w:val="none"/>
        </w:rPr>
        <w:t>。</w:t>
      </w:r>
    </w:p>
    <w:p w14:paraId="6DE425F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rPr>
        <w:t>文件售价：</w:t>
      </w:r>
      <w:r>
        <w:rPr>
          <w:rFonts w:hint="eastAsia" w:ascii="宋体" w:hAnsi="宋体" w:eastAsia="宋体" w:cs="宋体"/>
          <w:color w:val="auto"/>
          <w:sz w:val="24"/>
          <w:szCs w:val="24"/>
          <w:highlight w:val="none"/>
        </w:rPr>
        <w:t>免费</w:t>
      </w:r>
    </w:p>
    <w:p w14:paraId="4C14272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报名方式（网上报名）</w:t>
      </w:r>
    </w:p>
    <w:p w14:paraId="16C4838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3.1申领CA证书：</w:t>
      </w:r>
    </w:p>
    <w:p w14:paraId="39D884A9">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苏州现场办理地址：苏州市姑苏区平泷路251号政务服务中心4楼公共交易中心窗口，咨询电话：0512-69820834。</w:t>
      </w:r>
    </w:p>
    <w:p w14:paraId="044A8C2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3.2登录</w:t>
      </w:r>
      <w:r>
        <w:rPr>
          <w:rFonts w:hint="eastAsia" w:ascii="宋体" w:hAnsi="宋体" w:eastAsia="宋体" w:cs="宋体"/>
          <w:color w:val="auto"/>
          <w:sz w:val="24"/>
          <w:szCs w:val="24"/>
          <w:highlight w:val="none"/>
        </w:rPr>
        <w:t>报名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51B09AC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4、制作、提交电子响应文件：</w:t>
      </w:r>
    </w:p>
    <w:p w14:paraId="1DC491B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t>本项目采用电子招投标方式，</w:t>
      </w:r>
      <w:r>
        <w:rPr>
          <w:rFonts w:hint="eastAsia" w:ascii="宋体" w:hAnsi="宋体" w:eastAsia="宋体" w:cs="宋体"/>
          <w:color w:val="auto"/>
          <w:sz w:val="24"/>
          <w:szCs w:val="24"/>
          <w:highlight w:val="none"/>
        </w:rPr>
        <w:t>请</w:t>
      </w:r>
      <w:r>
        <w:rPr>
          <w:rFonts w:hint="eastAsia" w:ascii="宋体" w:hAnsi="宋体" w:eastAsia="宋体" w:cs="宋体"/>
          <w:color w:val="auto"/>
          <w:sz w:val="24"/>
          <w:szCs w:val="24"/>
          <w:highlight w:val="none"/>
        </w:rPr>
        <w:t>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highlight w:val="none"/>
        </w:rPr>
        <w:fldChar w:fldCharType="separate"/>
      </w:r>
      <w:r>
        <w:rPr>
          <w:rStyle w:val="227"/>
          <w:rFonts w:hint="eastAsia" w:ascii="宋体" w:hAnsi="宋体" w:eastAsia="宋体" w:cs="宋体"/>
          <w:color w:val="auto"/>
          <w:sz w:val="24"/>
          <w:szCs w:val="24"/>
          <w:highlight w:val="none"/>
        </w:rPr>
        <w:t>https://czju.suzhou.gov.cn/zfcg/html/content/20231220161910031.shtml</w:t>
      </w:r>
      <w:r>
        <w:rPr>
          <w:rStyle w:val="227"/>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）。请供应商按照《苏采云系统供应商操作手册》、采购文件要求进行制作、上传电子响应文件，</w:t>
      </w:r>
      <w:r>
        <w:rPr>
          <w:rFonts w:hint="eastAsia" w:ascii="宋体" w:hAnsi="宋体" w:eastAsia="宋体" w:cs="宋体"/>
          <w:color w:val="auto"/>
          <w:sz w:val="24"/>
          <w:szCs w:val="24"/>
          <w:highlight w:val="none"/>
          <w:lang w:eastAsia="zh-CN"/>
        </w:rPr>
        <w:t>投标单位</w:t>
      </w:r>
      <w:r>
        <w:rPr>
          <w:rFonts w:hint="eastAsia" w:ascii="宋体" w:hAnsi="宋体" w:eastAsia="宋体" w:cs="宋体"/>
          <w:color w:val="auto"/>
          <w:sz w:val="24"/>
          <w:szCs w:val="24"/>
          <w:highlight w:val="none"/>
        </w:rPr>
        <w:t>无需提供纸质响应文件。</w:t>
      </w:r>
      <w:r>
        <w:rPr>
          <w:rFonts w:hint="eastAsia" w:ascii="宋体" w:hAnsi="宋体" w:eastAsia="宋体" w:cs="宋体"/>
          <w:b/>
          <w:color w:val="auto"/>
          <w:sz w:val="24"/>
          <w:szCs w:val="24"/>
          <w:highlight w:val="none"/>
        </w:rPr>
        <w:t>电子响应文件制作完成后请</w:t>
      </w:r>
      <w:r>
        <w:rPr>
          <w:rFonts w:hint="eastAsia" w:ascii="宋体" w:hAnsi="宋体" w:eastAsia="宋体" w:cs="宋体"/>
          <w:b/>
          <w:color w:val="auto"/>
          <w:sz w:val="24"/>
          <w:szCs w:val="24"/>
          <w:highlight w:val="none"/>
        </w:rPr>
        <w:t>在截止时间前完成提交（上传）</w:t>
      </w:r>
      <w:r>
        <w:rPr>
          <w:rFonts w:hint="eastAsia" w:ascii="宋体" w:hAnsi="宋体" w:eastAsia="宋体" w:cs="宋体"/>
          <w:b/>
          <w:color w:val="auto"/>
          <w:sz w:val="24"/>
          <w:szCs w:val="24"/>
          <w:highlight w:val="none"/>
        </w:rPr>
        <w:t>，否则视为放弃参加该采购项目。</w:t>
      </w: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供应商应充分考虑到网络环境、网络带宽等风险因素，如因供应商自身原因造成的电子响应文件上传不成功由供应商自行承担全部责任。</w:t>
      </w:r>
    </w:p>
    <w:p w14:paraId="1261C3D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提交响应文件时间、地点：</w:t>
      </w:r>
    </w:p>
    <w:p w14:paraId="7F40F1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1、提交响应文件截止时间：2025年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t>点30分（北京时间）</w:t>
      </w:r>
    </w:p>
    <w:p w14:paraId="0D40A8C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地点：</w:t>
      </w:r>
      <w:r>
        <w:rPr>
          <w:rFonts w:hint="eastAsia" w:ascii="宋体" w:hAnsi="宋体" w:eastAsia="宋体" w:cs="宋体"/>
          <w:b/>
          <w:color w:val="auto"/>
          <w:sz w:val="24"/>
          <w:szCs w:val="24"/>
          <w:highlight w:val="none"/>
        </w:rPr>
        <w:t>“苏采云”系统（网址：http://jszfcg.jsczt.cn/）</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文件网上提交，不需要现场参加采购活动，无需提供纸质响应文件。</w:t>
      </w:r>
    </w:p>
    <w:p w14:paraId="36397C9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五、开启响应文件时间、地点：</w:t>
      </w:r>
    </w:p>
    <w:p w14:paraId="01C858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1、时间：2025年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t>点30分（北京时间）</w:t>
      </w:r>
    </w:p>
    <w:p w14:paraId="16AFD05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w:t>
      </w:r>
    </w:p>
    <w:p w14:paraId="67A0BABB">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highlight w:val="none"/>
        </w:rPr>
        <w:t>本项目为不见面项目，</w:t>
      </w:r>
      <w:r>
        <w:rPr>
          <w:rFonts w:hint="eastAsia" w:ascii="宋体" w:hAnsi="宋体" w:eastAsia="宋体" w:cs="宋体"/>
          <w:b/>
          <w:color w:val="auto"/>
          <w:sz w:val="24"/>
          <w:szCs w:val="24"/>
          <w:highlight w:val="none"/>
        </w:rPr>
        <w:t>开启阶段供应商在【供应商解密】环节必须使用 CA证书解密电子响应文件，如在系统规定的解密时间内未能完成解密的视为放弃参与本项目。</w:t>
      </w:r>
    </w:p>
    <w:p w14:paraId="43252E8A">
      <w:pPr>
        <w:widowControl/>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请供应商确保电脑、系统及其他设备（视频输入输出设备等）无误，且开启直至项目结束始终保持系统在线状态。</w:t>
      </w:r>
    </w:p>
    <w:p w14:paraId="05C715B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六、评审时间、地点：</w:t>
      </w:r>
    </w:p>
    <w:p w14:paraId="4EEF409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1、时间：2025年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t>点30分（北京时间）</w:t>
      </w:r>
    </w:p>
    <w:p w14:paraId="5714C30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36BAB86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七、公告期限：</w:t>
      </w:r>
    </w:p>
    <w:p w14:paraId="44F01C1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11C1D23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八、其他补充事宜：</w:t>
      </w:r>
    </w:p>
    <w:p w14:paraId="600E416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1、本次采购的有关信息将在江苏省政府采购网、苏州市政府采购网、中国政府采购网上发布；有关该采购项目的澄清、修正及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等信息亦在以上网站发布，敬请留意。</w:t>
      </w:r>
    </w:p>
    <w:p w14:paraId="76A7D60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2、政府采购监督电话：0512-68616651。</w:t>
      </w:r>
    </w:p>
    <w:p w14:paraId="151F981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TW"/>
        </w:rPr>
        <w:t>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p>
    <w:p w14:paraId="78C924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4、如不同供应商使用同一台电脑制作的电子投标文件的，双方“文件制作机器码”一致的，则其投标文件将被认定为无效响应。</w:t>
      </w:r>
    </w:p>
    <w:p w14:paraId="16989C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5、凡为采购项目提供整体设计、规范编制或者项目管理、监理、检测等服务的供应商，不得再参加本项目的采购活动。</w:t>
      </w:r>
    </w:p>
    <w:p w14:paraId="3C54E81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6、根据苏州市财政局《关于深入开展苏州市政府采购合同信用融资业务的通知》相关要求，本项目支持政府采购合同信用融资。</w:t>
      </w:r>
    </w:p>
    <w:p w14:paraId="6DD0178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p>
    <w:p w14:paraId="4647F96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1、采购人信息：苏州市昆山生态环境局</w:t>
      </w:r>
    </w:p>
    <w:p w14:paraId="301CB46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址：昆山市前进西路1801号</w:t>
      </w:r>
    </w:p>
    <w:p w14:paraId="0FB8CA4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 xml:space="preserve">吴秋菊 </w:t>
      </w:r>
    </w:p>
    <w:p w14:paraId="04B37AE5">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 xml:space="preserve">0512-57554423 </w:t>
      </w:r>
    </w:p>
    <w:p w14:paraId="601E78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7C68A6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艾菲尔（江苏）招投标股份有限公司</w:t>
      </w:r>
    </w:p>
    <w:p w14:paraId="65E884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江苏省苏州市高新区玉山路43号1幢203-2室</w:t>
      </w:r>
    </w:p>
    <w:p w14:paraId="6E327D6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联系方式：0512-65365735、18013795708 </w:t>
      </w:r>
    </w:p>
    <w:p w14:paraId="7D9452E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傅工</w:t>
      </w:r>
    </w:p>
    <w:p w14:paraId="42CD3BD5">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 xml:space="preserve">0512-65365735、18013795708 </w:t>
      </w:r>
    </w:p>
    <w:p w14:paraId="40567CB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3ED4B05">
      <w:pPr>
        <w:jc w:val="right"/>
        <w:rPr>
          <w:rFonts w:hint="eastAsia" w:ascii="宋体" w:hAnsi="宋体" w:eastAsia="宋体" w:cs="宋体"/>
          <w:color w:val="auto"/>
          <w:highlight w:val="none"/>
        </w:rPr>
      </w:pPr>
    </w:p>
    <w:p w14:paraId="4D9E966A">
      <w:pPr>
        <w:widowControl/>
        <w:spacing w:line="360" w:lineRule="auto"/>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第二章 投标人须知</w:t>
      </w:r>
    </w:p>
    <w:p w14:paraId="7C5B5BC5">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1、总则</w:t>
      </w:r>
    </w:p>
    <w:p w14:paraId="7B5DB0F4">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1.1投标人资格要求</w:t>
      </w:r>
    </w:p>
    <w:p w14:paraId="2CD0B6C1">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1.1.1详见第一章</w:t>
      </w:r>
      <w:r>
        <w:rPr>
          <w:rFonts w:hint="eastAsia" w:ascii="宋体" w:hAnsi="宋体" w:eastAsia="宋体" w:cs="宋体"/>
          <w:color w:val="auto"/>
          <w:sz w:val="24"/>
          <w:szCs w:val="24"/>
          <w:highlight w:val="none"/>
          <w:lang w:val="en-US" w:eastAsia="zh-CN"/>
        </w:rPr>
        <w:t>投标邀请函</w:t>
      </w:r>
      <w:r>
        <w:rPr>
          <w:rFonts w:hint="eastAsia" w:ascii="宋体" w:hAnsi="宋体" w:eastAsia="宋体" w:cs="宋体"/>
          <w:color w:val="auto"/>
          <w:sz w:val="24"/>
          <w:szCs w:val="24"/>
          <w:highlight w:val="none"/>
        </w:rPr>
        <w:t>中“二、申请人的资格要求”。</w:t>
      </w:r>
    </w:p>
    <w:p w14:paraId="59F3AECA">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1.1.2投标人不得存在下列情形之一：</w:t>
      </w:r>
    </w:p>
    <w:p w14:paraId="5D2FAD9E">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（1）苏州市财政局《关于印发苏州市市级政府采购信用记录查询和使用工作试行办法的通知》（苏财购（2017）11号）文件规定应拒绝的失信信息。</w:t>
      </w:r>
    </w:p>
    <w:p w14:paraId="5CB807ED">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（2）为采购项目提供整体设计、规范编制或者项目管理、监理、监测等服务的供应商，不得再参加该采购项目的其他采购活动；本项目的此类供应商是：无。</w:t>
      </w:r>
    </w:p>
    <w:p w14:paraId="205BBA0B">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（3）单位负责人为同一人或者存在直接控股、管理关系的不同供应商，不得参加同一合同项下的政府采购活动。</w:t>
      </w:r>
    </w:p>
    <w:p w14:paraId="1589FBF7">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1.1.3联合体投标：第一章</w:t>
      </w:r>
      <w:r>
        <w:rPr>
          <w:rFonts w:hint="eastAsia" w:ascii="宋体" w:hAnsi="宋体" w:eastAsia="宋体" w:cs="宋体"/>
          <w:color w:val="auto"/>
          <w:sz w:val="24"/>
          <w:szCs w:val="24"/>
          <w:highlight w:val="none"/>
        </w:rPr>
        <w:t>投标邀请函规定</w:t>
      </w:r>
      <w:r>
        <w:rPr>
          <w:rFonts w:hint="eastAsia" w:ascii="宋体" w:hAnsi="宋体" w:eastAsia="宋体" w:cs="宋体"/>
          <w:color w:val="auto"/>
          <w:sz w:val="24"/>
          <w:szCs w:val="24"/>
          <w:highlight w:val="none"/>
        </w:rPr>
        <w:t>接受联合体投标的，联合体除应符合上述资格要求外，还应遵守以下规定：</w:t>
      </w:r>
    </w:p>
    <w:p w14:paraId="29F83478">
      <w:pPr>
        <w:tabs>
          <w:tab w:val="left" w:pos="851"/>
        </w:tabs>
        <w:spacing w:line="36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（1）联合体各方应当向采购人提交联合体协议书，载明联合体各方承担的工作和义务，否则投标无效。</w:t>
      </w:r>
    </w:p>
    <w:p w14:paraId="31BBB53F">
      <w:pPr>
        <w:tabs>
          <w:tab w:val="left" w:pos="851"/>
        </w:tabs>
        <w:spacing w:line="36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（2）联合体中有同类资质的供应商按照联合体分工承担相同工作的，应当按照资质等级较低的供应商确定资质等级。</w:t>
      </w:r>
    </w:p>
    <w:p w14:paraId="7FC96305">
      <w:pPr>
        <w:tabs>
          <w:tab w:val="left" w:pos="851"/>
        </w:tabs>
        <w:spacing w:line="36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（3）联合体各方不得再单独参加或者与其他供应商另外组成联合体参加同一合同项下的政府采购活动，否则各相关投标均无效。</w:t>
      </w:r>
    </w:p>
    <w:p w14:paraId="43260D82">
      <w:pPr>
        <w:tabs>
          <w:tab w:val="left" w:pos="851"/>
        </w:tabs>
        <w:spacing w:line="360" w:lineRule="auto"/>
        <w:ind w:firstLine="48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（4）联合体各方应当共同与采购人签订采购合同，就采购合同约定的事项对采购人承担连带责任。</w:t>
      </w:r>
    </w:p>
    <w:p w14:paraId="7F6318D3">
      <w:pPr>
        <w:tabs>
          <w:tab w:val="left" w:pos="851"/>
        </w:tabs>
        <w:spacing w:line="360" w:lineRule="auto"/>
        <w:ind w:left="42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 分包、转包</w:t>
      </w:r>
    </w:p>
    <w:p w14:paraId="70FBFE7A">
      <w:pPr>
        <w:tabs>
          <w:tab w:val="left" w:pos="851"/>
        </w:tabs>
        <w:spacing w:line="360" w:lineRule="auto"/>
        <w:ind w:left="424"/>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本项目不允许分包或转包。</w:t>
      </w:r>
    </w:p>
    <w:p w14:paraId="0C9D6A60">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1.3投标费用</w:t>
      </w:r>
    </w:p>
    <w:p w14:paraId="735412C2">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（1）投标人应自行承担所有准备及参加投标的相关费用。</w:t>
      </w:r>
    </w:p>
    <w:p w14:paraId="57EE511A">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1.4保密</w:t>
      </w:r>
    </w:p>
    <w:p w14:paraId="01F0F503">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参与采购活动的各方应对招标文件和投标文件中的商业和技术等秘密保密，否则应承担相应的法律责任。</w:t>
      </w:r>
    </w:p>
    <w:p w14:paraId="28DC06F0">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1.5语言文字</w:t>
      </w:r>
    </w:p>
    <w:p w14:paraId="1D544512">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招标投标文件使用的语言文字为中文。使用外文的，应附有中文注释或译本，对不同文本投标文件的解释发生异议的，以中文文本为准。因未附注释或译本引起的对投标人不利的后果由投标人自行承担。</w:t>
      </w:r>
    </w:p>
    <w:p w14:paraId="15B94DA1">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1.6计量单位</w:t>
      </w:r>
    </w:p>
    <w:p w14:paraId="62776EA2">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除招标文件有特殊要求外，所有计量均采用中华人民共和国法定计量单位。</w:t>
      </w:r>
    </w:p>
    <w:p w14:paraId="43B0E8B9">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1.7知识产权</w:t>
      </w:r>
    </w:p>
    <w:p w14:paraId="15A4902B">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D7A6320">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2、招标文件的说明</w:t>
      </w:r>
    </w:p>
    <w:p w14:paraId="3B7A67F6">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2.1招标文件的获取见第一章</w:t>
      </w:r>
      <w:r>
        <w:rPr>
          <w:rFonts w:hint="eastAsia" w:ascii="宋体" w:hAnsi="宋体" w:eastAsia="宋体" w:cs="宋体"/>
          <w:b/>
          <w:bCs/>
          <w:color w:val="auto"/>
          <w:sz w:val="24"/>
          <w:szCs w:val="24"/>
          <w:highlight w:val="none"/>
          <w:lang w:eastAsia="zh-CN"/>
        </w:rPr>
        <w:t>投标邀请函</w:t>
      </w:r>
      <w:r>
        <w:rPr>
          <w:rFonts w:hint="eastAsia" w:ascii="宋体" w:hAnsi="宋体" w:eastAsia="宋体" w:cs="宋体"/>
          <w:b/>
          <w:bCs/>
          <w:color w:val="auto"/>
          <w:sz w:val="24"/>
          <w:szCs w:val="24"/>
          <w:highlight w:val="none"/>
        </w:rPr>
        <w:t>。</w:t>
      </w:r>
    </w:p>
    <w:p w14:paraId="01ACB237">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2.2招标文件的询问</w:t>
      </w:r>
    </w:p>
    <w:p w14:paraId="5D5863BB">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投标人在收到招标文件后，若有问题需要询问，</w:t>
      </w:r>
      <w:r>
        <w:rPr>
          <w:rFonts w:hint="eastAsia" w:ascii="宋体" w:hAnsi="宋体" w:eastAsia="宋体" w:cs="宋体"/>
          <w:color w:val="auto"/>
          <w:sz w:val="24"/>
          <w:szCs w:val="24"/>
          <w:highlight w:val="none"/>
          <w:lang w:val="zh-CN"/>
        </w:rPr>
        <w:t>可在“</w:t>
      </w:r>
      <w:r>
        <w:rPr>
          <w:rFonts w:hint="eastAsia" w:ascii="宋体" w:hAnsi="宋体" w:eastAsia="宋体" w:cs="宋体"/>
          <w:color w:val="auto"/>
          <w:sz w:val="24"/>
          <w:szCs w:val="24"/>
          <w:highlight w:val="none"/>
          <w:lang w:val="en-US" w:eastAsia="zh-CN"/>
        </w:rPr>
        <w:t>苏采云</w:t>
      </w:r>
      <w:r>
        <w:rPr>
          <w:rFonts w:hint="eastAsia" w:ascii="宋体" w:hAnsi="宋体" w:eastAsia="宋体" w:cs="宋体"/>
          <w:color w:val="auto"/>
          <w:sz w:val="24"/>
          <w:szCs w:val="24"/>
          <w:highlight w:val="none"/>
          <w:lang w:val="zh-CN"/>
        </w:rPr>
        <w:t>”网上交易系统中进行询问，询问信息不显示询问人的相关资料。代理机构通过网上交易系统收到询问后以网上答复的方式予以解答，询问人通过系统查阅。</w:t>
      </w:r>
    </w:p>
    <w:p w14:paraId="5CE7994E">
      <w:pPr>
        <w:tabs>
          <w:tab w:val="left" w:pos="540"/>
          <w:tab w:val="left" w:pos="600"/>
          <w:tab w:val="left" w:pos="6987"/>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2.3招标文件的澄清或修改</w:t>
      </w:r>
    </w:p>
    <w:p w14:paraId="635109C4">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auto"/>
          <w:sz w:val="24"/>
          <w:szCs w:val="24"/>
          <w:highlight w:val="none"/>
        </w:rPr>
        <w:t>并通过苏州市政府采购网对外进行发布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但不得改变采购标的和资格条件。澄清或者修改的内容作为招标文件的组成部分，对所有投标人具有约束力。</w:t>
      </w:r>
    </w:p>
    <w:p w14:paraId="54F49D80">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2.3.2</w:t>
      </w:r>
      <w:r>
        <w:rPr>
          <w:rFonts w:hint="eastAsia" w:ascii="宋体" w:hAnsi="宋体" w:eastAsia="宋体" w:cs="宋体"/>
          <w:color w:val="auto"/>
          <w:sz w:val="24"/>
          <w:szCs w:val="24"/>
          <w:highlight w:val="none"/>
        </w:rPr>
        <w:t>为保证投标人有足够时间修正投标文件，或出于其他合理原因，</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rPr>
        <w:t>采购代理机构可依法顺延投标截止时间和开标时间。</w:t>
      </w:r>
    </w:p>
    <w:p w14:paraId="72A5CB02">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2.3.3</w:t>
      </w:r>
      <w:r>
        <w:rPr>
          <w:rFonts w:hint="eastAsia" w:ascii="宋体" w:hAnsi="宋体" w:eastAsia="宋体" w:cs="宋体"/>
          <w:color w:val="auto"/>
          <w:sz w:val="24"/>
          <w:szCs w:val="24"/>
          <w:highlight w:val="none"/>
        </w:rPr>
        <w:t>投标人应及时关注“苏州市政府采购网”发布的补充通知（包括更正公告），同时可以在“</w:t>
      </w:r>
      <w:r>
        <w:rPr>
          <w:rFonts w:hint="eastAsia" w:ascii="宋体" w:hAnsi="宋体" w:eastAsia="宋体" w:cs="宋体"/>
          <w:color w:val="auto"/>
          <w:sz w:val="24"/>
          <w:szCs w:val="24"/>
          <w:highlight w:val="none"/>
          <w:lang w:val="en-US" w:eastAsia="zh-CN"/>
        </w:rPr>
        <w:t>苏采云</w:t>
      </w:r>
      <w:r>
        <w:rPr>
          <w:rFonts w:hint="eastAsia" w:ascii="宋体" w:hAnsi="宋体" w:eastAsia="宋体" w:cs="宋体"/>
          <w:color w:val="auto"/>
          <w:sz w:val="24"/>
          <w:szCs w:val="24"/>
          <w:highlight w:val="none"/>
        </w:rPr>
        <w:t>平台”中下载更正（补充）资料，如有遗漏（包括但不限于文件未下载或下载不完整），所造成的投标失败或损失由供应商自行负责。</w:t>
      </w:r>
    </w:p>
    <w:p w14:paraId="65395336">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2.3.4</w:t>
      </w:r>
      <w:r>
        <w:rPr>
          <w:rFonts w:hint="eastAsia" w:ascii="宋体" w:hAnsi="宋体" w:eastAsia="宋体" w:cs="宋体"/>
          <w:color w:val="auto"/>
          <w:sz w:val="24"/>
          <w:szCs w:val="24"/>
          <w:highlight w:val="none"/>
        </w:rPr>
        <w:t>招标文件的澄清、修改、补充等内容均以</w:t>
      </w:r>
      <w:r>
        <w:rPr>
          <w:rFonts w:hint="eastAsia" w:ascii="宋体" w:hAnsi="宋体" w:eastAsia="宋体" w:cs="宋体"/>
          <w:color w:val="auto"/>
          <w:sz w:val="24"/>
          <w:highlight w:val="none"/>
        </w:rPr>
        <w:t>江苏省政府采购网、苏州市政府采购网、中国政府采购网上发布</w:t>
      </w:r>
      <w:r>
        <w:rPr>
          <w:rFonts w:hint="eastAsia" w:ascii="宋体" w:hAnsi="宋体" w:eastAsia="宋体" w:cs="宋体"/>
          <w:color w:val="auto"/>
          <w:sz w:val="24"/>
          <w:szCs w:val="24"/>
          <w:highlight w:val="none"/>
        </w:rPr>
        <w:t>的内容为准。</w:t>
      </w:r>
    </w:p>
    <w:p w14:paraId="0516F2D1">
      <w:pPr>
        <w:numPr>
          <w:ilvl w:val="0"/>
          <w:numId w:val="3"/>
        </w:num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投标文件的说明</w:t>
      </w:r>
      <w:r>
        <w:rPr>
          <w:rFonts w:hint="eastAsia" w:ascii="宋体" w:hAnsi="宋体" w:eastAsia="宋体" w:cs="宋体"/>
          <w:color w:val="auto"/>
          <w:sz w:val="24"/>
          <w:szCs w:val="24"/>
          <w:highlight w:val="none"/>
        </w:rPr>
        <w:t>投标人应详细阅读招标文件的全部内容，不按招标文件的要求提供的投标文件和资料，其风险由投标人自行承担，并根据有关条款规定，可能导致投标无效。</w:t>
      </w:r>
    </w:p>
    <w:p w14:paraId="2ED14819">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保证金：无</w:t>
      </w:r>
    </w:p>
    <w:p w14:paraId="5B92CE75">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文件的组成</w:t>
      </w:r>
    </w:p>
    <w:p w14:paraId="31A957DE">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3.2.1封面</w:t>
      </w:r>
    </w:p>
    <w:p w14:paraId="6B6FA00E">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3.2.2开标一览表（格式见第三章）</w:t>
      </w:r>
    </w:p>
    <w:p w14:paraId="7A53791E">
      <w:pPr>
        <w:tabs>
          <w:tab w:val="left" w:pos="540"/>
          <w:tab w:val="left" w:pos="600"/>
        </w:tabs>
        <w:spacing w:line="360" w:lineRule="auto"/>
        <w:ind w:firstLine="42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3.2.3投标报价明细表</w:t>
      </w:r>
      <w:r>
        <w:rPr>
          <w:rFonts w:hint="eastAsia" w:ascii="宋体" w:hAnsi="宋体" w:eastAsia="宋体" w:cs="宋体"/>
          <w:color w:val="auto"/>
          <w:sz w:val="24"/>
          <w:szCs w:val="24"/>
          <w:highlight w:val="none"/>
          <w:lang w:val="en-US" w:eastAsia="zh-CN"/>
        </w:rPr>
        <w:t>（如有，格式见第三章）</w:t>
      </w:r>
    </w:p>
    <w:p w14:paraId="0A220565">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3.2.4资格审查文件：</w:t>
      </w:r>
    </w:p>
    <w:p w14:paraId="41A6F0FB">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3.2.4.1关于资格文件的声明函（格式见第三章）；</w:t>
      </w:r>
    </w:p>
    <w:p w14:paraId="079C2EF9">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3.2.4.2法定代表人身份证复印件；</w:t>
      </w:r>
    </w:p>
    <w:p w14:paraId="097347CC">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3.2.4.3法定代表人授权委托书及授权委托人身份证复印件（如有授权，格式见第三章）；</w:t>
      </w:r>
    </w:p>
    <w:p w14:paraId="7330878F">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3.2.4.4供应商的资格要求：</w:t>
      </w:r>
    </w:p>
    <w:p w14:paraId="3030D4FC">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bookmarkStart w:id="0" w:name="_Hlk166688923"/>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具有独立承担民事责任的能力（提供法人或者其他组织的营业执照等证明文件、自然人的身份证明）；</w:t>
      </w:r>
    </w:p>
    <w:p w14:paraId="5A4A09D4">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具有良好的商业信誉和健全的财务会计制度（格式见投标承诺函或提供相应证明材料）；</w:t>
      </w:r>
    </w:p>
    <w:p w14:paraId="77F8385E">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具有履行合同所必需的设备和专业技术能力（格式见投标承诺函或提供相应证明材料）；</w:t>
      </w:r>
    </w:p>
    <w:p w14:paraId="4F3CD19D">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具有依法缴纳税收和社会保障资金的良好记录（格式见投标承诺函或提供相应证明材料）；</w:t>
      </w:r>
    </w:p>
    <w:p w14:paraId="620D48DA">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参加政府采购活动前三年内，在经营活动中没有重大违法记录（格式见投标承诺函或提供相应证明材料）</w:t>
      </w:r>
      <w:bookmarkEnd w:id="0"/>
      <w:r>
        <w:rPr>
          <w:rFonts w:hint="eastAsia" w:ascii="宋体" w:hAnsi="宋体" w:eastAsia="宋体" w:cs="宋体"/>
          <w:color w:val="auto"/>
          <w:sz w:val="24"/>
          <w:szCs w:val="24"/>
          <w:highlight w:val="none"/>
          <w:lang w:val="en-US" w:eastAsia="zh-CN"/>
        </w:rPr>
        <w:t>。</w:t>
      </w:r>
    </w:p>
    <w:p w14:paraId="30620CEA">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未被“信用中国”网站（www.creditchina.gov.cn）列入失信被执行人、重大税收违法案件当事人名单、政府采购严重失信行为记录名单，提供网站对应查询截图（查询方式：“信用中国”首页→“信用服务”版块→根据要求分别查询）。</w:t>
      </w:r>
    </w:p>
    <w:p w14:paraId="72680AD7">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3.2.4.5其他有关资格证明的文件（若有）；</w:t>
      </w:r>
    </w:p>
    <w:p w14:paraId="20CDDB79">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3.2.5符合性审查文件</w:t>
      </w:r>
    </w:p>
    <w:p w14:paraId="572C5281">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3.2.5.1投标响应函（格式见第三章）；</w:t>
      </w:r>
    </w:p>
    <w:p w14:paraId="7805799D">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3.2.5.2商务偏离表、技术偏离表；</w:t>
      </w:r>
    </w:p>
    <w:p w14:paraId="48F3016B">
      <w:pPr>
        <w:tabs>
          <w:tab w:val="left" w:pos="540"/>
          <w:tab w:val="left" w:pos="600"/>
        </w:tabs>
        <w:spacing w:line="360" w:lineRule="auto"/>
        <w:ind w:firstLine="4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其他有关符合性证明的文件（若有）；</w:t>
      </w:r>
    </w:p>
    <w:p w14:paraId="5D6A4687">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3.2.6综合评审文件(见第六章)</w:t>
      </w:r>
    </w:p>
    <w:p w14:paraId="359B2635">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3.2.7与本次采购相关的其他证明材料；</w:t>
      </w:r>
    </w:p>
    <w:p w14:paraId="082A8B22">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3.2.8对属于《节能产品政府采购品目清单》政府强制采购产品的，须提供该产品有效期内的认证等相关证明材料（若有）。</w:t>
      </w:r>
    </w:p>
    <w:p w14:paraId="0FEA93C1">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w:t>
      </w:r>
    </w:p>
    <w:p w14:paraId="102F491A">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以上3.2.2-3.2.3项为投标人报价的依据，投标人必须提供并加盖公章，</w:t>
      </w:r>
      <w:r>
        <w:rPr>
          <w:rFonts w:hint="eastAsia" w:ascii="宋体" w:hAnsi="宋体" w:eastAsia="宋体" w:cs="宋体"/>
          <w:b/>
          <w:bCs/>
          <w:color w:val="auto"/>
          <w:sz w:val="24"/>
          <w:szCs w:val="24"/>
          <w:highlight w:val="none"/>
          <w:lang w:val="en-US" w:eastAsia="zh-CN" w:bidi="ar-SA"/>
        </w:rPr>
        <w:t>否则，投标文件将被认定为未实质性响应。</w:t>
      </w:r>
    </w:p>
    <w:p w14:paraId="15209D81">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以上3.2.4.1-3.2.4.5项为资格审查提供的资料，是作为对投标人资格审查、质疑身份认定的依据，投标人必须提供并加盖公章。否则，投标文件将被认定为不符合资格审查要求。</w:t>
      </w:r>
    </w:p>
    <w:p w14:paraId="2BB34C88">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以上3.2.5.1-3.2.5.2项为符合性审查提供的资料，投标人必须提供并加盖公章，否则，投标文件将被认定为未实质性响应。</w:t>
      </w:r>
    </w:p>
    <w:p w14:paraId="376A88D4">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以上3.2.4.1-3.2.8项中不得出现投标总报价，</w:t>
      </w:r>
      <w:r>
        <w:rPr>
          <w:rFonts w:hint="eastAsia" w:ascii="宋体" w:hAnsi="宋体" w:eastAsia="宋体" w:cs="宋体"/>
          <w:b/>
          <w:bCs/>
          <w:color w:val="auto"/>
          <w:sz w:val="24"/>
          <w:szCs w:val="24"/>
          <w:highlight w:val="none"/>
        </w:rPr>
        <w:t>否则视为非实质性响应招标文件要求</w:t>
      </w:r>
      <w:r>
        <w:rPr>
          <w:rFonts w:hint="eastAsia" w:ascii="宋体" w:hAnsi="宋体" w:eastAsia="宋体" w:cs="宋体"/>
          <w:b/>
          <w:bCs/>
          <w:color w:val="auto"/>
          <w:sz w:val="24"/>
          <w:szCs w:val="24"/>
          <w:highlight w:val="none"/>
          <w:lang w:val="en-US" w:eastAsia="zh-CN"/>
        </w:rPr>
        <w:t>。制作电子投标文件时需与投标文件制作软件目录一一对应，将相关资料上传至相应模块。</w:t>
      </w:r>
    </w:p>
    <w:p w14:paraId="7F5FF2AD">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供应商应保证上传的投标响应文件完整、清晰可辨认，若因上传资料过小或模糊不清等无法辨认的都视为该资料未提供。</w:t>
      </w:r>
    </w:p>
    <w:p w14:paraId="63726BA1">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如投标人投标文件中某些条款不满足招标文件提出的全部服务内容与要求，须在投标文件中逐条列出，未列出的视同满足。</w:t>
      </w:r>
    </w:p>
    <w:p w14:paraId="0DA14984">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如不同供应商使用同一台电脑制作的电子投标文件的，双方“文件制作机器码”一致的，则其投标文件将被认定为无效投标。</w:t>
      </w:r>
    </w:p>
    <w:p w14:paraId="1E0111B1">
      <w:pPr>
        <w:tabs>
          <w:tab w:val="left" w:pos="540"/>
          <w:tab w:val="left" w:pos="600"/>
        </w:tabs>
        <w:spacing w:line="360" w:lineRule="auto"/>
        <w:ind w:firstLine="4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3.3投标报价：</w:t>
      </w:r>
    </w:p>
    <w:p w14:paraId="348737CC">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3.3.1投标报价应包括完成本招标项目全部内容的一切费用，除非合同条款中另有规定，投标人所报价格在合同实施期间不因市场变化因素而变动。</w:t>
      </w:r>
    </w:p>
    <w:p w14:paraId="11AD76BD">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3.3.2如果招标文件要求分标段投标的，则投标人可以根据自身经营许可范围，选择投标其中部分或者全部标段，但各标段应分别计算填写单价和总价。</w:t>
      </w:r>
    </w:p>
    <w:p w14:paraId="3A1BE6DF">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3.3.3投标人应对招标文件内所要采购的全部内容进行报价，只对其中部分内容报价的，投标无效。</w:t>
      </w:r>
    </w:p>
    <w:p w14:paraId="66421F02">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 投标报价超过招标文件中规定的预算金额或者最高限价的，或者各标的物的单价超过该项预算单价的（针对招标文件标明预算单价的项目），其投标无效。</w:t>
      </w:r>
    </w:p>
    <w:p w14:paraId="42B6E1F3">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3.3.5一项投标内容只允许一个报价，任何有选择性投标报价的，其投标无效。</w:t>
      </w:r>
    </w:p>
    <w:p w14:paraId="7241E720">
      <w:pPr>
        <w:tabs>
          <w:tab w:val="left" w:pos="540"/>
          <w:tab w:val="left" w:pos="600"/>
        </w:tabs>
        <w:spacing w:line="360" w:lineRule="auto"/>
        <w:ind w:firstLine="4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3.3.6投标文件报价中的单价和总价全部采用人民币表示，除非另有规定。</w:t>
      </w:r>
    </w:p>
    <w:p w14:paraId="31AA4119">
      <w:pPr>
        <w:tabs>
          <w:tab w:val="left" w:pos="142"/>
          <w:tab w:val="left" w:pos="600"/>
        </w:tabs>
        <w:spacing w:line="360" w:lineRule="auto"/>
        <w:ind w:left="42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3.4电子投标（响应）文件的编制与提交</w:t>
      </w:r>
    </w:p>
    <w:p w14:paraId="5EC75647">
      <w:pPr>
        <w:pStyle w:val="233"/>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3.4.1</w:t>
      </w:r>
      <w:r>
        <w:rPr>
          <w:rFonts w:hint="eastAsia" w:ascii="宋体" w:hAnsi="宋体" w:eastAsia="宋体" w:cs="宋体"/>
          <w:color w:val="auto"/>
          <w:sz w:val="24"/>
          <w:szCs w:val="24"/>
          <w:highlight w:val="none"/>
          <w:lang w:val="en-US"/>
        </w:rPr>
        <w:t>本项目采用电子招投标形式，请供应商按照</w:t>
      </w:r>
      <w:r>
        <w:rPr>
          <w:rFonts w:hint="eastAsia" w:ascii="宋体" w:hAnsi="宋体" w:eastAsia="宋体" w:cs="宋体"/>
          <w:b/>
          <w:bCs/>
          <w:color w:val="auto"/>
          <w:sz w:val="24"/>
          <w:szCs w:val="24"/>
          <w:highlight w:val="none"/>
          <w:lang w:val="en-US"/>
        </w:rPr>
        <w:t>《苏采云系统供应商操作手册》</w:t>
      </w:r>
      <w:r>
        <w:rPr>
          <w:rFonts w:hint="eastAsia" w:ascii="宋体" w:hAnsi="宋体" w:eastAsia="宋体" w:cs="宋体"/>
          <w:color w:val="auto"/>
          <w:sz w:val="24"/>
          <w:szCs w:val="24"/>
          <w:highlight w:val="none"/>
          <w:lang w:val="en-US"/>
        </w:rPr>
        <w:t>进行制作、上传电子投标文件。</w:t>
      </w:r>
    </w:p>
    <w:p w14:paraId="58D3F3E6">
      <w:pPr>
        <w:pStyle w:val="233"/>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3.4.2</w:t>
      </w:r>
      <w:r>
        <w:rPr>
          <w:rFonts w:hint="eastAsia" w:ascii="宋体" w:hAnsi="宋体" w:eastAsia="宋体" w:cs="宋体"/>
          <w:color w:val="auto"/>
          <w:sz w:val="24"/>
          <w:szCs w:val="24"/>
          <w:highlight w:val="none"/>
          <w:lang w:val="en-US"/>
        </w:rPr>
        <w:t>制作电子投标文件时，应按照招标文件要求加盖投标人电子公章。</w:t>
      </w:r>
    </w:p>
    <w:p w14:paraId="3C6C95D5">
      <w:pPr>
        <w:pStyle w:val="233"/>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3.4.3</w:t>
      </w:r>
      <w:r>
        <w:rPr>
          <w:rFonts w:hint="eastAsia" w:ascii="宋体" w:hAnsi="宋体" w:eastAsia="宋体" w:cs="宋体"/>
          <w:b/>
          <w:bCs/>
          <w:color w:val="auto"/>
          <w:sz w:val="24"/>
          <w:szCs w:val="24"/>
          <w:highlight w:val="none"/>
          <w:lang w:val="en-US"/>
        </w:rPr>
        <w:t>电子投标文件制作完成后请于投标文件网上提交截止时间前成功上传至“苏采云”系统，否则视为放弃参加该采购项目。</w:t>
      </w:r>
      <w:bookmarkStart w:id="1" w:name="_Toc25608"/>
      <w:bookmarkStart w:id="2" w:name="_Toc31150"/>
      <w:r>
        <w:rPr>
          <w:rFonts w:hint="eastAsia" w:ascii="宋体" w:hAnsi="宋体" w:eastAsia="宋体" w:cs="宋体"/>
          <w:color w:val="auto"/>
          <w:sz w:val="24"/>
          <w:szCs w:val="24"/>
          <w:highlight w:val="none"/>
          <w:lang w:val="en-US"/>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
      <w:bookmarkEnd w:id="2"/>
    </w:p>
    <w:p w14:paraId="1D0A6D61">
      <w:pPr>
        <w:pStyle w:val="233"/>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3.4.4</w:t>
      </w:r>
      <w:r>
        <w:rPr>
          <w:rFonts w:hint="eastAsia" w:ascii="宋体" w:hAnsi="宋体" w:eastAsia="宋体" w:cs="宋体"/>
          <w:color w:val="auto"/>
          <w:sz w:val="24"/>
          <w:szCs w:val="24"/>
          <w:highlight w:val="none"/>
        </w:rPr>
        <w:t>投标人应当在投标截止时间前制作并上传电子投标文件。</w:t>
      </w:r>
    </w:p>
    <w:p w14:paraId="3004903C">
      <w:pPr>
        <w:pStyle w:val="198"/>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3.4.5</w:t>
      </w:r>
      <w:r>
        <w:rPr>
          <w:rFonts w:hint="eastAsia" w:ascii="宋体" w:hAnsi="宋体" w:eastAsia="宋体" w:cs="宋体"/>
          <w:color w:val="auto"/>
          <w:sz w:val="24"/>
          <w:szCs w:val="24"/>
          <w:highlight w:val="none"/>
        </w:rPr>
        <w:t>投标人通过</w:t>
      </w:r>
      <w:r>
        <w:rPr>
          <w:rFonts w:hint="eastAsia" w:ascii="宋体" w:hAnsi="宋体" w:eastAsia="宋体" w:cs="宋体"/>
          <w:b/>
          <w:color w:val="auto"/>
          <w:sz w:val="24"/>
          <w:szCs w:val="24"/>
          <w:highlight w:val="none"/>
        </w:rPr>
        <w:t>“苏采云”系统不见面开标大厅在线参与开标活动。（具体操作详见《苏采云系统供应商操作手册》，网址链接https://czju.suzhou.gov.cn/zfcg/html/content/20231220161910031.shtml）</w:t>
      </w:r>
    </w:p>
    <w:p w14:paraId="2B1CBA3C">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3.4.6</w:t>
      </w:r>
      <w:r>
        <w:rPr>
          <w:rFonts w:hint="eastAsia" w:ascii="宋体" w:hAnsi="宋体" w:eastAsia="宋体" w:cs="宋体"/>
          <w:b/>
          <w:bCs/>
          <w:color w:val="auto"/>
          <w:sz w:val="24"/>
          <w:szCs w:val="24"/>
          <w:highlight w:val="none"/>
          <w:lang w:val="zh-CN"/>
        </w:rPr>
        <w:t>纸质</w:t>
      </w:r>
      <w:r>
        <w:rPr>
          <w:rFonts w:hint="eastAsia" w:ascii="宋体" w:hAnsi="宋体" w:eastAsia="宋体" w:cs="宋体"/>
          <w:b/>
          <w:bCs/>
          <w:color w:val="auto"/>
          <w:sz w:val="24"/>
          <w:szCs w:val="24"/>
          <w:highlight w:val="none"/>
        </w:rPr>
        <w:t>投标</w:t>
      </w:r>
      <w:r>
        <w:rPr>
          <w:rFonts w:hint="eastAsia" w:ascii="宋体" w:hAnsi="宋体" w:eastAsia="宋体" w:cs="宋体"/>
          <w:b/>
          <w:bCs/>
          <w:color w:val="auto"/>
          <w:sz w:val="24"/>
          <w:szCs w:val="24"/>
          <w:highlight w:val="none"/>
          <w:lang w:val="zh-CN"/>
        </w:rPr>
        <w:t>文件：</w:t>
      </w:r>
      <w:r>
        <w:rPr>
          <w:rFonts w:hint="eastAsia" w:ascii="宋体" w:hAnsi="宋体" w:eastAsia="宋体" w:cs="宋体"/>
          <w:color w:val="auto"/>
          <w:sz w:val="24"/>
          <w:szCs w:val="24"/>
          <w:highlight w:val="none"/>
        </w:rPr>
        <w:t>中标后5个工作日内，中标单位向招标代理机构提供与电子投标文件内容一致的纸质投标文件</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份。</w:t>
      </w:r>
    </w:p>
    <w:p w14:paraId="16F02C1B">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b/>
          <w:color w:val="auto"/>
          <w:sz w:val="24"/>
          <w:szCs w:val="24"/>
          <w:highlight w:val="none"/>
        </w:rPr>
        <w:t>投标文件的修改和撤回</w:t>
      </w:r>
    </w:p>
    <w:p w14:paraId="19CCFC5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3.5.1</w:t>
      </w:r>
      <w:r>
        <w:rPr>
          <w:rFonts w:hint="eastAsia" w:ascii="宋体" w:hAnsi="宋体" w:eastAsia="宋体" w:cs="宋体"/>
          <w:color w:val="auto"/>
          <w:sz w:val="24"/>
          <w:szCs w:val="24"/>
          <w:highlight w:val="none"/>
        </w:rPr>
        <w:t>投标人在</w:t>
      </w:r>
      <w:r>
        <w:rPr>
          <w:rFonts w:hint="eastAsia" w:ascii="宋体" w:hAnsi="宋体" w:eastAsia="宋体" w:cs="宋体"/>
          <w:color w:val="auto"/>
          <w:sz w:val="24"/>
          <w:szCs w:val="24"/>
          <w:highlight w:val="none"/>
        </w:rPr>
        <w:t>投标文件网上提交截止时间</w:t>
      </w:r>
      <w:r>
        <w:rPr>
          <w:rFonts w:hint="eastAsia" w:ascii="宋体" w:hAnsi="宋体" w:eastAsia="宋体" w:cs="宋体"/>
          <w:color w:val="auto"/>
          <w:sz w:val="24"/>
          <w:szCs w:val="24"/>
          <w:highlight w:val="none"/>
        </w:rPr>
        <w:t>前，可以对其电子投标文件进行补充、修改，具体操作方法见</w:t>
      </w:r>
      <w:r>
        <w:rPr>
          <w:rFonts w:hint="eastAsia" w:ascii="宋体" w:hAnsi="宋体" w:eastAsia="宋体" w:cs="宋体"/>
          <w:b/>
          <w:color w:val="auto"/>
          <w:sz w:val="24"/>
          <w:szCs w:val="24"/>
          <w:highlight w:val="none"/>
        </w:rPr>
        <w:t>《苏采云系统供应商操作手册》</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rPr>
        <w:t>投标文件网上提交截止时间</w:t>
      </w:r>
      <w:r>
        <w:rPr>
          <w:rFonts w:hint="eastAsia" w:ascii="宋体" w:hAnsi="宋体" w:eastAsia="宋体" w:cs="宋体"/>
          <w:color w:val="auto"/>
          <w:sz w:val="24"/>
          <w:szCs w:val="24"/>
          <w:highlight w:val="none"/>
        </w:rPr>
        <w:t>之后，投标人不得对其电子投标文件作任何修改</w:t>
      </w:r>
      <w:r>
        <w:rPr>
          <w:rFonts w:hint="eastAsia" w:ascii="宋体" w:hAnsi="宋体" w:eastAsia="宋体" w:cs="宋体"/>
          <w:color w:val="auto"/>
          <w:sz w:val="24"/>
          <w:szCs w:val="24"/>
          <w:highlight w:val="none"/>
          <w:lang w:val="zh-CN"/>
        </w:rPr>
        <w:t>。</w:t>
      </w:r>
    </w:p>
    <w:p w14:paraId="2E98198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3.5.2</w:t>
      </w:r>
      <w:r>
        <w:rPr>
          <w:rFonts w:hint="eastAsia" w:ascii="宋体" w:hAnsi="宋体" w:eastAsia="宋体" w:cs="宋体"/>
          <w:color w:val="auto"/>
          <w:sz w:val="24"/>
          <w:szCs w:val="24"/>
          <w:highlight w:val="none"/>
        </w:rPr>
        <w:t>投标人在</w:t>
      </w:r>
      <w:r>
        <w:rPr>
          <w:rFonts w:hint="eastAsia" w:ascii="宋体" w:hAnsi="宋体" w:eastAsia="宋体" w:cs="宋体"/>
          <w:color w:val="auto"/>
          <w:sz w:val="24"/>
          <w:szCs w:val="24"/>
          <w:highlight w:val="none"/>
        </w:rPr>
        <w:t>投标文件网上提交截止时间</w:t>
      </w:r>
      <w:r>
        <w:rPr>
          <w:rFonts w:hint="eastAsia" w:ascii="宋体" w:hAnsi="宋体" w:eastAsia="宋体" w:cs="宋体"/>
          <w:color w:val="auto"/>
          <w:sz w:val="24"/>
          <w:szCs w:val="24"/>
          <w:highlight w:val="none"/>
        </w:rPr>
        <w:t>前，可以撤回其电子投标文件，具体操作方法见</w:t>
      </w:r>
      <w:r>
        <w:rPr>
          <w:rFonts w:hint="eastAsia" w:ascii="宋体" w:hAnsi="宋体" w:eastAsia="宋体" w:cs="宋体"/>
          <w:b/>
          <w:color w:val="auto"/>
          <w:sz w:val="24"/>
          <w:szCs w:val="24"/>
          <w:highlight w:val="none"/>
        </w:rPr>
        <w:t>《苏采云系统供应商操作手册》</w:t>
      </w:r>
      <w:r>
        <w:rPr>
          <w:rFonts w:hint="eastAsia" w:ascii="宋体" w:hAnsi="宋体" w:eastAsia="宋体" w:cs="宋体"/>
          <w:color w:val="auto"/>
          <w:sz w:val="24"/>
          <w:szCs w:val="24"/>
          <w:highlight w:val="none"/>
        </w:rPr>
        <w:t>。投标人撤回电子投标文件，则认为其不再参与本项目投标活动。在投标截止时间至招标文件中规定的投标有效期满之间的这段时间内，投标人不得撤回其投标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4"/>
          <w:szCs w:val="24"/>
          <w:highlight w:val="none"/>
          <w:lang w:val="zh-CN"/>
        </w:rPr>
        <w:t>。</w:t>
      </w:r>
    </w:p>
    <w:p w14:paraId="441B56E8">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4、开标和评标</w:t>
      </w:r>
    </w:p>
    <w:p w14:paraId="43F87980">
      <w:pPr>
        <w:tabs>
          <w:tab w:val="left" w:pos="142"/>
          <w:tab w:val="left" w:pos="600"/>
        </w:tabs>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4.1开标</w:t>
      </w:r>
    </w:p>
    <w:p w14:paraId="6A104F91">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4.1.1至投标文件提交截止时间，递交投标文件的投标人不足三家的，不得开标。</w:t>
      </w:r>
    </w:p>
    <w:p w14:paraId="74827A2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4.1.2</w:t>
      </w:r>
      <w:r>
        <w:rPr>
          <w:rFonts w:hint="eastAsia" w:ascii="宋体" w:hAnsi="宋体" w:eastAsia="宋体" w:cs="宋体"/>
          <w:color w:val="auto"/>
          <w:sz w:val="24"/>
          <w:szCs w:val="24"/>
          <w:highlight w:val="none"/>
          <w:lang w:val="zh-CN"/>
        </w:rPr>
        <w:t>开标由采购代理机构</w:t>
      </w:r>
      <w:r>
        <w:rPr>
          <w:rFonts w:hint="eastAsia" w:ascii="宋体" w:hAnsi="宋体" w:eastAsia="宋体" w:cs="宋体"/>
          <w:color w:val="auto"/>
          <w:sz w:val="24"/>
          <w:szCs w:val="24"/>
          <w:highlight w:val="none"/>
        </w:rPr>
        <w:t>在线</w:t>
      </w:r>
      <w:r>
        <w:rPr>
          <w:rFonts w:hint="eastAsia" w:ascii="宋体" w:hAnsi="宋体" w:eastAsia="宋体" w:cs="宋体"/>
          <w:color w:val="auto"/>
          <w:sz w:val="24"/>
          <w:szCs w:val="24"/>
          <w:highlight w:val="none"/>
          <w:lang w:val="zh-CN"/>
        </w:rPr>
        <w:t>主持，邀请投标人</w:t>
      </w:r>
      <w:r>
        <w:rPr>
          <w:rFonts w:hint="eastAsia" w:ascii="宋体" w:hAnsi="宋体" w:eastAsia="宋体" w:cs="宋体"/>
          <w:color w:val="auto"/>
          <w:sz w:val="24"/>
          <w:szCs w:val="24"/>
          <w:highlight w:val="none"/>
        </w:rPr>
        <w:t>在线</w:t>
      </w:r>
      <w:r>
        <w:rPr>
          <w:rFonts w:hint="eastAsia" w:ascii="宋体" w:hAnsi="宋体" w:eastAsia="宋体" w:cs="宋体"/>
          <w:color w:val="auto"/>
          <w:sz w:val="24"/>
          <w:szCs w:val="24"/>
          <w:highlight w:val="none"/>
          <w:lang w:val="zh-CN"/>
        </w:rPr>
        <w:t>参加。投标人应当按照《苏采云系统供应商操作手册》规定，</w:t>
      </w:r>
      <w:r>
        <w:rPr>
          <w:rFonts w:hint="eastAsia" w:ascii="宋体" w:hAnsi="宋体" w:eastAsia="宋体" w:cs="宋体"/>
          <w:b/>
          <w:bCs/>
          <w:color w:val="auto"/>
          <w:sz w:val="24"/>
          <w:szCs w:val="24"/>
          <w:highlight w:val="none"/>
          <w:lang w:val="zh-CN"/>
        </w:rPr>
        <w:t>参加开标活动和在“苏采云”系统规定的时间内对投标文件进行解密。</w:t>
      </w:r>
      <w:r>
        <w:rPr>
          <w:rFonts w:hint="eastAsia" w:ascii="宋体" w:hAnsi="宋体" w:eastAsia="宋体" w:cs="宋体"/>
          <w:color w:val="auto"/>
          <w:sz w:val="24"/>
          <w:szCs w:val="24"/>
          <w:highlight w:val="none"/>
          <w:lang w:val="zh-CN"/>
        </w:rPr>
        <w:t>评标委员会成员不得参加开标活动。</w:t>
      </w:r>
    </w:p>
    <w:p w14:paraId="1565C60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4.1.3</w:t>
      </w:r>
      <w:r>
        <w:rPr>
          <w:rFonts w:hint="eastAsia" w:ascii="宋体" w:hAnsi="宋体" w:eastAsia="宋体" w:cs="宋体"/>
          <w:color w:val="auto"/>
          <w:sz w:val="24"/>
          <w:szCs w:val="24"/>
          <w:highlight w:val="none"/>
          <w:lang w:val="zh-CN"/>
        </w:rPr>
        <w:t>开标时，由采购代理机构</w:t>
      </w:r>
      <w:r>
        <w:rPr>
          <w:rFonts w:hint="eastAsia" w:ascii="宋体" w:hAnsi="宋体" w:eastAsia="宋体" w:cs="宋体"/>
          <w:color w:val="auto"/>
          <w:sz w:val="24"/>
          <w:szCs w:val="24"/>
          <w:highlight w:val="none"/>
        </w:rPr>
        <w:t>通过“苏采云”系统在线</w:t>
      </w:r>
      <w:r>
        <w:rPr>
          <w:rFonts w:hint="eastAsia" w:ascii="宋体" w:hAnsi="宋体" w:eastAsia="宋体" w:cs="宋体"/>
          <w:color w:val="auto"/>
          <w:sz w:val="24"/>
          <w:szCs w:val="24"/>
          <w:highlight w:val="none"/>
          <w:lang w:val="zh-CN"/>
        </w:rPr>
        <w:t>宣布投标人名称、投标价格和招标文件规定的需要宣布的其他内容。</w:t>
      </w:r>
      <w:r>
        <w:rPr>
          <w:rFonts w:hint="eastAsia" w:ascii="宋体" w:hAnsi="宋体" w:eastAsia="宋体" w:cs="宋体"/>
          <w:color w:val="auto"/>
          <w:sz w:val="24"/>
          <w:szCs w:val="24"/>
          <w:highlight w:val="none"/>
        </w:rPr>
        <w:t>投标人在不见面开标系统中确认投标价格，如</w:t>
      </w:r>
      <w:r>
        <w:rPr>
          <w:rFonts w:hint="eastAsia" w:ascii="宋体" w:hAnsi="宋体" w:eastAsia="宋体" w:cs="宋体"/>
          <w:color w:val="auto"/>
          <w:sz w:val="24"/>
          <w:szCs w:val="24"/>
          <w:highlight w:val="none"/>
          <w:lang w:val="zh-CN"/>
        </w:rPr>
        <w:t>投标人未</w:t>
      </w:r>
      <w:r>
        <w:rPr>
          <w:rFonts w:hint="eastAsia" w:ascii="宋体" w:hAnsi="宋体" w:eastAsia="宋体" w:cs="宋体"/>
          <w:color w:val="auto"/>
          <w:sz w:val="24"/>
          <w:szCs w:val="24"/>
          <w:highlight w:val="none"/>
        </w:rPr>
        <w:t>在线</w:t>
      </w:r>
      <w:r>
        <w:rPr>
          <w:rFonts w:hint="eastAsia" w:ascii="宋体" w:hAnsi="宋体" w:eastAsia="宋体" w:cs="宋体"/>
          <w:color w:val="auto"/>
          <w:sz w:val="24"/>
          <w:szCs w:val="24"/>
          <w:highlight w:val="none"/>
          <w:lang w:val="zh-CN"/>
        </w:rPr>
        <w:t>参加开标</w:t>
      </w:r>
      <w:r>
        <w:rPr>
          <w:rFonts w:hint="eastAsia" w:ascii="宋体" w:hAnsi="宋体" w:eastAsia="宋体" w:cs="宋体"/>
          <w:color w:val="auto"/>
          <w:sz w:val="24"/>
          <w:szCs w:val="24"/>
          <w:highlight w:val="none"/>
        </w:rPr>
        <w:t>或未在规定时间内确认价格</w:t>
      </w:r>
      <w:r>
        <w:rPr>
          <w:rFonts w:hint="eastAsia" w:ascii="宋体" w:hAnsi="宋体" w:eastAsia="宋体" w:cs="宋体"/>
          <w:color w:val="auto"/>
          <w:sz w:val="24"/>
          <w:szCs w:val="24"/>
          <w:highlight w:val="none"/>
          <w:lang w:val="zh-CN"/>
        </w:rPr>
        <w:t>的，视同认可开标结果。</w:t>
      </w:r>
    </w:p>
    <w:p w14:paraId="136204F3">
      <w:pPr>
        <w:tabs>
          <w:tab w:val="left" w:pos="142"/>
          <w:tab w:val="left" w:pos="600"/>
        </w:tabs>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4.2资格审查</w:t>
      </w:r>
    </w:p>
    <w:p w14:paraId="04299FFB">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4.2.1开标结束后，采购人应当依法对投标人的资格进行审查，未通过资格审查的投标无效。</w:t>
      </w:r>
    </w:p>
    <w:p w14:paraId="1B134C3E">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4.2.2信用查询：根据苏州市财政局《关于印发苏州市市级政府采购信用记录查询和使用工作试行办法的通知》（苏财购（2017）11号）文件的规定，采购人、采购代理机构对供应商进行信用查询。</w:t>
      </w:r>
    </w:p>
    <w:p w14:paraId="222B3532">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4.2.2.1查询时间：投标文件提交截止时间。</w:t>
      </w:r>
    </w:p>
    <w:p w14:paraId="06DF9E36">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4.2.2.2查询渠道：</w:t>
      </w:r>
      <w:r>
        <w:rPr>
          <w:rFonts w:hint="eastAsia" w:ascii="宋体" w:hAnsi="宋体" w:eastAsia="宋体" w:cs="宋体"/>
          <w:color w:val="auto"/>
          <w:sz w:val="24"/>
          <w:szCs w:val="24"/>
          <w:highlight w:val="none"/>
          <w:lang w:val="zh-CN"/>
        </w:rPr>
        <w:t>在政府采购活动中通过“苏州政府采购交易管理平台”一键获取“信用中国”、“信用江苏”及中国政府采购网上的信用信息。</w:t>
      </w:r>
    </w:p>
    <w:p w14:paraId="5CD7835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3B8081CA">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4.2.2.4信用记录使用规则：评审小组在对供应商进行资格性审查时，应根据查询结果对供应商的不良信用记录逐项甄别确认。按照《中华人民共和国政府采购法》第二十二条规定，信用记录属于应依法拒绝供应商参加政府采购的失信信息，存在此类失信信息的投标人的投标无效。</w:t>
      </w:r>
    </w:p>
    <w:p w14:paraId="71413942">
      <w:pPr>
        <w:tabs>
          <w:tab w:val="left" w:pos="142"/>
          <w:tab w:val="left" w:pos="600"/>
        </w:tabs>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4.3评标委员会</w:t>
      </w:r>
    </w:p>
    <w:p w14:paraId="64175B9B">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4.3.1采购人或采购代理机构负责组织评标工作，评标委员会由采购人代表和评审专家组成，负责具体评标事务，并独立履行职责。</w:t>
      </w:r>
    </w:p>
    <w:p w14:paraId="6C6BB5F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4.3.2评审专家与参加采购活动的供应商存在下列利害关系之一的，应当回避：</w:t>
      </w:r>
    </w:p>
    <w:p w14:paraId="11789558">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(一)参加采购活动前三年内，与供应商存在劳动关系，或者担任过供应商的董事、监事，或者是供应商的控股股东或实际控制人；</w:t>
      </w:r>
    </w:p>
    <w:p w14:paraId="37ED221E">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(二)与供应商的法定代表人或者负责人有夫妻、直系血亲、三代以内旁系血亲或者近姻亲关系；</w:t>
      </w:r>
    </w:p>
    <w:p w14:paraId="3D12186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(三)与供应商有其他可能影响政府采购活动公平、公正进行的关系。</w:t>
      </w:r>
    </w:p>
    <w:p w14:paraId="2D384D7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评审专家发现本人与参加采购活动的供应商有利害关系的，应当主动提出回避。采购人或者采购代理机构发现评审专家与参加采购活动的供应商有利害关系的，应当要求其回避。</w:t>
      </w:r>
    </w:p>
    <w:p w14:paraId="70DC71E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p>
    <w:p w14:paraId="494B7E10">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4.3.4评标委员会成员应当按照客观、公正、审慎的原则，根据采购文件规定的评审程序、评审方法和评审标准进行独立评审。</w:t>
      </w:r>
    </w:p>
    <w:p w14:paraId="19E3E49E">
      <w:pPr>
        <w:tabs>
          <w:tab w:val="left" w:pos="142"/>
          <w:tab w:val="left" w:pos="600"/>
        </w:tabs>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4.4评标</w:t>
      </w:r>
    </w:p>
    <w:p w14:paraId="29B17ED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4.4.1符合性审查</w:t>
      </w:r>
    </w:p>
    <w:p w14:paraId="0A2505A8">
      <w:pPr>
        <w:tabs>
          <w:tab w:val="left" w:pos="540"/>
        </w:tabs>
        <w:spacing w:line="36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评标委员会应当对符合资格的投标人的投标文件进行符合性审查，以确定其是否满足招标文件的实质性要求。</w:t>
      </w:r>
      <w:r>
        <w:rPr>
          <w:rFonts w:hint="eastAsia" w:ascii="宋体" w:hAnsi="宋体" w:eastAsia="宋体" w:cs="宋体"/>
          <w:bCs/>
          <w:color w:val="auto"/>
          <w:sz w:val="24"/>
          <w:szCs w:val="24"/>
          <w:highlight w:val="none"/>
        </w:rPr>
        <w:t>未满足本项目实质性要求的认定为无效投标。</w:t>
      </w:r>
    </w:p>
    <w:p w14:paraId="72B18729">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4.4.2投标文件的比较和评价</w:t>
      </w:r>
    </w:p>
    <w:p w14:paraId="6F42A724">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4.4.2.1评标委员会应当按照招标文件中规定的评标方法和标准，对符合性审查合格的投标文件进行商务和技术评估，综合比较与评价。</w:t>
      </w:r>
    </w:p>
    <w:p w14:paraId="49863B32">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4.4.2.2本项目采用综合评分法，即指投标文件满足招标文件全部实质性要求，且按照评审因素的量化指标评审得分最高的投标人为中标候选人的评标方法。评标办法和标准见第六章。</w:t>
      </w:r>
    </w:p>
    <w:p w14:paraId="2905E420">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4.4.2.3价格修正</w:t>
      </w:r>
    </w:p>
    <w:p w14:paraId="686C3602">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投标文件报价出现前后不一致的，除招标文件另有规定外，按下列规定修正：</w:t>
      </w:r>
    </w:p>
    <w:p w14:paraId="5194A508">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404B5204">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34F53DCC">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1251B207">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125DCB74">
      <w:pPr>
        <w:tabs>
          <w:tab w:val="left" w:pos="540"/>
        </w:tabs>
        <w:spacing w:line="36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w:t>
      </w:r>
    </w:p>
    <w:p w14:paraId="2651AF25">
      <w:pPr>
        <w:tabs>
          <w:tab w:val="left" w:pos="540"/>
        </w:tabs>
        <w:spacing w:line="360" w:lineRule="auto"/>
        <w:ind w:firstLine="48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修正后的报价按照《中华人民共和国财政部令第87号》第五十一条第二款的规定经投标人确认后产生约束力，投标人不确认的，其投标无效。</w:t>
      </w:r>
    </w:p>
    <w:p w14:paraId="18DF355F">
      <w:pPr>
        <w:tabs>
          <w:tab w:val="left" w:pos="142"/>
          <w:tab w:val="left" w:pos="60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p>
    <w:p w14:paraId="3E21241A">
      <w:pPr>
        <w:tabs>
          <w:tab w:val="left" w:pos="142"/>
          <w:tab w:val="left" w:pos="60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4.4.2.5评标委员会成员对需要共同认定的事项存在争议的，应当按照少数服从多数的原则作出结论。持不同意见的评标委员会成员应当在评标报告上签署不同意见及理由，否则视为同意评标报告。</w:t>
      </w:r>
    </w:p>
    <w:p w14:paraId="61ABAC59">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4.4.3投标的澄清</w:t>
      </w:r>
    </w:p>
    <w:p w14:paraId="10C7EE06">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p>
    <w:p w14:paraId="6B57E07D">
      <w:pPr>
        <w:tabs>
          <w:tab w:val="left" w:pos="142"/>
          <w:tab w:val="left" w:pos="600"/>
        </w:tabs>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4.4.3.2</w:t>
      </w:r>
      <w:r>
        <w:rPr>
          <w:rFonts w:hint="eastAsia" w:ascii="宋体" w:hAnsi="宋体" w:eastAsia="宋体" w:cs="宋体"/>
          <w:b/>
          <w:color w:val="auto"/>
          <w:sz w:val="24"/>
          <w:szCs w:val="24"/>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此处规定时间的计算以系统中的倒计时间为准，</w:t>
      </w:r>
      <w:r>
        <w:rPr>
          <w:rFonts w:hint="eastAsia" w:ascii="宋体" w:hAnsi="宋体" w:eastAsia="宋体" w:cs="宋体"/>
          <w:color w:val="auto"/>
          <w:sz w:val="24"/>
          <w:szCs w:val="24"/>
          <w:highlight w:val="none"/>
        </w:rPr>
        <w:t>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val="zh-CN"/>
        </w:rPr>
        <w:t>。</w:t>
      </w:r>
    </w:p>
    <w:p w14:paraId="51FD8BA5">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5、废标</w:t>
      </w:r>
    </w:p>
    <w:p w14:paraId="4E866E4A">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5.1出现下列情形之一的，应予废标：</w:t>
      </w:r>
    </w:p>
    <w:p w14:paraId="63DED601">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（一）符合专业条件的供应商或者对招标文件作实质响应的供应商不足三家的；</w:t>
      </w:r>
    </w:p>
    <w:p w14:paraId="521B3B64">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（二）出现影响采购公正的违法、违规行为的；</w:t>
      </w:r>
    </w:p>
    <w:p w14:paraId="2B267C25">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（三）投标人的报价均超过了采购预算，采购人不能支付的；</w:t>
      </w:r>
    </w:p>
    <w:p w14:paraId="0F284892">
      <w:pPr>
        <w:tabs>
          <w:tab w:val="left" w:pos="142"/>
          <w:tab w:val="left" w:pos="6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（四）因重大变故，采购任务取消的。</w:t>
      </w:r>
    </w:p>
    <w:p w14:paraId="3DD0906F">
      <w:pPr>
        <w:tabs>
          <w:tab w:val="left" w:pos="142"/>
          <w:tab w:val="left" w:pos="60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5.2废标后，采购人应当将废标理由通知所有投标人。</w:t>
      </w:r>
    </w:p>
    <w:p w14:paraId="32EA3037">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6、中标</w:t>
      </w:r>
    </w:p>
    <w:p w14:paraId="5547824A">
      <w:pPr>
        <w:pStyle w:val="24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本项目评标方法</w:t>
      </w:r>
      <w:r>
        <w:rPr>
          <w:rFonts w:hint="eastAsia" w:ascii="宋体" w:hAnsi="宋体" w:eastAsia="宋体" w:cs="宋体"/>
          <w:color w:val="auto"/>
          <w:sz w:val="24"/>
          <w:szCs w:val="24"/>
          <w:highlight w:val="none"/>
        </w:rPr>
        <w:t>采用综合评分法，</w:t>
      </w:r>
      <w:r>
        <w:rPr>
          <w:rFonts w:hint="eastAsia" w:ascii="宋体" w:hAnsi="宋体" w:eastAsia="宋体" w:cs="宋体"/>
          <w:color w:val="auto"/>
          <w:sz w:val="24"/>
          <w:szCs w:val="24"/>
          <w:highlight w:val="none"/>
        </w:rPr>
        <w:t>即指投标文件满足招标文件全部实质性要求，且按照评审因素的量化指标评审得分最高的投标人为中标候选人的评标方法</w:t>
      </w:r>
      <w:r>
        <w:rPr>
          <w:rFonts w:hint="eastAsia" w:ascii="宋体" w:hAnsi="宋体" w:eastAsia="宋体" w:cs="宋体"/>
          <w:color w:val="auto"/>
          <w:sz w:val="24"/>
          <w:szCs w:val="24"/>
          <w:highlight w:val="none"/>
          <w:lang w:eastAsia="zh-CN"/>
        </w:rPr>
        <w:t>。</w:t>
      </w:r>
    </w:p>
    <w:p w14:paraId="5B957815">
      <w:pPr>
        <w:pStyle w:val="24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评标结果按评审后得分由高到低顺序排列。得分相同的，按投标报价由低到高顺序排列。得分且投标报价相同的，则由</w:t>
      </w: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组织抽签确定中标</w:t>
      </w:r>
      <w:r>
        <w:rPr>
          <w:rFonts w:hint="eastAsia" w:ascii="宋体" w:hAnsi="宋体" w:eastAsia="宋体" w:cs="宋体"/>
          <w:color w:val="auto"/>
          <w:sz w:val="24"/>
          <w:szCs w:val="24"/>
          <w:highlight w:val="none"/>
          <w:lang w:val="en-US" w:eastAsia="zh-CN"/>
        </w:rPr>
        <w:t>候选人顺序</w:t>
      </w:r>
      <w:r>
        <w:rPr>
          <w:rFonts w:hint="eastAsia" w:ascii="宋体" w:hAnsi="宋体" w:eastAsia="宋体" w:cs="宋体"/>
          <w:color w:val="auto"/>
          <w:sz w:val="24"/>
          <w:szCs w:val="24"/>
          <w:highlight w:val="none"/>
        </w:rPr>
        <w:t>。</w:t>
      </w:r>
    </w:p>
    <w:p w14:paraId="75580514">
      <w:pPr>
        <w:pStyle w:val="24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6.3评标委员会在确定的中标候选人名单中按顺序确定中标单位，中标候选人并列的，按照招标文件规定的方式确定中标单位。</w:t>
      </w:r>
    </w:p>
    <w:p w14:paraId="71FD55E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6.4</w:t>
      </w:r>
      <w:r>
        <w:rPr>
          <w:rFonts w:hint="eastAsia" w:ascii="宋体" w:hAnsi="宋体" w:eastAsia="宋体" w:cs="宋体"/>
          <w:color w:val="auto"/>
          <w:sz w:val="24"/>
          <w:szCs w:val="24"/>
          <w:highlight w:val="none"/>
        </w:rPr>
        <w:t>确定出中标人后，采购代理机构在法定时间内向中标人发出中标通知书。</w:t>
      </w:r>
      <w:r>
        <w:rPr>
          <w:rFonts w:hint="eastAsia" w:ascii="宋体" w:hAnsi="宋体" w:eastAsia="宋体" w:cs="宋体"/>
          <w:b/>
          <w:color w:val="auto"/>
          <w:sz w:val="24"/>
          <w:szCs w:val="24"/>
          <w:highlight w:val="none"/>
        </w:rPr>
        <w:t>请中标人在中标结果公告届满之日起30日内,使用CA证书登录“苏采云”系统及时下载中标通知书。</w:t>
      </w:r>
      <w:r>
        <w:rPr>
          <w:rFonts w:hint="eastAsia" w:ascii="宋体" w:hAnsi="宋体" w:eastAsia="宋体" w:cs="宋体"/>
          <w:color w:val="auto"/>
          <w:sz w:val="24"/>
          <w:szCs w:val="24"/>
          <w:highlight w:val="none"/>
        </w:rPr>
        <w:t>因系统存储空间有限，自中标结果公告届满之日起30日后，“苏采云”系统不再保证提供下载中标通知书服务,因未及时下载而造成的不利后果由中标人自行承担。</w:t>
      </w:r>
    </w:p>
    <w:p w14:paraId="0987628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中标通知书将成为合同的组成部分，对采购人和中标人具有同等法律效力。</w:t>
      </w:r>
    </w:p>
    <w:p w14:paraId="18332D5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6.6</w:t>
      </w:r>
      <w:r>
        <w:rPr>
          <w:rFonts w:hint="eastAsia" w:ascii="宋体" w:hAnsi="宋体" w:eastAsia="宋体" w:cs="宋体"/>
          <w:color w:val="auto"/>
          <w:sz w:val="24"/>
          <w:szCs w:val="24"/>
          <w:highlight w:val="none"/>
        </w:rPr>
        <w:t>中标通知书发出后，采购人不得违法改变中标结果，中标人无正当理由不得放弃中标。</w:t>
      </w:r>
    </w:p>
    <w:p w14:paraId="38481519">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7、履约保证金</w:t>
      </w:r>
    </w:p>
    <w:p w14:paraId="664D5077">
      <w:pPr>
        <w:pStyle w:val="24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见第五章合同文本履约保证金条款。</w:t>
      </w:r>
    </w:p>
    <w:p w14:paraId="66A431F2">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w:t>
      </w:r>
      <w:r>
        <w:rPr>
          <w:rFonts w:hint="eastAsia" w:ascii="宋体" w:hAnsi="宋体" w:eastAsia="宋体" w:cs="宋体"/>
          <w:b/>
          <w:color w:val="auto"/>
          <w:sz w:val="24"/>
          <w:szCs w:val="24"/>
          <w:highlight w:val="none"/>
        </w:rPr>
        <w:t>合同的签订</w:t>
      </w:r>
    </w:p>
    <w:p w14:paraId="4DF0B0C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w:t>
      </w:r>
      <w:r>
        <w:rPr>
          <w:rFonts w:hint="eastAsia" w:ascii="宋体" w:hAnsi="宋体" w:eastAsia="宋体" w:cs="宋体"/>
          <w:color w:val="auto"/>
          <w:sz w:val="24"/>
          <w:szCs w:val="24"/>
          <w:highlight w:val="none"/>
        </w:rPr>
        <w:t>中标单位应按中标通知书中规定的时间和地点，由法定代表人或委托代理人与甲方代表签订合同,否则按放弃中标权处理。</w:t>
      </w:r>
    </w:p>
    <w:p w14:paraId="575888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p>
    <w:p w14:paraId="1BFCBE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 采购人不得向中标供应商提出任何不合理的要求作为签订合同的条件，不得与中标供应商私下订立背离合同实质性内容的协议。</w:t>
      </w:r>
    </w:p>
    <w:p w14:paraId="378BCB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8.4依据《政府采购促进中小企业发展管理办法》（财库〔2020〕46号）规定，享受扶持政策获得政府采购合同的，小微企业不得将合同分包给大中型企业，中型企业不得将合同分包给大型企业。</w:t>
      </w:r>
    </w:p>
    <w:p w14:paraId="222E27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8.5中标供应商无正当理由不得放弃中标。</w:t>
      </w:r>
    </w:p>
    <w:p w14:paraId="487CEF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8.6采购合同履行中，采购人需追加与合同标的相同货物、工程或者服务的，在不改变合同其他条款的前提下，可以与供应商协商签订补充合同，但所有补充合同的采购金额不得超过原合同采购金额的百分之十。</w:t>
      </w:r>
    </w:p>
    <w:p w14:paraId="3D5D5732">
      <w:pPr>
        <w:tabs>
          <w:tab w:val="left" w:pos="142"/>
          <w:tab w:val="left" w:pos="60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9、质疑</w:t>
      </w:r>
    </w:p>
    <w:p w14:paraId="11F73B2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9.1质疑及答复遵守《政府采购质疑和投诉办法》（中华人民共和国财政部令第94号）规定。</w:t>
      </w:r>
    </w:p>
    <w:p w14:paraId="48F379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p>
    <w:p w14:paraId="268F93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9.3本项目投标人应当在法定质疑期内一次性提出针对同一采购程序环节的质疑。</w:t>
      </w:r>
    </w:p>
    <w:p w14:paraId="05E302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9.3.1</w:t>
      </w:r>
      <w:r>
        <w:rPr>
          <w:rFonts w:hint="eastAsia" w:ascii="宋体" w:hAnsi="宋体" w:eastAsia="宋体" w:cs="宋体"/>
          <w:color w:val="auto"/>
          <w:sz w:val="24"/>
          <w:szCs w:val="24"/>
          <w:highlight w:val="none"/>
          <w:lang w:val="zh-CN" w:eastAsia="zh-CN"/>
        </w:rPr>
        <w:t>接受质疑函的方式：当场送达或邮寄方式。</w:t>
      </w:r>
    </w:p>
    <w:p w14:paraId="775882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9.3.2</w:t>
      </w:r>
      <w:r>
        <w:rPr>
          <w:rFonts w:hint="eastAsia" w:ascii="宋体" w:hAnsi="宋体" w:eastAsia="宋体" w:cs="宋体"/>
          <w:color w:val="auto"/>
          <w:sz w:val="24"/>
          <w:szCs w:val="24"/>
          <w:highlight w:val="none"/>
          <w:lang w:val="zh-CN" w:eastAsia="zh-CN"/>
        </w:rPr>
        <w:t>联系单位：</w:t>
      </w:r>
      <w:r>
        <w:rPr>
          <w:rFonts w:hint="eastAsia" w:ascii="宋体" w:hAnsi="宋体" w:eastAsia="宋体" w:cs="宋体"/>
          <w:color w:val="auto"/>
          <w:sz w:val="24"/>
          <w:szCs w:val="24"/>
          <w:highlight w:val="none"/>
          <w:lang w:val="en-US" w:eastAsia="zh-CN"/>
        </w:rPr>
        <w:t>艾菲尔（江苏）招投标股份有限公司</w:t>
      </w:r>
    </w:p>
    <w:p w14:paraId="6E5D2F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9.3.3</w:t>
      </w:r>
      <w:r>
        <w:rPr>
          <w:rFonts w:hint="eastAsia" w:ascii="宋体" w:hAnsi="宋体" w:eastAsia="宋体" w:cs="宋体"/>
          <w:color w:val="auto"/>
          <w:sz w:val="24"/>
          <w:szCs w:val="24"/>
          <w:highlight w:val="none"/>
          <w:lang w:val="zh-CN" w:eastAsia="zh-CN"/>
        </w:rPr>
        <w:t>收件人：傅工</w:t>
      </w:r>
      <w:r>
        <w:rPr>
          <w:rFonts w:hint="eastAsia" w:ascii="宋体" w:hAnsi="宋体" w:eastAsia="宋体" w:cs="宋体"/>
          <w:color w:val="auto"/>
          <w:sz w:val="24"/>
          <w:szCs w:val="24"/>
          <w:highlight w:val="none"/>
          <w:lang w:val="en-US" w:eastAsia="zh-CN"/>
        </w:rPr>
        <w:t xml:space="preserve"> </w:t>
      </w:r>
    </w:p>
    <w:p w14:paraId="726E0A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9.3.4</w:t>
      </w:r>
      <w:r>
        <w:rPr>
          <w:rFonts w:hint="eastAsia" w:ascii="宋体" w:hAnsi="宋体" w:eastAsia="宋体" w:cs="宋体"/>
          <w:color w:val="auto"/>
          <w:sz w:val="24"/>
          <w:szCs w:val="24"/>
          <w:highlight w:val="none"/>
          <w:lang w:val="zh-CN" w:eastAsia="zh-CN"/>
        </w:rPr>
        <w:t>联系电话：0512-65365735、18013795708</w:t>
      </w:r>
      <w:r>
        <w:rPr>
          <w:rFonts w:hint="eastAsia" w:ascii="宋体" w:hAnsi="宋体" w:eastAsia="宋体" w:cs="宋体"/>
          <w:color w:val="auto"/>
          <w:sz w:val="24"/>
          <w:szCs w:val="24"/>
          <w:highlight w:val="none"/>
          <w:lang w:val="en-US" w:eastAsia="zh-CN"/>
        </w:rPr>
        <w:t xml:space="preserve"> </w:t>
      </w:r>
    </w:p>
    <w:p w14:paraId="08AB8B4F">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9.3.5</w:t>
      </w:r>
      <w:r>
        <w:rPr>
          <w:rFonts w:hint="eastAsia" w:ascii="宋体" w:hAnsi="宋体" w:eastAsia="宋体" w:cs="宋体"/>
          <w:color w:val="auto"/>
          <w:sz w:val="24"/>
          <w:szCs w:val="24"/>
          <w:highlight w:val="none"/>
          <w:lang w:val="zh-CN" w:eastAsia="zh-CN"/>
        </w:rPr>
        <w:t>通讯地址：</w:t>
      </w:r>
      <w:r>
        <w:rPr>
          <w:rFonts w:hint="eastAsia" w:ascii="宋体" w:hAnsi="宋体" w:eastAsia="宋体" w:cs="宋体"/>
          <w:color w:val="auto"/>
          <w:sz w:val="24"/>
          <w:szCs w:val="24"/>
          <w:highlight w:val="none"/>
          <w:lang w:val="en-US" w:eastAsia="zh-CN"/>
        </w:rPr>
        <w:t>江苏省苏州市高新区玉山路43号1幢203-2室</w:t>
      </w:r>
    </w:p>
    <w:p w14:paraId="1008A128">
      <w:pPr>
        <w:tabs>
          <w:tab w:val="left" w:pos="142"/>
          <w:tab w:val="left" w:pos="60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9.4未依照</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公告要求获取</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文件的供应商，视为未参加该项政府采购活动，不具备对该政府采购项目提出质疑的法定权利。</w:t>
      </w:r>
    </w:p>
    <w:p w14:paraId="771F3436">
      <w:pPr>
        <w:tabs>
          <w:tab w:val="left" w:pos="142"/>
          <w:tab w:val="left" w:pos="600"/>
        </w:tabs>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9.5</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文件内容质疑时，需提供在采购系统中下载本项目</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文件的《交易文件下载确认单》，未提供的视为未依照</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公告要求获取</w:t>
      </w:r>
      <w:r>
        <w:rPr>
          <w:rFonts w:hint="eastAsia" w:ascii="宋体" w:hAnsi="宋体" w:eastAsia="宋体" w:cs="宋体"/>
          <w:b w:val="0"/>
          <w:bCs/>
          <w:color w:val="auto"/>
          <w:sz w:val="24"/>
          <w:szCs w:val="24"/>
          <w:highlight w:val="none"/>
          <w:lang w:val="en-US" w:eastAsia="zh-CN"/>
        </w:rPr>
        <w:t>招标</w:t>
      </w:r>
      <w:r>
        <w:rPr>
          <w:rFonts w:hint="eastAsia" w:ascii="宋体" w:hAnsi="宋体" w:eastAsia="宋体" w:cs="宋体"/>
          <w:b w:val="0"/>
          <w:bCs/>
          <w:color w:val="auto"/>
          <w:sz w:val="24"/>
          <w:szCs w:val="24"/>
          <w:highlight w:val="none"/>
        </w:rPr>
        <w:t>文件的供应商，不具备对该政府采购项目提出质疑的法定权利。</w:t>
      </w:r>
    </w:p>
    <w:p w14:paraId="288DAEE2">
      <w:pPr>
        <w:tabs>
          <w:tab w:val="left" w:pos="142"/>
          <w:tab w:val="left" w:pos="600"/>
        </w:tabs>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9.6接收质疑函的方式为书面形式（当场送达或邮寄方式）</w:t>
      </w:r>
      <w:r>
        <w:rPr>
          <w:rFonts w:hint="eastAsia" w:ascii="宋体" w:hAnsi="宋体" w:eastAsia="宋体" w:cs="宋体"/>
          <w:bCs/>
          <w:color w:val="auto"/>
          <w:sz w:val="24"/>
          <w:szCs w:val="24"/>
          <w:highlight w:val="none"/>
        </w:rPr>
        <w:t>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60519C37">
      <w:pPr>
        <w:spacing w:line="360" w:lineRule="auto"/>
        <w:ind w:firstLine="5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文件的有效期</w:t>
      </w:r>
    </w:p>
    <w:p w14:paraId="516FCD89">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文件的有效期自提交</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文件的截止之日起</w:t>
      </w:r>
      <w:r>
        <w:rPr>
          <w:rFonts w:hint="eastAsia" w:ascii="宋体" w:hAnsi="宋体" w:eastAsia="宋体" w:cs="宋体"/>
          <w:bCs/>
          <w:color w:val="auto"/>
          <w:sz w:val="24"/>
          <w:szCs w:val="24"/>
          <w:highlight w:val="none"/>
          <w:lang w:val="en-US" w:eastAsia="zh-CN"/>
        </w:rPr>
        <w:t>六十</w:t>
      </w:r>
      <w:r>
        <w:rPr>
          <w:rFonts w:hint="eastAsia" w:ascii="宋体" w:hAnsi="宋体" w:eastAsia="宋体" w:cs="宋体"/>
          <w:bCs/>
          <w:color w:val="auto"/>
          <w:sz w:val="24"/>
          <w:szCs w:val="24"/>
          <w:highlight w:val="none"/>
        </w:rPr>
        <w:t>天，</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文件应保持有效。</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文件的有效期不明确或短于上述规定期限的，</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文件无效。</w:t>
      </w:r>
    </w:p>
    <w:p w14:paraId="6EFF982C">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10.2在特殊情况下，采购人可与供应商协商延长响应文件的有效期，这种要求和答复都应以书面形式进行。</w:t>
      </w:r>
    </w:p>
    <w:p w14:paraId="24FFD1E9">
      <w:pPr>
        <w:spacing w:line="360" w:lineRule="auto"/>
        <w:ind w:firstLine="5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、代理服务费</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由中标人承担。</w:t>
      </w:r>
    </w:p>
    <w:p w14:paraId="0885A8C0">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.1代理服务费以采购预算金额为基数依据，按如下规定的标准和差额定率累进法进行计算收取：</w:t>
      </w:r>
    </w:p>
    <w:p w14:paraId="3D5CA8E4">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预算金额100万元以下部分，费率为该部分预算金额的1.5％；</w:t>
      </w:r>
    </w:p>
    <w:p w14:paraId="4CF64434">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预算金额100万元（含）－500万元部分，费率为该部分预算金额的1.1％；</w:t>
      </w:r>
    </w:p>
    <w:p w14:paraId="59AE3029">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预算金额500万元（含）-1000万元部分，费率为该部分预算金额的0.8％；</w:t>
      </w:r>
    </w:p>
    <w:p w14:paraId="2ACE933F">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预算金额1000万元（含）-5000万元部分，费率为该部分预算金额的0.5％；</w:t>
      </w:r>
    </w:p>
    <w:p w14:paraId="4934DBBE">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预算金额5000万元以上部分，费率为该部分预算金额的0.25％。</w:t>
      </w:r>
    </w:p>
    <w:p w14:paraId="5718A607">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代理服务费由中标人在领取中标通知书时一次性付清并含在其投标报价中。</w:t>
      </w:r>
    </w:p>
    <w:p w14:paraId="16A94327">
      <w:pPr>
        <w:spacing w:line="360" w:lineRule="auto"/>
        <w:ind w:firstLine="5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中标人如果未按上述规定缴纳中标服务费，采购代理机构将保留诉讼的权利。</w:t>
      </w:r>
    </w:p>
    <w:p w14:paraId="7B96EBAE">
      <w:pPr>
        <w:spacing w:line="360" w:lineRule="auto"/>
        <w:ind w:firstLine="5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、其他事项</w:t>
      </w:r>
    </w:p>
    <w:p w14:paraId="34881435">
      <w:pPr>
        <w:spacing w:line="360" w:lineRule="auto"/>
        <w:ind w:firstLine="518"/>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按《中华人民共和国政府采购法》及其他有关政府采购的法律法规的规定执行。</w:t>
      </w:r>
      <w:r>
        <w:rPr>
          <w:rFonts w:hint="eastAsia" w:ascii="宋体" w:hAnsi="宋体" w:eastAsia="宋体" w:cs="宋体"/>
          <w:color w:val="auto"/>
          <w:highlight w:val="none"/>
        </w:rPr>
        <w:br w:type="page" w:clear="all"/>
      </w:r>
    </w:p>
    <w:p w14:paraId="090A89FD">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第三章 投标文件格式</w:t>
      </w:r>
    </w:p>
    <w:p w14:paraId="6D5AA5F3">
      <w:pPr>
        <w:pStyle w:val="234"/>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投标响应函</w:t>
      </w:r>
    </w:p>
    <w:p w14:paraId="6CEF22EB">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艾菲尔（江苏）招投标股份有限公司</w:t>
      </w:r>
      <w:r>
        <w:rPr>
          <w:rFonts w:hint="eastAsia" w:ascii="宋体" w:hAnsi="宋体" w:eastAsia="宋体" w:cs="宋体"/>
          <w:color w:val="auto"/>
          <w:sz w:val="24"/>
          <w:szCs w:val="24"/>
          <w:highlight w:val="none"/>
        </w:rPr>
        <w:t>：</w:t>
      </w:r>
    </w:p>
    <w:p w14:paraId="7C143C87">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号招标文件，经仔细阅读和研究，我们决定参加投标。</w:t>
      </w:r>
    </w:p>
    <w:p w14:paraId="6DCCF595">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1、我们愿意按照招标文件的一切要求，提供完成该项目的全部内容。</w:t>
      </w:r>
      <w:r>
        <w:rPr>
          <w:rFonts w:hint="eastAsia" w:ascii="宋体" w:hAnsi="宋体" w:eastAsia="宋体" w:cs="宋体"/>
          <w:color w:val="auto"/>
          <w:sz w:val="24"/>
          <w:szCs w:val="24"/>
          <w:highlight w:val="none"/>
          <w:lang w:val="zh-CN"/>
        </w:rPr>
        <w:t>我方投标的报价包括完成本项工作所需的一切应有费用。</w:t>
      </w:r>
    </w:p>
    <w:p w14:paraId="0D254DE6">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2、如果我们的投标被接受，我们将严格履行招标文件中规定的每一项要求，严格履行合同的责任和义务，保证按期、按质履行合同，完成合同内容所规定的全部工作。</w:t>
      </w:r>
    </w:p>
    <w:p w14:paraId="5ECF2FF7">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3、我们同意按招标文件规定，本投标书的有效期限自提交投标文件的截止之日起</w:t>
      </w:r>
      <w:r>
        <w:rPr>
          <w:rFonts w:hint="eastAsia" w:ascii="宋体" w:hAnsi="宋体" w:eastAsia="宋体" w:cs="宋体"/>
          <w:color w:val="auto"/>
          <w:sz w:val="24"/>
          <w:szCs w:val="24"/>
          <w:highlight w:val="none"/>
          <w:u w:val="single"/>
          <w:lang w:val="en-US" w:eastAsia="zh-CN"/>
        </w:rPr>
        <w:t>60</w:t>
      </w:r>
      <w:r>
        <w:rPr>
          <w:rFonts w:hint="eastAsia" w:ascii="宋体" w:hAnsi="宋体" w:eastAsia="宋体" w:cs="宋体"/>
          <w:color w:val="auto"/>
          <w:sz w:val="24"/>
          <w:szCs w:val="24"/>
          <w:highlight w:val="none"/>
        </w:rPr>
        <w:t>天。如果我们在开标后规定的投标有效期内撤回投标，我们愿承担一切责任。</w:t>
      </w:r>
    </w:p>
    <w:p w14:paraId="31D77734">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4、我们愿意提供招标文件中要求的所有资料，也同意向贵方提供贵方可能另外要求的与其投标有关的任何证据或资料，并保证所提供的资料全部是真实的、有效的，若有虚假，我们愿承担一切责任。</w:t>
      </w:r>
    </w:p>
    <w:p w14:paraId="7DDD2427">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5、我们认为你们有权决定中标人，还认为你们有权接受或拒绝投标人。</w:t>
      </w:r>
    </w:p>
    <w:p w14:paraId="50C39051">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6、我们愿意遵守招标公告及招标文件中所列的收费标准。</w:t>
      </w:r>
    </w:p>
    <w:p w14:paraId="23D7F6F1">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7、我们承诺本项投标文件在开标后的全过程中保持有效。我们同意中标后若不履行投标文件的内容要求和各项承诺及义务的即被视为违约，我们愿承担一切责任。</w:t>
      </w:r>
    </w:p>
    <w:p w14:paraId="1E5703BC">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、如果我们中标，我们愿意在签订合同时支付履约保证金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，并按招标文件规定支付中标服务费；</w:t>
      </w:r>
    </w:p>
    <w:p w14:paraId="07B6999E">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、与本投标有关的通讯地址：</w:t>
      </w:r>
    </w:p>
    <w:p w14:paraId="4385010B">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                                 联系人：</w:t>
      </w:r>
    </w:p>
    <w:p w14:paraId="00B55148">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邮政编码：</w:t>
      </w:r>
    </w:p>
    <w:p w14:paraId="162BC9BB">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传真：</w:t>
      </w:r>
    </w:p>
    <w:p w14:paraId="59FA1C26">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投标人（单位盖章）：</w:t>
      </w:r>
    </w:p>
    <w:p w14:paraId="2F27B19A">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法定代表人或代理人（签字或盖章）：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日期：  年   月   日</w:t>
      </w:r>
    </w:p>
    <w:p w14:paraId="58B16A13">
      <w:pPr>
        <w:pStyle w:val="234"/>
        <w:spacing w:line="360" w:lineRule="auto"/>
        <w:ind w:firstLine="480"/>
        <w:rPr>
          <w:rFonts w:hint="eastAsia" w:ascii="宋体" w:hAnsi="宋体" w:eastAsia="宋体" w:cs="宋体"/>
          <w:color w:val="auto"/>
          <w:sz w:val="24"/>
          <w:szCs w:val="24"/>
          <w:highlight w:val="none"/>
        </w:rPr>
      </w:pPr>
    </w:p>
    <w:p w14:paraId="376E0C0B">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2、（投标</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rPr>
        <w:t>）法定代表人授权委托书</w:t>
      </w:r>
    </w:p>
    <w:p w14:paraId="3C71CB00">
      <w:pPr>
        <w:pStyle w:val="198"/>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（姓名）为我公司代理人，并以本公司的名义在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号（采购编号）采购项目的开标、评标和合同签订过程中所签署的一切文件和处理与这有关的一切事务，我公司均予以承认。</w:t>
      </w:r>
    </w:p>
    <w:p w14:paraId="78B521C8">
      <w:pPr>
        <w:pStyle w:val="198"/>
        <w:spacing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p>
    <w:p w14:paraId="099118A4">
      <w:pPr>
        <w:pStyle w:val="198"/>
        <w:spacing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代理人无转委托权。特此委托。</w:t>
      </w:r>
    </w:p>
    <w:p w14:paraId="0BC57609">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投标人（单位盖章）：</w:t>
      </w:r>
    </w:p>
    <w:p w14:paraId="229C0497">
      <w:pPr>
        <w:pStyle w:val="198"/>
        <w:spacing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p>
    <w:p w14:paraId="195CC8B7">
      <w:pPr>
        <w:pStyle w:val="198"/>
        <w:spacing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代理人：（签字或盖章）</w:t>
      </w:r>
    </w:p>
    <w:p w14:paraId="4A40D0D5">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4E2AC27">
      <w:pPr>
        <w:pStyle w:val="198"/>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注：本授权委托书仅限于法人性质投标人投标，投标文件中必须提供法定代表人和代理人身份证复印件。非法人性质投标人投标，授权委托书格式自拟，但必须同时提供受托双方身份证复印件。</w:t>
      </w:r>
    </w:p>
    <w:p w14:paraId="15021A5F">
      <w:pPr>
        <w:pStyle w:val="198"/>
        <w:spacing w:line="360" w:lineRule="auto"/>
        <w:ind w:firstLine="0"/>
        <w:rPr>
          <w:rFonts w:hint="eastAsia" w:ascii="宋体" w:hAnsi="宋体" w:eastAsia="宋体" w:cs="宋体"/>
          <w:color w:val="auto"/>
          <w:szCs w:val="24"/>
          <w:highlight w:val="none"/>
        </w:rPr>
      </w:pPr>
    </w:p>
    <w:p w14:paraId="64F1A674">
      <w:pPr>
        <w:pStyle w:val="205"/>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3、开标一览表</w:t>
      </w:r>
    </w:p>
    <w:p w14:paraId="6A5EB064">
      <w:pPr>
        <w:pStyle w:val="205"/>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开标一览表</w:t>
      </w:r>
    </w:p>
    <w:tbl>
      <w:tblPr>
        <w:tblStyle w:val="31"/>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3747"/>
        <w:gridCol w:w="4574"/>
      </w:tblGrid>
      <w:tr w14:paraId="39A54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18" w:hRule="atLeast"/>
        </w:trPr>
        <w:tc>
          <w:tcPr>
            <w:tcW w:w="2198" w:type="pct"/>
            <w:tcBorders>
              <w:top w:val="single" w:color="000000" w:sz="2" w:space="0"/>
              <w:left w:val="single" w:color="000000" w:sz="2" w:space="0"/>
              <w:bottom w:val="single" w:color="000000" w:sz="2" w:space="0"/>
              <w:right w:val="single" w:color="000000" w:sz="2" w:space="0"/>
            </w:tcBorders>
            <w:vAlign w:val="center"/>
          </w:tcPr>
          <w:p w14:paraId="2C1B58D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项目名称</w:t>
            </w:r>
          </w:p>
        </w:tc>
        <w:tc>
          <w:tcPr>
            <w:tcW w:w="2683" w:type="pct"/>
            <w:tcBorders>
              <w:top w:val="single" w:color="000000" w:sz="2" w:space="0"/>
              <w:left w:val="single" w:color="000000" w:sz="2" w:space="0"/>
              <w:bottom w:val="single" w:color="000000" w:sz="2" w:space="0"/>
              <w:right w:val="single" w:color="000000" w:sz="2" w:space="0"/>
            </w:tcBorders>
            <w:vAlign w:val="center"/>
          </w:tcPr>
          <w:p w14:paraId="302C96E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投标总报价</w:t>
            </w:r>
          </w:p>
        </w:tc>
      </w:tr>
      <w:tr w14:paraId="47574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18" w:hRule="atLeast"/>
        </w:trPr>
        <w:tc>
          <w:tcPr>
            <w:tcW w:w="2198" w:type="pct"/>
            <w:tcBorders>
              <w:top w:val="single" w:color="000000" w:sz="2" w:space="0"/>
              <w:left w:val="single" w:color="000000" w:sz="2" w:space="0"/>
              <w:bottom w:val="single" w:color="000000" w:sz="2" w:space="0"/>
              <w:right w:val="single" w:color="000000" w:sz="2" w:space="0"/>
            </w:tcBorders>
            <w:vAlign w:val="center"/>
          </w:tcPr>
          <w:p w14:paraId="14AE123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淀山湖水系生态环境问题诊断与综合评估项目</w:t>
            </w:r>
          </w:p>
        </w:tc>
        <w:tc>
          <w:tcPr>
            <w:tcW w:w="2683" w:type="pct"/>
            <w:tcBorders>
              <w:top w:val="single" w:color="000000" w:sz="2" w:space="0"/>
              <w:left w:val="single" w:color="000000" w:sz="2" w:space="0"/>
              <w:bottom w:val="single" w:color="000000" w:sz="2" w:space="0"/>
              <w:right w:val="single" w:color="000000" w:sz="2" w:space="0"/>
            </w:tcBorders>
            <w:vAlign w:val="center"/>
          </w:tcPr>
          <w:p w14:paraId="74FDCAB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小写：</w:t>
            </w:r>
            <w:r>
              <w:rPr>
                <w:rFonts w:hint="eastAsia" w:ascii="宋体" w:hAnsi="宋体" w:eastAsia="宋体" w:cs="宋体"/>
                <w:color w:val="auto"/>
                <w:sz w:val="24"/>
                <w:szCs w:val="24"/>
                <w:highlight w:val="none"/>
                <w:lang w:bidi="ar"/>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形状 2"/>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noFill/>
                              </a:ln>
                            </wps:spPr>
                            <wps:bodyPr rot="0">
                              <a:noAutofit/>
                            </wps:bodyPr>
                          </wps:wsp>
                        </a:graphicData>
                      </a:graphic>
                    </wp:anchor>
                  </w:drawing>
                </mc:Choice>
                <mc:Fallback>
                  <w:pict>
                    <v:shape id="任意多边形: 形状 2" o:spid="_x0000_s1026" o:spt="100" style="position:absolute;left:0pt;margin-left:0pt;margin-top:0pt;height:0pt;width:0.05pt;z-index:251659264;mso-width-relative:page;mso-height-relative:page;" filled="f" stroked="f" coordsize="21600,21600" o:allowincell="f" o:gfxdata="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DbKxCXPAAAA/wAAAA8AAAAAAAAAAQAgAAAAIgAAAGRycy9kb3du&#10;cmV2LnhtbFBLAQIUABQAAAAIAIdO4kAYDyAhswIAAKUGAAAOAAAAAAAAAAEAIAAAAB4BAABkcnMv&#10;ZTJvRG9jLnhtbFBLBQYAAAAABgAGAFkBAABDBgAAAAA=&#10;" path="m0,0l0,21600,21600,21600,21600,0xe">
                      <v:fill on="f" focussize="0,0"/>
                      <v:stroke on="f"/>
                      <v:imagedata o:title=""/>
                      <o:lock v:ext="edit" aspectratio="f"/>
                    </v:shape>
                  </w:pict>
                </mc:Fallback>
              </mc:AlternateContent>
            </w:r>
            <w:r>
              <w:rPr>
                <w:rFonts w:hint="eastAsia" w:ascii="宋体" w:hAnsi="宋体" w:eastAsia="宋体" w:cs="宋体"/>
                <w:color w:val="auto"/>
                <w:sz w:val="24"/>
                <w:szCs w:val="24"/>
                <w:highlight w:val="none"/>
                <w:lang w:bidi="ar"/>
              </w:rPr>
              <w:t> （元人民币）</w:t>
            </w:r>
          </w:p>
        </w:tc>
      </w:tr>
      <w:tr w14:paraId="25CC4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18" w:hRule="atLeast"/>
        </w:trPr>
        <w:tc>
          <w:tcPr>
            <w:tcW w:w="2198" w:type="pct"/>
            <w:tcBorders>
              <w:top w:val="single" w:color="000000" w:sz="2" w:space="0"/>
              <w:left w:val="single" w:color="000000" w:sz="2" w:space="0"/>
              <w:bottom w:val="single" w:color="000000" w:sz="2" w:space="0"/>
              <w:right w:val="single" w:color="000000" w:sz="2" w:space="0"/>
            </w:tcBorders>
            <w:vAlign w:val="center"/>
          </w:tcPr>
          <w:p w14:paraId="794C7D0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投标报价大写金额</w:t>
            </w:r>
          </w:p>
        </w:tc>
        <w:tc>
          <w:tcPr>
            <w:tcW w:w="2683" w:type="pct"/>
            <w:tcBorders>
              <w:top w:val="single" w:color="000000" w:sz="2" w:space="0"/>
              <w:left w:val="single" w:color="000000" w:sz="2" w:space="0"/>
              <w:bottom w:val="single" w:color="000000" w:sz="2" w:space="0"/>
              <w:right w:val="single" w:color="000000" w:sz="2" w:space="0"/>
            </w:tcBorders>
            <w:vAlign w:val="center"/>
          </w:tcPr>
          <w:p w14:paraId="0666836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金额大写 </w:t>
            </w:r>
          </w:p>
        </w:tc>
      </w:tr>
    </w:tbl>
    <w:p w14:paraId="6259E313">
      <w:pPr>
        <w:pStyle w:val="205"/>
        <w:spacing w:line="360" w:lineRule="auto"/>
        <w:rPr>
          <w:rFonts w:hint="eastAsia" w:ascii="宋体" w:hAnsi="宋体" w:eastAsia="宋体" w:cs="宋体"/>
          <w:color w:val="auto"/>
          <w:sz w:val="24"/>
          <w:szCs w:val="24"/>
          <w:highlight w:val="none"/>
        </w:rPr>
      </w:pPr>
    </w:p>
    <w:p w14:paraId="13C66C6B">
      <w:pPr>
        <w:pStyle w:val="2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654569C2">
      <w:pPr>
        <w:pStyle w:val="2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68D30C46">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043E88A">
      <w:pPr>
        <w:keepNext w:val="0"/>
        <w:keepLines w:val="0"/>
        <w:pageBreakBefore w:val="0"/>
        <w:widowControl w:val="0"/>
        <w:spacing w:line="360" w:lineRule="auto"/>
        <w:rPr>
          <w:rFonts w:hint="eastAsia" w:ascii="宋体" w:hAnsi="宋体" w:eastAsia="宋体" w:cs="宋体"/>
          <w:bCs/>
          <w:color w:val="auto"/>
          <w:sz w:val="24"/>
          <w:szCs w:val="24"/>
          <w:highlight w:val="none"/>
        </w:rPr>
      </w:pPr>
    </w:p>
    <w:p w14:paraId="4DB829CF">
      <w:pPr>
        <w:pStyle w:val="205"/>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p>
    <w:p w14:paraId="55AE1B60">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应以人民币报价，包括但不限于本项目服务过程的专业人员工资、交通及其他工具设施等费用，以及一切可见或不可见之车辆养路费、车辆保险费、车辆保养、维修、燃油费、车辆设备折旧费、所有设备的维护费和清洁费、水电费，人员工资、社保、保险、福利、管理费、风险费、税费、利润等所有费用。</w:t>
      </w:r>
    </w:p>
    <w:p w14:paraId="22EA2B54">
      <w:pPr>
        <w:pStyle w:val="205"/>
        <w:spacing w:line="360" w:lineRule="auto"/>
        <w:rPr>
          <w:rFonts w:hint="eastAsia" w:ascii="宋体" w:hAnsi="宋体" w:eastAsia="宋体" w:cs="宋体"/>
          <w:b/>
          <w:bCs/>
          <w:color w:val="auto"/>
          <w:sz w:val="24"/>
          <w:szCs w:val="24"/>
          <w:highlight w:val="none"/>
          <w:lang w:val="en-US" w:eastAsia="zh-CN"/>
        </w:rPr>
      </w:pPr>
    </w:p>
    <w:p w14:paraId="73758F8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737AFCF">
      <w:pPr>
        <w:rPr>
          <w:rFonts w:hint="eastAsia" w:ascii="宋体" w:hAnsi="宋体" w:eastAsia="宋体" w:cs="宋体"/>
          <w:color w:val="auto"/>
          <w:sz w:val="24"/>
          <w:szCs w:val="24"/>
          <w:highlight w:val="none"/>
        </w:rPr>
      </w:pPr>
    </w:p>
    <w:p w14:paraId="44C67CCC">
      <w:pPr>
        <w:numPr>
          <w:ilvl w:val="0"/>
          <w:numId w:val="0"/>
        </w:numPr>
        <w:jc w:val="both"/>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bidi="ar-SA"/>
        </w:rPr>
        <w:t>4、</w:t>
      </w:r>
      <w:r>
        <w:rPr>
          <w:rFonts w:hint="eastAsia" w:ascii="宋体" w:hAnsi="宋体" w:eastAsia="宋体" w:cs="宋体"/>
          <w:b/>
          <w:bCs/>
          <w:color w:val="auto"/>
          <w:sz w:val="24"/>
          <w:szCs w:val="24"/>
          <w:highlight w:val="none"/>
        </w:rPr>
        <w:t>投标报价明细表</w:t>
      </w:r>
      <w:r>
        <w:rPr>
          <w:rFonts w:hint="eastAsia" w:ascii="宋体" w:hAnsi="宋体" w:eastAsia="宋体" w:cs="宋体"/>
          <w:b/>
          <w:bCs/>
          <w:color w:val="auto"/>
          <w:sz w:val="24"/>
          <w:szCs w:val="24"/>
          <w:highlight w:val="none"/>
          <w:lang w:eastAsia="zh-CN"/>
        </w:rPr>
        <w:t>（）</w:t>
      </w:r>
    </w:p>
    <w:p w14:paraId="13F3325B">
      <w:pPr>
        <w:numPr>
          <w:ilvl w:val="0"/>
          <w:numId w:val="0"/>
        </w:numPr>
        <w:jc w:val="center"/>
        <w:rPr>
          <w:rFonts w:hint="eastAsia" w:ascii="宋体" w:hAnsi="宋体" w:eastAsia="宋体" w:cs="宋体"/>
          <w:b/>
          <w:color w:val="auto"/>
          <w:sz w:val="24"/>
          <w:szCs w:val="24"/>
          <w:highlight w:val="none"/>
        </w:rPr>
      </w:pPr>
    </w:p>
    <w:p w14:paraId="5DA255A1">
      <w:pPr>
        <w:pStyle w:val="205"/>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项目投标报价表</w:t>
      </w:r>
    </w:p>
    <w:p w14:paraId="37BBF5C7">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招标编号：</w:t>
      </w:r>
      <w:r>
        <w:rPr>
          <w:rFonts w:hint="eastAsia" w:ascii="宋体" w:hAnsi="宋体" w:eastAsia="宋体" w:cs="宋体"/>
          <w:color w:val="auto"/>
          <w:sz w:val="24"/>
          <w:szCs w:val="24"/>
          <w:highlight w:val="none"/>
          <w:lang w:val="en-US" w:eastAsia="zh-CN"/>
        </w:rPr>
        <w:t xml:space="preserve"> </w:t>
      </w:r>
    </w:p>
    <w:tbl>
      <w:tblPr>
        <w:tblStyle w:val="31"/>
        <w:tblW w:w="5000" w:type="pct"/>
        <w:tblInd w:w="0" w:type="dxa"/>
        <w:tblLayout w:type="autofit"/>
        <w:tblCellMar>
          <w:top w:w="0" w:type="dxa"/>
          <w:left w:w="108" w:type="dxa"/>
          <w:bottom w:w="0" w:type="dxa"/>
          <w:right w:w="108" w:type="dxa"/>
        </w:tblCellMar>
      </w:tblPr>
      <w:tblGrid>
        <w:gridCol w:w="1499"/>
        <w:gridCol w:w="3860"/>
        <w:gridCol w:w="1031"/>
        <w:gridCol w:w="1066"/>
        <w:gridCol w:w="1066"/>
      </w:tblGrid>
      <w:tr w14:paraId="204DC9D3">
        <w:tblPrEx>
          <w:tblCellMar>
            <w:top w:w="0" w:type="dxa"/>
            <w:left w:w="108" w:type="dxa"/>
            <w:bottom w:w="0" w:type="dxa"/>
            <w:right w:w="108" w:type="dxa"/>
          </w:tblCellMar>
        </w:tblPrEx>
        <w:trPr>
          <w:trHeight w:val="654" w:hRule="atLeast"/>
        </w:trPr>
        <w:tc>
          <w:tcPr>
            <w:tcW w:w="880" w:type="pct"/>
            <w:tcBorders>
              <w:top w:val="single" w:color="000000" w:sz="4" w:space="0"/>
              <w:left w:val="single" w:color="000000" w:sz="4" w:space="0"/>
              <w:bottom w:val="single" w:color="000000" w:sz="4" w:space="0"/>
              <w:right w:val="single" w:color="000000" w:sz="4" w:space="0"/>
            </w:tcBorders>
            <w:vAlign w:val="center"/>
          </w:tcPr>
          <w:p w14:paraId="25759DB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2264" w:type="pct"/>
            <w:tcBorders>
              <w:top w:val="single" w:color="000000" w:sz="4" w:space="0"/>
              <w:left w:val="nil"/>
              <w:bottom w:val="single" w:color="000000" w:sz="4" w:space="0"/>
              <w:right w:val="single" w:color="000000" w:sz="4" w:space="0"/>
            </w:tcBorders>
            <w:vAlign w:val="center"/>
          </w:tcPr>
          <w:p w14:paraId="3BDBC20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605" w:type="pct"/>
            <w:tcBorders>
              <w:top w:val="single" w:color="000000" w:sz="4" w:space="0"/>
              <w:left w:val="nil"/>
              <w:bottom w:val="single" w:color="000000" w:sz="4" w:space="0"/>
              <w:right w:val="single" w:color="000000" w:sz="4" w:space="0"/>
            </w:tcBorders>
            <w:noWrap/>
            <w:vAlign w:val="center"/>
          </w:tcPr>
          <w:p w14:paraId="4994D88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625" w:type="pct"/>
            <w:tcBorders>
              <w:top w:val="single" w:color="000000" w:sz="4" w:space="0"/>
              <w:left w:val="nil"/>
              <w:bottom w:val="single" w:color="000000" w:sz="4" w:space="0"/>
              <w:right w:val="single" w:color="000000" w:sz="4" w:space="0"/>
            </w:tcBorders>
            <w:noWrap/>
            <w:vAlign w:val="center"/>
          </w:tcPr>
          <w:p w14:paraId="273A789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w:t>
            </w:r>
          </w:p>
        </w:tc>
        <w:tc>
          <w:tcPr>
            <w:tcW w:w="625" w:type="pct"/>
            <w:tcBorders>
              <w:top w:val="single" w:color="000000" w:sz="4" w:space="0"/>
              <w:left w:val="nil"/>
              <w:bottom w:val="single" w:color="000000" w:sz="4" w:space="0"/>
              <w:right w:val="single" w:color="000000" w:sz="4" w:space="0"/>
            </w:tcBorders>
            <w:noWrap/>
            <w:vAlign w:val="center"/>
          </w:tcPr>
          <w:p w14:paraId="1CB56AD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704FB21F">
        <w:tblPrEx>
          <w:tblCellMar>
            <w:top w:w="0" w:type="dxa"/>
            <w:left w:w="108" w:type="dxa"/>
            <w:bottom w:w="0" w:type="dxa"/>
            <w:right w:w="108" w:type="dxa"/>
          </w:tblCellMar>
        </w:tblPrEx>
        <w:trPr>
          <w:trHeight w:val="465" w:hRule="atLeast"/>
        </w:trPr>
        <w:tc>
          <w:tcPr>
            <w:tcW w:w="880" w:type="pct"/>
            <w:tcBorders>
              <w:top w:val="single" w:color="000000" w:sz="4" w:space="0"/>
              <w:left w:val="single" w:color="000000" w:sz="4" w:space="0"/>
              <w:bottom w:val="single" w:color="000000" w:sz="4" w:space="0"/>
              <w:right w:val="single" w:color="000000" w:sz="4" w:space="0"/>
            </w:tcBorders>
            <w:vAlign w:val="center"/>
          </w:tcPr>
          <w:p w14:paraId="3004BECB">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淀山湖水系生态环境问题诊断与综合评估项目</w:t>
            </w:r>
          </w:p>
        </w:tc>
        <w:tc>
          <w:tcPr>
            <w:tcW w:w="2264" w:type="pct"/>
            <w:tcBorders>
              <w:top w:val="single" w:color="000000" w:sz="4" w:space="0"/>
              <w:left w:val="nil"/>
              <w:bottom w:val="single" w:color="000000" w:sz="4" w:space="0"/>
              <w:right w:val="single" w:color="000000" w:sz="4" w:space="0"/>
            </w:tcBorders>
            <w:vAlign w:val="center"/>
          </w:tcPr>
          <w:p w14:paraId="079E2E7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以淀山湖水系（含淀山湖及主要出入湖河流）为重点，开展流域区域性系统调查研究，重点围绕氮磷等污染物源解析，分析淀山湖流域水系水质时空变化特征，从污染源、污染迁移过程和水质指标响应方面对水环境问题和污染发生、迁移过程进行跟踪式诊断，识别水环境改善关键要素，为系统开展淀山湖治理和生态保护修复，提升淀山湖水质提供技术支撑</w:t>
            </w:r>
          </w:p>
        </w:tc>
        <w:tc>
          <w:tcPr>
            <w:tcW w:w="605" w:type="pct"/>
            <w:tcBorders>
              <w:top w:val="single" w:color="000000" w:sz="4" w:space="0"/>
              <w:left w:val="nil"/>
              <w:bottom w:val="single" w:color="000000" w:sz="4" w:space="0"/>
              <w:right w:val="single" w:color="000000" w:sz="4" w:space="0"/>
            </w:tcBorders>
            <w:noWrap/>
            <w:vAlign w:val="center"/>
          </w:tcPr>
          <w:p w14:paraId="2171A15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1式</w:t>
            </w:r>
          </w:p>
        </w:tc>
        <w:tc>
          <w:tcPr>
            <w:tcW w:w="625" w:type="pct"/>
            <w:tcBorders>
              <w:top w:val="single" w:color="000000" w:sz="4" w:space="0"/>
              <w:left w:val="nil"/>
              <w:bottom w:val="single" w:color="000000" w:sz="4" w:space="0"/>
              <w:right w:val="single" w:color="000000" w:sz="4" w:space="0"/>
            </w:tcBorders>
            <w:noWrap/>
            <w:vAlign w:val="center"/>
          </w:tcPr>
          <w:p w14:paraId="0972B8B3">
            <w:pPr>
              <w:widowControl/>
              <w:ind w:firstLine="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625" w:type="pct"/>
            <w:tcBorders>
              <w:top w:val="single" w:color="000000" w:sz="4" w:space="0"/>
              <w:left w:val="nil"/>
              <w:bottom w:val="single" w:color="000000" w:sz="4" w:space="0"/>
              <w:right w:val="single" w:color="000000" w:sz="4" w:space="0"/>
            </w:tcBorders>
            <w:noWrap/>
            <w:vAlign w:val="center"/>
          </w:tcPr>
          <w:p w14:paraId="7E416199">
            <w:pPr>
              <w:widowControl/>
              <w:jc w:val="center"/>
              <w:rPr>
                <w:rFonts w:hint="eastAsia" w:ascii="宋体" w:hAnsi="宋体" w:eastAsia="宋体" w:cs="宋体"/>
                <w:color w:val="auto"/>
                <w:sz w:val="24"/>
                <w:szCs w:val="24"/>
                <w:highlight w:val="none"/>
              </w:rPr>
            </w:pPr>
          </w:p>
        </w:tc>
      </w:tr>
    </w:tbl>
    <w:p w14:paraId="7DFAD4BF">
      <w:pPr>
        <w:tabs>
          <w:tab w:val="left" w:pos="1320"/>
        </w:tabs>
        <w:spacing w:line="360" w:lineRule="auto"/>
        <w:ind w:left="57" w:hanging="5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1AC090C9">
      <w:pPr>
        <w:numPr>
          <w:ilvl w:val="0"/>
          <w:numId w:val="4"/>
        </w:numPr>
        <w:spacing w:line="360" w:lineRule="auto"/>
        <w:rPr>
          <w:rFonts w:hint="eastAsia" w:ascii="宋体" w:hAnsi="宋体" w:eastAsia="宋体" w:cs="宋体"/>
          <w:color w:val="auto"/>
          <w:sz w:val="24"/>
          <w:szCs w:val="24"/>
          <w:highlight w:val="none"/>
        </w:rPr>
      </w:pPr>
      <w:bookmarkStart w:id="3" w:name="_Hlk134893454"/>
      <w:r>
        <w:rPr>
          <w:rFonts w:hint="eastAsia" w:ascii="宋体" w:hAnsi="宋体" w:eastAsia="宋体" w:cs="宋体"/>
          <w:color w:val="auto"/>
          <w:sz w:val="24"/>
          <w:szCs w:val="24"/>
          <w:highlight w:val="none"/>
        </w:rPr>
        <w:t>投标应以人民币报价，包括但不限于本项目服务过程的专业人员工资、交通及其他工具设施等费用，以及一切可见或不可见之车辆养路费、车辆保险费、车辆保养、维修、燃油费、车辆设备折旧费、所有设备的维护费和清洁费、水电费，人员工资、社保、保险、福利、管理费、风险费、税费、利润等所有费用。</w:t>
      </w:r>
    </w:p>
    <w:bookmarkEnd w:id="3"/>
    <w:p w14:paraId="687F29FC">
      <w:pPr>
        <w:numPr>
          <w:ilvl w:val="0"/>
          <w:numId w:val="4"/>
        </w:numPr>
        <w:spacing w:line="360" w:lineRule="auto"/>
        <w:rPr>
          <w:rFonts w:hint="eastAsia" w:ascii="宋体" w:hAnsi="宋体" w:eastAsia="宋体" w:cs="宋体"/>
          <w:color w:val="auto"/>
          <w:sz w:val="24"/>
          <w:szCs w:val="24"/>
          <w:highlight w:val="none"/>
        </w:rPr>
      </w:pPr>
      <w:bookmarkStart w:id="4" w:name="_Hlk134893465"/>
      <w:r>
        <w:rPr>
          <w:rFonts w:hint="eastAsia" w:ascii="宋体" w:hAnsi="宋体" w:eastAsia="宋体" w:cs="宋体"/>
          <w:color w:val="auto"/>
          <w:sz w:val="24"/>
          <w:szCs w:val="24"/>
          <w:highlight w:val="none"/>
        </w:rPr>
        <w:t>投标人的报价不得超过每标段的预算金额，否则为无效投标。</w:t>
      </w:r>
    </w:p>
    <w:bookmarkEnd w:id="4"/>
    <w:p w14:paraId="717AA6E0">
      <w:pPr>
        <w:pStyle w:val="247"/>
        <w:spacing w:line="360" w:lineRule="auto"/>
        <w:rPr>
          <w:rFonts w:hint="eastAsia" w:ascii="宋体" w:hAnsi="宋体" w:eastAsia="宋体" w:cs="宋体"/>
          <w:color w:val="auto"/>
          <w:sz w:val="24"/>
          <w:szCs w:val="24"/>
          <w:highlight w:val="none"/>
        </w:rPr>
      </w:pPr>
    </w:p>
    <w:p w14:paraId="0960C2A9">
      <w:pPr>
        <w:pStyle w:val="247"/>
        <w:spacing w:line="360" w:lineRule="auto"/>
        <w:rPr>
          <w:rFonts w:hint="eastAsia" w:ascii="宋体" w:hAnsi="宋体" w:eastAsia="宋体" w:cs="宋体"/>
          <w:color w:val="auto"/>
          <w:sz w:val="24"/>
          <w:szCs w:val="24"/>
          <w:highlight w:val="none"/>
        </w:rPr>
      </w:pPr>
    </w:p>
    <w:p w14:paraId="6018746E">
      <w:pPr>
        <w:pStyle w:val="247"/>
        <w:spacing w:line="360" w:lineRule="auto"/>
        <w:rPr>
          <w:rFonts w:hint="eastAsia" w:ascii="宋体" w:hAnsi="宋体" w:eastAsia="宋体" w:cs="宋体"/>
          <w:color w:val="auto"/>
          <w:sz w:val="24"/>
          <w:szCs w:val="24"/>
          <w:highlight w:val="none"/>
        </w:rPr>
      </w:pPr>
    </w:p>
    <w:p w14:paraId="25379227">
      <w:pPr>
        <w:pStyle w:val="2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5FEEB51D">
      <w:pPr>
        <w:pStyle w:val="2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法定代表人或被授权人：（签字或盖章）</w:t>
      </w:r>
    </w:p>
    <w:p w14:paraId="63A6F64B">
      <w:pPr>
        <w:pStyle w:val="2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8EF47EE">
      <w:pPr>
        <w:pStyle w:val="242"/>
        <w:spacing w:line="360" w:lineRule="auto"/>
        <w:rPr>
          <w:rFonts w:hint="eastAsia" w:ascii="宋体" w:hAnsi="宋体" w:eastAsia="宋体" w:cs="宋体"/>
          <w:b/>
          <w:bCs/>
          <w:color w:val="auto"/>
          <w:sz w:val="24"/>
          <w:szCs w:val="24"/>
          <w:highlight w:val="none"/>
        </w:rPr>
      </w:pPr>
    </w:p>
    <w:p w14:paraId="6936B8B4">
      <w:pPr>
        <w:pStyle w:val="242"/>
        <w:spacing w:line="360" w:lineRule="auto"/>
        <w:rPr>
          <w:rFonts w:hint="eastAsia" w:ascii="宋体" w:hAnsi="宋体" w:eastAsia="宋体" w:cs="宋体"/>
          <w:b/>
          <w:bCs/>
          <w:color w:val="auto"/>
          <w:sz w:val="24"/>
          <w:szCs w:val="24"/>
          <w:highlight w:val="none"/>
        </w:rPr>
      </w:pPr>
    </w:p>
    <w:p w14:paraId="6C5AE300">
      <w:pPr>
        <w:pStyle w:val="242"/>
        <w:spacing w:line="360" w:lineRule="auto"/>
        <w:rPr>
          <w:rFonts w:hint="eastAsia" w:ascii="宋体" w:hAnsi="宋体" w:eastAsia="宋体" w:cs="宋体"/>
          <w:b/>
          <w:bCs/>
          <w:color w:val="auto"/>
          <w:sz w:val="24"/>
          <w:szCs w:val="24"/>
          <w:highlight w:val="none"/>
        </w:rPr>
      </w:pPr>
    </w:p>
    <w:p w14:paraId="2312DAB9">
      <w:pPr>
        <w:tabs>
          <w:tab w:val="left" w:pos="4860"/>
        </w:tabs>
        <w:adjustRightInd w:val="0"/>
        <w:snapToGrid w:val="0"/>
        <w:spacing w:line="580" w:lineRule="exact"/>
        <w:ind w:right="1560" w:firstLine="482" w:firstLineChars="200"/>
        <w:jc w:val="right"/>
        <w:rPr>
          <w:rFonts w:hint="eastAsia" w:ascii="宋体" w:hAnsi="宋体" w:cs="宋体"/>
          <w:color w:val="000000"/>
          <w:kern w:val="0"/>
          <w:szCs w:val="21"/>
        </w:rPr>
      </w:pPr>
      <w:r>
        <w:rPr>
          <w:rFonts w:hint="eastAsia" w:ascii="宋体" w:hAnsi="宋体" w:eastAsia="宋体" w:cs="宋体"/>
          <w:b/>
          <w:bCs/>
          <w:color w:val="auto"/>
          <w:sz w:val="24"/>
          <w:szCs w:val="24"/>
          <w:highlight w:val="none"/>
        </w:rPr>
        <w:br w:type="page" w:clear="all"/>
      </w:r>
    </w:p>
    <w:p w14:paraId="03C2DB8B">
      <w:pPr>
        <w:pStyle w:val="242"/>
        <w:numPr>
          <w:ilvl w:val="0"/>
          <w:numId w:val="4"/>
        </w:numPr>
        <w:spacing w:line="360" w:lineRule="auto"/>
        <w:ind w:left="0" w:leftChars="0" w:firstLine="0" w:firstLineChars="0"/>
        <w:rPr>
          <w:rFonts w:hint="eastAsia" w:ascii="宋体" w:hAnsi="宋体" w:eastAsia="宋体" w:cs="宋体"/>
          <w:b/>
          <w:bCs/>
          <w:color w:val="auto"/>
          <w:sz w:val="24"/>
          <w:szCs w:val="24"/>
          <w:highlight w:val="none"/>
        </w:rPr>
      </w:pPr>
      <w:bookmarkStart w:id="5" w:name="_Ref22898688"/>
      <w:bookmarkStart w:id="6" w:name="_Toc78976398"/>
      <w:r>
        <w:rPr>
          <w:rFonts w:hint="eastAsia" w:ascii="宋体" w:hAnsi="宋体" w:eastAsia="宋体" w:cs="宋体"/>
          <w:b/>
          <w:bCs/>
          <w:color w:val="auto"/>
          <w:sz w:val="24"/>
          <w:szCs w:val="24"/>
          <w:highlight w:val="none"/>
        </w:rPr>
        <w:t>商务偏离表</w:t>
      </w:r>
      <w:bookmarkStart w:id="12" w:name="_GoBack"/>
      <w:bookmarkEnd w:id="12"/>
      <w:r>
        <w:rPr>
          <w:rFonts w:hint="eastAsia" w:ascii="宋体" w:hAnsi="宋体" w:eastAsia="宋体" w:cs="宋体"/>
          <w:b/>
          <w:bCs/>
          <w:color w:val="auto"/>
          <w:sz w:val="24"/>
          <w:szCs w:val="24"/>
          <w:highlight w:val="none"/>
        </w:rPr>
        <w:t>：</w:t>
      </w:r>
      <w:bookmarkEnd w:id="5"/>
      <w:bookmarkEnd w:id="6"/>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1"/>
        <w:gridCol w:w="1945"/>
        <w:gridCol w:w="2316"/>
      </w:tblGrid>
      <w:tr w14:paraId="23617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center"/>
          </w:tcPr>
          <w:p w14:paraId="43345DCF">
            <w:pPr>
              <w:pStyle w:val="2"/>
              <w:overflowPunct w:val="0"/>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项      目</w:t>
            </w:r>
          </w:p>
        </w:tc>
        <w:tc>
          <w:tcPr>
            <w:tcW w:w="1250" w:type="pct"/>
            <w:noWrap w:val="0"/>
            <w:vAlign w:val="center"/>
          </w:tcPr>
          <w:p w14:paraId="258BF2FE">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招标要求</w:t>
            </w:r>
          </w:p>
          <w:p w14:paraId="5D330C1D">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（详见招标文件）</w:t>
            </w:r>
          </w:p>
        </w:tc>
        <w:tc>
          <w:tcPr>
            <w:tcW w:w="1141" w:type="pct"/>
            <w:noWrap w:val="0"/>
            <w:vAlign w:val="center"/>
          </w:tcPr>
          <w:p w14:paraId="2057BE83">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投标内容（响应情况）</w:t>
            </w:r>
          </w:p>
        </w:tc>
        <w:tc>
          <w:tcPr>
            <w:tcW w:w="1359" w:type="pct"/>
            <w:noWrap w:val="0"/>
            <w:vAlign w:val="center"/>
          </w:tcPr>
          <w:p w14:paraId="3717641B">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偏离说明（正偏离、无偏离、负偏离）</w:t>
            </w:r>
          </w:p>
        </w:tc>
      </w:tr>
      <w:tr w14:paraId="3CD0F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center"/>
          </w:tcPr>
          <w:p w14:paraId="38628EE8">
            <w:pPr>
              <w:pStyle w:val="2"/>
              <w:overflowPunct w:val="0"/>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工期（服务期）</w:t>
            </w:r>
          </w:p>
        </w:tc>
        <w:tc>
          <w:tcPr>
            <w:tcW w:w="1250" w:type="pct"/>
            <w:noWrap w:val="0"/>
            <w:vAlign w:val="center"/>
          </w:tcPr>
          <w:p w14:paraId="7C245192">
            <w:pPr>
              <w:pStyle w:val="2"/>
              <w:overflowPunct w:val="0"/>
              <w:spacing w:line="360" w:lineRule="auto"/>
              <w:ind w:firstLine="0"/>
              <w:rPr>
                <w:rFonts w:ascii="宋体" w:hAnsi="宋体" w:eastAsia="宋体"/>
                <w:color w:val="000000"/>
                <w:sz w:val="21"/>
                <w:szCs w:val="21"/>
              </w:rPr>
            </w:pPr>
          </w:p>
        </w:tc>
        <w:tc>
          <w:tcPr>
            <w:tcW w:w="1141" w:type="pct"/>
            <w:noWrap w:val="0"/>
            <w:vAlign w:val="center"/>
          </w:tcPr>
          <w:p w14:paraId="6B2E9E8E">
            <w:pPr>
              <w:pStyle w:val="2"/>
              <w:overflowPunct w:val="0"/>
              <w:spacing w:line="360" w:lineRule="auto"/>
              <w:ind w:firstLine="0"/>
              <w:rPr>
                <w:rFonts w:ascii="宋体" w:hAnsi="宋体" w:eastAsia="宋体"/>
                <w:color w:val="000000"/>
                <w:sz w:val="21"/>
                <w:szCs w:val="21"/>
              </w:rPr>
            </w:pPr>
          </w:p>
        </w:tc>
        <w:tc>
          <w:tcPr>
            <w:tcW w:w="1359" w:type="pct"/>
            <w:noWrap w:val="0"/>
            <w:vAlign w:val="center"/>
          </w:tcPr>
          <w:p w14:paraId="5AFC3387">
            <w:pPr>
              <w:pStyle w:val="2"/>
              <w:overflowPunct w:val="0"/>
              <w:spacing w:line="360" w:lineRule="auto"/>
              <w:ind w:firstLine="0"/>
              <w:rPr>
                <w:rFonts w:ascii="宋体" w:hAnsi="宋体" w:eastAsia="宋体"/>
                <w:color w:val="000000"/>
                <w:sz w:val="21"/>
                <w:szCs w:val="21"/>
              </w:rPr>
            </w:pPr>
          </w:p>
        </w:tc>
      </w:tr>
      <w:tr w14:paraId="568D3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center"/>
          </w:tcPr>
          <w:p w14:paraId="2ED6CCD9">
            <w:pPr>
              <w:pStyle w:val="2"/>
              <w:overflowPunct w:val="0"/>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响应时间</w:t>
            </w:r>
          </w:p>
        </w:tc>
        <w:tc>
          <w:tcPr>
            <w:tcW w:w="1250" w:type="pct"/>
            <w:noWrap w:val="0"/>
            <w:vAlign w:val="center"/>
          </w:tcPr>
          <w:p w14:paraId="08DF22E7">
            <w:pPr>
              <w:pStyle w:val="2"/>
              <w:overflowPunct w:val="0"/>
              <w:spacing w:line="360" w:lineRule="auto"/>
              <w:ind w:firstLine="0"/>
              <w:rPr>
                <w:rFonts w:ascii="宋体" w:hAnsi="宋体" w:eastAsia="宋体"/>
                <w:color w:val="000000"/>
                <w:sz w:val="21"/>
                <w:szCs w:val="21"/>
              </w:rPr>
            </w:pPr>
          </w:p>
        </w:tc>
        <w:tc>
          <w:tcPr>
            <w:tcW w:w="1141" w:type="pct"/>
            <w:noWrap w:val="0"/>
            <w:vAlign w:val="center"/>
          </w:tcPr>
          <w:p w14:paraId="3EC2BB54">
            <w:pPr>
              <w:pStyle w:val="2"/>
              <w:overflowPunct w:val="0"/>
              <w:spacing w:line="360" w:lineRule="auto"/>
              <w:ind w:firstLine="0"/>
              <w:rPr>
                <w:rFonts w:ascii="宋体" w:hAnsi="宋体" w:eastAsia="宋体"/>
                <w:color w:val="000000"/>
                <w:sz w:val="21"/>
                <w:szCs w:val="21"/>
              </w:rPr>
            </w:pPr>
          </w:p>
        </w:tc>
        <w:tc>
          <w:tcPr>
            <w:tcW w:w="1359" w:type="pct"/>
            <w:noWrap w:val="0"/>
            <w:vAlign w:val="center"/>
          </w:tcPr>
          <w:p w14:paraId="7C6091DE">
            <w:pPr>
              <w:pStyle w:val="2"/>
              <w:overflowPunct w:val="0"/>
              <w:spacing w:line="360" w:lineRule="auto"/>
              <w:ind w:firstLine="0"/>
              <w:rPr>
                <w:rFonts w:ascii="宋体" w:hAnsi="宋体" w:eastAsia="宋体"/>
                <w:color w:val="000000"/>
                <w:sz w:val="21"/>
                <w:szCs w:val="21"/>
              </w:rPr>
            </w:pPr>
          </w:p>
        </w:tc>
      </w:tr>
      <w:tr w14:paraId="5469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center"/>
          </w:tcPr>
          <w:p w14:paraId="0011795D">
            <w:pPr>
              <w:pStyle w:val="2"/>
              <w:overflowPunct w:val="0"/>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质保期（如有）</w:t>
            </w:r>
          </w:p>
        </w:tc>
        <w:tc>
          <w:tcPr>
            <w:tcW w:w="1250" w:type="pct"/>
            <w:noWrap w:val="0"/>
            <w:vAlign w:val="center"/>
          </w:tcPr>
          <w:p w14:paraId="529E51EB">
            <w:pPr>
              <w:pStyle w:val="2"/>
              <w:overflowPunct w:val="0"/>
              <w:spacing w:line="360" w:lineRule="auto"/>
              <w:ind w:firstLine="0"/>
              <w:rPr>
                <w:rFonts w:ascii="宋体" w:hAnsi="宋体" w:eastAsia="宋体"/>
                <w:color w:val="000000"/>
                <w:sz w:val="21"/>
                <w:szCs w:val="21"/>
              </w:rPr>
            </w:pPr>
          </w:p>
        </w:tc>
        <w:tc>
          <w:tcPr>
            <w:tcW w:w="1141" w:type="pct"/>
            <w:noWrap w:val="0"/>
            <w:vAlign w:val="center"/>
          </w:tcPr>
          <w:p w14:paraId="2CBD6375">
            <w:pPr>
              <w:pStyle w:val="2"/>
              <w:overflowPunct w:val="0"/>
              <w:spacing w:line="360" w:lineRule="auto"/>
              <w:ind w:firstLine="0"/>
              <w:rPr>
                <w:rFonts w:ascii="宋体" w:hAnsi="宋体" w:eastAsia="宋体"/>
                <w:color w:val="000000"/>
                <w:sz w:val="21"/>
                <w:szCs w:val="21"/>
              </w:rPr>
            </w:pPr>
          </w:p>
        </w:tc>
        <w:tc>
          <w:tcPr>
            <w:tcW w:w="1359" w:type="pct"/>
            <w:noWrap w:val="0"/>
            <w:vAlign w:val="center"/>
          </w:tcPr>
          <w:p w14:paraId="2808CF1E">
            <w:pPr>
              <w:pStyle w:val="2"/>
              <w:overflowPunct w:val="0"/>
              <w:spacing w:line="360" w:lineRule="auto"/>
              <w:ind w:firstLine="0"/>
              <w:rPr>
                <w:rFonts w:ascii="宋体" w:hAnsi="宋体" w:eastAsia="宋体"/>
                <w:color w:val="000000"/>
                <w:sz w:val="21"/>
                <w:szCs w:val="21"/>
              </w:rPr>
            </w:pPr>
          </w:p>
        </w:tc>
      </w:tr>
      <w:tr w14:paraId="44F0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center"/>
          </w:tcPr>
          <w:p w14:paraId="1920C654">
            <w:pPr>
              <w:pStyle w:val="2"/>
              <w:overflowPunct w:val="0"/>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付款方式</w:t>
            </w:r>
          </w:p>
        </w:tc>
        <w:tc>
          <w:tcPr>
            <w:tcW w:w="1250" w:type="pct"/>
            <w:noWrap w:val="0"/>
            <w:vAlign w:val="center"/>
          </w:tcPr>
          <w:p w14:paraId="0B10ACC5">
            <w:pPr>
              <w:pStyle w:val="2"/>
              <w:overflowPunct w:val="0"/>
              <w:spacing w:line="360" w:lineRule="auto"/>
              <w:ind w:firstLine="0"/>
              <w:rPr>
                <w:rFonts w:ascii="宋体" w:hAnsi="宋体" w:eastAsia="宋体"/>
                <w:color w:val="000000"/>
                <w:sz w:val="21"/>
                <w:szCs w:val="21"/>
              </w:rPr>
            </w:pPr>
          </w:p>
        </w:tc>
        <w:tc>
          <w:tcPr>
            <w:tcW w:w="1141" w:type="pct"/>
            <w:noWrap w:val="0"/>
            <w:vAlign w:val="center"/>
          </w:tcPr>
          <w:p w14:paraId="56943BB0">
            <w:pPr>
              <w:pStyle w:val="2"/>
              <w:overflowPunct w:val="0"/>
              <w:spacing w:line="360" w:lineRule="auto"/>
              <w:ind w:firstLine="0"/>
              <w:rPr>
                <w:rFonts w:ascii="宋体" w:hAnsi="宋体" w:eastAsia="宋体"/>
                <w:color w:val="000000"/>
                <w:sz w:val="21"/>
                <w:szCs w:val="21"/>
              </w:rPr>
            </w:pPr>
          </w:p>
        </w:tc>
        <w:tc>
          <w:tcPr>
            <w:tcW w:w="1359" w:type="pct"/>
            <w:noWrap w:val="0"/>
            <w:vAlign w:val="center"/>
          </w:tcPr>
          <w:p w14:paraId="75E76750">
            <w:pPr>
              <w:pStyle w:val="2"/>
              <w:overflowPunct w:val="0"/>
              <w:spacing w:line="360" w:lineRule="auto"/>
              <w:ind w:firstLine="0"/>
              <w:rPr>
                <w:rFonts w:ascii="宋体" w:hAnsi="宋体" w:eastAsia="宋体"/>
                <w:color w:val="000000"/>
                <w:sz w:val="21"/>
                <w:szCs w:val="21"/>
              </w:rPr>
            </w:pPr>
          </w:p>
        </w:tc>
      </w:tr>
      <w:tr w14:paraId="2D72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center"/>
          </w:tcPr>
          <w:p w14:paraId="4C69E4A0">
            <w:pPr>
              <w:pStyle w:val="2"/>
              <w:overflowPunct w:val="0"/>
              <w:spacing w:line="360" w:lineRule="auto"/>
              <w:ind w:firstLine="0"/>
              <w:jc w:val="center"/>
              <w:rPr>
                <w:rFonts w:ascii="宋体" w:hAnsi="宋体" w:eastAsia="宋体"/>
                <w:color w:val="000000"/>
                <w:sz w:val="21"/>
                <w:szCs w:val="21"/>
              </w:rPr>
            </w:pPr>
          </w:p>
        </w:tc>
        <w:tc>
          <w:tcPr>
            <w:tcW w:w="1250" w:type="pct"/>
            <w:noWrap w:val="0"/>
            <w:vAlign w:val="center"/>
          </w:tcPr>
          <w:p w14:paraId="744F49E9">
            <w:pPr>
              <w:pStyle w:val="2"/>
              <w:overflowPunct w:val="0"/>
              <w:spacing w:line="360" w:lineRule="auto"/>
              <w:ind w:firstLine="0"/>
              <w:jc w:val="center"/>
              <w:rPr>
                <w:rFonts w:ascii="宋体" w:hAnsi="宋体" w:eastAsia="宋体"/>
                <w:color w:val="000000"/>
                <w:sz w:val="21"/>
                <w:szCs w:val="21"/>
              </w:rPr>
            </w:pPr>
          </w:p>
        </w:tc>
        <w:tc>
          <w:tcPr>
            <w:tcW w:w="1141" w:type="pct"/>
            <w:noWrap w:val="0"/>
            <w:vAlign w:val="center"/>
          </w:tcPr>
          <w:p w14:paraId="592758D4">
            <w:pPr>
              <w:pStyle w:val="2"/>
              <w:overflowPunct w:val="0"/>
              <w:spacing w:line="360" w:lineRule="auto"/>
              <w:ind w:firstLine="0"/>
              <w:jc w:val="center"/>
              <w:rPr>
                <w:rFonts w:ascii="宋体" w:hAnsi="宋体" w:eastAsia="宋体"/>
                <w:color w:val="000000"/>
                <w:sz w:val="21"/>
                <w:szCs w:val="21"/>
              </w:rPr>
            </w:pPr>
          </w:p>
        </w:tc>
        <w:tc>
          <w:tcPr>
            <w:tcW w:w="1359" w:type="pct"/>
            <w:noWrap w:val="0"/>
            <w:vAlign w:val="center"/>
          </w:tcPr>
          <w:p w14:paraId="49A2B248">
            <w:pPr>
              <w:pStyle w:val="2"/>
              <w:overflowPunct w:val="0"/>
              <w:spacing w:line="360" w:lineRule="auto"/>
              <w:ind w:firstLine="0"/>
              <w:jc w:val="center"/>
              <w:rPr>
                <w:rFonts w:ascii="宋体" w:hAnsi="宋体" w:eastAsia="宋体"/>
                <w:color w:val="000000"/>
                <w:sz w:val="21"/>
                <w:szCs w:val="21"/>
              </w:rPr>
            </w:pPr>
          </w:p>
        </w:tc>
      </w:tr>
    </w:tbl>
    <w:p w14:paraId="57E56C52">
      <w:pPr>
        <w:pStyle w:val="2"/>
        <w:overflowPunct w:val="0"/>
        <w:spacing w:line="360" w:lineRule="auto"/>
        <w:ind w:firstLine="0"/>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注：未填写视同无偏离。</w:t>
      </w:r>
    </w:p>
    <w:p w14:paraId="6265CE37">
      <w:pPr>
        <w:pStyle w:val="2"/>
        <w:overflowPunct w:val="0"/>
        <w:spacing w:line="360" w:lineRule="auto"/>
        <w:ind w:firstLine="0"/>
        <w:rPr>
          <w:rFonts w:hint="eastAsia" w:ascii="宋体" w:hAnsi="宋体" w:eastAsia="宋体"/>
          <w:color w:val="000000"/>
          <w:sz w:val="21"/>
          <w:szCs w:val="21"/>
        </w:rPr>
      </w:pPr>
    </w:p>
    <w:p w14:paraId="1F25DC2D">
      <w:pPr>
        <w:pStyle w:val="2"/>
        <w:overflowPunct w:val="0"/>
        <w:spacing w:line="360" w:lineRule="auto"/>
        <w:ind w:firstLine="0"/>
        <w:rPr>
          <w:rFonts w:ascii="宋体" w:hAnsi="宋体" w:eastAsia="宋体"/>
          <w:color w:val="000000"/>
          <w:sz w:val="21"/>
          <w:szCs w:val="21"/>
        </w:rPr>
      </w:pPr>
      <w:r>
        <w:rPr>
          <w:rFonts w:hint="eastAsia" w:ascii="宋体" w:hAnsi="宋体" w:eastAsia="宋体"/>
          <w:color w:val="000000"/>
          <w:sz w:val="21"/>
          <w:szCs w:val="21"/>
        </w:rPr>
        <w:t>投标人（单位盖章）：</w:t>
      </w:r>
    </w:p>
    <w:p w14:paraId="31573641">
      <w:pPr>
        <w:pStyle w:val="2"/>
        <w:overflowPunct w:val="0"/>
        <w:spacing w:line="360" w:lineRule="auto"/>
        <w:ind w:firstLine="0"/>
        <w:rPr>
          <w:rFonts w:hint="eastAsia" w:ascii="宋体" w:hAnsi="宋体" w:eastAsia="宋体"/>
          <w:color w:val="000000"/>
          <w:sz w:val="21"/>
          <w:szCs w:val="21"/>
        </w:rPr>
      </w:pPr>
      <w:r>
        <w:rPr>
          <w:rFonts w:hint="eastAsia" w:ascii="宋体" w:hAnsi="宋体" w:eastAsia="宋体"/>
          <w:color w:val="000000"/>
          <w:sz w:val="21"/>
          <w:szCs w:val="21"/>
        </w:rPr>
        <w:t>法定代表人或被授权人（签字或盖章）：                         年  月  日</w:t>
      </w:r>
    </w:p>
    <w:p w14:paraId="53EEADC0">
      <w:pPr>
        <w:pStyle w:val="242"/>
        <w:numPr>
          <w:ilvl w:val="0"/>
          <w:numId w:val="4"/>
        </w:numPr>
        <w:spacing w:line="360" w:lineRule="auto"/>
        <w:ind w:left="0" w:leftChars="0" w:firstLine="0" w:firstLineChars="0"/>
        <w:rPr>
          <w:rFonts w:hint="eastAsia" w:ascii="宋体" w:hAnsi="宋体" w:eastAsia="宋体" w:cs="宋体"/>
          <w:b/>
          <w:bCs/>
          <w:color w:val="auto"/>
          <w:sz w:val="24"/>
          <w:szCs w:val="24"/>
          <w:highlight w:val="none"/>
        </w:rPr>
      </w:pPr>
      <w:bookmarkStart w:id="7" w:name="_Ref501489596"/>
      <w:bookmarkStart w:id="8" w:name="_Toc78976399"/>
      <w:r>
        <w:rPr>
          <w:rFonts w:hint="eastAsia" w:ascii="宋体" w:hAnsi="宋体" w:eastAsia="宋体" w:cs="宋体"/>
          <w:b/>
          <w:bCs/>
          <w:color w:val="auto"/>
          <w:sz w:val="24"/>
          <w:szCs w:val="24"/>
          <w:highlight w:val="none"/>
        </w:rPr>
        <w:t>技术偏离表：</w:t>
      </w:r>
      <w:bookmarkEnd w:id="7"/>
      <w:bookmarkEnd w:id="8"/>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1"/>
        <w:gridCol w:w="1945"/>
        <w:gridCol w:w="2316"/>
      </w:tblGrid>
      <w:tr w14:paraId="5896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center"/>
          </w:tcPr>
          <w:p w14:paraId="129B8103">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项      目</w:t>
            </w:r>
          </w:p>
        </w:tc>
        <w:tc>
          <w:tcPr>
            <w:tcW w:w="1250" w:type="pct"/>
            <w:noWrap w:val="0"/>
            <w:vAlign w:val="center"/>
          </w:tcPr>
          <w:p w14:paraId="6934580E">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招标要求</w:t>
            </w:r>
          </w:p>
          <w:p w14:paraId="62EE136A">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（详见招标文件）</w:t>
            </w:r>
          </w:p>
        </w:tc>
        <w:tc>
          <w:tcPr>
            <w:tcW w:w="1141" w:type="pct"/>
            <w:noWrap w:val="0"/>
            <w:vAlign w:val="center"/>
          </w:tcPr>
          <w:p w14:paraId="26DBC705">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投标内容（响应情况）</w:t>
            </w:r>
          </w:p>
        </w:tc>
        <w:tc>
          <w:tcPr>
            <w:tcW w:w="1358" w:type="pct"/>
            <w:noWrap w:val="0"/>
            <w:vAlign w:val="center"/>
          </w:tcPr>
          <w:p w14:paraId="7DB877FD">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偏离说明（正偏离、无偏离、负偏离）</w:t>
            </w:r>
          </w:p>
        </w:tc>
      </w:tr>
      <w:tr w14:paraId="6497B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center"/>
          </w:tcPr>
          <w:p w14:paraId="0D09E220">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标的物</w:t>
            </w:r>
          </w:p>
        </w:tc>
        <w:tc>
          <w:tcPr>
            <w:tcW w:w="1250" w:type="pct"/>
            <w:noWrap w:val="0"/>
            <w:vAlign w:val="center"/>
          </w:tcPr>
          <w:p w14:paraId="50B5D384">
            <w:pPr>
              <w:pStyle w:val="2"/>
              <w:overflowPunct w:val="0"/>
              <w:ind w:firstLine="0"/>
              <w:rPr>
                <w:rFonts w:ascii="宋体" w:hAnsi="宋体" w:eastAsia="宋体"/>
                <w:color w:val="000000"/>
                <w:sz w:val="21"/>
                <w:szCs w:val="21"/>
              </w:rPr>
            </w:pPr>
          </w:p>
        </w:tc>
        <w:tc>
          <w:tcPr>
            <w:tcW w:w="1141" w:type="pct"/>
            <w:noWrap w:val="0"/>
            <w:vAlign w:val="center"/>
          </w:tcPr>
          <w:p w14:paraId="068E1496">
            <w:pPr>
              <w:pStyle w:val="2"/>
              <w:overflowPunct w:val="0"/>
              <w:ind w:firstLine="0"/>
              <w:rPr>
                <w:rFonts w:ascii="宋体" w:hAnsi="宋体" w:eastAsia="宋体"/>
                <w:color w:val="000000"/>
                <w:sz w:val="21"/>
                <w:szCs w:val="21"/>
              </w:rPr>
            </w:pPr>
          </w:p>
        </w:tc>
        <w:tc>
          <w:tcPr>
            <w:tcW w:w="1358" w:type="pct"/>
            <w:noWrap w:val="0"/>
            <w:vAlign w:val="center"/>
          </w:tcPr>
          <w:p w14:paraId="318275EF">
            <w:pPr>
              <w:pStyle w:val="2"/>
              <w:overflowPunct w:val="0"/>
              <w:ind w:firstLine="0"/>
              <w:rPr>
                <w:rFonts w:ascii="宋体" w:hAnsi="宋体" w:eastAsia="宋体"/>
                <w:color w:val="000000"/>
                <w:sz w:val="21"/>
                <w:szCs w:val="21"/>
              </w:rPr>
            </w:pPr>
          </w:p>
        </w:tc>
      </w:tr>
      <w:tr w14:paraId="6905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center"/>
          </w:tcPr>
          <w:p w14:paraId="05C67570">
            <w:pPr>
              <w:pStyle w:val="2"/>
              <w:overflowPunct w:val="0"/>
              <w:ind w:firstLine="0"/>
              <w:jc w:val="center"/>
              <w:rPr>
                <w:rFonts w:hint="eastAsia" w:ascii="宋体" w:hAnsi="宋体" w:eastAsia="宋体"/>
                <w:color w:val="000000"/>
                <w:sz w:val="21"/>
                <w:szCs w:val="21"/>
              </w:rPr>
            </w:pPr>
            <w:r>
              <w:rPr>
                <w:rFonts w:hint="eastAsia" w:ascii="宋体" w:hAnsi="宋体" w:eastAsia="宋体"/>
                <w:color w:val="000000"/>
                <w:sz w:val="21"/>
                <w:szCs w:val="21"/>
              </w:rPr>
              <w:t>…………</w:t>
            </w:r>
          </w:p>
        </w:tc>
        <w:tc>
          <w:tcPr>
            <w:tcW w:w="1250" w:type="pct"/>
            <w:noWrap w:val="0"/>
            <w:vAlign w:val="center"/>
          </w:tcPr>
          <w:p w14:paraId="0E8D2CF8">
            <w:pPr>
              <w:pStyle w:val="2"/>
              <w:overflowPunct w:val="0"/>
              <w:ind w:firstLine="0"/>
              <w:rPr>
                <w:rFonts w:ascii="宋体" w:hAnsi="宋体" w:eastAsia="宋体"/>
                <w:color w:val="000000"/>
                <w:sz w:val="21"/>
                <w:szCs w:val="21"/>
              </w:rPr>
            </w:pPr>
          </w:p>
        </w:tc>
        <w:tc>
          <w:tcPr>
            <w:tcW w:w="1141" w:type="pct"/>
            <w:noWrap w:val="0"/>
            <w:vAlign w:val="center"/>
          </w:tcPr>
          <w:p w14:paraId="6AED600C">
            <w:pPr>
              <w:pStyle w:val="2"/>
              <w:overflowPunct w:val="0"/>
              <w:ind w:firstLine="0"/>
              <w:rPr>
                <w:rFonts w:ascii="宋体" w:hAnsi="宋体" w:eastAsia="宋体"/>
                <w:color w:val="000000"/>
                <w:sz w:val="21"/>
                <w:szCs w:val="21"/>
              </w:rPr>
            </w:pPr>
          </w:p>
        </w:tc>
        <w:tc>
          <w:tcPr>
            <w:tcW w:w="1358" w:type="pct"/>
            <w:noWrap w:val="0"/>
            <w:vAlign w:val="center"/>
          </w:tcPr>
          <w:p w14:paraId="5F55C017">
            <w:pPr>
              <w:pStyle w:val="2"/>
              <w:overflowPunct w:val="0"/>
              <w:ind w:firstLine="0"/>
              <w:rPr>
                <w:rFonts w:ascii="宋体" w:hAnsi="宋体" w:eastAsia="宋体"/>
                <w:color w:val="000000"/>
                <w:sz w:val="21"/>
                <w:szCs w:val="21"/>
              </w:rPr>
            </w:pPr>
          </w:p>
        </w:tc>
      </w:tr>
      <w:tr w14:paraId="33D43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center"/>
          </w:tcPr>
          <w:p w14:paraId="2E834D18">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w:t>
            </w:r>
          </w:p>
        </w:tc>
        <w:tc>
          <w:tcPr>
            <w:tcW w:w="1250" w:type="pct"/>
            <w:noWrap w:val="0"/>
            <w:vAlign w:val="center"/>
          </w:tcPr>
          <w:p w14:paraId="0388132A">
            <w:pPr>
              <w:pStyle w:val="2"/>
              <w:overflowPunct w:val="0"/>
              <w:ind w:firstLine="0"/>
              <w:rPr>
                <w:rFonts w:ascii="宋体" w:hAnsi="宋体" w:eastAsia="宋体"/>
                <w:color w:val="000000"/>
                <w:sz w:val="21"/>
                <w:szCs w:val="21"/>
              </w:rPr>
            </w:pPr>
          </w:p>
        </w:tc>
        <w:tc>
          <w:tcPr>
            <w:tcW w:w="1141" w:type="pct"/>
            <w:noWrap w:val="0"/>
            <w:vAlign w:val="center"/>
          </w:tcPr>
          <w:p w14:paraId="4D0B35F7">
            <w:pPr>
              <w:pStyle w:val="2"/>
              <w:overflowPunct w:val="0"/>
              <w:ind w:firstLine="0"/>
              <w:rPr>
                <w:rFonts w:ascii="宋体" w:hAnsi="宋体" w:eastAsia="宋体"/>
                <w:color w:val="000000"/>
                <w:sz w:val="21"/>
                <w:szCs w:val="21"/>
              </w:rPr>
            </w:pPr>
          </w:p>
        </w:tc>
        <w:tc>
          <w:tcPr>
            <w:tcW w:w="1358" w:type="pct"/>
            <w:noWrap w:val="0"/>
            <w:vAlign w:val="center"/>
          </w:tcPr>
          <w:p w14:paraId="15546BB8">
            <w:pPr>
              <w:pStyle w:val="2"/>
              <w:overflowPunct w:val="0"/>
              <w:ind w:firstLine="0"/>
              <w:rPr>
                <w:rFonts w:ascii="宋体" w:hAnsi="宋体" w:eastAsia="宋体"/>
                <w:color w:val="000000"/>
                <w:sz w:val="21"/>
                <w:szCs w:val="21"/>
              </w:rPr>
            </w:pPr>
          </w:p>
        </w:tc>
      </w:tr>
      <w:tr w14:paraId="350C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center"/>
          </w:tcPr>
          <w:p w14:paraId="116BAE81">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w:t>
            </w:r>
          </w:p>
        </w:tc>
        <w:tc>
          <w:tcPr>
            <w:tcW w:w="1250" w:type="pct"/>
            <w:noWrap w:val="0"/>
            <w:vAlign w:val="center"/>
          </w:tcPr>
          <w:p w14:paraId="02689878">
            <w:pPr>
              <w:pStyle w:val="2"/>
              <w:overflowPunct w:val="0"/>
              <w:ind w:firstLine="0"/>
              <w:rPr>
                <w:rFonts w:ascii="宋体" w:hAnsi="宋体" w:eastAsia="宋体"/>
                <w:color w:val="000000"/>
                <w:sz w:val="21"/>
                <w:szCs w:val="21"/>
              </w:rPr>
            </w:pPr>
          </w:p>
        </w:tc>
        <w:tc>
          <w:tcPr>
            <w:tcW w:w="1141" w:type="pct"/>
            <w:noWrap w:val="0"/>
            <w:vAlign w:val="center"/>
          </w:tcPr>
          <w:p w14:paraId="18CCF61D">
            <w:pPr>
              <w:pStyle w:val="2"/>
              <w:overflowPunct w:val="0"/>
              <w:ind w:firstLine="0"/>
              <w:rPr>
                <w:rFonts w:ascii="宋体" w:hAnsi="宋体" w:eastAsia="宋体"/>
                <w:color w:val="000000"/>
                <w:sz w:val="21"/>
                <w:szCs w:val="21"/>
              </w:rPr>
            </w:pPr>
          </w:p>
        </w:tc>
        <w:tc>
          <w:tcPr>
            <w:tcW w:w="1358" w:type="pct"/>
            <w:noWrap w:val="0"/>
            <w:vAlign w:val="center"/>
          </w:tcPr>
          <w:p w14:paraId="23F280F3">
            <w:pPr>
              <w:pStyle w:val="2"/>
              <w:overflowPunct w:val="0"/>
              <w:ind w:firstLine="0"/>
              <w:rPr>
                <w:rFonts w:ascii="宋体" w:hAnsi="宋体" w:eastAsia="宋体"/>
                <w:color w:val="000000"/>
                <w:sz w:val="21"/>
                <w:szCs w:val="21"/>
              </w:rPr>
            </w:pPr>
          </w:p>
        </w:tc>
      </w:tr>
      <w:tr w14:paraId="19D0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center"/>
          </w:tcPr>
          <w:p w14:paraId="7428C7E7">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w:t>
            </w:r>
          </w:p>
          <w:p w14:paraId="1D277215">
            <w:pPr>
              <w:pStyle w:val="2"/>
              <w:overflowPunct w:val="0"/>
              <w:ind w:firstLine="0"/>
              <w:jc w:val="center"/>
              <w:rPr>
                <w:rFonts w:ascii="宋体" w:hAnsi="宋体" w:eastAsia="宋体"/>
                <w:color w:val="000000"/>
                <w:sz w:val="21"/>
                <w:szCs w:val="21"/>
              </w:rPr>
            </w:pPr>
            <w:r>
              <w:rPr>
                <w:rFonts w:hint="eastAsia" w:ascii="宋体" w:hAnsi="宋体" w:eastAsia="宋体"/>
                <w:color w:val="000000"/>
                <w:sz w:val="21"/>
                <w:szCs w:val="21"/>
              </w:rPr>
              <w:t>（根据采购内容自行列明）</w:t>
            </w:r>
          </w:p>
        </w:tc>
        <w:tc>
          <w:tcPr>
            <w:tcW w:w="1250" w:type="pct"/>
            <w:noWrap w:val="0"/>
            <w:vAlign w:val="center"/>
          </w:tcPr>
          <w:p w14:paraId="34B7E824">
            <w:pPr>
              <w:pStyle w:val="2"/>
              <w:overflowPunct w:val="0"/>
              <w:ind w:firstLine="0"/>
              <w:rPr>
                <w:rFonts w:ascii="宋体" w:hAnsi="宋体" w:eastAsia="宋体"/>
                <w:color w:val="000000"/>
                <w:sz w:val="21"/>
                <w:szCs w:val="21"/>
              </w:rPr>
            </w:pPr>
          </w:p>
        </w:tc>
        <w:tc>
          <w:tcPr>
            <w:tcW w:w="1141" w:type="pct"/>
            <w:noWrap w:val="0"/>
            <w:vAlign w:val="center"/>
          </w:tcPr>
          <w:p w14:paraId="3CE8AC37">
            <w:pPr>
              <w:pStyle w:val="2"/>
              <w:overflowPunct w:val="0"/>
              <w:ind w:firstLine="0"/>
              <w:rPr>
                <w:rFonts w:ascii="宋体" w:hAnsi="宋体" w:eastAsia="宋体"/>
                <w:color w:val="000000"/>
                <w:sz w:val="21"/>
                <w:szCs w:val="21"/>
              </w:rPr>
            </w:pPr>
          </w:p>
        </w:tc>
        <w:tc>
          <w:tcPr>
            <w:tcW w:w="1358" w:type="pct"/>
            <w:noWrap w:val="0"/>
            <w:vAlign w:val="center"/>
          </w:tcPr>
          <w:p w14:paraId="53FA6ECD">
            <w:pPr>
              <w:pStyle w:val="2"/>
              <w:overflowPunct w:val="0"/>
              <w:ind w:firstLine="0"/>
              <w:rPr>
                <w:rFonts w:ascii="宋体" w:hAnsi="宋体" w:eastAsia="宋体"/>
                <w:color w:val="000000"/>
                <w:sz w:val="21"/>
                <w:szCs w:val="21"/>
              </w:rPr>
            </w:pPr>
          </w:p>
        </w:tc>
      </w:tr>
    </w:tbl>
    <w:p w14:paraId="1F1C41FD">
      <w:pPr>
        <w:pStyle w:val="2"/>
        <w:overflowPunct w:val="0"/>
        <w:spacing w:line="360" w:lineRule="auto"/>
        <w:ind w:firstLine="0"/>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注：未填写视同无偏离。</w:t>
      </w:r>
    </w:p>
    <w:p w14:paraId="4B351207">
      <w:pPr>
        <w:pStyle w:val="2"/>
        <w:overflowPunct w:val="0"/>
        <w:spacing w:line="360" w:lineRule="auto"/>
        <w:ind w:firstLine="0"/>
        <w:jc w:val="center"/>
        <w:rPr>
          <w:rFonts w:ascii="宋体" w:hAnsi="宋体" w:eastAsia="宋体"/>
          <w:color w:val="000000"/>
          <w:sz w:val="21"/>
          <w:szCs w:val="21"/>
        </w:rPr>
      </w:pPr>
    </w:p>
    <w:p w14:paraId="1120E65B">
      <w:pPr>
        <w:pStyle w:val="2"/>
        <w:overflowPunct w:val="0"/>
        <w:spacing w:line="360" w:lineRule="auto"/>
        <w:ind w:firstLine="0"/>
        <w:rPr>
          <w:rFonts w:ascii="宋体" w:hAnsi="宋体" w:eastAsia="宋体"/>
          <w:color w:val="000000"/>
          <w:sz w:val="21"/>
          <w:szCs w:val="21"/>
        </w:rPr>
      </w:pPr>
      <w:r>
        <w:rPr>
          <w:rFonts w:hint="eastAsia" w:ascii="宋体" w:hAnsi="宋体" w:eastAsia="宋体"/>
          <w:color w:val="000000"/>
          <w:sz w:val="21"/>
          <w:szCs w:val="21"/>
        </w:rPr>
        <w:t>投标人（单位盖章）：</w:t>
      </w:r>
    </w:p>
    <w:p w14:paraId="053BE2F4">
      <w:pPr>
        <w:jc w:val="left"/>
        <w:rPr>
          <w:rFonts w:hint="eastAsia" w:ascii="宋体" w:hAnsi="宋体"/>
          <w:color w:val="000000"/>
          <w:szCs w:val="21"/>
        </w:rPr>
      </w:pPr>
      <w:r>
        <w:rPr>
          <w:rFonts w:hint="eastAsia" w:ascii="宋体" w:hAnsi="宋体"/>
          <w:color w:val="000000"/>
          <w:szCs w:val="21"/>
        </w:rPr>
        <w:t>法定代表人或被授权人（签字或盖章）：                         年  月  日</w:t>
      </w:r>
    </w:p>
    <w:p w14:paraId="0FAFC0B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721E51BB">
      <w:pPr>
        <w:pStyle w:val="242"/>
        <w:numPr>
          <w:ilvl w:val="0"/>
          <w:numId w:val="4"/>
        </w:numPr>
        <w:spacing w:line="360" w:lineRule="auto"/>
        <w:ind w:left="0" w:leftChars="0"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关于资格文件的声明函</w:t>
      </w:r>
    </w:p>
    <w:p w14:paraId="1D831BDF">
      <w:pPr>
        <w:pStyle w:val="242"/>
        <w:numPr>
          <w:numId w:val="0"/>
        </w:numPr>
        <w:tabs>
          <w:tab w:val="left" w:pos="0"/>
        </w:tabs>
        <w:spacing w:line="360" w:lineRule="auto"/>
        <w:ind w:leftChars="0"/>
        <w:jc w:val="center"/>
        <w:rPr>
          <w:rFonts w:hint="eastAsia" w:ascii="宋体" w:hAnsi="宋体" w:eastAsia="宋体" w:cs="宋体"/>
          <w:b/>
          <w:bCs/>
          <w:color w:val="auto"/>
          <w:sz w:val="24"/>
          <w:szCs w:val="24"/>
          <w:highlight w:val="none"/>
        </w:rPr>
      </w:pPr>
    </w:p>
    <w:p w14:paraId="43D5B2FC">
      <w:pPr>
        <w:pStyle w:val="242"/>
        <w:numPr>
          <w:numId w:val="0"/>
        </w:numPr>
        <w:tabs>
          <w:tab w:val="left" w:pos="0"/>
        </w:tabs>
        <w:spacing w:line="360" w:lineRule="auto"/>
        <w:ind w:leftChars="0"/>
        <w:jc w:val="center"/>
        <w:rPr>
          <w:rFonts w:hint="eastAsia" w:ascii="宋体" w:hAnsi="宋体" w:eastAsia="宋体" w:cs="宋体"/>
          <w:b/>
          <w:bCs/>
          <w:color w:val="auto"/>
          <w:sz w:val="24"/>
          <w:szCs w:val="24"/>
          <w:highlight w:val="none"/>
        </w:rPr>
      </w:pPr>
    </w:p>
    <w:p w14:paraId="2DEE4016">
      <w:pPr>
        <w:pStyle w:val="242"/>
        <w:numPr>
          <w:numId w:val="0"/>
        </w:numPr>
        <w:tabs>
          <w:tab w:val="left" w:pos="0"/>
        </w:tabs>
        <w:spacing w:line="360" w:lineRule="auto"/>
        <w:ind w:lef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资格文件的声明函</w:t>
      </w:r>
    </w:p>
    <w:p w14:paraId="7382474C">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艾菲尔（江苏）招投标股份有限公司</w:t>
      </w:r>
      <w:r>
        <w:rPr>
          <w:rFonts w:hint="eastAsia" w:ascii="宋体" w:hAnsi="宋体" w:eastAsia="宋体" w:cs="宋体"/>
          <w:color w:val="auto"/>
          <w:sz w:val="24"/>
          <w:szCs w:val="24"/>
          <w:highlight w:val="none"/>
        </w:rPr>
        <w:t>：</w:t>
      </w:r>
    </w:p>
    <w:p w14:paraId="46046465">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号的招标活动进行投标。本公司所提交的投标文件中所有关于投标资格的文件、证明和陈述均是真实的、准确的和有效的。若与事实情况不符，本公司愿意承担由此而产生的一切后果。</w:t>
      </w:r>
    </w:p>
    <w:p w14:paraId="6A2FED1A">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投标人（单位盖章）：</w:t>
      </w:r>
    </w:p>
    <w:p w14:paraId="4F2B0B66">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法定代表人或代理人（签字或盖章）：</w:t>
      </w:r>
    </w:p>
    <w:p w14:paraId="5E3EFF0B">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p>
    <w:p w14:paraId="63AC7008">
      <w:pPr>
        <w:spacing w:line="360" w:lineRule="auto"/>
        <w:rPr>
          <w:rFonts w:hint="eastAsia" w:ascii="宋体" w:hAnsi="宋体" w:eastAsia="宋体" w:cs="宋体"/>
          <w:b/>
          <w:color w:val="auto"/>
          <w:sz w:val="24"/>
          <w:szCs w:val="24"/>
          <w:highlight w:val="none"/>
        </w:rPr>
      </w:pPr>
    </w:p>
    <w:p w14:paraId="3A05AD93">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、中小企业声明函</w:t>
      </w:r>
    </w:p>
    <w:p w14:paraId="1B65409F">
      <w:pPr>
        <w:pStyle w:val="248"/>
        <w:spacing w:line="360" w:lineRule="auto"/>
        <w:ind w:right="-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中小企业声明函（服务）</w:t>
      </w:r>
    </w:p>
    <w:p w14:paraId="2E6CEC41">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本公司（联合体）郑重声明，根据《政府采购促进中小企业发展办法》（财库〔2020〕46号）的规定，本公司参加</w:t>
      </w:r>
      <w:r>
        <w:rPr>
          <w:rFonts w:hint="eastAsia" w:ascii="宋体" w:hAnsi="宋体" w:eastAsia="宋体" w:cs="宋体"/>
          <w:i/>
          <w:iCs/>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i/>
          <w:iCs/>
          <w:color w:val="auto"/>
          <w:sz w:val="24"/>
          <w:highlight w:val="none"/>
          <w:u w:val="single"/>
        </w:rPr>
        <w:t>（项目名称）</w:t>
      </w:r>
      <w:r>
        <w:rPr>
          <w:rFonts w:hint="eastAsia" w:ascii="宋体" w:hAnsi="宋体" w:eastAsia="宋体" w:cs="宋体"/>
          <w:color w:val="auto"/>
          <w:sz w:val="24"/>
          <w:highlight w:val="none"/>
        </w:rPr>
        <w:t xml:space="preserve">采购活动，服务全部由符合政策要求的中小企业承接。相关企业（含联合体中的中小企业、签订分包意向协议的中小企业）的具体情况如下： </w:t>
      </w:r>
    </w:p>
    <w:p w14:paraId="7C146ECB">
      <w:pPr>
        <w:spacing w:line="276" w:lineRule="auto"/>
        <w:ind w:firstLine="480"/>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iCs/>
          <w:color w:val="auto"/>
          <w:sz w:val="24"/>
          <w:highlight w:val="none"/>
          <w:u w:val="single"/>
        </w:rPr>
        <w:t>（招标文件中明确的所属行业）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 型企业、微型企业）</w:t>
      </w:r>
      <w:r>
        <w:rPr>
          <w:rFonts w:hint="eastAsia" w:ascii="宋体" w:hAnsi="宋体" w:eastAsia="宋体" w:cs="宋体"/>
          <w:color w:val="auto"/>
          <w:sz w:val="24"/>
          <w:highlight w:val="none"/>
        </w:rPr>
        <w:t>；</w:t>
      </w:r>
    </w:p>
    <w:p w14:paraId="7B3F434E">
      <w:pPr>
        <w:spacing w:line="360" w:lineRule="auto"/>
        <w:jc w:val="left"/>
        <w:rPr>
          <w:rFonts w:hint="eastAsia" w:ascii="宋体" w:hAnsi="宋体" w:eastAsia="宋体" w:cs="宋体"/>
          <w:color w:val="auto"/>
          <w:sz w:val="24"/>
          <w:highlight w:val="none"/>
        </w:rPr>
      </w:pPr>
    </w:p>
    <w:p w14:paraId="71396D8F">
      <w:pPr>
        <w:keepNext w:val="0"/>
        <w:keepLines w:val="0"/>
        <w:pageBreakBefore w:val="0"/>
        <w:widowControl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1EAA1E70">
      <w:pPr>
        <w:keepNext w:val="0"/>
        <w:keepLines w:val="0"/>
        <w:pageBreakBefore w:val="0"/>
        <w:widowControl w:val="0"/>
        <w:numPr>
          <w:ilvl w:val="0"/>
          <w:numId w:val="5"/>
        </w:num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从业人员、营业收入、资产总额填报上一年度数据，无上一年度数据的新成立企业可不填报；</w:t>
      </w:r>
    </w:p>
    <w:p w14:paraId="1E29E4F5">
      <w:pPr>
        <w:keepNext w:val="0"/>
        <w:keepLines w:val="0"/>
        <w:pageBreakBefore w:val="0"/>
        <w:widowControl w:val="0"/>
        <w:numPr>
          <w:ilvl w:val="0"/>
          <w:numId w:val="5"/>
        </w:num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本项目所属行业为</w:t>
      </w:r>
      <w:r>
        <w:rPr>
          <w:rFonts w:hint="eastAsia" w:ascii="宋体" w:hAnsi="宋体" w:eastAsia="宋体" w:cs="宋体"/>
          <w:b/>
          <w:bCs/>
          <w:color w:val="auto"/>
          <w:sz w:val="24"/>
          <w:szCs w:val="24"/>
          <w:highlight w:val="none"/>
          <w:u w:val="single"/>
          <w:lang w:val="zh-CN"/>
        </w:rPr>
        <w:t>其他未列明行业</w:t>
      </w:r>
      <w:r>
        <w:rPr>
          <w:rFonts w:hint="eastAsia" w:ascii="宋体" w:hAnsi="宋体" w:eastAsia="宋体" w:cs="宋体"/>
          <w:color w:val="auto"/>
          <w:sz w:val="24"/>
          <w:szCs w:val="24"/>
          <w:highlight w:val="none"/>
          <w:lang w:val="zh-CN"/>
        </w:rPr>
        <w:t>。中小微企业划型标准请根据《中小企业划型标准规定》（工信部联企业〔2011〕300号）</w:t>
      </w:r>
    </w:p>
    <w:p w14:paraId="23E93C5B">
      <w:pPr>
        <w:keepNext w:val="0"/>
        <w:keepLines w:val="0"/>
        <w:pageBreakBefore w:val="0"/>
        <w:widowControl w:val="0"/>
        <w:numPr>
          <w:ilvl w:val="0"/>
          <w:numId w:val="5"/>
        </w:num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若供应商未在此函中对（中型企业、小型企业、微型企业）明确选择，视为非中小企业，不享受中小企业扶持政策；</w:t>
      </w:r>
    </w:p>
    <w:p w14:paraId="2B528219">
      <w:pPr>
        <w:keepNext w:val="0"/>
        <w:keepLines w:val="0"/>
        <w:pageBreakBefore w:val="0"/>
        <w:widowControl w:val="0"/>
        <w:numPr>
          <w:ilvl w:val="0"/>
          <w:numId w:val="5"/>
        </w:num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若供应商提供的“中小企业声明函”内容不实的，属于提供虚假材料谋取中标、成交，依照《中华人民共和国政府采购法》等国家有关规定追究相应责任。</w:t>
      </w:r>
    </w:p>
    <w:p w14:paraId="1D789FD7">
      <w:pPr>
        <w:keepNext w:val="0"/>
        <w:keepLines w:val="0"/>
        <w:pageBreakBefore w:val="0"/>
        <w:widowControl w:val="0"/>
        <w:numPr>
          <w:ilvl w:val="0"/>
          <w:numId w:val="5"/>
        </w:num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2A5FFDB">
      <w:pPr>
        <w:keepNext w:val="0"/>
        <w:keepLines w:val="0"/>
        <w:pageBreakBefore w:val="0"/>
        <w:widowControl w:val="0"/>
        <w:numPr>
          <w:ilvl w:val="0"/>
          <w:numId w:val="5"/>
        </w:num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中标供应商为中小企业的，《中小企业声明函》将随中标结果同时公告。</w:t>
      </w:r>
    </w:p>
    <w:p w14:paraId="3A4CF7BA">
      <w:pPr>
        <w:spacing w:line="360" w:lineRule="auto"/>
        <w:jc w:val="right"/>
        <w:rPr>
          <w:rFonts w:hint="eastAsia" w:ascii="宋体" w:hAnsi="宋体" w:eastAsia="宋体" w:cs="宋体"/>
          <w:color w:val="auto"/>
          <w:sz w:val="24"/>
          <w:highlight w:val="none"/>
        </w:rPr>
      </w:pPr>
    </w:p>
    <w:p w14:paraId="5B4C037C">
      <w:pPr>
        <w:spacing w:line="360" w:lineRule="auto"/>
        <w:jc w:val="right"/>
        <w:rPr>
          <w:rFonts w:hint="eastAsia" w:ascii="宋体" w:hAnsi="宋体" w:eastAsia="宋体" w:cs="宋体"/>
          <w:color w:val="auto"/>
          <w:sz w:val="24"/>
          <w:highlight w:val="none"/>
        </w:rPr>
      </w:pPr>
    </w:p>
    <w:p w14:paraId="7302C62D">
      <w:pPr>
        <w:spacing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投标人（公章）：</w:t>
      </w:r>
    </w:p>
    <w:p w14:paraId="73DCAA22">
      <w:pPr>
        <w:spacing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14:paraId="24F90449">
      <w:pPr>
        <w:keepNext w:val="0"/>
        <w:keepLines w:val="0"/>
        <w:pageBreakBefore w:val="0"/>
        <w:widowControl w:val="0"/>
        <w:numPr>
          <w:ilvl w:val="0"/>
          <w:numId w:val="5"/>
        </w:num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br w:type="page"/>
      </w:r>
      <w:r>
        <w:rPr>
          <w:rFonts w:hint="eastAsia" w:ascii="宋体" w:hAnsi="宋体" w:eastAsia="宋体" w:cs="宋体"/>
          <w:b/>
          <w:color w:val="auto"/>
          <w:sz w:val="24"/>
          <w:szCs w:val="24"/>
          <w:highlight w:val="none"/>
        </w:rPr>
        <w:t>附：中小企业划型标准规定</w:t>
      </w:r>
    </w:p>
    <w:p w14:paraId="16AA7841">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（一）农、林、牧、渔业。</w:t>
      </w:r>
      <w:r>
        <w:rPr>
          <w:rFonts w:hint="eastAsia" w:ascii="宋体" w:hAnsi="宋体" w:eastAsia="宋体" w:cs="宋体"/>
          <w:color w:val="auto"/>
          <w:sz w:val="24"/>
          <w:szCs w:val="24"/>
          <w:highlight w:val="none"/>
        </w:rPr>
        <w:t>营业收入20000万元以下的为中小微型企业。其中，营业收入500万元及以上的为中型企业，营业收入50万元及以上的为小型企业，营业收入50万元以下的为微型企业。</w:t>
      </w:r>
    </w:p>
    <w:p w14:paraId="144B1D32">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（二）工业。</w:t>
      </w:r>
      <w:r>
        <w:rPr>
          <w:rFonts w:hint="eastAsia" w:ascii="宋体" w:hAnsi="宋体" w:eastAsia="宋体" w:cs="宋体"/>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A779709">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（三）建筑业。</w:t>
      </w:r>
      <w:r>
        <w:rPr>
          <w:rFonts w:hint="eastAsia" w:ascii="宋体" w:hAnsi="宋体" w:eastAsia="宋体" w:cs="宋体"/>
          <w:color w:val="auto"/>
          <w:sz w:val="24"/>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A3BBFA5">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（四）批发业。</w:t>
      </w:r>
      <w:r>
        <w:rPr>
          <w:rFonts w:hint="eastAsia" w:ascii="宋体" w:hAnsi="宋体" w:eastAsia="宋体" w:cs="宋体"/>
          <w:color w:val="auto"/>
          <w:sz w:val="24"/>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D1BC014">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（五）零售业。</w:t>
      </w:r>
      <w:r>
        <w:rPr>
          <w:rFonts w:hint="eastAsia" w:ascii="宋体" w:hAnsi="宋体" w:eastAsia="宋体" w:cs="宋体"/>
          <w:color w:val="auto"/>
          <w:sz w:val="24"/>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CD91E42">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（六）交通运输业。</w:t>
      </w:r>
      <w:r>
        <w:rPr>
          <w:rFonts w:hint="eastAsia" w:ascii="宋体" w:hAnsi="宋体" w:eastAsia="宋体" w:cs="宋体"/>
          <w:color w:val="auto"/>
          <w:sz w:val="24"/>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D4F9C6">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（七）仓储业。</w:t>
      </w:r>
      <w:r>
        <w:rPr>
          <w:rFonts w:hint="eastAsia" w:ascii="宋体" w:hAnsi="宋体" w:eastAsia="宋体" w:cs="宋体"/>
          <w:color w:val="auto"/>
          <w:sz w:val="24"/>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8D0DBF5">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（八）邮政业。</w:t>
      </w:r>
      <w:r>
        <w:rPr>
          <w:rFonts w:hint="eastAsia" w:ascii="宋体" w:hAnsi="宋体" w:eastAsia="宋体" w:cs="宋体"/>
          <w:color w:val="auto"/>
          <w:sz w:val="24"/>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500E1E4">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（九）住宿业。</w:t>
      </w:r>
      <w:r>
        <w:rPr>
          <w:rFonts w:hint="eastAsia" w:ascii="宋体" w:hAnsi="宋体" w:eastAsia="宋体" w:cs="宋体"/>
          <w:color w:val="auto"/>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E5E4395">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（十）餐饮业。</w:t>
      </w:r>
      <w:r>
        <w:rPr>
          <w:rFonts w:hint="eastAsia" w:ascii="宋体" w:hAnsi="宋体" w:eastAsia="宋体" w:cs="宋体"/>
          <w:color w:val="auto"/>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9B8BDF">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（十一）信息传输业。</w:t>
      </w:r>
      <w:r>
        <w:rPr>
          <w:rFonts w:hint="eastAsia" w:ascii="宋体" w:hAnsi="宋体" w:eastAsia="宋体" w:cs="宋体"/>
          <w:color w:val="auto"/>
          <w:sz w:val="24"/>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34867B">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（十二）软件和信息技术服务业。</w:t>
      </w:r>
      <w:r>
        <w:rPr>
          <w:rFonts w:hint="eastAsia" w:ascii="宋体" w:hAnsi="宋体" w:eastAsia="宋体" w:cs="宋体"/>
          <w:color w:val="auto"/>
          <w:sz w:val="24"/>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313B357">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（十三）房地产开发经营。</w:t>
      </w:r>
      <w:r>
        <w:rPr>
          <w:rFonts w:hint="eastAsia" w:ascii="宋体" w:hAnsi="宋体" w:eastAsia="宋体" w:cs="宋体"/>
          <w:color w:val="auto"/>
          <w:sz w:val="24"/>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B9C8718">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（十四）物业管理。</w:t>
      </w:r>
      <w:r>
        <w:rPr>
          <w:rFonts w:hint="eastAsia" w:ascii="宋体" w:hAnsi="宋体" w:eastAsia="宋体" w:cs="宋体"/>
          <w:color w:val="auto"/>
          <w:sz w:val="24"/>
          <w:szCs w:val="24"/>
          <w:highlight w:val="none"/>
        </w:rPr>
        <w:t>从业人员1000人以下或营业收入5000万元以下的为中小微型企业。其中，从业人员</w:t>
      </w:r>
    </w:p>
    <w:p w14:paraId="64131A5E">
      <w:pPr>
        <w:keepNext w:val="0"/>
        <w:keepLines w:val="0"/>
        <w:pageBreakBefore w:val="0"/>
        <w:widowControl w:val="0"/>
        <w:spacing w:line="44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300人及以上，且营业收入1000万元及以上的为中型企业；从业人员100人及以上，且营业收入500万元及以上的为小型企业；从业人员100人以下或营业收入500万元以下的为微型企业。</w:t>
      </w:r>
    </w:p>
    <w:p w14:paraId="79016AA2">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（十五）租赁和商务服务业。</w:t>
      </w:r>
      <w:r>
        <w:rPr>
          <w:rFonts w:hint="eastAsia" w:ascii="宋体" w:hAnsi="宋体" w:eastAsia="宋体" w:cs="宋体"/>
          <w:color w:val="auto"/>
          <w:sz w:val="24"/>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F3FF2A5">
      <w:pPr>
        <w:keepNext w:val="0"/>
        <w:keepLines w:val="0"/>
        <w:pageBreakBefore w:val="0"/>
        <w:widowControl w:val="0"/>
        <w:spacing w:line="440" w:lineRule="exact"/>
        <w:ind w:lef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（十六）其他未列明行业。</w:t>
      </w:r>
      <w:r>
        <w:rPr>
          <w:rFonts w:hint="eastAsia" w:ascii="宋体" w:hAnsi="宋体" w:eastAsia="宋体" w:cs="宋体"/>
          <w:color w:val="auto"/>
          <w:sz w:val="24"/>
          <w:szCs w:val="24"/>
          <w:highlight w:val="none"/>
        </w:rPr>
        <w:t>从业人员300人以下的为中小微型企业。其中，从业人员100人及以上的为中型企业；从业人员10人及以上的为小型企业；从业人员10人以下的为微型企业。</w:t>
      </w:r>
    </w:p>
    <w:p w14:paraId="01341887">
      <w:pPr>
        <w:keepNext w:val="0"/>
        <w:keepLines w:val="0"/>
        <w:pageBreakBefore w:val="0"/>
        <w:widowControl w:val="0"/>
        <w:spacing w:line="440" w:lineRule="exact"/>
        <w:outlineLvl w:val="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、残疾人福利性单位声明函</w:t>
      </w:r>
    </w:p>
    <w:p w14:paraId="776D441B">
      <w:pPr>
        <w:widowControl/>
        <w:spacing w:line="360" w:lineRule="auto"/>
        <w:rPr>
          <w:rFonts w:hint="eastAsia" w:ascii="宋体" w:hAnsi="宋体" w:eastAsia="宋体" w:cs="宋体"/>
          <w:color w:val="auto"/>
          <w:sz w:val="24"/>
          <w:szCs w:val="24"/>
          <w:highlight w:val="none"/>
        </w:rPr>
      </w:pPr>
    </w:p>
    <w:p w14:paraId="23BD7DEA">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3B7080">
      <w:pPr>
        <w:widowControl/>
        <w:spacing w:line="360" w:lineRule="auto"/>
        <w:rPr>
          <w:rFonts w:hint="eastAsia" w:ascii="宋体" w:hAnsi="宋体" w:eastAsia="宋体" w:cs="宋体"/>
          <w:color w:val="auto"/>
          <w:sz w:val="24"/>
          <w:szCs w:val="24"/>
          <w:highlight w:val="none"/>
        </w:rPr>
      </w:pPr>
    </w:p>
    <w:p w14:paraId="1C2FBA1A">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p>
    <w:p w14:paraId="2EF38541">
      <w:pPr>
        <w:widowControl/>
        <w:spacing w:line="360" w:lineRule="auto"/>
        <w:rPr>
          <w:rFonts w:hint="eastAsia" w:ascii="宋体" w:hAnsi="宋体" w:eastAsia="宋体" w:cs="宋体"/>
          <w:color w:val="auto"/>
          <w:sz w:val="24"/>
          <w:szCs w:val="24"/>
          <w:highlight w:val="none"/>
        </w:rPr>
      </w:pPr>
    </w:p>
    <w:p w14:paraId="58B033CB">
      <w:pPr>
        <w:pStyle w:val="198"/>
        <w:spacing w:line="360" w:lineRule="auto"/>
        <w:ind w:left="0" w:right="420"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投标人（单位盖章）：</w:t>
      </w:r>
    </w:p>
    <w:p w14:paraId="36969F12">
      <w:pPr>
        <w:pStyle w:val="198"/>
        <w:spacing w:line="360" w:lineRule="auto"/>
        <w:ind w:right="420"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法定代表人或代理人（签字或盖章）：</w:t>
      </w:r>
    </w:p>
    <w:p w14:paraId="62074183">
      <w:pPr>
        <w:pStyle w:val="198"/>
        <w:spacing w:line="360" w:lineRule="auto"/>
        <w:ind w:right="420"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3EDCCD57">
      <w:pPr>
        <w:spacing w:line="360" w:lineRule="auto"/>
        <w:ind w:firstLine="480"/>
        <w:rPr>
          <w:rFonts w:hint="eastAsia" w:ascii="宋体" w:hAnsi="宋体" w:eastAsia="宋体" w:cs="宋体"/>
          <w:color w:val="auto"/>
          <w:sz w:val="24"/>
          <w:szCs w:val="24"/>
          <w:highlight w:val="none"/>
        </w:rPr>
      </w:pPr>
    </w:p>
    <w:p w14:paraId="360C4DB9">
      <w:pPr>
        <w:pStyle w:val="234"/>
        <w:spacing w:line="360" w:lineRule="auto"/>
        <w:rPr>
          <w:rFonts w:hint="eastAsia" w:ascii="宋体" w:hAnsi="宋体" w:eastAsia="宋体" w:cs="宋体"/>
          <w:color w:val="auto"/>
          <w:sz w:val="24"/>
          <w:szCs w:val="24"/>
          <w:highlight w:val="none"/>
        </w:rPr>
      </w:pPr>
    </w:p>
    <w:p w14:paraId="6A4C5E2B">
      <w:pPr>
        <w:pStyle w:val="234"/>
        <w:spacing w:line="360" w:lineRule="auto"/>
        <w:rPr>
          <w:rFonts w:hint="eastAsia" w:ascii="宋体" w:hAnsi="宋体" w:eastAsia="宋体" w:cs="宋体"/>
          <w:b/>
          <w:bCs/>
          <w:color w:val="auto"/>
          <w:sz w:val="24"/>
          <w:szCs w:val="24"/>
          <w:highlight w:val="none"/>
        </w:rPr>
      </w:pPr>
    </w:p>
    <w:p w14:paraId="53838AFE">
      <w:pPr>
        <w:pStyle w:val="234"/>
        <w:spacing w:line="360" w:lineRule="auto"/>
        <w:rPr>
          <w:rFonts w:hint="eastAsia" w:ascii="宋体" w:hAnsi="宋体" w:eastAsia="宋体" w:cs="宋体"/>
          <w:b/>
          <w:bCs/>
          <w:color w:val="auto"/>
          <w:sz w:val="24"/>
          <w:szCs w:val="24"/>
          <w:highlight w:val="none"/>
        </w:rPr>
      </w:pPr>
    </w:p>
    <w:p w14:paraId="1EA3580F">
      <w:pPr>
        <w:pStyle w:val="234"/>
        <w:spacing w:line="360" w:lineRule="auto"/>
        <w:rPr>
          <w:rFonts w:hint="eastAsia" w:ascii="宋体" w:hAnsi="宋体" w:eastAsia="宋体" w:cs="宋体"/>
          <w:b/>
          <w:bCs/>
          <w:color w:val="auto"/>
          <w:sz w:val="24"/>
          <w:szCs w:val="24"/>
          <w:highlight w:val="none"/>
        </w:rPr>
      </w:pPr>
    </w:p>
    <w:p w14:paraId="3C26E4AC">
      <w:pPr>
        <w:pStyle w:val="234"/>
        <w:spacing w:line="360" w:lineRule="auto"/>
        <w:rPr>
          <w:rFonts w:hint="eastAsia" w:ascii="宋体" w:hAnsi="宋体" w:eastAsia="宋体" w:cs="宋体"/>
          <w:b/>
          <w:bCs/>
          <w:color w:val="auto"/>
          <w:sz w:val="24"/>
          <w:szCs w:val="24"/>
          <w:highlight w:val="none"/>
        </w:rPr>
      </w:pPr>
    </w:p>
    <w:p w14:paraId="22D3F2BB">
      <w:pPr>
        <w:pStyle w:val="234"/>
        <w:spacing w:line="360" w:lineRule="auto"/>
        <w:rPr>
          <w:rFonts w:hint="eastAsia" w:ascii="宋体" w:hAnsi="宋体" w:eastAsia="宋体" w:cs="宋体"/>
          <w:b/>
          <w:bCs/>
          <w:color w:val="auto"/>
          <w:sz w:val="24"/>
          <w:szCs w:val="24"/>
          <w:highlight w:val="none"/>
        </w:rPr>
      </w:pPr>
    </w:p>
    <w:p w14:paraId="2D5E7046">
      <w:pPr>
        <w:pStyle w:val="234"/>
        <w:spacing w:line="360" w:lineRule="auto"/>
        <w:rPr>
          <w:rFonts w:hint="eastAsia" w:ascii="宋体" w:hAnsi="宋体" w:eastAsia="宋体" w:cs="宋体"/>
          <w:b/>
          <w:bCs/>
          <w:color w:val="auto"/>
          <w:sz w:val="24"/>
          <w:szCs w:val="24"/>
          <w:highlight w:val="none"/>
        </w:rPr>
      </w:pPr>
    </w:p>
    <w:p w14:paraId="7F0B4D31">
      <w:pPr>
        <w:pStyle w:val="234"/>
        <w:spacing w:line="360" w:lineRule="auto"/>
        <w:rPr>
          <w:rFonts w:hint="eastAsia" w:ascii="宋体" w:hAnsi="宋体" w:eastAsia="宋体" w:cs="宋体"/>
          <w:b/>
          <w:bCs/>
          <w:color w:val="auto"/>
          <w:sz w:val="24"/>
          <w:szCs w:val="24"/>
          <w:highlight w:val="none"/>
        </w:rPr>
      </w:pPr>
    </w:p>
    <w:p w14:paraId="21464424">
      <w:pPr>
        <w:pStyle w:val="234"/>
        <w:spacing w:line="360" w:lineRule="auto"/>
        <w:rPr>
          <w:rFonts w:hint="eastAsia" w:ascii="宋体" w:hAnsi="宋体" w:eastAsia="宋体" w:cs="宋体"/>
          <w:b/>
          <w:bCs/>
          <w:color w:val="auto"/>
          <w:sz w:val="24"/>
          <w:szCs w:val="24"/>
          <w:highlight w:val="none"/>
        </w:rPr>
      </w:pPr>
    </w:p>
    <w:p w14:paraId="61B0BB39">
      <w:pPr>
        <w:pStyle w:val="234"/>
        <w:spacing w:line="360" w:lineRule="auto"/>
        <w:rPr>
          <w:rFonts w:hint="eastAsia" w:ascii="宋体" w:hAnsi="宋体" w:eastAsia="宋体" w:cs="宋体"/>
          <w:b/>
          <w:bCs/>
          <w:color w:val="auto"/>
          <w:sz w:val="24"/>
          <w:szCs w:val="24"/>
          <w:highlight w:val="none"/>
        </w:rPr>
      </w:pPr>
    </w:p>
    <w:p w14:paraId="3D662E3D">
      <w:pPr>
        <w:pStyle w:val="234"/>
        <w:spacing w:line="360" w:lineRule="auto"/>
        <w:rPr>
          <w:rFonts w:hint="eastAsia" w:ascii="宋体" w:hAnsi="宋体" w:eastAsia="宋体" w:cs="宋体"/>
          <w:b/>
          <w:bCs/>
          <w:color w:val="auto"/>
          <w:sz w:val="24"/>
          <w:szCs w:val="24"/>
          <w:highlight w:val="none"/>
        </w:rPr>
      </w:pPr>
    </w:p>
    <w:p w14:paraId="75162723">
      <w:pPr>
        <w:pStyle w:val="234"/>
        <w:spacing w:line="360" w:lineRule="auto"/>
        <w:rPr>
          <w:rFonts w:hint="eastAsia" w:ascii="宋体" w:hAnsi="宋体" w:eastAsia="宋体" w:cs="宋体"/>
          <w:b/>
          <w:bCs/>
          <w:color w:val="auto"/>
          <w:sz w:val="24"/>
          <w:szCs w:val="24"/>
          <w:highlight w:val="none"/>
        </w:rPr>
      </w:pPr>
    </w:p>
    <w:p w14:paraId="1A382F29">
      <w:pPr>
        <w:pStyle w:val="234"/>
        <w:spacing w:line="360" w:lineRule="auto"/>
        <w:rPr>
          <w:rFonts w:hint="eastAsia" w:ascii="宋体" w:hAnsi="宋体" w:eastAsia="宋体" w:cs="宋体"/>
          <w:b/>
          <w:bCs/>
          <w:color w:val="auto"/>
          <w:sz w:val="24"/>
          <w:szCs w:val="24"/>
          <w:highlight w:val="none"/>
        </w:rPr>
      </w:pPr>
    </w:p>
    <w:p w14:paraId="7BC756B2">
      <w:pPr>
        <w:pStyle w:val="234"/>
        <w:spacing w:line="360" w:lineRule="auto"/>
        <w:rPr>
          <w:rFonts w:hint="eastAsia" w:ascii="宋体" w:hAnsi="宋体" w:eastAsia="宋体" w:cs="宋体"/>
          <w:b/>
          <w:bCs/>
          <w:color w:val="auto"/>
          <w:sz w:val="24"/>
          <w:szCs w:val="24"/>
          <w:highlight w:val="none"/>
        </w:rPr>
      </w:pPr>
    </w:p>
    <w:p w14:paraId="0CA1E175">
      <w:pPr>
        <w:pStyle w:val="234"/>
        <w:spacing w:line="360" w:lineRule="auto"/>
        <w:rPr>
          <w:rFonts w:hint="eastAsia" w:ascii="宋体" w:hAnsi="宋体" w:eastAsia="宋体" w:cs="宋体"/>
          <w:b/>
          <w:bCs/>
          <w:color w:val="auto"/>
          <w:sz w:val="24"/>
          <w:szCs w:val="24"/>
          <w:highlight w:val="none"/>
        </w:rPr>
      </w:pPr>
    </w:p>
    <w:p w14:paraId="5DD0F928">
      <w:pPr>
        <w:pStyle w:val="234"/>
        <w:spacing w:line="360" w:lineRule="auto"/>
        <w:rPr>
          <w:rFonts w:hint="eastAsia" w:ascii="宋体" w:hAnsi="宋体" w:eastAsia="宋体" w:cs="宋体"/>
          <w:b/>
          <w:bCs/>
          <w:color w:val="auto"/>
          <w:sz w:val="24"/>
          <w:szCs w:val="24"/>
          <w:highlight w:val="none"/>
        </w:rPr>
      </w:pPr>
    </w:p>
    <w:p w14:paraId="38BDAFEF">
      <w:pPr>
        <w:pStyle w:val="234"/>
        <w:spacing w:line="360" w:lineRule="auto"/>
        <w:rPr>
          <w:rFonts w:hint="eastAsia" w:ascii="宋体" w:hAnsi="宋体" w:eastAsia="宋体" w:cs="宋体"/>
          <w:b/>
          <w:bCs/>
          <w:color w:val="auto"/>
          <w:sz w:val="24"/>
          <w:szCs w:val="24"/>
          <w:highlight w:val="none"/>
        </w:rPr>
      </w:pPr>
    </w:p>
    <w:p w14:paraId="419E9C7F">
      <w:pPr>
        <w:pStyle w:val="23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、投标保证承诺书</w:t>
      </w:r>
    </w:p>
    <w:p w14:paraId="1C32CA22">
      <w:pPr>
        <w:pStyle w:val="2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艾菲尔（江苏）招投标股份有限公司</w:t>
      </w:r>
      <w:r>
        <w:rPr>
          <w:rFonts w:hint="eastAsia" w:ascii="宋体" w:hAnsi="宋体" w:eastAsia="宋体" w:cs="宋体"/>
          <w:color w:val="auto"/>
          <w:sz w:val="24"/>
          <w:szCs w:val="24"/>
          <w:highlight w:val="none"/>
        </w:rPr>
        <w:t>：</w:t>
      </w:r>
    </w:p>
    <w:p w14:paraId="31715902">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我（单位/本人，以下统称我单位）自愿参加项目编号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号的投标，并做出如下承诺：</w:t>
      </w:r>
    </w:p>
    <w:p w14:paraId="4740E44D">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1、除不可抗力外，我单位如果发生以下行为，将在行为发生的10个工作日内，向贵方（或采购人）支付本采购文件公布的预算金额（或最高限价）的2％作为违约赔偿金（数量不确定的单价采购按壹万元计）。</w:t>
      </w:r>
    </w:p>
    <w:p w14:paraId="4DAEA758">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（1）自投标截止时间至本项目发布中标公告为止，撤销投标；</w:t>
      </w:r>
    </w:p>
    <w:p w14:paraId="5E993AC9">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（2）中标后不依法与采购人签订合同；</w:t>
      </w:r>
    </w:p>
    <w:p w14:paraId="55C2D5CB">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（3）中标后不按本采购文件规定向采购人提交履约保证金；</w:t>
      </w:r>
    </w:p>
    <w:p w14:paraId="343F00BF">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（4）中标后不按本采购文件规定向贵方缴纳采购代理费。</w:t>
      </w:r>
    </w:p>
    <w:p w14:paraId="297DEFF1">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2、我单位知晓上述行为的法律后果，承认本承诺书作为贵方（或采购人）要求我单位履行违约赔偿义务的依据作用。</w:t>
      </w:r>
    </w:p>
    <w:p w14:paraId="10880D46">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电话：</w:t>
      </w:r>
    </w:p>
    <w:p w14:paraId="56285D78">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邮编：</w:t>
      </w:r>
    </w:p>
    <w:p w14:paraId="0272A4D6">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w:t>
      </w:r>
    </w:p>
    <w:p w14:paraId="0BC2BD73">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5FB01162">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法定代表人和代理人（签字或盖章）：</w:t>
      </w:r>
    </w:p>
    <w:p w14:paraId="42164800">
      <w:pPr>
        <w:pStyle w:val="23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321BDA6">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858CF7F">
      <w:pPr>
        <w:pStyle w:val="234"/>
        <w:spacing w:line="360" w:lineRule="auto"/>
        <w:rPr>
          <w:rFonts w:hint="eastAsia" w:ascii="宋体" w:hAnsi="宋体" w:eastAsia="宋体" w:cs="宋体"/>
          <w:b/>
          <w:bCs/>
          <w:color w:val="auto"/>
          <w:sz w:val="24"/>
          <w:szCs w:val="24"/>
          <w:highlight w:val="none"/>
        </w:rPr>
      </w:pPr>
    </w:p>
    <w:p w14:paraId="2645B3BD">
      <w:pPr>
        <w:pStyle w:val="23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、投标承诺函</w:t>
      </w:r>
    </w:p>
    <w:p w14:paraId="74F657A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投标承诺函</w:t>
      </w:r>
    </w:p>
    <w:p w14:paraId="026C2E3A">
      <w:pPr>
        <w:jc w:val="center"/>
        <w:rPr>
          <w:rFonts w:hint="eastAsia" w:ascii="宋体" w:hAnsi="宋体" w:eastAsia="宋体" w:cs="宋体"/>
          <w:color w:val="auto"/>
          <w:sz w:val="24"/>
          <w:highlight w:val="none"/>
        </w:rPr>
      </w:pPr>
    </w:p>
    <w:p w14:paraId="6BA54D18">
      <w:pPr>
        <w:pStyle w:val="2"/>
        <w:overflowPunct w:val="0"/>
        <w:spacing w:line="360" w:lineRule="auto"/>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艾菲尔（江苏）招投标股份有限公司</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3B498DA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经仔细阅读和研究，我方同意招标文件（包括补充文件）的各条款要求，自愿参加</w:t>
      </w:r>
      <w:r>
        <w:rPr>
          <w:rFonts w:hint="eastAsia" w:ascii="宋体" w:hAnsi="宋体" w:eastAsia="宋体" w:cs="宋体"/>
          <w:color w:val="auto"/>
          <w:sz w:val="24"/>
          <w:highlight w:val="none"/>
          <w:lang w:eastAsia="zh-CN"/>
        </w:rPr>
        <w:t>淀山湖水系生态环境问题诊断与综合评估项目</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JSZC-320583-AFEJ-G2025-0001</w:t>
      </w:r>
      <w:r>
        <w:rPr>
          <w:rFonts w:hint="eastAsia" w:ascii="宋体" w:hAnsi="宋体" w:eastAsia="宋体" w:cs="宋体"/>
          <w:color w:val="auto"/>
          <w:sz w:val="24"/>
          <w:highlight w:val="none"/>
        </w:rPr>
        <w:t>号）的投标活动，并做出如下承诺：</w:t>
      </w:r>
    </w:p>
    <w:p w14:paraId="56D4D199">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1.我方同意提供与投标有关的一切数据或资料，并保证所提供的投标文件及相关资料均真实有效，若有不实，由此产生的后果由我方承担；</w:t>
      </w:r>
    </w:p>
    <w:p w14:paraId="5FDE9C74">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2.我方愿意按照招标文件的要求，投标该项目的全部实质性内容。 </w:t>
      </w:r>
    </w:p>
    <w:p w14:paraId="64699CCB">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3.我方具有良好的商业信誉和健全的财务会计制度；</w:t>
      </w:r>
    </w:p>
    <w:p w14:paraId="7251285B">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4.我方具有依法缴纳税收和社会保障资金的良好记录；</w:t>
      </w:r>
    </w:p>
    <w:p w14:paraId="0B822A35">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5.我方具有履行合同所必需的设备和专业技术能力；</w:t>
      </w:r>
    </w:p>
    <w:p w14:paraId="38CC3657">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6.我方参加本次政府采购活动前3年内在经营活动中无重大违法记录；</w:t>
      </w:r>
    </w:p>
    <w:p w14:paraId="757E09A4">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7.我方最后报价含服务过程所发生的全部费用。</w:t>
      </w:r>
    </w:p>
    <w:p w14:paraId="4879032B">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8.我方同意按采购人确定的评标办法及评标标准，由评标专家进行评审；</w:t>
      </w:r>
    </w:p>
    <w:p w14:paraId="3BA82581">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9.我方同意按招标文件中的规定，投标文件的有效期限为自开标日起三个月内；</w:t>
      </w:r>
    </w:p>
    <w:p w14:paraId="499C36B0">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10.我方同意采购人关于违约责任的认定方式和对违约责任的处罚；在履约过程中，如我方违约，我方愿意承担相应违约责任。</w:t>
      </w:r>
    </w:p>
    <w:p w14:paraId="29F11654">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11.除不可抗力外，我方如果发生以下行为，将在行为发生的10个工作日内，向采购人支付本招标文件公布的预算价的2%作为违约赔偿金。</w:t>
      </w:r>
    </w:p>
    <w:p w14:paraId="1784F69B">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（1）在招标文件规定的投标有效期内进行实质上修改或撤回投标；</w:t>
      </w:r>
    </w:p>
    <w:p w14:paraId="5F975D91">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（2）中标后不依法与采购人签订合同；</w:t>
      </w:r>
    </w:p>
    <w:p w14:paraId="407132FF">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（3）在投标文件中提供虚假材料；</w:t>
      </w:r>
    </w:p>
    <w:p w14:paraId="5765D889">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（4）恶意串通；</w:t>
      </w:r>
    </w:p>
    <w:p w14:paraId="0E97AC5C">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（5）其他违法违规情形。</w:t>
      </w:r>
    </w:p>
    <w:p w14:paraId="7BFAB825">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12.我方知晓上述行为的法律后果，并认可本承诺函作为采购人要求我方履行违约赔偿的依据。</w:t>
      </w:r>
    </w:p>
    <w:p w14:paraId="1381037A">
      <w:pPr>
        <w:spacing w:line="360" w:lineRule="auto"/>
        <w:ind w:right="-252" w:rightChars="-120"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13.我单位同意招标人关于违约责任的认定方式和对违约责任的处罚；在服务过程中，如我单位违约，我单位愿意承担相应违约责任。</w:t>
      </w:r>
    </w:p>
    <w:p w14:paraId="64D579F0">
      <w:pPr>
        <w:spacing w:line="360" w:lineRule="auto"/>
        <w:ind w:firstLine="480" w:firstLineChars="200"/>
        <w:rPr>
          <w:rFonts w:hint="eastAsia" w:ascii="宋体" w:hAnsi="宋体" w:eastAsia="宋体" w:cs="宋体"/>
          <w:color w:val="auto"/>
          <w:sz w:val="24"/>
          <w:highlight w:val="none"/>
        </w:rPr>
      </w:pPr>
    </w:p>
    <w:p w14:paraId="6A2167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投标人（公章）：</w:t>
      </w:r>
    </w:p>
    <w:p w14:paraId="4C94DC4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p>
    <w:p w14:paraId="7C1ADA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499DC9A0">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266BD6C">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第四章</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采购需求</w:t>
      </w:r>
    </w:p>
    <w:p w14:paraId="409E3A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艾菲尔（江苏）招投标股份有限公司</w:t>
      </w: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苏州市昆山生态环境局</w:t>
      </w:r>
      <w:r>
        <w:rPr>
          <w:rFonts w:hint="eastAsia" w:ascii="宋体" w:hAnsi="宋体" w:eastAsia="宋体" w:cs="宋体"/>
          <w:color w:val="auto"/>
          <w:sz w:val="24"/>
          <w:szCs w:val="24"/>
          <w:highlight w:val="none"/>
        </w:rPr>
        <w:t>委托，对其要求采购的</w:t>
      </w:r>
      <w:r>
        <w:rPr>
          <w:rFonts w:hint="eastAsia" w:ascii="宋体" w:hAnsi="宋体" w:eastAsia="宋体" w:cs="宋体"/>
          <w:color w:val="auto"/>
          <w:sz w:val="24"/>
          <w:szCs w:val="24"/>
          <w:highlight w:val="none"/>
          <w:lang w:eastAsia="zh-CN"/>
        </w:rPr>
        <w:t>淀山湖水系生态环境问题诊断与综合评估项目</w:t>
      </w:r>
      <w:r>
        <w:rPr>
          <w:rFonts w:hint="eastAsia" w:ascii="宋体" w:hAnsi="宋体" w:eastAsia="宋体" w:cs="宋体"/>
          <w:color w:val="auto"/>
          <w:sz w:val="24"/>
          <w:szCs w:val="24"/>
          <w:highlight w:val="none"/>
        </w:rPr>
        <w:t>项目进行公开招标，欢迎符合资格条件和具备履约能力的供应商单位前来参与。</w:t>
      </w:r>
    </w:p>
    <w:p w14:paraId="38448640">
      <w:pPr>
        <w:numPr>
          <w:ilvl w:val="0"/>
          <w:numId w:val="6"/>
        </w:numPr>
        <w:spacing w:line="360" w:lineRule="auto"/>
        <w:ind w:firstLine="482"/>
        <w:rPr>
          <w:rFonts w:hint="eastAsia" w:ascii="宋体" w:hAnsi="宋体" w:eastAsia="宋体" w:cs="宋体"/>
          <w:b/>
          <w:bCs/>
          <w:color w:val="auto"/>
          <w:sz w:val="24"/>
          <w:szCs w:val="24"/>
          <w:highlight w:val="none"/>
        </w:rPr>
      </w:pPr>
      <w:bookmarkStart w:id="9" w:name="_Toc13642116"/>
      <w:r>
        <w:rPr>
          <w:rFonts w:hint="eastAsia" w:ascii="宋体" w:hAnsi="宋体" w:eastAsia="宋体" w:cs="宋体"/>
          <w:b/>
          <w:bCs/>
          <w:color w:val="auto"/>
          <w:sz w:val="24"/>
          <w:szCs w:val="24"/>
          <w:highlight w:val="none"/>
        </w:rPr>
        <w:t>项目编号：</w:t>
      </w:r>
      <w:r>
        <w:rPr>
          <w:rFonts w:hint="eastAsia" w:ascii="宋体" w:hAnsi="宋体" w:eastAsia="宋体" w:cs="宋体"/>
          <w:b/>
          <w:bCs/>
          <w:color w:val="auto"/>
          <w:sz w:val="24"/>
          <w:szCs w:val="24"/>
          <w:highlight w:val="none"/>
          <w:lang w:eastAsia="zh-CN"/>
        </w:rPr>
        <w:t>JSZC-320583-AFEJ-G2025-0001</w:t>
      </w:r>
    </w:p>
    <w:p w14:paraId="5361DB04">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项目名称：</w:t>
      </w:r>
      <w:r>
        <w:rPr>
          <w:rFonts w:hint="eastAsia" w:ascii="宋体" w:hAnsi="宋体" w:eastAsia="宋体" w:cs="宋体"/>
          <w:color w:val="auto"/>
          <w:sz w:val="24"/>
          <w:szCs w:val="24"/>
          <w:highlight w:val="none"/>
          <w:lang w:eastAsia="zh-CN"/>
        </w:rPr>
        <w:t>淀山湖水系生态环境问题诊断与综合评估项目</w:t>
      </w:r>
      <w:r>
        <w:rPr>
          <w:rFonts w:hint="eastAsia" w:ascii="宋体" w:hAnsi="宋体" w:eastAsia="宋体" w:cs="宋体"/>
          <w:color w:val="auto"/>
          <w:sz w:val="24"/>
          <w:szCs w:val="24"/>
          <w:highlight w:val="none"/>
        </w:rPr>
        <w:t>。</w:t>
      </w:r>
    </w:p>
    <w:p w14:paraId="66CA4E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合同签订之日起至完成一个周期年的调查评估、项目成果通过专家评审止，全面完成全部工作</w:t>
      </w:r>
      <w:r>
        <w:rPr>
          <w:rFonts w:hint="eastAsia" w:ascii="宋体" w:hAnsi="宋体" w:eastAsia="宋体" w:cs="宋体"/>
          <w:color w:val="auto"/>
          <w:sz w:val="24"/>
          <w:szCs w:val="24"/>
          <w:highlight w:val="none"/>
        </w:rPr>
        <w:t>。</w:t>
      </w:r>
    </w:p>
    <w:bookmarkEnd w:id="9"/>
    <w:p w14:paraId="6FF167F8">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val="en-US" w:eastAsia="zh-CN"/>
        </w:rPr>
        <w:t>需求</w:t>
      </w:r>
      <w:r>
        <w:rPr>
          <w:rFonts w:hint="eastAsia" w:ascii="宋体" w:hAnsi="宋体" w:eastAsia="宋体" w:cs="宋体"/>
          <w:b/>
          <w:bCs/>
          <w:color w:val="auto"/>
          <w:sz w:val="24"/>
          <w:szCs w:val="24"/>
          <w:highlight w:val="none"/>
        </w:rPr>
        <w:t>：</w:t>
      </w:r>
    </w:p>
    <w:p w14:paraId="1F48D68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1、研究范围：淀山湖水系（淀山湖及主要出入湖河流）。</w:t>
      </w:r>
    </w:p>
    <w:p w14:paraId="4859E343">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2、研究</w:t>
      </w:r>
      <w:r>
        <w:rPr>
          <w:rFonts w:hint="eastAsia" w:ascii="宋体" w:hAnsi="宋体" w:eastAsia="宋体" w:cs="宋体"/>
          <w:color w:val="auto"/>
          <w:sz w:val="24"/>
          <w:szCs w:val="24"/>
          <w:highlight w:val="none"/>
          <w:lang w:val="en-US" w:eastAsia="zh-CN"/>
        </w:rPr>
        <w:t>目标</w:t>
      </w:r>
      <w:r>
        <w:rPr>
          <w:rFonts w:hint="eastAsia" w:ascii="宋体" w:hAnsi="宋体" w:eastAsia="宋体" w:cs="宋体"/>
          <w:color w:val="auto"/>
          <w:sz w:val="24"/>
          <w:szCs w:val="24"/>
          <w:highlight w:val="none"/>
          <w:lang w:eastAsia="zh-CN"/>
        </w:rPr>
        <w:t>：以淀山湖水系（淀山湖及主要出入湖河流）为重点，开展流域区域性系统调查研究，诊断淀山湖水系存在的水环境突出问题，解析水环境问题来源和主控因子，识别水环境改善关键要素，为系统开展淀山湖治理和生态保护修复，</w:t>
      </w:r>
      <w:r>
        <w:rPr>
          <w:rFonts w:hint="eastAsia" w:ascii="宋体" w:hAnsi="宋体" w:eastAsia="宋体" w:cs="宋体"/>
          <w:color w:val="auto"/>
          <w:sz w:val="24"/>
          <w:szCs w:val="24"/>
          <w:highlight w:val="none"/>
          <w:lang w:val="en-US" w:eastAsia="zh-CN"/>
        </w:rPr>
        <w:t>全面提升淀山湖水质提供技术支撑。</w:t>
      </w:r>
    </w:p>
    <w:p w14:paraId="3B70575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3、项目内容</w:t>
      </w:r>
    </w:p>
    <w:p w14:paraId="424B3B48">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调查监测</w:t>
      </w:r>
    </w:p>
    <w:p w14:paraId="05EB0E2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运用“天空地”立体监测技术，在梳理运用现有</w:t>
      </w:r>
      <w:r>
        <w:rPr>
          <w:rFonts w:hint="eastAsia" w:ascii="宋体" w:hAnsi="宋体" w:eastAsia="宋体" w:cs="宋体"/>
          <w:color w:val="auto"/>
          <w:sz w:val="24"/>
          <w:szCs w:val="24"/>
          <w:highlight w:val="none"/>
          <w:lang w:eastAsia="zh-CN"/>
        </w:rPr>
        <w:t>淀山湖及相关水系国控、省控、市控水质监测断面历史监测数据（水质自动站、</w:t>
      </w:r>
      <w:r>
        <w:rPr>
          <w:rFonts w:hint="eastAsia" w:ascii="宋体" w:hAnsi="宋体" w:eastAsia="宋体" w:cs="宋体"/>
          <w:color w:val="auto"/>
          <w:sz w:val="24"/>
          <w:szCs w:val="24"/>
          <w:highlight w:val="none"/>
          <w:lang w:val="en-US" w:eastAsia="zh-CN"/>
        </w:rPr>
        <w:t>手工监测</w:t>
      </w:r>
      <w:r>
        <w:rPr>
          <w:rFonts w:hint="eastAsia" w:ascii="宋体" w:hAnsi="宋体" w:eastAsia="宋体" w:cs="宋体"/>
          <w:color w:val="auto"/>
          <w:sz w:val="24"/>
          <w:szCs w:val="24"/>
          <w:highlight w:val="none"/>
          <w:lang w:eastAsia="zh-CN"/>
        </w:rPr>
        <w:t>数据），以及其他研究性调查、专项调查监测数据的</w:t>
      </w:r>
      <w:r>
        <w:rPr>
          <w:rFonts w:hint="eastAsia" w:ascii="宋体" w:hAnsi="宋体" w:eastAsia="宋体" w:cs="宋体"/>
          <w:color w:val="auto"/>
          <w:sz w:val="24"/>
          <w:szCs w:val="24"/>
          <w:highlight w:val="none"/>
          <w:lang w:val="en-US" w:eastAsia="zh-CN"/>
        </w:rPr>
        <w:t>基础上</w:t>
      </w:r>
      <w:r>
        <w:rPr>
          <w:rFonts w:hint="eastAsia" w:ascii="宋体" w:hAnsi="宋体" w:eastAsia="宋体" w:cs="宋体"/>
          <w:color w:val="auto"/>
          <w:sz w:val="24"/>
          <w:szCs w:val="24"/>
          <w:highlight w:val="none"/>
          <w:lang w:eastAsia="zh-CN"/>
        </w:rPr>
        <w:t>，优化现有监测网络，在重要节点位置（如主要通湖河道河口）增设自动站或自动端采样装置，获</w:t>
      </w:r>
      <w:r>
        <w:rPr>
          <w:rFonts w:hint="eastAsia" w:ascii="宋体" w:hAnsi="宋体" w:eastAsia="宋体" w:cs="宋体"/>
          <w:color w:val="auto"/>
          <w:sz w:val="24"/>
          <w:szCs w:val="24"/>
          <w:highlight w:val="none"/>
          <w:lang w:val="en-US" w:eastAsia="zh-CN"/>
        </w:rPr>
        <w:t>取</w:t>
      </w:r>
      <w:r>
        <w:rPr>
          <w:rFonts w:hint="eastAsia" w:ascii="宋体" w:hAnsi="宋体" w:eastAsia="宋体" w:cs="宋体"/>
          <w:color w:val="auto"/>
          <w:sz w:val="24"/>
          <w:szCs w:val="24"/>
          <w:highlight w:val="none"/>
          <w:lang w:eastAsia="zh-CN"/>
        </w:rPr>
        <w:t>高</w:t>
      </w:r>
      <w:r>
        <w:rPr>
          <w:rFonts w:hint="eastAsia" w:ascii="宋体" w:hAnsi="宋体" w:eastAsia="宋体" w:cs="宋体"/>
          <w:color w:val="auto"/>
          <w:sz w:val="24"/>
          <w:szCs w:val="24"/>
          <w:highlight w:val="none"/>
          <w:lang w:val="en-US" w:eastAsia="zh-CN"/>
        </w:rPr>
        <w:t>频</w:t>
      </w:r>
      <w:r>
        <w:rPr>
          <w:rFonts w:hint="eastAsia" w:ascii="宋体" w:hAnsi="宋体" w:eastAsia="宋体" w:cs="宋体"/>
          <w:color w:val="auto"/>
          <w:sz w:val="24"/>
          <w:szCs w:val="24"/>
          <w:highlight w:val="none"/>
          <w:lang w:eastAsia="zh-CN"/>
        </w:rPr>
        <w:t>水质、</w:t>
      </w:r>
      <w:r>
        <w:rPr>
          <w:rFonts w:hint="eastAsia" w:ascii="宋体" w:hAnsi="宋体" w:eastAsia="宋体" w:cs="宋体"/>
          <w:color w:val="auto"/>
          <w:sz w:val="24"/>
          <w:szCs w:val="24"/>
          <w:highlight w:val="none"/>
          <w:lang w:val="en-US" w:eastAsia="zh-CN"/>
        </w:rPr>
        <w:t>水文</w:t>
      </w:r>
      <w:r>
        <w:rPr>
          <w:rFonts w:hint="eastAsia" w:ascii="宋体" w:hAnsi="宋体" w:eastAsia="宋体" w:cs="宋体"/>
          <w:color w:val="auto"/>
          <w:sz w:val="24"/>
          <w:szCs w:val="24"/>
          <w:highlight w:val="none"/>
          <w:lang w:eastAsia="zh-CN"/>
        </w:rPr>
        <w:t>、气象和藻密度</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数据。</w:t>
      </w:r>
    </w:p>
    <w:p w14:paraId="33E85D26">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分析评估</w:t>
      </w:r>
    </w:p>
    <w:p w14:paraId="7896E4A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融合卫星遥感、气象、水文、</w:t>
      </w:r>
      <w:r>
        <w:rPr>
          <w:rFonts w:hint="eastAsia" w:ascii="宋体" w:hAnsi="宋体" w:eastAsia="宋体" w:cs="宋体"/>
          <w:color w:val="auto"/>
          <w:sz w:val="24"/>
          <w:szCs w:val="24"/>
          <w:highlight w:val="none"/>
          <w:lang w:val="en-US" w:eastAsia="zh-CN"/>
        </w:rPr>
        <w:t>水质等多元</w:t>
      </w:r>
      <w:r>
        <w:rPr>
          <w:rFonts w:hint="eastAsia" w:ascii="宋体" w:hAnsi="宋体" w:eastAsia="宋体" w:cs="宋体"/>
          <w:color w:val="auto"/>
          <w:sz w:val="24"/>
          <w:szCs w:val="24"/>
          <w:highlight w:val="none"/>
          <w:lang w:eastAsia="zh-CN"/>
        </w:rPr>
        <w:t>数据</w:t>
      </w:r>
      <w:r>
        <w:rPr>
          <w:rFonts w:hint="eastAsia" w:ascii="宋体" w:hAnsi="宋体" w:eastAsia="宋体" w:cs="宋体"/>
          <w:color w:val="auto"/>
          <w:sz w:val="24"/>
          <w:szCs w:val="24"/>
          <w:highlight w:val="none"/>
          <w:lang w:val="en-US" w:eastAsia="zh-CN"/>
        </w:rPr>
        <w:t>资料</w:t>
      </w:r>
      <w:r>
        <w:rPr>
          <w:rFonts w:hint="eastAsia" w:ascii="宋体" w:hAnsi="宋体" w:eastAsia="宋体" w:cs="宋体"/>
          <w:color w:val="auto"/>
          <w:sz w:val="24"/>
          <w:szCs w:val="24"/>
          <w:highlight w:val="none"/>
          <w:lang w:eastAsia="zh-CN"/>
        </w:rPr>
        <w:t>，系统开</w:t>
      </w:r>
      <w:r>
        <w:rPr>
          <w:rFonts w:hint="eastAsia" w:ascii="宋体" w:hAnsi="宋体" w:eastAsia="宋体" w:cs="宋体"/>
          <w:color w:val="auto"/>
          <w:sz w:val="24"/>
          <w:szCs w:val="24"/>
          <w:highlight w:val="none"/>
          <w:lang w:val="en-US" w:eastAsia="zh-CN"/>
        </w:rPr>
        <w:t>展</w:t>
      </w:r>
      <w:r>
        <w:rPr>
          <w:rFonts w:hint="eastAsia" w:ascii="宋体" w:hAnsi="宋体" w:eastAsia="宋体" w:cs="宋体"/>
          <w:color w:val="auto"/>
          <w:sz w:val="24"/>
          <w:szCs w:val="24"/>
          <w:highlight w:val="none"/>
          <w:lang w:eastAsia="zh-CN"/>
        </w:rPr>
        <w:t>水质时空变化精准分析</w:t>
      </w:r>
      <w:r>
        <w:rPr>
          <w:rFonts w:hint="eastAsia" w:ascii="宋体" w:hAnsi="宋体" w:eastAsia="宋体" w:cs="宋体"/>
          <w:color w:val="auto"/>
          <w:sz w:val="24"/>
          <w:szCs w:val="24"/>
          <w:highlight w:val="none"/>
          <w:lang w:val="en-US" w:eastAsia="zh-CN"/>
        </w:rPr>
        <w:t>及污染物</w:t>
      </w:r>
      <w:r>
        <w:rPr>
          <w:rFonts w:hint="eastAsia" w:ascii="宋体" w:hAnsi="宋体" w:eastAsia="宋体" w:cs="宋体"/>
          <w:color w:val="auto"/>
          <w:sz w:val="24"/>
          <w:szCs w:val="24"/>
          <w:highlight w:val="none"/>
          <w:lang w:eastAsia="zh-CN"/>
        </w:rPr>
        <w:t>“源-径-汇”响应关系</w:t>
      </w:r>
      <w:r>
        <w:rPr>
          <w:rFonts w:hint="eastAsia" w:ascii="宋体" w:hAnsi="宋体" w:eastAsia="宋体" w:cs="宋体"/>
          <w:color w:val="auto"/>
          <w:sz w:val="24"/>
          <w:szCs w:val="24"/>
          <w:highlight w:val="none"/>
          <w:lang w:val="en-US" w:eastAsia="zh-CN"/>
        </w:rPr>
        <w:t>分析，突出枯水期、汛期等</w:t>
      </w:r>
      <w:r>
        <w:rPr>
          <w:rFonts w:hint="eastAsia" w:ascii="宋体" w:hAnsi="宋体" w:eastAsia="宋体" w:cs="宋体"/>
          <w:color w:val="auto"/>
          <w:sz w:val="24"/>
          <w:szCs w:val="24"/>
          <w:highlight w:val="none"/>
          <w:lang w:eastAsia="zh-CN"/>
        </w:rPr>
        <w:t>污染关键期、</w:t>
      </w:r>
      <w:r>
        <w:rPr>
          <w:rFonts w:hint="eastAsia" w:ascii="宋体" w:hAnsi="宋体" w:eastAsia="宋体" w:cs="宋体"/>
          <w:color w:val="auto"/>
          <w:sz w:val="24"/>
          <w:szCs w:val="24"/>
          <w:highlight w:val="none"/>
          <w:lang w:val="en-US" w:eastAsia="zh-CN"/>
        </w:rPr>
        <w:t>定类因子</w:t>
      </w:r>
      <w:r>
        <w:rPr>
          <w:rFonts w:hint="eastAsia" w:ascii="宋体" w:hAnsi="宋体" w:eastAsia="宋体" w:cs="宋体"/>
          <w:color w:val="auto"/>
          <w:sz w:val="24"/>
          <w:szCs w:val="24"/>
          <w:highlight w:val="none"/>
          <w:lang w:eastAsia="zh-CN"/>
        </w:rPr>
        <w:t>总磷</w:t>
      </w:r>
      <w:r>
        <w:rPr>
          <w:rFonts w:hint="eastAsia" w:ascii="宋体" w:hAnsi="宋体" w:eastAsia="宋体" w:cs="宋体"/>
          <w:color w:val="auto"/>
          <w:sz w:val="24"/>
          <w:szCs w:val="24"/>
          <w:highlight w:val="none"/>
          <w:lang w:val="en-US" w:eastAsia="zh-CN"/>
        </w:rPr>
        <w:t>和藻密度、总氮等关联度高的指标，分析变化</w:t>
      </w:r>
      <w:r>
        <w:rPr>
          <w:rFonts w:hint="eastAsia" w:ascii="宋体" w:hAnsi="宋体" w:eastAsia="宋体" w:cs="宋体"/>
          <w:color w:val="auto"/>
          <w:sz w:val="24"/>
          <w:szCs w:val="24"/>
          <w:highlight w:val="none"/>
          <w:lang w:eastAsia="zh-CN"/>
        </w:rPr>
        <w:t>特征及污染迁移规律，</w:t>
      </w:r>
      <w:r>
        <w:rPr>
          <w:rFonts w:hint="eastAsia" w:ascii="宋体" w:hAnsi="宋体" w:eastAsia="宋体" w:cs="宋体"/>
          <w:color w:val="auto"/>
          <w:sz w:val="24"/>
          <w:szCs w:val="24"/>
          <w:highlight w:val="none"/>
          <w:lang w:val="en-US" w:eastAsia="zh-CN"/>
        </w:rPr>
        <w:t>多维度</w:t>
      </w:r>
      <w:r>
        <w:rPr>
          <w:rFonts w:hint="eastAsia" w:ascii="宋体" w:hAnsi="宋体" w:eastAsia="宋体" w:cs="宋体"/>
          <w:color w:val="auto"/>
          <w:sz w:val="24"/>
          <w:szCs w:val="24"/>
          <w:highlight w:val="none"/>
          <w:lang w:eastAsia="zh-CN"/>
        </w:rPr>
        <w:t>深入剖析淀山湖整体变化规律与历史变化趋势，综合评</w:t>
      </w:r>
      <w:r>
        <w:rPr>
          <w:rFonts w:hint="eastAsia" w:ascii="宋体" w:hAnsi="宋体" w:eastAsia="宋体" w:cs="宋体"/>
          <w:color w:val="auto"/>
          <w:sz w:val="24"/>
          <w:szCs w:val="24"/>
          <w:highlight w:val="none"/>
          <w:lang w:val="en-US" w:eastAsia="zh-CN"/>
        </w:rPr>
        <w:t>估</w:t>
      </w:r>
      <w:r>
        <w:rPr>
          <w:rFonts w:hint="eastAsia" w:ascii="宋体" w:hAnsi="宋体" w:eastAsia="宋体" w:cs="宋体"/>
          <w:color w:val="auto"/>
          <w:sz w:val="24"/>
          <w:szCs w:val="24"/>
          <w:highlight w:val="none"/>
          <w:lang w:eastAsia="zh-CN"/>
        </w:rPr>
        <w:t>淀山湖水质变化情况</w:t>
      </w:r>
      <w:r>
        <w:rPr>
          <w:rFonts w:hint="eastAsia" w:ascii="宋体" w:hAnsi="宋体" w:eastAsia="宋体" w:cs="宋体"/>
          <w:color w:val="auto"/>
          <w:sz w:val="24"/>
          <w:szCs w:val="24"/>
          <w:highlight w:val="none"/>
          <w:lang w:val="en-US" w:eastAsia="zh-CN"/>
        </w:rPr>
        <w:t>。</w:t>
      </w:r>
    </w:p>
    <w:p w14:paraId="6651CAD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积极配合</w:t>
      </w:r>
      <w:r>
        <w:rPr>
          <w:rFonts w:hint="eastAsia" w:ascii="宋体" w:hAnsi="宋体" w:eastAsia="宋体" w:cs="宋体"/>
          <w:color w:val="auto"/>
          <w:sz w:val="24"/>
          <w:szCs w:val="24"/>
          <w:highlight w:val="none"/>
          <w:lang w:eastAsia="zh-CN"/>
        </w:rPr>
        <w:t>协调昆山-青浦两地，以主要通湖河道为试点，进行汛期水质-水量协同污染通量核算，</w:t>
      </w:r>
      <w:r>
        <w:rPr>
          <w:rFonts w:hint="eastAsia" w:ascii="宋体" w:hAnsi="宋体" w:eastAsia="宋体" w:cs="宋体"/>
          <w:color w:val="auto"/>
          <w:sz w:val="24"/>
          <w:szCs w:val="24"/>
          <w:highlight w:val="none"/>
          <w:lang w:val="en-US" w:eastAsia="zh-CN"/>
        </w:rPr>
        <w:t>推动跨界水体共保联治</w:t>
      </w:r>
      <w:r>
        <w:rPr>
          <w:rFonts w:hint="eastAsia" w:ascii="宋体" w:hAnsi="宋体" w:eastAsia="宋体" w:cs="宋体"/>
          <w:color w:val="auto"/>
          <w:sz w:val="24"/>
          <w:szCs w:val="24"/>
          <w:highlight w:val="none"/>
          <w:lang w:eastAsia="zh-CN"/>
        </w:rPr>
        <w:t>。</w:t>
      </w:r>
    </w:p>
    <w:p w14:paraId="2C03903F">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对策建议</w:t>
      </w:r>
    </w:p>
    <w:p w14:paraId="132FD99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从污染源、迁移过程和水质指标响应方面对水环境问题</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lang w:eastAsia="zh-CN"/>
        </w:rPr>
        <w:t>污染发生、迁移过程进行跟踪式诊断，</w:t>
      </w:r>
      <w:r>
        <w:rPr>
          <w:rFonts w:hint="eastAsia" w:ascii="宋体" w:hAnsi="宋体" w:eastAsia="宋体" w:cs="宋体"/>
          <w:color w:val="auto"/>
          <w:sz w:val="24"/>
          <w:szCs w:val="24"/>
          <w:highlight w:val="none"/>
          <w:lang w:val="en-US" w:eastAsia="zh-CN"/>
        </w:rPr>
        <w:t>聚焦</w:t>
      </w:r>
      <w:r>
        <w:rPr>
          <w:rFonts w:hint="eastAsia" w:ascii="宋体" w:hAnsi="宋体" w:eastAsia="宋体" w:cs="宋体"/>
          <w:color w:val="auto"/>
          <w:sz w:val="24"/>
          <w:szCs w:val="24"/>
          <w:highlight w:val="none"/>
          <w:lang w:eastAsia="zh-CN"/>
        </w:rPr>
        <w:t>为淀山湖全年水生态环境监管提供“管家式”服务。</w:t>
      </w:r>
      <w:r>
        <w:rPr>
          <w:rFonts w:hint="eastAsia" w:ascii="宋体" w:hAnsi="宋体" w:eastAsia="宋体" w:cs="宋体"/>
          <w:color w:val="auto"/>
          <w:sz w:val="24"/>
          <w:szCs w:val="24"/>
          <w:highlight w:val="none"/>
          <w:lang w:val="en-US" w:eastAsia="zh-CN"/>
        </w:rPr>
        <w:t>结合分析评估结论，围绕</w:t>
      </w:r>
      <w:r>
        <w:rPr>
          <w:rFonts w:hint="eastAsia" w:ascii="宋体" w:hAnsi="宋体" w:eastAsia="宋体" w:cs="宋体"/>
          <w:color w:val="auto"/>
          <w:sz w:val="24"/>
          <w:szCs w:val="24"/>
          <w:highlight w:val="none"/>
          <w:lang w:eastAsia="zh-CN"/>
        </w:rPr>
        <w:t>主导因子</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lang w:eastAsia="zh-CN"/>
        </w:rPr>
        <w:t>关键要素</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，对淀山湖水生态环境改善提出建议</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w:t>
      </w:r>
    </w:p>
    <w:p w14:paraId="09F5DCA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（4）其他需要：配合完成淀山湖水系生态环境问题诊断与综合评估项目的其他有关工作。</w:t>
      </w:r>
    </w:p>
    <w:p w14:paraId="6A33B2C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4、最终成果：提交通过专家评审的</w:t>
      </w:r>
      <w:r>
        <w:rPr>
          <w:rFonts w:hint="eastAsia" w:ascii="宋体" w:hAnsi="宋体" w:eastAsia="宋体" w:cs="宋体"/>
          <w:color w:val="auto"/>
          <w:sz w:val="24"/>
          <w:szCs w:val="24"/>
          <w:highlight w:val="none"/>
          <w:lang w:val="en-US" w:eastAsia="zh-CN"/>
        </w:rPr>
        <w:t>系列研究报告及相关成果</w:t>
      </w:r>
      <w:r>
        <w:rPr>
          <w:rFonts w:hint="eastAsia" w:ascii="宋体" w:hAnsi="宋体" w:eastAsia="宋体" w:cs="宋体"/>
          <w:color w:val="auto"/>
          <w:sz w:val="24"/>
          <w:szCs w:val="24"/>
          <w:highlight w:val="none"/>
          <w:lang w:eastAsia="zh-CN"/>
        </w:rPr>
        <w:t>（电子+纸质）</w:t>
      </w:r>
      <w:r>
        <w:rPr>
          <w:rFonts w:hint="eastAsia" w:ascii="宋体" w:hAnsi="宋体" w:eastAsia="宋体" w:cs="宋体"/>
          <w:color w:val="auto"/>
          <w:sz w:val="24"/>
          <w:szCs w:val="24"/>
          <w:highlight w:val="none"/>
          <w:lang w:val="en-US" w:eastAsia="zh-CN"/>
        </w:rPr>
        <w:t>：</w:t>
      </w:r>
    </w:p>
    <w:p w14:paraId="5B9EDFA4">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2A50B15">
      <w:pPr>
        <w:ind w:firstLine="289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第五章</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rPr>
        <w:t>合同</w:t>
      </w:r>
      <w:r>
        <w:rPr>
          <w:rFonts w:hint="eastAsia" w:ascii="宋体" w:hAnsi="宋体" w:eastAsia="宋体" w:cs="宋体"/>
          <w:b/>
          <w:color w:val="auto"/>
          <w:sz w:val="24"/>
          <w:szCs w:val="24"/>
          <w:highlight w:val="none"/>
          <w:lang w:val="en-US" w:eastAsia="zh-CN"/>
        </w:rPr>
        <w:t>主要</w:t>
      </w:r>
      <w:r>
        <w:rPr>
          <w:rFonts w:hint="eastAsia" w:ascii="宋体" w:hAnsi="宋体" w:eastAsia="宋体" w:cs="宋体"/>
          <w:b/>
          <w:color w:val="auto"/>
          <w:sz w:val="24"/>
          <w:szCs w:val="24"/>
          <w:highlight w:val="none"/>
        </w:rPr>
        <w:t>条款</w:t>
      </w:r>
    </w:p>
    <w:p w14:paraId="6057C142">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采购合同</w:t>
      </w:r>
    </w:p>
    <w:p w14:paraId="4700356E">
      <w:pPr>
        <w:spacing w:line="360" w:lineRule="auto"/>
        <w:ind w:firstLine="420"/>
        <w:rPr>
          <w:rFonts w:hint="eastAsia" w:ascii="宋体" w:hAnsi="宋体" w:eastAsia="宋体" w:cs="宋体"/>
          <w:color w:val="auto"/>
          <w:sz w:val="24"/>
          <w:szCs w:val="24"/>
          <w:highlight w:val="none"/>
        </w:rPr>
      </w:pPr>
      <w:bookmarkStart w:id="10" w:name="_Hlk120782939"/>
      <w:r>
        <w:rPr>
          <w:rFonts w:hint="eastAsia" w:ascii="宋体" w:hAnsi="宋体" w:eastAsia="宋体" w:cs="宋体"/>
          <w:color w:val="auto"/>
          <w:sz w:val="24"/>
          <w:szCs w:val="24"/>
          <w:highlight w:val="none"/>
        </w:rPr>
        <w:t>甲方：苏州市昆山生态环境局</w:t>
      </w:r>
    </w:p>
    <w:p w14:paraId="6E0E9F7E">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昆山市前进西路1801号</w:t>
      </w:r>
    </w:p>
    <w:p w14:paraId="7300AEDD">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 xml:space="preserve">0512-57554423 </w:t>
      </w:r>
    </w:p>
    <w:p w14:paraId="5FB4AD72">
      <w:pPr>
        <w:spacing w:line="360" w:lineRule="auto"/>
        <w:ind w:firstLine="420"/>
        <w:rPr>
          <w:rFonts w:hint="eastAsia" w:ascii="宋体" w:hAnsi="宋体" w:eastAsia="宋体" w:cs="宋体"/>
          <w:color w:val="auto"/>
          <w:sz w:val="24"/>
          <w:szCs w:val="24"/>
          <w:highlight w:val="none"/>
        </w:rPr>
      </w:pPr>
    </w:p>
    <w:p w14:paraId="03EBC086">
      <w:pPr>
        <w:spacing w:line="360" w:lineRule="auto"/>
        <w:ind w:firstLine="420"/>
        <w:rPr>
          <w:rFonts w:hint="eastAsia" w:ascii="宋体" w:hAnsi="宋体" w:eastAsia="宋体" w:cs="宋体"/>
          <w:color w:val="auto"/>
          <w:sz w:val="24"/>
          <w:szCs w:val="24"/>
          <w:highlight w:val="none"/>
        </w:rPr>
      </w:pPr>
    </w:p>
    <w:p w14:paraId="0645896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34B6160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4877046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bookmarkEnd w:id="10"/>
    <w:p w14:paraId="18F177D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p>
    <w:p w14:paraId="028EDCA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合同价格</w:t>
      </w:r>
    </w:p>
    <w:p w14:paraId="3DB2D37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合同价格（大写）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以实际中标价格为准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。合同价格实际包括完成本项目全部内容的一切费用。实际包括劳务、食宿、差旅、资料汇编、管理、保险、利润、税金、政策性文件规定及合同包含的所有风险、责任等各项应有费用。</w:t>
      </w:r>
    </w:p>
    <w:p w14:paraId="106696C8">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根据现行税法对甲方征收的与本合同有关的一切税费均由甲方承担；根据现行税法对乙方征收的与本合同有关的一切税费均由乙方承担。</w:t>
      </w:r>
    </w:p>
    <w:p w14:paraId="4AB3436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服务范围</w:t>
      </w:r>
    </w:p>
    <w:p w14:paraId="5A2CE070">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本合同项下的服务指：</w:t>
      </w:r>
      <w:r>
        <w:rPr>
          <w:rFonts w:hint="eastAsia" w:ascii="宋体" w:hAnsi="宋体" w:eastAsia="宋体" w:cs="宋体"/>
          <w:color w:val="auto"/>
          <w:sz w:val="24"/>
          <w:szCs w:val="24"/>
          <w:highlight w:val="none"/>
          <w:lang w:eastAsia="zh-CN"/>
        </w:rPr>
        <w:t>淀山湖水系生态环境问题诊断与综合评估项目</w:t>
      </w:r>
      <w:r>
        <w:rPr>
          <w:rFonts w:hint="eastAsia" w:ascii="宋体" w:hAnsi="宋体" w:eastAsia="宋体" w:cs="宋体"/>
          <w:color w:val="auto"/>
          <w:sz w:val="24"/>
          <w:szCs w:val="24"/>
          <w:highlight w:val="none"/>
        </w:rPr>
        <w:t>。</w:t>
      </w:r>
    </w:p>
    <w:p w14:paraId="06AB20B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服务内容：</w:t>
      </w:r>
    </w:p>
    <w:tbl>
      <w:tblPr>
        <w:tblStyle w:val="31"/>
        <w:tblW w:w="5000" w:type="pct"/>
        <w:tblInd w:w="0" w:type="dxa"/>
        <w:tblLayout w:type="autofit"/>
        <w:tblCellMar>
          <w:top w:w="0" w:type="dxa"/>
          <w:left w:w="108" w:type="dxa"/>
          <w:bottom w:w="0" w:type="dxa"/>
          <w:right w:w="108" w:type="dxa"/>
        </w:tblCellMar>
      </w:tblPr>
      <w:tblGrid>
        <w:gridCol w:w="1499"/>
        <w:gridCol w:w="3860"/>
        <w:gridCol w:w="1031"/>
        <w:gridCol w:w="1066"/>
        <w:gridCol w:w="1066"/>
      </w:tblGrid>
      <w:tr w14:paraId="58A7DF91">
        <w:tblPrEx>
          <w:tblCellMar>
            <w:top w:w="0" w:type="dxa"/>
            <w:left w:w="108" w:type="dxa"/>
            <w:bottom w:w="0" w:type="dxa"/>
            <w:right w:w="108" w:type="dxa"/>
          </w:tblCellMar>
        </w:tblPrEx>
        <w:trPr>
          <w:trHeight w:val="654" w:hRule="atLeast"/>
        </w:trPr>
        <w:tc>
          <w:tcPr>
            <w:tcW w:w="880" w:type="pct"/>
            <w:tcBorders>
              <w:top w:val="single" w:color="000000" w:sz="4" w:space="0"/>
              <w:left w:val="single" w:color="000000" w:sz="4" w:space="0"/>
              <w:bottom w:val="single" w:color="000000" w:sz="4" w:space="0"/>
              <w:right w:val="single" w:color="000000" w:sz="4" w:space="0"/>
            </w:tcBorders>
            <w:vAlign w:val="center"/>
          </w:tcPr>
          <w:p w14:paraId="6E13329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2264" w:type="pct"/>
            <w:tcBorders>
              <w:top w:val="single" w:color="000000" w:sz="4" w:space="0"/>
              <w:left w:val="nil"/>
              <w:bottom w:val="single" w:color="000000" w:sz="4" w:space="0"/>
              <w:right w:val="single" w:color="000000" w:sz="4" w:space="0"/>
            </w:tcBorders>
            <w:vAlign w:val="center"/>
          </w:tcPr>
          <w:p w14:paraId="7188E5C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605" w:type="pct"/>
            <w:tcBorders>
              <w:top w:val="single" w:color="000000" w:sz="4" w:space="0"/>
              <w:left w:val="nil"/>
              <w:bottom w:val="single" w:color="000000" w:sz="4" w:space="0"/>
              <w:right w:val="single" w:color="000000" w:sz="4" w:space="0"/>
            </w:tcBorders>
            <w:noWrap/>
            <w:vAlign w:val="center"/>
          </w:tcPr>
          <w:p w14:paraId="2BE501F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625" w:type="pct"/>
            <w:tcBorders>
              <w:top w:val="single" w:color="000000" w:sz="4" w:space="0"/>
              <w:left w:val="nil"/>
              <w:bottom w:val="single" w:color="000000" w:sz="4" w:space="0"/>
              <w:right w:val="single" w:color="000000" w:sz="4" w:space="0"/>
            </w:tcBorders>
            <w:noWrap/>
            <w:vAlign w:val="center"/>
          </w:tcPr>
          <w:p w14:paraId="0B88B9B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w:t>
            </w:r>
          </w:p>
        </w:tc>
        <w:tc>
          <w:tcPr>
            <w:tcW w:w="625" w:type="pct"/>
            <w:tcBorders>
              <w:top w:val="single" w:color="000000" w:sz="4" w:space="0"/>
              <w:left w:val="nil"/>
              <w:bottom w:val="single" w:color="000000" w:sz="4" w:space="0"/>
              <w:right w:val="single" w:color="000000" w:sz="4" w:space="0"/>
            </w:tcBorders>
            <w:noWrap/>
            <w:vAlign w:val="center"/>
          </w:tcPr>
          <w:p w14:paraId="1748A32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35DD5FA">
        <w:tblPrEx>
          <w:tblCellMar>
            <w:top w:w="0" w:type="dxa"/>
            <w:left w:w="108" w:type="dxa"/>
            <w:bottom w:w="0" w:type="dxa"/>
            <w:right w:w="108" w:type="dxa"/>
          </w:tblCellMar>
        </w:tblPrEx>
        <w:trPr>
          <w:trHeight w:val="465" w:hRule="atLeast"/>
        </w:trPr>
        <w:tc>
          <w:tcPr>
            <w:tcW w:w="880" w:type="pct"/>
            <w:tcBorders>
              <w:top w:val="single" w:color="000000" w:sz="4" w:space="0"/>
              <w:left w:val="single" w:color="000000" w:sz="4" w:space="0"/>
              <w:bottom w:val="single" w:color="000000" w:sz="4" w:space="0"/>
              <w:right w:val="single" w:color="000000" w:sz="4" w:space="0"/>
            </w:tcBorders>
            <w:vAlign w:val="center"/>
          </w:tcPr>
          <w:p w14:paraId="3B3893B2">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淀山湖水系生态环境问题诊断与综合评估项目</w:t>
            </w:r>
          </w:p>
        </w:tc>
        <w:tc>
          <w:tcPr>
            <w:tcW w:w="2264" w:type="pct"/>
            <w:tcBorders>
              <w:top w:val="single" w:color="000000" w:sz="4" w:space="0"/>
              <w:left w:val="nil"/>
              <w:bottom w:val="single" w:color="000000" w:sz="4" w:space="0"/>
              <w:right w:val="single" w:color="000000" w:sz="4" w:space="0"/>
            </w:tcBorders>
            <w:vAlign w:val="center"/>
          </w:tcPr>
          <w:p w14:paraId="0486DB3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以淀山湖水系（含淀山湖及主要出入湖河流）为重点，开展流域区域性系统调查研究，重点围绕氮磷等污染物源解析，分析淀山湖流域水系水质时空变化特征，从污染源、污染迁移过程和水质指标响应方面对水环境问题和污染发生、迁移过程进行跟踪式诊断，识别水环境改善关键要素，为系统开展淀山湖治理和生态保护修复，提升淀山湖水质提供技术支撑</w:t>
            </w:r>
          </w:p>
        </w:tc>
        <w:tc>
          <w:tcPr>
            <w:tcW w:w="605" w:type="pct"/>
            <w:tcBorders>
              <w:top w:val="single" w:color="000000" w:sz="4" w:space="0"/>
              <w:left w:val="nil"/>
              <w:bottom w:val="single" w:color="000000" w:sz="4" w:space="0"/>
              <w:right w:val="single" w:color="000000" w:sz="4" w:space="0"/>
            </w:tcBorders>
            <w:noWrap/>
            <w:vAlign w:val="center"/>
          </w:tcPr>
          <w:p w14:paraId="4494DF1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1式</w:t>
            </w:r>
          </w:p>
        </w:tc>
        <w:tc>
          <w:tcPr>
            <w:tcW w:w="625" w:type="pct"/>
            <w:tcBorders>
              <w:top w:val="single" w:color="000000" w:sz="4" w:space="0"/>
              <w:left w:val="nil"/>
              <w:bottom w:val="single" w:color="000000" w:sz="4" w:space="0"/>
              <w:right w:val="single" w:color="000000" w:sz="4" w:space="0"/>
            </w:tcBorders>
            <w:noWrap/>
            <w:vAlign w:val="center"/>
          </w:tcPr>
          <w:p w14:paraId="1E3F56D7">
            <w:pPr>
              <w:widowControl/>
              <w:ind w:firstLine="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625" w:type="pct"/>
            <w:tcBorders>
              <w:top w:val="single" w:color="000000" w:sz="4" w:space="0"/>
              <w:left w:val="nil"/>
              <w:bottom w:val="single" w:color="000000" w:sz="4" w:space="0"/>
              <w:right w:val="single" w:color="000000" w:sz="4" w:space="0"/>
            </w:tcBorders>
            <w:noWrap/>
            <w:vAlign w:val="center"/>
          </w:tcPr>
          <w:p w14:paraId="7EF335A4">
            <w:pPr>
              <w:widowControl/>
              <w:jc w:val="center"/>
              <w:rPr>
                <w:rFonts w:hint="eastAsia" w:ascii="宋体" w:hAnsi="宋体" w:eastAsia="宋体" w:cs="宋体"/>
                <w:color w:val="auto"/>
                <w:sz w:val="24"/>
                <w:szCs w:val="24"/>
                <w:highlight w:val="none"/>
              </w:rPr>
            </w:pPr>
          </w:p>
        </w:tc>
      </w:tr>
    </w:tbl>
    <w:p w14:paraId="4A041F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交付期限：</w:t>
      </w:r>
      <w:r>
        <w:rPr>
          <w:rFonts w:hint="eastAsia" w:ascii="宋体" w:hAnsi="宋体" w:eastAsia="宋体" w:cs="宋体"/>
          <w:color w:val="auto"/>
          <w:sz w:val="24"/>
          <w:szCs w:val="24"/>
          <w:highlight w:val="none"/>
          <w:lang w:val="en-US" w:eastAsia="zh-CN"/>
        </w:rPr>
        <w:t>合同签订之日起至完成一个周期年的调查评估、项目成果通过专家评审止，全面完成全部工作</w:t>
      </w:r>
      <w:r>
        <w:rPr>
          <w:rFonts w:hint="eastAsia" w:ascii="宋体" w:hAnsi="宋体" w:eastAsia="宋体" w:cs="宋体"/>
          <w:color w:val="auto"/>
          <w:sz w:val="24"/>
          <w:szCs w:val="24"/>
          <w:highlight w:val="none"/>
        </w:rPr>
        <w:t>。</w:t>
      </w:r>
    </w:p>
    <w:p w14:paraId="1E39C40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甲、乙双方的义务</w:t>
      </w:r>
    </w:p>
    <w:p w14:paraId="292210A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甲方有义务向乙方及时提供开展工作所必需的政策、法律、法规、行政指导性文件及相关资料。</w:t>
      </w:r>
    </w:p>
    <w:p w14:paraId="1AE5441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乙方应当认真执行并按时完成本项目相关服务工作，自觉接受甲方监督，乙方应当坚守工作范围的职责，不得介入甲方的事务性工作。</w:t>
      </w:r>
    </w:p>
    <w:p w14:paraId="6871D808">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质量保证要求</w:t>
      </w:r>
    </w:p>
    <w:p w14:paraId="7279952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p>
    <w:p w14:paraId="3D5BE8B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乙方应在项目实施前，详细分析在本次项目实施过程中可能存在的技术风险，并采取必要的风险控制措施。乙方在项目实施工作中对甲方造成的负面影响，其后果都须由乙方承担。</w:t>
      </w:r>
    </w:p>
    <w:p w14:paraId="09FC5FF9">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乙方应确保采用相关数据技术手段和方法促进本项目的开展，提高项目运行效率和效能。</w:t>
      </w:r>
    </w:p>
    <w:p w14:paraId="31FA879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合同价格支付</w:t>
      </w:r>
    </w:p>
    <w:p w14:paraId="73312F5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5.1.支付步骤：合同签订后，甲方在财政项目资金下达后十个工作日内支付合同金额的</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%；甲方在乙方提交</w:t>
      </w:r>
      <w:r>
        <w:rPr>
          <w:rFonts w:hint="eastAsia" w:ascii="宋体" w:hAnsi="宋体" w:eastAsia="宋体" w:cs="宋体"/>
          <w:color w:val="auto"/>
          <w:sz w:val="24"/>
          <w:szCs w:val="24"/>
          <w:highlight w:val="none"/>
          <w:lang w:val="en-US" w:eastAsia="zh-CN"/>
        </w:rPr>
        <w:t>中期</w:t>
      </w:r>
      <w:r>
        <w:rPr>
          <w:rFonts w:hint="eastAsia" w:ascii="宋体" w:hAnsi="宋体" w:eastAsia="宋体" w:cs="宋体"/>
          <w:color w:val="auto"/>
          <w:sz w:val="24"/>
          <w:szCs w:val="24"/>
          <w:highlight w:val="none"/>
        </w:rPr>
        <w:t>成果后支付合同金额的50%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甲方在乙方提交最终成果（通过专家论证）后支付合同金额</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%的尾款。</w:t>
      </w:r>
    </w:p>
    <w:p w14:paraId="40F1AA8B">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甲方支付此项费用不再承担其它任何费用（包括个人），服务人员的薪金、福利、休假日补贴等由乙方付给，与甲方无关。</w:t>
      </w:r>
    </w:p>
    <w:p w14:paraId="1228683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乙方要求付款应提供以下资料：</w:t>
      </w:r>
    </w:p>
    <w:p w14:paraId="3333F2E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合格的发票。</w:t>
      </w:r>
    </w:p>
    <w:p w14:paraId="6AF9923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支付方式：银行汇票或转账。</w:t>
      </w:r>
    </w:p>
    <w:p w14:paraId="036AC76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违约责任</w:t>
      </w:r>
    </w:p>
    <w:p w14:paraId="326FC30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甲方违约责任及违约金支付：</w:t>
      </w:r>
    </w:p>
    <w:p w14:paraId="049AE2BB">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在合同生效后，甲方无理由要求终止服务的，应向乙方偿付合同总价款的20%，作为违约金，违约金不足以补偿损失的，乙方有权要求甲方补足。</w:t>
      </w:r>
    </w:p>
    <w:p w14:paraId="44F8CFF6">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甲方逾期付款的应按照逾期付款金额的每天万分之四支付逾期付款违约金。</w:t>
      </w:r>
    </w:p>
    <w:p w14:paraId="184EFAC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甲方违反合同规定，拒绝接受乙方提供服务，应当承担乙方由此造成的损失。</w:t>
      </w:r>
    </w:p>
    <w:p w14:paraId="28F70859">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乙方违约责任及违约金支付：</w:t>
      </w:r>
    </w:p>
    <w:p w14:paraId="2807FB5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（1）乙方不能提供服务的，或服务不合格从而影响甲方按期正常使用的，应向甲方偿付合同总价款5‰的违约金，违约金不足以补偿损失的，甲方有权要求乙方补足。</w:t>
      </w:r>
    </w:p>
    <w:p w14:paraId="5541737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（2）乙方逾期提供服务的，应与甲方和政府采购管理部门协商，甲方仍需求的，乙方应立即提供服务，并按照逾期服务的每天万分之四支付逾期违约金，同时承担甲方因此遭致的损失费用。</w:t>
      </w:r>
    </w:p>
    <w:p w14:paraId="4AF6C38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不可抗力</w:t>
      </w:r>
    </w:p>
    <w:p w14:paraId="77B7766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因不可抗力不能履行合同的，根据不可抗力的影响，部分或者全部免除责任。但合同一方延迟履行后发生不可抗力的，不能免除责任。</w:t>
      </w:r>
    </w:p>
    <w:p w14:paraId="5445D98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合同一方因不可抗力不能履行合同的，应当及时通知对方，以减轻可能给对方造成的损失，并应当在合理期限内提供证明。</w:t>
      </w:r>
    </w:p>
    <w:p w14:paraId="16B806E9">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合同修改</w:t>
      </w:r>
    </w:p>
    <w:p w14:paraId="2CEDE8D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甲方和乙方都不得擅自变更本合同，但合同继续履行将损害国家和社会公共利益的除外。</w:t>
      </w:r>
    </w:p>
    <w:p w14:paraId="3E09816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转让和分包</w:t>
      </w:r>
    </w:p>
    <w:p w14:paraId="0DB6205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政府采购合同的部分和全部都不得转让。</w:t>
      </w:r>
    </w:p>
    <w:p w14:paraId="1F036DD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合同的解除</w:t>
      </w:r>
    </w:p>
    <w:p w14:paraId="619AA35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有下列情形之一，合同一方可以解除合同：</w:t>
      </w:r>
    </w:p>
    <w:p w14:paraId="0478CAE0">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因不可抗力致使不能实现合同目的，未受不可抗力影响的一方有权解除合同；</w:t>
      </w:r>
    </w:p>
    <w:p w14:paraId="290BA26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因合同一方违约导致合同不能履行，另一方有权解除合同。</w:t>
      </w:r>
    </w:p>
    <w:p w14:paraId="3E63327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有权解除合同的一方，应当在违约事实或不可抗力发生之后三十天内书面通知对方以主张解除合同，合同在书面通知到达对方时解除。</w:t>
      </w:r>
    </w:p>
    <w:p w14:paraId="7E95187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争议解决办法</w:t>
      </w:r>
    </w:p>
    <w:p w14:paraId="38D951E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因本合同或与本合同有关的一切事项发生争议，由双方友好协商解决。协商不成的，向甲方所在地的人民法院起诉。</w:t>
      </w:r>
    </w:p>
    <w:p w14:paraId="042799F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合同生效及其他</w:t>
      </w:r>
    </w:p>
    <w:p w14:paraId="7E4AF936">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本合同经双方签字并盖公章后生效，同时由政府采购监督管理部门备案。</w:t>
      </w:r>
    </w:p>
    <w:p w14:paraId="1D47945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下列文件为本合同不可分割部分：</w:t>
      </w:r>
    </w:p>
    <w:p w14:paraId="5E11991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中标通知书；乙方投标文件；采购文件；乙方在磋商过程中所作的其他承诺、声明、书面澄清等。</w:t>
      </w:r>
    </w:p>
    <w:p w14:paraId="642B64B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投标单位要充分考虑知识产权问题，采购人在本国使用该项目投标单位提供的材料和设计或其任何一部分时而引起第三方提出的侵犯任何第三方合法权益的，均由乙方承担相关责任。凡由此造成采购人承担责任的，采购人有权向投标单位追偿，且投标单位应承担采购人追偿而支出的相应费用（包括但不限于诉讼费、鉴定费、律师费、公证费等）。</w:t>
      </w:r>
    </w:p>
    <w:p w14:paraId="6FC2C9D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未尽事宜</w:t>
      </w:r>
    </w:p>
    <w:p w14:paraId="1EC7353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未尽事宜应按照《中华人民共和国民法典》《中华人民共和国政府采购法》等相关法律法规之规定解释。</w:t>
      </w:r>
    </w:p>
    <w:p w14:paraId="5B52856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附则</w:t>
      </w:r>
    </w:p>
    <w:p w14:paraId="07D5BB1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本合同一式贰份，甲、乙方各执壹份。</w:t>
      </w:r>
    </w:p>
    <w:p w14:paraId="2D77D519">
      <w:pPr>
        <w:spacing w:line="360" w:lineRule="auto"/>
        <w:ind w:firstLine="420"/>
        <w:jc w:val="left"/>
        <w:rPr>
          <w:rFonts w:hint="eastAsia" w:ascii="宋体" w:hAnsi="宋体" w:eastAsia="宋体" w:cs="宋体"/>
          <w:color w:val="auto"/>
          <w:sz w:val="24"/>
          <w:szCs w:val="24"/>
          <w:highlight w:val="none"/>
        </w:rPr>
      </w:pPr>
    </w:p>
    <w:p w14:paraId="6936F533">
      <w:pPr>
        <w:spacing w:line="360" w:lineRule="auto"/>
        <w:ind w:firstLine="420"/>
        <w:jc w:val="left"/>
        <w:rPr>
          <w:rFonts w:hint="eastAsia" w:ascii="宋体" w:hAnsi="宋体" w:eastAsia="宋体" w:cs="宋体"/>
          <w:color w:val="auto"/>
          <w:sz w:val="24"/>
          <w:szCs w:val="24"/>
          <w:highlight w:val="none"/>
        </w:rPr>
      </w:pPr>
    </w:p>
    <w:p w14:paraId="7C698C8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p>
    <w:p w14:paraId="7841F40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法定代表人（授权代表）：              法定代表人（授权代表）：</w:t>
      </w:r>
    </w:p>
    <w:p w14:paraId="153CC09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签约日期：                           签约日期： </w:t>
      </w:r>
    </w:p>
    <w:p w14:paraId="56B50BF0">
      <w:pPr>
        <w:spacing w:line="360" w:lineRule="auto"/>
        <w:ind w:firstLine="480"/>
        <w:jc w:val="left"/>
        <w:rPr>
          <w:rFonts w:hint="eastAsia" w:ascii="宋体" w:hAnsi="宋体" w:eastAsia="宋体" w:cs="宋体"/>
          <w:color w:val="auto"/>
          <w:sz w:val="24"/>
          <w:szCs w:val="24"/>
          <w:highlight w:val="none"/>
        </w:rPr>
      </w:pPr>
    </w:p>
    <w:p w14:paraId="51365728">
      <w:pPr>
        <w:spacing w:line="240" w:lineRule="auto"/>
        <w:rPr>
          <w:rFonts w:hint="eastAsia" w:ascii="宋体" w:hAnsi="宋体" w:eastAsia="宋体" w:cs="宋体"/>
          <w:color w:val="auto"/>
          <w:sz w:val="24"/>
          <w:szCs w:val="24"/>
          <w:highlight w:val="none"/>
        </w:rPr>
      </w:pPr>
    </w:p>
    <w:p w14:paraId="53263703">
      <w:pPr>
        <w:rPr>
          <w:rFonts w:hint="eastAsia" w:ascii="宋体" w:hAnsi="宋体" w:eastAsia="宋体" w:cs="宋体"/>
          <w:color w:val="auto"/>
          <w:highlight w:val="none"/>
        </w:rPr>
      </w:pPr>
    </w:p>
    <w:p w14:paraId="305C1F17">
      <w:pPr>
        <w:rPr>
          <w:rFonts w:hint="eastAsia" w:ascii="宋体" w:hAnsi="宋体" w:eastAsia="宋体" w:cs="宋体"/>
          <w:color w:val="auto"/>
          <w:highlight w:val="none"/>
        </w:rPr>
      </w:pPr>
    </w:p>
    <w:p w14:paraId="3AF8D54C">
      <w:pPr>
        <w:jc w:val="center"/>
        <w:rPr>
          <w:rFonts w:hint="eastAsia" w:ascii="宋体" w:hAnsi="宋体" w:eastAsia="宋体" w:cs="宋体"/>
          <w:b/>
          <w:color w:val="auto"/>
          <w:sz w:val="24"/>
          <w:szCs w:val="24"/>
          <w:highlight w:val="none"/>
        </w:rPr>
        <w:sectPr>
          <w:pgSz w:w="11906" w:h="16838"/>
          <w:pgMar w:top="1440" w:right="1800" w:bottom="1440" w:left="1800" w:header="851" w:footer="992" w:gutter="0"/>
          <w:cols w:space="1701" w:num="1"/>
          <w:docGrid w:linePitch="360" w:charSpace="0"/>
        </w:sectPr>
      </w:pPr>
    </w:p>
    <w:p w14:paraId="7A78197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第六章</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评标方法和</w:t>
      </w:r>
      <w:r>
        <w:rPr>
          <w:rFonts w:hint="eastAsia" w:ascii="宋体" w:hAnsi="宋体" w:eastAsia="宋体" w:cs="宋体"/>
          <w:b/>
          <w:color w:val="auto"/>
          <w:sz w:val="24"/>
          <w:szCs w:val="24"/>
          <w:highlight w:val="none"/>
        </w:rPr>
        <w:t>评分标准</w:t>
      </w:r>
    </w:p>
    <w:p w14:paraId="129A5EEC">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一、评标</w:t>
      </w:r>
      <w:r>
        <w:rPr>
          <w:rFonts w:hint="eastAsia" w:ascii="宋体" w:hAnsi="宋体" w:eastAsia="宋体" w:cs="宋体"/>
          <w:b/>
          <w:color w:val="auto"/>
          <w:sz w:val="24"/>
          <w:szCs w:val="24"/>
          <w:highlight w:val="none"/>
          <w:lang w:val="en-US" w:eastAsia="zh-CN"/>
        </w:rPr>
        <w:t>方法</w:t>
      </w:r>
      <w:r>
        <w:rPr>
          <w:rFonts w:hint="eastAsia" w:ascii="宋体" w:hAnsi="宋体" w:eastAsia="宋体" w:cs="宋体"/>
          <w:b/>
          <w:color w:val="auto"/>
          <w:sz w:val="24"/>
          <w:szCs w:val="24"/>
          <w:highlight w:val="none"/>
        </w:rPr>
        <w:t>：</w:t>
      </w:r>
    </w:p>
    <w:p w14:paraId="795BB0D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、本次招标评标采用为综合评分法，</w:t>
      </w:r>
      <w:r>
        <w:rPr>
          <w:rFonts w:hint="eastAsia" w:ascii="宋体" w:hAnsi="宋体" w:eastAsia="宋体" w:cs="宋体"/>
          <w:color w:val="auto"/>
          <w:sz w:val="24"/>
          <w:szCs w:val="24"/>
          <w:highlight w:val="none"/>
        </w:rPr>
        <w:t>即指投标文件满足招标文件全部实质性要求，且按照评审因素的量化指标评审得分最高的投标人为中标候选人的评标方法</w:t>
      </w:r>
      <w:r>
        <w:rPr>
          <w:rFonts w:hint="eastAsia" w:ascii="宋体" w:hAnsi="宋体" w:eastAsia="宋体" w:cs="宋体"/>
          <w:color w:val="auto"/>
          <w:sz w:val="24"/>
          <w:szCs w:val="24"/>
          <w:highlight w:val="none"/>
        </w:rPr>
        <w:t>。</w:t>
      </w:r>
    </w:p>
    <w:p w14:paraId="690F46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、评标委员会各成员审查每份投标文件是否实质响应了招标文件的要求，非实质性响应的投标文件将被拒绝，也不进行评审。</w:t>
      </w:r>
    </w:p>
    <w:p w14:paraId="3FC0EB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、评标委员会各成员独立对每个进入打分程序的有效投标人的标书技术部分以打分的形式进行评审和评价。对评委的评分进行统计汇总时算术平均计算得分（计算结果均四舍五入保留两位小数）。</w:t>
      </w:r>
    </w:p>
    <w:p w14:paraId="5F817D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、如出现评标总得分最高的投标人有两个或两个以上的，以投标报价较低者优先作为中标候选人或者中标人的评标方法；如果投标报价也相同的，</w:t>
      </w:r>
      <w:r>
        <w:rPr>
          <w:rFonts w:hint="eastAsia" w:ascii="宋体" w:hAnsi="宋体" w:eastAsia="宋体" w:cs="宋体"/>
          <w:color w:val="auto"/>
          <w:sz w:val="24"/>
          <w:szCs w:val="24"/>
          <w:highlight w:val="none"/>
        </w:rPr>
        <w:t>则由</w:t>
      </w: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组织抽签确定中标</w:t>
      </w:r>
      <w:r>
        <w:rPr>
          <w:rFonts w:hint="eastAsia" w:ascii="宋体" w:hAnsi="宋体" w:eastAsia="宋体" w:cs="宋体"/>
          <w:color w:val="auto"/>
          <w:sz w:val="24"/>
          <w:szCs w:val="24"/>
          <w:highlight w:val="none"/>
          <w:lang w:val="en-US" w:eastAsia="zh-CN"/>
        </w:rPr>
        <w:t>候选人顺序</w:t>
      </w:r>
      <w:r>
        <w:rPr>
          <w:rFonts w:hint="eastAsia" w:ascii="宋体" w:hAnsi="宋体" w:eastAsia="宋体" w:cs="宋体"/>
          <w:color w:val="auto"/>
          <w:sz w:val="24"/>
          <w:szCs w:val="24"/>
          <w:highlight w:val="none"/>
        </w:rPr>
        <w:t>。</w:t>
      </w:r>
    </w:p>
    <w:p w14:paraId="1FD5D761">
      <w:pPr>
        <w:spacing w:line="360" w:lineRule="auto"/>
        <w:ind w:firstLine="480"/>
        <w:rPr>
          <w:rFonts w:hint="eastAsia" w:ascii="宋体" w:hAnsi="宋体" w:eastAsia="宋体" w:cs="宋体"/>
          <w:color w:val="auto"/>
          <w:sz w:val="24"/>
          <w:szCs w:val="24"/>
          <w:highlight w:val="none"/>
        </w:rPr>
      </w:pPr>
    </w:p>
    <w:p w14:paraId="3D579BA1">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二、评分标准：</w:t>
      </w:r>
    </w:p>
    <w:p w14:paraId="08D6722E">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(一）价格分：10分</w:t>
      </w:r>
    </w:p>
    <w:p w14:paraId="5ECA77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1、投标总报价低于或等于财政预算价格的，为有效投标报价。超财政预算的投标报价为无效投标报价。无效投标报价的投标文件不进行评审，也不得中标。</w:t>
      </w:r>
    </w:p>
    <w:p w14:paraId="6CD67D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p>
    <w:p w14:paraId="67D333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3、价格分采用低价优先法计算，即满足招标文件要求且投标价格最低的投标报价为评标基准价，其价格分为满分10分。其他投标人的价格分统一按照下列公式计算：</w:t>
      </w:r>
    </w:p>
    <w:p w14:paraId="0FD5D6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投标报价得分=（评标基准价/投标报价）*价格权重*100，小数点后保留两位。</w:t>
      </w:r>
    </w:p>
    <w:p w14:paraId="40AEB8D9">
      <w:pPr>
        <w:adjustRightInd w:val="0"/>
        <w:snapToGrid w:val="0"/>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(二)技术及其它</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（90分）</w:t>
      </w:r>
    </w:p>
    <w:tbl>
      <w:tblPr>
        <w:tblStyle w:val="31"/>
        <w:tblW w:w="88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262"/>
        <w:gridCol w:w="5683"/>
        <w:gridCol w:w="842"/>
      </w:tblGrid>
      <w:tr w14:paraId="4F42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05545BD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评审类别</w:t>
            </w:r>
          </w:p>
        </w:tc>
        <w:tc>
          <w:tcPr>
            <w:tcW w:w="1262" w:type="dxa"/>
            <w:noWrap w:val="0"/>
            <w:vAlign w:val="center"/>
          </w:tcPr>
          <w:p w14:paraId="2F71C1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w:t>
            </w:r>
          </w:p>
        </w:tc>
        <w:tc>
          <w:tcPr>
            <w:tcW w:w="5683" w:type="dxa"/>
            <w:noWrap w:val="0"/>
            <w:vAlign w:val="center"/>
          </w:tcPr>
          <w:p w14:paraId="58117CD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评审规则</w:t>
            </w:r>
          </w:p>
        </w:tc>
        <w:tc>
          <w:tcPr>
            <w:tcW w:w="842" w:type="dxa"/>
            <w:noWrap w:val="0"/>
            <w:vAlign w:val="center"/>
          </w:tcPr>
          <w:p w14:paraId="784378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1C5F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noWrap w:val="0"/>
            <w:vAlign w:val="center"/>
          </w:tcPr>
          <w:p w14:paraId="37FB1F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505368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5分）</w:t>
            </w:r>
          </w:p>
        </w:tc>
        <w:tc>
          <w:tcPr>
            <w:tcW w:w="1262" w:type="dxa"/>
            <w:noWrap w:val="0"/>
            <w:vAlign w:val="center"/>
          </w:tcPr>
          <w:p w14:paraId="5EA9356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总体项目理解分析</w:t>
            </w:r>
          </w:p>
          <w:p w14:paraId="0204E752">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tc>
        <w:tc>
          <w:tcPr>
            <w:tcW w:w="5683" w:type="dxa"/>
            <w:noWrap w:val="0"/>
            <w:vAlign w:val="center"/>
          </w:tcPr>
          <w:p w14:paraId="4B5E70EF">
            <w:pPr>
              <w:jc w:val="left"/>
              <w:rPr>
                <w:rFonts w:hint="eastAsia" w:ascii="宋体" w:hAnsi="宋体" w:eastAsia="宋体" w:cs="宋体"/>
                <w:color w:val="auto"/>
                <w:spacing w:val="9"/>
                <w:sz w:val="24"/>
                <w:szCs w:val="24"/>
                <w:highlight w:val="none"/>
                <w:lang w:val="en-US" w:eastAsia="zh-CN"/>
              </w:rPr>
            </w:pPr>
            <w:r>
              <w:rPr>
                <w:rFonts w:hint="eastAsia" w:ascii="宋体" w:hAnsi="宋体" w:eastAsia="宋体" w:cs="宋体"/>
                <w:bCs/>
                <w:color w:val="auto"/>
                <w:sz w:val="24"/>
                <w:szCs w:val="24"/>
                <w:highlight w:val="none"/>
              </w:rPr>
              <w:t>根据投</w:t>
            </w:r>
            <w:r>
              <w:rPr>
                <w:rFonts w:hint="eastAsia" w:ascii="宋体" w:hAnsi="宋体" w:eastAsia="宋体" w:cs="宋体"/>
                <w:color w:val="auto"/>
                <w:spacing w:val="9"/>
                <w:sz w:val="24"/>
                <w:szCs w:val="24"/>
                <w:highlight w:val="none"/>
                <w:lang w:val="en-US" w:eastAsia="zh-CN"/>
              </w:rPr>
              <w:t>标单位对本项目的理解、分析及目标方案。根据各部分内容表述清晰、贴合本项目需求、可行性和针对性的理解进行评审。</w:t>
            </w:r>
          </w:p>
          <w:p w14:paraId="2A7B1848">
            <w:pPr>
              <w:jc w:val="left"/>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项目背景及政策理解，最高3分；</w:t>
            </w:r>
          </w:p>
          <w:p w14:paraId="5918A3F8">
            <w:pPr>
              <w:jc w:val="left"/>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项目需求分析方案，最高3分；</w:t>
            </w:r>
          </w:p>
          <w:p w14:paraId="4367C332">
            <w:pPr>
              <w:jc w:val="left"/>
              <w:rPr>
                <w:rFonts w:hint="eastAsia" w:ascii="宋体" w:hAnsi="宋体" w:eastAsia="宋体" w:cs="宋体"/>
                <w:bCs/>
                <w:color w:val="auto"/>
                <w:sz w:val="24"/>
                <w:szCs w:val="24"/>
                <w:highlight w:val="none"/>
              </w:rPr>
            </w:pPr>
            <w:r>
              <w:rPr>
                <w:rFonts w:hint="eastAsia" w:ascii="宋体" w:hAnsi="宋体" w:eastAsia="宋体" w:cs="宋体"/>
                <w:color w:val="auto"/>
                <w:spacing w:val="9"/>
                <w:sz w:val="24"/>
                <w:szCs w:val="24"/>
                <w:highlight w:val="none"/>
                <w:lang w:val="en-US" w:eastAsia="zh-CN"/>
              </w:rPr>
              <w:t>项目目标实施方案，</w:t>
            </w:r>
            <w:r>
              <w:rPr>
                <w:rFonts w:hint="eastAsia" w:ascii="宋体" w:hAnsi="宋体" w:eastAsia="宋体" w:cs="宋体"/>
                <w:bCs/>
                <w:color w:val="auto"/>
                <w:sz w:val="24"/>
                <w:szCs w:val="24"/>
                <w:highlight w:val="none"/>
                <w:lang w:val="en-US" w:eastAsia="zh-CN"/>
              </w:rPr>
              <w:t>最高</w:t>
            </w:r>
            <w:r>
              <w:rPr>
                <w:rFonts w:hint="eastAsia" w:ascii="宋体" w:hAnsi="宋体" w:eastAsia="宋体" w:cs="宋体"/>
                <w:color w:val="auto"/>
                <w:spacing w:val="9"/>
                <w:sz w:val="24"/>
                <w:szCs w:val="24"/>
                <w:highlight w:val="none"/>
                <w:lang w:val="en-US" w:eastAsia="zh-CN"/>
              </w:rPr>
              <w:t>4分。</w:t>
            </w:r>
          </w:p>
        </w:tc>
        <w:tc>
          <w:tcPr>
            <w:tcW w:w="842" w:type="dxa"/>
            <w:noWrap w:val="0"/>
            <w:vAlign w:val="center"/>
          </w:tcPr>
          <w:p w14:paraId="21A4097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14:paraId="0180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noWrap w:val="0"/>
            <w:vAlign w:val="center"/>
          </w:tcPr>
          <w:p w14:paraId="3CE47684">
            <w:pPr>
              <w:jc w:val="center"/>
              <w:rPr>
                <w:rFonts w:hint="eastAsia" w:ascii="宋体" w:hAnsi="宋体" w:eastAsia="宋体" w:cs="宋体"/>
                <w:color w:val="auto"/>
                <w:sz w:val="24"/>
                <w:szCs w:val="24"/>
                <w:highlight w:val="none"/>
              </w:rPr>
            </w:pPr>
          </w:p>
        </w:tc>
        <w:tc>
          <w:tcPr>
            <w:tcW w:w="1262" w:type="dxa"/>
            <w:noWrap w:val="0"/>
            <w:vAlign w:val="center"/>
          </w:tcPr>
          <w:p w14:paraId="79614B5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重难点和要点分析</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xml:space="preserve">分）  </w:t>
            </w:r>
          </w:p>
        </w:tc>
        <w:tc>
          <w:tcPr>
            <w:tcW w:w="5683" w:type="dxa"/>
            <w:noWrap w:val="0"/>
            <w:vAlign w:val="center"/>
          </w:tcPr>
          <w:p w14:paraId="0A457B3C">
            <w:pPr>
              <w:jc w:val="left"/>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eastAsia="zh-CN"/>
              </w:rPr>
              <w:t>根据投标</w:t>
            </w:r>
            <w:r>
              <w:rPr>
                <w:rFonts w:hint="eastAsia" w:ascii="宋体" w:hAnsi="宋体" w:eastAsia="宋体" w:cs="宋体"/>
                <w:color w:val="auto"/>
                <w:spacing w:val="12"/>
                <w:sz w:val="24"/>
                <w:szCs w:val="24"/>
                <w:highlight w:val="none"/>
                <w:lang w:val="en-US" w:eastAsia="zh-CN"/>
              </w:rPr>
              <w:t>单位针</w:t>
            </w:r>
            <w:r>
              <w:rPr>
                <w:rFonts w:hint="eastAsia" w:ascii="宋体" w:hAnsi="宋体" w:eastAsia="宋体" w:cs="宋体"/>
                <w:color w:val="auto"/>
                <w:spacing w:val="12"/>
                <w:sz w:val="24"/>
                <w:szCs w:val="24"/>
                <w:highlight w:val="none"/>
                <w:lang w:eastAsia="zh-CN"/>
              </w:rPr>
              <w:t>对该项目主要任务提供的重点、难点和要点分析（包含但</w:t>
            </w:r>
            <w:r>
              <w:rPr>
                <w:rFonts w:hint="eastAsia" w:ascii="宋体" w:hAnsi="宋体" w:eastAsia="宋体" w:cs="宋体"/>
                <w:color w:val="auto"/>
                <w:spacing w:val="9"/>
                <w:sz w:val="24"/>
                <w:szCs w:val="24"/>
                <w:highlight w:val="none"/>
                <w:lang w:eastAsia="zh-CN"/>
              </w:rPr>
              <w:t>不限于：工作思路及方法、技术难点的分析与把握等方面）</w:t>
            </w:r>
            <w:r>
              <w:rPr>
                <w:rFonts w:hint="eastAsia" w:ascii="宋体" w:hAnsi="宋体" w:eastAsia="宋体" w:cs="宋体"/>
                <w:bCs/>
                <w:color w:val="auto"/>
                <w:sz w:val="24"/>
                <w:szCs w:val="24"/>
                <w:highlight w:val="none"/>
              </w:rPr>
              <w:t>进行评审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最高</w:t>
            </w:r>
            <w:r>
              <w:rPr>
                <w:rFonts w:hint="eastAsia" w:ascii="宋体" w:hAnsi="宋体" w:eastAsia="宋体" w:cs="宋体"/>
                <w:bCs/>
                <w:color w:val="auto"/>
                <w:sz w:val="24"/>
                <w:szCs w:val="24"/>
                <w:highlight w:val="none"/>
                <w:lang w:val="en-US" w:eastAsia="zh-CN"/>
              </w:rPr>
              <w:t>5分。</w:t>
            </w:r>
          </w:p>
        </w:tc>
        <w:tc>
          <w:tcPr>
            <w:tcW w:w="842" w:type="dxa"/>
            <w:noWrap w:val="0"/>
            <w:vAlign w:val="center"/>
          </w:tcPr>
          <w:p w14:paraId="329268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3635F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noWrap w:val="0"/>
            <w:vAlign w:val="center"/>
          </w:tcPr>
          <w:p w14:paraId="79DCE663">
            <w:pPr>
              <w:jc w:val="center"/>
              <w:rPr>
                <w:rFonts w:hint="eastAsia" w:ascii="宋体" w:hAnsi="宋体" w:eastAsia="宋体" w:cs="宋体"/>
                <w:color w:val="auto"/>
                <w:sz w:val="24"/>
                <w:szCs w:val="24"/>
                <w:highlight w:val="none"/>
              </w:rPr>
            </w:pPr>
          </w:p>
        </w:tc>
        <w:tc>
          <w:tcPr>
            <w:tcW w:w="1262" w:type="dxa"/>
            <w:noWrap w:val="0"/>
            <w:vAlign w:val="center"/>
          </w:tcPr>
          <w:p w14:paraId="744F5B55">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工作方案</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 xml:space="preserve">分）  </w:t>
            </w:r>
          </w:p>
        </w:tc>
        <w:tc>
          <w:tcPr>
            <w:tcW w:w="5683" w:type="dxa"/>
            <w:noWrap w:val="0"/>
            <w:vAlign w:val="center"/>
          </w:tcPr>
          <w:p w14:paraId="5EC7CF88">
            <w:pPr>
              <w:jc w:val="left"/>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12"/>
                <w:sz w:val="24"/>
                <w:szCs w:val="24"/>
                <w:highlight w:val="none"/>
                <w:lang w:eastAsia="zh-CN"/>
              </w:rPr>
              <w:t>根据投标</w:t>
            </w:r>
            <w:r>
              <w:rPr>
                <w:rFonts w:hint="eastAsia" w:ascii="宋体" w:hAnsi="宋体" w:eastAsia="宋体" w:cs="宋体"/>
                <w:color w:val="auto"/>
                <w:spacing w:val="12"/>
                <w:sz w:val="24"/>
                <w:szCs w:val="24"/>
                <w:highlight w:val="none"/>
                <w:lang w:val="en-US" w:eastAsia="zh-CN"/>
              </w:rPr>
              <w:t>单位</w:t>
            </w:r>
            <w:r>
              <w:rPr>
                <w:rFonts w:hint="eastAsia" w:ascii="宋体" w:hAnsi="宋体" w:eastAsia="宋体" w:cs="宋体"/>
                <w:color w:val="auto"/>
                <w:spacing w:val="12"/>
                <w:sz w:val="24"/>
                <w:szCs w:val="24"/>
                <w:highlight w:val="none"/>
                <w:lang w:eastAsia="zh-CN"/>
              </w:rPr>
              <w:t>对该项目工作方案</w:t>
            </w:r>
            <w:r>
              <w:rPr>
                <w:rFonts w:hint="eastAsia" w:ascii="宋体" w:hAnsi="宋体" w:eastAsia="宋体" w:cs="宋体"/>
                <w:color w:val="auto"/>
                <w:spacing w:val="9"/>
                <w:sz w:val="24"/>
                <w:szCs w:val="24"/>
                <w:highlight w:val="none"/>
                <w:lang w:eastAsia="zh-CN"/>
              </w:rPr>
              <w:t>进行</w:t>
            </w:r>
            <w:r>
              <w:rPr>
                <w:rFonts w:hint="eastAsia" w:ascii="宋体" w:hAnsi="宋体" w:eastAsia="宋体" w:cs="宋体"/>
                <w:color w:val="auto"/>
                <w:spacing w:val="9"/>
                <w:sz w:val="24"/>
                <w:szCs w:val="24"/>
                <w:highlight w:val="none"/>
                <w:lang w:val="en-US" w:eastAsia="zh-CN"/>
              </w:rPr>
              <w:t>评审</w:t>
            </w:r>
            <w:r>
              <w:rPr>
                <w:rFonts w:hint="eastAsia" w:ascii="宋体" w:hAnsi="宋体" w:eastAsia="宋体" w:cs="宋体"/>
                <w:color w:val="auto"/>
                <w:spacing w:val="12"/>
                <w:sz w:val="24"/>
                <w:szCs w:val="24"/>
                <w:highlight w:val="none"/>
                <w:lang w:eastAsia="zh-CN"/>
              </w:rPr>
              <w:t>（方案包含但</w:t>
            </w:r>
            <w:r>
              <w:rPr>
                <w:rFonts w:hint="eastAsia" w:ascii="宋体" w:hAnsi="宋体" w:eastAsia="宋体" w:cs="宋体"/>
                <w:color w:val="auto"/>
                <w:spacing w:val="9"/>
                <w:sz w:val="24"/>
                <w:szCs w:val="24"/>
                <w:highlight w:val="none"/>
                <w:lang w:eastAsia="zh-CN"/>
              </w:rPr>
              <w:t>不限于：工作思路及方法、工作计划、技术路线等）。</w:t>
            </w:r>
          </w:p>
          <w:p w14:paraId="403F9505">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pacing w:val="9"/>
                <w:sz w:val="24"/>
                <w:szCs w:val="24"/>
                <w:highlight w:val="none"/>
                <w:lang w:eastAsia="zh-CN"/>
              </w:rPr>
              <w:t>工作思路及方法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最高5</w:t>
            </w:r>
            <w:r>
              <w:rPr>
                <w:rFonts w:hint="eastAsia" w:ascii="宋体" w:hAnsi="宋体" w:eastAsia="宋体" w:cs="宋体"/>
                <w:bCs/>
                <w:color w:val="auto"/>
                <w:sz w:val="24"/>
                <w:szCs w:val="24"/>
                <w:highlight w:val="none"/>
                <w:lang w:val="en-US" w:eastAsia="zh-CN"/>
              </w:rPr>
              <w:t>分；</w:t>
            </w:r>
          </w:p>
          <w:p w14:paraId="6C317321">
            <w:pPr>
              <w:jc w:val="left"/>
              <w:rPr>
                <w:rFonts w:hint="eastAsia" w:ascii="宋体" w:hAnsi="宋体" w:eastAsia="宋体" w:cs="宋体"/>
                <w:color w:val="auto"/>
                <w:spacing w:val="9"/>
                <w:sz w:val="24"/>
                <w:szCs w:val="24"/>
                <w:highlight w:val="none"/>
                <w:lang w:val="en-US" w:eastAsia="zh-CN"/>
              </w:rPr>
            </w:pP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color w:val="auto"/>
                <w:spacing w:val="9"/>
                <w:sz w:val="24"/>
                <w:szCs w:val="24"/>
                <w:highlight w:val="none"/>
                <w:lang w:val="en-US" w:eastAsia="zh-CN"/>
              </w:rPr>
              <w:t>，</w:t>
            </w:r>
            <w:r>
              <w:rPr>
                <w:rFonts w:hint="eastAsia" w:ascii="宋体" w:hAnsi="宋体" w:eastAsia="宋体" w:cs="宋体"/>
                <w:bCs/>
                <w:color w:val="auto"/>
                <w:sz w:val="24"/>
                <w:szCs w:val="24"/>
                <w:highlight w:val="none"/>
                <w:lang w:val="en-US" w:eastAsia="zh-CN"/>
              </w:rPr>
              <w:t>最高</w:t>
            </w:r>
            <w:r>
              <w:rPr>
                <w:rFonts w:hint="eastAsia" w:ascii="宋体" w:hAnsi="宋体" w:eastAsia="宋体" w:cs="宋体"/>
                <w:color w:val="auto"/>
                <w:spacing w:val="9"/>
                <w:sz w:val="24"/>
                <w:szCs w:val="24"/>
                <w:highlight w:val="none"/>
                <w:lang w:val="en-US" w:eastAsia="zh-CN"/>
              </w:rPr>
              <w:t>5分；</w:t>
            </w:r>
          </w:p>
          <w:p w14:paraId="013AB45F">
            <w:pPr>
              <w:jc w:val="left"/>
              <w:rPr>
                <w:rFonts w:hint="eastAsia" w:ascii="宋体" w:hAnsi="宋体" w:eastAsia="宋体" w:cs="宋体"/>
                <w:bCs/>
                <w:color w:val="auto"/>
                <w:sz w:val="24"/>
                <w:szCs w:val="24"/>
                <w:highlight w:val="none"/>
              </w:rPr>
            </w:pPr>
            <w:r>
              <w:rPr>
                <w:rFonts w:hint="eastAsia" w:ascii="宋体" w:hAnsi="宋体" w:eastAsia="宋体" w:cs="宋体"/>
                <w:color w:val="auto"/>
                <w:spacing w:val="9"/>
                <w:sz w:val="24"/>
                <w:szCs w:val="24"/>
                <w:highlight w:val="none"/>
                <w:lang w:val="en-US" w:eastAsia="zh-CN"/>
              </w:rPr>
              <w:t>技术路线，</w:t>
            </w:r>
            <w:r>
              <w:rPr>
                <w:rFonts w:hint="eastAsia" w:ascii="宋体" w:hAnsi="宋体" w:eastAsia="宋体" w:cs="宋体"/>
                <w:bCs/>
                <w:color w:val="auto"/>
                <w:sz w:val="24"/>
                <w:szCs w:val="24"/>
                <w:highlight w:val="none"/>
                <w:lang w:val="en-US" w:eastAsia="zh-CN"/>
              </w:rPr>
              <w:t>最高</w:t>
            </w:r>
            <w:r>
              <w:rPr>
                <w:rFonts w:hint="eastAsia" w:ascii="宋体" w:hAnsi="宋体" w:eastAsia="宋体" w:cs="宋体"/>
                <w:color w:val="auto"/>
                <w:spacing w:val="9"/>
                <w:sz w:val="24"/>
                <w:szCs w:val="24"/>
                <w:highlight w:val="none"/>
                <w:lang w:val="en-US" w:eastAsia="zh-CN"/>
              </w:rPr>
              <w:t>5分。</w:t>
            </w:r>
          </w:p>
        </w:tc>
        <w:tc>
          <w:tcPr>
            <w:tcW w:w="842" w:type="dxa"/>
            <w:noWrap w:val="0"/>
            <w:vAlign w:val="center"/>
          </w:tcPr>
          <w:p w14:paraId="6EFF1D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r>
      <w:tr w14:paraId="6E6B8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noWrap w:val="0"/>
            <w:vAlign w:val="center"/>
          </w:tcPr>
          <w:p w14:paraId="2A7CD6E1">
            <w:pPr>
              <w:jc w:val="center"/>
              <w:rPr>
                <w:rFonts w:hint="eastAsia" w:ascii="宋体" w:hAnsi="宋体" w:eastAsia="宋体" w:cs="宋体"/>
                <w:color w:val="auto"/>
                <w:sz w:val="24"/>
                <w:szCs w:val="24"/>
                <w:highlight w:val="none"/>
              </w:rPr>
            </w:pPr>
          </w:p>
        </w:tc>
        <w:tc>
          <w:tcPr>
            <w:tcW w:w="1262" w:type="dxa"/>
            <w:noWrap w:val="0"/>
            <w:vAlign w:val="center"/>
          </w:tcPr>
          <w:p w14:paraId="1C1E69E5">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工作</w:t>
            </w:r>
            <w:r>
              <w:rPr>
                <w:rFonts w:hint="eastAsia" w:ascii="宋体" w:hAnsi="宋体" w:eastAsia="宋体" w:cs="宋体"/>
                <w:bCs/>
                <w:color w:val="auto"/>
                <w:sz w:val="24"/>
                <w:szCs w:val="24"/>
                <w:highlight w:val="none"/>
              </w:rPr>
              <w:t>进度</w:t>
            </w:r>
            <w:r>
              <w:rPr>
                <w:rFonts w:hint="eastAsia" w:ascii="宋体" w:hAnsi="宋体" w:eastAsia="宋体" w:cs="宋体"/>
                <w:bCs/>
                <w:color w:val="auto"/>
                <w:sz w:val="24"/>
                <w:szCs w:val="24"/>
                <w:highlight w:val="none"/>
                <w:lang w:val="en-US" w:eastAsia="zh-CN"/>
              </w:rPr>
              <w:t>保障</w:t>
            </w:r>
          </w:p>
          <w:p w14:paraId="77ED0825">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c>
          <w:tcPr>
            <w:tcW w:w="5683" w:type="dxa"/>
            <w:noWrap w:val="0"/>
            <w:vAlign w:val="center"/>
          </w:tcPr>
          <w:p w14:paraId="105DCA8C">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根据投标单位</w:t>
            </w:r>
            <w:r>
              <w:rPr>
                <w:rFonts w:hint="eastAsia" w:ascii="宋体" w:hAnsi="宋体" w:eastAsia="宋体" w:cs="宋体"/>
                <w:color w:val="auto"/>
                <w:spacing w:val="8"/>
                <w:sz w:val="24"/>
                <w:szCs w:val="24"/>
                <w:highlight w:val="none"/>
                <w:lang w:eastAsia="zh-CN"/>
              </w:rPr>
              <w:t>工作进度安排的合理性、进度计划可行性</w:t>
            </w:r>
            <w:r>
              <w:rPr>
                <w:rFonts w:hint="eastAsia" w:ascii="宋体" w:hAnsi="宋体" w:eastAsia="宋体" w:cs="宋体"/>
                <w:color w:val="auto"/>
                <w:spacing w:val="7"/>
                <w:sz w:val="24"/>
                <w:szCs w:val="24"/>
                <w:highlight w:val="none"/>
                <w:lang w:eastAsia="zh-CN"/>
              </w:rPr>
              <w:t>进行</w:t>
            </w:r>
            <w:r>
              <w:rPr>
                <w:rFonts w:hint="eastAsia" w:ascii="宋体" w:hAnsi="宋体" w:eastAsia="宋体" w:cs="宋体"/>
                <w:color w:val="auto"/>
                <w:spacing w:val="7"/>
                <w:sz w:val="24"/>
                <w:szCs w:val="24"/>
                <w:highlight w:val="none"/>
                <w:lang w:val="en-US" w:eastAsia="zh-CN"/>
              </w:rPr>
              <w:t>评审</w:t>
            </w:r>
            <w:r>
              <w:rPr>
                <w:rFonts w:hint="eastAsia" w:ascii="宋体" w:hAnsi="宋体" w:eastAsia="宋体" w:cs="宋体"/>
                <w:color w:val="auto"/>
                <w:spacing w:val="7"/>
                <w:sz w:val="24"/>
                <w:szCs w:val="24"/>
                <w:highlight w:val="none"/>
                <w:lang w:val="en-US" w:eastAsia="zh-CN"/>
              </w:rPr>
              <w:t>，最高</w:t>
            </w:r>
            <w:r>
              <w:rPr>
                <w:rFonts w:hint="eastAsia" w:ascii="宋体" w:hAnsi="宋体" w:eastAsia="宋体" w:cs="宋体"/>
                <w:color w:val="auto"/>
                <w:spacing w:val="7"/>
                <w:sz w:val="24"/>
                <w:szCs w:val="24"/>
                <w:highlight w:val="none"/>
                <w:lang w:val="en-US" w:eastAsia="zh-CN"/>
              </w:rPr>
              <w:t>5分。</w:t>
            </w:r>
          </w:p>
        </w:tc>
        <w:tc>
          <w:tcPr>
            <w:tcW w:w="842" w:type="dxa"/>
            <w:noWrap w:val="0"/>
            <w:vAlign w:val="center"/>
          </w:tcPr>
          <w:p w14:paraId="6ACE3D1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707E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noWrap w:val="0"/>
            <w:vAlign w:val="center"/>
          </w:tcPr>
          <w:p w14:paraId="5757456B">
            <w:pPr>
              <w:jc w:val="center"/>
              <w:rPr>
                <w:rFonts w:hint="eastAsia" w:ascii="宋体" w:hAnsi="宋体" w:eastAsia="宋体" w:cs="宋体"/>
                <w:color w:val="auto"/>
                <w:sz w:val="24"/>
                <w:szCs w:val="24"/>
                <w:highlight w:val="none"/>
              </w:rPr>
            </w:pPr>
          </w:p>
        </w:tc>
        <w:tc>
          <w:tcPr>
            <w:tcW w:w="1262" w:type="dxa"/>
            <w:noWrap w:val="0"/>
            <w:vAlign w:val="center"/>
          </w:tcPr>
          <w:p w14:paraId="3116DA22">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成果质量保障</w:t>
            </w:r>
          </w:p>
          <w:p w14:paraId="2951424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 xml:space="preserve">分） </w:t>
            </w:r>
          </w:p>
        </w:tc>
        <w:tc>
          <w:tcPr>
            <w:tcW w:w="5683" w:type="dxa"/>
            <w:noWrap w:val="0"/>
            <w:vAlign w:val="center"/>
          </w:tcPr>
          <w:p w14:paraId="2A73328D">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lang w:eastAsia="zh-CN"/>
              </w:rPr>
              <w:t>根据投标</w:t>
            </w:r>
            <w:r>
              <w:rPr>
                <w:rFonts w:hint="eastAsia" w:ascii="宋体" w:hAnsi="宋体" w:eastAsia="宋体" w:cs="宋体"/>
                <w:color w:val="auto"/>
                <w:spacing w:val="10"/>
                <w:sz w:val="24"/>
                <w:szCs w:val="24"/>
                <w:highlight w:val="none"/>
                <w:lang w:val="en-US" w:eastAsia="zh-CN"/>
              </w:rPr>
              <w:t>单位</w:t>
            </w:r>
            <w:r>
              <w:rPr>
                <w:rFonts w:hint="eastAsia" w:ascii="宋体" w:hAnsi="宋体" w:eastAsia="宋体" w:cs="宋体"/>
                <w:color w:val="auto"/>
                <w:spacing w:val="10"/>
                <w:sz w:val="24"/>
                <w:szCs w:val="24"/>
                <w:highlight w:val="none"/>
                <w:lang w:eastAsia="zh-CN"/>
              </w:rPr>
              <w:t>的质量控制措施（包含但不限于：服务</w:t>
            </w:r>
            <w:r>
              <w:rPr>
                <w:rFonts w:hint="eastAsia" w:ascii="宋体" w:hAnsi="宋体" w:eastAsia="宋体" w:cs="宋体"/>
                <w:color w:val="auto"/>
                <w:spacing w:val="9"/>
                <w:sz w:val="24"/>
                <w:szCs w:val="24"/>
                <w:highlight w:val="none"/>
                <w:lang w:eastAsia="zh-CN"/>
              </w:rPr>
              <w:t>质量、数据质量、质量保证是否贯穿整个项目工作周期等）进行综合评审，</w:t>
            </w:r>
            <w:r>
              <w:rPr>
                <w:rFonts w:hint="eastAsia" w:ascii="宋体" w:hAnsi="宋体" w:eastAsia="宋体" w:cs="宋体"/>
                <w:color w:val="auto"/>
                <w:spacing w:val="9"/>
                <w:sz w:val="24"/>
                <w:szCs w:val="24"/>
                <w:highlight w:val="none"/>
                <w:lang w:val="en-US" w:eastAsia="zh-CN"/>
              </w:rPr>
              <w:t>最高</w:t>
            </w:r>
            <w:r>
              <w:rPr>
                <w:rFonts w:hint="eastAsia" w:ascii="宋体" w:hAnsi="宋体" w:eastAsia="宋体" w:cs="宋体"/>
                <w:color w:val="auto"/>
                <w:spacing w:val="9"/>
                <w:sz w:val="24"/>
                <w:szCs w:val="24"/>
                <w:highlight w:val="none"/>
                <w:lang w:val="en-US" w:eastAsia="zh-CN"/>
              </w:rPr>
              <w:t>5分。</w:t>
            </w:r>
          </w:p>
        </w:tc>
        <w:tc>
          <w:tcPr>
            <w:tcW w:w="842" w:type="dxa"/>
            <w:noWrap w:val="0"/>
            <w:vAlign w:val="center"/>
          </w:tcPr>
          <w:p w14:paraId="19B28CE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4379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noWrap w:val="0"/>
            <w:vAlign w:val="center"/>
          </w:tcPr>
          <w:p w14:paraId="50522648">
            <w:pPr>
              <w:jc w:val="center"/>
              <w:rPr>
                <w:rFonts w:hint="eastAsia" w:ascii="宋体" w:hAnsi="宋体" w:eastAsia="宋体" w:cs="宋体"/>
                <w:color w:val="auto"/>
                <w:sz w:val="24"/>
                <w:szCs w:val="24"/>
                <w:highlight w:val="none"/>
              </w:rPr>
            </w:pPr>
          </w:p>
        </w:tc>
        <w:tc>
          <w:tcPr>
            <w:tcW w:w="1262" w:type="dxa"/>
            <w:noWrap w:val="0"/>
            <w:vAlign w:val="center"/>
          </w:tcPr>
          <w:p w14:paraId="403EDEE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服务保障（</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c>
          <w:tcPr>
            <w:tcW w:w="5683" w:type="dxa"/>
            <w:noWrap w:val="0"/>
            <w:vAlign w:val="center"/>
          </w:tcPr>
          <w:p w14:paraId="690579EF">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color w:val="auto"/>
                <w:spacing w:val="8"/>
                <w:sz w:val="24"/>
                <w:szCs w:val="24"/>
                <w:highlight w:val="none"/>
                <w:lang w:eastAsia="zh-CN"/>
              </w:rPr>
              <w:t>根据投标</w:t>
            </w:r>
            <w:r>
              <w:rPr>
                <w:rFonts w:hint="eastAsia" w:ascii="宋体" w:hAnsi="宋体" w:eastAsia="宋体" w:cs="宋体"/>
                <w:color w:val="auto"/>
                <w:spacing w:val="8"/>
                <w:sz w:val="24"/>
                <w:szCs w:val="24"/>
                <w:highlight w:val="none"/>
                <w:lang w:val="en-US" w:eastAsia="zh-CN"/>
              </w:rPr>
              <w:t>单位</w:t>
            </w:r>
            <w:r>
              <w:rPr>
                <w:rFonts w:hint="eastAsia" w:ascii="宋体" w:hAnsi="宋体" w:eastAsia="宋体" w:cs="宋体"/>
                <w:color w:val="auto"/>
                <w:spacing w:val="8"/>
                <w:sz w:val="24"/>
                <w:szCs w:val="24"/>
                <w:highlight w:val="none"/>
                <w:lang w:eastAsia="zh-CN"/>
              </w:rPr>
              <w:t>提供为项目需求提供服务实施方案（包含</w:t>
            </w:r>
            <w:r>
              <w:rPr>
                <w:rFonts w:hint="eastAsia" w:ascii="宋体" w:hAnsi="宋体" w:eastAsia="宋体" w:cs="宋体"/>
                <w:color w:val="auto"/>
                <w:spacing w:val="8"/>
                <w:sz w:val="24"/>
                <w:szCs w:val="24"/>
                <w:highlight w:val="none"/>
                <w:lang w:val="en-US" w:eastAsia="zh-CN"/>
              </w:rPr>
              <w:t>但不限于</w:t>
            </w:r>
            <w:r>
              <w:rPr>
                <w:rFonts w:hint="eastAsia" w:ascii="宋体" w:hAnsi="宋体" w:eastAsia="宋体" w:cs="宋体"/>
                <w:color w:val="auto"/>
                <w:spacing w:val="8"/>
                <w:sz w:val="24"/>
                <w:szCs w:val="24"/>
                <w:highlight w:val="none"/>
                <w:lang w:eastAsia="zh-CN"/>
              </w:rPr>
              <w:t>合同期内服务能力、服务时间、进度措施、质量保证措施、项目实施完成后的后续跟踪指导等）进行</w:t>
            </w:r>
            <w:r>
              <w:rPr>
                <w:rFonts w:hint="eastAsia" w:ascii="宋体" w:hAnsi="宋体" w:eastAsia="宋体" w:cs="宋体"/>
                <w:color w:val="auto"/>
                <w:spacing w:val="8"/>
                <w:sz w:val="24"/>
                <w:szCs w:val="24"/>
                <w:highlight w:val="none"/>
                <w:lang w:val="en-US" w:eastAsia="zh-CN"/>
              </w:rPr>
              <w:t>评审，</w:t>
            </w:r>
            <w:r>
              <w:rPr>
                <w:rFonts w:hint="eastAsia" w:ascii="宋体" w:hAnsi="宋体" w:eastAsia="宋体" w:cs="宋体"/>
                <w:color w:val="auto"/>
                <w:spacing w:val="8"/>
                <w:sz w:val="24"/>
                <w:szCs w:val="24"/>
                <w:highlight w:val="none"/>
                <w:lang w:val="en-US" w:eastAsia="zh-CN"/>
              </w:rPr>
              <w:t>最高</w:t>
            </w:r>
            <w:r>
              <w:rPr>
                <w:rFonts w:hint="eastAsia" w:ascii="宋体" w:hAnsi="宋体" w:eastAsia="宋体" w:cs="宋体"/>
                <w:color w:val="auto"/>
                <w:spacing w:val="8"/>
                <w:sz w:val="24"/>
                <w:szCs w:val="24"/>
                <w:highlight w:val="none"/>
                <w:lang w:val="en-US" w:eastAsia="zh-CN"/>
              </w:rPr>
              <w:t>5分。</w:t>
            </w:r>
          </w:p>
        </w:tc>
        <w:tc>
          <w:tcPr>
            <w:tcW w:w="842" w:type="dxa"/>
            <w:noWrap w:val="0"/>
            <w:vAlign w:val="center"/>
          </w:tcPr>
          <w:p w14:paraId="75BB1D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6A60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noWrap w:val="0"/>
            <w:vAlign w:val="center"/>
          </w:tcPr>
          <w:p w14:paraId="4236AE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投标单位综合实力（</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5分）</w:t>
            </w:r>
          </w:p>
        </w:tc>
        <w:tc>
          <w:tcPr>
            <w:tcW w:w="1262" w:type="dxa"/>
            <w:noWrap w:val="0"/>
            <w:vAlign w:val="center"/>
          </w:tcPr>
          <w:p w14:paraId="5B7672D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资质</w:t>
            </w:r>
            <w:r>
              <w:rPr>
                <w:rFonts w:hint="eastAsia" w:ascii="宋体" w:hAnsi="宋体" w:eastAsia="宋体" w:cs="宋体"/>
                <w:color w:val="auto"/>
                <w:sz w:val="24"/>
                <w:szCs w:val="24"/>
                <w:highlight w:val="none"/>
              </w:rPr>
              <w:t>证书</w:t>
            </w:r>
          </w:p>
          <w:p w14:paraId="346415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5683" w:type="dxa"/>
            <w:noWrap w:val="0"/>
            <w:vAlign w:val="center"/>
          </w:tcPr>
          <w:p w14:paraId="7DF1994C">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16"/>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val="en-US" w:eastAsia="zh-CN"/>
              </w:rPr>
              <w:t>1.</w:t>
            </w:r>
            <w:r>
              <w:rPr>
                <w:rFonts w:hint="eastAsia" w:ascii="宋体" w:hAnsi="宋体" w:eastAsia="宋体" w:cs="宋体"/>
                <w:color w:val="auto"/>
                <w:spacing w:val="8"/>
                <w:sz w:val="24"/>
                <w:szCs w:val="24"/>
                <w:highlight w:val="none"/>
                <w:lang w:eastAsia="zh-CN"/>
              </w:rPr>
              <w:t>投标</w:t>
            </w:r>
            <w:r>
              <w:rPr>
                <w:rFonts w:hint="eastAsia" w:ascii="宋体" w:hAnsi="宋体" w:eastAsia="宋体" w:cs="宋体"/>
                <w:color w:val="auto"/>
                <w:spacing w:val="8"/>
                <w:sz w:val="24"/>
                <w:szCs w:val="24"/>
                <w:highlight w:val="none"/>
                <w:lang w:val="en-US" w:eastAsia="zh-CN"/>
              </w:rPr>
              <w:t>单位</w:t>
            </w:r>
            <w:r>
              <w:rPr>
                <w:rFonts w:hint="eastAsia" w:ascii="宋体" w:hAnsi="宋体" w:eastAsia="宋体" w:cs="宋体"/>
                <w:color w:val="auto"/>
                <w:spacing w:val="8"/>
                <w:sz w:val="24"/>
                <w:szCs w:val="24"/>
                <w:highlight w:val="none"/>
                <w:lang w:eastAsia="zh-CN"/>
              </w:rPr>
              <w:t>具有检验检测机构资质认定证书的得2</w:t>
            </w:r>
            <w:r>
              <w:rPr>
                <w:rFonts w:hint="eastAsia" w:ascii="宋体" w:hAnsi="宋体" w:eastAsia="宋体" w:cs="宋体"/>
                <w:color w:val="auto"/>
                <w:spacing w:val="9"/>
                <w:sz w:val="24"/>
                <w:szCs w:val="24"/>
                <w:highlight w:val="none"/>
                <w:lang w:eastAsia="zh-CN"/>
              </w:rPr>
              <w:t>分，检验检测能力范围包括透明度、叶绿素a、氨氮（自动分析）、总氮（自动分析）、总磷（自动分析）、高锰酸盐指数（自动分析）、降雨自动监测的，每项得0.5分，</w:t>
            </w:r>
            <w:r>
              <w:rPr>
                <w:rFonts w:hint="eastAsia" w:ascii="宋体" w:hAnsi="宋体" w:eastAsia="宋体" w:cs="宋体"/>
                <w:color w:val="auto"/>
                <w:spacing w:val="9"/>
                <w:sz w:val="24"/>
                <w:szCs w:val="24"/>
                <w:highlight w:val="none"/>
                <w:lang w:val="en-US" w:eastAsia="zh-CN"/>
              </w:rPr>
              <w:t>本项</w:t>
            </w:r>
            <w:r>
              <w:rPr>
                <w:rFonts w:hint="eastAsia" w:ascii="宋体" w:hAnsi="宋体" w:eastAsia="宋体" w:cs="宋体"/>
                <w:color w:val="auto"/>
                <w:spacing w:val="9"/>
                <w:sz w:val="24"/>
                <w:szCs w:val="24"/>
                <w:highlight w:val="none"/>
                <w:lang w:eastAsia="zh-CN"/>
              </w:rPr>
              <w:t>最高得</w:t>
            </w:r>
            <w:r>
              <w:rPr>
                <w:rFonts w:hint="eastAsia" w:ascii="宋体" w:hAnsi="宋体" w:eastAsia="宋体" w:cs="宋体"/>
                <w:color w:val="auto"/>
                <w:spacing w:val="-32"/>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5</w:t>
            </w:r>
            <w:r>
              <w:rPr>
                <w:rFonts w:hint="eastAsia" w:ascii="宋体" w:hAnsi="宋体" w:eastAsia="宋体" w:cs="宋体"/>
                <w:color w:val="auto"/>
                <w:spacing w:val="-33"/>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分，</w:t>
            </w:r>
            <w:r>
              <w:rPr>
                <w:rFonts w:hint="eastAsia" w:ascii="宋体" w:hAnsi="宋体" w:eastAsia="宋体" w:cs="宋体"/>
                <w:bCs/>
                <w:color w:val="auto"/>
                <w:sz w:val="24"/>
                <w:szCs w:val="24"/>
                <w:highlight w:val="none"/>
              </w:rPr>
              <w:t>未提供则不得分。</w:t>
            </w:r>
          </w:p>
          <w:p w14:paraId="3893064D">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right="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评审依据：投标文件中</w:t>
            </w:r>
            <w:r>
              <w:rPr>
                <w:rFonts w:hint="eastAsia" w:ascii="宋体" w:hAnsi="宋体" w:eastAsia="宋体" w:cs="宋体"/>
                <w:b/>
                <w:color w:val="auto"/>
                <w:sz w:val="24"/>
                <w:szCs w:val="24"/>
                <w:highlight w:val="none"/>
                <w:lang w:val="en-US" w:eastAsia="zh-CN"/>
              </w:rPr>
              <w:t>提供</w:t>
            </w:r>
            <w:r>
              <w:rPr>
                <w:rFonts w:hint="eastAsia" w:ascii="宋体" w:hAnsi="宋体" w:eastAsia="宋体" w:cs="宋体"/>
                <w:b/>
                <w:color w:val="auto"/>
                <w:sz w:val="24"/>
                <w:szCs w:val="24"/>
                <w:highlight w:val="none"/>
                <w:lang w:eastAsia="zh-CN"/>
              </w:rPr>
              <w:t>证书</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pacing w:val="9"/>
                <w:sz w:val="24"/>
                <w:szCs w:val="24"/>
                <w:highlight w:val="none"/>
                <w:lang w:eastAsia="zh-CN"/>
              </w:rPr>
              <w:t>检验检测能力</w:t>
            </w:r>
            <w:r>
              <w:rPr>
                <w:rFonts w:hint="eastAsia" w:ascii="宋体" w:hAnsi="宋体" w:eastAsia="宋体" w:cs="宋体"/>
                <w:color w:val="auto"/>
                <w:spacing w:val="9"/>
                <w:sz w:val="24"/>
                <w:szCs w:val="24"/>
                <w:highlight w:val="none"/>
                <w:lang w:val="en-US" w:eastAsia="zh-CN"/>
              </w:rPr>
              <w:t>证明等</w:t>
            </w:r>
            <w:r>
              <w:rPr>
                <w:rFonts w:hint="eastAsia" w:ascii="宋体" w:hAnsi="宋体" w:eastAsia="宋体" w:cs="宋体"/>
                <w:b/>
                <w:color w:val="auto"/>
                <w:sz w:val="24"/>
                <w:szCs w:val="24"/>
                <w:highlight w:val="none"/>
                <w:lang w:eastAsia="zh-CN"/>
              </w:rPr>
              <w:t>扫描件</w:t>
            </w:r>
            <w:r>
              <w:rPr>
                <w:rFonts w:hint="eastAsia" w:ascii="宋体" w:hAnsi="宋体" w:eastAsia="宋体" w:cs="宋体"/>
                <w:b/>
                <w:color w:val="auto"/>
                <w:sz w:val="24"/>
                <w:szCs w:val="24"/>
                <w:highlight w:val="none"/>
                <w:lang w:eastAsia="zh-CN"/>
              </w:rPr>
              <w:t>。</w:t>
            </w:r>
          </w:p>
          <w:p w14:paraId="7B657E07">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2"/>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8"/>
                <w:sz w:val="24"/>
                <w:szCs w:val="24"/>
                <w:highlight w:val="none"/>
                <w:lang w:eastAsia="zh-CN"/>
              </w:rPr>
              <w:t>2、</w:t>
            </w:r>
            <w:r>
              <w:rPr>
                <w:rFonts w:hint="eastAsia" w:ascii="宋体" w:hAnsi="宋体" w:eastAsia="宋体" w:cs="宋体"/>
                <w:color w:val="auto"/>
                <w:spacing w:val="8"/>
                <w:sz w:val="24"/>
                <w:szCs w:val="24"/>
                <w:highlight w:val="none"/>
                <w:lang w:val="en-US" w:eastAsia="zh-CN"/>
              </w:rPr>
              <w:t>投标单位</w:t>
            </w:r>
            <w:r>
              <w:rPr>
                <w:rFonts w:hint="eastAsia" w:ascii="宋体" w:hAnsi="宋体" w:eastAsia="宋体" w:cs="宋体"/>
                <w:color w:val="auto"/>
                <w:spacing w:val="8"/>
                <w:sz w:val="24"/>
                <w:szCs w:val="24"/>
                <w:highlight w:val="none"/>
                <w:lang w:eastAsia="zh-CN"/>
              </w:rPr>
              <w:t>具有国家环境保护、环境质量监测相关方向省部</w:t>
            </w:r>
            <w:r>
              <w:rPr>
                <w:rFonts w:hint="eastAsia" w:ascii="宋体" w:hAnsi="宋体" w:eastAsia="宋体" w:cs="宋体"/>
                <w:color w:val="auto"/>
                <w:spacing w:val="8"/>
                <w:sz w:val="24"/>
                <w:szCs w:val="24"/>
                <w:highlight w:val="none"/>
                <w:lang w:val="en-US" w:eastAsia="zh-CN"/>
              </w:rPr>
              <w:t>级</w:t>
            </w:r>
            <w:r>
              <w:rPr>
                <w:rFonts w:hint="eastAsia" w:ascii="宋体" w:hAnsi="宋体" w:eastAsia="宋体" w:cs="宋体"/>
                <w:color w:val="auto"/>
                <w:spacing w:val="8"/>
                <w:sz w:val="24"/>
                <w:szCs w:val="24"/>
                <w:highlight w:val="none"/>
                <w:lang w:eastAsia="zh-CN"/>
              </w:rPr>
              <w:t>和国家级重点实验室或工程实验室的，得</w:t>
            </w:r>
            <w:r>
              <w:rPr>
                <w:rFonts w:hint="eastAsia" w:ascii="宋体" w:hAnsi="宋体" w:eastAsia="宋体" w:cs="宋体"/>
                <w:color w:val="auto"/>
                <w:spacing w:val="8"/>
                <w:sz w:val="24"/>
                <w:szCs w:val="24"/>
                <w:highlight w:val="none"/>
                <w:lang w:val="en-US" w:eastAsia="zh-CN"/>
              </w:rPr>
              <w:t>5</w:t>
            </w:r>
            <w:r>
              <w:rPr>
                <w:rFonts w:hint="eastAsia" w:ascii="宋体" w:hAnsi="宋体" w:eastAsia="宋体" w:cs="宋体"/>
                <w:color w:val="auto"/>
                <w:spacing w:val="8"/>
                <w:sz w:val="24"/>
                <w:szCs w:val="24"/>
                <w:highlight w:val="none"/>
                <w:lang w:eastAsia="zh-CN"/>
              </w:rPr>
              <w:t>分；</w:t>
            </w:r>
            <w:r>
              <w:rPr>
                <w:rFonts w:hint="eastAsia" w:ascii="宋体" w:hAnsi="宋体" w:eastAsia="宋体" w:cs="宋体"/>
                <w:color w:val="auto"/>
                <w:spacing w:val="8"/>
                <w:sz w:val="24"/>
                <w:szCs w:val="24"/>
                <w:highlight w:val="none"/>
                <w:lang w:val="en-US" w:eastAsia="zh-CN"/>
              </w:rPr>
              <w:t>地市级的，得2分，同级别2项及以上不重复计分；</w:t>
            </w:r>
            <w:r>
              <w:rPr>
                <w:rFonts w:hint="eastAsia" w:ascii="宋体" w:hAnsi="宋体" w:eastAsia="宋体" w:cs="宋体"/>
                <w:bCs/>
                <w:color w:val="auto"/>
                <w:sz w:val="24"/>
                <w:szCs w:val="24"/>
                <w:highlight w:val="none"/>
              </w:rPr>
              <w:t>未提供则不得分。</w:t>
            </w:r>
          </w:p>
          <w:p w14:paraId="7FA0CC5F">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16"/>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评审依据：提供实验室相关证明材料</w:t>
            </w:r>
          </w:p>
          <w:p w14:paraId="0AAC67ED">
            <w:pPr>
              <w:pStyle w:val="245"/>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20" w:lineRule="exact"/>
              <w:ind w:leftChars="0" w:right="0" w:rightChars="0"/>
              <w:textAlignment w:val="baseline"/>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lang w:val="en-US" w:eastAsia="zh-CN"/>
              </w:rPr>
              <w:t>3、</w:t>
            </w:r>
            <w:r>
              <w:rPr>
                <w:rFonts w:hint="eastAsia" w:ascii="宋体" w:hAnsi="宋体" w:eastAsia="宋体" w:cs="宋体"/>
                <w:color w:val="auto"/>
                <w:spacing w:val="8"/>
                <w:sz w:val="24"/>
                <w:szCs w:val="24"/>
                <w:highlight w:val="none"/>
                <w:lang w:eastAsia="zh-CN"/>
              </w:rPr>
              <w:t>投标</w:t>
            </w:r>
            <w:r>
              <w:rPr>
                <w:rFonts w:hint="eastAsia" w:ascii="宋体" w:hAnsi="宋体" w:eastAsia="宋体" w:cs="宋体"/>
                <w:color w:val="auto"/>
                <w:spacing w:val="8"/>
                <w:sz w:val="24"/>
                <w:szCs w:val="24"/>
                <w:highlight w:val="none"/>
                <w:lang w:val="en-US" w:eastAsia="zh-CN"/>
              </w:rPr>
              <w:t>单位</w:t>
            </w:r>
            <w:r>
              <w:rPr>
                <w:rFonts w:hint="eastAsia" w:ascii="宋体" w:hAnsi="宋体" w:eastAsia="宋体" w:cs="宋体"/>
                <w:color w:val="auto"/>
                <w:spacing w:val="8"/>
                <w:sz w:val="24"/>
                <w:szCs w:val="24"/>
                <w:highlight w:val="none"/>
                <w:lang w:eastAsia="zh-CN"/>
              </w:rPr>
              <w:t>自2021年1月至今（以合同签订时间为准）</w:t>
            </w:r>
            <w:r>
              <w:rPr>
                <w:rFonts w:hint="eastAsia" w:ascii="宋体" w:hAnsi="宋体" w:eastAsia="宋体" w:cs="宋体"/>
                <w:color w:val="auto"/>
                <w:sz w:val="24"/>
                <w:szCs w:val="24"/>
                <w:highlight w:val="none"/>
                <w:lang w:val="zh-CN"/>
              </w:rPr>
              <w:t>开展了</w:t>
            </w:r>
            <w:r>
              <w:rPr>
                <w:rFonts w:hint="eastAsia" w:ascii="宋体" w:hAnsi="宋体" w:eastAsia="宋体" w:cs="宋体"/>
                <w:color w:val="auto"/>
                <w:spacing w:val="8"/>
                <w:sz w:val="24"/>
                <w:szCs w:val="24"/>
                <w:highlight w:val="none"/>
                <w:lang w:eastAsia="zh-CN"/>
              </w:rPr>
              <w:t>与本项目相关</w:t>
            </w:r>
            <w:r>
              <w:rPr>
                <w:rFonts w:hint="eastAsia" w:ascii="宋体" w:hAnsi="宋体" w:eastAsia="宋体" w:cs="宋体"/>
                <w:color w:val="auto"/>
                <w:sz w:val="24"/>
                <w:szCs w:val="24"/>
                <w:highlight w:val="none"/>
                <w:lang w:val="zh-CN"/>
              </w:rPr>
              <w:t>技术研究并取得与项目直接相关的科研成果，包括但不限于</w:t>
            </w:r>
            <w:r>
              <w:rPr>
                <w:rFonts w:hint="eastAsia" w:ascii="宋体" w:hAnsi="宋体" w:eastAsia="宋体" w:cs="宋体"/>
                <w:color w:val="auto"/>
                <w:kern w:val="0"/>
                <w:sz w:val="24"/>
                <w:szCs w:val="24"/>
                <w:highlight w:val="none"/>
                <w:lang w:val="en-US" w:eastAsia="zh-CN"/>
              </w:rPr>
              <w:t>获评奖项、</w:t>
            </w:r>
            <w:r>
              <w:rPr>
                <w:rFonts w:hint="eastAsia" w:ascii="宋体" w:hAnsi="宋体" w:eastAsia="宋体" w:cs="宋体"/>
                <w:color w:val="auto"/>
                <w:sz w:val="24"/>
                <w:szCs w:val="24"/>
                <w:highlight w:val="none"/>
                <w:lang w:val="zh-CN"/>
              </w:rPr>
              <w:t>发明专利、论文</w:t>
            </w:r>
            <w:r>
              <w:rPr>
                <w:rFonts w:hint="eastAsia" w:ascii="宋体" w:hAnsi="宋体" w:eastAsia="宋体" w:cs="宋体"/>
                <w:color w:val="auto"/>
                <w:kern w:val="0"/>
                <w:sz w:val="24"/>
                <w:szCs w:val="24"/>
                <w:highlight w:val="none"/>
                <w:lang w:val="en-US" w:eastAsia="zh-CN"/>
              </w:rPr>
              <w:t>等</w:t>
            </w:r>
            <w:r>
              <w:rPr>
                <w:rFonts w:hint="eastAsia" w:ascii="宋体" w:hAnsi="宋体" w:eastAsia="宋体" w:cs="宋体"/>
                <w:color w:val="auto"/>
                <w:kern w:val="0"/>
                <w:sz w:val="24"/>
                <w:szCs w:val="24"/>
                <w:highlight w:val="none"/>
              </w:rPr>
              <w:t>，每</w:t>
            </w:r>
            <w:r>
              <w:rPr>
                <w:rFonts w:hint="eastAsia" w:ascii="宋体" w:hAnsi="宋体" w:eastAsia="宋体" w:cs="宋体"/>
                <w:color w:val="auto"/>
                <w:kern w:val="0"/>
                <w:sz w:val="24"/>
                <w:szCs w:val="24"/>
                <w:highlight w:val="none"/>
                <w:lang w:val="en-US" w:eastAsia="zh-CN"/>
              </w:rPr>
              <w:t>提供</w:t>
            </w:r>
            <w:r>
              <w:rPr>
                <w:rFonts w:hint="eastAsia" w:ascii="宋体" w:hAnsi="宋体" w:eastAsia="宋体" w:cs="宋体"/>
                <w:color w:val="auto"/>
                <w:kern w:val="0"/>
                <w:sz w:val="24"/>
                <w:szCs w:val="24"/>
                <w:highlight w:val="none"/>
              </w:rPr>
              <w:t>一个得2分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本项最高得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sz w:val="24"/>
                <w:szCs w:val="24"/>
                <w:highlight w:val="none"/>
              </w:rPr>
              <w:t>未提供不得分</w:t>
            </w:r>
            <w:r>
              <w:rPr>
                <w:rFonts w:hint="eastAsia" w:ascii="宋体" w:hAnsi="宋体" w:eastAsia="宋体" w:cs="宋体"/>
                <w:color w:val="auto"/>
                <w:kern w:val="0"/>
                <w:sz w:val="24"/>
                <w:szCs w:val="24"/>
                <w:highlight w:val="none"/>
              </w:rPr>
              <w:t>。</w:t>
            </w:r>
          </w:p>
          <w:p w14:paraId="08A109FA">
            <w:pPr>
              <w:numPr>
                <w:ilvl w:val="0"/>
                <w:numId w:val="0"/>
              </w:numPr>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评审依据：提供相关科研或课题合同关键页（至少包括首页、主要信息页和签字盖章页）。</w:t>
            </w:r>
          </w:p>
        </w:tc>
        <w:tc>
          <w:tcPr>
            <w:tcW w:w="842" w:type="dxa"/>
            <w:noWrap w:val="0"/>
            <w:vAlign w:val="center"/>
          </w:tcPr>
          <w:p w14:paraId="7815EE8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r>
      <w:tr w14:paraId="1048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noWrap w:val="0"/>
            <w:vAlign w:val="center"/>
          </w:tcPr>
          <w:p w14:paraId="1C883E1C">
            <w:pPr>
              <w:jc w:val="center"/>
              <w:rPr>
                <w:rFonts w:hint="eastAsia" w:ascii="宋体" w:hAnsi="宋体" w:eastAsia="宋体" w:cs="宋体"/>
                <w:color w:val="auto"/>
                <w:sz w:val="24"/>
                <w:szCs w:val="24"/>
                <w:highlight w:val="none"/>
              </w:rPr>
            </w:pPr>
          </w:p>
        </w:tc>
        <w:tc>
          <w:tcPr>
            <w:tcW w:w="1262" w:type="dxa"/>
            <w:noWrap w:val="0"/>
            <w:vAlign w:val="center"/>
          </w:tcPr>
          <w:p w14:paraId="58CF40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项目组人员配备（1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5683" w:type="dxa"/>
            <w:noWrap w:val="0"/>
            <w:vAlign w:val="center"/>
          </w:tcPr>
          <w:p w14:paraId="11DAB951">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项目负责人</w:t>
            </w:r>
          </w:p>
          <w:p w14:paraId="7629A785">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16"/>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拟派项目负责人</w:t>
            </w:r>
            <w:r>
              <w:rPr>
                <w:rFonts w:hint="eastAsia" w:ascii="宋体" w:hAnsi="宋体" w:eastAsia="宋体" w:cs="宋体"/>
                <w:color w:val="auto"/>
                <w:spacing w:val="11"/>
                <w:sz w:val="24"/>
                <w:szCs w:val="24"/>
                <w:highlight w:val="none"/>
                <w:lang w:eastAsia="zh-CN"/>
              </w:rPr>
              <w:t>具有环境监测或水生态学环境专业的高级及以上职称证书得3分；获得过省部级以上科技奖得2分，获得过地市级科技奖励得1分，</w:t>
            </w:r>
            <w:r>
              <w:rPr>
                <w:rFonts w:hint="eastAsia" w:ascii="宋体" w:hAnsi="宋体" w:eastAsia="宋体" w:cs="宋体"/>
                <w:color w:val="auto"/>
                <w:spacing w:val="9"/>
                <w:sz w:val="24"/>
                <w:szCs w:val="24"/>
                <w:highlight w:val="none"/>
                <w:lang w:eastAsia="zh-CN"/>
              </w:rPr>
              <w:t>最高得</w:t>
            </w:r>
            <w:r>
              <w:rPr>
                <w:rFonts w:hint="eastAsia" w:ascii="宋体" w:hAnsi="宋体" w:eastAsia="宋体" w:cs="宋体"/>
                <w:color w:val="auto"/>
                <w:spacing w:val="-32"/>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5</w:t>
            </w:r>
            <w:r>
              <w:rPr>
                <w:rFonts w:hint="eastAsia" w:ascii="宋体" w:hAnsi="宋体" w:eastAsia="宋体" w:cs="宋体"/>
                <w:color w:val="auto"/>
                <w:spacing w:val="-33"/>
                <w:sz w:val="24"/>
                <w:szCs w:val="24"/>
                <w:highlight w:val="none"/>
                <w:lang w:eastAsia="zh-CN"/>
              </w:rPr>
              <w:t xml:space="preserve"> </w:t>
            </w:r>
            <w:r>
              <w:rPr>
                <w:rFonts w:hint="eastAsia" w:ascii="宋体" w:hAnsi="宋体" w:eastAsia="宋体" w:cs="宋体"/>
                <w:color w:val="auto"/>
                <w:spacing w:val="8"/>
                <w:sz w:val="24"/>
                <w:szCs w:val="24"/>
                <w:highlight w:val="none"/>
                <w:lang w:eastAsia="zh-CN"/>
              </w:rPr>
              <w:t>分，</w:t>
            </w:r>
            <w:r>
              <w:rPr>
                <w:rFonts w:hint="eastAsia" w:ascii="宋体" w:hAnsi="宋体" w:eastAsia="宋体" w:cs="宋体"/>
                <w:bCs/>
                <w:color w:val="auto"/>
                <w:sz w:val="24"/>
                <w:szCs w:val="24"/>
                <w:highlight w:val="none"/>
              </w:rPr>
              <w:t>未提供则不得分。</w:t>
            </w:r>
          </w:p>
          <w:p w14:paraId="787F2CEB">
            <w:pPr>
              <w:jc w:val="left"/>
              <w:rPr>
                <w:rFonts w:hint="eastAsia" w:ascii="宋体" w:hAnsi="宋体" w:eastAsia="宋体" w:cs="宋体"/>
                <w:bCs/>
                <w:color w:val="auto"/>
                <w:sz w:val="24"/>
                <w:szCs w:val="24"/>
                <w:highlight w:val="none"/>
              </w:rPr>
            </w:pPr>
            <w:r>
              <w:rPr>
                <w:rFonts w:hint="eastAsia" w:ascii="宋体" w:hAnsi="宋体" w:eastAsia="宋体" w:cs="宋体"/>
                <w:b/>
                <w:color w:val="auto"/>
                <w:spacing w:val="11"/>
                <w:sz w:val="24"/>
                <w:szCs w:val="24"/>
                <w:highlight w:val="none"/>
                <w:lang w:eastAsia="zh-CN"/>
              </w:rPr>
              <w:t>评审依据：投标文件中提供职称证书、获奖证书、开标前6个月内其中任意一个月为其缴纳社保的证明材料</w:t>
            </w:r>
            <w:r>
              <w:rPr>
                <w:rFonts w:hint="eastAsia" w:ascii="宋体" w:hAnsi="宋体" w:eastAsia="宋体" w:cs="宋体"/>
                <w:b/>
                <w:color w:val="auto"/>
                <w:spacing w:val="11"/>
                <w:sz w:val="24"/>
                <w:szCs w:val="24"/>
                <w:highlight w:val="none"/>
                <w:lang w:eastAsia="zh-CN"/>
              </w:rPr>
              <w:t>扫描件</w:t>
            </w:r>
            <w:r>
              <w:rPr>
                <w:rFonts w:hint="eastAsia" w:ascii="宋体" w:hAnsi="宋体" w:eastAsia="宋体" w:cs="宋体"/>
                <w:b/>
                <w:color w:val="auto"/>
                <w:spacing w:val="11"/>
                <w:sz w:val="24"/>
                <w:szCs w:val="24"/>
                <w:highlight w:val="none"/>
                <w:lang w:eastAsia="zh-CN"/>
              </w:rPr>
              <w:t>。</w:t>
            </w:r>
          </w:p>
          <w:p w14:paraId="373352B2">
            <w:pPr>
              <w:pStyle w:val="245"/>
              <w:keepNext w:val="0"/>
              <w:keepLines w:val="0"/>
              <w:pageBreakBefore w:val="0"/>
              <w:widowControl/>
              <w:numPr>
                <w:ilvl w:val="0"/>
                <w:numId w:val="7"/>
              </w:numPr>
              <w:kinsoku w:val="0"/>
              <w:wordWrap/>
              <w:overflowPunct/>
              <w:topLinePunct w:val="0"/>
              <w:autoSpaceDE w:val="0"/>
              <w:autoSpaceDN w:val="0"/>
              <w:bidi w:val="0"/>
              <w:adjustRightInd w:val="0"/>
              <w:snapToGrid w:val="0"/>
              <w:spacing w:line="320" w:lineRule="exact"/>
              <w:ind w:left="0" w:right="0" w:firstLine="3"/>
              <w:jc w:val="both"/>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其他项目组人员</w:t>
            </w:r>
          </w:p>
          <w:p w14:paraId="75E65435">
            <w:pPr>
              <w:pStyle w:val="245"/>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exact"/>
              <w:ind w:left="3" w:leftChars="0" w:right="0" w:rightChars="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拟派项目组成员（不含项目负责人）具有环境监测、环境科学、环境工程专业正高级职称的，每提供一类专业职称人员得2分，最高得6分；</w:t>
            </w:r>
          </w:p>
          <w:p w14:paraId="49339DF1">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3"/>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拟派项目组成员（不含项目负责人）具有环境监测、水生态监测、环境科学专业副高级职称的，每提供一类专业职称人员得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分，最高得4分；本项最多得10分，同一人不重复计分。</w:t>
            </w:r>
          </w:p>
          <w:p w14:paraId="3EC8166D">
            <w:pPr>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评审依据：投标文件中提供职称证书清晰扫描件并加盖投标</w:t>
            </w:r>
            <w:r>
              <w:rPr>
                <w:rFonts w:hint="eastAsia" w:ascii="宋体" w:hAnsi="宋体" w:eastAsia="宋体" w:cs="宋体"/>
                <w:b/>
                <w:color w:val="auto"/>
                <w:sz w:val="24"/>
                <w:szCs w:val="24"/>
                <w:highlight w:val="none"/>
                <w:lang w:val="en-US" w:eastAsia="zh-CN"/>
              </w:rPr>
              <w:t>单位</w:t>
            </w:r>
            <w:r>
              <w:rPr>
                <w:rFonts w:hint="eastAsia" w:ascii="宋体" w:hAnsi="宋体" w:eastAsia="宋体" w:cs="宋体"/>
                <w:b/>
                <w:color w:val="auto"/>
                <w:sz w:val="24"/>
                <w:szCs w:val="24"/>
                <w:highlight w:val="none"/>
                <w:lang w:eastAsia="zh-CN"/>
              </w:rPr>
              <w:t>公章及投标人在开标前6个月内其中任意一个月为其缴纳社保的证明材料</w:t>
            </w:r>
            <w:r>
              <w:rPr>
                <w:rFonts w:hint="eastAsia" w:ascii="宋体" w:hAnsi="宋体" w:eastAsia="宋体" w:cs="宋体"/>
                <w:b/>
                <w:color w:val="auto"/>
                <w:sz w:val="24"/>
                <w:szCs w:val="24"/>
                <w:highlight w:val="none"/>
                <w:lang w:eastAsia="zh-CN"/>
              </w:rPr>
              <w:t>扫描件</w:t>
            </w:r>
            <w:r>
              <w:rPr>
                <w:rFonts w:hint="eastAsia" w:ascii="宋体" w:hAnsi="宋体" w:eastAsia="宋体" w:cs="宋体"/>
                <w:b/>
                <w:color w:val="auto"/>
                <w:sz w:val="24"/>
                <w:szCs w:val="24"/>
                <w:highlight w:val="none"/>
                <w:lang w:eastAsia="zh-CN"/>
              </w:rPr>
              <w:t>。</w:t>
            </w:r>
          </w:p>
        </w:tc>
        <w:tc>
          <w:tcPr>
            <w:tcW w:w="842" w:type="dxa"/>
            <w:noWrap w:val="0"/>
            <w:vAlign w:val="center"/>
          </w:tcPr>
          <w:p w14:paraId="207AB24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546C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0" w:type="auto"/>
            <w:vMerge w:val="continue"/>
            <w:noWrap w:val="0"/>
            <w:vAlign w:val="center"/>
          </w:tcPr>
          <w:p w14:paraId="47668E4E">
            <w:pPr>
              <w:jc w:val="center"/>
              <w:rPr>
                <w:rFonts w:hint="eastAsia" w:ascii="宋体" w:hAnsi="宋体" w:eastAsia="宋体" w:cs="宋体"/>
                <w:color w:val="auto"/>
                <w:sz w:val="24"/>
                <w:szCs w:val="24"/>
                <w:highlight w:val="none"/>
              </w:rPr>
            </w:pPr>
          </w:p>
        </w:tc>
        <w:tc>
          <w:tcPr>
            <w:tcW w:w="1262" w:type="dxa"/>
            <w:noWrap w:val="0"/>
            <w:vAlign w:val="center"/>
          </w:tcPr>
          <w:p w14:paraId="2271671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类似业绩（</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5683" w:type="dxa"/>
            <w:noWrap w:val="0"/>
            <w:vAlign w:val="center"/>
          </w:tcPr>
          <w:p w14:paraId="6FB84157">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15"/>
              <w:textAlignment w:val="baseline"/>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5"/>
                <w:sz w:val="24"/>
                <w:szCs w:val="24"/>
                <w:highlight w:val="none"/>
                <w:lang w:val="en-US" w:eastAsia="zh-CN"/>
              </w:rPr>
              <w:t>1</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8"/>
                <w:sz w:val="24"/>
                <w:szCs w:val="24"/>
                <w:highlight w:val="none"/>
                <w:lang w:eastAsia="zh-CN"/>
              </w:rPr>
              <w:t>投标</w:t>
            </w:r>
            <w:r>
              <w:rPr>
                <w:rFonts w:hint="eastAsia" w:ascii="宋体" w:hAnsi="宋体" w:eastAsia="宋体" w:cs="宋体"/>
                <w:color w:val="auto"/>
                <w:spacing w:val="8"/>
                <w:sz w:val="24"/>
                <w:szCs w:val="24"/>
                <w:highlight w:val="none"/>
                <w:lang w:val="en-US" w:eastAsia="zh-CN"/>
              </w:rPr>
              <w:t>单位</w:t>
            </w:r>
            <w:r>
              <w:rPr>
                <w:rFonts w:hint="eastAsia" w:ascii="宋体" w:hAnsi="宋体" w:eastAsia="宋体" w:cs="宋体"/>
                <w:color w:val="auto"/>
                <w:spacing w:val="-47"/>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自</w:t>
            </w:r>
            <w:r>
              <w:rPr>
                <w:rFonts w:hint="eastAsia" w:ascii="宋体" w:hAnsi="宋体" w:eastAsia="宋体" w:cs="宋体"/>
                <w:color w:val="auto"/>
                <w:spacing w:val="-35"/>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2021</w:t>
            </w:r>
            <w:r>
              <w:rPr>
                <w:rFonts w:hint="eastAsia" w:ascii="宋体" w:hAnsi="宋体" w:eastAsia="宋体" w:cs="宋体"/>
                <w:color w:val="auto"/>
                <w:spacing w:val="-37"/>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年</w:t>
            </w:r>
            <w:r>
              <w:rPr>
                <w:rFonts w:hint="eastAsia" w:ascii="宋体" w:hAnsi="宋体" w:eastAsia="宋体" w:cs="宋体"/>
                <w:color w:val="auto"/>
                <w:spacing w:val="-19"/>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1</w:t>
            </w:r>
            <w:r>
              <w:rPr>
                <w:rFonts w:hint="eastAsia" w:ascii="宋体" w:hAnsi="宋体" w:eastAsia="宋体" w:cs="宋体"/>
                <w:color w:val="auto"/>
                <w:spacing w:val="-30"/>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月</w:t>
            </w:r>
            <w:r>
              <w:rPr>
                <w:rFonts w:hint="eastAsia" w:ascii="宋体" w:hAnsi="宋体" w:eastAsia="宋体" w:cs="宋体"/>
                <w:color w:val="auto"/>
                <w:spacing w:val="-22"/>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1 日至投标截止之日止(以合同签订</w:t>
            </w:r>
            <w:r>
              <w:rPr>
                <w:rFonts w:hint="eastAsia" w:ascii="宋体" w:hAnsi="宋体" w:eastAsia="宋体" w:cs="宋体"/>
                <w:color w:val="auto"/>
                <w:spacing w:val="4"/>
                <w:sz w:val="24"/>
                <w:szCs w:val="24"/>
                <w:highlight w:val="none"/>
                <w:lang w:eastAsia="zh-CN"/>
              </w:rPr>
              <w:t>时间为准)，</w:t>
            </w:r>
            <w:r>
              <w:rPr>
                <w:rFonts w:hint="eastAsia" w:ascii="宋体" w:hAnsi="宋体" w:eastAsia="宋体" w:cs="宋体"/>
                <w:color w:val="auto"/>
                <w:spacing w:val="11"/>
                <w:sz w:val="24"/>
                <w:szCs w:val="24"/>
                <w:highlight w:val="none"/>
                <w:lang w:eastAsia="zh-CN"/>
              </w:rPr>
              <w:t>每有一项</w:t>
            </w:r>
            <w:r>
              <w:rPr>
                <w:rFonts w:hint="eastAsia" w:ascii="宋体" w:hAnsi="宋体" w:eastAsia="宋体" w:cs="宋体"/>
                <w:color w:val="auto"/>
                <w:spacing w:val="11"/>
                <w:sz w:val="24"/>
                <w:szCs w:val="24"/>
                <w:highlight w:val="none"/>
                <w:lang w:val="en-US" w:eastAsia="zh-CN"/>
              </w:rPr>
              <w:t>与本项目</w:t>
            </w:r>
            <w:r>
              <w:rPr>
                <w:rFonts w:hint="eastAsia" w:ascii="宋体" w:hAnsi="宋体" w:eastAsia="宋体" w:cs="宋体"/>
                <w:color w:val="auto"/>
                <w:spacing w:val="11"/>
                <w:sz w:val="24"/>
                <w:szCs w:val="24"/>
                <w:highlight w:val="none"/>
                <w:lang w:eastAsia="zh-CN"/>
              </w:rPr>
              <w:t>类似业绩得</w:t>
            </w:r>
            <w:r>
              <w:rPr>
                <w:rFonts w:hint="eastAsia" w:ascii="宋体" w:hAnsi="宋体" w:eastAsia="宋体" w:cs="宋体"/>
                <w:color w:val="auto"/>
                <w:spacing w:val="11"/>
                <w:sz w:val="24"/>
                <w:szCs w:val="24"/>
                <w:highlight w:val="none"/>
                <w:lang w:val="en-US" w:eastAsia="zh-CN"/>
              </w:rPr>
              <w:t>2</w:t>
            </w:r>
            <w:r>
              <w:rPr>
                <w:rFonts w:hint="eastAsia" w:ascii="宋体" w:hAnsi="宋体" w:eastAsia="宋体" w:cs="宋体"/>
                <w:color w:val="auto"/>
                <w:spacing w:val="11"/>
                <w:sz w:val="24"/>
                <w:szCs w:val="24"/>
                <w:highlight w:val="none"/>
                <w:lang w:eastAsia="zh-CN"/>
              </w:rPr>
              <w:t>分，最</w:t>
            </w:r>
            <w:r>
              <w:rPr>
                <w:rFonts w:hint="eastAsia" w:ascii="宋体" w:hAnsi="宋体" w:eastAsia="宋体" w:cs="宋体"/>
                <w:color w:val="auto"/>
                <w:spacing w:val="7"/>
                <w:sz w:val="24"/>
                <w:szCs w:val="24"/>
                <w:highlight w:val="none"/>
                <w:lang w:eastAsia="zh-CN"/>
              </w:rPr>
              <w:t>高得</w:t>
            </w:r>
            <w:r>
              <w:rPr>
                <w:rFonts w:hint="eastAsia" w:ascii="宋体" w:hAnsi="宋体" w:eastAsia="宋体" w:cs="宋体"/>
                <w:color w:val="auto"/>
                <w:spacing w:val="-33"/>
                <w:sz w:val="24"/>
                <w:szCs w:val="24"/>
                <w:highlight w:val="none"/>
                <w:lang w:val="en-US" w:eastAsia="zh-CN"/>
              </w:rPr>
              <w:t>10</w:t>
            </w:r>
            <w:r>
              <w:rPr>
                <w:rFonts w:hint="eastAsia" w:ascii="宋体" w:hAnsi="宋体" w:eastAsia="宋体" w:cs="宋体"/>
                <w:color w:val="auto"/>
                <w:spacing w:val="7"/>
                <w:sz w:val="24"/>
                <w:szCs w:val="24"/>
                <w:highlight w:val="none"/>
                <w:lang w:eastAsia="zh-CN"/>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sz w:val="24"/>
                <w:szCs w:val="24"/>
                <w:highlight w:val="none"/>
              </w:rPr>
              <w:t>未提供不得分</w:t>
            </w:r>
            <w:r>
              <w:rPr>
                <w:rFonts w:hint="eastAsia" w:ascii="宋体" w:hAnsi="宋体" w:eastAsia="宋体" w:cs="宋体"/>
                <w:color w:val="auto"/>
                <w:spacing w:val="7"/>
                <w:sz w:val="24"/>
                <w:szCs w:val="24"/>
                <w:highlight w:val="none"/>
                <w:lang w:eastAsia="zh-CN"/>
              </w:rPr>
              <w:t>。</w:t>
            </w:r>
          </w:p>
          <w:p w14:paraId="0AAF8984">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firstLine="15"/>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pacing w:val="11"/>
                <w:sz w:val="24"/>
                <w:szCs w:val="24"/>
                <w:highlight w:val="none"/>
                <w:lang w:eastAsia="zh-CN"/>
              </w:rPr>
              <w:t>评审依据：</w:t>
            </w:r>
            <w:r>
              <w:rPr>
                <w:rFonts w:hint="eastAsia" w:ascii="宋体" w:hAnsi="宋体" w:eastAsia="宋体" w:cs="宋体"/>
                <w:b/>
                <w:color w:val="auto"/>
                <w:spacing w:val="7"/>
                <w:sz w:val="24"/>
                <w:szCs w:val="24"/>
                <w:highlight w:val="none"/>
                <w:lang w:eastAsia="zh-CN"/>
              </w:rPr>
              <w:t>投标文件中附合同首页、第一页及盖章页</w:t>
            </w:r>
            <w:r>
              <w:rPr>
                <w:rFonts w:hint="eastAsia" w:ascii="宋体" w:hAnsi="宋体" w:eastAsia="宋体" w:cs="宋体"/>
                <w:b/>
                <w:color w:val="auto"/>
                <w:spacing w:val="7"/>
                <w:sz w:val="24"/>
                <w:szCs w:val="24"/>
                <w:highlight w:val="none"/>
                <w:lang w:eastAsia="zh-CN"/>
              </w:rPr>
              <w:t>扫描件</w:t>
            </w:r>
            <w:r>
              <w:rPr>
                <w:rFonts w:hint="eastAsia" w:ascii="宋体" w:hAnsi="宋体" w:eastAsia="宋体" w:cs="宋体"/>
                <w:b/>
                <w:color w:val="auto"/>
                <w:spacing w:val="7"/>
                <w:sz w:val="24"/>
                <w:szCs w:val="24"/>
                <w:highlight w:val="none"/>
                <w:lang w:eastAsia="zh-CN"/>
              </w:rPr>
              <w:t>。</w:t>
            </w:r>
          </w:p>
          <w:p w14:paraId="0B3B3771">
            <w:pPr>
              <w:pStyle w:val="245"/>
              <w:keepNext w:val="0"/>
              <w:keepLines w:val="0"/>
              <w:pageBreakBefore w:val="0"/>
              <w:widowControl/>
              <w:kinsoku w:val="0"/>
              <w:wordWrap/>
              <w:overflowPunct/>
              <w:topLinePunct w:val="0"/>
              <w:autoSpaceDE w:val="0"/>
              <w:autoSpaceDN w:val="0"/>
              <w:bidi w:val="0"/>
              <w:adjustRightInd w:val="0"/>
              <w:snapToGrid w:val="0"/>
              <w:spacing w:line="320" w:lineRule="exact"/>
              <w:ind w:left="0" w:right="0"/>
              <w:textAlignment w:val="baseline"/>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3"/>
                <w:sz w:val="24"/>
                <w:szCs w:val="24"/>
                <w:highlight w:val="none"/>
                <w:lang w:eastAsia="zh-CN"/>
              </w:rPr>
              <w:t>2、</w:t>
            </w:r>
            <w:r>
              <w:rPr>
                <w:rFonts w:hint="eastAsia" w:ascii="宋体" w:hAnsi="宋体" w:eastAsia="宋体" w:cs="宋体"/>
                <w:color w:val="auto"/>
                <w:spacing w:val="8"/>
                <w:sz w:val="24"/>
                <w:szCs w:val="24"/>
                <w:highlight w:val="none"/>
                <w:lang w:eastAsia="zh-CN"/>
              </w:rPr>
              <w:t>投标</w:t>
            </w:r>
            <w:r>
              <w:rPr>
                <w:rFonts w:hint="eastAsia" w:ascii="宋体" w:hAnsi="宋体" w:eastAsia="宋体" w:cs="宋体"/>
                <w:color w:val="auto"/>
                <w:spacing w:val="8"/>
                <w:sz w:val="24"/>
                <w:szCs w:val="24"/>
                <w:highlight w:val="none"/>
                <w:lang w:val="en-US" w:eastAsia="zh-CN"/>
              </w:rPr>
              <w:t>单位</w:t>
            </w:r>
            <w:r>
              <w:rPr>
                <w:rFonts w:hint="eastAsia" w:ascii="宋体" w:hAnsi="宋体" w:eastAsia="宋体" w:cs="宋体"/>
                <w:color w:val="auto"/>
                <w:spacing w:val="5"/>
                <w:sz w:val="24"/>
                <w:szCs w:val="24"/>
                <w:highlight w:val="none"/>
                <w:lang w:eastAsia="zh-CN"/>
              </w:rPr>
              <w:t>自</w:t>
            </w:r>
            <w:r>
              <w:rPr>
                <w:rFonts w:hint="eastAsia" w:ascii="宋体" w:hAnsi="宋体" w:eastAsia="宋体" w:cs="宋体"/>
                <w:color w:val="auto"/>
                <w:spacing w:val="3"/>
                <w:sz w:val="24"/>
                <w:szCs w:val="24"/>
                <w:highlight w:val="none"/>
                <w:lang w:eastAsia="zh-CN"/>
              </w:rPr>
              <w:t>2021</w:t>
            </w:r>
            <w:r>
              <w:rPr>
                <w:rFonts w:hint="eastAsia" w:ascii="宋体" w:hAnsi="宋体" w:eastAsia="宋体" w:cs="宋体"/>
                <w:color w:val="auto"/>
                <w:spacing w:val="-38"/>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年</w:t>
            </w:r>
            <w:r>
              <w:rPr>
                <w:rFonts w:hint="eastAsia" w:ascii="宋体" w:hAnsi="宋体" w:eastAsia="宋体" w:cs="宋体"/>
                <w:color w:val="auto"/>
                <w:spacing w:val="-22"/>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1</w:t>
            </w:r>
            <w:r>
              <w:rPr>
                <w:rFonts w:hint="eastAsia" w:ascii="宋体" w:hAnsi="宋体" w:eastAsia="宋体" w:cs="宋体"/>
                <w:color w:val="auto"/>
                <w:spacing w:val="-35"/>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月</w:t>
            </w:r>
            <w:r>
              <w:rPr>
                <w:rFonts w:hint="eastAsia" w:ascii="宋体" w:hAnsi="宋体" w:eastAsia="宋体" w:cs="宋体"/>
                <w:color w:val="auto"/>
                <w:spacing w:val="-22"/>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1 日至投标截止之日止(以合同签订时间为准)，每有</w:t>
            </w:r>
            <w:r>
              <w:rPr>
                <w:rFonts w:hint="eastAsia" w:ascii="宋体" w:hAnsi="宋体" w:eastAsia="宋体" w:cs="宋体"/>
                <w:color w:val="auto"/>
                <w:spacing w:val="12"/>
                <w:sz w:val="24"/>
                <w:szCs w:val="24"/>
                <w:highlight w:val="none"/>
                <w:lang w:eastAsia="zh-CN"/>
              </w:rPr>
              <w:t>一项湖泊调查评估类或水生态调查评估类项目业绩</w:t>
            </w:r>
            <w:r>
              <w:rPr>
                <w:rFonts w:hint="eastAsia" w:ascii="宋体" w:hAnsi="宋体" w:eastAsia="宋体" w:cs="宋体"/>
                <w:color w:val="auto"/>
                <w:spacing w:val="21"/>
                <w:sz w:val="24"/>
                <w:szCs w:val="24"/>
                <w:highlight w:val="none"/>
                <w:lang w:eastAsia="zh-CN"/>
              </w:rPr>
              <w:t>，</w:t>
            </w:r>
            <w:r>
              <w:rPr>
                <w:rFonts w:hint="eastAsia" w:ascii="宋体" w:hAnsi="宋体" w:eastAsia="宋体" w:cs="宋体"/>
                <w:color w:val="auto"/>
                <w:spacing w:val="6"/>
                <w:sz w:val="24"/>
                <w:szCs w:val="24"/>
                <w:highlight w:val="none"/>
                <w:lang w:eastAsia="zh-CN"/>
              </w:rPr>
              <w:t>每一项得1分，最高得</w:t>
            </w:r>
            <w:r>
              <w:rPr>
                <w:rFonts w:hint="eastAsia" w:ascii="宋体" w:hAnsi="宋体" w:eastAsia="宋体" w:cs="宋体"/>
                <w:color w:val="auto"/>
                <w:spacing w:val="-35"/>
                <w:sz w:val="24"/>
                <w:szCs w:val="24"/>
                <w:highlight w:val="none"/>
                <w:lang w:eastAsia="zh-CN"/>
              </w:rPr>
              <w:t xml:space="preserve"> </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lang w:eastAsia="zh-CN"/>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sz w:val="24"/>
                <w:szCs w:val="24"/>
                <w:highlight w:val="none"/>
              </w:rPr>
              <w:t>未提供不得分</w:t>
            </w:r>
            <w:r>
              <w:rPr>
                <w:rFonts w:hint="eastAsia" w:ascii="宋体" w:hAnsi="宋体" w:eastAsia="宋体" w:cs="宋体"/>
                <w:color w:val="auto"/>
                <w:spacing w:val="6"/>
                <w:sz w:val="24"/>
                <w:szCs w:val="24"/>
                <w:highlight w:val="none"/>
                <w:lang w:eastAsia="zh-CN"/>
              </w:rPr>
              <w:t>。</w:t>
            </w:r>
          </w:p>
          <w:p w14:paraId="618752D3">
            <w:pPr>
              <w:jc w:val="left"/>
              <w:rPr>
                <w:rFonts w:hint="eastAsia" w:ascii="宋体" w:hAnsi="宋体" w:eastAsia="宋体" w:cs="宋体"/>
                <w:bCs/>
                <w:color w:val="auto"/>
                <w:sz w:val="24"/>
                <w:szCs w:val="24"/>
                <w:highlight w:val="none"/>
              </w:rPr>
            </w:pPr>
            <w:r>
              <w:rPr>
                <w:rFonts w:hint="eastAsia" w:ascii="宋体" w:hAnsi="宋体" w:eastAsia="宋体" w:cs="宋体"/>
                <w:b/>
                <w:color w:val="auto"/>
                <w:spacing w:val="11"/>
                <w:sz w:val="24"/>
                <w:szCs w:val="24"/>
                <w:highlight w:val="none"/>
                <w:lang w:eastAsia="zh-CN"/>
              </w:rPr>
              <w:t>评审依据：</w:t>
            </w:r>
            <w:r>
              <w:rPr>
                <w:rFonts w:hint="eastAsia" w:ascii="宋体" w:hAnsi="宋体" w:eastAsia="宋体" w:cs="宋体"/>
                <w:b/>
                <w:color w:val="auto"/>
                <w:spacing w:val="7"/>
                <w:sz w:val="24"/>
                <w:szCs w:val="24"/>
                <w:highlight w:val="none"/>
                <w:lang w:eastAsia="zh-CN"/>
              </w:rPr>
              <w:t>投标文件中附合同首页、第一页及盖章页</w:t>
            </w:r>
            <w:r>
              <w:rPr>
                <w:rFonts w:hint="eastAsia" w:ascii="宋体" w:hAnsi="宋体" w:eastAsia="宋体" w:cs="宋体"/>
                <w:b/>
                <w:color w:val="auto"/>
                <w:spacing w:val="7"/>
                <w:sz w:val="24"/>
                <w:szCs w:val="24"/>
                <w:highlight w:val="none"/>
                <w:lang w:eastAsia="zh-CN"/>
              </w:rPr>
              <w:t>扫描件</w:t>
            </w:r>
            <w:r>
              <w:rPr>
                <w:rFonts w:hint="eastAsia" w:ascii="宋体" w:hAnsi="宋体" w:eastAsia="宋体" w:cs="宋体"/>
                <w:b/>
                <w:color w:val="auto"/>
                <w:spacing w:val="7"/>
                <w:sz w:val="24"/>
                <w:szCs w:val="24"/>
                <w:highlight w:val="none"/>
                <w:lang w:eastAsia="zh-CN"/>
              </w:rPr>
              <w:t>。</w:t>
            </w:r>
          </w:p>
        </w:tc>
        <w:tc>
          <w:tcPr>
            <w:tcW w:w="842" w:type="dxa"/>
            <w:noWrap w:val="0"/>
            <w:vAlign w:val="center"/>
          </w:tcPr>
          <w:p w14:paraId="62C223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r>
    </w:tbl>
    <w:p w14:paraId="7C1DC7F9">
      <w:pPr>
        <w:rPr>
          <w:rFonts w:hint="eastAsia" w:ascii="宋体" w:hAnsi="宋体" w:eastAsia="宋体" w:cs="宋体"/>
          <w:color w:val="auto"/>
          <w:sz w:val="24"/>
          <w:szCs w:val="24"/>
          <w:highlight w:val="none"/>
        </w:rPr>
      </w:pPr>
    </w:p>
    <w:p w14:paraId="31921E4C">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三、政府采购政策：</w:t>
      </w:r>
    </w:p>
    <w:p w14:paraId="4BE258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（一）中、小、微企业</w:t>
      </w:r>
    </w:p>
    <w:p w14:paraId="5C4AD4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1、专门面向中小企业采购的</w:t>
      </w:r>
    </w:p>
    <w:p w14:paraId="576BAD1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促进中小企业发展管理办法》（财库〔2020〕46号）的相关规定，如投标人认定本企业为中型、小型或微型企业，则必需根据《中小企业划型标准规定》（工信部联企业〔2011〕300号）填报《中小企业声明函》。</w:t>
      </w:r>
    </w:p>
    <w:p w14:paraId="5FB415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Start w:id="11" w:name="_Hlk167786003"/>
      <w:r>
        <w:rPr>
          <w:rFonts w:hint="eastAsia" w:ascii="宋体" w:hAnsi="宋体" w:eastAsia="宋体" w:cs="宋体"/>
          <w:color w:val="auto"/>
          <w:sz w:val="24"/>
          <w:szCs w:val="24"/>
          <w:highlight w:val="none"/>
        </w:rPr>
        <w:t>非专门面向中小企业采购的</w:t>
      </w:r>
      <w:bookmarkEnd w:id="11"/>
    </w:p>
    <w:p w14:paraId="7B7141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p>
    <w:p w14:paraId="7865986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p>
    <w:p w14:paraId="7A8DC4D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加盖公章后的《中小企业声明函》电子件放置于投标文件中提交，未提交则不享受预留采购份额政策。</w:t>
      </w:r>
    </w:p>
    <w:p w14:paraId="3F178F4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（二）残疾人福利性单位</w:t>
      </w:r>
    </w:p>
    <w:p w14:paraId="63F37E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根据《三部门联合发布关于促进残疾人就业政府采购政策的通知》（财库〔2017〕141号）的相关规定，如投标人为残疾人福利性单位，则视同小型、微型企业。</w:t>
      </w:r>
    </w:p>
    <w:p w14:paraId="1F1B2D4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（三）监狱企业</w:t>
      </w:r>
    </w:p>
    <w:p w14:paraId="37FFFB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p>
    <w:p w14:paraId="0DDF47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（四）绿色采购</w:t>
      </w:r>
    </w:p>
    <w:p w14:paraId="4F07E6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p>
    <w:p w14:paraId="3AD713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若投标人提供的《中小企业声明函》、《残疾人福利性单位声明函》及监狱企业认定证明等材料为虚假材料，按《中华人民共和国政府采购法》等相关法律法规的规定处理，并报请政府采购监管部门给予行政处罚。</w:t>
      </w:r>
    </w:p>
    <w:p w14:paraId="5EED5377">
      <w:pPr>
        <w:rPr>
          <w:rFonts w:hint="eastAsia" w:ascii="宋体" w:hAnsi="宋体" w:eastAsia="宋体" w:cs="宋体"/>
          <w:b/>
          <w:bCs/>
          <w:color w:val="auto"/>
          <w:sz w:val="24"/>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KaiTi_GB2312">
    <w:altName w:val="楷体"/>
    <w:panose1 w:val="02010609060101010101"/>
    <w:charset w:val="00"/>
    <w:family w:val="auto"/>
    <w:pitch w:val="default"/>
    <w:sig w:usb0="00000000" w:usb1="00000000" w:usb2="00000000" w:usb3="00000000" w:csb0="00000000" w:csb1="00000000"/>
  </w:font>
  <w:font w:name="方正仿宋简体">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9F9BC">
    <w:pPr>
      <w:pStyle w:val="213"/>
      <w:framePr w:wrap="around" w:vAnchor="text" w:hAnchor="margin" w:xAlign="center" w:y="1"/>
      <w:pBdr>
        <w:top w:val="none" w:color="000000" w:sz="0" w:space="0"/>
        <w:left w:val="none" w:color="000000" w:sz="0" w:space="0"/>
        <w:bottom w:val="none" w:color="000000" w:sz="0" w:space="0"/>
        <w:right w:val="none" w:color="000000" w:sz="0" w:space="0"/>
        <w:between w:val="none" w:color="000000" w:sz="0" w:space="0"/>
      </w:pBdr>
      <w:spacing w:after="0"/>
    </w:pPr>
    <w:r>
      <w:rPr>
        <w:rStyle w:val="224"/>
      </w:rPr>
      <w:fldChar w:fldCharType="begin"/>
    </w:r>
    <w:r>
      <w:rPr>
        <w:rStyle w:val="224"/>
      </w:rPr>
      <w:instrText xml:space="preserve"> PAGE </w:instrText>
    </w:r>
    <w:r>
      <w:rPr>
        <w:rStyle w:val="224"/>
      </w:rPr>
      <w:fldChar w:fldCharType="separate"/>
    </w:r>
    <w:r>
      <w:rPr>
        <w:rStyle w:val="224"/>
      </w:rPr>
      <w:t>- 1 -</w:t>
    </w:r>
    <w:r>
      <w:rPr>
        <w:rStyle w:val="224"/>
      </w:rPr>
      <w:fldChar w:fldCharType="end"/>
    </w:r>
  </w:p>
  <w:p w14:paraId="2CCBEEF1">
    <w:pPr>
      <w:pStyle w:val="2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517BB">
    <w:pPr>
      <w:pStyle w:val="2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07"/>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383CCE"/>
    <w:multiLevelType w:val="singleLevel"/>
    <w:tmpl w:val="00383CCE"/>
    <w:lvl w:ilvl="0" w:tentative="0">
      <w:start w:val="2"/>
      <w:numFmt w:val="decimal"/>
      <w:lvlText w:val="%1."/>
      <w:lvlJc w:val="left"/>
      <w:pPr>
        <w:tabs>
          <w:tab w:val="left" w:pos="312"/>
        </w:tabs>
      </w:pPr>
    </w:lvl>
  </w:abstractNum>
  <w:abstractNum w:abstractNumId="3">
    <w:nsid w:val="0053208E"/>
    <w:multiLevelType w:val="multilevel"/>
    <w:tmpl w:val="0053208E"/>
    <w:lvl w:ilvl="0" w:tentative="0">
      <w:start w:val="1"/>
      <w:numFmt w:val="decimal"/>
      <w:pStyle w:val="203"/>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4AF4C12"/>
    <w:multiLevelType w:val="multilevel"/>
    <w:tmpl w:val="04AF4C12"/>
    <w:lvl w:ilvl="0" w:tentative="0">
      <w:start w:val="1"/>
      <w:numFmt w:val="decimal"/>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6331558"/>
    <w:multiLevelType w:val="singleLevel"/>
    <w:tmpl w:val="26331558"/>
    <w:lvl w:ilvl="0" w:tentative="0">
      <w:start w:val="1"/>
      <w:numFmt w:val="decimal"/>
      <w:suff w:val="nothing"/>
      <w:lvlText w:val="%1、"/>
      <w:lvlJc w:val="left"/>
    </w:lvl>
  </w:abstractNum>
  <w:abstractNum w:abstractNumId="6">
    <w:nsid w:val="59ADCABA"/>
    <w:multiLevelType w:val="multilevel"/>
    <w:tmpl w:val="59ADCABA"/>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D5052"/>
    <w:rsid w:val="00F06077"/>
    <w:rsid w:val="06AE7966"/>
    <w:rsid w:val="07E95E43"/>
    <w:rsid w:val="09EF6741"/>
    <w:rsid w:val="0A9557B6"/>
    <w:rsid w:val="0AB75A41"/>
    <w:rsid w:val="10021481"/>
    <w:rsid w:val="198F01F7"/>
    <w:rsid w:val="285D27F9"/>
    <w:rsid w:val="2D6C2E14"/>
    <w:rsid w:val="2DC2782C"/>
    <w:rsid w:val="368924A4"/>
    <w:rsid w:val="3C1E52A7"/>
    <w:rsid w:val="3E834C59"/>
    <w:rsid w:val="47A30116"/>
    <w:rsid w:val="495A0CAC"/>
    <w:rsid w:val="49857747"/>
    <w:rsid w:val="4BA33D66"/>
    <w:rsid w:val="4D7D6F66"/>
    <w:rsid w:val="4E0E0960"/>
    <w:rsid w:val="4E260345"/>
    <w:rsid w:val="52BF2364"/>
    <w:rsid w:val="56F72820"/>
    <w:rsid w:val="5748483A"/>
    <w:rsid w:val="577943F2"/>
    <w:rsid w:val="57C54F8E"/>
    <w:rsid w:val="5FFC2665"/>
    <w:rsid w:val="608F46C1"/>
    <w:rsid w:val="60B767A6"/>
    <w:rsid w:val="63140DB9"/>
    <w:rsid w:val="64F35E02"/>
    <w:rsid w:val="65884890"/>
    <w:rsid w:val="672229B1"/>
    <w:rsid w:val="737612C2"/>
    <w:rsid w:val="75575F1C"/>
    <w:rsid w:val="76F86904"/>
    <w:rsid w:val="792606C3"/>
    <w:rsid w:val="794A5911"/>
    <w:rsid w:val="7A6D0CC2"/>
    <w:rsid w:val="7BA75723"/>
    <w:rsid w:val="7BF87D2D"/>
    <w:rsid w:val="7C2569E4"/>
    <w:rsid w:val="7CBC1AC4"/>
    <w:rsid w:val="7EDE4A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8"/>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ind w:firstLine="420"/>
      <w:jc w:val="left"/>
    </w:pPr>
    <w:rPr>
      <w:rFonts w:eastAsia="楷体_GB2312"/>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
    <w:unhideWhenUsed/>
    <w:qFormat/>
    <w:uiPriority w:val="99"/>
    <w:pPr>
      <w:spacing w:after="120"/>
      <w:ind w:left="42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link w:val="60"/>
    <w:unhideWhenUsed/>
    <w:qFormat/>
    <w:uiPriority w:val="99"/>
    <w:pPr>
      <w:tabs>
        <w:tab w:val="center" w:pos="7143"/>
        <w:tab w:val="right" w:pos="14287"/>
      </w:tabs>
      <w:spacing w:after="0" w:line="240" w:lineRule="auto"/>
    </w:pPr>
  </w:style>
  <w:style w:type="paragraph" w:styleId="21">
    <w:name w:val="header"/>
    <w:basedOn w:val="1"/>
    <w:link w:val="5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2"/>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Emphasis"/>
    <w:basedOn w:val="33"/>
    <w:qFormat/>
    <w:uiPriority w:val="20"/>
    <w:rPr>
      <w:i/>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character" w:customStyle="1" w:styleId="38">
    <w:name w:val="标题 2 Char"/>
    <w:link w:val="39"/>
    <w:qFormat/>
    <w:uiPriority w:val="0"/>
    <w:rPr>
      <w:rFonts w:ascii="Cambria" w:hAnsi="Cambria" w:eastAsia="宋体" w:cs="Times New Roman"/>
      <w:b/>
      <w:bCs/>
      <w:sz w:val="32"/>
      <w:szCs w:val="32"/>
    </w:rPr>
  </w:style>
  <w:style w:type="paragraph" w:customStyle="1" w:styleId="39">
    <w:name w:val="标题 21"/>
    <w:basedOn w:val="1"/>
    <w:next w:val="1"/>
    <w:link w:val="38"/>
    <w:unhideWhenUsed/>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40">
    <w:name w:val="正文文本1"/>
    <w:basedOn w:val="1"/>
    <w:next w:val="1"/>
    <w:link w:val="194"/>
    <w:unhideWhenUsed/>
    <w:qFormat/>
    <w:uiPriority w:val="99"/>
    <w:pPr>
      <w:spacing w:after="120"/>
    </w:pPr>
    <w:rPr>
      <w:rFonts w:ascii="Times New Roman" w:hAnsi="Times New Roman" w:eastAsia="宋体" w:cs="Times New Roman"/>
    </w:rPr>
  </w:style>
  <w:style w:type="character" w:customStyle="1" w:styleId="41">
    <w:name w:val="Heading 1 Char"/>
    <w:link w:val="3"/>
    <w:qFormat/>
    <w:uiPriority w:val="9"/>
    <w:rPr>
      <w:rFonts w:ascii="Arial" w:hAnsi="Arial" w:eastAsia="Arial" w:cs="Arial"/>
      <w:sz w:val="40"/>
      <w:szCs w:val="40"/>
    </w:rPr>
  </w:style>
  <w:style w:type="character" w:customStyle="1" w:styleId="42">
    <w:name w:val="Heading 2 Char"/>
    <w:link w:val="4"/>
    <w:qFormat/>
    <w:uiPriority w:val="9"/>
    <w:rPr>
      <w:rFonts w:ascii="Arial" w:hAnsi="Arial" w:eastAsia="Arial" w:cs="Arial"/>
      <w:sz w:val="34"/>
    </w:rPr>
  </w:style>
  <w:style w:type="character" w:customStyle="1" w:styleId="43">
    <w:name w:val="Heading 3 Char"/>
    <w:link w:val="5"/>
    <w:qFormat/>
    <w:uiPriority w:val="9"/>
    <w:rPr>
      <w:rFonts w:ascii="Arial" w:hAnsi="Arial" w:eastAsia="Arial" w:cs="Arial"/>
      <w:sz w:val="30"/>
      <w:szCs w:val="30"/>
    </w:rPr>
  </w:style>
  <w:style w:type="character" w:customStyle="1" w:styleId="44">
    <w:name w:val="Heading 4 Char"/>
    <w:link w:val="6"/>
    <w:qFormat/>
    <w:uiPriority w:val="9"/>
    <w:rPr>
      <w:rFonts w:ascii="Arial" w:hAnsi="Arial" w:eastAsia="Arial" w:cs="Arial"/>
      <w:b/>
      <w:bCs/>
      <w:sz w:val="26"/>
      <w:szCs w:val="26"/>
    </w:rPr>
  </w:style>
  <w:style w:type="character" w:customStyle="1" w:styleId="45">
    <w:name w:val="Heading 5 Char"/>
    <w:link w:val="7"/>
    <w:qFormat/>
    <w:uiPriority w:val="9"/>
    <w:rPr>
      <w:rFonts w:ascii="Arial" w:hAnsi="Arial" w:eastAsia="Arial" w:cs="Arial"/>
      <w:b/>
      <w:bCs/>
      <w:sz w:val="24"/>
      <w:szCs w:val="24"/>
    </w:rPr>
  </w:style>
  <w:style w:type="character" w:customStyle="1" w:styleId="46">
    <w:name w:val="Heading 6 Char"/>
    <w:link w:val="8"/>
    <w:qFormat/>
    <w:uiPriority w:val="9"/>
    <w:rPr>
      <w:rFonts w:ascii="Arial" w:hAnsi="Arial" w:eastAsia="Arial" w:cs="Arial"/>
      <w:b/>
      <w:bCs/>
      <w:sz w:val="22"/>
      <w:szCs w:val="22"/>
    </w:rPr>
  </w:style>
  <w:style w:type="character" w:customStyle="1" w:styleId="47">
    <w:name w:val="Heading 7 Char"/>
    <w:link w:val="9"/>
    <w:qFormat/>
    <w:uiPriority w:val="9"/>
    <w:rPr>
      <w:rFonts w:ascii="Arial" w:hAnsi="Arial" w:eastAsia="Arial" w:cs="Arial"/>
      <w:b/>
      <w:bCs/>
      <w:i/>
      <w:iCs/>
      <w:sz w:val="22"/>
      <w:szCs w:val="22"/>
    </w:rPr>
  </w:style>
  <w:style w:type="character" w:customStyle="1" w:styleId="48">
    <w:name w:val="Heading 8 Char"/>
    <w:link w:val="10"/>
    <w:qFormat/>
    <w:uiPriority w:val="9"/>
    <w:rPr>
      <w:rFonts w:ascii="Arial" w:hAnsi="Arial" w:eastAsia="Arial" w:cs="Arial"/>
      <w:i/>
      <w:iCs/>
      <w:sz w:val="22"/>
      <w:szCs w:val="22"/>
    </w:rPr>
  </w:style>
  <w:style w:type="character" w:customStyle="1" w:styleId="49">
    <w:name w:val="Heading 9 Char"/>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0"/>
    <w:qFormat/>
    <w:uiPriority w:val="10"/>
    <w:rPr>
      <w:sz w:val="48"/>
      <w:szCs w:val="48"/>
    </w:rPr>
  </w:style>
  <w:style w:type="character" w:customStyle="1" w:styleId="53">
    <w:name w:val="Subtitle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1"/>
    <w:qFormat/>
    <w:uiPriority w:val="99"/>
  </w:style>
  <w:style w:type="character" w:customStyle="1" w:styleId="59">
    <w:name w:val="Footer Char"/>
    <w:link w:val="20"/>
    <w:qFormat/>
    <w:uiPriority w:val="99"/>
  </w:style>
  <w:style w:type="character" w:customStyle="1" w:styleId="60">
    <w:name w:val="Caption Char"/>
    <w:link w:val="20"/>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90"/>
    <w:next w:val="1"/>
    <w:link w:val="196"/>
    <w:qFormat/>
    <w:uiPriority w:val="9"/>
    <w:pPr>
      <w:keepNext/>
      <w:keepLines/>
      <w:spacing w:before="340" w:after="330" w:line="578" w:lineRule="auto"/>
      <w:outlineLvl w:val="0"/>
    </w:pPr>
    <w:rPr>
      <w:bCs/>
      <w:sz w:val="44"/>
      <w:szCs w:val="44"/>
    </w:rPr>
  </w:style>
  <w:style w:type="paragraph" w:customStyle="1" w:styleId="190">
    <w:name w:val="标题 31"/>
    <w:basedOn w:val="1"/>
    <w:next w:val="1"/>
    <w:link w:val="195"/>
    <w:unhideWhenUsed/>
    <w:qFormat/>
    <w:uiPriority w:val="9"/>
    <w:pPr>
      <w:keepNext/>
      <w:keepLines/>
      <w:spacing w:before="260" w:after="260" w:line="416" w:lineRule="auto"/>
      <w:outlineLvl w:val="2"/>
    </w:pPr>
    <w:rPr>
      <w:rFonts w:ascii="Times New Roman" w:hAnsi="Times New Roman" w:eastAsia="宋体" w:cs="Times New Roman"/>
      <w:b/>
      <w:sz w:val="32"/>
      <w:szCs w:val="20"/>
    </w:rPr>
  </w:style>
  <w:style w:type="paragraph" w:customStyle="1" w:styleId="191">
    <w:name w:val="标题 51"/>
    <w:basedOn w:val="1"/>
    <w:next w:val="1"/>
    <w:link w:val="197"/>
    <w:unhideWhenUsed/>
    <w:qFormat/>
    <w:uiPriority w:val="9"/>
    <w:pPr>
      <w:keepNext/>
      <w:keepLines/>
      <w:widowControl/>
      <w:spacing w:before="280" w:after="290" w:line="376" w:lineRule="auto"/>
      <w:jc w:val="left"/>
      <w:outlineLvl w:val="4"/>
    </w:pPr>
    <w:rPr>
      <w:rFonts w:ascii="Times New Roman" w:hAnsi="Times New Roman" w:eastAsia="宋体" w:cs="Times New Roman"/>
      <w:b/>
      <w:bCs/>
      <w:sz w:val="28"/>
      <w:szCs w:val="28"/>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正文文本 Char1"/>
    <w:link w:val="40"/>
    <w:qFormat/>
    <w:uiPriority w:val="99"/>
    <w:rPr>
      <w:rFonts w:ascii="Times New Roman" w:hAnsi="Times New Roman" w:eastAsia="宋体" w:cs="Times New Roman"/>
    </w:rPr>
  </w:style>
  <w:style w:type="character" w:customStyle="1" w:styleId="195">
    <w:name w:val="标题 3 Char"/>
    <w:link w:val="190"/>
    <w:qFormat/>
    <w:uiPriority w:val="0"/>
    <w:rPr>
      <w:rFonts w:ascii="Times New Roman" w:hAnsi="Times New Roman" w:eastAsia="宋体" w:cs="Times New Roman"/>
      <w:b/>
      <w:sz w:val="32"/>
      <w:szCs w:val="20"/>
    </w:rPr>
  </w:style>
  <w:style w:type="character" w:customStyle="1" w:styleId="196">
    <w:name w:val="标题 1 Char"/>
    <w:link w:val="189"/>
    <w:qFormat/>
    <w:uiPriority w:val="0"/>
    <w:rPr>
      <w:rFonts w:ascii="Calibri" w:hAnsi="Calibri" w:eastAsia="宋体" w:cs="Times New Roman"/>
      <w:b/>
      <w:bCs/>
      <w:sz w:val="44"/>
      <w:szCs w:val="44"/>
    </w:rPr>
  </w:style>
  <w:style w:type="character" w:customStyle="1" w:styleId="197">
    <w:name w:val="标题 5 Char"/>
    <w:link w:val="191"/>
    <w:qFormat/>
    <w:uiPriority w:val="0"/>
    <w:rPr>
      <w:rFonts w:ascii="Times New Roman" w:hAnsi="Times New Roman" w:eastAsia="宋体" w:cs="Times New Roman"/>
      <w:b/>
      <w:bCs/>
      <w:sz w:val="28"/>
      <w:szCs w:val="28"/>
    </w:rPr>
  </w:style>
  <w:style w:type="paragraph" w:customStyle="1" w:styleId="198">
    <w:name w:val="正文缩进1"/>
    <w:basedOn w:val="1"/>
    <w:next w:val="1"/>
    <w:link w:val="199"/>
    <w:unhideWhenUsed/>
    <w:qFormat/>
    <w:uiPriority w:val="99"/>
    <w:pPr>
      <w:ind w:firstLine="420"/>
      <w:jc w:val="left"/>
    </w:pPr>
    <w:rPr>
      <w:rFonts w:ascii="Times New Roman" w:hAnsi="Times New Roman" w:eastAsia="KaiTi_GB2312" w:cs="Times New Roman"/>
      <w:sz w:val="24"/>
      <w:szCs w:val="20"/>
    </w:rPr>
  </w:style>
  <w:style w:type="character" w:customStyle="1" w:styleId="199">
    <w:name w:val="正文缩进 Char"/>
    <w:link w:val="198"/>
    <w:qFormat/>
    <w:uiPriority w:val="0"/>
    <w:rPr>
      <w:rFonts w:ascii="Times New Roman" w:hAnsi="Times New Roman" w:eastAsia="KaiTi_GB2312" w:cs="Times New Roman"/>
      <w:sz w:val="24"/>
      <w:szCs w:val="20"/>
    </w:rPr>
  </w:style>
  <w:style w:type="paragraph" w:customStyle="1" w:styleId="200">
    <w:name w:val="批注文字1"/>
    <w:basedOn w:val="1"/>
    <w:unhideWhenUsed/>
    <w:qFormat/>
    <w:uiPriority w:val="99"/>
    <w:pPr>
      <w:jc w:val="left"/>
    </w:pPr>
  </w:style>
  <w:style w:type="paragraph" w:customStyle="1" w:styleId="201">
    <w:name w:val="正文文本缩进1"/>
    <w:basedOn w:val="1"/>
    <w:next w:val="202"/>
    <w:unhideWhenUsed/>
    <w:qFormat/>
    <w:uiPriority w:val="99"/>
    <w:pPr>
      <w:spacing w:line="520" w:lineRule="exact"/>
      <w:ind w:left="570"/>
    </w:pPr>
    <w:rPr>
      <w:rFonts w:ascii="方正仿宋简体" w:eastAsia="方正仿宋简体"/>
      <w:sz w:val="24"/>
      <w:szCs w:val="22"/>
    </w:rPr>
  </w:style>
  <w:style w:type="paragraph" w:customStyle="1" w:styleId="202">
    <w:name w:val="寄信人地址1"/>
    <w:basedOn w:val="1"/>
    <w:qFormat/>
    <w:uiPriority w:val="0"/>
    <w:rPr>
      <w:rFonts w:ascii="Arial" w:hAnsi="Arial" w:eastAsia="楷体_GB2312"/>
      <w:sz w:val="26"/>
    </w:rPr>
  </w:style>
  <w:style w:type="paragraph" w:customStyle="1" w:styleId="203">
    <w:name w:val="列表编号 31"/>
    <w:basedOn w:val="189"/>
    <w:next w:val="1"/>
    <w:unhideWhenUsed/>
    <w:qFormat/>
    <w:uiPriority w:val="99"/>
    <w:pPr>
      <w:numPr>
        <w:ilvl w:val="0"/>
        <w:numId w:val="1"/>
      </w:numPr>
    </w:pPr>
  </w:style>
  <w:style w:type="paragraph" w:customStyle="1" w:styleId="204">
    <w:name w:val="文本块1"/>
    <w:basedOn w:val="1"/>
    <w:unhideWhenUsed/>
    <w:qFormat/>
    <w:uiPriority w:val="99"/>
    <w:pPr>
      <w:spacing w:line="360" w:lineRule="auto"/>
      <w:ind w:left="630" w:right="-609" w:firstLine="420"/>
    </w:pPr>
    <w:rPr>
      <w:rFonts w:hint="eastAsia" w:ascii="仿宋_GB2312" w:hAnsi="Times New Roman" w:eastAsia="仿宋_GB2312" w:cs="Times New Roman"/>
      <w:szCs w:val="20"/>
    </w:rPr>
  </w:style>
  <w:style w:type="paragraph" w:customStyle="1" w:styleId="205">
    <w:name w:val="纯文本11"/>
    <w:basedOn w:val="1"/>
    <w:link w:val="206"/>
    <w:unhideWhenUsed/>
    <w:qFormat/>
    <w:uiPriority w:val="99"/>
    <w:pPr>
      <w:widowControl/>
      <w:jc w:val="left"/>
    </w:pPr>
    <w:rPr>
      <w:rFonts w:ascii="宋体" w:hAnsi="Courier New" w:eastAsia="KaiTi_GB2312" w:cs="Times New Roman"/>
      <w:sz w:val="26"/>
    </w:rPr>
  </w:style>
  <w:style w:type="character" w:customStyle="1" w:styleId="206">
    <w:name w:val="纯文本 Char1"/>
    <w:link w:val="205"/>
    <w:qFormat/>
    <w:uiPriority w:val="0"/>
    <w:rPr>
      <w:rFonts w:ascii="宋体" w:hAnsi="Courier New" w:eastAsia="KaiTi_GB2312" w:cs="Times New Roman"/>
      <w:sz w:val="26"/>
    </w:rPr>
  </w:style>
  <w:style w:type="paragraph" w:customStyle="1" w:styleId="207">
    <w:name w:val="列表项目符号 51"/>
    <w:basedOn w:val="189"/>
    <w:next w:val="208"/>
    <w:unhideWhenUsed/>
    <w:qFormat/>
    <w:uiPriority w:val="99"/>
    <w:pPr>
      <w:numPr>
        <w:ilvl w:val="0"/>
        <w:numId w:val="2"/>
      </w:numPr>
    </w:pPr>
  </w:style>
  <w:style w:type="paragraph" w:customStyle="1" w:styleId="208">
    <w:name w:val="正文首行缩进1"/>
    <w:next w:val="203"/>
    <w:qFormat/>
    <w:uiPriority w:val="0"/>
    <w:pPr>
      <w:spacing w:after="120" w:line="360" w:lineRule="auto"/>
      <w:ind w:left="420" w:firstLine="2724"/>
    </w:pPr>
    <w:rPr>
      <w:rFonts w:hint="default" w:ascii="Calibri" w:hAnsi="Calibri" w:eastAsia="宋体" w:cs="宋体"/>
      <w:lang w:val="en-US" w:eastAsia="zh-CN" w:bidi="ar-SA"/>
    </w:rPr>
  </w:style>
  <w:style w:type="paragraph" w:customStyle="1" w:styleId="209">
    <w:name w:val="日期1"/>
    <w:basedOn w:val="1"/>
    <w:next w:val="1"/>
    <w:link w:val="210"/>
    <w:unhideWhenUsed/>
    <w:qFormat/>
    <w:uiPriority w:val="99"/>
    <w:pPr>
      <w:ind w:left="100"/>
    </w:pPr>
    <w:rPr>
      <w:b/>
      <w:bCs/>
      <w:spacing w:val="20"/>
    </w:rPr>
  </w:style>
  <w:style w:type="character" w:customStyle="1" w:styleId="210">
    <w:name w:val="日期 Char"/>
    <w:link w:val="209"/>
    <w:qFormat/>
    <w:uiPriority w:val="0"/>
    <w:rPr>
      <w:rFonts w:ascii="Calibri" w:hAnsi="Calibri" w:eastAsia="宋体" w:cs="Times New Roman"/>
      <w:b/>
      <w:bCs/>
      <w:spacing w:val="20"/>
    </w:rPr>
  </w:style>
  <w:style w:type="paragraph" w:customStyle="1" w:styleId="211">
    <w:name w:val="批注框文本1"/>
    <w:basedOn w:val="1"/>
    <w:link w:val="212"/>
    <w:unhideWhenUsed/>
    <w:qFormat/>
    <w:uiPriority w:val="99"/>
    <w:rPr>
      <w:sz w:val="18"/>
      <w:szCs w:val="18"/>
    </w:rPr>
  </w:style>
  <w:style w:type="character" w:customStyle="1" w:styleId="212">
    <w:name w:val="批注框文本 Char"/>
    <w:link w:val="211"/>
    <w:qFormat/>
    <w:uiPriority w:val="0"/>
    <w:rPr>
      <w:rFonts w:ascii="Calibri" w:hAnsi="Calibri" w:eastAsia="宋体" w:cs="Times New Roman"/>
      <w:sz w:val="18"/>
      <w:szCs w:val="18"/>
    </w:rPr>
  </w:style>
  <w:style w:type="paragraph" w:customStyle="1" w:styleId="213">
    <w:name w:val="页脚1"/>
    <w:basedOn w:val="1"/>
    <w:link w:val="214"/>
    <w:unhideWhenUsed/>
    <w:qFormat/>
    <w:uiPriority w:val="99"/>
    <w:pPr>
      <w:tabs>
        <w:tab w:val="center" w:pos="4153"/>
        <w:tab w:val="right" w:pos="8306"/>
      </w:tabs>
      <w:jc w:val="left"/>
    </w:pPr>
    <w:rPr>
      <w:sz w:val="18"/>
      <w:szCs w:val="18"/>
    </w:rPr>
  </w:style>
  <w:style w:type="character" w:customStyle="1" w:styleId="214">
    <w:name w:val="页脚 Char"/>
    <w:link w:val="213"/>
    <w:qFormat/>
    <w:uiPriority w:val="0"/>
    <w:rPr>
      <w:rFonts w:ascii="Calibri" w:hAnsi="Calibri" w:eastAsia="宋体" w:cs="Times New Roman"/>
      <w:sz w:val="18"/>
      <w:szCs w:val="18"/>
    </w:rPr>
  </w:style>
  <w:style w:type="paragraph" w:customStyle="1" w:styleId="215">
    <w:name w:val="页眉1"/>
    <w:basedOn w:val="1"/>
    <w:link w:val="216"/>
    <w:unhideWhenUsed/>
    <w:qFormat/>
    <w:uiPriority w:val="99"/>
    <w:pPr>
      <w:pBdr>
        <w:bottom w:val="none" w:color="000000" w:sz="0" w:space="1"/>
      </w:pBdr>
      <w:tabs>
        <w:tab w:val="center" w:pos="4153"/>
        <w:tab w:val="right" w:pos="8306"/>
      </w:tabs>
      <w:jc w:val="center"/>
    </w:pPr>
    <w:rPr>
      <w:sz w:val="18"/>
      <w:szCs w:val="18"/>
    </w:rPr>
  </w:style>
  <w:style w:type="character" w:customStyle="1" w:styleId="216">
    <w:name w:val="页眉 Char"/>
    <w:link w:val="215"/>
    <w:qFormat/>
    <w:uiPriority w:val="0"/>
    <w:rPr>
      <w:rFonts w:ascii="Calibri" w:hAnsi="Calibri" w:eastAsia="宋体" w:cs="Times New Roman"/>
      <w:sz w:val="18"/>
      <w:szCs w:val="18"/>
    </w:rPr>
  </w:style>
  <w:style w:type="paragraph" w:customStyle="1" w:styleId="217">
    <w:name w:val="目录 11"/>
    <w:basedOn w:val="1"/>
    <w:next w:val="1"/>
    <w:unhideWhenUsed/>
    <w:qFormat/>
    <w:uiPriority w:val="39"/>
    <w:pPr>
      <w:jc w:val="left"/>
    </w:pPr>
    <w:rPr>
      <w:rFonts w:ascii="Times New Roman" w:hAnsi="Times New Roman" w:eastAsia="KaiTi_GB2312" w:cs="Times New Roman"/>
      <w:sz w:val="24"/>
      <w:szCs w:val="20"/>
    </w:rPr>
  </w:style>
  <w:style w:type="paragraph" w:customStyle="1" w:styleId="218">
    <w:name w:val="正文文本缩进 31"/>
    <w:basedOn w:val="1"/>
    <w:link w:val="219"/>
    <w:unhideWhenUsed/>
    <w:qFormat/>
    <w:uiPriority w:val="99"/>
    <w:pPr>
      <w:spacing w:line="440" w:lineRule="atLeast"/>
      <w:ind w:firstLine="480"/>
      <w:jc w:val="left"/>
    </w:pPr>
    <w:rPr>
      <w:rFonts w:ascii="Times New Roman" w:hAnsi="Times New Roman" w:eastAsia="宋体" w:cs="Times New Roman"/>
      <w:sz w:val="24"/>
    </w:rPr>
  </w:style>
  <w:style w:type="character" w:customStyle="1" w:styleId="219">
    <w:name w:val="正文文本缩进 3 Char1"/>
    <w:link w:val="218"/>
    <w:qFormat/>
    <w:uiPriority w:val="0"/>
    <w:rPr>
      <w:rFonts w:ascii="Times New Roman" w:hAnsi="Times New Roman" w:eastAsia="宋体" w:cs="Times New Roman"/>
      <w:sz w:val="24"/>
    </w:rPr>
  </w:style>
  <w:style w:type="paragraph" w:customStyle="1" w:styleId="220">
    <w:name w:val="普通(网站)1"/>
    <w:basedOn w:val="1"/>
    <w:qFormat/>
    <w:uiPriority w:val="99"/>
    <w:pPr>
      <w:spacing w:beforeAutospacing="1" w:afterAutospacing="1"/>
      <w:jc w:val="left"/>
    </w:pPr>
    <w:rPr>
      <w:rFonts w:cs="Times New Roman"/>
      <w:sz w:val="24"/>
    </w:rPr>
  </w:style>
  <w:style w:type="paragraph" w:customStyle="1" w:styleId="221">
    <w:name w:val="正文首行缩进 21"/>
    <w:basedOn w:val="201"/>
    <w:unhideWhenUsed/>
    <w:qFormat/>
    <w:uiPriority w:val="99"/>
    <w:pPr>
      <w:ind w:firstLine="420"/>
    </w:pPr>
  </w:style>
  <w:style w:type="table" w:customStyle="1" w:styleId="222">
    <w:name w:val="网格型1"/>
    <w:basedOn w:val="193"/>
    <w:qFormat/>
    <w:uiPriority w:val="0"/>
    <w:pPr>
      <w:widowControl w:val="0"/>
      <w:jc w:val="both"/>
    </w:pPr>
  </w:style>
  <w:style w:type="character" w:customStyle="1" w:styleId="223">
    <w:name w:val="要点1"/>
    <w:link w:val="1"/>
    <w:qFormat/>
    <w:uiPriority w:val="0"/>
    <w:rPr>
      <w:rFonts w:ascii="Calibri" w:hAnsi="Calibri" w:eastAsia="宋体" w:cs="Times New Roman"/>
      <w:b/>
    </w:rPr>
  </w:style>
  <w:style w:type="character" w:customStyle="1" w:styleId="224">
    <w:name w:val="页码1"/>
    <w:basedOn w:val="192"/>
    <w:link w:val="1"/>
    <w:unhideWhenUsed/>
    <w:qFormat/>
    <w:uiPriority w:val="99"/>
  </w:style>
  <w:style w:type="character" w:customStyle="1" w:styleId="225">
    <w:name w:val="已访问的超链接1"/>
    <w:basedOn w:val="192"/>
    <w:link w:val="1"/>
    <w:unhideWhenUsed/>
    <w:qFormat/>
    <w:uiPriority w:val="99"/>
    <w:rPr>
      <w:color w:val="333333"/>
      <w:u w:val="none"/>
    </w:rPr>
  </w:style>
  <w:style w:type="character" w:customStyle="1" w:styleId="226">
    <w:name w:val="强调1"/>
    <w:basedOn w:val="192"/>
    <w:link w:val="1"/>
    <w:qFormat/>
    <w:uiPriority w:val="20"/>
  </w:style>
  <w:style w:type="character" w:customStyle="1" w:styleId="227">
    <w:name w:val="超链接1"/>
    <w:basedOn w:val="192"/>
    <w:link w:val="1"/>
    <w:unhideWhenUsed/>
    <w:qFormat/>
    <w:uiPriority w:val="99"/>
    <w:rPr>
      <w:color w:val="333333"/>
      <w:u w:val="none"/>
    </w:rPr>
  </w:style>
  <w:style w:type="character" w:customStyle="1" w:styleId="228">
    <w:name w:val="批注引用1"/>
    <w:link w:val="1"/>
    <w:unhideWhenUsed/>
    <w:qFormat/>
    <w:uiPriority w:val="99"/>
    <w:rPr>
      <w:rFonts w:ascii="Calibri" w:hAnsi="Calibri" w:eastAsia="宋体" w:cs="Times New Roman"/>
      <w:sz w:val="21"/>
      <w:szCs w:val="21"/>
    </w:rPr>
  </w:style>
  <w:style w:type="character" w:customStyle="1" w:styleId="229">
    <w:name w:val="正文文本缩进 3 Char"/>
    <w:link w:val="1"/>
    <w:semiHidden/>
    <w:qFormat/>
    <w:uiPriority w:val="99"/>
    <w:rPr>
      <w:rFonts w:ascii="Calibri" w:hAnsi="Calibri" w:eastAsia="宋体" w:cs="Times New Roman"/>
      <w:sz w:val="16"/>
      <w:szCs w:val="16"/>
    </w:rPr>
  </w:style>
  <w:style w:type="paragraph" w:customStyle="1" w:styleId="230">
    <w:name w:val="Default"/>
    <w:next w:val="207"/>
    <w:qFormat/>
    <w:uiPriority w:val="0"/>
    <w:pPr>
      <w:widowControl w:val="0"/>
      <w:ind w:firstLine="5120"/>
    </w:pPr>
    <w:rPr>
      <w:rFonts w:hint="default" w:ascii="Calibri" w:hAnsi="Calibri" w:eastAsia="宋体" w:cs="宋体"/>
      <w:lang w:val="en-US" w:eastAsia="zh-CN" w:bidi="ar-SA"/>
    </w:rPr>
  </w:style>
  <w:style w:type="character" w:customStyle="1" w:styleId="231">
    <w:name w:val="正文文本 Char"/>
    <w:link w:val="1"/>
    <w:qFormat/>
    <w:uiPriority w:val="99"/>
    <w:rPr>
      <w:rFonts w:ascii="Calibri" w:hAnsi="Calibri" w:eastAsia="宋体" w:cs="Times New Roman"/>
      <w:szCs w:val="24"/>
    </w:rPr>
  </w:style>
  <w:style w:type="character" w:customStyle="1" w:styleId="232">
    <w:name w:val="纯文本 Char"/>
    <w:link w:val="1"/>
    <w:qFormat/>
    <w:uiPriority w:val="0"/>
    <w:rPr>
      <w:rFonts w:ascii="宋体" w:hAnsi="Courier New" w:eastAsia="宋体" w:cs="Courier New"/>
      <w:szCs w:val="21"/>
    </w:rPr>
  </w:style>
  <w:style w:type="paragraph" w:customStyle="1" w:styleId="233">
    <w:name w:val="首行缩进"/>
    <w:basedOn w:val="1"/>
    <w:qFormat/>
    <w:uiPriority w:val="99"/>
    <w:pPr>
      <w:ind w:firstLine="480"/>
    </w:pPr>
    <w:rPr>
      <w:rFonts w:ascii="Times New Roman" w:hAnsi="Times New Roman" w:eastAsia="宋体" w:cs="Times New Roman"/>
      <w:szCs w:val="20"/>
      <w:lang w:val="zh-CN"/>
    </w:rPr>
  </w:style>
  <w:style w:type="paragraph" w:customStyle="1" w:styleId="234">
    <w:name w:val="纯文本1"/>
    <w:basedOn w:val="1"/>
    <w:qFormat/>
    <w:uiPriority w:val="0"/>
    <w:rPr>
      <w:rFonts w:ascii="宋体" w:hAnsi="Courier New" w:eastAsia="KaiTi_GB2312" w:cs="Times New Roman"/>
      <w:sz w:val="28"/>
      <w:szCs w:val="20"/>
    </w:rPr>
  </w:style>
  <w:style w:type="paragraph" w:customStyle="1" w:styleId="235">
    <w:name w:val="纯文本2"/>
    <w:basedOn w:val="1"/>
    <w:qFormat/>
    <w:uiPriority w:val="0"/>
    <w:rPr>
      <w:rFonts w:ascii="宋体" w:hAnsi="Courier New" w:eastAsia="宋体" w:cs="Times New Roman"/>
    </w:rPr>
  </w:style>
  <w:style w:type="character" w:customStyle="1" w:styleId="236">
    <w:name w:val="Plain Text Char"/>
    <w:link w:val="237"/>
    <w:qFormat/>
    <w:uiPriority w:val="0"/>
    <w:rPr>
      <w:rFonts w:ascii="宋体" w:hAnsi="Courier New" w:eastAsia="KaiTi_GB2312" w:cs="Times New Roman"/>
      <w:sz w:val="26"/>
      <w:szCs w:val="22"/>
    </w:rPr>
  </w:style>
  <w:style w:type="paragraph" w:customStyle="1" w:styleId="237">
    <w:name w:val="纯文本3"/>
    <w:basedOn w:val="1"/>
    <w:link w:val="236"/>
    <w:qFormat/>
    <w:uiPriority w:val="0"/>
    <w:rPr>
      <w:rFonts w:ascii="宋体" w:hAnsi="Courier New" w:eastAsia="KaiTi_GB2312"/>
      <w:sz w:val="26"/>
      <w:szCs w:val="22"/>
    </w:rPr>
  </w:style>
  <w:style w:type="character" w:customStyle="1" w:styleId="238">
    <w:name w:val="日期 Char1"/>
    <w:link w:val="1"/>
    <w:qFormat/>
    <w:uiPriority w:val="0"/>
    <w:rPr>
      <w:rFonts w:ascii="Calibri" w:hAnsi="Calibri" w:eastAsia="宋体" w:cs="Times New Roman"/>
      <w:szCs w:val="24"/>
    </w:rPr>
  </w:style>
  <w:style w:type="paragraph" w:customStyle="1" w:styleId="239">
    <w:name w:val="纯文本4"/>
    <w:basedOn w:val="1"/>
    <w:qFormat/>
    <w:uiPriority w:val="0"/>
    <w:rPr>
      <w:rFonts w:ascii="宋体" w:hAnsi="Courier New" w:eastAsia="KaiTi_GB2312" w:cs="Times New Roman"/>
      <w:sz w:val="26"/>
      <w:szCs w:val="20"/>
    </w:rPr>
  </w:style>
  <w:style w:type="paragraph" w:customStyle="1" w:styleId="240">
    <w:name w:val="列出段落"/>
    <w:basedOn w:val="1"/>
    <w:unhideWhenUsed/>
    <w:qFormat/>
    <w:uiPriority w:val="99"/>
    <w:pPr>
      <w:ind w:firstLine="420"/>
    </w:pPr>
  </w:style>
  <w:style w:type="paragraph" w:customStyle="1" w:styleId="241">
    <w:name w:val="纯文本5"/>
    <w:basedOn w:val="1"/>
    <w:qFormat/>
    <w:uiPriority w:val="0"/>
    <w:rPr>
      <w:rFonts w:ascii="宋体" w:hAnsi="Courier New" w:eastAsia="KaiTi_GB2312" w:cs="Times New Roman"/>
      <w:sz w:val="26"/>
      <w:szCs w:val="20"/>
    </w:rPr>
  </w:style>
  <w:style w:type="paragraph" w:customStyle="1" w:styleId="242">
    <w:name w:val="Plain Text1"/>
    <w:basedOn w:val="1"/>
    <w:qFormat/>
    <w:uiPriority w:val="99"/>
    <w:rPr>
      <w:rFonts w:ascii="宋体" w:hAnsi="宋体"/>
    </w:rPr>
  </w:style>
  <w:style w:type="paragraph" w:customStyle="1" w:styleId="243">
    <w:name w:val="表格字体"/>
    <w:basedOn w:val="1"/>
    <w:qFormat/>
    <w:uiPriority w:val="0"/>
    <w:pPr>
      <w:widowControl/>
      <w:spacing w:line="400" w:lineRule="exact"/>
    </w:pPr>
    <w:rPr>
      <w:rFonts w:hint="eastAsia" w:cs="宋体"/>
      <w:bCs/>
      <w:color w:val="000000"/>
      <w:sz w:val="24"/>
      <w:szCs w:val="18"/>
    </w:rPr>
  </w:style>
  <w:style w:type="paragraph" w:customStyle="1" w:styleId="244">
    <w:name w:val="二级小标题"/>
    <w:basedOn w:val="1"/>
    <w:qFormat/>
    <w:uiPriority w:val="0"/>
    <w:rPr>
      <w:rFonts w:hint="eastAsia"/>
      <w:b/>
      <w:bCs/>
    </w:rPr>
  </w:style>
  <w:style w:type="paragraph" w:customStyle="1" w:styleId="245">
    <w:name w:val="Table Text"/>
    <w:basedOn w:val="1"/>
    <w:semiHidden/>
    <w:qFormat/>
    <w:uiPriority w:val="0"/>
    <w:rPr>
      <w:rFonts w:ascii="宋体" w:hAnsi="宋体" w:eastAsia="宋体" w:cs="宋体"/>
      <w:sz w:val="16"/>
      <w:szCs w:val="16"/>
      <w:lang w:val="en-US" w:eastAsia="en-US" w:bidi="ar-SA"/>
    </w:rPr>
  </w:style>
  <w:style w:type="paragraph" w:customStyle="1" w:styleId="246">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47">
    <w:name w:val="Plain Text2"/>
    <w:basedOn w:val="1"/>
    <w:qFormat/>
    <w:uiPriority w:val="0"/>
    <w:rPr>
      <w:rFonts w:ascii="宋体" w:hAnsi="Courier New" w:eastAsia="楷体_GB2312"/>
      <w:sz w:val="28"/>
      <w:szCs w:val="20"/>
    </w:rPr>
  </w:style>
  <w:style w:type="paragraph" w:customStyle="1" w:styleId="248">
    <w:name w:val="纯文本12"/>
    <w:basedOn w:val="1"/>
    <w:qFormat/>
    <w:uiPriority w:val="0"/>
    <w:pPr>
      <w:adjustRightInd w:val="0"/>
    </w:pPr>
    <w:rPr>
      <w:rFonts w:hint="eastAsia" w:ascii="宋体" w:hAnsi="Courier New" w:eastAsia="楷体_GB2312"/>
      <w:bCs/>
      <w:sz w:val="28"/>
      <w:szCs w:val="20"/>
    </w:rPr>
  </w:style>
  <w:style w:type="table" w:customStyle="1" w:styleId="24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12754</Words>
  <Characters>14235</Characters>
  <TotalTime>0</TotalTime>
  <ScaleCrop>false</ScaleCrop>
  <LinksUpToDate>false</LinksUpToDate>
  <CharactersWithSpaces>14598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2024-01-17T10:06:00Z</dcterms:created>
  <dc:creator>san</dc:creator>
  <cp:lastModifiedBy>admin</cp:lastModifiedBy>
  <dcterms:modified xsi:type="dcterms:W3CDTF">2025-03-10T03:55:37Z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2052-12.1.0.20305</vt:lpwstr>
  </property>
  <property fmtid="{D5CDD505-2E9C-101B-9397-08002B2CF9AE}" pid="4" name="ICV">
    <vt:lpwstr>50079162C26349A8ADD9E016EB03065B_13</vt:lpwstr>
  </property>
</Properties>
</file>