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w:t>
      </w:r>
      <w:r>
        <w:rPr>
          <w:rFonts w:ascii="Arial" w:hAnsi="Arial" w:eastAsia="Arial" w:cs="Arial"/>
          <w:b/>
          <w:color w:val="000000"/>
          <w:sz w:val="84"/>
        </w:rPr>
        <w:t xml:space="preserve"> </w:t>
      </w:r>
      <w:r>
        <w:rPr>
          <w:rFonts w:ascii="SimSun" w:hAnsi="SimSun" w:eastAsia="SimSun" w:cs="SimSun"/>
          <w:b/>
          <w:color w:val="000000"/>
          <w:sz w:val="84"/>
        </w:rPr>
        <w:t xml:space="preserve">标</w:t>
      </w:r>
      <w:r>
        <w:rPr>
          <w:rFonts w:ascii="Arial" w:hAnsi="Arial" w:eastAsia="Arial" w:cs="Arial"/>
          <w:b/>
          <w:color w:val="000000"/>
          <w:sz w:val="84"/>
        </w:rPr>
        <w:t xml:space="preserve"> </w:t>
      </w:r>
      <w:r>
        <w:rPr>
          <w:rFonts w:ascii="SimSun" w:hAnsi="SimSun" w:eastAsia="SimSun" w:cs="SimSun"/>
          <w:b/>
          <w:color w:val="000000"/>
          <w:sz w:val="84"/>
        </w:rPr>
        <w:t xml:space="preserve">文</w:t>
      </w:r>
      <w:r>
        <w:rPr>
          <w:rFonts w:ascii="Arial" w:hAnsi="Arial" w:eastAsia="Arial" w:cs="Arial"/>
          <w:b/>
          <w:color w:val="000000"/>
          <w:sz w:val="84"/>
        </w:rPr>
        <w:t xml:space="preserve"> </w:t>
      </w:r>
      <w:r>
        <w:rPr>
          <w:rFonts w:ascii="SimSun" w:hAnsi="SimSun" w:eastAsia="SimSun" w:cs="SimSun"/>
          <w:b/>
          <w:color w:val="000000"/>
          <w:sz w:val="84"/>
        </w:rPr>
        <w:t xml:space="preserve">件</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项目名称：响水县公安局档案数字化加工项目（二次）</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项目编号：</w:t>
      </w:r>
      <w:r>
        <w:rPr>
          <w:rFonts w:ascii="Times New Roman" w:hAnsi="Times New Roman" w:eastAsia="Times New Roman" w:cs="Times New Roman"/>
          <w:b/>
          <w:color w:val="000000"/>
          <w:sz w:val="32"/>
        </w:rPr>
        <w:t xml:space="preserve">JSZC-320921-SHZC-G2024-0005</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响水县公安局</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u w:val="single"/>
        </w:rPr>
        <w:t xml:space="preserve">2024</w:t>
      </w:r>
      <w:r>
        <w:rPr>
          <w:rFonts w:ascii="SimSun" w:hAnsi="SimSun" w:eastAsia="SimSun" w:cs="SimSun"/>
          <w:b/>
          <w:color w:val="000000"/>
          <w:sz w:val="32"/>
        </w:rPr>
        <w:t xml:space="preserve">年</w:t>
      </w:r>
      <w:r>
        <w:rPr>
          <w:rFonts w:ascii="Arial" w:hAnsi="Arial" w:eastAsia="Arial" w:cs="Arial"/>
          <w:b/>
          <w:color w:val="000000"/>
          <w:sz w:val="32"/>
          <w:u w:val="single"/>
        </w:rPr>
        <w:t xml:space="preserve">11</w:t>
      </w:r>
      <w:r>
        <w:rPr>
          <w:rFonts w:ascii="SimSun" w:hAnsi="SimSun" w:eastAsia="SimSun" w:cs="SimSun"/>
          <w:b/>
          <w:color w:val="000000"/>
          <w:sz w:val="32"/>
        </w:rPr>
        <w:t xml:space="preserve">月</w:t>
      </w:r>
      <w:r>
        <w:rPr>
          <w:rFonts w:ascii="Arial" w:hAnsi="Arial" w:eastAsia="Arial" w:cs="Arial"/>
          <w:b/>
          <w:color w:val="000000"/>
          <w:sz w:val="32"/>
          <w:u w:val="single"/>
        </w:rPr>
        <w:t xml:space="preserve">15</w:t>
      </w:r>
      <w:r>
        <w:rPr>
          <w:rFonts w:ascii="SimSun" w:hAnsi="SimSun" w:eastAsia="SimSun" w:cs="SimSun"/>
          <w:b/>
          <w:color w:val="000000"/>
          <w:sz w:val="32"/>
        </w:rPr>
        <w:t xml:space="preserve">日</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rPr>
        <w:t xml:space="preserve">总  目</w:t>
      </w:r>
      <w:r>
        <w:rPr>
          <w:rFonts w:ascii="SimSun" w:hAnsi="SimSun" w:eastAsia="SimSun" w:cs="SimSun"/>
          <w:b/>
          <w:color w:val="000000"/>
          <w:sz w:val="44"/>
        </w:rPr>
        <w:t xml:space="preserve">  </w:t>
      </w:r>
      <w:r>
        <w:rPr>
          <w:rFonts w:ascii="SimHei" w:hAnsi="SimHei" w:eastAsia="SimHei" w:cs="SimHei"/>
          <w:b/>
          <w:color w:val="000000"/>
          <w:sz w:val="44"/>
        </w:rPr>
        <w:t xml:space="preserve">录</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招标公告…………………………………… </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w:t>
      </w:r>
      <w:r>
        <w:rPr>
          <w:rFonts w:ascii="SimSun" w:hAnsi="SimSun" w:eastAsia="SimSun" w:cs="SimSun"/>
          <w:color w:val="000000"/>
          <w:sz w:val="36"/>
        </w:rPr>
        <w:t xml:space="preserve">  </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w:t>
      </w:r>
      <w:r>
        <w:rPr>
          <w:rFonts w:ascii="SimSun" w:hAnsi="SimSun" w:eastAsia="SimSun" w:cs="SimSun"/>
          <w:color w:val="000000"/>
          <w:sz w:val="44"/>
        </w:rPr>
        <w:t xml:space="preserve"> </w:t>
      </w:r>
      <w:r>
        <w:rPr>
          <w:rFonts w:ascii="SimHei" w:hAnsi="SimHei" w:eastAsia="SimHei" w:cs="SimHei"/>
          <w:color w:val="000000"/>
          <w:sz w:val="44"/>
        </w:rPr>
        <w:t xml:space="preserve">招标公告</w:t>
      </w:r>
      <w:r/>
    </w:p>
    <w:p>
      <w:pPr>
        <w:ind w:left="0" w:right="0" w:firstLine="480"/>
        <w:jc w:val="both"/>
        <w:spacing w:before="240" w:after="240"/>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480"/>
        <w:jc w:val="both"/>
        <w:spacing w:before="240" w:after="240"/>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u w:val="single"/>
        </w:rPr>
        <w:t xml:space="preserve">响水县公安局档案数字化加工项目（二次）</w:t>
      </w:r>
      <w:r>
        <w:rPr>
          <w:rFonts w:ascii="FangSong" w:hAnsi="FangSong" w:eastAsia="FangSong" w:cs="FangSong"/>
          <w:color w:val="000000"/>
          <w:sz w:val="28"/>
        </w:rPr>
        <w:t xml:space="preserve">的潜在投标人可在“苏采云”系统内免费下载（投标人必须在苏采云系统中获取采购文件，方能参与政府采购项目） ，并于</w:t>
      </w:r>
      <w:r>
        <w:rPr>
          <w:rFonts w:ascii="FangSong" w:hAnsi="FangSong" w:eastAsia="FangSong" w:cs="FangSong"/>
          <w:color w:val="000000"/>
          <w:sz w:val="28"/>
          <w:u w:val="single"/>
        </w:rPr>
        <w:t xml:space="preserve">2024年12月9日15点00分（</w:t>
      </w:r>
      <w:r>
        <w:rPr>
          <w:rFonts w:ascii="FangSong" w:hAnsi="FangSong" w:eastAsia="FangSong" w:cs="FangSong"/>
          <w:color w:val="000000"/>
          <w:sz w:val="28"/>
        </w:rPr>
        <w:t xml:space="preserve">北京时间）前递交投标文件。</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一、项目基本情况</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1.项目编号：JSZC-320921-SHZC-G2024-0005</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2.项目名称：响水县公安局档案数字化加工项目（二次）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3.采购方式：公开招标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4.预算金额：180万元</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5.最高限价（如有）：180万元</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6.采购需求（简介）：响水县公安局档案数字化加工项目（二次），详情见采购文件第四章“采购需求”。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7.合同履行期限：自合同签订之日起，180日历天内完成所有工作。</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8.本项目不接受联合体</w:t>
      </w:r>
      <w:r>
        <w:rPr>
          <w:rFonts w:ascii="FangSong" w:hAnsi="FangSong" w:eastAsia="FangSong" w:cs="FangSong"/>
          <w:color w:val="000000"/>
          <w:sz w:val="28"/>
        </w:rPr>
        <w:t xml:space="preserve">参与招标。</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二、申请人的资格要求：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1.满足《中华人民共和国政府采购法》第二十二条规定，并提供下列材料：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 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1.2上一年度的财务状况报表（成立不满一年无需提供）；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1.3具备履行合同所必需的设备和专业技术能力的书面声明；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1.5参加政府采购活动前3年内在经营活动中没有重大违法记录的书面声明；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1.6法律、行政法规规定的其他条件；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1.8单位负责人为同一人或者存在直接控股、管理关系的不同供应商，不得参加同一合同项下的政府采购活动。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落实政府采购政策需满足的资格要求：本项目为非预留份额的采购项目或采购包，执行价格扣除优惠政策，给予小微型企业、监狱企业或残疾人福利性单位报价的20%扣除，用扣除后的价格参加评审。价格扣除比例对小型企业和微型企业同等对待，不作区分。监狱企业、残疾人福利单位属于小型、微型企业的，不重复享受政策。</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3.本项目的特定资格要求：无。</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1.时间：</w:t>
      </w:r>
      <w:r>
        <w:rPr>
          <w:rFonts w:ascii="FangSong" w:hAnsi="FangSong" w:eastAsia="FangSong" w:cs="FangSong"/>
          <w:color w:val="000000"/>
          <w:sz w:val="28"/>
          <w:highlight w:val="white"/>
          <w:u w:val="single"/>
        </w:rPr>
        <w:t xml:space="preserve">2024年11月19日</w:t>
      </w:r>
      <w:r>
        <w:rPr>
          <w:rFonts w:ascii="FangSong" w:hAnsi="FangSong" w:eastAsia="FangSong" w:cs="FangSong"/>
          <w:color w:val="000000"/>
          <w:sz w:val="28"/>
          <w:highlight w:val="white"/>
        </w:rPr>
        <w:t xml:space="preserve">至</w:t>
      </w:r>
      <w:r>
        <w:rPr>
          <w:rFonts w:ascii="FangSong" w:hAnsi="FangSong" w:eastAsia="FangSong" w:cs="FangSong"/>
          <w:color w:val="000000"/>
          <w:sz w:val="28"/>
          <w:highlight w:val="white"/>
          <w:u w:val="single"/>
        </w:rPr>
        <w:t xml:space="preserve">2024年10月25日（</w:t>
      </w:r>
      <w:r>
        <w:rPr>
          <w:rFonts w:ascii="FangSong" w:hAnsi="FangSong" w:eastAsia="FangSong" w:cs="FangSong"/>
          <w:i/>
          <w:color w:val="000000"/>
          <w:sz w:val="28"/>
          <w:highlight w:val="white"/>
          <w:u w:val="single"/>
        </w:rPr>
        <w:t xml:space="preserve">提供期限自本公告发布之日起不得少于5个工作日</w:t>
      </w:r>
      <w:r>
        <w:rPr>
          <w:rFonts w:ascii="FangSong" w:hAnsi="FangSong" w:eastAsia="FangSong" w:cs="FangSong"/>
          <w:color w:val="000000"/>
          <w:sz w:val="28"/>
          <w:highlight w:val="white"/>
          <w:u w:val="single"/>
        </w:rPr>
        <w:t xml:space="preserve">）</w:t>
      </w:r>
      <w:r>
        <w:rPr>
          <w:rFonts w:ascii="FangSong" w:hAnsi="FangSong" w:eastAsia="FangSong" w:cs="FangSong"/>
          <w:color w:val="000000"/>
          <w:sz w:val="28"/>
          <w:highlight w:val="white"/>
        </w:rPr>
        <w:t xml:space="preserve">，每天上午</w:t>
      </w:r>
      <w:r>
        <w:rPr>
          <w:rFonts w:ascii="FangSong" w:hAnsi="FangSong" w:eastAsia="FangSong" w:cs="FangSong"/>
          <w:color w:val="000000"/>
          <w:sz w:val="28"/>
          <w:highlight w:val="white"/>
          <w:u w:val="single"/>
        </w:rPr>
        <w:t xml:space="preserve">0:00</w:t>
      </w:r>
      <w:r>
        <w:rPr>
          <w:rFonts w:ascii="FangSong" w:hAnsi="FangSong" w:eastAsia="FangSong" w:cs="FangSong"/>
          <w:color w:val="000000"/>
          <w:sz w:val="28"/>
          <w:highlight w:val="white"/>
        </w:rPr>
        <w:t xml:space="preserve">至</w:t>
      </w:r>
      <w:r>
        <w:rPr>
          <w:rFonts w:ascii="FangSong" w:hAnsi="FangSong" w:eastAsia="FangSong" w:cs="FangSong"/>
          <w:color w:val="000000"/>
          <w:sz w:val="28"/>
          <w:highlight w:val="white"/>
          <w:u w:val="single"/>
        </w:rPr>
        <w:t xml:space="preserve">12:00</w:t>
      </w:r>
      <w:r>
        <w:rPr>
          <w:rFonts w:ascii="FangSong" w:hAnsi="FangSong" w:eastAsia="FangSong" w:cs="FangSong"/>
          <w:color w:val="000000"/>
          <w:sz w:val="28"/>
          <w:highlight w:val="white"/>
        </w:rPr>
        <w:t xml:space="preserve">，下午</w:t>
      </w:r>
      <w:r>
        <w:rPr>
          <w:rFonts w:ascii="FangSong" w:hAnsi="FangSong" w:eastAsia="FangSong" w:cs="FangSong"/>
          <w:color w:val="000000"/>
          <w:sz w:val="28"/>
          <w:highlight w:val="white"/>
          <w:u w:val="single"/>
        </w:rPr>
        <w:t xml:space="preserve">12:00</w:t>
      </w:r>
      <w:r>
        <w:rPr>
          <w:rFonts w:ascii="FangSong" w:hAnsi="FangSong" w:eastAsia="FangSong" w:cs="FangSong"/>
          <w:color w:val="000000"/>
          <w:sz w:val="28"/>
          <w:highlight w:val="white"/>
        </w:rPr>
        <w:t xml:space="preserve">至</w:t>
      </w:r>
      <w:r>
        <w:rPr>
          <w:rFonts w:ascii="FangSong" w:hAnsi="FangSong" w:eastAsia="FangSong" w:cs="FangSong"/>
          <w:color w:val="000000"/>
          <w:sz w:val="28"/>
          <w:highlight w:val="white"/>
          <w:u w:val="single"/>
        </w:rPr>
        <w:t xml:space="preserve">23:59</w:t>
      </w:r>
      <w:r>
        <w:rPr>
          <w:rFonts w:ascii="FangSong" w:hAnsi="FangSong" w:eastAsia="FangSong" w:cs="FangSong"/>
          <w:color w:val="000000"/>
          <w:sz w:val="28"/>
          <w:highlight w:val="white"/>
        </w:rPr>
        <w:t xml:space="preserve">（北京时间，法定节假日除外 ）</w:t>
      </w:r>
      <w:r>
        <w:rPr>
          <w:rFonts w:ascii="FangSong" w:hAnsi="FangSong" w:eastAsia="FangSong" w:cs="FangSong"/>
          <w:color w:val="000000"/>
          <w:sz w:val="28"/>
        </w:rPr>
        <w:t xml:space="preserve">。</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2.地点：“苏采云”系统内免费下载（投标人必须在苏采云系统中获取采购文件，方能参与政府采购项目）；</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3.方式：本项目采用网上注册登记方式。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3.1潜在供应商访问电子招标响应交易平台的网络地址和方法：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3.2潜在投标人访问“苏采云”系统方法：江苏省政府采购网首页-“苏采云”链接。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3.3采购文件（后缀名为“.kedt”）、供应商操作手册及政府采购客户端工具可通过“苏采云”系统相应链接进行下载。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3.4采购代理机构将数据电文形式的采购文件加载至“苏采云”系统，供潜在供应商下载或者查阅。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3.5请潜在投标单位提前安装相应的控件（详见《“苏采云”系统供应商操作手册》）并使用谷歌浏览器登录“苏采云”系统参与不见面开评标。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如潜在投标人未按上述要求操作，将自行承担所产生的风险。</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4.售价：0元</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5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1.时间：</w:t>
      </w:r>
      <w:r>
        <w:rPr>
          <w:rFonts w:ascii="FangSong" w:hAnsi="FangSong" w:eastAsia="FangSong" w:cs="FangSong"/>
          <w:color w:val="000000"/>
          <w:sz w:val="28"/>
          <w:highlight w:val="white"/>
          <w:u w:val="single"/>
        </w:rPr>
        <w:t xml:space="preserve">2024年12月9日15点00分</w:t>
      </w:r>
      <w:r>
        <w:rPr>
          <w:rFonts w:ascii="FangSong" w:hAnsi="FangSong" w:eastAsia="FangSong" w:cs="FangSong"/>
          <w:color w:val="000000"/>
          <w:sz w:val="28"/>
        </w:rPr>
        <w:t xml:space="preserve">（北京时间）</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2.地点：“苏采云”政府采购交易系统网上开标大厅。</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五、公告期限</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u w:val="none"/>
        </w:rPr>
        <w:t xml:space="preserve">自本公告发布之日起5个工作日。</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 有关本次谈判的事项若存在变动或修改，敬请及时关注“中国政府采购网”、“江苏政府采购网”、“盐城市政府采购网”发布的更正公告。</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3.本次招标不收取投标保证金，不收取质量保证金，不收取履约保证金。</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4.电子投标文件一份（通过系统提交）；纸质投标文件正本一份，副本四份（评审结束后由中标候选人邮寄至（代理公司），未中标单位不需要提供）。</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5.本项目支持节能环保产品（财库[2019]9号）、（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w:t>
      </w:r>
      <w:r>
        <w:rPr>
          <w:rFonts w:ascii="FangSong" w:hAnsi="FangSong" w:eastAsia="FangSong" w:cs="FangSong"/>
          <w:color w:val="000000"/>
          <w:sz w:val="28"/>
          <w:highlight w:val="white"/>
        </w:rPr>
        <w:t xml:space="preserve">（保险）的通知》（苏财购2023）150号）等政策。</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6.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7、各投标人在投标截止时间前应当每天都上网查询，以便获取更新的澄清、修改、补充内容。凡涉及该项目的补充说明和修改，均以江苏政府采购网上的更正或补充通知为准。</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8、因供应商的系统环境、操作等原因导致报名、开评标过程中出现问题由供应商自行承担负责。</w:t>
      </w:r>
      <w:r/>
    </w:p>
    <w:p>
      <w:pPr>
        <w:pStyle w:val="810"/>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highlight w:val="white"/>
        </w:rPr>
        <w:t xml:space="preserve">七、对本次招标提出询问，请按以下方式联系。</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rPr>
          <w:rFonts w:ascii="FangSong" w:hAnsi="FangSong" w:eastAsia="FangSong" w:cs="FangSong"/>
          <w:color w:val="000000"/>
          <w:sz w:val="28"/>
          <w:highlight w:val="white"/>
        </w:rPr>
        <w:t xml:space="preserve">1.采购人信息</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名称：响水县公安局</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地址：江苏省响水县南海路1号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联 系 人：陈科长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联系方式：0515-89665043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2.采购代理机构信息</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名称：苏河众城项目管理（江苏）有限公司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地址：淮安经济技术开发区小康城171C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联 系 人：殷工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联系方式：</w:t>
      </w:r>
      <w:r>
        <w:rPr>
          <w:rFonts w:ascii="FangSong" w:hAnsi="FangSong" w:eastAsia="FangSong" w:cs="FangSong"/>
          <w:color w:val="000000"/>
          <w:sz w:val="28"/>
          <w:highlight w:val="white"/>
          <w:u w:val="none"/>
        </w:rPr>
        <w:t xml:space="preserve">13179336858       </w:t>
      </w:r>
      <w:r>
        <w:rPr>
          <w:rFonts w:ascii="FangSong" w:hAnsi="FangSong" w:eastAsia="FangSong" w:cs="FangSong"/>
          <w:color w:val="000000"/>
          <w:sz w:val="28"/>
          <w:highlight w:val="white"/>
        </w:rPr>
        <w:t xml:space="preserve">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3.项目联系方式</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项目联系人：陈科长</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电　　话：0515-89665043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第二章</w:t>
      </w:r>
      <w:r>
        <w:rPr>
          <w:rFonts w:ascii="SimSun" w:hAnsi="SimSun" w:eastAsia="SimSun" w:cs="SimSun"/>
          <w:b/>
          <w:color w:val="000000"/>
          <w:sz w:val="44"/>
        </w:rPr>
        <w:t xml:space="preserve">  </w:t>
      </w:r>
      <w:r>
        <w:rPr>
          <w:rFonts w:ascii="SimHei" w:hAnsi="SimHei" w:eastAsia="SimHei" w:cs="SimHei"/>
          <w:b/>
          <w:color w:val="000000"/>
          <w:sz w:val="44"/>
          <w:u w:val="none"/>
        </w:rPr>
        <w:t xml:space="preserve">投标人须知</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Sun" w:hAnsi="SimSun" w:eastAsia="SimSun" w:cs="SimSun"/>
          <w:color w:val="000000"/>
          <w:sz w:val="28"/>
        </w:rPr>
        <w:t xml:space="preserve">、招标方式</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Sun" w:hAnsi="SimSun" w:eastAsia="SimSun" w:cs="SimSun"/>
          <w:color w:val="000000"/>
          <w:sz w:val="28"/>
          <w:u w:val="none"/>
        </w:rPr>
        <w:t xml:space="preserve">、合格的投标人</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2.2满足本文件实质性要求和条件的规定。</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Sun" w:hAnsi="SimSun" w:eastAsia="SimSun" w:cs="SimSun"/>
          <w:color w:val="000000"/>
          <w:sz w:val="28"/>
          <w:u w:val="none"/>
        </w:rPr>
        <w:t xml:space="preserve">、适用法律</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Sun" w:hAnsi="SimSun" w:eastAsia="SimSun" w:cs="SimSun"/>
          <w:color w:val="000000"/>
          <w:sz w:val="28"/>
          <w:u w:val="none"/>
        </w:rPr>
        <w:t xml:space="preserve">、投标费用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4.1投标人应自行承担所有与参加投标有关的费用，无论投标过程中的做法和结果如何，苏河众城项目管理（江苏）有限公司（以下简称代理机构）在任何情况下均无义务和责任承担这些费用。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4.2本次招标代理机构和采购人不收取标书工本费与中标服务费。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4.3代理机构将按照苏招协【2022】002号文向中标人收取服务费用，由中标供应商在领取中标通知书前一次性支付。</w:t>
      </w:r>
      <w:r/>
    </w:p>
    <w:p>
      <w:pPr>
        <w:ind w:left="0" w:right="0" w:firstLine="60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color w:val="000000"/>
          <w:sz w:val="28"/>
        </w:rPr>
        <w:t xml:space="preserve">招标文件的约束力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Sun" w:hAnsi="SimSun" w:eastAsia="SimSun" w:cs="SimSun"/>
          <w:color w:val="000000"/>
          <w:sz w:val="28"/>
          <w:u w:val="none"/>
        </w:rPr>
        <w:t xml:space="preserve">、招标文件构成</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6.1招标文件由以下部分组成：</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Sun" w:hAnsi="SimSun" w:eastAsia="SimSun" w:cs="SimSun"/>
          <w:color w:val="000000"/>
          <w:sz w:val="28"/>
          <w:u w:val="none"/>
        </w:rPr>
        <w:t xml:space="preserve">、招标文件的澄清</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w:t>
      </w:r>
      <w:r>
        <w:rPr>
          <w:rFonts w:ascii="FangSong" w:hAnsi="FangSong" w:eastAsia="FangSong" w:cs="FangSong"/>
          <w:b/>
          <w:color w:val="000000"/>
          <w:sz w:val="24"/>
        </w:rPr>
        <w:t xml:space="preserve">十日</w:t>
      </w:r>
      <w:r>
        <w:rPr>
          <w:rFonts w:ascii="FangSong" w:hAnsi="FangSong" w:eastAsia="FangSong" w:cs="FangSong"/>
          <w:color w:val="000000"/>
          <w:sz w:val="24"/>
        </w:rPr>
        <w:t xml:space="preserve">前</w:t>
      </w:r>
      <w:r>
        <w:rPr>
          <w:rFonts w:ascii="SimSun" w:hAnsi="SimSun" w:eastAsia="SimSun" w:cs="SimSun"/>
          <w:color w:val="000000"/>
          <w:sz w:val="24"/>
        </w:rPr>
        <w:t xml:space="preserve">按招标公告中的通讯地址，以书面形式通知代理机构。</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Sun" w:hAnsi="SimSun" w:eastAsia="SimSun" w:cs="SimSun"/>
          <w:color w:val="000000"/>
          <w:sz w:val="28"/>
          <w:u w:val="none"/>
        </w:rPr>
        <w:t xml:space="preserve">、招标文件的修改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8.1在投标截止时间</w:t>
      </w:r>
      <w:r>
        <w:rPr>
          <w:rFonts w:ascii="FangSong" w:hAnsi="FangSong" w:eastAsia="FangSong" w:cs="FangSong"/>
          <w:color w:val="000000"/>
          <w:sz w:val="24"/>
        </w:rPr>
        <w:t xml:space="preserve">前</w:t>
      </w:r>
      <w:r>
        <w:rPr>
          <w:rFonts w:ascii="SimSun" w:hAnsi="SimSun" w:eastAsia="SimSun" w:cs="SimSun"/>
          <w:color w:val="000000"/>
          <w:sz w:val="24"/>
        </w:rPr>
        <w:t xml:space="preserve">，代理机构可以对招标文件进行修改。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8.2代理机构有权按照法定的要求推迟投标截止日期和开标日期。</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w:t>
      </w:r>
      <w:r>
        <w:rPr>
          <w:rFonts w:ascii="FangSong" w:hAnsi="FangSong" w:eastAsia="FangSong" w:cs="FangSong"/>
          <w:color w:val="000000"/>
          <w:sz w:val="28"/>
        </w:rPr>
        <w:t xml:space="preserve">中国政府采购网</w:t>
      </w:r>
      <w:r>
        <w:rPr>
          <w:rFonts w:ascii="FangSong" w:hAnsi="FangSong" w:eastAsia="FangSong" w:cs="FangSong"/>
          <w:color w:val="000000"/>
          <w:sz w:val="28"/>
          <w:highlight w:val="white"/>
        </w:rPr>
        <w:t xml:space="preserve">、</w:t>
      </w:r>
      <w:r>
        <w:rPr>
          <w:rFonts w:ascii="SimSun" w:hAnsi="SimSun" w:eastAsia="SimSun" w:cs="SimSun"/>
          <w:color w:val="000000"/>
          <w:sz w:val="24"/>
        </w:rPr>
        <w:t xml:space="preserve">江苏政府采购网、盐城市政府采购网公布，补充文件将作为招标文件的组成部分，并对投标人具有约束力。</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Sun" w:hAnsi="SimSun" w:eastAsia="SimSun" w:cs="SimSun"/>
          <w:color w:val="000000"/>
          <w:sz w:val="28"/>
          <w:u w:val="none"/>
        </w:rPr>
        <w:t xml:space="preserve">、投标文件的语言及度量衡单位</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Sun" w:hAnsi="SimSun" w:eastAsia="SimSun" w:cs="SimSun"/>
          <w:color w:val="000000"/>
          <w:sz w:val="28"/>
          <w:u w:val="none"/>
        </w:rPr>
        <w:t xml:space="preserve">、投标文件构成</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w:t>
      </w:r>
      <w:r>
        <w:rPr>
          <w:rFonts w:ascii="FangSong" w:hAnsi="FangSong" w:eastAsia="FangSong" w:cs="FangSong"/>
          <w:color w:val="000000"/>
          <w:sz w:val="28"/>
          <w:highlight w:val="white"/>
        </w:rPr>
        <w:t xml:space="preserve">“</w:t>
      </w:r>
      <w:r>
        <w:rPr>
          <w:rFonts w:ascii="FangSong" w:hAnsi="FangSong" w:eastAsia="FangSong" w:cs="FangSong"/>
          <w:color w:val="000000"/>
          <w:sz w:val="28"/>
        </w:rPr>
        <w:t xml:space="preserve">中国政府采购网</w:t>
      </w:r>
      <w:r>
        <w:rPr>
          <w:rFonts w:ascii="FangSong" w:hAnsi="FangSong" w:eastAsia="FangSong" w:cs="FangSong"/>
          <w:color w:val="000000"/>
          <w:sz w:val="28"/>
          <w:highlight w:val="white"/>
        </w:rPr>
        <w:t xml:space="preserve">”、</w:t>
      </w:r>
      <w:r>
        <w:rPr>
          <w:rFonts w:ascii="SimSun" w:hAnsi="SimSun" w:eastAsia="SimSun" w:cs="SimSun"/>
          <w:color w:val="000000"/>
          <w:sz w:val="24"/>
        </w:rPr>
        <w:t xml:space="preserve">“江苏政府采购网”、“盐城市政府采购网</w:t>
      </w:r>
      <w:r>
        <w:rPr>
          <w:rFonts w:ascii="FangSong" w:hAnsi="FangSong" w:eastAsia="FangSong" w:cs="FangSong"/>
          <w:color w:val="000000"/>
          <w:sz w:val="28"/>
          <w:highlight w:val="white"/>
        </w:rPr>
        <w:t xml:space="preserve">”</w:t>
      </w:r>
      <w:r>
        <w:rPr>
          <w:rFonts w:ascii="SimSun" w:hAnsi="SimSun" w:eastAsia="SimSun" w:cs="SimSun"/>
          <w:color w:val="000000"/>
          <w:sz w:val="24"/>
        </w:rPr>
        <w:t xml:space="preserve">发布的招标文件不一致，请以</w:t>
      </w:r>
      <w:r>
        <w:rPr>
          <w:rFonts w:ascii="FangSong" w:hAnsi="FangSong" w:eastAsia="FangSong" w:cs="FangSong"/>
          <w:color w:val="000000"/>
          <w:sz w:val="28"/>
        </w:rPr>
        <w:t xml:space="preserve">中国政府采购网</w:t>
      </w:r>
      <w:r>
        <w:rPr>
          <w:rFonts w:ascii="FangSong" w:hAnsi="FangSong" w:eastAsia="FangSong" w:cs="FangSong"/>
          <w:color w:val="000000"/>
          <w:sz w:val="28"/>
          <w:highlight w:val="white"/>
        </w:rPr>
        <w:t xml:space="preserve">”、</w:t>
      </w:r>
      <w:r>
        <w:rPr>
          <w:rFonts w:ascii="SimSun" w:hAnsi="SimSun" w:eastAsia="SimSun" w:cs="SimSun"/>
          <w:color w:val="000000"/>
          <w:sz w:val="24"/>
        </w:rPr>
        <w:t xml:space="preserve">“江苏政府采购网”、“盐城市政府采购网</w:t>
      </w:r>
      <w:r>
        <w:rPr>
          <w:rFonts w:ascii="FangSong" w:hAnsi="FangSong" w:eastAsia="FangSong" w:cs="FangSong"/>
          <w:color w:val="000000"/>
          <w:sz w:val="28"/>
          <w:highlight w:val="white"/>
        </w:rPr>
        <w:t xml:space="preserve">”</w:t>
      </w:r>
      <w:r>
        <w:rPr>
          <w:rFonts w:ascii="SimSun" w:hAnsi="SimSun" w:eastAsia="SimSun" w:cs="SimSun"/>
          <w:color w:val="000000"/>
          <w:sz w:val="24"/>
        </w:rPr>
        <w:t xml:space="preserve">发布的招标文件为准。</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Sun" w:hAnsi="SimSun" w:eastAsia="SimSun" w:cs="SimSun"/>
          <w:color w:val="000000"/>
          <w:sz w:val="28"/>
          <w:u w:val="none"/>
        </w:rPr>
        <w:t xml:space="preserve">、证明投标人及投标标的符合招标文件规定的文件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投标人应按照招标文件要求提交证明文件，证明其及投标标的符合招标文件规定。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Sun" w:hAnsi="SimSun" w:eastAsia="SimSun" w:cs="SimSun"/>
          <w:color w:val="000000"/>
          <w:sz w:val="28"/>
        </w:rPr>
        <w:t xml:space="preserve">、投标分项报价表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Sun" w:hAnsi="SimSun" w:eastAsia="SimSun" w:cs="SimSun"/>
          <w:color w:val="000000"/>
          <w:sz w:val="28"/>
        </w:rPr>
        <w:t xml:space="preserve">、技术要求响应及偏离表、商务要求响应及偏离表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13.1投标人需对招标文件中的技术要求与商务要求逐项作出响应或偏离，并说明原因。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Sun" w:hAnsi="SimSun" w:eastAsia="SimSun" w:cs="SimSun"/>
          <w:color w:val="000000"/>
          <w:sz w:val="28"/>
        </w:rPr>
        <w:t xml:space="preserve">、服务承诺、培训计划、人员安排及其他</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14.1投标人需根据招标文件要求提供有关售后服务的管理制度，售后服务机构的分布情况，售后服务人员的数量、素质、技术水平及售后服务的反应能力等。</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14.2投标人需根据招标文件要求提供培训计划。</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14.3投标人需根据招标文件要求提供所投标的的主要组成部分、功能设计、实现思路及关键技术等。</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Sun" w:hAnsi="SimSun" w:eastAsia="SimSun" w:cs="SimSun"/>
          <w:color w:val="000000"/>
          <w:sz w:val="28"/>
          <w:u w:val="none"/>
        </w:rPr>
        <w:t xml:space="preserve">、投标函和开标一览表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15.1投标人应按照招标文件中提供的格式完整、正确填写投标函、开标一览表。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Sun" w:hAnsi="SimSun" w:eastAsia="SimSun" w:cs="SimSun"/>
          <w:color w:val="000000"/>
          <w:sz w:val="28"/>
          <w:u w:val="none"/>
        </w:rPr>
        <w:t xml:space="preserve">、投标有效期</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16.1投标有效期为代理机构规定的开标之日后</w:t>
      </w:r>
      <w:r>
        <w:rPr>
          <w:rFonts w:ascii="FangSong" w:hAnsi="FangSong" w:eastAsia="FangSong" w:cs="FangSong"/>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Sun" w:hAnsi="SimSun" w:eastAsia="SimSun" w:cs="SimSun"/>
          <w:color w:val="000000"/>
          <w:sz w:val="28"/>
        </w:rPr>
        <w:t xml:space="preserve">、投标有效期的延长</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Sun" w:hAnsi="SimSun" w:eastAsia="SimSun" w:cs="SimSun"/>
          <w:color w:val="000000"/>
          <w:sz w:val="28"/>
          <w:u w:val="none"/>
        </w:rPr>
        <w:t xml:space="preserve">、电子</w:t>
      </w:r>
      <w:r>
        <w:rPr>
          <w:rFonts w:ascii="SimHei" w:hAnsi="SimHei" w:eastAsia="SimHei" w:cs="SimHei"/>
          <w:color w:val="000000"/>
          <w:sz w:val="28"/>
        </w:rPr>
        <w:t xml:space="preserve">投标文件的递交</w:t>
      </w:r>
      <w:r/>
    </w:p>
    <w:p>
      <w:pPr>
        <w:ind w:left="525"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w:t>
      </w:r>
      <w:r/>
    </w:p>
    <w:p>
      <w:pPr>
        <w:ind w:left="0" w:right="0" w:firstLine="420"/>
        <w:jc w:val="both"/>
        <w:spacing w:before="280" w:after="290" w:line="8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Sun" w:hAnsi="SimSun" w:eastAsia="SimSun" w:cs="SimSun"/>
          <w:color w:val="000000"/>
          <w:sz w:val="28"/>
        </w:rPr>
        <w:t xml:space="preserve">、投标截止日期</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19.1投标人上传电子投标文件的时间不得迟于招标公告中规定的投标截止时间。</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19.2代理机构可以按照规定，通过修改招标文件酌情延长投标截止日期，在此情况下，投标人的所有权利和义务以及投标人受制的截止日期均应以延长后新的截止日期为准。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Sun" w:hAnsi="SimSun" w:eastAsia="SimSun" w:cs="SimSun"/>
          <w:color w:val="000000"/>
          <w:sz w:val="28"/>
          <w:u w:val="none"/>
        </w:rPr>
        <w:t xml:space="preserve">、投标文件</w:t>
      </w:r>
      <w:r>
        <w:rPr>
          <w:rFonts w:ascii="SimSun" w:hAnsi="SimSun" w:eastAsia="SimSun" w:cs="SimSun"/>
          <w:color w:val="000000"/>
          <w:sz w:val="28"/>
        </w:rPr>
        <w:t xml:space="preserve">的拒收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20.1代理机构拒绝接收在其规定的投标截止时间后上传的任何投标文件。</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Sun" w:hAnsi="SimSun" w:eastAsia="SimSun" w:cs="SimSun"/>
          <w:color w:val="000000"/>
          <w:sz w:val="28"/>
          <w:u w:val="none"/>
        </w:rPr>
        <w:t xml:space="preserve">、投标文件的撤回和修改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21.1投标文件的撤回</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21.1.1电子投标文件的撤回</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21.1.2投标人撤回电子投标文件，则认为其不再参与本项目投标活动。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21.2投标文件的修改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21.2.2在投标截止时间之后，投标人不得对其电子投标文件作任何修改。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21.3在投标截止时间至招标文件中规定的投标有效期满之间的这段时间内，投标人不得撤回其投标。</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Sun" w:hAnsi="SimSun" w:eastAsia="SimSun" w:cs="SimSun"/>
          <w:color w:val="000000"/>
          <w:sz w:val="28"/>
          <w:u w:val="none"/>
        </w:rPr>
        <w:t xml:space="preserve">、开标</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22.1代理机构将在招标公告中规定的时间和地点组织公开开标。投标人应当按照《操作手册》规定，参加开标活动和在苏采云系统规定的时间内对投标文件进行解密。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22.2开标仪式由代理机构组织。苏采云系统将自动对项目进行开标，并宣布各投标人名称和投标价格。</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22.4投标人如果对开标过程和开标记录有疑义，应当根据《操作手册》规定提出，如苏采云系统中《开标记录表》宣布后5分钟内未提出的，视同认可开标结果。</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Sun" w:hAnsi="SimSun" w:eastAsia="SimSun" w:cs="SimSun"/>
          <w:color w:val="000000"/>
          <w:sz w:val="28"/>
          <w:u w:val="none"/>
        </w:rPr>
        <w:t xml:space="preserve">、评标委员会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23.1</w:t>
      </w:r>
      <w:r>
        <w:rPr>
          <w:rFonts w:ascii="SimSun" w:hAnsi="SimSun" w:eastAsia="SimSun" w:cs="SimSun"/>
          <w:color w:val="000000"/>
          <w:sz w:val="24"/>
        </w:rPr>
        <w:t xml:space="preserve">开标后，代理机构将立即组织评标委员会（以下简称评委会）进行评标。</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23.3评委会独立工作，负责评审所有投标文件并确定中标候选人。</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24．评标过程的保密与公正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24.1凡是与审查、澄清、评价和比较投标的有关资料以及授标建议等，采购人、评委、代理机构均不得向投标人或与评标无关的其他人员透露。</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24.3代理机构和评标委员会不向未中标的投标人解释未中标原因，也不公布评标过程中的相关细节。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24.4采用综合评分法的项目，未中标的投标人可于中标结果公告期限届满之日起通过苏采云系统查看自己的评审得分及排序情况。</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Sun" w:hAnsi="SimSun" w:eastAsia="SimSun" w:cs="SimSun"/>
          <w:color w:val="000000"/>
          <w:sz w:val="28"/>
          <w:u w:val="none"/>
        </w:rPr>
        <w:t xml:space="preserve">．投标文件的澄清</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25.3接到评委会澄清、说明和补正要求的投标人如未按规定做出澄清、说明和补正，其风险由投标人自行承担。</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Sun" w:hAnsi="SimSun" w:eastAsia="SimSun" w:cs="SimSun"/>
          <w:color w:val="000000"/>
          <w:sz w:val="28"/>
        </w:rPr>
        <w:t xml:space="preserve">、对投标文件的初审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26.1.1资格审查：依据法律法规和招标文件的规定，由采购人对投标文件中的资格证明文件进行审查。资格审查的结论，采购人以书面形式向评委会进行反馈。</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26.1.3未通过资格审查或符合性审查的投标人，采购中心将在苏采云系统中告知未通过资格审查或符合性审查的原因，评标结束后，采购中心将不再告知未通过资格审查和符合性审查的原因。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26.4评委会将对确定为实质性响应的投标进行进一步审核，确定其是否有计算上或累加上的算术错误，修正错误的原则如下：</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6.6投标人在开、评标全过程中应保持通讯畅通，及时登录苏采云系统查阅、答复相关信息，并安排专人与采购中心及评标委员会联系。</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Sun" w:hAnsi="SimSun" w:eastAsia="SimSun" w:cs="SimSun"/>
          <w:color w:val="000000"/>
          <w:sz w:val="28"/>
        </w:rPr>
        <w:t xml:space="preserve">、无效投标条款和废标条款</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27.1无效投标条款</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27.1.1投标人在苏采云系统规定的时间内未成功解密电子投标文件的。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27.1.2投标人未按照招标文件要求上传电子投标文件的。</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27.1.9投标文件含有采购人不能接受的附加条件的。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27.2.1符合专业条件的供应商或者对招标文件作实质响应的供应商不足三家的。27.2.2出现影响采购公正的违法、违规行为的。</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27.2.5因苏采云系统故障原因造成开标不成功的。</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27.3投标截止时间结束后参加投标的供应商不足三家的处理：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28、</w:t>
      </w:r>
      <w:r>
        <w:rPr>
          <w:rFonts w:ascii="SimHei" w:hAnsi="SimHei" w:eastAsia="SimHei" w:cs="SimHei"/>
          <w:color w:val="000000"/>
          <w:sz w:val="30"/>
        </w:rPr>
        <w:t xml:space="preserve">确定中标单位</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28.2采购人应根据评委会推荐的中标候选人确定中标人。</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28.3代理机构将在</w:t>
      </w:r>
      <w:r>
        <w:rPr>
          <w:rFonts w:ascii="FangSong" w:hAnsi="FangSong" w:eastAsia="FangSong" w:cs="FangSong"/>
          <w:color w:val="000000"/>
          <w:sz w:val="28"/>
        </w:rPr>
        <w:t xml:space="preserve">中国政府采购网</w:t>
      </w:r>
      <w:r>
        <w:rPr>
          <w:rFonts w:ascii="FangSong" w:hAnsi="FangSong" w:eastAsia="FangSong" w:cs="FangSong"/>
          <w:color w:val="000000"/>
          <w:sz w:val="28"/>
          <w:highlight w:val="white"/>
        </w:rPr>
        <w:t xml:space="preserve">”、</w:t>
      </w:r>
      <w:r>
        <w:rPr>
          <w:rFonts w:ascii="SimSun" w:hAnsi="SimSun" w:eastAsia="SimSun" w:cs="SimSun"/>
          <w:color w:val="000000"/>
          <w:sz w:val="24"/>
        </w:rPr>
        <w:t xml:space="preserve">“江苏政府采购网”、“盐城市政府采购网</w:t>
      </w:r>
      <w:r>
        <w:rPr>
          <w:rFonts w:ascii="FangSong" w:hAnsi="FangSong" w:eastAsia="FangSong" w:cs="FangSong"/>
          <w:color w:val="000000"/>
          <w:sz w:val="28"/>
          <w:highlight w:val="white"/>
        </w:rPr>
        <w:t xml:space="preserve">”</w:t>
      </w:r>
      <w:r>
        <w:rPr>
          <w:rFonts w:ascii="SimSun" w:hAnsi="SimSun" w:eastAsia="SimSun" w:cs="SimSun"/>
          <w:color w:val="000000"/>
          <w:sz w:val="24"/>
        </w:rPr>
        <w:t xml:space="preserve">发布中标公告，公告期限为1个工作日。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28.4若有充分证据证明，中标人出现下列情况之一的，一经查实，将被取消中标资格：</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28.4.2向采购人、代理机构行贿或者提供其他不正当利益的。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有下列情形之一的，视为投标人串通投标，投标无效：</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28.5.3不同投标人的投标文件载明的项目管理成员或者联系人员为同一人；</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29.2.2对采购过程提出质疑的，为各采购程序环节结束之日；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采购人及采购代理机构只接收以纸质原件形式送达的质疑，采购人和采购代理机构不接受未填写快递运单的快件。质疑接收地址：淮安经济技术开发区小康城</w:t>
      </w:r>
      <w:r>
        <w:rPr>
          <w:rFonts w:ascii="Calibri" w:hAnsi="Calibri" w:eastAsia="Calibri" w:cs="Calibri"/>
          <w:color w:val="000000"/>
          <w:sz w:val="24"/>
        </w:rPr>
        <w:t xml:space="preserve">171C</w:t>
      </w:r>
      <w:r>
        <w:rPr>
          <w:rFonts w:ascii="SimSun" w:hAnsi="SimSun" w:eastAsia="SimSun" w:cs="SimSun"/>
          <w:color w:val="000000"/>
          <w:sz w:val="24"/>
        </w:rPr>
        <w:t xml:space="preserve">，联系电话：</w:t>
      </w:r>
      <w:r>
        <w:rPr>
          <w:rFonts w:ascii="FangSong" w:hAnsi="FangSong" w:eastAsia="FangSong" w:cs="FangSong"/>
          <w:color w:val="000000"/>
          <w:sz w:val="28"/>
          <w:highlight w:val="white"/>
        </w:rPr>
        <w:t xml:space="preserve">13179336858</w:t>
      </w:r>
      <w:r>
        <w:rPr>
          <w:rFonts w:ascii="SimSun" w:hAnsi="SimSun" w:eastAsia="SimSun" w:cs="SimSun"/>
          <w:color w:val="000000"/>
          <w:sz w:val="24"/>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29.5以下情形的质疑不予受理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29.5.1内容不符合《政府采购质疑和投诉办法》第十二条规定的质疑。</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29.5.2超出政府采购法定期限的质疑。</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29.5.3以传真、电子邮件等方式递交的非原件形式的质疑。</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29.5.4未参加投标活动的供应商或在投标活动中自身权益未受到损害的供应商所提出的质疑。</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6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30、中标通知书</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w:t>
      </w:r>
      <w:r>
        <w:rPr>
          <w:rFonts w:ascii="SimSun" w:hAnsi="SimSun" w:eastAsia="SimSun" w:cs="SimSun"/>
          <w:color w:val="000000"/>
          <w:sz w:val="24"/>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31.签订合同</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w:t>
      </w:r>
      <w:r>
        <w:rPr>
          <w:rFonts w:ascii="SimSun" w:hAnsi="SimSun" w:eastAsia="SimSun" w:cs="SimSun"/>
          <w:b/>
          <w:color w:val="000000"/>
          <w:sz w:val="24"/>
        </w:rPr>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32、货物（包含与货物相关的服务）的追加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33、</w:t>
      </w:r>
      <w:r>
        <w:rPr>
          <w:rFonts w:ascii="SimHei" w:hAnsi="SimHei" w:eastAsia="SimHei" w:cs="SimHei"/>
          <w:color w:val="000000"/>
          <w:sz w:val="30"/>
        </w:rPr>
        <w:t xml:space="preserve">政府采购线上合同信用融资政策</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ascii="Calibri" w:hAnsi="Calibri" w:eastAsia="Calibri" w:cs="Calibri"/>
          <w:color w:val="000000"/>
          <w:sz w:val="24"/>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Hei" w:hAnsi="SimHei" w:eastAsia="SimHei" w:cs="SimHei"/>
          <w:color w:val="000000"/>
          <w:sz w:val="30"/>
        </w:rPr>
        <w:t xml:space="preserve">34、其他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34.1供应商对于投标产品的商品包装、快递包装应按照《关于印发《商品包装政府采购需求标准（试行）》、《快递包装政府采购需求标准（试行）》的通知》（财办库〔2020〕123号）执行。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34.2本文件中若涉及到数据中心采购，应按照《〈绿色数据中心政府采购需求标准（试行）〉的通知》（财库〔2023〕7号）执行。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34.3本项目落实预付款制度，预付款比例为30%。在签订合同时，中标、成交供应商明确书面表示无需预付款或者主动要求降低预付款比例的，采购人可就预付款比例作相应调整。</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34.4确需收取履约保证金的，履约保证金的缴纳形式：</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如以履约保函（保险）形式缴纳履约保证金，供应商可通过政府采购电子履约保函（保险）平台（www.jsdzbh.com）在线申请履约保函（保险）。</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w:t>
      </w:r>
      <w:r>
        <w:rPr>
          <w:rFonts w:ascii="SimSun" w:hAnsi="SimSun" w:eastAsia="SimSun" w:cs="SimSun"/>
          <w:color w:val="000000"/>
          <w:sz w:val="44"/>
        </w:rPr>
        <w:t xml:space="preserve">  </w:t>
      </w:r>
      <w:r>
        <w:rPr>
          <w:rFonts w:ascii="SimHei" w:hAnsi="SimHei" w:eastAsia="SimHei" w:cs="SimHei"/>
          <w:color w:val="000000"/>
          <w:sz w:val="44"/>
        </w:rPr>
        <w:t xml:space="preserve">合同文本</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w:t>
      </w:r>
      <w:r>
        <w:rPr>
          <w:rFonts w:ascii="SimSun" w:hAnsi="SimSun" w:eastAsia="SimSun" w:cs="SimSun"/>
          <w:color w:val="000000"/>
          <w:sz w:val="24"/>
        </w:rPr>
        <w:t xml:space="preserve">订本项目合同的通用条款，中标人不得提出实质性的修改。</w:t>
      </w:r>
      <w:r>
        <w:rPr>
          <w:rFonts w:ascii="Calibri" w:hAnsi="Calibri" w:eastAsia="Calibri" w:cs="Calibri"/>
          <w:color w:val="000000"/>
          <w:sz w:val="24"/>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盐城市政府采购合同（服务）（合同编号）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响水县公安局档案数字化加工项目（二次）</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响水县公安局</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乙方：_________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响水县公安局档案数字化加工项目（二次）</w:t>
      </w:r>
      <w:r>
        <w:rPr>
          <w:rFonts w:ascii="SimSun" w:hAnsi="SimSun" w:eastAsia="SimSun" w:cs="SimSun"/>
          <w:color w:val="000000"/>
          <w:sz w:val="24"/>
        </w:rPr>
        <w:t xml:space="preserve">公开招标的结果，签署本合同。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rPr>
          <w:rFonts w:ascii="SimSun" w:hAnsi="SimSun" w:eastAsia="SimSun" w:cs="SimSun"/>
          <w:color w:val="000000"/>
          <w:sz w:val="24"/>
          <w:u w:val="single"/>
        </w:rPr>
        <w:t xml:space="preserve">响水县公安局档案数字化加工项目（二次）</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1.2标的质量：符合国家标准《纸质档案数字化技术规范》、《江苏省公安机关档案数字化操作规程（试行）》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标的数量：1项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履行时间：自合同签订之日起，180日历天内完成所有工作。</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履行地点：响水县境内</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2.1本合同金额为（大写）：____________________________________圆（_______________元）人民币。</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5.1乙方保证所交付的服务（包含与服务相关的货物）的所有权完全属于乙方且无任何抵押、查封等产权瑕疵。</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签订合同后，设备、人员进场10天内预付合同价的30%，项目结束，由甲方确认实际加工数量，经甲方验收合格且经审计通过后15天内支付至实际加工数量审计金额的90%，尾款乙方应将加工数据成功导入挂接至“新版江苏公安档案信息管理系统”后支付。</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10.1甲方依法组织履约验收工作。</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10.3对于实际使用人和甲方分离的项目，甲方邀请实际使用人参与验收。</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10%的违约金，如造成甲方损失超过违约金的，超出部分由乙方继续承担赔偿责任。 </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11.2乙方所提供服务的标准不符合合同规定及招标文件规定标准的，甲方有权拒绝接受服务，并可单方面解除合同。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12.1在合同有效期内，任何一方因不可抗力事件导致不能履行合同，则合同履行期可延长，其延长期与不可抗力影响 期相同。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12.2不可抗力事件发生后，应立即通知对方，并寄送有关权威机构出具的证明。</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14.1合同经双方法定代表人或授权委托代表人签字并加盖单位公章后生效。</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14.2本合同未尽事宜，遵照《民法典》、《政府采购法》有关条文执行。</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本合同正本一式两份，具有同等法律效力，甲方、乙方各执一份。</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乙方：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联系电话：                  联系电话：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签订日期：      年    月   日</w:t>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rPr>
          <w:rFonts w:ascii="SimHei" w:hAnsi="SimHei" w:eastAsia="SimHei" w:cs="SimHei"/>
          <w:color w:val="000000"/>
          <w:sz w:val="44"/>
        </w:rPr>
        <w:t xml:space="preserve">第四章 采购需求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项目属性:服务类项目。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  </w:t>
      </w:r>
      <w:r>
        <w:rPr>
          <w:rFonts w:ascii="SimSun" w:hAnsi="SimSun" w:eastAsia="SimSun" w:cs="SimSun"/>
          <w:b/>
          <w:color w:val="000000"/>
          <w:sz w:val="24"/>
        </w:rPr>
        <w:t xml:space="preserve">一、项目概况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1、项目名称：响水县公安局档案数字化加工项目（二次）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2、项目概况：响水县公安局档案数字化加工项目（二次），包含以下所有数字化加工相关服务的全部内容： </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0"/>
        <w:gridCol w:w="1219"/>
        <w:gridCol w:w="585"/>
        <w:gridCol w:w="585"/>
        <w:gridCol w:w="657"/>
        <w:gridCol w:w="730"/>
        <w:gridCol w:w="499"/>
        <w:gridCol w:w="552"/>
        <w:gridCol w:w="805"/>
        <w:gridCol w:w="429"/>
        <w:gridCol w:w="552"/>
        <w:gridCol w:w="727"/>
      </w:tblGrid>
      <w:tr>
        <w:trPr>
          <w:trHeight w:val="1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档案门类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案卷级著录量（条）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文件、人员级著录量（条）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著录总量（条）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档案</w:t>
            </w:r>
            <w:r/>
          </w:p>
          <w:p>
            <w:pPr>
              <w:ind w:left="-107"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整理（卷/件）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107"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 单价 （元）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合计1</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扫描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总量（页）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143" w:right="0" w:hanging="65"/>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  单价  （元）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合计2</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总计</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（合计1+合计2）</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文书（局机关：347卷，23134条，77112页；派出所823卷，54866条，182888页）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1170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78000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79170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260000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专业（局机关：29408卷，122101条，611057页；派出所：77192卷，320499条，1603943页）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106600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336000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442600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2215000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r>
      <w:tr>
        <w:trPr>
          <w:trHeight w:val="5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声像（局机关：1404卷，1404条，1404页；派出所：3276卷，3276条，3276页）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4680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4680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3"/>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4680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实物（局机关：260卷，260条，260页；派出所：390卷，390条，390页）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650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650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650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户籍（局机关：780卷，8580条，102934页；派出所：3120卷，34320条，411736页）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3900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39000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42900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514670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共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117000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453000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570000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117000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2995000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3、服务期限要求：自合同签订之日起，180日历天内完成所有工作。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4、质量要求：符合国家标准《纸质档案数字化技术规范》、《江苏省公安机关档案数字化操作规程（试行）》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二、项目执行规范及标准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在整个过程中公开招标方应严格执行以下规范和标准：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（一）档案管理主要法规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1、《中华人民共和国档案法》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2、《中华人民共和国档案法实施办法》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3、《江苏省实施〈中华人民共和国档案法〉办法》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4、《江苏省档案管理办法》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5、《江苏省档案工作条例》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6、《江苏省国家档案馆管理办法》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（二）业务标准与规范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1、《电子文件归档与电子档案管理规范》（GB/T18894-2016）</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2、《档案交接文据格式》(GB／T1 3968—92)</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3、《档案分类标引规则》（GB/T 15418-94）</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4、《文书档案案卷格式》(GB 9705—88)</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5、《档案著录规则》（DA/T 18-1999）</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6、《归档文件整理规则》（DA/T 22-2000）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7、《档案服务外包工作规范》（DA/T 68-2017）</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8、《纸质档案数字化规范》（DA/T 31-2017）</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9、《电子文件归档光盘技术要求和应用规范》（DA/T 38-2008）</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3、《江苏省综合档案馆电子目录数据库结构与交换格式》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11、《江苏省档案馆纸质档案数字化成果接收暂行办法》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12、《江苏省公安机关档案数字化操作规程》苏公厅[2017]363号</w:t>
      </w:r>
      <w:r/>
    </w:p>
    <w:p>
      <w:pPr>
        <w:ind w:left="0" w:right="0" w:firstLine="36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三、项目技术参数要求</w:t>
      </w:r>
      <w:r/>
    </w:p>
    <w:p>
      <w:pPr>
        <w:ind w:left="0" w:right="0" w:firstLine="36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（一）数字化加工技术要求</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1、档案出入库</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严格按照库房管理规定办理出入库手续，中标单位应指定专人按照与响水县公安局共同制订的计划分批次对需要进行数字化加工的档案及资料进行调档，并指定专人一起做好档案及资料的清点交接工作，并做好移交记录。</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2、纸质档案数字化转换</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⑴、数字化前处理。</w:t>
      </w:r>
      <w:r>
        <w:rPr>
          <w:rFonts w:ascii="SimSun" w:hAnsi="SimSun" w:eastAsia="SimSun" w:cs="SimSun"/>
          <w:color w:val="000000"/>
          <w:sz w:val="24"/>
        </w:rPr>
        <w:t xml:space="preserve">数字化前处理主要是对档案进行检查和修整，确定扫描范围。</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  纸质档案数字化前处理要求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04"/>
        <w:gridCol w:w="71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w:t>
            </w:r>
            <w:r/>
          </w:p>
        </w:tc>
      </w:tr>
      <w:tr>
        <w:trPr>
          <w:trHeight w:val="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检查目录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1、逐卷逐件检查档案实体和目录，确保文档与目录一一对应；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2、发现错误及时修改、补漏，完善档案的排列、编目等内容。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未编制页号或编号有误的，应进行补编和更正。</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检查题名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文件没有标题或标题不能揭示文件内容的，应重新拟制题名。</w:t>
            </w:r>
            <w:r/>
          </w:p>
        </w:tc>
      </w:tr>
      <w:tr>
        <w:trPr>
          <w:trHeight w:val="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拆除装订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1、装订物影响扫描工作进行、拆除后可复原的档案，可拆除装订物进行数字化，拆除装订物时应注意保护档案不受损害；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2、对排列顺序不准确的档案应进行重排。</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确定扫描范围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1、原则上将确定为数字化对象的档案全部扫描，不宜进行挑扫；一般应逐页扫描，从案卷封面开始，至案卷末页结束；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2、遇有浮帖时，浮帖加原页扫描1页，浮帖揭开后原页扫描1页，若遇到多张浮帖重叠，每张浮帖均单独扫描；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3、重份档案可以不进行扫描，有正式件的可以不扫描底稿，并对不扫描的作出说明。</w:t>
            </w:r>
            <w:r/>
          </w:p>
        </w:tc>
      </w:tr>
      <w:tr>
        <w:trPr>
          <w:trHeight w:val="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修整页面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破损严重、无法直接扫描的档案，应注明并进行技术修复，单面有字的进行托裱，双面有字的进行丝网加固处理；严重折皱影响扫描质量的，可先进行压平或低于50℃熨平等相应处理后再进行扫描。</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整理登记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1、认真填写纸质档案数字化流程单，详细记录档案整理后每份文件的起始页号和页数；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2、应记录每一卷（件）文件的数量、破损等内容；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3、应根据纸张质量，选择扫描方式。</w:t>
            </w:r>
            <w:r/>
          </w:p>
        </w:tc>
      </w:tr>
    </w:tbl>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⑵目录数据著录。</w:t>
      </w:r>
      <w:r>
        <w:rPr>
          <w:rFonts w:ascii="SimSun" w:hAnsi="SimSun" w:eastAsia="SimSun" w:cs="SimSun"/>
          <w:color w:val="000000"/>
          <w:sz w:val="24"/>
        </w:rPr>
        <w:t xml:space="preserve">可采用人工或软件自动著录的方式对档案目录数据进行著录。已建立目录数据库的，可以不再重新著录。对前处理工作中发现档案目录存在问题的，要进行修改、补录，形成准确、完整的目录数据。</w:t>
      </w:r>
      <w:r/>
    </w:p>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表2  纸质档案目录数据著录要求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03"/>
        <w:gridCol w:w="71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w:t>
            </w:r>
            <w:r/>
          </w:p>
        </w:tc>
      </w:tr>
      <w:tr>
        <w:trPr>
          <w:trHeight w:val="1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目录数据著录范围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1、文书档案：案卷级、文件级，任免、奖惩目录；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2、专业（业务）档案：案卷级、文件级（结论性文书）、人员目录；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3、会计档案：案卷级、文件级（报表）目录；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4、科技档案：案卷级、文件级目录；</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目录数据著录要求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1、应准确、完备，达到案卷级、文件级、人员目录与档案实体内容准确一致，文件级目录数据与档案实体排列顺序一致；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2、可从数字化软件中以EXCEL格式或其它格式导出，或直接著录在EXCEL表中，并能导入档案信息管理系统数据库。</w:t>
            </w:r>
            <w:r/>
          </w:p>
        </w:tc>
      </w:tr>
      <w:tr>
        <w:trPr>
          <w:trHeight w:val="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目录数据结构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1、应根据档案信息管理系统数据导入的要求确定著录项；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2、字段长度和内容应符合相关要求。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目录数据交换格式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按照有关规范执行。</w:t>
            </w:r>
            <w:r/>
          </w:p>
        </w:tc>
      </w:tr>
    </w:tbl>
    <w:p>
      <w:pPr>
        <w:ind w:left="0" w:right="0" w:firstLine="482"/>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⑶元数据捕获。</w:t>
      </w:r>
      <w:r>
        <w:rPr>
          <w:rFonts w:ascii="SimSun" w:hAnsi="SimSun" w:eastAsia="SimSun" w:cs="SimSun"/>
          <w:color w:val="000000"/>
          <w:sz w:val="24"/>
        </w:rPr>
        <w:t xml:space="preserve">在档案数字化过程中，应捕获必要的元数据，用以记录全文数据生成环境、数字化各类技术参数等信息。元数据均应存入数据库。</w:t>
      </w:r>
      <w:r/>
    </w:p>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表3  纸质档案元数据采集要求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4"/>
        <w:gridCol w:w="2452"/>
        <w:gridCol w:w="50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元数据项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元数据描述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数字化时间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记录纸质档案数字化的起止时间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色彩空间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记录扫描图像所应用的色彩空间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扫描分辨率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记录扫描分辨率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扫描色彩模式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记录扫描色彩模式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存储格式名称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记录扫描数字图像存储格式的名称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格式版本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记录扫描数字图像存储格式的版本</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扫描设备类型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记录纸质档案数字化所用扫描设备的类型</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扫描设备制造商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记录纸质档案数字化所用扫描设备的制造商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扫描设备型号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记录纸质档案数字化所用扫描设备的型号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数字化软件名称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记录纸质档案数字化所用软件的名称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数字化软件版本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记录纸质档案数字化所用软件的版本</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数字化软件生产商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记录纸质档案数字化所用软件的生产商</w:t>
            </w:r>
            <w:r/>
          </w:p>
        </w:tc>
      </w:tr>
    </w:tbl>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⑷全文数据采集。</w:t>
      </w:r>
      <w:r>
        <w:rPr>
          <w:rFonts w:ascii="SimSun" w:hAnsi="SimSun" w:eastAsia="SimSun" w:cs="SimSun"/>
          <w:color w:val="000000"/>
          <w:sz w:val="24"/>
        </w:rPr>
        <w:t xml:space="preserve">纸质档案全文数据采集应根据档案原件情况、设备情况等选择相应的扫描方式，相关参数的设置应保证图像不失真，效果最接近档案原件。扫描应做到不缺页、不错页、不重页。</w:t>
      </w:r>
      <w:r/>
    </w:p>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表4  纸质档案扫描总体要求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00"/>
        <w:gridCol w:w="71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1、应特别注意对档案实体的保护，建议采用平板扫描仪等对档案实体破坏性小的扫描设备进行数字化；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2、根据档案幅面的大小选择相应规格的扫描仪进行扫描，也可以采用小幅面扫描仪分幅扫描后进行图像拼接的方式处理。</w:t>
            </w:r>
            <w:r/>
          </w:p>
        </w:tc>
      </w:tr>
      <w:tr>
        <w:trPr>
          <w:trHeight w:val="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色彩模式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1、为最大限度保留档案原件信息，利于多种方式的利用，建议全部采用彩色模式进行扫描；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2、永久保存的档案宜采用彩色模式进行扫描；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3、同一份档案的多个页面，宜采用相同的色彩模式进行扫描。</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1、为最大限度地采集档案信息，满足后续多种利用目的的需要，扫描分辨率建议不小于300dpi；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2、如文字偏小、密集、清晰度较差时，应适当提高分辨率；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3、如有仿真、印刷等其他用途时，可根据需要调整分辨率。</w:t>
            </w:r>
            <w:r/>
          </w:p>
        </w:tc>
      </w:tr>
      <w:tr>
        <w:trPr>
          <w:trHeight w:val="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1、应定期对扫描仪和显示器等设备作色彩管理，以尽量避免色彩偏差；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2、为保证扫描图像质量，应使扫描仪保持正常的工作状态，每次开启扫描仪后，宜进行预热，再正式进行扫描。</w:t>
            </w:r>
            <w:r/>
          </w:p>
        </w:tc>
      </w:tr>
    </w:tbl>
    <w:p>
      <w:pPr>
        <w:ind w:left="0" w:right="0" w:firstLine="241"/>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表5  纸质档案扫描技术参数</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0"/>
        <w:gridCol w:w="883"/>
        <w:gridCol w:w="1668"/>
        <w:gridCol w:w="1534"/>
        <w:gridCol w:w="1534"/>
        <w:gridCol w:w="1535"/>
      </w:tblGrid>
      <w:tr>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平板扫描仪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无边距扫描仪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高速扫描仪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工程扫描仪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书刊扫描仪</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档案质量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纸张状况较差，过薄、过软、超厚、脆化或破损的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纸张状况好的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工程图纸或大幅面照片等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不可拆装的书籍刊物等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扫描色彩模式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黑白</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页面为黑白两色，字迹清晰、不带插图的</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灰度</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页面为黑白两色，字迹清晰度差或带有插图的</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页面中有红头、印章或插有照片、彩色插图、多色彩文字的</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≥300dpi（OCR汉字识别）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≥300dpi（OCR汉字识别）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≥600dpi</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≥300dpi</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扫描仪规格</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根据幅面的大小（A4、A3、AO等）选择相应规格的扫描仪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5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⑸图像处理。图像处理应运用数字化设备的配套软件或专业的图像处理软件，对扫描图像进行技术处理，处理过程中应尽可能保持档案原件的特性。</w:t>
      </w:r>
      <w:r/>
    </w:p>
    <w:p>
      <w:pPr>
        <w:ind w:left="0" w:right="0" w:firstLine="602"/>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02"/>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表6  纸质档案扫描图像处理要求</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66"/>
        <w:gridCol w:w="690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旋转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对方向不符合阅读习惯的图像应进行旋转还原。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纠偏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对出现偏斜的图像应进行纠偏处理，偏斜角度小于1度。</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去污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1、对扫描过程中产生的污点、污线、黑边等影响图像质量的杂质应进行去污处理；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2、处理过程中应遵循展现档案原貌的原则，不得去除档案页面原有的纸张褪变斑点、水渍、污点、装订孔等。</w:t>
            </w:r>
            <w:r/>
          </w:p>
        </w:tc>
      </w:tr>
      <w:tr>
        <w:trPr>
          <w:trHeight w:val="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裁边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对扫描后的图像应进行裁边处理，去除多余的白边，不得裁掉纸质档案原有页边，裁边后的图像幅面大小保持一致。</w:t>
            </w:r>
            <w:r/>
          </w:p>
        </w:tc>
      </w:tr>
      <w:tr>
        <w:trPr>
          <w:trHeight w:val="9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图像拼接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1、对大幅面档案进行分幅扫描形成的多幅图像，应进行拼接处理，拼接时应确保拼接处平滑地融合，合并为一个完整的图像；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2、分幅扫描时，应使各分幅的大小尺寸相近、分辨率一致，相邻图像之间重叠面积不少于分幅面积的1/20，若采用软件自动拼接的，重叠面积建议不小于原件的1/3；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3、应采用有效的技术手段，提示后续检查时对拼接部位进行重点查看；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4、经图像拼接处理的档案应做好记录，并在著录目录数据时，在附注项中加注“图像拼接”。</w:t>
            </w:r>
            <w:r/>
          </w:p>
        </w:tc>
      </w:tr>
      <w:tr>
        <w:trPr>
          <w:trHeight w:val="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图像修复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1、修复的效果以图像不失真、效果清晰完整为准；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2、经图像修复处理的档案应做好记录，并在著录目录数据时，在附注项中加注“图像修复”。</w:t>
            </w:r>
            <w:r/>
          </w:p>
        </w:tc>
      </w:tr>
    </w:tbl>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⑹存储格式。档案图像文件应存储为JPEG或JPEG2000格式，压缩率不低于75%；具备良好存储条件的，可以存储为单页的无损压缩TIFF格式。</w:t>
      </w:r>
      <w:r/>
    </w:p>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⑺格式转换。</w:t>
      </w:r>
      <w:r/>
    </w:p>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提供网络利用，应以“卷”或“件”为单位，将档案图像文件按照20%或更低的压缩率进行压缩（A4幅面单个图像大小控制在1M以内），再将压缩后的单页图像文件先进行全文OCR设别，应形成文本文件，经校对与原件一致后，转换成多页双层PDF格式的图像文件，上层是原始图像，下层是设别文本文件，既可以保留原始版面效果，又支持选择、复制和检索功能。对专业（业务）档案结论性法律文书的图像文件，应再转换一份双层PDF格式文件，以便建立专题数据库，在全省范围内提供利用。对非印刷体档案图像文件无需进行OCR设别，直接转换成PDF格</w:t>
      </w:r>
      <w:r>
        <w:rPr>
          <w:rFonts w:ascii="SimSun" w:hAnsi="SimSun" w:eastAsia="SimSun" w:cs="SimSun"/>
          <w:color w:val="000000"/>
          <w:sz w:val="24"/>
        </w:rPr>
        <w:t xml:space="preserve">式文件。</w:t>
      </w:r>
      <w:r/>
    </w:p>
    <w:p>
      <w:pPr>
        <w:ind w:left="0" w:right="0" w:firstLine="60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0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表7  纸质档案图像文件转换单位</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82"/>
        <w:gridCol w:w="68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档案类型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转换单位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文书档案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以一份文件，即“件”为单位进行转换。</w:t>
            </w:r>
            <w:r/>
          </w:p>
        </w:tc>
      </w:tr>
      <w:tr>
        <w:trPr>
          <w:trHeight w:val="10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专业（业务）档案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1、一案一卷或多卷、一人一卷或多卷的，以“卷”为单位进行转换；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2、结论性法律文书应再转换一份；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3、综合卷的，一般以“件”或“人”为单位进行转换。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户籍档案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以“人”或“户”为单位进行转换。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会计档案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以一份报表，即“件”为单位进行转换。</w:t>
            </w:r>
            <w:r/>
          </w:p>
        </w:tc>
      </w:tr>
      <w:tr>
        <w:trPr>
          <w:trHeight w:val="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科技档案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1、资料以“件”为单位进行转换。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2、图纸以“卷”或“盒”为单位进行转换。</w:t>
            </w:r>
            <w:r/>
          </w:p>
        </w:tc>
      </w:tr>
    </w:tbl>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⑻图像文件命名。</w:t>
      </w:r>
      <w:r>
        <w:rPr>
          <w:rFonts w:ascii="SimSun" w:hAnsi="SimSun" w:eastAsia="SimSun" w:cs="SimSun"/>
          <w:color w:val="000000"/>
          <w:sz w:val="24"/>
        </w:rPr>
        <w:t xml:space="preserve">图像文件的命名应与档案实体及目录数据一一对应，并按照档号规则命名，确保唯一性。按照图像文件的格式转换单位建立相应文件夹，其上层可按照类别、年度、保管期限等分层次建立文件夹，分目录存放、管理。</w:t>
      </w:r>
      <w:r/>
    </w:p>
    <w:p>
      <w:pPr>
        <w:ind w:left="0" w:right="0" w:firstLine="60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0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表8  文件夹和图像文件命名办法</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8"/>
        <w:gridCol w:w="1269"/>
        <w:gridCol w:w="5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归档单位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命名内容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8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命名方法</w:t>
            </w:r>
            <w:r/>
          </w:p>
        </w:tc>
      </w:tr>
      <w:tr>
        <w:trPr>
          <w:trHeight w:val="8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卷（盒）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以卷为转换单位的文件夹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1、全宗号-类别号-目录号-案卷号，例如：0003-Z2016-03-0001，案卷号根据目录数据的实际情况确定，可以4位（0001）或6位（000001）；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2、业务档案中一案（一人）多卷并同一个档号的，可以在案卷号后加“.1、.2、.3……”区别，确保档号的唯一性，例如：0003-Y3-1-0001.1。</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以件为转换单位的文件夹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全宗号-类别号-目录号-案卷号-页号，例如：0003-W2000-1-0001-010，页号为合并页的首页。</w:t>
            </w:r>
            <w:r/>
          </w:p>
        </w:tc>
      </w:tr>
      <w:tr>
        <w:trPr>
          <w:trHeight w:val="14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1、全宗号-类别号-目录号-案卷号-页号，例如：0003-Z2016-03-0001N-001，页号一般为3位数字；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2、有浮贴的复页在页号后加“（1、2……）”，例如：0003-Z2016-03-0001N-010；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3、案卷封面页在案卷号后加“-F”，例如：0003-Z2016-03-0001N-F；</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4、目录页在案卷号后加“-M1、-M2……”，例如：0003-Z2016-03-0001N-M1；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5、备考页在案卷号后加“-B”，例如：0003-Z2016-03-0001N-B。</w:t>
            </w:r>
            <w:r/>
          </w:p>
        </w:tc>
      </w:tr>
      <w:tr>
        <w:trPr>
          <w:trHeight w:val="111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转换后的 PDF</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1、以卷为转换单位的，全宗号-类别号-目录号-案卷号，例如：0003-Z2016-03-0001；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2、以件为转换单位的，全宗号-类别号-目录号-案卷号-页号，例如：0003-W2000-1-0001-010；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3、PDF命名须与目录数据中的档号保持一致。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全宗号-类别号-分类号-保管期限-案卷号，例如：0003-W2016-01-1-0001。</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全宗号-类别号-分类号-保管期限-案卷号N-页号，例如：0003-W2016-01-1-0001N-001，页号一般为3位数字。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转换后的 PDF</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全宗号-类别号-分类号-保管期限-案卷号，例如：0003-W2016-01-1-0001，须与目录数据中的档号保持一致。</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注：档案数字化后形成的数字副本加“N”标识，在线形成的电子档案加“D”标识。</w:t>
            </w:r>
            <w:r/>
          </w:p>
        </w:tc>
      </w:tr>
    </w:tbl>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3、录音录像档案数字化转换</w:t>
      </w:r>
      <w:r/>
    </w:p>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⑴数字化前处理。</w:t>
      </w:r>
      <w:r/>
    </w:p>
    <w:p>
      <w:pPr>
        <w:ind w:left="0" w:right="0" w:firstLine="60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0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表9  录音录像档案数字化前处理要求</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3"/>
        <w:gridCol w:w="70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检查目录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应对照档案内容对档案目录进行检查，对存在问题的目录进行修改、补充。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确定采集范围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应保证档案采集的完整性，原则上不宜进行挑选采集。</w:t>
            </w:r>
            <w:r/>
          </w:p>
        </w:tc>
      </w:tr>
      <w:tr>
        <w:trPr>
          <w:trHeight w:val="1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检查录音录像带状况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1、发现有断带情况，用胶带粘连等方式进行续接，过紧或过松的，用小棒转紧或用手轻轻拍松，使之能正常播放；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2、对不常使用的，应进行倒进带处理，防止磁带粘连；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3、对不规整或损坏的，应进行技术修复；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4、需要清洁的，应使用清洁器材进行清洁。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检查播放画面、音质情况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在进行检查和倒进处理后，应播放录音录像片段，检查画面、音质情况，以便对数字化后的效果进行比较。</w:t>
            </w:r>
            <w:r/>
          </w:p>
        </w:tc>
      </w:tr>
      <w:tr>
        <w:trPr>
          <w:trHeight w:val="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加工环境检查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1、应远离强磁场等外部干扰；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2、在前处理过程中，操作人员应戴非棉制手套进行操作。</w:t>
            </w:r>
            <w:r/>
          </w:p>
        </w:tc>
      </w:tr>
      <w:tr>
        <w:trPr>
          <w:trHeight w:val="1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记录检查情况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1、对检查、修复情况进行登记，对存在的问题进行记录和说明，作为数字化转换前后对比的依据；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2、认真填写录音录像档案数字化流程单；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3、对一盒录音录像中存储多个不同主题内容的，应记录每个主题的起止时间，以便采集时按照主题进行切分。</w:t>
            </w:r>
            <w:r/>
          </w:p>
        </w:tc>
      </w:tr>
    </w:tbl>
    <w:p>
      <w:pPr>
        <w:ind w:left="0" w:right="0" w:firstLine="63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⑵目录数据著录。</w:t>
      </w:r>
      <w:r>
        <w:rPr>
          <w:rFonts w:ascii="SimSun" w:hAnsi="SimSun" w:eastAsia="SimSun" w:cs="SimSun"/>
          <w:color w:val="000000"/>
          <w:sz w:val="24"/>
        </w:rPr>
        <w:t xml:space="preserve">录音录像档案建立案卷级、文件级目录，目录数据著录参照纸质档案目录数据著录要求。</w:t>
      </w:r>
      <w:r/>
    </w:p>
    <w:p>
      <w:pPr>
        <w:ind w:left="0" w:right="0" w:firstLine="63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⑶元数据捕获。</w:t>
      </w:r>
      <w:r>
        <w:rPr>
          <w:rFonts w:ascii="SimSun" w:hAnsi="SimSun" w:eastAsia="SimSun" w:cs="SimSun"/>
          <w:color w:val="000000"/>
          <w:sz w:val="24"/>
        </w:rPr>
        <w:t xml:space="preserve">录音录像档案数字化过程中元数据的捕获，参照纸质档案元数据采集要求。</w:t>
      </w:r>
      <w:r/>
    </w:p>
    <w:p>
      <w:pPr>
        <w:ind w:left="0" w:right="0" w:firstLine="63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⑷音视频数据采集。</w:t>
      </w:r>
      <w:r>
        <w:rPr>
          <w:rFonts w:ascii="SimSun" w:hAnsi="SimSun" w:eastAsia="SimSun" w:cs="SimSun"/>
          <w:color w:val="000000"/>
          <w:sz w:val="24"/>
        </w:rPr>
        <w:t xml:space="preserve">使用档案原有的播放设备对录音录像带播放出来的声音、画面进行录制采集，将模拟信号转化为数字信号，然后压缩编码成为数字文件。</w:t>
      </w:r>
      <w:r/>
    </w:p>
    <w:p>
      <w:pPr>
        <w:ind w:left="0" w:right="0" w:firstLine="60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0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表10  录音录像档案数字化硬件要求</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3"/>
        <w:gridCol w:w="70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  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播放设备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录像机、盒式录放机、开盘式放音机等。</w:t>
            </w:r>
            <w:r/>
          </w:p>
        </w:tc>
      </w:tr>
      <w:tr>
        <w:trPr>
          <w:trHeight w:val="1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采集卡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1、计算机通过采集卡接收来自输入端的模拟信号；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2、视频采集卡应支持AVI、MXF和MPEG等格式，支持多种影像源输入；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3、音频采集卡应至少支持44.1kHz（最好是48kHz）采样频率，支持16位量化级、双声道以上和多种声源输入。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应配备性能稳定、配置较高并配有采集卡的计算机作为录音、录像档案数字化转换设备。</w:t>
            </w:r>
            <w:r/>
          </w:p>
        </w:tc>
      </w:tr>
    </w:tbl>
    <w:p>
      <w:pPr>
        <w:ind w:left="0" w:right="0" w:firstLine="2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表11  录音录像档案数字化技术参数</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85"/>
        <w:gridCol w:w="1918"/>
        <w:gridCol w:w="5171"/>
      </w:tblGrid>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档案类别</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主要参数</w:t>
            </w:r>
            <w:r/>
          </w:p>
        </w:tc>
      </w:tr>
      <w:tr>
        <w:trPr>
          <w:trHeight w:val="43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录音档案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采样频率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48kHz，不低于44.1kHz</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量化位数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24bit</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以原始轨道数记录。单声道录制的用MONO采样；多声道录制的用STEREO采样</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WAV、MP3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录像档案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视频分辨率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标清：720×576；高清不低于1920×1080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视频采样率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视频量化位数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不低于8 bit</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视频码率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标清不低于8 Mbps，高清不低于16 Mbps</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视频制式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与档案原件相同</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帧数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与档案原件相同</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画面宽高比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与档案原件相同</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音频编码格式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PCM</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音频采样频率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48kHz，不低于44.1kHz</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音频量化位数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bit</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音频位速率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224Kbps</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以原始轨道数记录</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AVI或MXF</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视频编码格式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H.264或MPEG-2  IBP  MP@ML</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备注：1、采集软件应与采集卡相配套，并根据需求进行参数设置。</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2、采集过程中，操作人员应全程监视档案信号采集的情况，如发生信号中断或其它意外情况，应重新进行采集。</w:t>
            </w:r>
            <w:r/>
          </w:p>
        </w:tc>
      </w:tr>
    </w:tbl>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⑸音视频文件存储及格式转换。</w:t>
      </w:r>
      <w:r>
        <w:rPr>
          <w:rFonts w:ascii="SimSun" w:hAnsi="SimSun" w:eastAsia="SimSun" w:cs="SimSun"/>
          <w:color w:val="000000"/>
          <w:sz w:val="24"/>
        </w:rPr>
        <w:t xml:space="preserve">音视频数据采集及格式转换应实时保存在大容量存储设备中。</w:t>
      </w:r>
      <w:r/>
    </w:p>
    <w:p>
      <w:pPr>
        <w:ind w:left="0" w:right="0" w:firstLine="477"/>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表12  音视频文件存储及格式转换要求</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8"/>
        <w:gridCol w:w="1298"/>
        <w:gridCol w:w="56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采集类型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存储及转换要求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音频采集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采集格式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建议以无损WAV格式采集保存，尽量保持音质不变。</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网络利用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可采用压缩比更高的编码格式进行文件转换，把WAV格式转换为MP3、WMA或其他格式文件。</w:t>
            </w:r>
            <w:r/>
          </w:p>
        </w:tc>
      </w:tr>
      <w:tr>
        <w:trPr>
          <w:trHeight w:val="8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视频采集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采集格式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建议以无损AVI格式采集保存。可把无损AVI格式文件转换为MPEG2格式文件，作为常规存储。</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网络利用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可采用压缩比更高的编码格式进行文件转换，把AVI、MPEG2格式转换为RM、MPG、ASF、WMV或其他格式文件。</w:t>
            </w:r>
            <w:r/>
          </w:p>
        </w:tc>
      </w:tr>
    </w:tbl>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⑹音视频文件处理。</w:t>
      </w:r>
      <w:r>
        <w:rPr>
          <w:rFonts w:ascii="SimSun" w:hAnsi="SimSun" w:eastAsia="SimSun" w:cs="SimSun"/>
          <w:color w:val="000000"/>
          <w:sz w:val="24"/>
        </w:rPr>
        <w:t xml:space="preserve">音视频文件的内容应与档案原件保持一致，不应进行编辑处理。音视频文件处理前的原始拷贝应进行保存。</w:t>
      </w:r>
      <w:r/>
    </w:p>
    <w:p>
      <w:pPr>
        <w:ind w:left="0" w:right="0" w:firstLine="477"/>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表13  音视频文件处理要求</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8"/>
        <w:gridCol w:w="70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处理办法</w:t>
            </w:r>
            <w:r/>
          </w:p>
        </w:tc>
      </w:tr>
      <w:tr>
        <w:trPr>
          <w:trHeight w:val="1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录音带转换的音频文件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1、首尾空白时间过长，可适当剪切，使声音开始前和结束后各保留5秒左右的空白；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2、应进行振幅标准化处理，以符合正常的声音播放频率；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3、原录音带噪声过大的，应进行适当的降噪处理，使声音更清晰、干净。</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录像带转换的视频文件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1、应裁掉视频前后无内容的部分，在画面开始前和结束后各保留5秒左右的空白；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2、对没有标题的视频文件，可适当进行编辑、处理，在开始时的空白处加上标题；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3、可对影像画面进行去蒙尘、去划痕、校色、画面稳定等处理。</w:t>
            </w:r>
            <w:r/>
          </w:p>
        </w:tc>
      </w:tr>
    </w:tbl>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⑺音视频文件命名。</w:t>
      </w:r>
      <w:r>
        <w:rPr>
          <w:rFonts w:ascii="SimSun" w:hAnsi="SimSun" w:eastAsia="SimSun" w:cs="SimSun"/>
          <w:color w:val="000000"/>
          <w:sz w:val="24"/>
        </w:rPr>
        <w:t xml:space="preserve">音视频文件应以录音录像档案档号命名，确保唯一性。可按照类别、年度、保管期限等分层次建立文件夹，分目录存放、管理。</w:t>
      </w:r>
      <w:r/>
    </w:p>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表14  音视频文件命名办法</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13"/>
        <w:gridCol w:w="62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6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命名办法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音视频文件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应以档案原件档号来命名，例如：0003-S2005-2-0001或0003-S1-3-0001，要与目录数据中的档号一致。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双面录音带转换的音频文件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录音档案为A、B面分别进行采集的，其数字文件命名时应标注A、B面，例如：0003-S2005-2-0001A。</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一条目录包含多个音视频文件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可按档号与采集时间顺序组合命名，例如：0003-S1-3-0001-01。</w:t>
            </w:r>
            <w:r/>
          </w:p>
        </w:tc>
      </w:tr>
    </w:tbl>
    <w:p>
      <w:pPr>
        <w:ind w:left="0" w:right="0" w:firstLine="482"/>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4、照片底片档案数字化转换</w:t>
      </w:r>
      <w:r/>
    </w:p>
    <w:p>
      <w:pPr>
        <w:ind w:left="0" w:right="0" w:firstLine="479"/>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⑴数字化前处理。</w:t>
      </w:r>
      <w:r/>
    </w:p>
    <w:p>
      <w:pPr>
        <w:ind w:left="0" w:right="0" w:firstLine="477"/>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表15  照片底片档案数字化前处理要求</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4"/>
        <w:gridCol w:w="70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w:t>
            </w:r>
            <w:r/>
          </w:p>
        </w:tc>
      </w:tr>
      <w:tr>
        <w:trPr>
          <w:trHeight w:val="1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1、应检查照片底片档案目录，确认照片号、底片号、题号、拍摄时间、摄影者、文字说明、密级、保管期限、照片规格、照片类型、照片数量、全文标识等著录项齐全、准确，不齐全的在数字化过程中补齐；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2、漏号、错号的予以纠正，并在原件上标识纠正后的数据项；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3、照片污损又没有底片的，应先进行技术处理，以确保扫描质量。</w:t>
            </w:r>
            <w:r/>
          </w:p>
        </w:tc>
      </w:tr>
      <w:tr>
        <w:trPr>
          <w:trHeight w:val="12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取出照片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1、应按顺序将照片从相册中逐张取出（重份照片不扫描），除下影响扫描质量的保护膜、封套等；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2、当受照片保护或保管条件制约无法取出照片时，可采用底片扫描或数码相机拍摄等方式进行数字化转换。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整理登记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应认真填写照片底片档案数字化流程单，记录档案完整、规格等情况。</w:t>
            </w:r>
            <w:r/>
          </w:p>
        </w:tc>
      </w:tr>
    </w:tbl>
    <w:p>
      <w:pPr>
        <w:ind w:left="0" w:right="0" w:firstLine="540"/>
        <w:jc w:val="both"/>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⑵目录数据著录。</w:t>
      </w:r>
      <w:r>
        <w:rPr>
          <w:rFonts w:ascii="SimSun" w:hAnsi="SimSun" w:eastAsia="SimSun" w:cs="SimSun"/>
          <w:color w:val="000000"/>
          <w:sz w:val="24"/>
        </w:rPr>
        <w:t xml:space="preserve">照片底片档案建立案卷级、文件级目录，目录数据著录参照纸质档案目录数据著录要求。</w:t>
      </w:r>
      <w:r/>
    </w:p>
    <w:p>
      <w:pPr>
        <w:ind w:left="0" w:right="0" w:firstLine="540"/>
        <w:jc w:val="both"/>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⑶元数据捕获。</w:t>
      </w:r>
      <w:r>
        <w:rPr>
          <w:rFonts w:ascii="SimSun" w:hAnsi="SimSun" w:eastAsia="SimSun" w:cs="SimSun"/>
          <w:color w:val="000000"/>
          <w:sz w:val="24"/>
        </w:rPr>
        <w:t xml:space="preserve">照片底片档案数字化过程中元数据的捕获，参照纸质档案元数据采集要求。</w:t>
      </w:r>
      <w:r/>
    </w:p>
    <w:p>
      <w:pPr>
        <w:ind w:left="0" w:right="0" w:firstLine="540"/>
        <w:jc w:val="both"/>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⑷照片底片数据采集。</w:t>
      </w:r>
      <w:r>
        <w:rPr>
          <w:rFonts w:ascii="SimSun" w:hAnsi="SimSun" w:eastAsia="SimSun" w:cs="SimSun"/>
          <w:color w:val="000000"/>
          <w:sz w:val="24"/>
        </w:rPr>
        <w:t xml:space="preserve">根据照片底片档案品质、幅面、保管条件制约等情况，采用扫描、数码相机拍摄方式进行数据采集。对扫描或拍摄的图像文件应能够按原件1:1比例还原，能真实反映照片、底片原貌，可满足展览需求。</w:t>
      </w:r>
      <w:r/>
    </w:p>
    <w:p>
      <w:pPr>
        <w:ind w:left="0" w:right="0" w:firstLine="602"/>
        <w:jc w:val="both"/>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表16  照片底片档案数字化硬件设备要求</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82"/>
        <w:gridCol w:w="3098"/>
        <w:gridCol w:w="286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图像品质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6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适用档案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平板扫描仪扫描照片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图像品质较好，满足大多数应用。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除少数受幅面和保管条件制约，无法进行扫描的照片。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带透视功能的平板扫描仪扫描底片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图像品质高于照片扫描，低于专业底片扫描。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有底片的、对图像品质要求较高的照片。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专业底片扫描仪扫描底片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图像品质最佳。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有底片的、对图像品质要求很高的照片。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数码相机拍摄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与照片原件相比，会造成图像的失真以及图像清晰度低等不可避免的损失。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少数受幅面和保管条件制约，无法进行扫描的照片。</w:t>
            </w:r>
            <w:r/>
          </w:p>
        </w:tc>
      </w:tr>
    </w:tbl>
    <w:p>
      <w:pPr>
        <w:ind w:left="0" w:right="0" w:firstLine="477"/>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表17  照片底片档案数据采集技术参数</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9"/>
        <w:gridCol w:w="1061"/>
        <w:gridCol w:w="949"/>
        <w:gridCol w:w="1182"/>
        <w:gridCol w:w="1027"/>
        <w:gridCol w:w="1730"/>
        <w:gridCol w:w="1649"/>
      </w:tblGrid>
      <w:tr>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扫描方式</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照片扫描</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底片扫描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数码相机翻拍</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载体规格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≤10英寸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＞10英寸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≤xxxxxxmm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＞xxxxxxmm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大幅或超大幅照片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主要参数设定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600dpi</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300dpi</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2400dpi</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xxxxxx0dpi</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≥1000万像素</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色彩模式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黑白照片采用灰度模式，彩色照片采用RGB全彩模式。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黑白照片采用灰度模式，彩色照片采用RGB全彩模式。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采用RGB全彩模式。</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文件格式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TIFF、JPEG、JPEG2000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TIFF、JPEG、JPEG2000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TIFF、JPEG、JPEG2000</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压缩算法与压缩率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TIFF不压缩</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TIFF不压缩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TIFF不压缩</w:t>
            </w:r>
            <w:r/>
          </w:p>
        </w:tc>
      </w:tr>
    </w:tbl>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⑸图像处理。</w:t>
      </w:r>
      <w:r>
        <w:rPr>
          <w:rFonts w:ascii="SimSun" w:hAnsi="SimSun" w:eastAsia="SimSun" w:cs="SimSun"/>
          <w:color w:val="000000"/>
          <w:sz w:val="24"/>
        </w:rPr>
        <w:t xml:space="preserve">扫描完成后，应对扫描图像进行处理。</w:t>
      </w:r>
      <w:r/>
    </w:p>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表18  照片底片档案图像处理要求</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66"/>
        <w:gridCol w:w="690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处理要求</w:t>
            </w:r>
            <w:r/>
          </w:p>
        </w:tc>
      </w:tr>
      <w:tr>
        <w:trPr>
          <w:trHeight w:val="1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图像拼接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1、照片进行分区扫描形成的多幅图像，应进行拼接处理，合并为一个完整的图像，以保证图像的整体性；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2、以图像拼接处理的照片档案应做好记录，并在著录目录数据时，在附注项中加注“图像拼接”。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裁边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对扫描图像进行裁边处理时，应去除多余的边框或白边，以便有效减少数字图像文件的容量，节约存储空间。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纠偏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应对方向不正确的图像旋转还原，对偏斜的进行纠偏，偏斜不宜超过3度。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曝光调整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对曝光不足或曝光过度的照片和底片，应采取增加或减少亮度等措施进行补救处理。</w:t>
            </w:r>
            <w:r/>
          </w:p>
        </w:tc>
      </w:tr>
    </w:tbl>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⑹存储格式。</w:t>
      </w:r>
      <w:r>
        <w:rPr>
          <w:rFonts w:ascii="SimSun" w:hAnsi="SimSun" w:eastAsia="SimSun" w:cs="SimSun"/>
          <w:color w:val="000000"/>
          <w:sz w:val="24"/>
        </w:rPr>
        <w:t xml:space="preserve">对于重要照片和扫描质量要求较高的照片，以TIFF（LZW）无损压缩格式存储。为方便网络利用，在存储图像文件时应同时生成缩略图。</w:t>
      </w:r>
      <w:r/>
    </w:p>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⑺图像文件命名。</w:t>
      </w:r>
      <w:r>
        <w:rPr>
          <w:rFonts w:ascii="SimSun" w:hAnsi="SimSun" w:eastAsia="SimSun" w:cs="SimSun"/>
          <w:color w:val="000000"/>
          <w:sz w:val="24"/>
        </w:rPr>
        <w:t xml:space="preserve">图像文件应按“照片号”命名，应将同一题名的若干图像文件存放在一个文件夹中，其上层可按照类别、年度、保管期限等分层次建立文件夹，分目录存放、管理。</w:t>
      </w:r>
      <w:r/>
    </w:p>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5、实物档案数字化转换</w:t>
      </w:r>
      <w:r/>
    </w:p>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⑴数字化前处理。</w:t>
      </w:r>
      <w:r>
        <w:rPr>
          <w:rFonts w:ascii="SimSun" w:hAnsi="SimSun" w:eastAsia="SimSun" w:cs="SimSun"/>
          <w:color w:val="000000"/>
          <w:sz w:val="24"/>
        </w:rPr>
        <w:t xml:space="preserve">对实物档案进行检查，有残缺的应进行修补，并做好记录；对载体进行全面卫生清理，确保载体清洁，表面无反光或反光点。</w:t>
      </w:r>
      <w:r/>
    </w:p>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⑵目录数据著录。</w:t>
      </w:r>
      <w:r>
        <w:rPr>
          <w:rFonts w:ascii="SimSun" w:hAnsi="SimSun" w:eastAsia="SimSun" w:cs="SimSun"/>
          <w:color w:val="000000"/>
          <w:sz w:val="24"/>
        </w:rPr>
        <w:t xml:space="preserve">实物档案目录数据著录参照纸质档案目录数据著录要求。</w:t>
      </w:r>
      <w:r/>
    </w:p>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⑶元数据捕获。</w:t>
      </w:r>
      <w:r>
        <w:rPr>
          <w:rFonts w:ascii="SimSun" w:hAnsi="SimSun" w:eastAsia="SimSun" w:cs="SimSun"/>
          <w:color w:val="000000"/>
          <w:sz w:val="24"/>
        </w:rPr>
        <w:t xml:space="preserve">实物档案数字化过程中元数据的捕获，参照纸质档案元数据采集要求。</w:t>
      </w:r>
      <w:r/>
    </w:p>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⑷实物档案拍摄。</w:t>
      </w:r>
      <w:r>
        <w:rPr>
          <w:rFonts w:ascii="SimSun" w:hAnsi="SimSun" w:eastAsia="SimSun" w:cs="SimSun"/>
          <w:color w:val="000000"/>
          <w:sz w:val="24"/>
        </w:rPr>
        <w:t xml:space="preserve">应设置拍摄场地，提供侧主光、底光、顶光、背光等柔性照明，采用单一背景烘托实物。宜采用单反数码相机和标准、变焦镜头进行彩色拍照，拍摄的图像应曝光正确、反差适中，光线采用侧立光或反射光；被拍摄物一般应占取景框的2/3，珍贵的实物采取多角度拍摄，以便今后制作立体影像。拍摄参数设置：图像质量可选择“标准”，图像尺寸可选择1280×960；需制作大幅面照片或展览图片的，拍摄的图像质量可选择“精细”，图像尺寸可选择大于2272×1704。</w:t>
      </w:r>
      <w:r/>
    </w:p>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字画拍摄可采用分段分区方式，各幅图像的大小尺寸相近、分辨率和曝光量一致，相邻图像之间应有部分重叠，重叠面积不少于分区面积的1/20。应使用专业软件对图像进行无缝拼接，合并为一个完整的图像，并在著录目录数据时，在附注中加注“图像拼接”。</w:t>
      </w:r>
      <w:r/>
    </w:p>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⑸存储格式。</w:t>
      </w:r>
      <w:r>
        <w:rPr>
          <w:rFonts w:ascii="SimSun" w:hAnsi="SimSun" w:eastAsia="SimSun" w:cs="SimSun"/>
          <w:color w:val="000000"/>
          <w:sz w:val="24"/>
        </w:rPr>
        <w:t xml:space="preserve">图像文件可选择TIFF或JPEG格式存储。需要制作大幅面照片的，宜选择TIFF格式。</w:t>
      </w:r>
      <w:r/>
    </w:p>
    <w:p>
      <w:pPr>
        <w:ind w:left="0" w:right="0" w:firstLine="36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（二）人员配备要求</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公开招标人应当充分考虑本项目的工期要求、作业量要求等采购需求、结合自身情况综合配置项目团队人员；团队总人数公开招标方可自行投报，但应当配置至少1名项目管理人员。</w:t>
      </w:r>
      <w:r/>
    </w:p>
    <w:p>
      <w:pPr>
        <w:ind w:left="0" w:right="0" w:firstLine="36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（三）售后服务</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1.项目验收交付使用后，加工单位要提供三年7*24免费的质量保证及售后服务，质保期满后，有义务向响水县公安局提供有偿的后续技术支持。</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售后服务方式及响应时间：服务方式一般采用现场维护，中标单位二十四小时热线响应，在接到电话要求后提供≤3小时响应的项目后期维护服务，以保证数据的安全运行。一般问题4小时内解决，严重问题及时提出用户方可接受的解决方案和服务承诺。</w:t>
      </w:r>
      <w:r/>
    </w:p>
    <w:p>
      <w:pPr>
        <w:ind w:left="0" w:right="0" w:firstLine="36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（四）安全保密要求</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遵守《中华人民共和国档案法》、《保密法》及响水县公安局的保密规定及相关规章制度。本项目所有工作必须在用户指定的场所内进行，确保加工场所的正常秩序和安全。不得损毁、丢失档案，如有违反，将依法追究法律责任。中标单位须与响水县公安局签订保密协议，中标单位须做到：</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1、强化人员管理，所有人员持证上岗，并将身份证复印件交响水县公安局审核保存，如有人员变动，应及时通知响水县公安局。</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2、建立严格的保密制度，落实相关安全措施，加强管理，杜绝工作人员对档案及档案信息的私自复制行为。与项目工作人员签订保密协议，加强对工作人员的安全保密教育。</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的工序之间要采取严格措施，杜绝档案信息泄密事故的发生。在加工过程中，公开招标人不能丢失、损毁档案，档案资料不能放错卷、盒。由于公开招标人过错导致档案资料及数据损毁或泄密的，公开招标人承担一切责任。</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扫描加工场地需配备必要设施，确保档案原件和档案信息的安全和保密。乙方在工作场所安装无死角监控系统，7*24小时监控工作人员的操作过程，统一记录保存。项目结束后，乙方要移交甲方全部监控视频录像资料、用于数字化加  工的硬盘，并提供甲方存储数字化加工全部数据的硬盘。</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5、加工过程安全要求</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（1）对服务器的操作采取安全监管措施。</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（2）USB端口封闭使用。</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（3）各操作均有日志记录：用户登录操作日志；用户文件传输操作日志；系统管理员操作日志；文件上传日志；网络访问日志等。</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（4）按照既定规则、路径，自动备份目录数据、图像文件，并可进行数据库恢复。包括数据库增量备份、全库备份、制定时间自动备份、手动备份等。</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软件监管要求，项目实施过程中需使用专业流程管理软件进行管理，对档案出库、加工、上架入库等整个过程进行流程监管，能够打印相关交接记录等。能够满足数字加工过程中包括档案扫描、数据校对、光盘刻录、档案装订、品质检查等关键节点的监管要求。具有独立的集中式数据存储（需要将初始扫描件、修图件、成品件分离）、采用FTP数据传输、 流程高度自定义、档案高度类型自定义、工作量统计、备备查卷、质检、抽检等功能。</w:t>
      </w:r>
      <w:r/>
    </w:p>
    <w:p>
      <w:pPr>
        <w:ind w:left="0" w:right="0" w:firstLine="36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（五）项目验收要求</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单位对中标单位数据分批进行验收。数据验收以抽检方式进行。抽检比率大于5%，抽检合格率100%。中标单位提交验收的数据不论涉及验收标准哪一条，不合格的，全部发回中标单位全面自检，在退回自检期间，采购单位将不再向中标单位提供加工的档案。不合格率大于2%的（不合格率=抽检不合格数÷抽检总数×100%），该批次数据或图像文件全部返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2、采购单位在验收中检出的错误，中标单位及时、无偿予以纠正后再提交采购单位验收。</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3、数据质量检查要求</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69"/>
        <w:gridCol w:w="69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检查要求</w:t>
            </w:r>
            <w:r/>
          </w:p>
        </w:tc>
      </w:tr>
      <w:tr>
        <w:trPr>
          <w:trHeight w:val="13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目录数据和元数据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1、应采用自动校对和人工抽查相结合的方式进行检查；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2、应对著录数据项目的完整性、著录内容的规范性、准确性，元数据的完整性和赋值规范性等内容进行检查，发现不合格的数据或遗漏的，及时进行修改或重新著录。</w:t>
            </w:r>
            <w:r/>
          </w:p>
        </w:tc>
      </w:tr>
      <w:tr>
        <w:trPr>
          <w:trHeight w:val="21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1、使用软件对所有图像进行核验，对不符合要求的，应重新扫描；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2、检查发现图像不完整、无法清晰识别或图像失真等问题的，应重新扫描；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3、漏扫、重扫、多扫等情况，应及时改正；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4、图像的排列与档案原件不一致，应及时调整；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5、图像拼接、旋转及纠偏、裁边、去污等处理不符合图像质量要求的，应重新进行处理。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音视频文件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通过播放、对比档案原件等方式进行检查，对存在音视频不清晰、延迟等问题并系采集工作引起的，重新进行采集。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登记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对检查发现问题的，应认真做好登记，详细记录检查结果和处理意见。</w:t>
            </w:r>
            <w:r/>
          </w:p>
        </w:tc>
      </w:tr>
    </w:tbl>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四、报价要求及付款方式</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1、报价单必须按照采购文件所提供的格式填入，采购人提供的清单中的序号、品名、数量等，供应商在公开招标报价时不得作任何更改变动，否则一切责任由供应商自负。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公开招标报价应包括公开招标人为完成公开招标文件所确定的公开招标范围内的全部服务工作内容所发生的一切费用，其公开招标报价为完成本项目从档案出库、扫描前处理、档案扫描及目录检查、目录著录、电子图像标准化处理、图像质检(信息检查) 、电子文件保存及与数据库挂接、档案装订、档案入库、电子档案挂接等及其相关服务的总费用，包括但不仅限于人工费、材料费、仪器设备或机械使用费、管理费、公开招标代理费、利润、税金，不可预见费及其它一切相关费用，同时还应充分考虑市场风险、国家政策性调整风险系数以及承担的义务、责任、风</w:t>
      </w:r>
      <w:r>
        <w:rPr>
          <w:rFonts w:ascii="SimSun" w:hAnsi="SimSun" w:eastAsia="SimSun" w:cs="SimSun"/>
          <w:color w:val="000000"/>
          <w:sz w:val="24"/>
        </w:rPr>
        <w:t xml:space="preserve">险等一切因素，并计入公开招标报价中。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3、要求报价单的每一页都必须盖公开招标单位公章。</w:t>
      </w:r>
      <w:r/>
    </w:p>
    <w:p>
      <w:pPr>
        <w:ind w:left="0" w:right="0" w:firstLine="480"/>
        <w:jc w:val="both"/>
        <w:spacing w:before="0" w:after="145"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4、付款方式：按本文件第三章合同条款中的相关条款执行。</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五、应充分响应的技术规范和商务条款</w:t>
      </w:r>
      <w:r/>
    </w:p>
    <w:p>
      <w:pPr>
        <w:ind w:left="0" w:right="0" w:firstLine="480"/>
        <w:jc w:val="both"/>
        <w:spacing w:before="0" w:after="145"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本文件所提出的技术规范及任务书要求、付款方式、交货时间等重要商务要求，公开招标人应充分响应，否则评标委员会有权酌情认定为实质性或重大负偏离。</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52"/>
        <w:gridCol w:w="6988"/>
      </w:tblGrid>
      <w:tr>
        <w:trPr>
          <w:trHeight w:val="9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w:t>
              <w:br/>
              <w:t xml:space="preserve">需实现的功能或目标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满足采购人的采购需求</w:t>
            </w:r>
            <w:r/>
          </w:p>
        </w:tc>
      </w:tr>
      <w:tr>
        <w:trPr>
          <w:trHeight w:val="7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免费质保期限3年</w:t>
            </w:r>
            <w:r/>
          </w:p>
        </w:tc>
      </w:tr>
      <w:tr>
        <w:trPr>
          <w:trHeight w:val="7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自合同签订之日起，180日历天内完成所有工作。</w:t>
            </w:r>
            <w:r/>
          </w:p>
        </w:tc>
      </w:tr>
      <w:tr>
        <w:trPr>
          <w:trHeight w:val="7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按照合同条款执行</w:t>
            </w:r>
            <w:r/>
          </w:p>
        </w:tc>
      </w:tr>
      <w:tr>
        <w:trPr>
          <w:trHeight w:val="7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验收标准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符合国家标准</w:t>
            </w:r>
            <w:r/>
          </w:p>
        </w:tc>
      </w:tr>
      <w:tr>
        <w:trPr>
          <w:trHeight w:val="7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备品备件及耗材等要求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w:t>
            </w:r>
            <w:r/>
          </w:p>
        </w:tc>
      </w:tr>
      <w:tr>
        <w:trPr>
          <w:trHeight w:val="7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签订合同后，设备、人员进场</w:t>
            </w:r>
            <w:r>
              <w:rPr>
                <w:rFonts w:ascii="Calibri" w:hAnsi="Calibri" w:eastAsia="Calibri" w:cs="Calibri"/>
                <w:b/>
                <w:color w:val="000000"/>
                <w:sz w:val="24"/>
              </w:rPr>
              <w:t xml:space="preserve">10</w:t>
            </w:r>
            <w:r>
              <w:rPr>
                <w:rFonts w:ascii="SimSun" w:hAnsi="SimSun" w:eastAsia="SimSun" w:cs="SimSun"/>
                <w:b/>
                <w:color w:val="000000"/>
                <w:sz w:val="24"/>
              </w:rPr>
              <w:t xml:space="preserve">天内预付合同价的</w:t>
            </w:r>
            <w:r>
              <w:rPr>
                <w:rFonts w:ascii="Calibri" w:hAnsi="Calibri" w:eastAsia="Calibri" w:cs="Calibri"/>
                <w:b/>
                <w:color w:val="000000"/>
                <w:sz w:val="24"/>
              </w:rPr>
              <w:t xml:space="preserve">30%</w:t>
            </w:r>
            <w:r>
              <w:rPr>
                <w:rFonts w:ascii="SimSun" w:hAnsi="SimSun" w:eastAsia="SimSun" w:cs="SimSun"/>
                <w:b/>
                <w:color w:val="000000"/>
                <w:sz w:val="24"/>
              </w:rPr>
              <w:t xml:space="preserve">，项目结束，由甲方确认实际加工数量，经甲方验收合格且经审计通过后</w:t>
            </w:r>
            <w:r>
              <w:rPr>
                <w:rFonts w:ascii="Calibri" w:hAnsi="Calibri" w:eastAsia="Calibri" w:cs="Calibri"/>
                <w:b/>
                <w:color w:val="000000"/>
                <w:sz w:val="24"/>
              </w:rPr>
              <w:t xml:space="preserve">15</w:t>
            </w:r>
            <w:r>
              <w:rPr>
                <w:rFonts w:ascii="SimSun" w:hAnsi="SimSun" w:eastAsia="SimSun" w:cs="SimSun"/>
                <w:b/>
                <w:color w:val="000000"/>
                <w:sz w:val="24"/>
              </w:rPr>
              <w:t xml:space="preserve">天内支付至实际加工数量审计金额的</w:t>
            </w:r>
            <w:r>
              <w:rPr>
                <w:rFonts w:ascii="Calibri" w:hAnsi="Calibri" w:eastAsia="Calibri" w:cs="Calibri"/>
                <w:b/>
                <w:color w:val="000000"/>
                <w:sz w:val="24"/>
              </w:rPr>
              <w:t xml:space="preserve">90%</w:t>
            </w:r>
            <w:r>
              <w:rPr>
                <w:rFonts w:ascii="SimSun" w:hAnsi="SimSun" w:eastAsia="SimSun" w:cs="SimSun"/>
                <w:b/>
                <w:color w:val="000000"/>
                <w:sz w:val="24"/>
              </w:rPr>
              <w:t xml:space="preserve">，尾款乙方应将加工数据成功导入挂接至“新版江苏公安档案信息管理系统”后支付。</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12、采购标的对应的中小企业划分标准所属行业一览表</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2949"/>
        <w:gridCol w:w="25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4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响水县公安局档案数字化加工项目（二次）</w:t>
            </w: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2"/>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2"/>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2"/>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2"/>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2"/>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2"/>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2"/>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2"/>
        <w:jc w:val="both"/>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2"/>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602"/>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602"/>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602"/>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602"/>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602"/>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p>
    <w:p>
      <w:pPr>
        <w:ind w:left="0" w:right="0" w:firstLine="602"/>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2"/>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Sun" w:hAnsi="SimSun" w:eastAsia="SimSun" w:cs="SimSun"/>
          <w:color w:val="000000"/>
          <w:sz w:val="44"/>
        </w:rPr>
        <w:t xml:space="preserve">  </w:t>
      </w:r>
      <w:r>
        <w:rPr>
          <w:rFonts w:ascii="SimHei" w:hAnsi="SimHei" w:eastAsia="SimHei" w:cs="SimHei"/>
          <w:b/>
          <w:color w:val="000000"/>
          <w:sz w:val="44"/>
        </w:rPr>
        <w:t xml:space="preserve">评标方法与评标标准</w:t>
      </w:r>
      <w:r/>
      <w:r>
        <w:rPr>
          <w:rFonts w:ascii="Calibri" w:hAnsi="Calibri" w:eastAsia="Calibri" w:cs="Calibri"/>
          <w:color w:val="000000"/>
          <w:sz w:val="24"/>
        </w:rPr>
      </w:r>
      <w:r/>
      <w:r>
        <w:rPr>
          <w:rFonts w:ascii="Calibri" w:hAnsi="Calibri" w:eastAsia="Calibri" w:cs="Calibri"/>
          <w:sz w:val="24"/>
        </w:rPr>
      </w:r>
    </w:p>
    <w:p>
      <w:pPr>
        <w:ind w:left="0" w:right="0" w:firstLine="439"/>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ascii="Arial" w:hAnsi="Arial" w:eastAsia="Arial" w:cs="Arial"/>
          <w:color w:val="000000"/>
          <w:sz w:val="24"/>
        </w:rPr>
        <w:t xml:space="preserve">1</w:t>
      </w:r>
      <w:r>
        <w:rPr>
          <w:rFonts w:ascii="SimSun" w:hAnsi="SimSun" w:eastAsia="SimSun" w:cs="SimSun"/>
          <w:color w:val="000000"/>
          <w:sz w:val="24"/>
        </w:rPr>
        <w:t xml:space="preserve">名中标候选人。</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（2）供应商需按照采购文件的要求提供相应的《中小企业声明函》。</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w:t>
      </w:r>
      <w:r/>
    </w:p>
    <w:p>
      <w:pPr>
        <w:ind w:left="12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i/>
          <w:color w:val="000000"/>
          <w:sz w:val="24"/>
        </w:rPr>
        <w:t xml:space="preserve">如属政府强制采购产品未提供认证证书的或认证证书提供不全的将视为未实质性响应采购要求</w:t>
      </w:r>
      <w:r>
        <w:rPr>
          <w:rFonts w:ascii="SimSun" w:hAnsi="SimSun" w:eastAsia="SimSun" w:cs="SimSun"/>
          <w:i/>
          <w:color w:val="000000"/>
          <w:sz w:val="24"/>
        </w:rPr>
        <w:t xml:space="preserve">。</w:t>
      </w:r>
      <w:r>
        <w:rPr>
          <w:rFonts w:ascii="SimSun" w:hAnsi="SimSun" w:eastAsia="SimSun" w:cs="SimSun"/>
          <w:color w:val="000000"/>
          <w:sz w:val="24"/>
        </w:rPr>
        <w:t xml:space="preserve">其他条件相同情况下，应当优先采购节能产品、环境标志产品。</w:t>
      </w:r>
      <w:r/>
    </w:p>
    <w:p>
      <w:pPr>
        <w:ind w:left="0" w:right="0" w:firstLine="473"/>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8、根据《江苏省政府采购信用管理暂行办法》的规定，供应商信用评价结果为三星的扣2分，评价结果为二星的扣3分，评价结果为一星的扣4分。</w:t>
      </w:r>
      <w:r/>
    </w:p>
    <w:p>
      <w:pPr>
        <w:ind w:left="0" w:right="0" w:firstLine="482"/>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5"/>
        <w:gridCol w:w="172"/>
        <w:gridCol w:w="8797"/>
      </w:tblGrid>
      <w:tr>
        <w:trPr>
          <w:trHeight w:val="4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97"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评分内容及标准</w:t>
            </w:r>
            <w:r/>
          </w:p>
        </w:tc>
      </w:tr>
      <w:tr>
        <w:trPr>
          <w:trHeight w:val="10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97" w:type="dxa"/>
            <w:vAlign w:val="top"/>
            <w:textDirection w:val="lrTb"/>
            <w:noWrap/>
          </w:tcPr>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进入综合评审的最低评标价为评标基准价，其价格分为满分。其他投标人价格分按以下公式计算：</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 (评标基准价／评标价)× 10</w:t>
            </w:r>
            <w:r/>
          </w:p>
        </w:tc>
      </w:tr>
      <w:tr>
        <w:trPr>
          <w:trHeight w:val="15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实施方案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97" w:type="dxa"/>
            <w:vAlign w:val="top"/>
            <w:textDirection w:val="lrTb"/>
            <w:noWrap/>
          </w:tcPr>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根据投标人提供的项目实施方案(包括但不限于项目实施人员、投入本项目的专业设备、项目实施的具体方案、管理方案、以及保证措施、现场管理制度等) 进行评分：①方案优于项目需求的得9分； ②方案符合项目需求的得7分；③方案不符合项目需求的得5分；④未提供不得分。</w:t>
            </w:r>
            <w:r/>
          </w:p>
        </w:tc>
      </w:tr>
      <w:tr>
        <w:trPr>
          <w:trHeight w:val="6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人员配备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97" w:type="dxa"/>
            <w:vAlign w:val="top"/>
            <w:textDirection w:val="lrTb"/>
            <w:noWrap/>
          </w:tcPr>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拟投入本项目的项目经理(仅指一人)情况进行评分：①工业和信息化人才能力提升证书（档案数字化管理师（高级）研修班）的，得3分；②项目经理具有NISP国家信息安全水平考试一级证书的，得3分；③项目经理具有ITSS的IT服务项目经理证书的，得3分；④项目经理具有省档案局继续教育培训证书的，得1分；最高得10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2、投标人拟投入本项目的技术经理(仅指一人)情况进行评分：①技术经理具有高级网络信息安全工程师证书的，得3分； ②技术经理具有档案数字化信息化建设监理工程师证书的，得2分；③技术经理具有ITSS的IT服务项目经理证书的，得2分；④技术经理具有省档案局继续教育培训证书的，得1分； 最高得8分。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3、投标人拟投入本项目的服务人员(项目经理，技术经理除外) 具有省级及以上档案管理部门档案人员上岗培训合格证书的，每人得1分，最高得8分。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4、投标人拟投入本项目的项目经理与技术经理具有涉密岗位保密技能专题培训证书的，每人得2分，最高得4分。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 同时提供：①有效证书扫描件或相关证明材料；②投标人项目经理及技术经理须提供其缴纳的开标前(不含开标当月)1个月的社保证明材料。</w:t>
            </w:r>
            <w:r/>
          </w:p>
        </w:tc>
      </w:tr>
      <w:tr>
        <w:trPr>
          <w:trHeight w:val="10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97" w:type="dxa"/>
            <w:vAlign w:val="top"/>
            <w:textDirection w:val="lrTb"/>
            <w:noWrap/>
          </w:tcPr>
          <w:p>
            <w:pPr>
              <w:ind w:left="0" w:right="0" w:firstLine="3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自2021年12月1日(以合同签订时间为准) 以来，投标人具有档案整理及数字化扫描加工类项目业绩的，每个得2.5分，最高得10分。须同时提供合同及对应的项目验收合格材料，时间以合同签订的时间为准，不提供不得分。</w:t>
            </w:r>
            <w:r/>
          </w:p>
        </w:tc>
      </w:tr>
      <w:tr>
        <w:trPr>
          <w:trHeight w:val="4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投标人实力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97" w:type="dxa"/>
            <w:vAlign w:val="top"/>
            <w:textDirection w:val="lrTb"/>
            <w:noWrap/>
          </w:tcPr>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投标人具有以下资质：</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1.质量管理体系认证证书；</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2.环境管理体系认证证书；</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3.职业健康安全管理体系认证证书；</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4.信息安全管理体系认证证书；</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5.信息技术服务管理体系认证证书；</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6.数字化能力服务等级资质证书；</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7.档案整理服务企业资质证书。</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每个证书得3分，最高得21分。</w:t>
            </w:r>
            <w:r/>
          </w:p>
        </w:tc>
      </w:tr>
      <w:tr>
        <w:trPr>
          <w:trHeight w:val="18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软件能力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97" w:type="dxa"/>
            <w:vAlign w:val="top"/>
            <w:textDirection w:val="lrTb"/>
            <w:noWrap/>
          </w:tcPr>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1.投标人具有“档案智能登记备份系统软件”相关软件著作权证书，得1分；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2.投标人具有“档案数字化加工质检工具软件”相关软件著作权证书，得1分；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3.投标人具有“档案数据批量挂接软件”相关软件著作权证书，得1分；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4.投标人具有“档案数字化数据查阅系统”相关软件著作权证书，得1分；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5.投标人具有“档案数字化流程可视化管理系统”相关软件著作权证书，得1分；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6.投标人具有“OCR识别软件”相关软件著作权证书，得1分；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7.投标人具有“档案管理软件”相关软件著作权证书,得1分；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8.投标人具有“档案元数据采集软件”相关软件著作权证书，得1分；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9.投标人具有“档案数字化加工管理系统软件”相关软件著作权证书，得1分；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10.投标人具有“双机著录校核软件”相关软件著作权证书，得1分；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11投标人具有“合并多页PDF软件”相关软件著作权证书，得1分；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12.投标人具有“档案双层PDF文件加工加密软件”相关软件著作权证书，得1分；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13.投标人具有“档案智能数字化电子档案信息化安全管理系统”相关软件著作权证书，得1分；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14.投标人具有“档案业务流程控制及追溯管理系统”相关软件著作权证书，得1分；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15.投标人具有“档案数字化加工人员绩效考核监测系统”相关软件著作权证书，得1分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16.投标人具有“档案扫描文件批量自动纠偏软件”相关软件著作权证书，得1分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17.投标人具有“档案扫录双向校对软件”相关软件著作权证书，得1分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18.投标人具有“档案容灾数据备份系统”相关软件著作权证书，得1分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19.投标人具有“档案电子卷宗数字化加工系统”相关软件著作权证书，得1分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20.投标人具有“数字化档案自动归档核查检索综合系统”相关软件著作权证书，得1分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注：响应文件中提供上述证书扫描件，未提供不得分，最高得20分。</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w:t>
      </w:r>
      <w:r>
        <w:rPr>
          <w:rFonts w:ascii="SimSun" w:hAnsi="SimSun" w:eastAsia="SimSun" w:cs="SimSun"/>
          <w:color w:val="000000"/>
          <w:sz w:val="44"/>
        </w:rPr>
        <w:t xml:space="preserve">  </w:t>
      </w:r>
      <w:r>
        <w:rPr>
          <w:rFonts w:ascii="SimHei" w:hAnsi="SimHei" w:eastAsia="SimHei" w:cs="SimHei"/>
          <w:color w:val="000000"/>
          <w:sz w:val="44"/>
        </w:rPr>
        <w:t xml:space="preserve">投标文件格式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投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名 称：</w:t>
      </w:r>
      <w:r>
        <w:rPr>
          <w:rFonts w:ascii="SimSun" w:hAnsi="SimSun" w:eastAsia="SimSun" w:cs="SimSun"/>
          <w:b/>
          <w:color w:val="000000"/>
          <w:sz w:val="36"/>
          <w:u w:val="single"/>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编 号：</w:t>
      </w: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w:t>
      </w:r>
      <w:r>
        <w:rPr>
          <w:rFonts w:ascii="SimSun" w:hAnsi="SimSun" w:eastAsia="SimSun" w:cs="SimSun"/>
          <w:b/>
          <w:color w:val="000000"/>
          <w:sz w:val="36"/>
          <w:u w:val="single"/>
        </w:rPr>
        <w:t xml:space="preserve">（加盖CA电子公章）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二、上一年度的财务状况报表（至少提供资产负债表、利润表、现金流量表，</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投标人成立不满一年无需提供）</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三、具备履行合同所必需的设备和专业技术能力的书面声明</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 年内在经营活动中没有重大违法记录的书面声明</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六、特定资格要求的证明文件（如果本项目设置特定资格要求，则需要提供）</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七、法人授权书</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八、投标函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十一、联合体协议</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十二、投标分项报价表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十三、技术要求响应及偏离表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十五、开标一览表</w:t>
      </w:r>
      <w:r/>
    </w:p>
    <w:p>
      <w:pPr>
        <w:ind w:left="0" w:right="0" w:firstLine="48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十六、供应商认为需要提供的其他材料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十七、响水县政府采购事前信用承诺书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投标人成立不满一年不需提供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r>
        <w:rPr>
          <w:rFonts w:ascii="Calibri" w:hAnsi="Calibri" w:eastAsia="Calibri" w:cs="Calibri"/>
          <w:color w:val="000000"/>
          <w:sz w:val="24"/>
        </w:rPr>
      </w:r>
      <w:r/>
      <w:r>
        <w:rPr>
          <w:rFonts w:ascii="Calibri" w:hAnsi="Calibri" w:eastAsia="Calibri" w:cs="Calibri"/>
          <w:sz w:val="24"/>
        </w:rP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12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Hei" w:hAnsi="SimHei" w:eastAsia="SimHei" w:cs="SimHei"/>
          <w:b/>
          <w:color w:val="000000"/>
          <w:sz w:val="32"/>
        </w:rPr>
        <w:t xml:space="preserve">八、投标函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致：响水县公安局</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根据贵方的JSZC-320921-SHZC-G2024-0005号招标文件，正式授权下述签字人______(姓名)代表我方______________（投标人的名称），全权处理本次项目投标的有关事宜。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人  开  户   行：</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
        <w:rPr>
          <w:rFonts w:ascii="Calibri" w:hAnsi="Calibri" w:eastAsia="Calibri" w:cs="Calibri"/>
          <w:color w:val="000000"/>
          <w:sz w:val="24"/>
        </w:rPr>
        <w:t xml:space="preserve"> </w:t>
      </w:r>
      <w:r/>
      <w:r>
        <w:rPr>
          <w:rFonts w:ascii="Calibri" w:hAnsi="Calibri" w:eastAsia="Calibri" w:cs="Calibri"/>
          <w:sz w:val="24"/>
        </w:rP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九、中小企业声明函（服务）</w:t>
      </w:r>
      <w:r/>
    </w:p>
    <w:p>
      <w:pPr>
        <w:ind w:left="36" w:right="84" w:firstLine="640"/>
        <w:jc w:val="both"/>
        <w:spacing w:before="10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采购活动，服务全部由符合政策要求的中小企业承接。相关企业的具体情况如下：</w:t>
      </w:r>
      <w:r/>
    </w:p>
    <w:p>
      <w:pPr>
        <w:ind w:left="18" w:right="0" w:firstLine="671"/>
        <w:jc w:val="both"/>
        <w:spacing w:before="54"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hyperlink r:id="rId8" w:tooltip="http://jszfcg.jscz.gov.cn/jszc/onlyoffice/7.2.1-34/web-apps/apps/documenteditor/main/index_loader.html?_dc=7.2.1-34&amp;lang=zh&amp;customer=%20&amp;logo=%20&amp;headerlogo=%2Ffavicon.ico&amp;frameEditorId=iframePage&amp;compact=true&amp;parentOrigin=http://jszfcg.jscz.gov.cn#bookmark2" w:history="1">
        <w:r>
          <w:rPr>
            <w:rStyle w:val="791"/>
            <w:rFonts w:ascii="SimSun" w:hAnsi="SimSun" w:eastAsia="SimSun" w:cs="SimSun"/>
            <w:color w:val="0000ee"/>
            <w:sz w:val="24"/>
            <w:u w:val="single"/>
          </w:rPr>
          <w:t xml:space="preserve">1</w:t>
        </w:r>
      </w:hyperlink>
      <w:r>
        <w:rPr>
          <w:rFonts w:ascii="SimSun" w:hAnsi="SimSun" w:eastAsia="SimSun" w:cs="SimSun"/>
          <w:color w:val="000000"/>
          <w:sz w:val="24"/>
        </w:rPr>
        <w:t xml:space="preserve"> ，属于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w:t>
      </w:r>
      <w:r/>
    </w:p>
    <w:p>
      <w:pPr>
        <w:ind w:left="18" w:right="0" w:firstLine="651"/>
        <w:jc w:val="both"/>
        <w:spacing w:before="135"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hyperlink r:id="rId9" w:tooltip="http://jszfcg.jscz.gov.cn/jszc/onlyoffice/7.2.1-34/web-apps/apps/documenteditor/main/index_loader.html?_dc=7.2.1-34&amp;lang=zh&amp;customer=%20&amp;logo=%20&amp;headerlogo=%2Ffavicon.ico&amp;frameEditorId=iframePage&amp;compact=true&amp;parentOrigin=http://jszfcg.jscz.gov.cn#bookmark2" w:history="1">
        <w:r>
          <w:rPr>
            <w:rStyle w:val="791"/>
            <w:rFonts w:ascii="SimSun" w:hAnsi="SimSun" w:eastAsia="SimSun" w:cs="SimSun"/>
            <w:color w:val="0000ee"/>
            <w:sz w:val="24"/>
            <w:u w:val="single"/>
          </w:rPr>
          <w:t xml:space="preserve">1</w:t>
        </w:r>
      </w:hyperlink>
      <w:r>
        <w:rPr>
          <w:rFonts w:ascii="SimSun" w:hAnsi="SimSun" w:eastAsia="SimSun" w:cs="SimSun"/>
          <w:color w:val="000000"/>
          <w:sz w:val="24"/>
        </w:rPr>
        <w:t xml:space="preserve"> ，属于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w:t>
      </w:r>
      <w:r/>
    </w:p>
    <w:p>
      <w:pPr>
        <w:ind w:left="688" w:right="0" w:firstLine="0"/>
        <w:jc w:val="both"/>
        <w:spacing w:before="47" w:after="0" w:line="50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35" w:right="86" w:firstLine="678"/>
        <w:jc w:val="both"/>
        <w:spacing w:before="14"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 形。</w:t>
      </w:r>
      <w:r/>
    </w:p>
    <w:p>
      <w:pPr>
        <w:ind w:left="45" w:right="88" w:firstLine="631"/>
        <w:jc w:val="both"/>
        <w:spacing w:before="49"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24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6"/>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企业名称（盖章</w:t>
      </w:r>
      <w:r>
        <w:rPr>
          <w:rFonts w:ascii="SimSun" w:hAnsi="SimSun" w:eastAsia="SimSun" w:cs="SimSun"/>
          <w:color w:val="000000"/>
          <w:spacing w:val="-80"/>
          <w:sz w:val="24"/>
        </w:rPr>
        <w:t xml:space="preserve">）：</w:t>
      </w:r>
      <w:r>
        <w:rPr>
          <w:rFonts w:ascii="Calibri" w:hAnsi="Calibri" w:eastAsia="Calibri" w:cs="Calibri"/>
          <w:color w:val="000000"/>
          <w:spacing w:val="3"/>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项目（分包号：**）采购活动由本单位提供服务。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2、中标人为残疾人福利单位的，此声明函将随中标结果同时公告，接受社会监督</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
        <w:rPr>
          <w:rFonts w:ascii="Calibri" w:hAnsi="Calibri" w:eastAsia="Calibri" w:cs="Calibri"/>
          <w:color w:val="000000"/>
          <w:sz w:val="24"/>
        </w:rPr>
      </w:r>
      <w:r/>
      <w:r>
        <w:rPr>
          <w:rFonts w:ascii="Calibri" w:hAnsi="Calibri" w:eastAsia="Calibri" w:cs="Calibri"/>
          <w:sz w:val="24"/>
        </w:rPr>
      </w:r>
      <w:r>
        <w:rPr>
          <w:rFonts w:ascii="Calibri" w:hAnsi="Calibri" w:eastAsia="Calibri" w:cs="Calibri"/>
          <w:color w:val="000000"/>
          <w:sz w:val="24"/>
        </w:rPr>
        <w:t xml:space="preserve"> </w:t>
      </w:r>
      <w:r/>
      <w:r>
        <w:rPr>
          <w:rFonts w:ascii="Calibri" w:hAnsi="Calibri" w:eastAsia="Calibri" w:cs="Calibri"/>
          <w:sz w:val="24"/>
        </w:rP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十一、联合体协议（参考格式）</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自愿组成联合体，参加苏河众城项目管理（江苏）有限公司组织的采购编号为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项目（分包号：**）的政府采购活动，我联合体指定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十二、投标分项报价表</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0"/>
        <w:gridCol w:w="1029"/>
        <w:gridCol w:w="958"/>
        <w:gridCol w:w="715"/>
        <w:gridCol w:w="902"/>
        <w:gridCol w:w="1180"/>
        <w:gridCol w:w="1300"/>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vMerge w:val="restart"/>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87"/>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ind w:left="0" w:right="1560" w:firstLine="624"/>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                      </w:t>
      </w:r>
      <w:r/>
    </w:p>
    <w:p>
      <w:pPr>
        <w:ind w:left="0" w:right="1560" w:firstLine="624"/>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1560" w:firstLine="48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
        <w:rPr>
          <w:rFonts w:ascii="Calibri" w:hAnsi="Calibri" w:eastAsia="Calibri" w:cs="Calibri"/>
          <w:color w:val="000000"/>
          <w:sz w:val="24"/>
        </w:rPr>
      </w:r>
      <w:r/>
      <w:r>
        <w:rPr>
          <w:rFonts w:ascii="Calibri" w:hAnsi="Calibri" w:eastAsia="Calibri" w:cs="Calibri"/>
          <w:sz w:val="24"/>
        </w:rP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十三、技术要求响应及偏离表</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7"/>
        <w:gridCol w:w="2593"/>
        <w:gridCol w:w="2205"/>
        <w:gridCol w:w="1116"/>
        <w:gridCol w:w="9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
      <w:r>
        <w:rPr>
          <w:rFonts w:ascii="Calibri" w:hAnsi="Calibri" w:eastAsia="Calibri" w:cs="Calibri"/>
          <w:color w:val="000000"/>
          <w:sz w:val="24"/>
        </w:rPr>
        <w:t xml:space="preserve"> </w:t>
      </w:r>
      <w:r/>
      <w:r>
        <w:rPr>
          <w:rFonts w:ascii="Calibri" w:hAnsi="Calibri" w:eastAsia="Calibri" w:cs="Calibri"/>
          <w:sz w:val="24"/>
        </w:rPr>
      </w:r>
      <w:r>
        <w:rPr>
          <w:rFonts w:ascii="Calibri" w:hAnsi="Calibri" w:eastAsia="Calibri" w:cs="Calibri"/>
          <w:sz w:val="24"/>
        </w:rP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十四、商务要求响应及偏离表</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2"/>
        <w:gridCol w:w="2103"/>
        <w:gridCol w:w="2250"/>
        <w:gridCol w:w="1118"/>
        <w:gridCol w:w="12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十五、开标一览表</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2"/>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2"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
        <w:rPr>
          <w:rFonts w:ascii="SimSun" w:hAnsi="SimSun" w:eastAsia="SimSun" w:cs="SimSun"/>
          <w:color w:val="000000"/>
          <w:sz w:val="21"/>
        </w:rPr>
        <w:t xml:space="preserve"> </w:t>
      </w:r>
      <w:r/>
      <w:r>
        <w:rPr>
          <w:rFonts w:ascii="Calibri" w:hAnsi="Calibri" w:eastAsia="Calibri" w:cs="Calibri"/>
          <w:sz w:val="24"/>
        </w:rP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十六、供应商认为需要提供的其他材料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1600"/>
        <w:jc w:val="both"/>
        <w:spacing w:before="0" w:after="0" w:line="49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1600"/>
        <w:jc w:val="both"/>
        <w:spacing w:before="0" w:after="0" w:line="49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1600"/>
        <w:jc w:val="both"/>
        <w:spacing w:before="0" w:after="0" w:line="49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1600"/>
        <w:jc w:val="both"/>
        <w:spacing w:before="0" w:after="0" w:line="49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十七、响水县政府采购事前信用承诺书</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为营造我县公开、公平、公正、诚实守信的政府采购交易环境，树立诚信守法的投标人形象，本人代表本单位作出以下承诺：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
        <w:rPr>
          <w:rFonts w:ascii="Calibri" w:hAnsi="Calibri" w:eastAsia="Calibri" w:cs="Calibri"/>
          <w:color w:val="000000"/>
          <w:sz w:val="21"/>
        </w:rPr>
      </w:r>
      <w:r/>
      <w:r>
        <w:rPr>
          <w:rFonts w:ascii="Calibri" w:hAnsi="Calibri" w:eastAsia="Calibri" w:cs="Calibri"/>
          <w:sz w:val="24"/>
        </w:rP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Calibri">
    <w:panose1 w:val="020F0502020204030204"/>
  </w:font>
  <w:font w:name="Courier New">
    <w:panose1 w:val="02070309020205020404"/>
  </w:font>
  <w:font w:name="等线">
    <w:panose1 w:val="02010600030101010101"/>
  </w:font>
  <w:font w:name="仿宋">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basedOn w:val="809"/>
    <w:next w:val="809"/>
    <w:link w:val="635"/>
    <w:uiPriority w:val="9"/>
    <w:qFormat/>
    <w:pPr>
      <w:keepLines/>
      <w:keepNext/>
      <w:spacing w:before="480" w:after="200"/>
      <w:outlineLvl w:val="0"/>
    </w:pPr>
    <w:rPr>
      <w:rFonts w:ascii="Arial" w:hAnsi="Arial" w:eastAsia="Arial" w:cs="Arial"/>
      <w:sz w:val="40"/>
      <w:szCs w:val="40"/>
    </w:rPr>
  </w:style>
  <w:style w:type="character" w:styleId="635">
    <w:name w:val="Heading 1 Char"/>
    <w:basedOn w:val="811"/>
    <w:link w:val="634"/>
    <w:uiPriority w:val="9"/>
    <w:rPr>
      <w:rFonts w:ascii="Arial" w:hAnsi="Arial" w:eastAsia="Arial" w:cs="Arial"/>
      <w:sz w:val="40"/>
      <w:szCs w:val="40"/>
    </w:rPr>
  </w:style>
  <w:style w:type="character" w:styleId="636">
    <w:name w:val="Heading 2 Char"/>
    <w:basedOn w:val="811"/>
    <w:link w:val="810"/>
    <w:uiPriority w:val="9"/>
    <w:rPr>
      <w:rFonts w:ascii="Arial" w:hAnsi="Arial" w:eastAsia="Arial" w:cs="Arial"/>
      <w:sz w:val="34"/>
    </w:rPr>
  </w:style>
  <w:style w:type="paragraph" w:styleId="637">
    <w:name w:val="Heading 3"/>
    <w:basedOn w:val="809"/>
    <w:next w:val="809"/>
    <w:link w:val="638"/>
    <w:uiPriority w:val="9"/>
    <w:unhideWhenUsed/>
    <w:qFormat/>
    <w:pPr>
      <w:keepLines/>
      <w:keepNext/>
      <w:spacing w:before="320" w:after="200"/>
      <w:outlineLvl w:val="2"/>
    </w:pPr>
    <w:rPr>
      <w:rFonts w:ascii="Arial" w:hAnsi="Arial" w:eastAsia="Arial" w:cs="Arial"/>
      <w:sz w:val="30"/>
      <w:szCs w:val="30"/>
    </w:rPr>
  </w:style>
  <w:style w:type="character" w:styleId="638">
    <w:name w:val="Heading 3 Char"/>
    <w:basedOn w:val="811"/>
    <w:link w:val="637"/>
    <w:uiPriority w:val="9"/>
    <w:rPr>
      <w:rFonts w:ascii="Arial" w:hAnsi="Arial" w:eastAsia="Arial" w:cs="Arial"/>
      <w:sz w:val="30"/>
      <w:szCs w:val="30"/>
    </w:rPr>
  </w:style>
  <w:style w:type="paragraph" w:styleId="639">
    <w:name w:val="Heading 4"/>
    <w:basedOn w:val="809"/>
    <w:next w:val="809"/>
    <w:link w:val="640"/>
    <w:uiPriority w:val="9"/>
    <w:unhideWhenUsed/>
    <w:qFormat/>
    <w:pPr>
      <w:keepLines/>
      <w:keepNext/>
      <w:spacing w:before="320" w:after="200"/>
      <w:outlineLvl w:val="3"/>
    </w:pPr>
    <w:rPr>
      <w:rFonts w:ascii="Arial" w:hAnsi="Arial" w:eastAsia="Arial" w:cs="Arial"/>
      <w:b/>
      <w:bCs/>
      <w:sz w:val="26"/>
      <w:szCs w:val="26"/>
    </w:rPr>
  </w:style>
  <w:style w:type="character" w:styleId="640">
    <w:name w:val="Heading 4 Char"/>
    <w:basedOn w:val="811"/>
    <w:link w:val="639"/>
    <w:uiPriority w:val="9"/>
    <w:rPr>
      <w:rFonts w:ascii="Arial" w:hAnsi="Arial" w:eastAsia="Arial" w:cs="Arial"/>
      <w:b/>
      <w:bCs/>
      <w:sz w:val="26"/>
      <w:szCs w:val="26"/>
    </w:rPr>
  </w:style>
  <w:style w:type="paragraph" w:styleId="641">
    <w:name w:val="Heading 5"/>
    <w:basedOn w:val="809"/>
    <w:next w:val="809"/>
    <w:link w:val="642"/>
    <w:uiPriority w:val="9"/>
    <w:unhideWhenUsed/>
    <w:qFormat/>
    <w:pPr>
      <w:keepLines/>
      <w:keepNext/>
      <w:spacing w:before="320" w:after="200"/>
      <w:outlineLvl w:val="4"/>
    </w:pPr>
    <w:rPr>
      <w:rFonts w:ascii="Arial" w:hAnsi="Arial" w:eastAsia="Arial" w:cs="Arial"/>
      <w:b/>
      <w:bCs/>
      <w:sz w:val="24"/>
      <w:szCs w:val="24"/>
    </w:rPr>
  </w:style>
  <w:style w:type="character" w:styleId="642">
    <w:name w:val="Heading 5 Char"/>
    <w:basedOn w:val="811"/>
    <w:link w:val="641"/>
    <w:uiPriority w:val="9"/>
    <w:rPr>
      <w:rFonts w:ascii="Arial" w:hAnsi="Arial" w:eastAsia="Arial" w:cs="Arial"/>
      <w:b/>
      <w:bCs/>
      <w:sz w:val="24"/>
      <w:szCs w:val="24"/>
    </w:rPr>
  </w:style>
  <w:style w:type="paragraph" w:styleId="643">
    <w:name w:val="Heading 6"/>
    <w:basedOn w:val="809"/>
    <w:next w:val="809"/>
    <w:link w:val="644"/>
    <w:uiPriority w:val="9"/>
    <w:unhideWhenUsed/>
    <w:qFormat/>
    <w:pPr>
      <w:keepLines/>
      <w:keepNext/>
      <w:spacing w:before="320" w:after="200"/>
      <w:outlineLvl w:val="5"/>
    </w:pPr>
    <w:rPr>
      <w:rFonts w:ascii="Arial" w:hAnsi="Arial" w:eastAsia="Arial" w:cs="Arial"/>
      <w:b/>
      <w:bCs/>
      <w:sz w:val="22"/>
      <w:szCs w:val="22"/>
    </w:rPr>
  </w:style>
  <w:style w:type="character" w:styleId="644">
    <w:name w:val="Heading 6 Char"/>
    <w:basedOn w:val="811"/>
    <w:link w:val="643"/>
    <w:uiPriority w:val="9"/>
    <w:rPr>
      <w:rFonts w:ascii="Arial" w:hAnsi="Arial" w:eastAsia="Arial" w:cs="Arial"/>
      <w:b/>
      <w:bCs/>
      <w:sz w:val="22"/>
      <w:szCs w:val="22"/>
    </w:rPr>
  </w:style>
  <w:style w:type="paragraph" w:styleId="645">
    <w:name w:val="Heading 7"/>
    <w:basedOn w:val="809"/>
    <w:next w:val="809"/>
    <w:link w:val="646"/>
    <w:uiPriority w:val="9"/>
    <w:unhideWhenUsed/>
    <w:qFormat/>
    <w:pPr>
      <w:keepLines/>
      <w:keepNext/>
      <w:spacing w:before="320" w:after="200"/>
      <w:outlineLvl w:val="6"/>
    </w:pPr>
    <w:rPr>
      <w:rFonts w:ascii="Arial" w:hAnsi="Arial" w:eastAsia="Arial" w:cs="Arial"/>
      <w:b/>
      <w:bCs/>
      <w:i/>
      <w:iCs/>
      <w:sz w:val="22"/>
      <w:szCs w:val="22"/>
    </w:rPr>
  </w:style>
  <w:style w:type="character" w:styleId="646">
    <w:name w:val="Heading 7 Char"/>
    <w:basedOn w:val="811"/>
    <w:link w:val="645"/>
    <w:uiPriority w:val="9"/>
    <w:rPr>
      <w:rFonts w:ascii="Arial" w:hAnsi="Arial" w:eastAsia="Arial" w:cs="Arial"/>
      <w:b/>
      <w:bCs/>
      <w:i/>
      <w:iCs/>
      <w:sz w:val="22"/>
      <w:szCs w:val="22"/>
    </w:rPr>
  </w:style>
  <w:style w:type="paragraph" w:styleId="647">
    <w:name w:val="Heading 8"/>
    <w:basedOn w:val="809"/>
    <w:next w:val="809"/>
    <w:link w:val="648"/>
    <w:uiPriority w:val="9"/>
    <w:unhideWhenUsed/>
    <w:qFormat/>
    <w:pPr>
      <w:keepLines/>
      <w:keepNext/>
      <w:spacing w:before="320" w:after="200"/>
      <w:outlineLvl w:val="7"/>
    </w:pPr>
    <w:rPr>
      <w:rFonts w:ascii="Arial" w:hAnsi="Arial" w:eastAsia="Arial" w:cs="Arial"/>
      <w:i/>
      <w:iCs/>
      <w:sz w:val="22"/>
      <w:szCs w:val="22"/>
    </w:rPr>
  </w:style>
  <w:style w:type="character" w:styleId="648">
    <w:name w:val="Heading 8 Char"/>
    <w:basedOn w:val="811"/>
    <w:link w:val="647"/>
    <w:uiPriority w:val="9"/>
    <w:rPr>
      <w:rFonts w:ascii="Arial" w:hAnsi="Arial" w:eastAsia="Arial" w:cs="Arial"/>
      <w:i/>
      <w:iCs/>
      <w:sz w:val="22"/>
      <w:szCs w:val="22"/>
    </w:rPr>
  </w:style>
  <w:style w:type="paragraph" w:styleId="649">
    <w:name w:val="Heading 9"/>
    <w:basedOn w:val="809"/>
    <w:next w:val="809"/>
    <w:link w:val="650"/>
    <w:uiPriority w:val="9"/>
    <w:unhideWhenUsed/>
    <w:qFormat/>
    <w:pPr>
      <w:keepLines/>
      <w:keepNext/>
      <w:spacing w:before="320" w:after="200"/>
      <w:outlineLvl w:val="8"/>
    </w:pPr>
    <w:rPr>
      <w:rFonts w:ascii="Arial" w:hAnsi="Arial" w:eastAsia="Arial" w:cs="Arial"/>
      <w:i/>
      <w:iCs/>
      <w:sz w:val="21"/>
      <w:szCs w:val="21"/>
    </w:rPr>
  </w:style>
  <w:style w:type="character" w:styleId="650">
    <w:name w:val="Heading 9 Char"/>
    <w:basedOn w:val="811"/>
    <w:link w:val="649"/>
    <w:uiPriority w:val="9"/>
    <w:rPr>
      <w:rFonts w:ascii="Arial" w:hAnsi="Arial" w:eastAsia="Arial" w:cs="Arial"/>
      <w:i/>
      <w:iCs/>
      <w:sz w:val="21"/>
      <w:szCs w:val="21"/>
    </w:rPr>
  </w:style>
  <w:style w:type="paragraph" w:styleId="651">
    <w:name w:val="List Paragraph"/>
    <w:basedOn w:val="809"/>
    <w:uiPriority w:val="34"/>
    <w:qFormat/>
    <w:pPr>
      <w:contextualSpacing/>
      <w:ind w:left="720"/>
    </w:pPr>
  </w:style>
  <w:style w:type="paragraph" w:styleId="652">
    <w:name w:val="No Spacing"/>
    <w:uiPriority w:val="1"/>
    <w:qFormat/>
    <w:pPr>
      <w:spacing w:before="0" w:after="0" w:line="240" w:lineRule="auto"/>
    </w:pPr>
  </w:style>
  <w:style w:type="paragraph" w:styleId="653">
    <w:name w:val="Title"/>
    <w:basedOn w:val="809"/>
    <w:next w:val="809"/>
    <w:link w:val="654"/>
    <w:uiPriority w:val="10"/>
    <w:qFormat/>
    <w:pPr>
      <w:contextualSpacing/>
      <w:spacing w:before="300" w:after="200"/>
    </w:pPr>
    <w:rPr>
      <w:sz w:val="48"/>
      <w:szCs w:val="48"/>
    </w:rPr>
  </w:style>
  <w:style w:type="character" w:styleId="654">
    <w:name w:val="Title Char"/>
    <w:basedOn w:val="811"/>
    <w:link w:val="653"/>
    <w:uiPriority w:val="10"/>
    <w:rPr>
      <w:sz w:val="48"/>
      <w:szCs w:val="48"/>
    </w:rPr>
  </w:style>
  <w:style w:type="paragraph" w:styleId="655">
    <w:name w:val="Subtitle"/>
    <w:basedOn w:val="809"/>
    <w:next w:val="809"/>
    <w:link w:val="656"/>
    <w:uiPriority w:val="11"/>
    <w:qFormat/>
    <w:pPr>
      <w:spacing w:before="200" w:after="200"/>
    </w:pPr>
    <w:rPr>
      <w:sz w:val="24"/>
      <w:szCs w:val="24"/>
    </w:rPr>
  </w:style>
  <w:style w:type="character" w:styleId="656">
    <w:name w:val="Subtitle Char"/>
    <w:basedOn w:val="811"/>
    <w:link w:val="655"/>
    <w:uiPriority w:val="11"/>
    <w:rPr>
      <w:sz w:val="24"/>
      <w:szCs w:val="24"/>
    </w:rPr>
  </w:style>
  <w:style w:type="paragraph" w:styleId="657">
    <w:name w:val="Quote"/>
    <w:basedOn w:val="809"/>
    <w:next w:val="809"/>
    <w:link w:val="658"/>
    <w:uiPriority w:val="29"/>
    <w:qFormat/>
    <w:pPr>
      <w:ind w:left="720" w:right="720"/>
    </w:pPr>
    <w:rPr>
      <w:i/>
    </w:rPr>
  </w:style>
  <w:style w:type="character" w:styleId="658">
    <w:name w:val="Quote Char"/>
    <w:link w:val="657"/>
    <w:uiPriority w:val="29"/>
    <w:rPr>
      <w:i/>
    </w:rPr>
  </w:style>
  <w:style w:type="paragraph" w:styleId="659">
    <w:name w:val="Intense Quote"/>
    <w:basedOn w:val="809"/>
    <w:next w:val="809"/>
    <w:link w:val="6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0">
    <w:name w:val="Intense Quote Char"/>
    <w:link w:val="659"/>
    <w:uiPriority w:val="30"/>
    <w:rPr>
      <w:i/>
    </w:rPr>
  </w:style>
  <w:style w:type="character" w:styleId="661">
    <w:name w:val="Header Char"/>
    <w:basedOn w:val="811"/>
    <w:link w:val="817"/>
    <w:uiPriority w:val="99"/>
  </w:style>
  <w:style w:type="character" w:styleId="662">
    <w:name w:val="Footer Char"/>
    <w:basedOn w:val="811"/>
    <w:link w:val="816"/>
    <w:uiPriority w:val="99"/>
  </w:style>
  <w:style w:type="paragraph" w:styleId="663">
    <w:name w:val="Caption"/>
    <w:basedOn w:val="809"/>
    <w:next w:val="809"/>
    <w:uiPriority w:val="35"/>
    <w:semiHidden/>
    <w:unhideWhenUsed/>
    <w:qFormat/>
    <w:pPr>
      <w:spacing w:line="276" w:lineRule="auto"/>
    </w:pPr>
    <w:rPr>
      <w:b/>
      <w:bCs/>
      <w:color w:val="4f81bd" w:themeColor="accent1"/>
      <w:sz w:val="18"/>
      <w:szCs w:val="18"/>
    </w:rPr>
  </w:style>
  <w:style w:type="character" w:styleId="664">
    <w:name w:val="Caption Char"/>
    <w:basedOn w:val="663"/>
    <w:link w:val="816"/>
    <w:uiPriority w:val="99"/>
  </w:style>
  <w:style w:type="table" w:styleId="665">
    <w:name w:val="Table Grid"/>
    <w:basedOn w:val="81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6">
    <w:name w:val="Table Grid Light"/>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7">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8">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9">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0">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1">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2">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3">
    <w:name w:val="Grid Table 1 Light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4">
    <w:name w:val="Grid Table 1 Light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5">
    <w:name w:val="Grid Table 1 Light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6">
    <w:name w:val="Grid Table 1 Light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7">
    <w:name w:val="Grid Table 1 Light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78">
    <w:name w:val="Grid Table 1 Light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79">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0">
    <w:name w:val="Grid Table 2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1">
    <w:name w:val="Grid Table 2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2">
    <w:name w:val="Grid Table 2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3">
    <w:name w:val="Grid Table 2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4">
    <w:name w:val="Grid Table 2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5">
    <w:name w:val="Grid Table 2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6">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7">
    <w:name w:val="Grid Table 3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3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4">
    <w:name w:val="Grid Table 4 - Accent 1"/>
    <w:basedOn w:val="8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5">
    <w:name w:val="Grid Table 4 - Accent 2"/>
    <w:basedOn w:val="8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6">
    <w:name w:val="Grid Table 4 - Accent 3"/>
    <w:basedOn w:val="8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7">
    <w:name w:val="Grid Table 4 - Accent 4"/>
    <w:basedOn w:val="8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98">
    <w:name w:val="Grid Table 4 - Accent 5"/>
    <w:basedOn w:val="8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699">
    <w:name w:val="Grid Table 4 - Accent 6"/>
    <w:basedOn w:val="8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0">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5 Dark- Accent 1"/>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2">
    <w:name w:val="Grid Table 5 Dark - Accent 2"/>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3">
    <w:name w:val="Grid Table 5 Dark - Accent 3"/>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4">
    <w:name w:val="Grid Table 5 Dark- Accent 4"/>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5">
    <w:name w:val="Grid Table 5 Dark - Accent 5"/>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06">
    <w:name w:val="Grid Table 5 Dark - Accent 6"/>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07">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8">
    <w:name w:val="Grid Table 6 Colorful - Accent 1"/>
    <w:basedOn w:val="8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09">
    <w:name w:val="Grid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0">
    <w:name w:val="Grid Table 6 Colorful - Accent 3"/>
    <w:basedOn w:val="8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1">
    <w:name w:val="Grid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2">
    <w:name w:val="Grid Table 6 Colorful - Accent 5"/>
    <w:basedOn w:val="8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3">
    <w:name w:val="Grid Table 6 Colorful - Accent 6"/>
    <w:basedOn w:val="8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4">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Grid Table 7 Colorful - Accent 1"/>
    <w:basedOn w:val="8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6">
    <w:name w:val="Grid Table 7 Colorful - Accent 2"/>
    <w:basedOn w:val="8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7 Colorful - Accent 3"/>
    <w:basedOn w:val="8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7 Colorful - Accent 4"/>
    <w:basedOn w:val="8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7 Colorful - Accent 5"/>
    <w:basedOn w:val="8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0">
    <w:name w:val="Grid Table 7 Colorful - Accent 6"/>
    <w:basedOn w:val="8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1">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name w:val="List Table 1 Light - Accent 1"/>
    <w:basedOn w:val="81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3">
    <w:name w:val="List Table 1 Light - Accent 2"/>
    <w:basedOn w:val="81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4">
    <w:name w:val="List Table 1 Light - Accent 3"/>
    <w:basedOn w:val="81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5">
    <w:name w:val="List Table 1 Light - Accent 4"/>
    <w:basedOn w:val="81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6">
    <w:name w:val="List Table 1 Light - Accent 5"/>
    <w:basedOn w:val="81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7">
    <w:name w:val="List Table 1 Light - Accent 6"/>
    <w:basedOn w:val="81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28">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9">
    <w:name w:val="List Table 2 - Accent 1"/>
    <w:basedOn w:val="8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0">
    <w:name w:val="List Table 2 - Accent 2"/>
    <w:basedOn w:val="8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1">
    <w:name w:val="List Table 2 - Accent 3"/>
    <w:basedOn w:val="8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2">
    <w:name w:val="List Table 2 - Accent 4"/>
    <w:basedOn w:val="8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3">
    <w:name w:val="List Table 2 - Accent 5"/>
    <w:basedOn w:val="8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4">
    <w:name w:val="List Table 2 - Accent 6"/>
    <w:basedOn w:val="8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5">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3 - Accent 1"/>
    <w:basedOn w:val="8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37">
    <w:name w:val="List Table 3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38">
    <w:name w:val="List Table 3 - Accent 3"/>
    <w:basedOn w:val="8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39">
    <w:name w:val="List Table 3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0">
    <w:name w:val="List Table 3 - Accent 5"/>
    <w:basedOn w:val="8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1">
    <w:name w:val="List Table 3 - Accent 6"/>
    <w:basedOn w:val="8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2">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 Accent 1"/>
    <w:basedOn w:val="8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4">
    <w:name w:val="List Table 4 - Accent 2"/>
    <w:basedOn w:val="8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5">
    <w:name w:val="List Table 4 - Accent 3"/>
    <w:basedOn w:val="8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6">
    <w:name w:val="List Table 4 - Accent 4"/>
    <w:basedOn w:val="8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47">
    <w:name w:val="List Table 4 - Accent 5"/>
    <w:basedOn w:val="8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48">
    <w:name w:val="List Table 4 - Accent 6"/>
    <w:basedOn w:val="8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49">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5 Dark - Accent 1"/>
    <w:basedOn w:val="8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5 Dark - Accent 2"/>
    <w:basedOn w:val="8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3"/>
    <w:basedOn w:val="8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4"/>
    <w:basedOn w:val="8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5"/>
    <w:basedOn w:val="8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6"/>
    <w:basedOn w:val="8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7">
    <w:name w:val="List Table 6 Colorful - Accent 1"/>
    <w:basedOn w:val="8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58">
    <w:name w:val="List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59">
    <w:name w:val="List Table 6 Colorful - Accent 3"/>
    <w:basedOn w:val="8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0">
    <w:name w:val="List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1">
    <w:name w:val="List Table 6 Colorful - Accent 5"/>
    <w:basedOn w:val="8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2">
    <w:name w:val="List Table 6 Colorful - Accent 6"/>
    <w:basedOn w:val="8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3">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4">
    <w:name w:val="List Table 7 Colorful - Accent 1"/>
    <w:basedOn w:val="8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5">
    <w:name w:val="List Table 7 Colorful - Accent 2"/>
    <w:basedOn w:val="8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6">
    <w:name w:val="List Table 7 Colorful - Accent 3"/>
    <w:basedOn w:val="8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67">
    <w:name w:val="List Table 7 Colorful - Accent 4"/>
    <w:basedOn w:val="8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68">
    <w:name w:val="List Table 7 Colorful - Accent 5"/>
    <w:basedOn w:val="8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69">
    <w:name w:val="List Table 7 Colorful - Accent 6"/>
    <w:basedOn w:val="8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0">
    <w:name w:val="Lined - Accent"/>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1">
    <w:name w:val="Lined - Accent 1"/>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2">
    <w:name w:val="Lined - Accent 2"/>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3">
    <w:name w:val="Lined - Accent 3"/>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4">
    <w:name w:val="Lined - Accent 4"/>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5">
    <w:name w:val="Lined - Accent 5"/>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76">
    <w:name w:val="Lined - Accent 6"/>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77">
    <w:name w:val="Bordered &amp; Lined - Accent"/>
    <w:basedOn w:val="8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Bordered &amp; Lined - Accent 1"/>
    <w:basedOn w:val="8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9">
    <w:name w:val="Bordered &amp; Lined - Accent 2"/>
    <w:basedOn w:val="8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0">
    <w:name w:val="Bordered &amp; Lined - Accent 3"/>
    <w:basedOn w:val="8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1">
    <w:name w:val="Bordered &amp; Lined - Accent 4"/>
    <w:basedOn w:val="8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2">
    <w:name w:val="Bordered &amp; Lined - Accent 5"/>
    <w:basedOn w:val="8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3">
    <w:name w:val="Bordered &amp; Lined - Accent 6"/>
    <w:basedOn w:val="8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4">
    <w:name w:val="Bordered"/>
    <w:basedOn w:val="8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5">
    <w:name w:val="Bordered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6">
    <w:name w:val="Bordered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7">
    <w:name w:val="Bordered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88">
    <w:name w:val="Bordered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89">
    <w:name w:val="Bordered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0">
    <w:name w:val="Bordered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1">
    <w:name w:val="Hyperlink"/>
    <w:uiPriority w:val="99"/>
    <w:unhideWhenUsed/>
    <w:rPr>
      <w:color w:val="0000ff" w:themeColor="hyperlink"/>
      <w:u w:val="single"/>
    </w:rPr>
  </w:style>
  <w:style w:type="paragraph" w:styleId="792">
    <w:name w:val="footnote text"/>
    <w:basedOn w:val="809"/>
    <w:link w:val="793"/>
    <w:uiPriority w:val="99"/>
    <w:semiHidden/>
    <w:unhideWhenUsed/>
    <w:pPr>
      <w:spacing w:after="40" w:line="240" w:lineRule="auto"/>
    </w:pPr>
    <w:rPr>
      <w:sz w:val="18"/>
    </w:rPr>
  </w:style>
  <w:style w:type="character" w:styleId="793">
    <w:name w:val="Footnote Text Char"/>
    <w:link w:val="792"/>
    <w:uiPriority w:val="99"/>
    <w:rPr>
      <w:sz w:val="18"/>
    </w:rPr>
  </w:style>
  <w:style w:type="character" w:styleId="794">
    <w:name w:val="footnote reference"/>
    <w:basedOn w:val="811"/>
    <w:uiPriority w:val="99"/>
    <w:unhideWhenUsed/>
    <w:rPr>
      <w:vertAlign w:val="superscript"/>
    </w:rPr>
  </w:style>
  <w:style w:type="paragraph" w:styleId="795">
    <w:name w:val="endnote text"/>
    <w:basedOn w:val="809"/>
    <w:link w:val="796"/>
    <w:uiPriority w:val="99"/>
    <w:semiHidden/>
    <w:unhideWhenUsed/>
    <w:pPr>
      <w:spacing w:after="0" w:line="240" w:lineRule="auto"/>
    </w:pPr>
    <w:rPr>
      <w:sz w:val="20"/>
    </w:rPr>
  </w:style>
  <w:style w:type="character" w:styleId="796">
    <w:name w:val="Endnote Text Char"/>
    <w:link w:val="795"/>
    <w:uiPriority w:val="99"/>
    <w:rPr>
      <w:sz w:val="20"/>
    </w:rPr>
  </w:style>
  <w:style w:type="character" w:styleId="797">
    <w:name w:val="endnote reference"/>
    <w:basedOn w:val="811"/>
    <w:uiPriority w:val="99"/>
    <w:semiHidden/>
    <w:unhideWhenUsed/>
    <w:rPr>
      <w:vertAlign w:val="superscript"/>
    </w:rPr>
  </w:style>
  <w:style w:type="paragraph" w:styleId="798">
    <w:name w:val="toc 1"/>
    <w:basedOn w:val="809"/>
    <w:next w:val="809"/>
    <w:uiPriority w:val="39"/>
    <w:unhideWhenUsed/>
    <w:pPr>
      <w:ind w:left="0" w:right="0" w:firstLine="0"/>
      <w:spacing w:after="57"/>
    </w:pPr>
  </w:style>
  <w:style w:type="paragraph" w:styleId="799">
    <w:name w:val="toc 2"/>
    <w:basedOn w:val="809"/>
    <w:next w:val="809"/>
    <w:uiPriority w:val="39"/>
    <w:unhideWhenUsed/>
    <w:pPr>
      <w:ind w:left="283" w:right="0" w:firstLine="0"/>
      <w:spacing w:after="57"/>
    </w:pPr>
  </w:style>
  <w:style w:type="paragraph" w:styleId="800">
    <w:name w:val="toc 3"/>
    <w:basedOn w:val="809"/>
    <w:next w:val="809"/>
    <w:uiPriority w:val="39"/>
    <w:unhideWhenUsed/>
    <w:pPr>
      <w:ind w:left="567" w:right="0" w:firstLine="0"/>
      <w:spacing w:after="57"/>
    </w:pPr>
  </w:style>
  <w:style w:type="paragraph" w:styleId="801">
    <w:name w:val="toc 4"/>
    <w:basedOn w:val="809"/>
    <w:next w:val="809"/>
    <w:uiPriority w:val="39"/>
    <w:unhideWhenUsed/>
    <w:pPr>
      <w:ind w:left="850" w:right="0" w:firstLine="0"/>
      <w:spacing w:after="57"/>
    </w:pPr>
  </w:style>
  <w:style w:type="paragraph" w:styleId="802">
    <w:name w:val="toc 5"/>
    <w:basedOn w:val="809"/>
    <w:next w:val="809"/>
    <w:uiPriority w:val="39"/>
    <w:unhideWhenUsed/>
    <w:pPr>
      <w:ind w:left="1134" w:right="0" w:firstLine="0"/>
      <w:spacing w:after="57"/>
    </w:pPr>
  </w:style>
  <w:style w:type="paragraph" w:styleId="803">
    <w:name w:val="toc 6"/>
    <w:basedOn w:val="809"/>
    <w:next w:val="809"/>
    <w:uiPriority w:val="39"/>
    <w:unhideWhenUsed/>
    <w:pPr>
      <w:ind w:left="1417" w:right="0" w:firstLine="0"/>
      <w:spacing w:after="57"/>
    </w:pPr>
  </w:style>
  <w:style w:type="paragraph" w:styleId="804">
    <w:name w:val="toc 7"/>
    <w:basedOn w:val="809"/>
    <w:next w:val="809"/>
    <w:uiPriority w:val="39"/>
    <w:unhideWhenUsed/>
    <w:pPr>
      <w:ind w:left="1701" w:right="0" w:firstLine="0"/>
      <w:spacing w:after="57"/>
    </w:pPr>
  </w:style>
  <w:style w:type="paragraph" w:styleId="805">
    <w:name w:val="toc 8"/>
    <w:basedOn w:val="809"/>
    <w:next w:val="809"/>
    <w:uiPriority w:val="39"/>
    <w:unhideWhenUsed/>
    <w:pPr>
      <w:ind w:left="1984" w:right="0" w:firstLine="0"/>
      <w:spacing w:after="57"/>
    </w:pPr>
  </w:style>
  <w:style w:type="paragraph" w:styleId="806">
    <w:name w:val="toc 9"/>
    <w:basedOn w:val="809"/>
    <w:next w:val="809"/>
    <w:uiPriority w:val="39"/>
    <w:unhideWhenUsed/>
    <w:pPr>
      <w:ind w:left="2268" w:right="0" w:firstLine="0"/>
      <w:spacing w:after="57"/>
    </w:pPr>
  </w:style>
  <w:style w:type="paragraph" w:styleId="807">
    <w:name w:val="TOC Heading"/>
    <w:uiPriority w:val="39"/>
    <w:unhideWhenUsed/>
  </w:style>
  <w:style w:type="paragraph" w:styleId="808">
    <w:name w:val="table of figures"/>
    <w:basedOn w:val="809"/>
    <w:next w:val="809"/>
    <w:uiPriority w:val="99"/>
    <w:unhideWhenUsed/>
    <w:pPr>
      <w:spacing w:after="0" w:afterAutospacing="0"/>
    </w:pPr>
  </w:style>
  <w:style w:type="paragraph" w:styleId="80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0">
    <w:name w:val="Heading 2"/>
    <w:basedOn w:val="809"/>
    <w:next w:val="80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annotation text"/>
    <w:basedOn w:val="809"/>
    <w:uiPriority w:val="0"/>
    <w:qFormat/>
    <w:pPr>
      <w:jc w:val="left"/>
    </w:pPr>
  </w:style>
  <w:style w:type="paragraph" w:styleId="814">
    <w:name w:val="Body Text"/>
    <w:basedOn w:val="809"/>
    <w:uiPriority w:val="0"/>
    <w:semiHidden/>
    <w:qFormat/>
    <w:rPr>
      <w:rFonts w:ascii="仿宋" w:hAnsi="仿宋" w:eastAsia="仿宋" w:cs="仿宋"/>
      <w:sz w:val="31"/>
      <w:szCs w:val="31"/>
      <w:lang w:val="en-US" w:eastAsia="en-US" w:bidi="ar-SA"/>
    </w:rPr>
  </w:style>
  <w:style w:type="paragraph" w:styleId="815">
    <w:name w:val="Plain Text"/>
    <w:basedOn w:val="809"/>
    <w:uiPriority w:val="0"/>
    <w:qFormat/>
    <w:rPr>
      <w:rFonts w:ascii="宋体" w:hAnsi="Courier New"/>
    </w:rPr>
  </w:style>
  <w:style w:type="paragraph" w:styleId="816">
    <w:name w:val="Footer"/>
    <w:basedOn w:val="809"/>
    <w:link w:val="821"/>
    <w:uiPriority w:val="0"/>
    <w:qFormat/>
    <w:pPr>
      <w:jc w:val="left"/>
      <w:tabs>
        <w:tab w:val="center" w:pos="4153" w:leader="none"/>
        <w:tab w:val="right" w:pos="8306" w:leader="none"/>
      </w:tabs>
    </w:pPr>
    <w:rPr>
      <w:sz w:val="18"/>
      <w:szCs w:val="18"/>
    </w:rPr>
  </w:style>
  <w:style w:type="paragraph" w:styleId="817">
    <w:name w:val="Header"/>
    <w:basedOn w:val="809"/>
    <w:link w:val="820"/>
    <w:uiPriority w:val="0"/>
    <w:qFormat/>
    <w:pPr>
      <w:jc w:val="center"/>
      <w:tabs>
        <w:tab w:val="center" w:pos="4153" w:leader="none"/>
        <w:tab w:val="right" w:pos="8306" w:leader="none"/>
      </w:tabs>
      <w:pBdr>
        <w:bottom w:val="single" w:color="auto" w:sz="6" w:space="1"/>
      </w:pBdr>
    </w:pPr>
    <w:rPr>
      <w:sz w:val="18"/>
      <w:szCs w:val="18"/>
    </w:rPr>
  </w:style>
  <w:style w:type="paragraph" w:styleId="818">
    <w:name w:val="Normal (Web)"/>
    <w:basedOn w:val="809"/>
    <w:uiPriority w:val="0"/>
    <w:qFormat/>
    <w:pPr>
      <w:jc w:val="left"/>
      <w:spacing w:beforeAutospacing="1" w:afterAutospacing="1"/>
    </w:pPr>
    <w:rPr>
      <w:rFonts w:cs="Times New Roman"/>
      <w:sz w:val="24"/>
    </w:rPr>
  </w:style>
  <w:style w:type="paragraph" w:styleId="819" w:customStyle="1">
    <w:name w:val="正文1"/>
    <w:basedOn w:val="809"/>
    <w:uiPriority w:val="0"/>
    <w:qFormat/>
    <w:pPr>
      <w:ind w:firstLine="420"/>
      <w:spacing w:line="400" w:lineRule="exact"/>
    </w:pPr>
    <w:rPr>
      <w:rFonts w:ascii="宋体" w:hAnsi="宋体"/>
    </w:rPr>
  </w:style>
  <w:style w:type="character" w:styleId="820" w:customStyle="1">
    <w:name w:val="页眉 Char"/>
    <w:basedOn w:val="811"/>
    <w:link w:val="817"/>
    <w:uiPriority w:val="0"/>
    <w:qFormat/>
    <w:rPr>
      <w:rFonts w:asciiTheme="minorHAnsi" w:hAnsiTheme="minorHAnsi" w:eastAsiaTheme="minorEastAsia" w:cstheme="minorBidi"/>
      <w:sz w:val="18"/>
      <w:szCs w:val="18"/>
    </w:rPr>
  </w:style>
  <w:style w:type="character" w:styleId="821" w:customStyle="1">
    <w:name w:val="页脚 Char"/>
    <w:basedOn w:val="811"/>
    <w:link w:val="816"/>
    <w:uiPriority w:val="0"/>
    <w:qFormat/>
    <w:rPr>
      <w:rFonts w:asciiTheme="minorHAnsi" w:hAnsiTheme="minorHAnsi" w:eastAsiaTheme="minorEastAsia" w:cstheme="minorBidi"/>
      <w:sz w:val="18"/>
      <w:szCs w:val="18"/>
    </w:rPr>
  </w:style>
  <w:style w:type="paragraph" w:styleId="822" w:customStyle="1">
    <w:name w:val="普通正文"/>
    <w:basedOn w:val="809"/>
    <w:uiPriority w:val="0"/>
    <w:qFormat/>
    <w:pPr>
      <w:ind w:firstLine="480"/>
      <w:jc w:val="left"/>
      <w:spacing w:before="120" w:after="120" w:line="360" w:lineRule="auto"/>
    </w:pPr>
    <w:rPr>
      <w:rFonts w:ascii="Arial" w:hAnsi="Arial" w:eastAsia="等线" w:cs="Arial"/>
      <w:sz w:val="24"/>
      <w:szCs w:val="24"/>
    </w:rPr>
  </w:style>
  <w:style w:type="numbering" w:styleId="8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bookmark2" TargetMode="External"/><Relationship Id="rId9"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bookmark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张雪超3</cp:lastModifiedBy>
  <cp:revision>274</cp:revision>
  <dcterms:created xsi:type="dcterms:W3CDTF">2014-10-29T12:08:00Z</dcterms:created>
  <dcterms:modified xsi:type="dcterms:W3CDTF">2024-11-18T09:09:44Z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70F396D3445E472BBF0487C90BC69665</vt:lpwstr>
  </property>
</Properties>
</file>