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firstLine="0"/>
        <w:rPr>
          <w:rFonts w:hint="eastAsia" w:eastAsia="黑体"/>
          <w:b/>
          <w:bCs/>
          <w:color w:val="000000"/>
          <w:sz w:val="84"/>
          <w:highlight w:val="none"/>
        </w:rPr>
      </w:pPr>
      <w:r>
        <w:rPr>
          <w:rFonts w:hint="eastAsia" w:eastAsia="黑体"/>
          <w:b/>
          <w:bCs/>
          <w:color w:val="000000"/>
          <w:sz w:val="84"/>
          <w:highlight w:val="none"/>
        </w:rPr>
      </w:r>
      <w:r/>
    </w:p>
    <w:p>
      <w:pPr>
        <w:pStyle w:val="957"/>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957"/>
        <w:ind w:left="0" w:firstLine="0"/>
        <w:rPr>
          <w:rFonts w:hint="eastAsia" w:ascii="Arial" w:hAnsi="Arial" w:eastAsia="宋体" w:cs="Times New Roman"/>
          <w:b/>
          <w:bCs/>
          <w:color w:val="000000"/>
          <w:sz w:val="32"/>
          <w:highlight w:val="none"/>
        </w:rPr>
      </w:pPr>
      <w:r>
        <w:rPr>
          <w:rFonts w:hint="eastAsia"/>
          <w:b/>
          <w:bCs/>
          <w:color w:val="000000"/>
          <w:sz w:val="32"/>
          <w:highlight w:val="none"/>
        </w:rPr>
        <w:t xml:space="preserve">项目名称</w:t>
      </w:r>
      <w:r>
        <w:rPr>
          <w:rFonts w:hint="eastAsia" w:ascii="Arial" w:hAnsi="Arial" w:eastAsia="宋体" w:cs="Times New Roman"/>
          <w:b/>
          <w:bCs/>
          <w:color w:val="000000"/>
          <w:sz w:val="32"/>
          <w:highlight w:val="none"/>
        </w:rPr>
        <w:t xml:space="preserve">：南京林业大学智慧校园教学系统-多媒体教学系统</w:t>
      </w:r>
      <w:r>
        <w:rPr>
          <w:rFonts w:hint="eastAsia" w:ascii="Arial" w:hAnsi="Arial" w:eastAsia="宋体" w:cs="Times New Roman"/>
          <w:b/>
          <w:bCs/>
          <w:color w:val="000000"/>
          <w:sz w:val="32"/>
          <w:highlight w:val="none"/>
        </w:rPr>
      </w:r>
      <w:r/>
    </w:p>
    <w:p>
      <w:pPr>
        <w:pStyle w:val="869"/>
        <w:ind w:firstLine="1285"/>
        <w:rPr>
          <w:b/>
          <w:color w:val="000000"/>
          <w:sz w:val="30"/>
          <w:szCs w:val="30"/>
          <w:highlight w:val="none"/>
        </w:rPr>
      </w:pPr>
      <w:r>
        <w:rPr>
          <w:rFonts w:hint="eastAsia"/>
          <w:b/>
          <w:bCs/>
          <w:color w:val="000000"/>
          <w:sz w:val="32"/>
          <w:highlight w:val="none"/>
        </w:rPr>
        <w:t xml:space="preserve">项目编号：JSZC-320000-SCZX-G2024-01</w:t>
      </w:r>
      <w:r>
        <w:rPr>
          <w:rFonts w:hint="eastAsia"/>
          <w:b/>
          <w:bCs/>
          <w:color w:val="000000"/>
          <w:sz w:val="32"/>
          <w:highlight w:val="none"/>
          <w:lang w:val="en-US" w:eastAsia="zh-CN"/>
        </w:rPr>
        <w:t xml:space="preserve">4</w:t>
      </w:r>
      <w:r>
        <w:rPr>
          <w:rFonts w:hint="eastAsia"/>
          <w:b/>
          <w:bCs/>
          <w:color w:val="000000"/>
          <w:sz w:val="32"/>
          <w:highlight w:val="none"/>
          <w:lang w:val="en-US" w:eastAsia="zh-CN"/>
        </w:rPr>
        <w:t xml:space="preserve">9</w:t>
      </w:r>
      <w:r>
        <w:rPr>
          <w:rFonts w:hint="eastAsia"/>
          <w:color w:val="000000"/>
          <w:highlight w:val="none"/>
        </w:rPr>
        <w:t xml:space="preserve">      </w:t>
      </w:r>
      <w:r>
        <w:rPr>
          <w:rFonts w:hint="eastAsia"/>
          <w:b/>
          <w:color w:val="000000"/>
          <w:sz w:val="30"/>
          <w:szCs w:val="30"/>
          <w:highlight w:val="none"/>
        </w:rPr>
        <w:t xml:space="preserve">   </w:t>
      </w:r>
      <w:r>
        <w:rPr>
          <w:color w:val="000000"/>
          <w:highlight w:val="none"/>
        </w:rPr>
        <w:t xml:space="preserve">  </w:t>
      </w:r>
      <w:r>
        <w:rPr>
          <w:b/>
          <w:color w:val="000000"/>
          <w:sz w:val="30"/>
          <w:szCs w:val="30"/>
          <w:highlight w:val="none"/>
        </w:rPr>
        <w:t xml:space="preserve"> </w:t>
      </w:r>
      <w:r>
        <w:rPr>
          <w:b/>
          <w:color w:val="000000"/>
          <w:sz w:val="30"/>
          <w:szCs w:val="3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spacing w:before="0" w:after="0"/>
        <w:rPr>
          <w:rFonts w:hint="eastAsia" w:ascii="宋体" w:hAnsi="宋体"/>
          <w:color w:val="000000"/>
          <w:highlight w:val="none"/>
        </w:rPr>
      </w:pPr>
      <w:r>
        <w:rPr>
          <w:rFonts w:hint="eastAsia" w:ascii="宋体" w:hAnsi="宋体"/>
          <w:color w:val="000000"/>
          <w:highlight w:val="none"/>
        </w:rPr>
      </w:r>
      <w:r/>
    </w:p>
    <w:p>
      <w:pPr>
        <w:pStyle w:val="957"/>
        <w:ind w:firstLine="0"/>
        <w:jc w:val="center"/>
        <w:rPr>
          <w:rFonts w:hint="eastAsia"/>
          <w:b/>
          <w:bCs/>
          <w:color w:val="000000"/>
          <w:sz w:val="32"/>
          <w:highlight w:val="none"/>
        </w:rPr>
      </w:pPr>
      <w:r>
        <w:rPr>
          <w:rFonts w:hint="eastAsia"/>
          <w:b/>
          <w:bCs/>
          <w:color w:val="000000"/>
          <w:sz w:val="32"/>
          <w:highlight w:val="none"/>
        </w:rPr>
        <w:t xml:space="preserve">江苏省政府采购中心</w:t>
      </w:r>
      <w:r>
        <w:rPr>
          <w:rFonts w:hint="eastAsia"/>
          <w:b/>
          <w:bCs/>
          <w:color w:val="000000"/>
          <w:sz w:val="32"/>
          <w:highlight w:val="none"/>
        </w:rPr>
      </w:r>
      <w:r/>
    </w:p>
    <w:p>
      <w:pPr>
        <w:pStyle w:val="957"/>
        <w:ind w:firstLine="0"/>
        <w:jc w:val="center"/>
        <w:rPr>
          <w:rFonts w:hint="eastAsia"/>
          <w:b/>
          <w:bCs/>
          <w:color w:val="000000"/>
          <w:sz w:val="32"/>
          <w:highlight w:val="none"/>
        </w:rPr>
      </w:pPr>
      <w:r>
        <w:rPr>
          <w:rFonts w:hint="eastAsia"/>
          <w:b/>
          <w:bCs/>
          <w:color w:val="000000"/>
          <w:sz w:val="32"/>
          <w:highlight w:val="none"/>
          <w:lang w:val="en-US" w:eastAsia="zh-CN"/>
        </w:rPr>
        <w:t xml:space="preserve">2</w:t>
      </w:r>
      <w:r>
        <w:rPr>
          <w:rFonts w:hint="eastAsia"/>
          <w:b/>
          <w:bCs/>
          <w:color w:val="000000"/>
          <w:sz w:val="32"/>
          <w:highlight w:val="none"/>
          <w:lang w:val="en-US" w:eastAsia="zh-CN"/>
        </w:rPr>
        <w:t xml:space="preserve">024</w:t>
      </w:r>
      <w:r>
        <w:rPr>
          <w:rFonts w:hint="eastAsia"/>
          <w:b/>
          <w:bCs/>
          <w:color w:val="000000"/>
          <w:sz w:val="32"/>
          <w:highlight w:val="none"/>
        </w:rPr>
        <w:t xml:space="preserve">年5</w:t>
      </w:r>
      <w:r>
        <w:rPr>
          <w:rFonts w:hint="eastAsia"/>
          <w:b/>
          <w:bCs/>
          <w:color w:val="000000"/>
          <w:sz w:val="32"/>
          <w:highlight w:val="none"/>
        </w:rPr>
        <w:t xml:space="preserve">月6</w:t>
      </w:r>
      <w:r>
        <w:rPr>
          <w:rFonts w:hint="eastAsia"/>
          <w:b/>
          <w:bCs/>
          <w:color w:val="000000"/>
          <w:sz w:val="32"/>
          <w:highlight w:val="none"/>
        </w:rPr>
        <w:t xml:space="preserve">日</w:t>
      </w:r>
      <w:r>
        <w:rPr>
          <w:rFonts w:hint="eastAsia"/>
          <w:b/>
          <w:bCs/>
          <w:color w:val="000000"/>
          <w:sz w:val="32"/>
          <w:highlight w:val="none"/>
        </w:rPr>
      </w:r>
      <w:r/>
    </w:p>
    <w:p>
      <w:pPr>
        <w:pStyle w:val="957"/>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957"/>
        <w:ind w:firstLine="0"/>
        <w:jc w:val="center"/>
        <w:rPr>
          <w:rFonts w:hint="eastAsia"/>
          <w:color w:val="000000"/>
          <w:highlight w:val="none"/>
        </w:rPr>
      </w:pPr>
      <w:r>
        <w:rPr>
          <w:rFonts w:hint="eastAsia"/>
          <w:color w:val="000000"/>
          <w:highlight w:val="none"/>
        </w:rPr>
      </w:r>
      <w:r/>
    </w:p>
    <w:p>
      <w:pPr>
        <w:pStyle w:val="869"/>
        <w:jc w:val="center"/>
        <w:spacing w:line="480" w:lineRule="auto"/>
        <w:rPr>
          <w:rFonts w:hint="eastAsia" w:ascii="黑体" w:hAnsi="Arial" w:eastAsia="黑体"/>
          <w:b/>
          <w:color w:val="000000"/>
          <w:sz w:val="44"/>
          <w:highlight w:val="none"/>
        </w:rPr>
        <w:outlineLvl w:val="0"/>
      </w:pPr>
      <w:r>
        <w:rPr>
          <w:color w:val="000000"/>
          <w:highlight w:val="none"/>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869"/>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869"/>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2</w:t>
      </w:r>
      <w:r>
        <w:rPr>
          <w:rFonts w:hint="eastAsia" w:ascii="黑体" w:hAnsi="Showcard Gothic" w:eastAsia="黑体"/>
          <w:color w:val="000000"/>
          <w:sz w:val="32"/>
          <w:highlight w:val="none"/>
        </w:rPr>
      </w:r>
      <w:r/>
    </w:p>
    <w:p>
      <w:pPr>
        <w:pStyle w:val="869"/>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6</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869"/>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17</w:t>
      </w:r>
      <w:r>
        <w:rPr>
          <w:rFonts w:hint="eastAsia" w:ascii="黑体" w:hAnsi="Showcard Gothic" w:eastAsia="黑体"/>
          <w:color w:val="000000"/>
          <w:sz w:val="36"/>
          <w:highlight w:val="none"/>
        </w:rPr>
      </w:r>
      <w:r/>
    </w:p>
    <w:p>
      <w:pPr>
        <w:pStyle w:val="869"/>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21</w:t>
      </w:r>
      <w:r>
        <w:rPr>
          <w:rFonts w:hint="eastAsia" w:ascii="黑体" w:hAnsi="Showcard Gothic" w:eastAsia="黑体"/>
          <w:color w:val="000000"/>
          <w:sz w:val="36"/>
          <w:highlight w:val="none"/>
        </w:rPr>
      </w:r>
      <w:r/>
    </w:p>
    <w:p>
      <w:pPr>
        <w:pStyle w:val="869"/>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45</w:t>
      </w:r>
      <w:r/>
    </w:p>
    <w:p>
      <w:pPr>
        <w:pStyle w:val="869"/>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49</w:t>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70"/>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rPr>
          <w:rFonts w:hint="eastAsia" w:ascii="黑体" w:eastAsia="黑体"/>
          <w:bCs/>
          <w:color w:val="000000"/>
          <w:sz w:val="44"/>
          <w:szCs w:val="4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受南京林业大学的委托，江苏省政府采购中心就南京林业大学智慧校园教学系统-多媒体教学系统(JSZC-320000-SCZX-G2024-01</w:t>
      </w:r>
      <w:r>
        <w:rPr>
          <w:rFonts w:hint="eastAsia" w:ascii="宋体" w:hAnsi="宋体"/>
          <w:color w:val="000000"/>
          <w:sz w:val="24"/>
          <w:szCs w:val="24"/>
          <w:highlight w:val="none"/>
          <w:lang w:val="en-US" w:eastAsia="zh-CN"/>
        </w:rPr>
        <w:t xml:space="preserve">49</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869"/>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69"/>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南京林业大学智慧校园教学系统-多媒体教学系统</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2024</w:t>
      </w:r>
      <w:r>
        <w:rPr>
          <w:rFonts w:hint="eastAsia" w:ascii="宋体" w:hAnsi="宋体"/>
          <w:bCs/>
          <w:color w:val="000000"/>
          <w:sz w:val="24"/>
          <w:szCs w:val="24"/>
          <w:highlight w:val="none"/>
          <w:u w:val="single"/>
        </w:rPr>
        <w:t xml:space="preserve">年5月29日9点30分（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2"/>
        <w:ind w:firstLine="498"/>
        <w:spacing w:before="145" w:after="145" w:line="360" w:lineRule="auto"/>
        <w:rPr>
          <w:color w:val="000000"/>
          <w:highlight w:val="none"/>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color w:val="000000"/>
          <w:highlight w:val="none"/>
        </w:rPr>
        <w:t xml:space="preserve">一、项目基本情况</w:t>
      </w:r>
      <w:bookmarkEnd w:id="6"/>
      <w:r/>
      <w:bookmarkEnd w:id="7"/>
      <w:r/>
      <w:bookmarkEnd w:id="8"/>
      <w:r/>
      <w:bookmarkEnd w:id="9"/>
      <w:r/>
      <w:bookmarkEnd w:id="10"/>
      <w:r>
        <w:rPr>
          <w:color w:val="000000"/>
          <w:highlight w:val="none"/>
        </w:rPr>
      </w:r>
      <w:r/>
    </w:p>
    <w:p>
      <w:pPr>
        <w:pStyle w:val="869"/>
        <w:ind w:firstLine="48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1.项目编号：JSZC-320000-SCZX-G2024-01</w:t>
      </w:r>
      <w:r>
        <w:rPr>
          <w:rFonts w:hint="eastAsia" w:ascii="宋体" w:hAnsi="宋体"/>
          <w:color w:val="000000"/>
          <w:sz w:val="24"/>
          <w:szCs w:val="24"/>
          <w:highlight w:val="none"/>
          <w:lang w:val="en-US" w:eastAsia="zh-CN"/>
        </w:rPr>
        <w:t xml:space="preserve">49</w:t>
      </w:r>
      <w:r>
        <w:rPr>
          <w:rFonts w:ascii="宋体" w:hAnsi="宋体" w:eastAsia="宋体"/>
          <w:color w:val="000000"/>
          <w:sz w:val="24"/>
          <w:szCs w:val="24"/>
          <w:highlight w:val="none"/>
          <w:lang w:val="en-US" w:eastAsia="zh-CN"/>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2.项目名称：南京林业大学智慧校园教学系统-多媒体教学系统</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bookmarkEnd w:id="11"/>
      <w:r>
        <w:rPr>
          <w:rFonts w:hint="eastAsia" w:ascii="宋体" w:hAnsi="宋体"/>
          <w:color w:val="000000"/>
          <w:sz w:val="24"/>
          <w:szCs w:val="24"/>
          <w:highlight w:val="none"/>
        </w:rPr>
        <w:t xml:space="preserve">3.预算金额</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2800" w:type="dxa"/>
            <w:vAlign w:val="top"/>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预算</w:t>
            </w:r>
            <w:r>
              <w:rPr>
                <w:rFonts w:ascii="宋体" w:hAnsi="宋体"/>
                <w:color w:val="000000"/>
                <w:highlight w:val="none"/>
              </w:rPr>
              <w:t xml:space="preserve">金额</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rPr>
                <w:rFonts w:hint="eastAsia" w:ascii="宋体" w:hAnsi="宋体"/>
                <w:color w:val="000000"/>
                <w:highlight w:val="none"/>
              </w:rPr>
            </w:r>
            <w:r/>
          </w:p>
        </w:tc>
      </w:tr>
      <w:tr>
        <w:trPr/>
        <w:tc>
          <w:tcPr>
            <w:tcW w:w="1148" w:type="dxa"/>
            <w:vAlign w:val="top"/>
            <w:textDirection w:val="lrTb"/>
            <w:noWrap w:val="false"/>
          </w:tcPr>
          <w:p>
            <w:pPr>
              <w:pStyle w:val="86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800" w:type="dxa"/>
            <w:vAlign w:val="top"/>
            <w:textDirection w:val="lrTb"/>
            <w:noWrap w:val="false"/>
          </w:tcPr>
          <w:p>
            <w:pPr>
              <w:pStyle w:val="869"/>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492.569</w:t>
            </w:r>
            <w:r>
              <w:rPr>
                <w:rFonts w:ascii="宋体" w:hAnsi="宋体" w:eastAsia="宋体"/>
                <w:color w:val="000000"/>
                <w:highlight w:val="none"/>
                <w:lang w:val="en-US" w:eastAsia="zh-CN"/>
              </w:rPr>
            </w:r>
            <w:r/>
          </w:p>
        </w:tc>
      </w:tr>
    </w:tbl>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2800" w:type="dxa"/>
            <w:vAlign w:val="top"/>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是否</w:t>
            </w:r>
            <w:r>
              <w:rPr>
                <w:rFonts w:ascii="宋体" w:hAnsi="宋体"/>
                <w:color w:val="000000"/>
                <w:highlight w:val="none"/>
              </w:rPr>
              <w:t xml:space="preserve">设定最高</w:t>
            </w:r>
            <w:r>
              <w:rPr>
                <w:rFonts w:hint="eastAsia" w:ascii="宋体" w:hAnsi="宋体"/>
                <w:color w:val="000000"/>
                <w:highlight w:val="none"/>
              </w:rPr>
              <w:t xml:space="preserve">限价</w:t>
            </w:r>
            <w:r>
              <w:rPr>
                <w:rFonts w:ascii="宋体" w:hAnsi="宋体"/>
                <w:color w:val="000000"/>
                <w:highlight w:val="none"/>
              </w:rPr>
              <w:t xml:space="preserve">（</w:t>
            </w:r>
            <w:r>
              <w:rPr>
                <w:rFonts w:hint="eastAsia" w:ascii="宋体" w:hAnsi="宋体"/>
                <w:color w:val="000000"/>
                <w:highlight w:val="none"/>
              </w:rPr>
              <w:t xml:space="preserve">是/否</w:t>
            </w:r>
            <w:r>
              <w:rPr>
                <w:rFonts w:ascii="宋体" w:hAnsi="宋体"/>
                <w:color w:val="000000"/>
                <w:highlight w:val="none"/>
              </w:rPr>
              <w:t xml:space="preserve">）</w:t>
            </w:r>
            <w:r>
              <w:rPr>
                <w:rFonts w:hint="eastAsia" w:ascii="宋体" w:hAnsi="宋体"/>
                <w:color w:val="000000"/>
                <w:highlight w:val="none"/>
              </w:rPr>
            </w:r>
            <w:r/>
          </w:p>
        </w:tc>
        <w:tc>
          <w:tcPr>
            <w:tcW w:w="3135" w:type="dxa"/>
            <w:vAlign w:val="top"/>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最高</w:t>
            </w:r>
            <w:r>
              <w:rPr>
                <w:rFonts w:ascii="宋体" w:hAnsi="宋体"/>
                <w:color w:val="000000"/>
                <w:highlight w:val="none"/>
              </w:rPr>
              <w:t xml:space="preserve">限价</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rPr>
                <w:rFonts w:hint="eastAsia" w:ascii="宋体" w:hAnsi="宋体"/>
                <w:color w:val="000000"/>
                <w:highlight w:val="none"/>
              </w:rPr>
            </w:r>
            <w:r/>
          </w:p>
        </w:tc>
      </w:tr>
      <w:tr>
        <w:trPr/>
        <w:tc>
          <w:tcPr>
            <w:tcW w:w="1148" w:type="dxa"/>
            <w:vAlign w:val="top"/>
            <w:textDirection w:val="lrTb"/>
            <w:noWrap w:val="false"/>
          </w:tcPr>
          <w:p>
            <w:pPr>
              <w:pStyle w:val="86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800" w:type="dxa"/>
            <w:vAlign w:val="top"/>
            <w:textDirection w:val="lrTb"/>
            <w:noWrap w:val="false"/>
          </w:tcPr>
          <w:p>
            <w:pPr>
              <w:pStyle w:val="869"/>
              <w:jc w:val="center"/>
              <w:rPr>
                <w:rFonts w:ascii="宋体" w:hAnsi="宋体"/>
                <w:color w:val="000000"/>
                <w:highlight w:val="none"/>
              </w:rPr>
            </w:pPr>
            <w:r>
              <w:rPr>
                <w:rFonts w:hint="eastAsia" w:ascii="宋体" w:hAnsi="宋体"/>
                <w:color w:val="000000"/>
                <w:highlight w:val="none"/>
              </w:rPr>
              <w:t xml:space="preserve">是</w:t>
            </w:r>
            <w:r>
              <w:rPr>
                <w:rFonts w:ascii="宋体" w:hAnsi="宋体"/>
                <w:color w:val="000000"/>
                <w:highlight w:val="none"/>
              </w:rPr>
            </w:r>
            <w:r/>
          </w:p>
        </w:tc>
        <w:tc>
          <w:tcPr>
            <w:tcW w:w="3135" w:type="dxa"/>
            <w:vAlign w:val="top"/>
            <w:textDirection w:val="lrTb"/>
            <w:noWrap w:val="false"/>
          </w:tcPr>
          <w:p>
            <w:pPr>
              <w:pStyle w:val="869"/>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492.569</w:t>
            </w:r>
            <w:r>
              <w:rPr>
                <w:rFonts w:ascii="宋体" w:hAnsi="宋体" w:eastAsia="宋体"/>
                <w:color w:val="000000"/>
                <w:highlight w:val="none"/>
                <w:lang w:val="en-US" w:eastAsia="zh-CN"/>
              </w:rPr>
            </w:r>
            <w:r/>
          </w:p>
        </w:tc>
      </w:tr>
    </w:tbl>
    <w:p>
      <w:pPr>
        <w:pStyle w:val="869"/>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color w:val="000000"/>
          <w:sz w:val="24"/>
          <w:szCs w:val="24"/>
          <w:highlight w:val="none"/>
        </w:rPr>
        <w:t xml:space="preserve">本项目为南京林业大学智慧校园教学系统-多媒体教学系统项目，为设备和配套软件及系统集成采购。（详细内容见本招标文件第四章）。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69"/>
        <w:ind w:firstLine="480"/>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6.合同履行期限：合同签订后30个工作日内完成。</w:t>
      </w:r>
      <w:r>
        <w:rPr>
          <w:rFonts w:hint="eastAsia" w:ascii="宋体" w:hAnsi="宋体"/>
          <w:color w:val="000000"/>
          <w:sz w:val="24"/>
          <w:szCs w:val="24"/>
          <w:highlight w:val="none"/>
          <w:u w:val="single"/>
        </w:rPr>
      </w:r>
      <w:r/>
    </w:p>
    <w:p>
      <w:pPr>
        <w:pStyle w:val="872"/>
        <w:ind w:firstLine="498"/>
        <w:spacing w:before="145" w:after="145" w:line="360" w:lineRule="auto"/>
        <w:rPr>
          <w:color w:val="000000"/>
          <w:highlight w:val="none"/>
        </w:rPr>
      </w:pPr>
      <w:r/>
      <w:bookmarkStart w:id="12" w:name="_Toc35393791"/>
      <w:r/>
      <w:bookmarkStart w:id="13" w:name="_Toc35393622"/>
      <w:r/>
      <w:bookmarkStart w:id="14" w:name="_Toc28359080"/>
      <w:r/>
      <w:bookmarkStart w:id="15" w:name="_Toc28359003"/>
      <w:r/>
      <w:bookmarkStart w:id="16" w:name="_Toc38985264"/>
      <w:r>
        <w:rPr>
          <w:rFonts w:hint="eastAsia"/>
          <w:color w:val="000000"/>
          <w:highlight w:val="none"/>
        </w:rPr>
        <w:t xml:space="preserve">二、申请人的资格要求：</w:t>
      </w:r>
      <w:bookmarkEnd w:id="12"/>
      <w:r/>
      <w:bookmarkEnd w:id="13"/>
      <w:r/>
      <w:bookmarkEnd w:id="14"/>
      <w:r/>
      <w:bookmarkEnd w:id="15"/>
      <w:r/>
      <w:bookmarkEnd w:id="16"/>
      <w:r>
        <w:rPr>
          <w:color w:val="000000"/>
          <w:highlight w:val="none"/>
        </w:rPr>
      </w:r>
      <w:r/>
    </w:p>
    <w:p>
      <w:pPr>
        <w:pStyle w:val="869"/>
        <w:ind w:firstLine="480"/>
        <w:rPr>
          <w:rFonts w:hint="eastAsia" w:ascii="宋体" w:hAnsi="宋体"/>
          <w:color w:val="000000"/>
          <w:sz w:val="24"/>
          <w:szCs w:val="24"/>
          <w:highlight w:val="none"/>
        </w:rPr>
      </w:pPr>
      <w:r/>
      <w:bookmarkStart w:id="17" w:name="_Toc28359004"/>
      <w:r/>
      <w:bookmarkStart w:id="18" w:name="_Toc35393792"/>
      <w:r/>
      <w:bookmarkStart w:id="19" w:name="_Toc38985265"/>
      <w:r/>
      <w:bookmarkStart w:id="20" w:name="_Toc35393623"/>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lang w:val="en-US" w:eastAsia="zh-CN"/>
        </w:rPr>
        <w:t xml:space="preserve"> 2022或2023</w:t>
      </w:r>
      <w:r>
        <w:rPr>
          <w:rFonts w:hint="eastAsia" w:ascii="宋体" w:hAnsi="宋体"/>
          <w:color w:val="000000"/>
          <w:sz w:val="24"/>
          <w:szCs w:val="24"/>
          <w:highlight w:val="none"/>
        </w:rPr>
        <w:t xml:space="preserve">年度的财务状况报告（成立不满一年无需提供）；</w:t>
      </w:r>
      <w:r>
        <w:rPr>
          <w:rFonts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869"/>
        <w:ind w:firstLine="480"/>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highlight w:val="none"/>
        </w:rPr>
      </w:r>
      <w:r/>
    </w:p>
    <w:p>
      <w:pPr>
        <w:pStyle w:val="869"/>
        <w:ind w:firstLine="480"/>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3.落实政府采购政策需满足的资格要求：无</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tblGrid>
      <w:tr>
        <w:trPr/>
        <w:tc>
          <w:tcPr>
            <w:tcW w:w="1148" w:type="dxa"/>
            <w:vAlign w:val="top"/>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2968" w:type="dxa"/>
            <w:vAlign w:val="top"/>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是否接受联合体</w:t>
            </w:r>
            <w:r>
              <w:rPr>
                <w:rFonts w:ascii="宋体" w:hAnsi="宋体"/>
                <w:color w:val="000000"/>
                <w:highlight w:val="none"/>
              </w:rPr>
              <w:t xml:space="preserve">投标（</w:t>
            </w:r>
            <w:r>
              <w:rPr>
                <w:rFonts w:hint="eastAsia" w:ascii="宋体" w:hAnsi="宋体"/>
                <w:color w:val="000000"/>
                <w:highlight w:val="none"/>
              </w:rPr>
              <w:t xml:space="preserve">是/否</w:t>
            </w:r>
            <w:r>
              <w:rPr>
                <w:rFonts w:ascii="宋体" w:hAnsi="宋体"/>
                <w:color w:val="000000"/>
                <w:highlight w:val="none"/>
              </w:rPr>
              <w:t xml:space="preserve">）</w:t>
            </w:r>
            <w:r>
              <w:rPr>
                <w:rFonts w:hint="eastAsia" w:ascii="宋体" w:hAnsi="宋体"/>
                <w:color w:val="000000"/>
                <w:highlight w:val="none"/>
              </w:rPr>
            </w:r>
            <w:r/>
          </w:p>
        </w:tc>
      </w:tr>
      <w:tr>
        <w:trPr/>
        <w:tc>
          <w:tcPr>
            <w:tcW w:w="1148" w:type="dxa"/>
            <w:vAlign w:val="top"/>
            <w:textDirection w:val="lrTb"/>
            <w:noWrap w:val="false"/>
          </w:tcPr>
          <w:p>
            <w:pPr>
              <w:pStyle w:val="86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968" w:type="dxa"/>
            <w:vAlign w:val="top"/>
            <w:textDirection w:val="lrTb"/>
            <w:noWrap w:val="false"/>
          </w:tcPr>
          <w:p>
            <w:pPr>
              <w:pStyle w:val="869"/>
              <w:jc w:val="center"/>
              <w:rPr>
                <w:rFonts w:hint="eastAsia" w:ascii="宋体" w:hAnsi="宋体" w:eastAsia="宋体"/>
                <w:color w:val="000000"/>
                <w:highlight w:val="none"/>
                <w:lang w:eastAsia="zh-CN"/>
              </w:rPr>
            </w:pPr>
            <w:r>
              <w:rPr>
                <w:rFonts w:hint="eastAsia" w:ascii="宋体" w:hAnsi="宋体"/>
                <w:color w:val="000000"/>
                <w:highlight w:val="none"/>
                <w:lang w:eastAsia="zh-CN"/>
              </w:rPr>
              <w:t xml:space="preserve">否</w:t>
            </w:r>
            <w:r>
              <w:rPr>
                <w:rFonts w:hint="eastAsia" w:ascii="宋体" w:hAnsi="宋体" w:eastAsia="宋体"/>
                <w:color w:val="000000"/>
                <w:highlight w:val="none"/>
                <w:lang w:eastAsia="zh-CN"/>
              </w:rPr>
            </w:r>
            <w:r/>
          </w:p>
        </w:tc>
      </w:tr>
    </w:tbl>
    <w:p>
      <w:pPr>
        <w:pStyle w:val="869"/>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69"/>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：无</w:t>
      </w:r>
      <w:r>
        <w:rPr>
          <w:rFonts w:hint="eastAsia" w:ascii="宋体" w:hAnsi="宋体" w:eastAsia="宋体"/>
          <w:color w:val="000000"/>
          <w:sz w:val="24"/>
          <w:szCs w:val="24"/>
          <w:highlight w:val="none"/>
          <w:lang w:eastAsia="zh-CN"/>
        </w:rPr>
      </w:r>
      <w:r/>
    </w:p>
    <w:p>
      <w:pPr>
        <w:pStyle w:val="872"/>
        <w:ind w:firstLine="498"/>
        <w:spacing w:before="145" w:after="145" w:line="360" w:lineRule="auto"/>
        <w:rPr>
          <w:color w:val="000000"/>
          <w:highlight w:val="none"/>
        </w:rPr>
      </w:pPr>
      <w:r>
        <w:rPr>
          <w:rFonts w:hint="eastAsia"/>
          <w:color w:val="000000"/>
          <w:highlight w:val="none"/>
        </w:rPr>
        <w:t xml:space="preserve">三、获取招标文件</w:t>
      </w:r>
      <w:bookmarkEnd w:id="17"/>
      <w:r/>
      <w:bookmarkEnd w:id="18"/>
      <w:r/>
      <w:bookmarkEnd w:id="19"/>
      <w:r/>
      <w:bookmarkEnd w:id="20"/>
      <w:r/>
      <w:bookmarkEnd w:id="21"/>
      <w:r>
        <w:rPr>
          <w:color w:val="000000"/>
          <w:highlight w:val="none"/>
        </w:rPr>
      </w:r>
      <w:r/>
    </w:p>
    <w:p>
      <w:pPr>
        <w:pStyle w:val="869"/>
        <w:ind w:firstLine="540"/>
        <w:spacing w:line="360" w:lineRule="auto"/>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869"/>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ascii="宋体" w:hAnsi="宋体" w:cs="宋体"/>
          <w:color w:val="000000"/>
          <w:sz w:val="24"/>
          <w:szCs w:val="24"/>
          <w:highlight w:val="none"/>
          <w:u w:val="single"/>
        </w:rPr>
      </w:r>
      <w:r/>
    </w:p>
    <w:p>
      <w:pPr>
        <w:pStyle w:val="872"/>
        <w:ind w:firstLine="498"/>
        <w:spacing w:before="145" w:after="145" w:line="360" w:lineRule="auto"/>
        <w:rPr>
          <w:color w:val="000000"/>
          <w:highlight w:val="none"/>
        </w:rPr>
      </w:pPr>
      <w:r>
        <w:rPr>
          <w:rFonts w:hint="eastAsia"/>
          <w:color w:val="000000"/>
          <w:highlight w:val="none"/>
        </w:rPr>
        <w:t xml:space="preserve">四、提交投标文件</w:t>
      </w:r>
      <w:bookmarkEnd w:id="22"/>
      <w:r/>
      <w:bookmarkEnd w:id="23"/>
      <w:r>
        <w:rPr>
          <w:rFonts w:hint="eastAsia"/>
          <w:color w:val="000000"/>
          <w:highlight w:val="none"/>
        </w:rPr>
        <w:t xml:space="preserve">截止时间、开标时间和地点</w:t>
      </w:r>
      <w:bookmarkEnd w:id="24"/>
      <w:r/>
      <w:bookmarkEnd w:id="25"/>
      <w:r/>
      <w:bookmarkEnd w:id="26"/>
      <w:r>
        <w:rPr>
          <w:color w:val="000000"/>
          <w:highlight w:val="none"/>
        </w:rPr>
      </w:r>
      <w:r/>
    </w:p>
    <w:p>
      <w:pPr>
        <w:pStyle w:val="869"/>
        <w:ind w:firstLine="480"/>
        <w:rPr>
          <w:rFonts w:ascii="宋体" w:hAnsi="宋体"/>
          <w:bCs/>
          <w:color w:val="000000"/>
          <w:sz w:val="24"/>
          <w:szCs w:val="24"/>
          <w:highlight w:val="none"/>
          <w:u w:val="single"/>
        </w:rPr>
      </w:pPr>
      <w:r>
        <w:rPr>
          <w:rFonts w:hint="eastAsia" w:ascii="宋体" w:hAnsi="宋体"/>
          <w:bCs/>
          <w:color w:val="000000"/>
          <w:sz w:val="24"/>
          <w:szCs w:val="24"/>
          <w:highlight w:val="none"/>
          <w:u w:val="single"/>
        </w:rPr>
        <w:t xml:space="preserve">1.2024年5月29日9点30分</w:t>
      </w:r>
      <w:r>
        <w:rPr>
          <w:rFonts w:hint="eastAsia" w:ascii="宋体" w:hAnsi="宋体"/>
          <w:bCs/>
          <w:color w:val="000000"/>
          <w:sz w:val="24"/>
          <w:szCs w:val="24"/>
          <w:highlight w:val="none"/>
        </w:rPr>
        <w:t xml:space="preserve">（北京时间）</w:t>
      </w:r>
      <w:r>
        <w:rPr>
          <w:rFonts w:ascii="宋体" w:hAnsi="宋体"/>
          <w:bCs/>
          <w:color w:val="000000"/>
          <w:sz w:val="24"/>
          <w:szCs w:val="24"/>
          <w:highlight w:val="none"/>
          <w:u w:val="single"/>
        </w:rPr>
      </w:r>
      <w:r/>
    </w:p>
    <w:p>
      <w:pPr>
        <w:pStyle w:val="869"/>
        <w:ind w:firstLine="480"/>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2.地点：“苏采云”政府采购交易系统网上开标大厅。</w:t>
      </w:r>
      <w:r>
        <w:rPr>
          <w:rFonts w:hint="eastAsia" w:ascii="宋体" w:hAnsi="宋体"/>
          <w:bCs/>
          <w:color w:val="000000"/>
          <w:sz w:val="24"/>
          <w:szCs w:val="24"/>
          <w:highlight w:val="none"/>
          <w:u w:val="single"/>
        </w:rPr>
      </w:r>
      <w:r/>
    </w:p>
    <w:p>
      <w:pPr>
        <w:pStyle w:val="872"/>
        <w:ind w:firstLine="498"/>
        <w:spacing w:before="145" w:after="145" w:line="360" w:lineRule="auto"/>
        <w:rPr>
          <w:color w:val="000000"/>
          <w:highlight w:val="none"/>
        </w:rPr>
      </w:pPr>
      <w:r/>
      <w:bookmarkStart w:id="27" w:name="_Toc35393794"/>
      <w:r/>
      <w:bookmarkStart w:id="28" w:name="_Toc28359084"/>
      <w:r/>
      <w:bookmarkStart w:id="29" w:name="_Toc38985267"/>
      <w:r/>
      <w:bookmarkStart w:id="30" w:name="_Toc28359007"/>
      <w:r/>
      <w:bookmarkStart w:id="31" w:name="_Toc35393625"/>
      <w:r>
        <w:rPr>
          <w:rFonts w:hint="eastAsia"/>
          <w:color w:val="000000"/>
          <w:highlight w:val="none"/>
        </w:rPr>
        <w:t xml:space="preserve">五、公告期限</w:t>
      </w:r>
      <w:bookmarkEnd w:id="27"/>
      <w:r/>
      <w:bookmarkEnd w:id="28"/>
      <w:r/>
      <w:bookmarkEnd w:id="29"/>
      <w:r/>
      <w:bookmarkEnd w:id="30"/>
      <w:r/>
      <w:bookmarkEnd w:id="31"/>
      <w:r>
        <w:rPr>
          <w:color w:val="000000"/>
          <w:highlight w:val="none"/>
        </w:rPr>
      </w:r>
      <w:r/>
    </w:p>
    <w:p>
      <w:pPr>
        <w:pStyle w:val="869"/>
        <w:ind w:firstLine="480"/>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872"/>
        <w:ind w:firstLine="498"/>
        <w:spacing w:before="145" w:after="145" w:line="360" w:lineRule="auto"/>
        <w:rPr>
          <w:color w:val="000000"/>
          <w:highlight w:val="none"/>
        </w:rPr>
      </w:pPr>
      <w:r>
        <w:rPr>
          <w:rFonts w:hint="eastAsia"/>
          <w:color w:val="000000"/>
          <w:highlight w:val="none"/>
        </w:rPr>
        <w:t xml:space="preserve">六、其他补充事宜</w:t>
      </w:r>
      <w:bookmarkEnd w:id="32"/>
      <w:r/>
      <w:bookmarkEnd w:id="33"/>
      <w:r/>
      <w:bookmarkEnd w:id="34"/>
      <w:r>
        <w:rPr>
          <w:color w:val="000000"/>
          <w:highlight w:val="none"/>
        </w:rPr>
      </w:r>
      <w:r/>
    </w:p>
    <w:p>
      <w:pPr>
        <w:pStyle w:val="695"/>
        <w:ind w:left="0" w:right="0" w:firstLine="37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现场集中勘查时间：</w:t>
      </w:r>
      <w:r/>
    </w:p>
    <w:p>
      <w:pPr>
        <w:pStyle w:val="695"/>
        <w:ind w:left="0" w:right="0" w:firstLine="37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2024年5月15日9点30分至11点南京林业大学南京白马校区</w:t>
      </w:r>
      <w:r/>
    </w:p>
    <w:p>
      <w:pPr>
        <w:pStyle w:val="695"/>
        <w:ind w:left="0" w:right="0" w:firstLine="37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2024年5月15日15点至16点30分南京林业大学南京新庄校区</w:t>
      </w:r>
      <w:r/>
    </w:p>
    <w:p>
      <w:pPr>
        <w:pStyle w:val="695"/>
        <w:ind w:left="0" w:right="0" w:firstLine="37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联系人：翟老师，电话：025-85427685。</w:t>
      </w:r>
      <w:r/>
    </w:p>
    <w:p>
      <w:pPr>
        <w:pStyle w:val="695"/>
        <w:ind w:left="0" w:right="0" w:firstLine="37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地点：上午：南京林业大学南京白马校区（施工现场勘察）</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下午：南京林业大学新庄校区（校区对接内容勘察）。</w:t>
      </w:r>
      <w:r/>
    </w:p>
    <w:p>
      <w:pPr>
        <w:pStyle w:val="695"/>
        <w:ind w:left="0" w:right="0" w:firstLine="37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现场勘查时须由授权代表持单位授权函原件、本人身份证原件及加盖公章的复印件。建议对项目现场认真地查勘，对现场资料和数据所作出的推论、解释和结论及由此造成的后果由供应商负责。</w:t>
      </w:r>
      <w:r/>
      <w:r>
        <w:rPr>
          <w:rFonts w:ascii="宋体" w:hAnsi="宋体" w:cs="宋体"/>
          <w:b w:val="0"/>
          <w:bCs w:val="0"/>
          <w:color w:val="000000"/>
          <w:sz w:val="24"/>
          <w:szCs w:val="24"/>
          <w:highlight w:val="none"/>
        </w:rPr>
      </w:r>
      <w:r/>
      <w:r>
        <w:rPr>
          <w:sz w:val="32"/>
        </w:rPr>
      </w:r>
    </w:p>
    <w:p>
      <w:pPr>
        <w:pStyle w:val="872"/>
        <w:ind w:firstLine="498"/>
        <w:spacing w:before="145" w:after="145" w:line="360" w:lineRule="auto"/>
        <w:rPr>
          <w:color w:val="000000"/>
          <w:highlight w:val="none"/>
        </w:rPr>
      </w:pPr>
      <w:r>
        <w:rPr>
          <w:rFonts w:hint="eastAsia"/>
          <w:color w:val="000000"/>
          <w:highlight w:val="none"/>
        </w:rPr>
        <w:t xml:space="preserve">七、本次招标联系方式</w:t>
      </w:r>
      <w:bookmarkEnd w:id="35"/>
      <w:r/>
      <w:bookmarkEnd w:id="36"/>
      <w:r/>
      <w:bookmarkEnd w:id="37"/>
      <w:r/>
      <w:bookmarkEnd w:id="38"/>
      <w:r/>
      <w:bookmarkEnd w:id="39"/>
      <w:r>
        <w:rPr>
          <w:color w:val="000000"/>
          <w:highlight w:val="none"/>
        </w:rPr>
      </w:r>
      <w:r/>
    </w:p>
    <w:p>
      <w:pPr>
        <w:pStyle w:val="869"/>
        <w:ind w:firstLine="480"/>
        <w:spacing w:line="560" w:lineRule="exact"/>
        <w:tabs>
          <w:tab w:val="left" w:pos="900" w:leader="none"/>
        </w:tabs>
        <w:rPr>
          <w:rFonts w:hint="eastAsia" w:ascii="宋体" w:hAnsi="宋体" w:eastAsia="宋体" w:cs="Times New Roman"/>
          <w:bCs/>
          <w:color w:val="000000"/>
          <w:sz w:val="24"/>
          <w:szCs w:val="24"/>
          <w:highlight w:val="none"/>
        </w:rPr>
      </w:pPr>
      <w:r/>
      <w:bookmarkStart w:id="40" w:name="_Toc28359010"/>
      <w:r/>
      <w:bookmarkStart w:id="41" w:name="_Toc28359087"/>
      <w:r>
        <w:rPr>
          <w:rFonts w:hint="eastAsia" w:ascii="宋体" w:hAnsi="宋体" w:eastAsia="宋体" w:cs="Times New Roman"/>
          <w:bCs/>
          <w:color w:val="000000"/>
          <w:sz w:val="24"/>
          <w:szCs w:val="24"/>
          <w:highlight w:val="none"/>
        </w:rPr>
        <w:t xml:space="preserve">1.采购人信息</w:t>
      </w:r>
      <w:r>
        <w:rPr>
          <w:rFonts w:hint="eastAsia" w:ascii="宋体" w:hAnsi="宋体" w:eastAsia="宋体" w:cs="Times New Roman"/>
          <w:bCs/>
          <w:color w:val="000000"/>
          <w:sz w:val="24"/>
          <w:szCs w:val="24"/>
          <w:highlight w:val="none"/>
        </w:rPr>
      </w:r>
      <w:r/>
    </w:p>
    <w:p>
      <w:pPr>
        <w:pStyle w:val="869"/>
        <w:ind w:firstLine="480"/>
        <w:spacing w:line="560" w:lineRule="exact"/>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名 称：</w:t>
      </w:r>
      <w:r>
        <w:rPr>
          <w:rFonts w:hint="eastAsia" w:ascii="宋体" w:hAnsi="宋体" w:eastAsia="宋体" w:cs="Times New Roman"/>
          <w:bCs/>
          <w:color w:val="000000"/>
          <w:sz w:val="24"/>
          <w:szCs w:val="24"/>
          <w:highlight w:val="none"/>
          <w:u w:val="single"/>
        </w:rPr>
        <w:t xml:space="preserve">南京林业大学</w:t>
      </w:r>
      <w:r>
        <w:rPr>
          <w:rFonts w:hint="eastAsia" w:ascii="宋体" w:hAnsi="宋体" w:eastAsia="宋体" w:cs="Times New Roman"/>
          <w:bCs/>
          <w:color w:val="000000"/>
          <w:sz w:val="24"/>
          <w:szCs w:val="24"/>
          <w:highlight w:val="none"/>
        </w:rPr>
      </w:r>
      <w:r/>
    </w:p>
    <w:p>
      <w:pPr>
        <w:pStyle w:val="869"/>
        <w:ind w:firstLine="480"/>
        <w:spacing w:line="560" w:lineRule="exact"/>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 址：</w:t>
      </w:r>
      <w:r>
        <w:rPr>
          <w:rFonts w:hint="eastAsia" w:ascii="宋体" w:hAnsi="宋体" w:eastAsia="宋体" w:cs="Times New Roman"/>
          <w:bCs/>
          <w:color w:val="000000"/>
          <w:sz w:val="24"/>
          <w:szCs w:val="24"/>
          <w:highlight w:val="none"/>
          <w:u w:val="single"/>
        </w:rPr>
        <w:t xml:space="preserve">南京市玄武区龙蟠路159号</w:t>
      </w:r>
      <w:r>
        <w:rPr>
          <w:rFonts w:hint="eastAsia" w:ascii="宋体" w:hAnsi="宋体" w:eastAsia="宋体" w:cs="Times New Roman"/>
          <w:bCs/>
          <w:color w:val="000000"/>
          <w:sz w:val="24"/>
          <w:szCs w:val="24"/>
          <w:highlight w:val="none"/>
        </w:rPr>
      </w:r>
      <w:r/>
    </w:p>
    <w:p>
      <w:pPr>
        <w:pStyle w:val="869"/>
        <w:ind w:firstLine="480"/>
        <w:spacing w:line="560" w:lineRule="exact"/>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联系人：</w:t>
      </w:r>
      <w:r>
        <w:rPr>
          <w:rFonts w:hint="eastAsia" w:ascii="宋体" w:hAnsi="宋体" w:eastAsia="宋体" w:cs="Times New Roman"/>
          <w:bCs/>
          <w:color w:val="000000"/>
          <w:sz w:val="24"/>
          <w:szCs w:val="24"/>
          <w:highlight w:val="none"/>
          <w:u w:val="single"/>
        </w:rPr>
        <w:t xml:space="preserve">蒋老师</w:t>
      </w:r>
      <w:r>
        <w:rPr>
          <w:rFonts w:hint="eastAsia" w:ascii="宋体" w:hAnsi="宋体" w:eastAsia="宋体" w:cs="Times New Roman"/>
          <w:bCs/>
          <w:color w:val="000000"/>
          <w:sz w:val="24"/>
          <w:szCs w:val="24"/>
          <w:highlight w:val="none"/>
        </w:rPr>
      </w:r>
      <w:r/>
    </w:p>
    <w:p>
      <w:pPr>
        <w:pStyle w:val="869"/>
        <w:ind w:firstLine="480"/>
        <w:spacing w:line="560" w:lineRule="exact"/>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联系方式：</w:t>
      </w:r>
      <w:r>
        <w:rPr>
          <w:rFonts w:hint="eastAsia" w:ascii="宋体" w:hAnsi="宋体" w:eastAsia="宋体" w:cs="Times New Roman"/>
          <w:bCs/>
          <w:color w:val="000000"/>
          <w:sz w:val="24"/>
          <w:szCs w:val="24"/>
          <w:highlight w:val="none"/>
          <w:u w:val="single"/>
        </w:rPr>
        <w:t xml:space="preserve">025-85428503</w:t>
      </w:r>
      <w:r>
        <w:rPr>
          <w:rFonts w:hint="eastAsia" w:ascii="宋体" w:hAnsi="宋体" w:eastAsia="宋体" w:cs="Times New Roman"/>
          <w:bCs/>
          <w:color w:val="000000"/>
          <w:sz w:val="24"/>
          <w:szCs w:val="24"/>
          <w:highlight w:val="none"/>
        </w:rPr>
      </w:r>
      <w:r/>
    </w:p>
    <w:p>
      <w:pPr>
        <w:pStyle w:val="869"/>
        <w:ind w:firstLine="480"/>
        <w:spacing w:line="560" w:lineRule="exact"/>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2.江苏省政府采购中心信息</w:t>
      </w:r>
      <w:r>
        <w:rPr>
          <w:rFonts w:hint="eastAsia" w:ascii="宋体" w:hAnsi="宋体" w:eastAsia="宋体" w:cs="Times New Roman"/>
          <w:bCs/>
          <w:color w:val="000000"/>
          <w:sz w:val="24"/>
          <w:szCs w:val="24"/>
          <w:highlight w:val="none"/>
        </w:rPr>
      </w:r>
      <w:r/>
    </w:p>
    <w:p>
      <w:pPr>
        <w:pStyle w:val="869"/>
        <w:ind w:firstLine="480"/>
        <w:spacing w:line="560" w:lineRule="exact"/>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　址：</w:t>
      </w:r>
      <w:r>
        <w:rPr>
          <w:rFonts w:hint="eastAsia" w:ascii="宋体" w:hAnsi="宋体" w:eastAsia="宋体" w:cs="Times New Roman"/>
          <w:bCs/>
          <w:color w:val="000000"/>
          <w:sz w:val="24"/>
          <w:szCs w:val="24"/>
          <w:highlight w:val="none"/>
          <w:u w:val="single"/>
        </w:rPr>
        <w:t xml:space="preserve">南京市汉中门大街145号省政务服务中心二期3楼南区</w:t>
      </w:r>
      <w:r>
        <w:rPr>
          <w:rFonts w:hint="eastAsia" w:ascii="宋体" w:hAnsi="宋体" w:eastAsia="宋体" w:cs="Times New Roman"/>
          <w:bCs/>
          <w:color w:val="000000"/>
          <w:sz w:val="24"/>
          <w:szCs w:val="24"/>
          <w:highlight w:val="none"/>
        </w:rPr>
      </w:r>
      <w:r/>
    </w:p>
    <w:p>
      <w:pPr>
        <w:pStyle w:val="869"/>
        <w:ind w:firstLine="480"/>
        <w:spacing w:line="560" w:lineRule="exact"/>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联系人：</w:t>
      </w:r>
      <w:r>
        <w:rPr>
          <w:rFonts w:hint="eastAsia" w:ascii="宋体" w:hAnsi="宋体" w:eastAsia="宋体" w:cs="Times New Roman"/>
          <w:bCs/>
          <w:color w:val="000000"/>
          <w:sz w:val="24"/>
          <w:szCs w:val="24"/>
          <w:highlight w:val="none"/>
          <w:u w:val="single"/>
        </w:rPr>
        <w:t xml:space="preserve">郑荔</w:t>
      </w:r>
      <w:r>
        <w:rPr>
          <w:rFonts w:hint="eastAsia" w:ascii="宋体" w:hAnsi="宋体" w:eastAsia="宋体" w:cs="Times New Roman"/>
          <w:bCs/>
          <w:color w:val="000000"/>
          <w:sz w:val="24"/>
          <w:szCs w:val="24"/>
          <w:highlight w:val="none"/>
        </w:rPr>
      </w:r>
      <w:r/>
    </w:p>
    <w:p>
      <w:pPr>
        <w:pStyle w:val="869"/>
        <w:ind w:firstLine="480"/>
        <w:spacing w:line="560" w:lineRule="exact"/>
        <w:tabs>
          <w:tab w:val="left" w:pos="90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联系方式：</w:t>
      </w:r>
      <w:r>
        <w:rPr>
          <w:rFonts w:hint="eastAsia" w:ascii="宋体" w:hAnsi="宋体" w:eastAsia="宋体" w:cs="Times New Roman"/>
          <w:bCs/>
          <w:color w:val="000000"/>
          <w:sz w:val="24"/>
          <w:szCs w:val="24"/>
          <w:highlight w:val="none"/>
          <w:u w:val="single"/>
        </w:rPr>
        <w:t xml:space="preserve">025-83668535</w:t>
      </w:r>
      <w:r>
        <w:rPr>
          <w:rFonts w:hint="eastAsia" w:ascii="宋体" w:hAnsi="宋体" w:eastAsia="宋体" w:cs="Times New Roman"/>
          <w:bCs/>
          <w:color w:val="000000"/>
          <w:sz w:val="24"/>
          <w:szCs w:val="24"/>
          <w:highlight w:val="none"/>
        </w:rPr>
      </w:r>
      <w:r/>
    </w:p>
    <w:p>
      <w:pPr>
        <w:pStyle w:val="872"/>
        <w:ind w:firstLine="498"/>
        <w:spacing w:before="145" w:after="145" w:line="360" w:lineRule="auto"/>
        <w:rPr>
          <w:color w:val="000000"/>
          <w:highlight w:val="none"/>
        </w:rPr>
      </w:pPr>
      <w:r/>
      <w:bookmarkEnd w:id="40"/>
      <w:r/>
      <w:bookmarkEnd w:id="41"/>
      <w:r>
        <w:rPr>
          <w:rFonts w:hint="eastAsia"/>
          <w:color w:val="000000"/>
          <w:highlight w:val="none"/>
        </w:rPr>
        <w:t xml:space="preserve">八、其他</w:t>
      </w:r>
      <w:r>
        <w:rPr>
          <w:color w:val="000000"/>
          <w:highlight w:val="none"/>
        </w:rPr>
      </w:r>
      <w:r/>
    </w:p>
    <w:p>
      <w:pPr>
        <w:pStyle w:val="869"/>
        <w:ind w:firstLine="480"/>
        <w:spacing w:line="560" w:lineRule="exact"/>
        <w:tabs>
          <w:tab w:val="left" w:pos="900" w:leader="none"/>
        </w:tabs>
        <w:rPr>
          <w:rFonts w:hint="eastAsia" w:ascii="宋体" w:hAnsi="宋体"/>
          <w:bCs/>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bCs/>
          <w:color w:val="000000"/>
          <w:sz w:val="24"/>
          <w:szCs w:val="24"/>
          <w:highlight w:val="none"/>
        </w:rPr>
        <w:t xml:space="preserve"> 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highlight w:val="none"/>
        </w:rPr>
      </w:r>
      <w:r/>
    </w:p>
    <w:p>
      <w:pPr>
        <w:pStyle w:val="869"/>
        <w:ind w:firstLine="480"/>
        <w:spacing w:line="560" w:lineRule="exact"/>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sz w:val="24"/>
          <w:szCs w:val="24"/>
          <w:highlight w:val="none"/>
        </w:rPr>
      </w:r>
      <w:r/>
    </w:p>
    <w:p>
      <w:pPr>
        <w:pStyle w:val="869"/>
        <w:ind w:firstLine="480"/>
        <w:spacing w:line="56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有关本次招标的事项若存在变动或修改，敬请及时关注江苏省政府采购中心在“江苏政府采购网”发布的更正公告。</w:t>
      </w:r>
      <w:r>
        <w:rPr>
          <w:rFonts w:hint="eastAsia" w:ascii="宋体" w:hAnsi="宋体"/>
          <w:bCs/>
          <w:color w:val="000000"/>
          <w:sz w:val="24"/>
          <w:szCs w:val="24"/>
          <w:highlight w:val="none"/>
        </w:rPr>
      </w:r>
      <w:r/>
    </w:p>
    <w:p>
      <w:pPr>
        <w:pStyle w:val="869"/>
        <w:ind w:firstLine="480"/>
        <w:spacing w:line="56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 本次招标不收取投标保证金。</w:t>
      </w:r>
      <w:r>
        <w:rPr>
          <w:rFonts w:hint="eastAsia" w:ascii="宋体" w:hAnsi="宋体"/>
          <w:bCs/>
          <w:color w:val="000000"/>
          <w:sz w:val="24"/>
          <w:szCs w:val="24"/>
          <w:highlight w:val="none"/>
        </w:rPr>
      </w:r>
      <w:r/>
    </w:p>
    <w:p>
      <w:pPr>
        <w:pStyle w:val="869"/>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69"/>
        <w:ind w:right="840"/>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color w:val="000000"/>
          <w:sz w:val="24"/>
          <w:szCs w:val="24"/>
          <w:highlight w:val="none"/>
        </w:rPr>
      </w:r>
      <w:r/>
    </w:p>
    <w:p>
      <w:pPr>
        <w:pStyle w:val="871"/>
        <w:ind w:firstLine="2429"/>
        <w:jc w:val="both"/>
        <w:rPr>
          <w:rFonts w:hint="eastAsia" w:ascii="黑体" w:eastAsia="黑体"/>
          <w:b w:val="0"/>
          <w:bCs w:val="0"/>
          <w:color w:val="000000"/>
          <w:highlight w:val="none"/>
        </w:rPr>
      </w:pPr>
      <w:r/>
      <w:bookmarkStart w:id="42" w:name="_Toc120614211"/>
      <w:r>
        <w:rPr>
          <w:rFonts w:hint="eastAsia" w:ascii="黑体" w:eastAsia="黑体"/>
          <w:color w:val="000000"/>
          <w:highlight w:val="none"/>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eastAsia="黑体"/>
          <w:color w:val="000000"/>
          <w:highlight w:val="none"/>
        </w:rPr>
        <w:t xml:space="preserve">投标人须知</w:t>
      </w:r>
      <w:bookmarkEnd w:id="43"/>
      <w:r/>
      <w:bookmarkEnd w:id="44"/>
      <w:r/>
      <w:bookmarkEnd w:id="45"/>
      <w:r/>
      <w:bookmarkEnd w:id="46"/>
      <w:r>
        <w:rPr>
          <w:rFonts w:hint="eastAsia" w:ascii="黑体" w:eastAsia="黑体"/>
          <w:b w:val="0"/>
          <w:bCs w:val="0"/>
          <w:color w:val="000000"/>
          <w:highlight w:val="none"/>
        </w:rPr>
      </w:r>
      <w:r/>
    </w:p>
    <w:p>
      <w:pPr>
        <w:pStyle w:val="872"/>
        <w:ind w:firstLine="498"/>
        <w:spacing w:before="145" w:after="145" w:line="360" w:lineRule="auto"/>
        <w:rPr>
          <w:rFonts w:hint="eastAsia"/>
          <w:color w:val="000000"/>
          <w:highlight w:val="none"/>
        </w:rPr>
      </w:pPr>
      <w:r/>
      <w:bookmarkStart w:id="47" w:name="_Toc16938519"/>
      <w:r/>
      <w:bookmarkStart w:id="48" w:name="_Toc20823275"/>
      <w:r/>
      <w:bookmarkStart w:id="49" w:name="_Toc120614214"/>
      <w:r/>
      <w:bookmarkStart w:id="50" w:name="_Toc513029203"/>
      <w:r>
        <w:rPr>
          <w:rFonts w:hint="eastAsia"/>
          <w:color w:val="000000"/>
          <w:highlight w:val="none"/>
        </w:rPr>
        <w:t xml:space="preserve">一、总则</w:t>
      </w:r>
      <w:bookmarkEnd w:id="47"/>
      <w:r/>
      <w:bookmarkEnd w:id="48"/>
      <w:r/>
      <w:bookmarkEnd w:id="49"/>
      <w:r/>
      <w:bookmarkEnd w:id="50"/>
      <w:r>
        <w:rPr>
          <w:rFonts w:hint="eastAsia"/>
          <w:color w:val="000000"/>
          <w:highlight w:val="none"/>
        </w:rPr>
      </w:r>
      <w:r/>
    </w:p>
    <w:p>
      <w:pPr>
        <w:pStyle w:val="873"/>
        <w:ind w:firstLine="420"/>
        <w:spacing w:before="0" w:after="0" w:line="240" w:lineRule="auto"/>
        <w:rPr>
          <w:rFonts w:hint="eastAsia"/>
          <w:b w:val="0"/>
          <w:bCs w:val="0"/>
          <w:color w:val="000000"/>
          <w:highlight w:val="none"/>
        </w:rPr>
      </w:pPr>
      <w:r/>
      <w:bookmarkStart w:id="51" w:name="_Hlt16619475"/>
      <w:r/>
      <w:bookmarkEnd w:id="51"/>
      <w:r/>
      <w:bookmarkStart w:id="52" w:name="_Toc458694821"/>
      <w:r/>
      <w:bookmarkStart w:id="53" w:name="_Toc16938520"/>
      <w:r/>
      <w:bookmarkStart w:id="54" w:name="_Toc513029204"/>
      <w:r/>
      <w:bookmarkStart w:id="55" w:name="_Toc20823276"/>
      <w:r>
        <w:rPr>
          <w:rFonts w:hint="eastAsia"/>
          <w:b w:val="0"/>
          <w:bCs w:val="0"/>
          <w:color w:val="000000"/>
          <w:highlight w:val="none"/>
        </w:rPr>
        <w:t xml:space="preserve">1</w:t>
      </w:r>
      <w:bookmarkEnd w:id="52"/>
      <w:r>
        <w:rPr>
          <w:rFonts w:hint="eastAsia"/>
          <w:b w:val="0"/>
          <w:bCs w:val="0"/>
          <w:color w:val="000000"/>
          <w:highlight w:val="none"/>
        </w:rPr>
        <w:t xml:space="preserve">、招标方式</w:t>
      </w:r>
      <w:bookmarkEnd w:id="53"/>
      <w:r/>
      <w:bookmarkEnd w:id="54"/>
      <w:r/>
      <w:bookmarkEnd w:id="55"/>
      <w:r>
        <w:rPr>
          <w:rFonts w:hint="eastAsia"/>
          <w:b w:val="0"/>
          <w:bCs w:val="0"/>
          <w:color w:val="000000"/>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873"/>
        <w:ind w:firstLine="420"/>
        <w:spacing w:before="0" w:after="0" w:line="240" w:lineRule="auto"/>
        <w:rPr>
          <w:rFonts w:hint="eastAsia"/>
          <w:b w:val="0"/>
          <w:bCs w:val="0"/>
          <w:color w:val="000000"/>
          <w:highlight w:val="none"/>
        </w:rPr>
      </w:pPr>
      <w:r/>
      <w:bookmarkStart w:id="56" w:name="_Toc513029205"/>
      <w:r/>
      <w:bookmarkStart w:id="57" w:name="_Toc16938521"/>
      <w:r/>
      <w:bookmarkStart w:id="58" w:name="_Toc20823277"/>
      <w:r>
        <w:rPr>
          <w:rFonts w:hint="eastAsia"/>
          <w:b w:val="0"/>
          <w:bCs w:val="0"/>
          <w:color w:val="000000"/>
          <w:highlight w:val="none"/>
        </w:rPr>
        <w:t xml:space="preserve">2、合格的投标人</w:t>
      </w:r>
      <w:bookmarkEnd w:id="56"/>
      <w:r/>
      <w:bookmarkEnd w:id="57"/>
      <w:r/>
      <w:bookmarkEnd w:id="58"/>
      <w:r>
        <w:rPr>
          <w:rFonts w:hint="eastAsia"/>
          <w:b w:val="0"/>
          <w:bCs w:val="0"/>
          <w:color w:val="000000"/>
          <w:highlight w:val="none"/>
        </w:rPr>
      </w:r>
      <w:r/>
    </w:p>
    <w:p>
      <w:pPr>
        <w:pStyle w:val="869"/>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869"/>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873"/>
        <w:ind w:firstLine="420"/>
        <w:spacing w:before="0" w:after="0" w:line="240" w:lineRule="auto"/>
        <w:rPr>
          <w:rFonts w:hint="eastAsia"/>
          <w:b w:val="0"/>
          <w:bCs w:val="0"/>
          <w:color w:val="000000"/>
          <w:highlight w:val="none"/>
        </w:rPr>
      </w:pPr>
      <w:r/>
      <w:bookmarkStart w:id="59" w:name="_Toc513029206"/>
      <w:r/>
      <w:bookmarkStart w:id="60" w:name="_Toc20823278"/>
      <w:r/>
      <w:bookmarkStart w:id="61" w:name="_Toc16938522"/>
      <w:r>
        <w:rPr>
          <w:rFonts w:hint="eastAsia"/>
          <w:b w:val="0"/>
          <w:bCs w:val="0"/>
          <w:color w:val="000000"/>
          <w:highlight w:val="none"/>
        </w:rPr>
        <w:t xml:space="preserve">3、适用法律</w:t>
      </w:r>
      <w:bookmarkEnd w:id="59"/>
      <w:r/>
      <w:bookmarkEnd w:id="60"/>
      <w:r/>
      <w:bookmarkEnd w:id="61"/>
      <w:r>
        <w:rPr>
          <w:rFonts w:hint="eastAsia"/>
          <w:b w:val="0"/>
          <w:bCs w:val="0"/>
          <w:color w:val="000000"/>
          <w:highlight w:val="none"/>
        </w:rPr>
      </w:r>
      <w:r/>
    </w:p>
    <w:p>
      <w:pPr>
        <w:pStyle w:val="869"/>
        <w:ind w:firstLine="420"/>
        <w:spacing w:line="4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hint="eastAsia" w:ascii="宋体" w:hAnsi="宋体"/>
          <w:color w:val="000000"/>
          <w:sz w:val="24"/>
          <w:highlight w:val="none"/>
        </w:rPr>
      </w:r>
      <w:r/>
    </w:p>
    <w:p>
      <w:pPr>
        <w:pStyle w:val="873"/>
        <w:ind w:firstLine="420"/>
        <w:spacing w:before="0" w:after="0" w:line="240" w:lineRule="auto"/>
        <w:rPr>
          <w:rFonts w:hint="eastAsia"/>
          <w:b w:val="0"/>
          <w:bCs w:val="0"/>
          <w:color w:val="000000"/>
          <w:highlight w:val="none"/>
        </w:rPr>
      </w:pPr>
      <w:r/>
      <w:bookmarkStart w:id="62" w:name="_Toc16938523"/>
      <w:r/>
      <w:bookmarkStart w:id="63" w:name="_Toc20823279"/>
      <w:r/>
      <w:bookmarkStart w:id="64" w:name="_Toc462564067"/>
      <w:r/>
      <w:bookmarkStart w:id="65" w:name="_Toc513029207"/>
      <w:r>
        <w:rPr>
          <w:rFonts w:hint="eastAsia"/>
          <w:b w:val="0"/>
          <w:bCs w:val="0"/>
          <w:color w:val="000000"/>
          <w:highlight w:val="none"/>
        </w:rPr>
        <w:t xml:space="preserve">4、投标费用</w:t>
      </w:r>
      <w:bookmarkEnd w:id="62"/>
      <w:r/>
      <w:bookmarkEnd w:id="63"/>
      <w:r/>
      <w:bookmarkEnd w:id="64"/>
      <w:r/>
      <w:bookmarkEnd w:id="65"/>
      <w:r>
        <w:rPr>
          <w:rFonts w:hint="eastAsia"/>
          <w:b w:val="0"/>
          <w:bCs w:val="0"/>
          <w:color w:val="000000"/>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4.2本次招标采购中心和采购人不收取标书工本费与中标服务费。</w:t>
      </w:r>
      <w:r>
        <w:rPr>
          <w:rFonts w:hint="eastAsia" w:ascii="宋体" w:hAnsi="宋体"/>
          <w:color w:val="000000"/>
          <w:sz w:val="24"/>
          <w:highlight w:val="none"/>
        </w:rPr>
      </w:r>
      <w:r/>
    </w:p>
    <w:p>
      <w:pPr>
        <w:pStyle w:val="873"/>
        <w:ind w:firstLine="602"/>
        <w:spacing w:before="0" w:after="0" w:line="48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rPr>
          <w:rFonts w:hint="eastAsia" w:ascii="黑体" w:hAnsi="宋体"/>
          <w:b w:val="0"/>
          <w:bCs w:val="0"/>
          <w:color w:val="000000"/>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872"/>
        <w:ind w:firstLine="321"/>
        <w:spacing w:before="145" w:after="145" w:line="360" w:lineRule="auto"/>
        <w:rPr>
          <w:rFonts w:hint="eastAsia"/>
          <w:color w:val="000000"/>
          <w:highlight w:val="none"/>
        </w:rPr>
      </w:pPr>
      <w:r/>
      <w:bookmarkStart w:id="66" w:name="_Toc16938525"/>
      <w:r/>
      <w:bookmarkStart w:id="67" w:name="_Toc120614215"/>
      <w:r/>
      <w:bookmarkStart w:id="68" w:name="_Toc20823281"/>
      <w:r/>
      <w:bookmarkStart w:id="69" w:name="_Toc513029209"/>
      <w:r>
        <w:rPr>
          <w:rFonts w:hint="eastAsia"/>
          <w:color w:val="000000"/>
          <w:highlight w:val="none"/>
        </w:rPr>
        <w:t xml:space="preserve">二、招标文件</w:t>
      </w:r>
      <w:bookmarkEnd w:id="66"/>
      <w:r/>
      <w:bookmarkEnd w:id="67"/>
      <w:r/>
      <w:bookmarkEnd w:id="68"/>
      <w:r/>
      <w:bookmarkEnd w:id="69"/>
      <w:r>
        <w:rPr>
          <w:rFonts w:hint="eastAsia"/>
          <w:color w:val="000000"/>
          <w:highlight w:val="none"/>
        </w:rPr>
      </w:r>
      <w:r/>
    </w:p>
    <w:p>
      <w:pPr>
        <w:pStyle w:val="873"/>
        <w:ind w:firstLine="420"/>
        <w:spacing w:before="0" w:after="0" w:line="240" w:lineRule="auto"/>
        <w:rPr>
          <w:rFonts w:hint="eastAsia"/>
          <w:b w:val="0"/>
          <w:bCs w:val="0"/>
          <w:color w:val="000000"/>
          <w:highlight w:val="none"/>
        </w:rPr>
      </w:pPr>
      <w:r/>
      <w:bookmarkStart w:id="70" w:name="_Toc513029210"/>
      <w:r/>
      <w:bookmarkStart w:id="71" w:name="_Toc20823282"/>
      <w:r/>
      <w:bookmarkStart w:id="72" w:name="_Toc16938526"/>
      <w:r>
        <w:rPr>
          <w:rFonts w:hint="eastAsia"/>
          <w:b w:val="0"/>
          <w:bCs w:val="0"/>
          <w:color w:val="000000"/>
          <w:highlight w:val="none"/>
        </w:rPr>
        <w:t xml:space="preserve">6、招标文件构成</w:t>
      </w:r>
      <w:bookmarkEnd w:id="70"/>
      <w:r/>
      <w:bookmarkEnd w:id="71"/>
      <w:r/>
      <w:bookmarkEnd w:id="72"/>
      <w:r>
        <w:rPr>
          <w:rFonts w:hint="eastAsia"/>
          <w:b w:val="0"/>
          <w:bCs w:val="0"/>
          <w:color w:val="000000"/>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869"/>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69"/>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69"/>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69"/>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69"/>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（5）评标方法与评标标准</w:t>
      </w:r>
      <w:r>
        <w:rPr>
          <w:rFonts w:hint="eastAsia" w:ascii="宋体" w:hAnsi="宋体"/>
          <w:color w:val="000000"/>
          <w:sz w:val="24"/>
          <w:szCs w:val="24"/>
          <w:highlight w:val="none"/>
        </w:rPr>
      </w:r>
      <w:r/>
    </w:p>
    <w:p>
      <w:pPr>
        <w:pStyle w:val="869"/>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请仔细检查招标文件是否齐全，如有缺漏请立即与采购中心联系解决。</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73"/>
        <w:ind w:firstLine="560"/>
        <w:spacing w:before="0" w:after="0" w:line="240" w:lineRule="auto"/>
        <w:rPr>
          <w:rFonts w:hint="eastAsia"/>
          <w:b w:val="0"/>
          <w:bCs w:val="0"/>
          <w:color w:val="000000"/>
          <w:highlight w:val="none"/>
        </w:rPr>
      </w:pPr>
      <w:r/>
      <w:bookmarkStart w:id="73" w:name="_Toc513029211"/>
      <w:r/>
      <w:bookmarkStart w:id="74" w:name="_Toc20823283"/>
      <w:r/>
      <w:bookmarkStart w:id="75" w:name="_Toc16938527"/>
      <w:r/>
      <w:bookmarkStart w:id="76" w:name="_Toc462564070"/>
      <w:r>
        <w:rPr>
          <w:rFonts w:hint="eastAsia"/>
          <w:b w:val="0"/>
          <w:bCs w:val="0"/>
          <w:color w:val="000000"/>
          <w:highlight w:val="none"/>
        </w:rPr>
        <w:t xml:space="preserve">7、招标文件的澄清</w:t>
      </w:r>
      <w:bookmarkEnd w:id="73"/>
      <w:r/>
      <w:bookmarkEnd w:id="74"/>
      <w:r/>
      <w:bookmarkEnd w:id="75"/>
      <w:r/>
      <w:bookmarkEnd w:id="76"/>
      <w:r>
        <w:rPr>
          <w:rFonts w:hint="eastAsia"/>
          <w:b w:val="0"/>
          <w:bCs w:val="0"/>
          <w:color w:val="000000"/>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按招标公告中的通讯地址，以书面形式通知采购中心。</w:t>
      </w:r>
      <w:r>
        <w:rPr>
          <w:rFonts w:hint="eastAsia" w:ascii="宋体" w:hAnsi="宋体"/>
          <w:color w:val="000000"/>
          <w:sz w:val="24"/>
          <w:szCs w:val="24"/>
          <w:highlight w:val="none"/>
        </w:rPr>
      </w:r>
      <w:r/>
    </w:p>
    <w:p>
      <w:pPr>
        <w:pStyle w:val="873"/>
        <w:ind w:firstLine="560"/>
        <w:spacing w:before="0" w:after="0" w:line="240" w:lineRule="auto"/>
        <w:rPr>
          <w:rFonts w:hint="eastAsia"/>
          <w:b w:val="0"/>
          <w:bCs w:val="0"/>
          <w:color w:val="000000"/>
          <w:highlight w:val="none"/>
        </w:rPr>
      </w:pPr>
      <w:r/>
      <w:bookmarkStart w:id="77" w:name="_Toc20823284"/>
      <w:r/>
      <w:bookmarkStart w:id="78" w:name="_Toc462564071"/>
      <w:r/>
      <w:bookmarkStart w:id="79" w:name="_Toc513029212"/>
      <w:r/>
      <w:bookmarkStart w:id="80" w:name="_Toc16938528"/>
      <w:r>
        <w:rPr>
          <w:rFonts w:hint="eastAsia"/>
          <w:b w:val="0"/>
          <w:bCs w:val="0"/>
          <w:color w:val="000000"/>
          <w:highlight w:val="none"/>
        </w:rPr>
        <w:t xml:space="preserve">8、招标文件的修改</w:t>
      </w:r>
      <w:bookmarkEnd w:id="77"/>
      <w:r/>
      <w:bookmarkEnd w:id="78"/>
      <w:r/>
      <w:bookmarkEnd w:id="79"/>
      <w:r/>
      <w:bookmarkEnd w:id="80"/>
      <w:r>
        <w:rPr>
          <w:rFonts w:hint="eastAsia"/>
          <w:b w:val="0"/>
          <w:bCs w:val="0"/>
          <w:color w:val="000000"/>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，采购中心可以对招标文件进行修改。</w:t>
      </w:r>
      <w:r>
        <w:rPr>
          <w:rFonts w:hint="eastAsia" w:ascii="宋体" w:hAnsi="宋体"/>
          <w:color w:val="000000"/>
          <w:sz w:val="24"/>
          <w:highlight w:val="none"/>
        </w:rPr>
      </w:r>
      <w:r/>
    </w:p>
    <w:p>
      <w:pPr>
        <w:pStyle w:val="869"/>
        <w:ind w:firstLine="480"/>
        <w:spacing w:line="500" w:lineRule="exact"/>
        <w:rPr>
          <w:rFonts w:hint="eastAsia" w:ascii="宋体" w:hAnsi="Arial"/>
          <w:color w:val="000000"/>
          <w:sz w:val="28"/>
          <w:highlight w:val="none"/>
        </w:rPr>
      </w:pPr>
      <w:r>
        <w:rPr>
          <w:rFonts w:hint="eastAsia" w:ascii="宋体" w:hAnsi="宋体"/>
          <w:bCs/>
          <w:color w:val="000000"/>
          <w:sz w:val="24"/>
          <w:highlight w:val="none"/>
        </w:rPr>
        <w:t xml:space="preserve">8.2 </w:t>
      </w:r>
      <w:r>
        <w:rPr>
          <w:rFonts w:hint="eastAsia" w:ascii="宋体" w:hAnsi="宋体"/>
          <w:color w:val="000000"/>
          <w:sz w:val="24"/>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highlight w:val="none"/>
        </w:rPr>
        <w:t xml:space="preserve">推迟投标截止日期和开标日期。</w:t>
      </w:r>
      <w:r>
        <w:rPr>
          <w:rFonts w:hint="eastAsia" w:ascii="宋体" w:hAnsi="Arial"/>
          <w:color w:val="000000"/>
          <w:sz w:val="28"/>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highlight w:val="none"/>
        </w:rPr>
        <w:t xml:space="preserve">并对投标人具有约束力。</w:t>
      </w:r>
      <w:r>
        <w:rPr>
          <w:rFonts w:hint="eastAsia" w:ascii="宋体" w:hAnsi="宋体"/>
          <w:color w:val="000000"/>
          <w:sz w:val="24"/>
          <w:highlight w:val="none"/>
        </w:rPr>
      </w:r>
      <w:r/>
    </w:p>
    <w:p>
      <w:pPr>
        <w:pStyle w:val="872"/>
        <w:ind w:firstLine="482"/>
        <w:spacing w:before="145" w:after="145" w:line="360" w:lineRule="auto"/>
        <w:rPr>
          <w:rFonts w:hint="eastAsia"/>
          <w:color w:val="000000"/>
          <w:highlight w:val="none"/>
        </w:rPr>
      </w:pPr>
      <w:r/>
      <w:bookmarkStart w:id="81" w:name="_Toc16938529"/>
      <w:r/>
      <w:bookmarkStart w:id="82" w:name="_Toc120614216"/>
      <w:r/>
      <w:bookmarkStart w:id="83" w:name="_Toc20823285"/>
      <w:r/>
      <w:bookmarkStart w:id="84" w:name="_Toc513029213"/>
      <w:r/>
      <w:bookmarkStart w:id="85" w:name="_Toc462564072"/>
      <w:r>
        <w:rPr>
          <w:rFonts w:hint="eastAsia"/>
          <w:color w:val="000000"/>
          <w:highlight w:val="none"/>
        </w:rPr>
        <w:t xml:space="preserve">三、投标文件的编制</w:t>
      </w:r>
      <w:bookmarkEnd w:id="81"/>
      <w:r/>
      <w:bookmarkEnd w:id="82"/>
      <w:r/>
      <w:bookmarkEnd w:id="83"/>
      <w:r/>
      <w:bookmarkEnd w:id="84"/>
      <w:r/>
      <w:bookmarkEnd w:id="85"/>
      <w:r>
        <w:rPr>
          <w:rFonts w:hint="eastAsia"/>
          <w:color w:val="000000"/>
          <w:highlight w:val="none"/>
        </w:rPr>
      </w:r>
      <w:r/>
    </w:p>
    <w:p>
      <w:pPr>
        <w:pStyle w:val="873"/>
        <w:ind w:firstLine="560"/>
        <w:spacing w:before="0" w:after="0" w:line="240" w:lineRule="auto"/>
        <w:rPr>
          <w:rFonts w:hint="eastAsia"/>
          <w:bCs w:val="0"/>
          <w:color w:val="000000"/>
          <w:highlight w:val="none"/>
        </w:rPr>
      </w:pPr>
      <w:r/>
      <w:bookmarkStart w:id="86" w:name="_Toc20823286"/>
      <w:r/>
      <w:bookmarkStart w:id="87" w:name="_Toc462564073"/>
      <w:r/>
      <w:bookmarkStart w:id="88" w:name="_Toc513029214"/>
      <w:r/>
      <w:bookmarkStart w:id="89" w:name="_Toc16938530"/>
      <w:r>
        <w:rPr>
          <w:rFonts w:hint="eastAsia"/>
          <w:b w:val="0"/>
          <w:bCs w:val="0"/>
          <w:color w:val="000000"/>
          <w:highlight w:val="none"/>
        </w:rPr>
        <w:t xml:space="preserve">9、投标文件的语言及度量衡单位</w:t>
      </w:r>
      <w:bookmarkEnd w:id="86"/>
      <w:r/>
      <w:bookmarkEnd w:id="87"/>
      <w:r/>
      <w:bookmarkEnd w:id="88"/>
      <w:r/>
      <w:bookmarkEnd w:id="89"/>
      <w:r>
        <w:rPr>
          <w:rFonts w:hint="eastAsia"/>
          <w:bCs w:val="0"/>
          <w:color w:val="000000"/>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投标人提交的投标文件以及投标人与采购中心就有关投标的所有来往通知、函件和文件均应使用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873"/>
        <w:ind w:firstLine="420"/>
        <w:spacing w:before="0" w:after="0" w:line="240" w:lineRule="auto"/>
        <w:rPr>
          <w:rFonts w:hint="eastAsia"/>
          <w:b w:val="0"/>
          <w:bCs w:val="0"/>
          <w:color w:val="000000"/>
          <w:highlight w:val="none"/>
        </w:rPr>
      </w:pPr>
      <w:r/>
      <w:bookmarkStart w:id="90" w:name="_Toc462564074"/>
      <w:r/>
      <w:bookmarkStart w:id="91" w:name="_Toc513029215"/>
      <w:r/>
      <w:bookmarkStart w:id="92" w:name="_Toc20823287"/>
      <w:r/>
      <w:bookmarkStart w:id="93" w:name="_Toc16938531"/>
      <w:r>
        <w:rPr>
          <w:rFonts w:hint="eastAsia"/>
          <w:b w:val="0"/>
          <w:bCs w:val="0"/>
          <w:color w:val="000000"/>
          <w:highlight w:val="none"/>
        </w:rPr>
        <w:t xml:space="preserve">10、投标文件构成</w:t>
      </w:r>
      <w:bookmarkEnd w:id="90"/>
      <w:r/>
      <w:bookmarkEnd w:id="91"/>
      <w:r/>
      <w:bookmarkEnd w:id="92"/>
      <w:r/>
      <w:bookmarkEnd w:id="93"/>
      <w:r>
        <w:rPr>
          <w:rFonts w:hint="eastAsia"/>
          <w:b w:val="0"/>
          <w:bCs w:val="0"/>
          <w:color w:val="000000"/>
          <w:highlight w:val="none"/>
        </w:rPr>
      </w:r>
      <w:r/>
    </w:p>
    <w:p>
      <w:pPr>
        <w:pStyle w:val="869"/>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highlight w:val="none"/>
        </w:rPr>
        <w:t xml:space="preserve">、投标分项报价表、技术要求响应及偏离表、商务要求响应及偏离表、其他证明文件、投标函、开标一览表等部分。</w:t>
      </w:r>
      <w:r>
        <w:rPr>
          <w:rFonts w:hint="eastAsia" w:ascii="宋体" w:hAnsi="宋体"/>
          <w:color w:val="000000"/>
          <w:sz w:val="24"/>
          <w:highlight w:val="none"/>
        </w:rPr>
      </w:r>
      <w:r/>
    </w:p>
    <w:p>
      <w:pPr>
        <w:pStyle w:val="869"/>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如标书制作工具中格式和内容与“江苏政府采购网”发布的招标文件不一致，请以“江苏政府采购网”发布的招标文件为准。</w:t>
      </w:r>
      <w:r>
        <w:rPr>
          <w:rFonts w:hint="eastAsia" w:ascii="宋体" w:hAnsi="宋体"/>
          <w:color w:val="000000"/>
          <w:sz w:val="24"/>
          <w:highlight w:val="none"/>
        </w:rPr>
      </w:r>
      <w:r/>
    </w:p>
    <w:p>
      <w:pPr>
        <w:pStyle w:val="873"/>
        <w:ind w:firstLine="420"/>
        <w:spacing w:before="0" w:after="0" w:line="240" w:lineRule="auto"/>
        <w:rPr>
          <w:rFonts w:hint="eastAsia"/>
          <w:b w:val="0"/>
          <w:bCs w:val="0"/>
          <w:color w:val="000000"/>
          <w:highlight w:val="none"/>
        </w:rPr>
      </w:pPr>
      <w:r/>
      <w:bookmarkStart w:id="94" w:name="_Hlt26670360"/>
      <w:r/>
      <w:bookmarkEnd w:id="94"/>
      <w:r/>
      <w:bookmarkStart w:id="95" w:name="_Hlt26954838"/>
      <w:r/>
      <w:bookmarkEnd w:id="95"/>
      <w:r/>
      <w:bookmarkStart w:id="96" w:name="_Hlt26668975"/>
      <w:r/>
      <w:bookmarkEnd w:id="96"/>
      <w:r/>
      <w:bookmarkStart w:id="97" w:name="_Toc49090509"/>
      <w:r/>
      <w:bookmarkStart w:id="98" w:name="_Toc14577357"/>
      <w:r/>
      <w:bookmarkStart w:id="99" w:name="_Toc513029219"/>
      <w:r/>
      <w:bookmarkStart w:id="100" w:name="_Toc49090507"/>
      <w:r/>
      <w:bookmarkStart w:id="101" w:name="_Toc14577354"/>
      <w:r/>
      <w:bookmarkStart w:id="102" w:name="_Toc513029216"/>
      <w:r>
        <w:rPr>
          <w:rFonts w:hint="eastAsia"/>
          <w:b w:val="0"/>
          <w:bCs w:val="0"/>
          <w:color w:val="000000"/>
          <w:highlight w:val="none"/>
        </w:rPr>
        <w:t xml:space="preserve">11、证明投标人及投标标的符合招标文件规定的文件</w:t>
      </w:r>
      <w:bookmarkEnd w:id="97"/>
      <w:r/>
      <w:bookmarkEnd w:id="98"/>
      <w:r/>
      <w:bookmarkEnd w:id="99"/>
      <w:r>
        <w:rPr>
          <w:rFonts w:hint="eastAsia"/>
          <w:b w:val="0"/>
          <w:bCs w:val="0"/>
          <w:color w:val="000000"/>
          <w:highlight w:val="none"/>
        </w:rPr>
      </w:r>
      <w:r/>
    </w:p>
    <w:p>
      <w:pPr>
        <w:pStyle w:val="869"/>
        <w:spacing w:line="480" w:lineRule="exact"/>
        <w:rPr>
          <w:rFonts w:hint="eastAsia" w:ascii="宋体" w:hAnsi="宋体"/>
          <w:color w:val="000000"/>
          <w:sz w:val="24"/>
          <w:szCs w:val="24"/>
          <w:highlight w:val="none"/>
        </w:rPr>
      </w:pPr>
      <w:r/>
      <w:bookmarkEnd w:id="100"/>
      <w:r/>
      <w:bookmarkEnd w:id="101"/>
      <w:r/>
      <w:bookmarkEnd w:id="102"/>
      <w:r/>
      <w:bookmarkStart w:id="103" w:name="_Toc14577355"/>
      <w:r/>
      <w:bookmarkStart w:id="104" w:name="_Toc49090508"/>
      <w:r>
        <w:rPr>
          <w:rFonts w:hint="eastAsia" w:ascii="宋体" w:hAnsi="宋体"/>
          <w:color w:val="000000"/>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873"/>
        <w:ind w:firstLine="420"/>
        <w:spacing w:before="0" w:after="0" w:line="240" w:lineRule="auto"/>
        <w:rPr>
          <w:rFonts w:hint="eastAsia"/>
          <w:b w:val="0"/>
          <w:bCs w:val="0"/>
          <w:color w:val="000000"/>
          <w:highlight w:val="none"/>
        </w:rPr>
      </w:pPr>
      <w:r>
        <w:rPr>
          <w:rFonts w:hint="eastAsia"/>
          <w:b w:val="0"/>
          <w:bCs w:val="0"/>
          <w:color w:val="000000"/>
          <w:highlight w:val="none"/>
        </w:rPr>
        <w:t xml:space="preserve">12、投标分项报价</w:t>
      </w:r>
      <w:bookmarkEnd w:id="103"/>
      <w:r/>
      <w:bookmarkStart w:id="105" w:name="_Hlt26670373"/>
      <w:r/>
      <w:bookmarkEnd w:id="105"/>
      <w:r>
        <w:rPr>
          <w:rFonts w:hint="eastAsia"/>
          <w:b w:val="0"/>
          <w:bCs w:val="0"/>
          <w:color w:val="000000"/>
          <w:highlight w:val="none"/>
        </w:rPr>
        <w:t xml:space="preserve">表</w:t>
      </w:r>
      <w:bookmarkEnd w:id="104"/>
      <w:r>
        <w:rPr>
          <w:rFonts w:hint="eastAsia"/>
          <w:b w:val="0"/>
          <w:bCs w:val="0"/>
          <w:color w:val="000000"/>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投</w:t>
      </w:r>
      <w:bookmarkStart w:id="106" w:name="_Hlt26954840"/>
      <w:r/>
      <w:bookmarkEnd w:id="106"/>
      <w:r>
        <w:rPr>
          <w:rFonts w:hint="eastAsia" w:ascii="宋体" w:hAnsi="宋体"/>
          <w:color w:val="000000"/>
          <w:sz w:val="24"/>
          <w:highlight w:val="none"/>
        </w:rPr>
        <w:t xml:space="preserve">标人按照招标文件规定格式填报投标分项报价表</w:t>
      </w:r>
      <w:bookmarkStart w:id="107" w:name="_Hlt26670399"/>
      <w:r/>
      <w:bookmarkEnd w:id="107"/>
      <w:r>
        <w:rPr>
          <w:rFonts w:hint="eastAsia" w:ascii="宋体" w:hAnsi="宋体"/>
          <w:color w:val="000000"/>
          <w:sz w:val="24"/>
          <w:highlight w:val="none"/>
        </w:rPr>
        <w:t xml:space="preserve">。</w:t>
      </w:r>
      <w:r>
        <w:rPr>
          <w:rFonts w:hint="eastAsia" w:ascii="宋体" w:hAnsi="宋体"/>
          <w:bCs/>
          <w:color w:val="000000"/>
          <w:sz w:val="24"/>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873"/>
        <w:ind w:firstLine="420"/>
        <w:spacing w:before="0" w:after="0" w:line="240" w:lineRule="auto"/>
        <w:rPr>
          <w:rFonts w:hint="eastAsia"/>
          <w:b w:val="0"/>
          <w:bCs w:val="0"/>
          <w:color w:val="000000"/>
          <w:highlight w:val="none"/>
        </w:rPr>
      </w:pPr>
      <w:r/>
      <w:bookmarkStart w:id="108" w:name="_Hlt26954731"/>
      <w:r/>
      <w:bookmarkEnd w:id="108"/>
      <w:r/>
      <w:bookmarkStart w:id="109" w:name="_Hlt26670403"/>
      <w:r/>
      <w:bookmarkEnd w:id="109"/>
      <w:r/>
      <w:bookmarkStart w:id="110" w:name="_Hlt26954844"/>
      <w:r/>
      <w:bookmarkEnd w:id="110"/>
      <w:r/>
      <w:bookmarkStart w:id="111" w:name="_Hlt26954842"/>
      <w:r/>
      <w:bookmarkEnd w:id="111"/>
      <w:r/>
      <w:bookmarkStart w:id="112" w:name="_Hlt26670486"/>
      <w:r/>
      <w:bookmarkEnd w:id="112"/>
      <w:r/>
      <w:bookmarkStart w:id="113" w:name="_Hlt26954848"/>
      <w:r/>
      <w:bookmarkEnd w:id="113"/>
      <w:r/>
      <w:bookmarkStart w:id="114" w:name="_Hlt26670425"/>
      <w:r/>
      <w:bookmarkEnd w:id="114"/>
      <w:r/>
      <w:bookmarkStart w:id="115" w:name="_Hlt26668983"/>
      <w:r/>
      <w:bookmarkEnd w:id="115"/>
      <w:r/>
      <w:bookmarkStart w:id="116" w:name="_Hlt26670482"/>
      <w:r/>
      <w:bookmarkEnd w:id="116"/>
      <w:r/>
      <w:bookmarkStart w:id="117" w:name="_Hlt26954846"/>
      <w:r/>
      <w:bookmarkEnd w:id="117"/>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869"/>
        <w:ind w:firstLine="480"/>
        <w:spacing w:line="500" w:lineRule="exact"/>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869"/>
        <w:ind w:firstLine="480"/>
        <w:spacing w:line="500" w:lineRule="exact"/>
        <w:rPr>
          <w:rFonts w:hint="eastAsia" w:ascii="宋体" w:hAnsi="Arial" w:cs="宋体"/>
          <w:color w:val="000000"/>
          <w:sz w:val="24"/>
          <w:highlight w:val="none"/>
          <w:lang w:val="zh-CN"/>
        </w:rPr>
      </w:pPr>
      <w:r/>
      <w:bookmarkStart w:id="118" w:name="_Toc14577359"/>
      <w:r/>
      <w:bookmarkStart w:id="119" w:name="_Toc49090510"/>
      <w:r>
        <w:rPr>
          <w:rFonts w:hint="eastAsia" w:ascii="宋体" w:hAnsi="Arial" w:cs="宋体"/>
          <w:color w:val="000000"/>
          <w:sz w:val="24"/>
          <w:highlight w:val="none"/>
          <w:lang w:val="zh-CN"/>
        </w:rPr>
        <w:t xml:space="preserve">13.2 投标人需按照招标文件要求，在投标文件中提供与技术要求和商务要求相关的证明材料。</w:t>
      </w:r>
      <w:r>
        <w:rPr>
          <w:rFonts w:hint="eastAsia" w:ascii="宋体" w:hAnsi="Arial" w:cs="宋体"/>
          <w:color w:val="000000"/>
          <w:sz w:val="24"/>
          <w:highlight w:val="none"/>
          <w:lang w:val="zh-CN"/>
        </w:rPr>
      </w:r>
      <w:r/>
    </w:p>
    <w:p>
      <w:pPr>
        <w:pStyle w:val="873"/>
        <w:ind w:firstLine="420"/>
        <w:spacing w:before="0" w:after="0" w:line="240" w:lineRule="auto"/>
        <w:rPr>
          <w:rFonts w:hint="eastAsia"/>
          <w:b w:val="0"/>
          <w:bCs w:val="0"/>
          <w:color w:val="000000"/>
          <w:highlight w:val="none"/>
        </w:rPr>
      </w:pPr>
      <w:r>
        <w:rPr>
          <w:rFonts w:hint="eastAsia"/>
          <w:b w:val="0"/>
          <w:bCs w:val="0"/>
          <w:color w:val="000000"/>
          <w:highlight w:val="none"/>
        </w:rPr>
        <w:t xml:space="preserve">14、投标函和开标一览表</w:t>
      </w:r>
      <w:r>
        <w:rPr>
          <w:rFonts w:hint="eastAsia"/>
          <w:b w:val="0"/>
          <w:bCs w:val="0"/>
          <w:color w:val="000000"/>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 投标人应按照招标文件中提供的格式完整、正确填写投标函、开标一览表。</w:t>
      </w:r>
      <w:r>
        <w:rPr>
          <w:rFonts w:hint="eastAsia" w:ascii="宋体" w:hAnsi="宋体"/>
          <w:color w:val="000000"/>
          <w:sz w:val="24"/>
          <w:highlight w:val="none"/>
        </w:rPr>
      </w:r>
      <w:r/>
    </w:p>
    <w:p>
      <w:pPr>
        <w:pStyle w:val="8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14.2</w:t>
      </w:r>
      <w:r>
        <w:rPr>
          <w:rFonts w:hint="eastAsia" w:ascii="宋体" w:hAnsi="宋体"/>
          <w:color w:val="000000"/>
          <w:sz w:val="24"/>
          <w:highlight w:val="none"/>
        </w:rPr>
        <w:t xml:space="preserve"> 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r>
        <w:rPr>
          <w:rFonts w:hint="eastAsia" w:ascii="宋体" w:hAnsi="宋体"/>
          <w:color w:val="000000"/>
          <w:sz w:val="24"/>
          <w:highlight w:val="none"/>
        </w:rPr>
      </w:r>
      <w:r/>
    </w:p>
    <w:p>
      <w:pPr>
        <w:pStyle w:val="873"/>
        <w:ind w:firstLine="420"/>
        <w:spacing w:before="0" w:after="0" w:line="240" w:lineRule="auto"/>
        <w:rPr>
          <w:rFonts w:hint="eastAsia"/>
          <w:b w:val="0"/>
          <w:bCs w:val="0"/>
          <w:color w:val="000000"/>
          <w:highlight w:val="none"/>
        </w:rPr>
      </w:pPr>
      <w:r/>
      <w:bookmarkEnd w:id="118"/>
      <w:r/>
      <w:bookmarkEnd w:id="119"/>
      <w:r/>
      <w:bookmarkStart w:id="120" w:name="_Hlt26954850"/>
      <w:r/>
      <w:bookmarkEnd w:id="120"/>
      <w:r/>
      <w:bookmarkStart w:id="121" w:name="_Hlt26670489"/>
      <w:r/>
      <w:bookmarkEnd w:id="121"/>
      <w:r/>
      <w:bookmarkStart w:id="122" w:name="_Hlt26954734"/>
      <w:r/>
      <w:bookmarkEnd w:id="122"/>
      <w:r/>
      <w:bookmarkStart w:id="123" w:name="_Toc49090511"/>
      <w:r/>
      <w:bookmarkStart w:id="124" w:name="_Toc14577360"/>
      <w:r>
        <w:rPr>
          <w:rFonts w:hint="eastAsia"/>
          <w:b w:val="0"/>
          <w:bCs w:val="0"/>
          <w:color w:val="000000"/>
          <w:highlight w:val="none"/>
        </w:rPr>
        <w:t xml:space="preserve">15、投标有效期</w:t>
      </w:r>
      <w:bookmarkEnd w:id="123"/>
      <w:r/>
      <w:bookmarkEnd w:id="124"/>
      <w:r>
        <w:rPr>
          <w:rFonts w:hint="eastAsia"/>
          <w:b w:val="0"/>
          <w:bCs w:val="0"/>
          <w:color w:val="000000"/>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 投标有效期为采购中心规定的开标之日后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873"/>
        <w:ind w:firstLine="420"/>
        <w:spacing w:before="0" w:after="0" w:line="240" w:lineRule="auto"/>
        <w:rPr>
          <w:rFonts w:hint="eastAsia"/>
          <w:b w:val="0"/>
          <w:bCs w:val="0"/>
          <w:color w:val="000000"/>
          <w:highlight w:val="none"/>
        </w:rPr>
      </w:pPr>
      <w:r>
        <w:rPr>
          <w:rFonts w:hint="eastAsia"/>
          <w:b w:val="0"/>
          <w:bCs w:val="0"/>
          <w:color w:val="000000"/>
          <w:highlight w:val="none"/>
        </w:rPr>
        <w:t xml:space="preserve">16、投标有效期的延长</w:t>
      </w:r>
      <w:r>
        <w:rPr>
          <w:rFonts w:hint="eastAsia"/>
          <w:b w:val="0"/>
          <w:bCs w:val="0"/>
          <w:color w:val="000000"/>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72"/>
        <w:ind w:firstLine="482"/>
        <w:spacing w:before="145" w:after="145" w:line="360" w:lineRule="auto"/>
        <w:rPr>
          <w:rFonts w:hint="eastAsia"/>
          <w:color w:val="000000"/>
          <w:highlight w:val="none"/>
        </w:rPr>
      </w:pPr>
      <w:r/>
      <w:bookmarkStart w:id="125" w:name="_Hlt26954739"/>
      <w:r/>
      <w:bookmarkEnd w:id="125"/>
      <w:r/>
      <w:bookmarkStart w:id="126" w:name="_Hlt26954852"/>
      <w:r/>
      <w:bookmarkEnd w:id="126"/>
      <w:r/>
      <w:bookmarkStart w:id="127" w:name="_Toc120614217"/>
      <w:r/>
      <w:bookmarkStart w:id="128" w:name="_Toc16938540"/>
      <w:r/>
      <w:bookmarkStart w:id="129" w:name="_Toc20823296"/>
      <w:r/>
      <w:bookmarkStart w:id="130" w:name="_Toc513029224"/>
      <w:r>
        <w:rPr>
          <w:rFonts w:hint="eastAsia"/>
          <w:color w:val="000000"/>
          <w:highlight w:val="none"/>
        </w:rPr>
        <w:t xml:space="preserve">四、投标文件的递交</w:t>
      </w:r>
      <w:bookmarkEnd w:id="127"/>
      <w:r/>
      <w:bookmarkEnd w:id="128"/>
      <w:r/>
      <w:bookmarkEnd w:id="129"/>
      <w:r/>
      <w:bookmarkEnd w:id="130"/>
      <w:r>
        <w:rPr>
          <w:rFonts w:hint="eastAsia"/>
          <w:color w:val="000000"/>
          <w:highlight w:val="none"/>
        </w:rPr>
      </w:r>
      <w:r/>
    </w:p>
    <w:p>
      <w:pPr>
        <w:pStyle w:val="873"/>
        <w:ind w:firstLine="560"/>
        <w:spacing w:before="0" w:after="0" w:line="240" w:lineRule="auto"/>
        <w:rPr>
          <w:rFonts w:hint="eastAsia" w:ascii="黑体"/>
          <w:b w:val="0"/>
          <w:bCs w:val="0"/>
          <w:color w:val="000000"/>
          <w:highlight w:val="none"/>
        </w:rPr>
      </w:pPr>
      <w:r/>
      <w:bookmarkStart w:id="131" w:name="_Toc513029225"/>
      <w:r/>
      <w:bookmarkStart w:id="132" w:name="_Toc16938541"/>
      <w:r/>
      <w:bookmarkStart w:id="133" w:name="_Toc462564084"/>
      <w:r/>
      <w:bookmarkStart w:id="134" w:name="_Toc20823297"/>
      <w:r>
        <w:rPr>
          <w:rFonts w:hint="eastAsia"/>
          <w:b w:val="0"/>
          <w:bCs w:val="0"/>
          <w:color w:val="000000"/>
          <w:highlight w:val="none"/>
        </w:rPr>
        <w:t xml:space="preserve">17、</w:t>
      </w:r>
      <w:r>
        <w:rPr>
          <w:rFonts w:hint="eastAsia" w:ascii="黑体"/>
          <w:b w:val="0"/>
          <w:bCs w:val="0"/>
          <w:color w:val="000000"/>
          <w:highlight w:val="none"/>
        </w:rPr>
        <w:t xml:space="preserve">投标文件</w:t>
      </w:r>
      <w:bookmarkEnd w:id="131"/>
      <w:r/>
      <w:bookmarkEnd w:id="132"/>
      <w:r/>
      <w:bookmarkEnd w:id="133"/>
      <w:r/>
      <w:bookmarkEnd w:id="134"/>
      <w:r>
        <w:rPr>
          <w:rFonts w:hint="eastAsia" w:ascii="黑体"/>
          <w:b w:val="0"/>
          <w:bCs w:val="0"/>
          <w:color w:val="000000"/>
          <w:highlight w:val="none"/>
        </w:rPr>
        <w:t xml:space="preserve">的递交</w:t>
      </w:r>
      <w:r>
        <w:rPr>
          <w:rFonts w:hint="eastAsia" w:ascii="黑体"/>
          <w:b w:val="0"/>
          <w:bCs w:val="0"/>
          <w:color w:val="000000"/>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 电子投标文件的递交</w:t>
      </w:r>
      <w:r>
        <w:rPr>
          <w:rFonts w:hint="eastAsia" w:ascii="宋体" w:hAnsi="宋体"/>
          <w:bCs/>
          <w:color w:val="000000"/>
          <w:sz w:val="24"/>
          <w:highlight w:val="none"/>
        </w:rPr>
      </w:r>
      <w:r/>
    </w:p>
    <w:p>
      <w:pPr>
        <w:pStyle w:val="982"/>
        <w:ind w:left="525"/>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5" w:name="_Toc16938542"/>
      <w:r/>
      <w:bookmarkStart w:id="136" w:name="_Toc20823298"/>
      <w:r/>
      <w:bookmarkStart w:id="137" w:name="_Toc513029226"/>
      <w:r>
        <w:rPr>
          <w:rFonts w:hint="eastAsia" w:ascii="宋体" w:hAnsi="宋体"/>
          <w:bCs/>
          <w:color w:val="000000"/>
          <w:sz w:val="24"/>
          <w:highlight w:val="none"/>
        </w:rPr>
      </w:r>
      <w:r/>
    </w:p>
    <w:p>
      <w:pPr>
        <w:pStyle w:val="873"/>
        <w:ind w:firstLine="420"/>
        <w:rPr>
          <w:rFonts w:hint="eastAsia"/>
          <w:b w:val="0"/>
          <w:color w:val="000000"/>
          <w:highlight w:val="none"/>
        </w:rPr>
      </w:pPr>
      <w:r>
        <w:rPr>
          <w:rFonts w:hint="eastAsia"/>
          <w:b w:val="0"/>
          <w:color w:val="000000"/>
          <w:highlight w:val="none"/>
        </w:rPr>
        <w:t xml:space="preserve">18、投标截止</w:t>
      </w:r>
      <w:bookmarkEnd w:id="135"/>
      <w:r/>
      <w:bookmarkEnd w:id="136"/>
      <w:r/>
      <w:bookmarkEnd w:id="137"/>
      <w:r>
        <w:rPr>
          <w:rFonts w:hint="eastAsia"/>
          <w:b w:val="0"/>
          <w:color w:val="000000"/>
          <w:highlight w:val="none"/>
        </w:rPr>
        <w:t xml:space="preserve">时间</w:t>
      </w:r>
      <w:r>
        <w:rPr>
          <w:rFonts w:hint="eastAsia"/>
          <w:b w:val="0"/>
          <w:color w:val="000000"/>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 投标人上传电子投标文件的时间不得迟于招标公告中规定的投标截止时间。</w:t>
      </w:r>
      <w:r>
        <w:rPr>
          <w:rFonts w:hint="eastAsia" w:ascii="宋体" w:hAnsi="宋体"/>
          <w:bCs/>
          <w:color w:val="000000"/>
          <w:sz w:val="24"/>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highlight w:val="none"/>
        </w:rPr>
      </w:r>
      <w:r/>
    </w:p>
    <w:p>
      <w:pPr>
        <w:pStyle w:val="873"/>
        <w:ind w:firstLine="420"/>
        <w:spacing w:before="0" w:after="0" w:line="240" w:lineRule="auto"/>
        <w:rPr>
          <w:rFonts w:hint="eastAsia"/>
          <w:b w:val="0"/>
          <w:bCs w:val="0"/>
          <w:color w:val="000000"/>
          <w:highlight w:val="none"/>
        </w:rPr>
      </w:pPr>
      <w:r/>
      <w:bookmarkStart w:id="138" w:name="_Toc16938543"/>
      <w:r/>
      <w:bookmarkStart w:id="139" w:name="_Toc513029227"/>
      <w:r/>
      <w:bookmarkStart w:id="140" w:name="_Toc20823299"/>
      <w:r>
        <w:rPr>
          <w:rFonts w:hint="eastAsia"/>
          <w:b w:val="0"/>
          <w:bCs w:val="0"/>
          <w:color w:val="000000"/>
          <w:highlight w:val="none"/>
        </w:rPr>
        <w:t xml:space="preserve">19、投标文件</w:t>
      </w:r>
      <w:bookmarkEnd w:id="138"/>
      <w:r/>
      <w:bookmarkEnd w:id="139"/>
      <w:r/>
      <w:bookmarkEnd w:id="140"/>
      <w:r>
        <w:rPr>
          <w:rFonts w:hint="eastAsia"/>
          <w:b w:val="0"/>
          <w:bCs w:val="0"/>
          <w:color w:val="000000"/>
          <w:highlight w:val="none"/>
        </w:rPr>
        <w:t xml:space="preserve">的拒收</w:t>
      </w:r>
      <w:r>
        <w:rPr>
          <w:rFonts w:hint="eastAsia"/>
          <w:b w:val="0"/>
          <w:bCs w:val="0"/>
          <w:color w:val="000000"/>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采购中心拒绝接收在其规定的投标截止时间后上传的任何投标文件。</w:t>
      </w:r>
      <w:r>
        <w:rPr>
          <w:rFonts w:hint="eastAsia" w:ascii="宋体" w:hAnsi="宋体"/>
          <w:bCs/>
          <w:color w:val="000000"/>
          <w:sz w:val="24"/>
          <w:highlight w:val="none"/>
        </w:rPr>
      </w:r>
      <w:r/>
    </w:p>
    <w:p>
      <w:pPr>
        <w:pStyle w:val="873"/>
        <w:ind w:firstLine="420"/>
        <w:spacing w:before="0" w:after="0" w:line="240" w:lineRule="auto"/>
        <w:rPr>
          <w:rFonts w:hint="eastAsia"/>
          <w:b w:val="0"/>
          <w:bCs w:val="0"/>
          <w:color w:val="000000"/>
          <w:highlight w:val="none"/>
        </w:rPr>
      </w:pPr>
      <w:r/>
      <w:bookmarkStart w:id="141" w:name="_Toc20823300"/>
      <w:r/>
      <w:bookmarkStart w:id="142" w:name="_Toc513029228"/>
      <w:r/>
      <w:bookmarkStart w:id="143" w:name="_Toc16938544"/>
      <w:r>
        <w:rPr>
          <w:rFonts w:hint="eastAsia"/>
          <w:b w:val="0"/>
          <w:bCs w:val="0"/>
          <w:color w:val="000000"/>
          <w:highlight w:val="none"/>
        </w:rPr>
        <w:t xml:space="preserve">20、投标文件的撤回和修改</w:t>
      </w:r>
      <w:bookmarkEnd w:id="141"/>
      <w:r/>
      <w:bookmarkEnd w:id="142"/>
      <w:r/>
      <w:bookmarkEnd w:id="143"/>
      <w:r>
        <w:rPr>
          <w:rFonts w:hint="eastAsia"/>
          <w:b w:val="0"/>
          <w:bCs w:val="0"/>
          <w:color w:val="000000"/>
          <w:highlight w:val="none"/>
        </w:rPr>
      </w:r>
      <w:r/>
    </w:p>
    <w:p>
      <w:pPr>
        <w:pStyle w:val="86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20.1 投标文件的撤回</w:t>
      </w:r>
      <w:r>
        <w:rPr>
          <w:rFonts w:hint="eastAsia" w:ascii="宋体" w:hAnsi="宋体"/>
          <w:color w:val="000000"/>
          <w:sz w:val="24"/>
          <w:highlight w:val="none"/>
        </w:rPr>
      </w:r>
      <w:r/>
    </w:p>
    <w:p>
      <w:pPr>
        <w:pStyle w:val="86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21.1.1 电子投标文件的撤回</w:t>
      </w:r>
      <w:r>
        <w:rPr>
          <w:rFonts w:hint="eastAsia" w:ascii="宋体" w:hAnsi="宋体"/>
          <w:color w:val="000000"/>
          <w:sz w:val="24"/>
          <w:highlight w:val="none"/>
        </w:rPr>
      </w:r>
      <w:r/>
    </w:p>
    <w:p>
      <w:pPr>
        <w:pStyle w:val="86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 在投标截止时间之后，投标人不得对其电子投标文件作任何修改。</w:t>
      </w:r>
      <w:r>
        <w:rPr>
          <w:rFonts w:hint="eastAsia" w:ascii="宋体" w:hAnsi="宋体"/>
          <w:bCs/>
          <w:color w:val="000000"/>
          <w:sz w:val="24"/>
          <w:highlight w:val="none"/>
        </w:rPr>
      </w:r>
      <w:r/>
    </w:p>
    <w:p>
      <w:pPr>
        <w:pStyle w:val="869"/>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 在投标截止时间至招标文件中规定的投标有效期满之间的这段时间内，投标人不得撤回其投标。</w:t>
      </w:r>
      <w:r>
        <w:rPr>
          <w:rFonts w:hint="eastAsia" w:ascii="宋体" w:hAnsi="宋体"/>
          <w:bCs/>
          <w:color w:val="000000"/>
          <w:sz w:val="24"/>
          <w:highlight w:val="none"/>
        </w:rPr>
      </w:r>
      <w:r/>
    </w:p>
    <w:p>
      <w:pPr>
        <w:pStyle w:val="872"/>
        <w:ind w:firstLine="482"/>
        <w:spacing w:before="145" w:after="145" w:line="360" w:lineRule="auto"/>
        <w:rPr>
          <w:rFonts w:hint="eastAsia"/>
          <w:color w:val="000000"/>
          <w:highlight w:val="none"/>
        </w:rPr>
      </w:pPr>
      <w:r/>
      <w:bookmarkStart w:id="144" w:name="_Toc120614218"/>
      <w:r/>
      <w:bookmarkStart w:id="145" w:name="_Toc513029229"/>
      <w:r/>
      <w:bookmarkStart w:id="146" w:name="_Toc16938545"/>
      <w:r/>
      <w:bookmarkStart w:id="147" w:name="_Toc20823301"/>
      <w:r>
        <w:rPr>
          <w:rFonts w:hint="eastAsia"/>
          <w:color w:val="000000"/>
          <w:highlight w:val="none"/>
        </w:rPr>
        <w:t xml:space="preserve">五、开标与评标</w:t>
      </w:r>
      <w:bookmarkEnd w:id="144"/>
      <w:r/>
      <w:bookmarkEnd w:id="145"/>
      <w:r/>
      <w:bookmarkEnd w:id="146"/>
      <w:r/>
      <w:bookmarkEnd w:id="147"/>
      <w:r>
        <w:rPr>
          <w:rFonts w:hint="eastAsia"/>
          <w:color w:val="000000"/>
          <w:highlight w:val="none"/>
        </w:rPr>
      </w:r>
      <w:r/>
    </w:p>
    <w:p>
      <w:pPr>
        <w:pStyle w:val="873"/>
        <w:ind w:firstLine="420"/>
        <w:spacing w:before="0" w:after="0" w:line="240" w:lineRule="auto"/>
        <w:rPr>
          <w:rFonts w:hint="eastAsia"/>
          <w:b w:val="0"/>
          <w:bCs w:val="0"/>
          <w:color w:val="000000"/>
          <w:highlight w:val="none"/>
        </w:rPr>
      </w:pPr>
      <w:r/>
      <w:bookmarkStart w:id="148" w:name="_Toc16938546"/>
      <w:r/>
      <w:bookmarkStart w:id="149" w:name="_Toc513029230"/>
      <w:r/>
      <w:bookmarkStart w:id="150" w:name="_Toc20823302"/>
      <w:r>
        <w:rPr>
          <w:rFonts w:hint="eastAsia"/>
          <w:b w:val="0"/>
          <w:bCs w:val="0"/>
          <w:color w:val="000000"/>
          <w:highlight w:val="none"/>
        </w:rPr>
        <w:t xml:space="preserve">21、开标</w:t>
      </w:r>
      <w:bookmarkEnd w:id="148"/>
      <w:r/>
      <w:bookmarkEnd w:id="149"/>
      <w:r/>
      <w:bookmarkEnd w:id="150"/>
      <w:r>
        <w:rPr>
          <w:rFonts w:hint="eastAsia"/>
          <w:b w:val="0"/>
          <w:bCs w:val="0"/>
          <w:color w:val="000000"/>
          <w:highlight w:val="none"/>
        </w:rPr>
      </w:r>
      <w:r/>
    </w:p>
    <w:p>
      <w:pPr>
        <w:pStyle w:val="869"/>
        <w:ind w:firstLine="480"/>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 采购中心将在招标公告中规定的时间和地点组织公开开标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开标仪式由采购中心组织。苏采云系统将自动对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869"/>
        <w:ind w:firstLine="480"/>
        <w:spacing w:line="500" w:lineRule="exact"/>
        <w:rPr>
          <w:rFonts w:hint="eastAsia" w:ascii="宋体" w:hAnsi="宋体"/>
          <w:color w:val="000000"/>
          <w:sz w:val="24"/>
          <w:szCs w:val="24"/>
          <w:highlight w:val="none"/>
        </w:rPr>
      </w:pPr>
      <w:r>
        <w:rPr>
          <w:rFonts w:hint="eastAsia" w:ascii="宋体" w:hAnsi="宋体"/>
          <w:bCs/>
          <w:color w:val="000000"/>
          <w:sz w:val="24"/>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8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rPr>
          <w:rFonts w:ascii="宋体" w:hAnsi="宋体"/>
          <w:color w:val="000000"/>
          <w:sz w:val="24"/>
          <w:szCs w:val="24"/>
          <w:highlight w:val="none"/>
        </w:rPr>
      </w:r>
      <w:r/>
    </w:p>
    <w:p>
      <w:pPr>
        <w:pStyle w:val="873"/>
        <w:ind w:firstLine="420"/>
        <w:spacing w:before="0" w:after="0" w:line="240" w:lineRule="auto"/>
        <w:rPr>
          <w:rFonts w:hint="eastAsia"/>
          <w:b w:val="0"/>
          <w:bCs w:val="0"/>
          <w:color w:val="000000"/>
          <w:highlight w:val="none"/>
        </w:rPr>
      </w:pPr>
      <w:r/>
      <w:bookmarkStart w:id="151" w:name="_Toc513029231"/>
      <w:r/>
      <w:bookmarkStart w:id="152" w:name="_Toc20823303"/>
      <w:r/>
      <w:bookmarkStart w:id="153" w:name="_Toc16938547"/>
      <w:r>
        <w:rPr>
          <w:rFonts w:hint="eastAsia"/>
          <w:b w:val="0"/>
          <w:bCs w:val="0"/>
          <w:color w:val="000000"/>
          <w:highlight w:val="none"/>
        </w:rPr>
        <w:t xml:space="preserve">22、评标委员会</w:t>
      </w:r>
      <w:r>
        <w:rPr>
          <w:rFonts w:hint="eastAsia"/>
          <w:b w:val="0"/>
          <w:bCs w:val="0"/>
          <w:color w:val="000000"/>
          <w:highlight w:val="none"/>
        </w:rPr>
      </w:r>
      <w:r/>
    </w:p>
    <w:p>
      <w:pPr>
        <w:pStyle w:val="869"/>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开标后，采购中心将立即组织评标委员会（以下简称评委会）进行评标。</w:t>
      </w:r>
      <w:r>
        <w:rPr>
          <w:rFonts w:hint="eastAsia" w:ascii="宋体" w:hAnsi="宋体"/>
          <w:b/>
          <w:color w:val="000000"/>
          <w:sz w:val="24"/>
          <w:szCs w:val="24"/>
          <w:highlight w:val="none"/>
        </w:rPr>
      </w:r>
      <w:r/>
    </w:p>
    <w:p>
      <w:pPr>
        <w:pStyle w:val="869"/>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评委会由采购人代表和有关技术、经济等方面的专家组成，且人员构成符合政府采购有关规定。</w:t>
      </w:r>
      <w:r>
        <w:rPr>
          <w:rFonts w:hint="eastAsia" w:ascii="宋体" w:hAnsi="宋体"/>
          <w:color w:val="000000"/>
          <w:sz w:val="24"/>
          <w:szCs w:val="24"/>
          <w:highlight w:val="none"/>
        </w:rPr>
      </w:r>
      <w:r/>
    </w:p>
    <w:p>
      <w:pPr>
        <w:pStyle w:val="869"/>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rFonts w:hint="eastAsia" w:ascii="宋体" w:hAnsi="宋体"/>
          <w:color w:val="000000"/>
          <w:sz w:val="24"/>
          <w:szCs w:val="24"/>
          <w:highlight w:val="none"/>
        </w:rPr>
      </w:r>
      <w:r/>
    </w:p>
    <w:p>
      <w:pPr>
        <w:pStyle w:val="873"/>
        <w:ind w:firstLine="420"/>
        <w:spacing w:before="0" w:after="0" w:line="240" w:lineRule="auto"/>
        <w:rPr>
          <w:rFonts w:hint="eastAsia" w:ascii="黑体"/>
          <w:b w:val="0"/>
          <w:bCs w:val="0"/>
          <w:color w:val="000000"/>
          <w:highlight w:val="none"/>
        </w:rPr>
      </w:pPr>
      <w:r>
        <w:rPr>
          <w:rFonts w:hint="eastAsia" w:ascii="黑体"/>
          <w:b w:val="0"/>
          <w:bCs w:val="0"/>
          <w:color w:val="000000"/>
          <w:highlight w:val="none"/>
        </w:rPr>
        <w:t xml:space="preserve">23、评标过程的保密与公正</w:t>
      </w:r>
      <w:r>
        <w:rPr>
          <w:rFonts w:hint="eastAsia" w:ascii="黑体"/>
          <w:b w:val="0"/>
          <w:bCs w:val="0"/>
          <w:color w:val="000000"/>
          <w:highlight w:val="none"/>
        </w:rPr>
      </w:r>
      <w:r/>
    </w:p>
    <w:p>
      <w:pPr>
        <w:pStyle w:val="869"/>
        <w:ind w:firstLine="480"/>
        <w:spacing w:line="500" w:lineRule="exact"/>
        <w:rPr>
          <w:rFonts w:hint="eastAsia" w:ascii="宋体" w:hAnsi="宋体"/>
          <w:bCs/>
          <w:color w:val="000000"/>
          <w:sz w:val="24"/>
          <w:highlight w:val="none"/>
        </w:rPr>
      </w:pPr>
      <w:r/>
      <w:bookmarkEnd w:id="151"/>
      <w:r/>
      <w:bookmarkEnd w:id="152"/>
      <w:r/>
      <w:bookmarkEnd w:id="153"/>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rFonts w:hint="eastAsia" w:ascii="宋体" w:hAnsi="宋体"/>
          <w:color w:val="000000"/>
          <w:sz w:val="24"/>
          <w:szCs w:val="24"/>
          <w:highlight w:val="none"/>
        </w:rPr>
      </w:r>
      <w:r/>
    </w:p>
    <w:p>
      <w:pPr>
        <w:pStyle w:val="869"/>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873"/>
        <w:ind w:firstLine="420"/>
        <w:spacing w:before="0" w:after="0" w:line="240" w:lineRule="auto"/>
        <w:rPr>
          <w:rFonts w:hint="eastAsia"/>
          <w:b w:val="0"/>
          <w:bCs w:val="0"/>
          <w:color w:val="000000"/>
          <w:highlight w:val="none"/>
        </w:rPr>
      </w:pPr>
      <w:r/>
      <w:bookmarkStart w:id="154" w:name="_Toc20823304"/>
      <w:r/>
      <w:bookmarkStart w:id="155" w:name="_Toc16938548"/>
      <w:r/>
      <w:bookmarkStart w:id="156" w:name="_Toc513029232"/>
      <w:r>
        <w:rPr>
          <w:rFonts w:hint="eastAsia"/>
          <w:b w:val="0"/>
          <w:bCs w:val="0"/>
          <w:color w:val="000000"/>
          <w:highlight w:val="none"/>
        </w:rPr>
        <w:t xml:space="preserve">24、投标文件的澄清</w:t>
      </w:r>
      <w:bookmarkEnd w:id="154"/>
      <w:r/>
      <w:bookmarkEnd w:id="155"/>
      <w:r/>
      <w:bookmarkEnd w:id="156"/>
      <w:r>
        <w:rPr>
          <w:rFonts w:hint="eastAsia"/>
          <w:b w:val="0"/>
          <w:bCs w:val="0"/>
          <w:color w:val="000000"/>
          <w:highlight w:val="none"/>
        </w:rPr>
      </w:r>
      <w:r/>
    </w:p>
    <w:p>
      <w:pPr>
        <w:pStyle w:val="869"/>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869"/>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869"/>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873"/>
        <w:ind w:firstLine="420"/>
        <w:spacing w:before="0" w:after="0" w:line="240" w:lineRule="auto"/>
        <w:rPr>
          <w:rFonts w:hint="eastAsia"/>
          <w:b w:val="0"/>
          <w:bCs w:val="0"/>
          <w:color w:val="000000"/>
          <w:highlight w:val="none"/>
        </w:rPr>
      </w:pPr>
      <w:r/>
      <w:bookmarkStart w:id="157" w:name="_Toc20823305"/>
      <w:r/>
      <w:bookmarkStart w:id="158" w:name="_Toc16938549"/>
      <w:r/>
      <w:bookmarkStart w:id="159" w:name="_Toc513029233"/>
      <w:r>
        <w:rPr>
          <w:rFonts w:hint="eastAsia"/>
          <w:b w:val="0"/>
          <w:bCs w:val="0"/>
          <w:color w:val="000000"/>
          <w:highlight w:val="none"/>
        </w:rPr>
        <w:t xml:space="preserve">25、对投标文件的初审</w:t>
      </w:r>
      <w:bookmarkEnd w:id="157"/>
      <w:r/>
      <w:bookmarkEnd w:id="158"/>
      <w:r/>
      <w:bookmarkEnd w:id="159"/>
      <w:r>
        <w:rPr>
          <w:rFonts w:hint="eastAsia"/>
          <w:b w:val="0"/>
          <w:bCs w:val="0"/>
          <w:color w:val="000000"/>
          <w:highlight w:val="none"/>
        </w:rPr>
      </w:r>
      <w:r/>
    </w:p>
    <w:p>
      <w:pPr>
        <w:pStyle w:val="869"/>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869"/>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highlight w:val="none"/>
        </w:rPr>
      </w:r>
      <w:r/>
    </w:p>
    <w:p>
      <w:pPr>
        <w:pStyle w:val="869"/>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highlight w:val="none"/>
        </w:rPr>
      </w:r>
      <w:r/>
    </w:p>
    <w:p>
      <w:pPr>
        <w:pStyle w:val="869"/>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highlight w:val="none"/>
        </w:rPr>
      </w:r>
      <w:r/>
    </w:p>
    <w:p>
      <w:pPr>
        <w:pStyle w:val="869"/>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869"/>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w:t>
      </w:r>
      <w:r>
        <w:rPr>
          <w:rFonts w:hint="eastAsia" w:ascii="宋体" w:hAnsi="宋体"/>
          <w:bCs/>
          <w:color w:val="000000"/>
          <w:sz w:val="24"/>
          <w:highlight w:val="none"/>
        </w:rPr>
        <w:t xml:space="preserve">采购</w:t>
      </w:r>
      <w:r>
        <w:rPr>
          <w:rFonts w:ascii="宋体" w:hAnsi="宋体"/>
          <w:bCs/>
          <w:color w:val="000000"/>
          <w:sz w:val="24"/>
          <w:highlight w:val="none"/>
        </w:rPr>
        <w:t xml:space="preserve">中心将不再告知未通过资格审查和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869"/>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869"/>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869"/>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highlight w:val="none"/>
        </w:rPr>
      </w:r>
      <w:r/>
    </w:p>
    <w:p>
      <w:pPr>
        <w:pStyle w:val="869"/>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869"/>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869"/>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869"/>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869"/>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869"/>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869"/>
        <w:ind w:firstLine="480"/>
        <w:spacing w:line="46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color w:val="000000"/>
          <w:sz w:val="24"/>
          <w:highlight w:val="none"/>
        </w:rPr>
        <w:t xml:space="preserve"> </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rPr>
          <w:rFonts w:ascii="宋体" w:hAnsi="宋体"/>
          <w:bCs/>
          <w:color w:val="000000"/>
          <w:sz w:val="24"/>
          <w:highlight w:val="none"/>
        </w:rPr>
      </w:r>
      <w:r/>
    </w:p>
    <w:p>
      <w:pPr>
        <w:pStyle w:val="869"/>
        <w:ind w:firstLine="420"/>
        <w:spacing w:line="460" w:lineRule="exact"/>
        <w:rPr>
          <w:rFonts w:hint="eastAsia" w:ascii="宋体" w:hAnsi="宋体"/>
          <w:color w:val="000000"/>
          <w:sz w:val="24"/>
          <w:highlight w:val="none"/>
        </w:rPr>
      </w:pPr>
      <w:r/>
      <w:bookmarkStart w:id="160" w:name="_Toc16938550"/>
      <w:r/>
      <w:bookmarkStart w:id="161" w:name="_Toc513029234"/>
      <w:r/>
      <w:bookmarkStart w:id="162" w:name="_Toc20823306"/>
      <w:r>
        <w:rPr>
          <w:rFonts w:hint="eastAsia" w:ascii="宋体" w:hAnsi="宋体"/>
          <w:color w:val="000000"/>
          <w:sz w:val="24"/>
          <w:highlight w:val="none"/>
        </w:rPr>
        <w:t xml:space="preserve">25.6投标人在开、评标全过程中应保持通讯畅通，及时登录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并安排专人与采购中心及评标委员会联系。</w:t>
      </w:r>
      <w:r>
        <w:rPr>
          <w:rFonts w:hint="eastAsia" w:ascii="宋体" w:hAnsi="宋体"/>
          <w:color w:val="000000"/>
          <w:sz w:val="24"/>
          <w:highlight w:val="none"/>
        </w:rPr>
      </w:r>
      <w:r/>
    </w:p>
    <w:p>
      <w:pPr>
        <w:pStyle w:val="873"/>
        <w:ind w:firstLine="420"/>
        <w:spacing w:before="0" w:after="0" w:line="240" w:lineRule="auto"/>
        <w:rPr>
          <w:rFonts w:hint="eastAsia"/>
          <w:b w:val="0"/>
          <w:bCs w:val="0"/>
          <w:color w:val="000000"/>
          <w:highlight w:val="none"/>
        </w:rPr>
      </w:pPr>
      <w:r>
        <w:rPr>
          <w:rFonts w:hint="eastAsia"/>
          <w:b w:val="0"/>
          <w:bCs w:val="0"/>
          <w:color w:val="000000"/>
          <w:highlight w:val="none"/>
        </w:rPr>
        <w:t xml:space="preserve">26、</w:t>
      </w:r>
      <w:bookmarkEnd w:id="160"/>
      <w:r/>
      <w:bookmarkEnd w:id="161"/>
      <w:r/>
      <w:bookmarkEnd w:id="162"/>
      <w:r>
        <w:rPr>
          <w:rFonts w:hint="eastAsia"/>
          <w:b w:val="0"/>
          <w:bCs w:val="0"/>
          <w:color w:val="000000"/>
          <w:highlight w:val="none"/>
        </w:rPr>
        <w:t xml:space="preserve">无效投标条款和废标条款</w:t>
      </w:r>
      <w:r>
        <w:rPr>
          <w:rFonts w:hint="eastAsia"/>
          <w:b w:val="0"/>
          <w:bCs w:val="0"/>
          <w:color w:val="000000"/>
          <w:highlight w:val="none"/>
        </w:rPr>
      </w:r>
      <w:r/>
    </w:p>
    <w:p>
      <w:pPr>
        <w:pStyle w:val="869"/>
        <w:ind w:left="479"/>
        <w:spacing w:line="440" w:lineRule="exact"/>
        <w:rPr>
          <w:rFonts w:hint="eastAsia" w:ascii="宋体" w:hAnsi="宋体"/>
          <w:bCs/>
          <w:color w:val="000000"/>
          <w:sz w:val="24"/>
          <w:highlight w:val="none"/>
        </w:rPr>
      </w:pPr>
      <w:r/>
      <w:bookmarkStart w:id="163" w:name="_Toc20823307"/>
      <w:r/>
      <w:bookmarkStart w:id="164" w:name="_Toc16938551"/>
      <w:r/>
      <w:bookmarkStart w:id="165" w:name="_Toc513029235"/>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869"/>
        <w:ind w:firstLine="480"/>
        <w:spacing w:line="44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869"/>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26.1.2 投标人未按照招标文件要求上传电子投标文件的。</w:t>
      </w:r>
      <w:r>
        <w:rPr>
          <w:rFonts w:hint="eastAsia" w:ascii="宋体" w:hAnsi="宋体"/>
          <w:bCs/>
          <w:color w:val="000000"/>
          <w:sz w:val="24"/>
          <w:highlight w:val="none"/>
        </w:rPr>
      </w:r>
      <w:r/>
    </w:p>
    <w:p>
      <w:pPr>
        <w:pStyle w:val="869"/>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26.1.3 投标人同一</w:t>
      </w:r>
      <w:r>
        <w:rPr>
          <w:rFonts w:ascii="宋体" w:hAnsi="宋体"/>
          <w:bCs/>
          <w:color w:val="000000"/>
          <w:sz w:val="24"/>
          <w:highlight w:val="none"/>
        </w:rPr>
        <w:t xml:space="preserve">分包</w:t>
      </w:r>
      <w:r>
        <w:rPr>
          <w:rFonts w:hint="eastAsia" w:ascii="宋体" w:hAnsi="宋体"/>
          <w:bCs/>
          <w:color w:val="000000"/>
          <w:sz w:val="24"/>
          <w:highlight w:val="none"/>
        </w:rPr>
        <w:t xml:space="preserve">提交两个（含两个）以上不同的投标报价的。</w:t>
      </w:r>
      <w:r>
        <w:rPr>
          <w:rFonts w:hint="eastAsia" w:ascii="宋体" w:hAnsi="宋体"/>
          <w:bCs/>
          <w:color w:val="000000"/>
          <w:sz w:val="24"/>
          <w:highlight w:val="none"/>
        </w:rPr>
      </w:r>
      <w:r/>
    </w:p>
    <w:p>
      <w:pPr>
        <w:pStyle w:val="869"/>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26.1.4投标人不具备招标文件中规定资格要求的。</w:t>
      </w:r>
      <w:r>
        <w:rPr>
          <w:rFonts w:hint="eastAsia" w:ascii="宋体" w:hAnsi="宋体"/>
          <w:bCs/>
          <w:color w:val="000000"/>
          <w:sz w:val="24"/>
          <w:highlight w:val="none"/>
        </w:rPr>
      </w:r>
      <w:r/>
    </w:p>
    <w:p>
      <w:pPr>
        <w:pStyle w:val="869"/>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26.1.5投标人的报价超过了采购预算或最高限价的。</w:t>
      </w:r>
      <w:r>
        <w:rPr>
          <w:rFonts w:hint="eastAsia" w:ascii="宋体" w:hAnsi="宋体"/>
          <w:bCs/>
          <w:color w:val="000000"/>
          <w:sz w:val="24"/>
          <w:highlight w:val="none"/>
        </w:rPr>
      </w:r>
      <w:r/>
    </w:p>
    <w:p>
      <w:pPr>
        <w:pStyle w:val="869"/>
        <w:ind w:firstLine="48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26.1.6未通过符合性审查的。</w:t>
      </w:r>
      <w:r>
        <w:rPr>
          <w:rFonts w:hint="eastAsia" w:ascii="宋体" w:hAnsi="宋体"/>
          <w:bCs/>
          <w:i/>
          <w:color w:val="000000"/>
          <w:sz w:val="24"/>
          <w:highlight w:val="none"/>
          <w:u w:val="single"/>
        </w:rPr>
      </w:r>
      <w:r/>
    </w:p>
    <w:p>
      <w:pPr>
        <w:pStyle w:val="869"/>
        <w:ind w:firstLine="36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26.1.7不符合招标文件中规定的实质性要求的（</w:t>
      </w:r>
      <w:r>
        <w:rPr>
          <w:rFonts w:hint="eastAsia" w:ascii="宋体" w:hAnsi="宋体"/>
          <w:bCs/>
          <w:i/>
          <w:color w:val="000000"/>
          <w:sz w:val="24"/>
          <w:highlight w:val="none"/>
          <w:u w:val="single"/>
        </w:rPr>
        <w:t xml:space="preserve">本招标文件中斜体且有下划线部分为实质性要求）。</w:t>
      </w:r>
      <w:r>
        <w:rPr>
          <w:rFonts w:hint="eastAsia" w:ascii="宋体" w:hAnsi="宋体"/>
          <w:bCs/>
          <w:i/>
          <w:color w:val="000000"/>
          <w:sz w:val="24"/>
          <w:highlight w:val="none"/>
          <w:u w:val="single"/>
        </w:rPr>
      </w:r>
      <w:r/>
    </w:p>
    <w:p>
      <w:pPr>
        <w:pStyle w:val="869"/>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highlight w:val="none"/>
        </w:rPr>
      </w:r>
      <w:r/>
    </w:p>
    <w:p>
      <w:pPr>
        <w:pStyle w:val="869"/>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26.1.9 投标文件含有采购人不能接受的附加条件的。</w:t>
      </w:r>
      <w:r>
        <w:rPr>
          <w:rFonts w:hint="eastAsia" w:ascii="宋体" w:hAnsi="宋体"/>
          <w:bCs/>
          <w:color w:val="000000"/>
          <w:sz w:val="24"/>
          <w:highlight w:val="none"/>
        </w:rPr>
      </w:r>
      <w:r/>
    </w:p>
    <w:p>
      <w:pPr>
        <w:pStyle w:val="869"/>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highlight w:val="none"/>
        </w:rPr>
      </w:r>
      <w:r/>
    </w:p>
    <w:p>
      <w:pPr>
        <w:pStyle w:val="869"/>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26.1.11 投标文件未按照招标文件要求加盖CA</w:t>
      </w:r>
      <w:r>
        <w:rPr>
          <w:rFonts w:ascii="宋体" w:hAnsi="宋体"/>
          <w:bCs/>
          <w:color w:val="000000"/>
          <w:sz w:val="24"/>
          <w:highlight w:val="none"/>
        </w:rPr>
        <w:t xml:space="preserve">电子公章的</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69"/>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26.1.12其他法律、法规及本招标文件规定的属无效投标的情形。</w:t>
      </w:r>
      <w:r>
        <w:rPr>
          <w:rFonts w:hint="eastAsia" w:ascii="宋体" w:hAnsi="宋体"/>
          <w:bCs/>
          <w:color w:val="000000"/>
          <w:sz w:val="24"/>
          <w:highlight w:val="none"/>
        </w:rPr>
      </w:r>
      <w:r/>
    </w:p>
    <w:p>
      <w:pPr>
        <w:pStyle w:val="869"/>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869"/>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869"/>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869"/>
        <w:ind w:left="479"/>
        <w:spacing w:line="44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869"/>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highlight w:val="none"/>
        </w:rPr>
        <w:t xml:space="preserve">系统故障原因造成开标不成功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rPr>
          <w:rFonts w:hint="eastAsia" w:ascii="宋体" w:hAnsi="宋体"/>
          <w:bCs/>
          <w:color w:val="000000"/>
          <w:sz w:val="24"/>
          <w:highlight w:val="none"/>
        </w:rPr>
      </w:r>
      <w:r/>
    </w:p>
    <w:p>
      <w:pPr>
        <w:pStyle w:val="869"/>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869"/>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872"/>
        <w:ind w:firstLine="482"/>
        <w:spacing w:before="145" w:after="145" w:line="360" w:lineRule="auto"/>
        <w:rPr>
          <w:rFonts w:hint="eastAsia"/>
          <w:color w:val="000000"/>
          <w:highlight w:val="none"/>
        </w:rPr>
      </w:pPr>
      <w:r/>
      <w:bookmarkStart w:id="166" w:name="_Toc120614219"/>
      <w:r>
        <w:rPr>
          <w:rFonts w:hint="eastAsia"/>
          <w:color w:val="000000"/>
          <w:highlight w:val="none"/>
        </w:rPr>
        <w:t xml:space="preserve">六、</w:t>
      </w:r>
      <w:bookmarkEnd w:id="163"/>
      <w:r/>
      <w:bookmarkEnd w:id="164"/>
      <w:r/>
      <w:bookmarkEnd w:id="165"/>
      <w:r>
        <w:rPr>
          <w:rFonts w:hint="eastAsia"/>
          <w:color w:val="000000"/>
          <w:highlight w:val="none"/>
        </w:rPr>
        <w:t xml:space="preserve">定标</w:t>
      </w:r>
      <w:bookmarkEnd w:id="166"/>
      <w:r>
        <w:rPr>
          <w:rFonts w:hint="eastAsia"/>
          <w:color w:val="000000"/>
          <w:highlight w:val="none"/>
        </w:rPr>
      </w:r>
      <w:r/>
    </w:p>
    <w:p>
      <w:pPr>
        <w:pStyle w:val="873"/>
        <w:ind w:firstLine="600"/>
        <w:spacing w:before="0" w:after="0" w:line="240" w:lineRule="auto"/>
        <w:rPr>
          <w:rFonts w:hint="eastAsia" w:ascii="黑体" w:hAnsi="宋体" w:cs="Times New Roman"/>
          <w:b w:val="0"/>
          <w:color w:val="000000"/>
          <w:sz w:val="30"/>
          <w:szCs w:val="30"/>
          <w:highlight w:val="none"/>
        </w:rPr>
      </w:pPr>
      <w:r/>
      <w:bookmarkStart w:id="167" w:name="_Toc513029238"/>
      <w:r/>
      <w:bookmarkStart w:id="168" w:name="_Toc20823310"/>
      <w:r/>
      <w:bookmarkStart w:id="169" w:name="_Toc16938554"/>
      <w:r>
        <w:rPr>
          <w:rFonts w:hint="eastAsia" w:ascii="黑体" w:hAnsi="宋体" w:cs="Times New Roman"/>
          <w:b w:val="0"/>
          <w:color w:val="000000"/>
          <w:sz w:val="30"/>
          <w:szCs w:val="30"/>
          <w:highlight w:val="none"/>
        </w:rPr>
        <w:t xml:space="preserve">27、</w:t>
      </w:r>
      <w:bookmarkEnd w:id="167"/>
      <w:r>
        <w:rPr>
          <w:rFonts w:hint="eastAsia" w:ascii="黑体" w:hAnsi="宋体" w:cs="Times New Roman"/>
          <w:b w:val="0"/>
          <w:color w:val="000000"/>
          <w:sz w:val="30"/>
          <w:szCs w:val="30"/>
          <w:highlight w:val="none"/>
        </w:rPr>
        <w:t xml:space="preserve">确定</w:t>
      </w:r>
      <w:bookmarkEnd w:id="168"/>
      <w:r/>
      <w:bookmarkEnd w:id="169"/>
      <w:r>
        <w:rPr>
          <w:rFonts w:hint="eastAsia" w:ascii="黑体" w:hAnsi="宋体" w:cs="Times New Roman"/>
          <w:b w:val="0"/>
          <w:color w:val="000000"/>
          <w:sz w:val="30"/>
          <w:szCs w:val="30"/>
          <w:highlight w:val="none"/>
        </w:rPr>
        <w:t xml:space="preserve">中标单位</w:t>
      </w:r>
      <w:r>
        <w:rPr>
          <w:rFonts w:hint="eastAsia" w:ascii="黑体" w:hAnsi="宋体" w:cs="Times New Roman"/>
          <w:b w:val="0"/>
          <w:color w:val="000000"/>
          <w:sz w:val="30"/>
          <w:szCs w:val="30"/>
          <w:highlight w:val="none"/>
        </w:rPr>
      </w:r>
      <w:r/>
    </w:p>
    <w:p>
      <w:pPr>
        <w:pStyle w:val="869"/>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27.1中标候选人的选取原则和数量见招标文件第五章规定。 </w:t>
      </w:r>
      <w:r>
        <w:rPr>
          <w:rFonts w:hint="eastAsia" w:ascii="宋体" w:hAnsi="宋体"/>
          <w:bCs/>
          <w:color w:val="000000"/>
          <w:sz w:val="24"/>
          <w:highlight w:val="none"/>
        </w:rPr>
      </w:r>
      <w:r/>
    </w:p>
    <w:p>
      <w:pPr>
        <w:pStyle w:val="869"/>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27.2 采购人应根据评委会推荐的中标候选人确定中标人。</w:t>
      </w:r>
      <w:r>
        <w:rPr>
          <w:rFonts w:hint="eastAsia" w:ascii="宋体" w:hAnsi="宋体"/>
          <w:bCs/>
          <w:color w:val="000000"/>
          <w:sz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869"/>
        <w:ind w:firstLine="480"/>
        <w:spacing w:line="480" w:lineRule="exact"/>
        <w:rPr>
          <w:rFonts w:ascii="宋体" w:hAnsi="宋体"/>
          <w:color w:val="000000"/>
          <w:sz w:val="24"/>
          <w:szCs w:val="24"/>
          <w:highlight w:val="none"/>
        </w:rPr>
      </w:pPr>
      <w:r/>
      <w:bookmarkStart w:id="170"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869"/>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869"/>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869"/>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869"/>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873"/>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28、质疑处理</w:t>
      </w:r>
      <w:bookmarkEnd w:id="170"/>
      <w:r>
        <w:rPr>
          <w:rFonts w:hint="eastAsia" w:ascii="黑体" w:hAnsi="宋体" w:cs="Times New Roman"/>
          <w:b w:val="0"/>
          <w:color w:val="000000"/>
          <w:sz w:val="30"/>
          <w:szCs w:val="30"/>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highlight w:val="none"/>
        </w:rPr>
      </w:r>
      <w:r/>
    </w:p>
    <w:p>
      <w:pPr>
        <w:pStyle w:val="869"/>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对可以质疑的采购文件提出质疑的，为收到采购文件之日或者采购文件公告期限届满之日；</w:t>
      </w:r>
      <w:r>
        <w:rPr>
          <w:rFonts w:hint="eastAsia" w:hAnsi="宋体" w:cs="宋体"/>
          <w:color w:val="000000"/>
          <w:sz w:val="24"/>
          <w:szCs w:val="24"/>
          <w:highlight w:val="none"/>
        </w:rPr>
      </w:r>
      <w:r/>
    </w:p>
    <w:p>
      <w:pPr>
        <w:pStyle w:val="869"/>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对采购过程提出质疑的，为各采购程序环节结束之日；</w:t>
      </w:r>
      <w:r>
        <w:rPr>
          <w:rFonts w:hint="eastAsia" w:hAnsi="宋体" w:cs="宋体"/>
          <w:color w:val="000000"/>
          <w:sz w:val="24"/>
          <w:szCs w:val="24"/>
          <w:highlight w:val="none"/>
        </w:rPr>
      </w:r>
      <w:r/>
    </w:p>
    <w:p>
      <w:pPr>
        <w:pStyle w:val="869"/>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869"/>
        <w:ind w:firstLine="480"/>
        <w:spacing w:line="48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69"/>
        <w:ind w:firstLine="480"/>
        <w:spacing w:line="48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28.4供应商（含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审查结果、</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供应商对除</w:t>
      </w:r>
      <w:r>
        <w:rPr>
          <w:rFonts w:ascii="宋体" w:hAnsi="宋体"/>
          <w:color w:val="000000"/>
          <w:sz w:val="24"/>
          <w:szCs w:val="24"/>
          <w:highlight w:val="none"/>
        </w:rPr>
        <w:t xml:space="preserve">上述事项以外其他事项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、质疑请向采购中心提出，由采购中心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采购中心及采购人只接收以纸质原件形式送达的质疑,建议供应商尽量通过邮寄方式提交质疑（采购人和采购中心不接受无快递运单号的快递）。</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highlight w:val="none"/>
        </w:rPr>
        <w:t xml:space="preserve">3029</w:t>
      </w:r>
      <w:r>
        <w:rPr>
          <w:rFonts w:hint="eastAsia" w:ascii="宋体" w:hAnsi="宋体"/>
          <w:color w:val="000000"/>
          <w:sz w:val="24"/>
          <w:szCs w:val="24"/>
          <w:highlight w:val="none"/>
        </w:rPr>
        <w:t xml:space="preserve">室，联系电话：025-83668531。</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未参加投标活动的供应商或在投标活动中自身权益未受到损害的供应商所提出的质疑。</w:t>
      </w:r>
      <w:r>
        <w:rPr>
          <w:rFonts w:hint="eastAsia" w:ascii="宋体" w:hAnsi="宋体"/>
          <w:color w:val="000000"/>
          <w:sz w:val="24"/>
          <w:szCs w:val="24"/>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869"/>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73"/>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29、中标通知书</w:t>
      </w:r>
      <w:r>
        <w:rPr>
          <w:rFonts w:hint="eastAsia" w:ascii="黑体" w:hAnsi="宋体" w:cs="Times New Roman"/>
          <w:b w:val="0"/>
          <w:color w:val="000000"/>
          <w:sz w:val="30"/>
          <w:szCs w:val="30"/>
          <w:highlight w:val="none"/>
        </w:rPr>
      </w:r>
      <w:r/>
    </w:p>
    <w:p>
      <w:pPr>
        <w:pStyle w:val="869"/>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869"/>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872"/>
        <w:spacing w:before="145" w:after="145" w:line="360" w:lineRule="auto"/>
        <w:rPr>
          <w:rFonts w:hint="eastAsia"/>
          <w:color w:val="000000"/>
          <w:highlight w:val="none"/>
        </w:rPr>
      </w:pPr>
      <w:r/>
      <w:bookmarkStart w:id="171" w:name="_Toc120614220"/>
      <w:r/>
      <w:bookmarkStart w:id="172" w:name="_Toc16938552"/>
      <w:r/>
      <w:bookmarkStart w:id="173" w:name="_Toc513029236"/>
      <w:r/>
      <w:bookmarkStart w:id="174" w:name="_Toc20823308"/>
      <w:r>
        <w:rPr>
          <w:rFonts w:hint="eastAsia"/>
          <w:color w:val="000000"/>
          <w:highlight w:val="none"/>
        </w:rPr>
        <w:t xml:space="preserve">七、授予合同</w:t>
      </w:r>
      <w:bookmarkEnd w:id="171"/>
      <w:r>
        <w:rPr>
          <w:rFonts w:hint="eastAsia"/>
          <w:color w:val="000000"/>
          <w:highlight w:val="none"/>
        </w:rPr>
      </w:r>
      <w:r/>
    </w:p>
    <w:p>
      <w:pPr>
        <w:pStyle w:val="873"/>
        <w:ind w:firstLine="600"/>
        <w:spacing w:before="0" w:after="0" w:line="240" w:lineRule="auto"/>
        <w:rPr>
          <w:rFonts w:hint="eastAsia" w:ascii="黑体" w:hAnsi="宋体" w:cs="Times New Roman"/>
          <w:b w:val="0"/>
          <w:color w:val="000000"/>
          <w:sz w:val="30"/>
          <w:szCs w:val="30"/>
          <w:highlight w:val="none"/>
        </w:rPr>
      </w:pPr>
      <w:r/>
      <w:bookmarkEnd w:id="172"/>
      <w:r/>
      <w:bookmarkEnd w:id="173"/>
      <w:r/>
      <w:bookmarkEnd w:id="174"/>
      <w:r/>
      <w:bookmarkStart w:id="175" w:name="_Toc20823309"/>
      <w:r/>
      <w:bookmarkStart w:id="176" w:name="_Toc16938553"/>
      <w:r/>
      <w:bookmarkStart w:id="177" w:name="_Toc513029237"/>
      <w:r>
        <w:rPr>
          <w:rFonts w:hint="eastAsia" w:ascii="黑体" w:hAnsi="宋体" w:cs="Times New Roman"/>
          <w:b w:val="0"/>
          <w:color w:val="000000"/>
          <w:sz w:val="30"/>
          <w:szCs w:val="30"/>
          <w:highlight w:val="none"/>
        </w:rPr>
        <w:t xml:space="preserve">30. 签订合同</w:t>
      </w:r>
      <w:r>
        <w:rPr>
          <w:rFonts w:hint="eastAsia" w:ascii="黑体" w:hAnsi="宋体" w:cs="Times New Roman"/>
          <w:b w:val="0"/>
          <w:color w:val="000000"/>
          <w:sz w:val="30"/>
          <w:szCs w:val="30"/>
          <w:highlight w:val="none"/>
        </w:rPr>
      </w:r>
      <w:r/>
    </w:p>
    <w:p>
      <w:pPr>
        <w:pStyle w:val="869"/>
        <w:ind w:firstLine="60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color w:val="000000"/>
          <w:sz w:val="24"/>
          <w:szCs w:val="24"/>
          <w:highlight w:val="none"/>
        </w:rPr>
      </w:r>
      <w:r/>
    </w:p>
    <w:p>
      <w:pPr>
        <w:pStyle w:val="869"/>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69"/>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r>
      <w:r/>
    </w:p>
    <w:p>
      <w:pPr>
        <w:pStyle w:val="873"/>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31、服务（包含与服务相关的货物）的追加</w:t>
      </w:r>
      <w:r>
        <w:rPr>
          <w:rFonts w:hint="eastAsia" w:ascii="黑体" w:hAnsi="宋体" w:cs="Times New Roman"/>
          <w:b w:val="0"/>
          <w:color w:val="000000"/>
          <w:sz w:val="30"/>
          <w:szCs w:val="30"/>
          <w:highlight w:val="none"/>
        </w:rPr>
      </w:r>
      <w:r/>
    </w:p>
    <w:p>
      <w:pPr>
        <w:pStyle w:val="869"/>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873"/>
        <w:ind w:firstLine="600"/>
        <w:spacing w:before="0" w:after="0" w:line="240" w:lineRule="auto"/>
        <w:rPr>
          <w:rFonts w:ascii="黑体" w:hAnsi="宋体" w:cs="Times New Roman"/>
          <w:b w:val="0"/>
          <w:color w:val="000000"/>
          <w:sz w:val="30"/>
          <w:szCs w:val="30"/>
          <w:highlight w:val="none"/>
        </w:rPr>
      </w:pPr>
      <w:r/>
      <w:bookmarkEnd w:id="175"/>
      <w:r/>
      <w:bookmarkEnd w:id="176"/>
      <w:r/>
      <w:bookmarkEnd w:id="177"/>
      <w:r/>
      <w:bookmarkStart w:id="178" w:name="_Toc120614221"/>
      <w:r/>
      <w:bookmarkStart w:id="179" w:name="_Toc16938558"/>
      <w:r/>
      <w:bookmarkStart w:id="180" w:name="_Toc479757207"/>
      <w:r/>
      <w:bookmarkStart w:id="181" w:name="_Toc513029242"/>
      <w:r/>
      <w:bookmarkStart w:id="182" w:name="_Toc20823314"/>
      <w:r>
        <w:rPr>
          <w:rFonts w:hint="eastAsia" w:ascii="黑体" w:hAnsi="宋体" w:cs="Times New Roman"/>
          <w:b w:val="0"/>
          <w:color w:val="000000"/>
          <w:sz w:val="30"/>
          <w:szCs w:val="30"/>
          <w:highlight w:val="none"/>
        </w:rPr>
        <w:t xml:space="preserve">32、政府采购履约资金扶持政策</w:t>
      </w:r>
      <w:r>
        <w:rPr>
          <w:rFonts w:ascii="黑体" w:hAnsi="宋体" w:cs="Times New Roman"/>
          <w:b w:val="0"/>
          <w:color w:val="000000"/>
          <w:sz w:val="30"/>
          <w:szCs w:val="30"/>
          <w:highlight w:val="none"/>
        </w:rPr>
      </w:r>
      <w:r/>
    </w:p>
    <w:p>
      <w:pPr>
        <w:pStyle w:val="883"/>
        <w:rPr>
          <w:rFonts w:hint="eastAsia"/>
          <w:color w:val="000000"/>
          <w:highlight w:val="none"/>
        </w:rPr>
      </w:pPr>
      <w:r>
        <w:rPr>
          <w:rFonts w:hint="eastAsia" w:ascii="宋体" w:hAnsi="宋体"/>
          <w:bCs/>
          <w:color w:val="000000"/>
          <w:sz w:val="24"/>
          <w:highlight w:val="none"/>
        </w:rPr>
        <w:t xml:space="preserve">中标人可凭政府采购合同办理融资贷款，详情请见江苏政府采购网“政采贷”专栏。</w:t>
      </w:r>
      <w:r>
        <w:rPr>
          <w:rFonts w:hint="eastAsia"/>
          <w:color w:val="000000"/>
          <w:highlight w:val="none"/>
        </w:rPr>
      </w:r>
      <w:r/>
    </w:p>
    <w:p>
      <w:pPr>
        <w:pStyle w:val="883"/>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73"/>
        <w:rPr>
          <w:color w:val="000000"/>
          <w:highlight w:val="none"/>
        </w:rPr>
      </w:pPr>
      <w:r>
        <w:rPr>
          <w:color w:val="000000"/>
          <w:highlight w:val="none"/>
        </w:rPr>
      </w:r>
      <w:r/>
    </w:p>
    <w:p>
      <w:pPr>
        <w:pStyle w:val="869"/>
        <w:rPr>
          <w:color w:val="000000"/>
          <w:highlight w:val="none"/>
        </w:rPr>
      </w:pPr>
      <w:r>
        <w:rPr>
          <w:color w:val="000000"/>
          <w:highlight w:val="none"/>
        </w:rPr>
      </w:r>
      <w:r/>
    </w:p>
    <w:p>
      <w:pPr>
        <w:pStyle w:val="873"/>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70"/>
        <w:rPr>
          <w:rFonts w:ascii="黑体" w:eastAsia="黑体"/>
          <w:bCs/>
          <w:color w:val="000000"/>
          <w:sz w:val="44"/>
          <w:highlight w:val="none"/>
        </w:rPr>
      </w:pPr>
      <w:r>
        <w:rPr>
          <w:rFonts w:ascii="黑体" w:eastAsia="黑体"/>
          <w:bCs/>
          <w:color w:val="000000"/>
          <w:sz w:val="44"/>
          <w:highlight w:val="none"/>
        </w:rPr>
      </w:r>
      <w:r/>
    </w:p>
    <w:p>
      <w:pPr>
        <w:pStyle w:val="870"/>
        <w:rPr>
          <w:rFonts w:hint="eastAsia" w:ascii="黑体" w:eastAsia="黑体"/>
          <w:bCs/>
          <w:color w:val="000000"/>
          <w:sz w:val="44"/>
          <w:highlight w:val="none"/>
        </w:rPr>
      </w:pPr>
      <w:r>
        <w:rPr>
          <w:rFonts w:hint="eastAsia" w:ascii="黑体" w:eastAsia="黑体"/>
          <w:bCs/>
          <w:color w:val="000000"/>
          <w:sz w:val="44"/>
          <w:highlight w:val="none"/>
        </w:rPr>
        <w:t xml:space="preserve">第三章  合同</w:t>
      </w:r>
      <w:bookmarkEnd w:id="178"/>
      <w:r/>
      <w:bookmarkEnd w:id="179"/>
      <w:r/>
      <w:bookmarkEnd w:id="180"/>
      <w:r/>
      <w:bookmarkEnd w:id="181"/>
      <w:r/>
      <w:bookmarkEnd w:id="182"/>
      <w:r>
        <w:rPr>
          <w:rFonts w:hint="eastAsia" w:ascii="黑体" w:eastAsia="黑体"/>
          <w:bCs/>
          <w:color w:val="000000"/>
          <w:sz w:val="44"/>
          <w:highlight w:val="none"/>
        </w:rPr>
        <w:t xml:space="preserve">文本</w:t>
      </w:r>
      <w:r>
        <w:rPr>
          <w:rFonts w:hint="eastAsia" w:ascii="黑体" w:eastAsia="黑体"/>
          <w:bCs/>
          <w:color w:val="000000"/>
          <w:sz w:val="44"/>
          <w:highlight w:val="none"/>
        </w:rPr>
      </w:r>
      <w:r/>
    </w:p>
    <w:p>
      <w:pPr>
        <w:pStyle w:val="869"/>
        <w:ind w:firstLine="480"/>
        <w:spacing w:line="500" w:lineRule="exact"/>
        <w:rPr>
          <w:rFonts w:hint="eastAsia" w:ascii="宋体" w:hAnsi="宋体"/>
          <w:bCs/>
          <w:color w:val="000000"/>
          <w:sz w:val="24"/>
          <w:highlight w:val="none"/>
        </w:rPr>
      </w:pPr>
      <w:r/>
      <w:bookmarkStart w:id="183" w:name="_Toc513029243"/>
      <w:r/>
      <w:bookmarkStart w:id="184" w:name="_Toc20823315"/>
      <w:r/>
      <w:bookmarkStart w:id="185" w:name="_Toc16938559"/>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869"/>
        <w:jc w:val="center"/>
        <w:spacing w:before="145" w:after="145"/>
        <w:rPr>
          <w:rFonts w:hint="eastAsia" w:ascii="宋体" w:hAnsi="宋体"/>
          <w:b/>
          <w:color w:val="000000"/>
          <w:sz w:val="30"/>
          <w:highlight w:val="none"/>
        </w:rPr>
        <w:outlineLvl w:val="0"/>
      </w:pPr>
      <w:r>
        <w:rPr>
          <w:rFonts w:hint="eastAsia" w:ascii="宋体" w:hAnsi="宋体"/>
          <w:b/>
          <w:color w:val="000000"/>
          <w:sz w:val="30"/>
          <w:highlight w:val="none"/>
        </w:rPr>
      </w:r>
      <w:r/>
    </w:p>
    <w:p>
      <w:pPr>
        <w:pStyle w:val="869"/>
        <w:jc w:val="center"/>
        <w:spacing w:before="145" w:after="145"/>
        <w:rPr>
          <w:rFonts w:ascii="宋体" w:hAnsi="宋体"/>
          <w:b/>
          <w:bCs/>
          <w:color w:val="000000"/>
          <w:sz w:val="30"/>
          <w:szCs w:val="20"/>
          <w:highlight w:val="none"/>
        </w:rPr>
        <w:outlineLvl w:val="0"/>
      </w:pPr>
      <w:r/>
      <w:bookmarkEnd w:id="183"/>
      <w:r/>
      <w:bookmarkEnd w:id="184"/>
      <w:r/>
      <w:bookmarkEnd w:id="185"/>
      <w:r/>
      <w:bookmarkStart w:id="186" w:name="_Toc479757211"/>
      <w:r/>
      <w:bookmarkStart w:id="187" w:name="_Toc49090575"/>
      <w:r/>
      <w:bookmarkStart w:id="188" w:name="_Toc26554093"/>
      <w:r/>
      <w:bookmarkStart w:id="189" w:name="_Toc462564139"/>
      <w:r/>
      <w:bookmarkStart w:id="190" w:name="_Toc120614281"/>
      <w:r>
        <w:rPr>
          <w:rFonts w:hint="eastAsia" w:ascii="宋体" w:hAnsi="宋体"/>
          <w:b/>
          <w:color w:val="000000"/>
          <w:sz w:val="30"/>
          <w:szCs w:val="21"/>
          <w:highlight w:val="none"/>
        </w:rPr>
        <w:t xml:space="preserve">江苏省政府采购合同（货物）（合同编号）</w:t>
      </w:r>
      <w:r>
        <w:rPr>
          <w:rFonts w:ascii="宋体" w:hAnsi="宋体"/>
          <w:b/>
          <w:bCs/>
          <w:color w:val="000000"/>
          <w:sz w:val="30"/>
          <w:szCs w:val="20"/>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甲方：（买方）_________</w:t>
      </w:r>
      <w:r>
        <w:rPr>
          <w:rFonts w:ascii="宋体" w:hAnsi="宋体" w:cs="Courier New"/>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乙方：（卖方）_________</w:t>
      </w:r>
      <w:r>
        <w:rPr>
          <w:rFonts w:hint="eastAsia" w:ascii="宋体" w:hAnsi="宋体" w:cs="Courier New"/>
          <w:color w:val="000000"/>
          <w:sz w:val="24"/>
          <w:szCs w:val="24"/>
          <w:highlight w:val="none"/>
        </w:rPr>
      </w:r>
      <w:r/>
    </w:p>
    <w:p>
      <w:pPr>
        <w:pStyle w:val="869"/>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江苏省政府采购中心</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rPr>
        <w:t xml:space="preserve">（项目编号：JSZC-320000-***）</w:t>
      </w:r>
      <w:r>
        <w:rPr>
          <w:rFonts w:ascii="宋体" w:hAnsi="宋体" w:cs="Courier New"/>
          <w:color w:val="000000"/>
          <w:sz w:val="24"/>
          <w:szCs w:val="24"/>
          <w:highlight w:val="none"/>
        </w:rPr>
        <w:t xml:space="preserve">公开招标的结果，签署本合同。</w:t>
      </w:r>
      <w:r>
        <w:rPr>
          <w:rFonts w:ascii="宋体" w:hAnsi="宋体" w:cs="Courier New"/>
          <w:b/>
          <w:color w:val="000000"/>
          <w:sz w:val="24"/>
          <w:szCs w:val="24"/>
          <w:highlight w:val="none"/>
        </w:rPr>
      </w:r>
      <w:r/>
    </w:p>
    <w:p>
      <w:pPr>
        <w:pStyle w:val="869"/>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rPr>
          <w:rFonts w:ascii="宋体" w:hAnsi="宋体" w:cs="Courier New"/>
          <w:b/>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rPr>
          <w:rFonts w:hint="eastAsia" w:ascii="宋体" w:hAnsi="宋体" w:cs="Courier New"/>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rPr>
          <w:rFonts w:hint="eastAsia" w:ascii="宋体" w:hAnsi="宋体" w:cs="Courier New"/>
          <w:color w:val="000000"/>
          <w:sz w:val="24"/>
          <w:szCs w:val="24"/>
          <w:highlight w:val="none"/>
        </w:rPr>
      </w:r>
      <w:r/>
    </w:p>
    <w:p>
      <w:pPr>
        <w:pStyle w:val="869"/>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rPr>
          <w:rFonts w:ascii="宋体" w:hAnsi="宋体" w:cs="Courier New"/>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rPr>
          <w:rFonts w:hint="eastAsia" w:ascii="宋体" w:hAnsi="宋体" w:cs="Courier New"/>
          <w:color w:val="000000"/>
          <w:sz w:val="24"/>
          <w:szCs w:val="24"/>
          <w:highlight w:val="none"/>
        </w:rPr>
      </w:r>
      <w:r/>
    </w:p>
    <w:p>
      <w:pPr>
        <w:pStyle w:val="869"/>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rPr>
          <w:rFonts w:ascii="宋体" w:hAnsi="宋体" w:cs="Courier New"/>
          <w:color w:val="000000"/>
          <w:sz w:val="24"/>
          <w:szCs w:val="24"/>
          <w:highlight w:val="none"/>
        </w:rPr>
      </w:r>
      <w:r/>
    </w:p>
    <w:p>
      <w:pPr>
        <w:pStyle w:val="869"/>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rFonts w:ascii="宋体" w:hAnsi="宋体" w:cs="Courier New"/>
          <w:b/>
          <w:color w:val="000000"/>
          <w:sz w:val="24"/>
          <w:szCs w:val="24"/>
          <w:highlight w:val="none"/>
        </w:rPr>
      </w:r>
      <w:r/>
    </w:p>
    <w:p>
      <w:pPr>
        <w:pStyle w:val="869"/>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2.1 本合同金额为（大写）：_______</w:t>
      </w:r>
      <w:r>
        <w:rPr>
          <w:rFonts w:hint="eastAsia" w:ascii="宋体" w:hAnsi="宋体" w:cs="Courier New"/>
          <w:color w:val="000000"/>
          <w:sz w:val="24"/>
          <w:szCs w:val="24"/>
          <w:highlight w:val="none"/>
        </w:rPr>
        <w:t xml:space="preserve">圆</w:t>
      </w:r>
      <w:r>
        <w:rPr>
          <w:rFonts w:ascii="宋体" w:hAnsi="宋体" w:cs="Courier New"/>
          <w:color w:val="000000"/>
          <w:sz w:val="24"/>
          <w:szCs w:val="24"/>
          <w:highlight w:val="none"/>
        </w:rPr>
        <w:t xml:space="preserve">（___元）人民币</w:t>
      </w:r>
      <w:r>
        <w:rPr>
          <w:rFonts w:hint="eastAsia" w:ascii="宋体" w:hAnsi="宋体" w:cs="Courier New"/>
          <w:color w:val="000000"/>
          <w:sz w:val="24"/>
          <w:szCs w:val="24"/>
          <w:highlight w:val="none"/>
        </w:rPr>
        <w:t xml:space="preserve">或其他币种</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869"/>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rPr>
          <w:rFonts w:ascii="宋体" w:hAnsi="宋体" w:cs="Courier New"/>
          <w:b/>
          <w:color w:val="000000"/>
          <w:sz w:val="24"/>
          <w:szCs w:val="24"/>
          <w:highlight w:val="none"/>
        </w:rPr>
      </w:r>
      <w:r/>
    </w:p>
    <w:p>
      <w:pPr>
        <w:pStyle w:val="869"/>
        <w:ind w:left="410" w:hanging="41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的有关技术资料。</w:t>
      </w:r>
      <w:r>
        <w:rPr>
          <w:rFonts w:hint="eastAsia" w:ascii="宋体" w:hAnsi="宋体" w:cs="Courier New"/>
          <w:color w:val="000000"/>
          <w:sz w:val="24"/>
          <w:szCs w:val="24"/>
          <w:highlight w:val="none"/>
        </w:rPr>
      </w:r>
      <w:r/>
    </w:p>
    <w:p>
      <w:pPr>
        <w:pStyle w:val="869"/>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highlight w:val="none"/>
        </w:rPr>
      </w:r>
      <w:r/>
    </w:p>
    <w:p>
      <w:pPr>
        <w:pStyle w:val="869"/>
        <w:ind w:left="412" w:hanging="412"/>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rPr>
          <w:rFonts w:ascii="宋体" w:hAnsi="宋体" w:cs="Courier New"/>
          <w:b/>
          <w:color w:val="000000"/>
          <w:sz w:val="24"/>
          <w:szCs w:val="24"/>
          <w:highlight w:val="none"/>
        </w:rPr>
      </w:r>
      <w:r/>
    </w:p>
    <w:p>
      <w:pPr>
        <w:pStyle w:val="869"/>
        <w:spacing w:line="0" w:lineRule="atLeast"/>
        <w:rPr>
          <w:rFonts w:hint="eastAsia" w:ascii="宋体" w:hAnsi="宋体"/>
          <w:color w:val="000000"/>
          <w:sz w:val="24"/>
          <w:szCs w:val="21"/>
          <w:highlight w:val="none"/>
        </w:rPr>
      </w:pPr>
      <w:r>
        <w:rPr>
          <w:rFonts w:ascii="Times New Roman" w:hAnsi="宋体"/>
          <w:color w:val="000000"/>
          <w:sz w:val="24"/>
          <w:szCs w:val="24"/>
          <w:highlight w:val="none"/>
        </w:rPr>
        <w:t xml:space="preserve">4.1乙</w:t>
      </w:r>
      <w:r>
        <w:rPr>
          <w:rFonts w:hint="eastAsia" w:ascii="宋体" w:hAnsi="宋体"/>
          <w:color w:val="000000"/>
          <w:sz w:val="24"/>
          <w:szCs w:val="21"/>
          <w:highlight w:val="none"/>
        </w:rPr>
        <w:t xml:space="preserve">方应保证甲方在使用、接受本合同货物</w:t>
      </w:r>
      <w:r>
        <w:rPr>
          <w:rFonts w:hint="eastAsia" w:ascii="Times New Roman" w:hAnsi="宋体"/>
          <w:color w:val="000000"/>
          <w:sz w:val="24"/>
          <w:szCs w:val="24"/>
          <w:highlight w:val="none"/>
        </w:rPr>
        <w:t xml:space="preserve">（包含与货物相关的服务）</w:t>
      </w:r>
      <w:r>
        <w:rPr>
          <w:rFonts w:hint="eastAsia" w:ascii="宋体" w:hAnsi="宋体"/>
          <w:color w:val="000000"/>
          <w:sz w:val="24"/>
          <w:szCs w:val="21"/>
          <w:highlight w:val="none"/>
        </w:rPr>
        <w:t xml:space="preserve">或其任何一部分时不受第三方提出侵犯其专利权、版权、商标权和工业设计权等知识产权的起诉。一旦出现侵权，由乙方负全部责任。</w:t>
      </w:r>
      <w:r>
        <w:rPr>
          <w:rFonts w:hint="eastAsia" w:ascii="宋体" w:hAnsi="宋体"/>
          <w:color w:val="000000"/>
          <w:sz w:val="24"/>
          <w:szCs w:val="21"/>
          <w:highlight w:val="none"/>
        </w:rPr>
      </w:r>
      <w:r/>
    </w:p>
    <w:p>
      <w:pPr>
        <w:pStyle w:val="869"/>
        <w:spacing w:before="120" w:after="120"/>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rPr>
          <w:rFonts w:ascii="宋体" w:hAnsi="宋体" w:cs="Courier New"/>
          <w:color w:val="000000"/>
          <w:sz w:val="24"/>
          <w:szCs w:val="24"/>
          <w:highlight w:val="none"/>
          <w:u w:val="single"/>
        </w:rPr>
      </w:r>
      <w:r/>
    </w:p>
    <w:p>
      <w:pPr>
        <w:pStyle w:val="869"/>
        <w:ind w:left="408" w:hanging="408"/>
        <w:spacing w:before="120" w:after="120"/>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rPr>
          <w:rFonts w:ascii="宋体" w:hAnsi="宋体" w:cs="Courier New"/>
          <w:color w:val="000000"/>
          <w:sz w:val="24"/>
          <w:szCs w:val="24"/>
          <w:highlight w:val="none"/>
          <w:u w:val="single"/>
        </w:rPr>
      </w:r>
      <w:r/>
    </w:p>
    <w:p>
      <w:pPr>
        <w:pStyle w:val="869"/>
        <w:ind w:left="410" w:hanging="410"/>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rPr>
          <w:rFonts w:ascii="宋体" w:hAnsi="宋体" w:cs="Courier New"/>
          <w:b/>
          <w:color w:val="000000"/>
          <w:sz w:val="24"/>
          <w:szCs w:val="24"/>
          <w:highlight w:val="none"/>
        </w:rPr>
      </w:r>
      <w:r/>
    </w:p>
    <w:p>
      <w:pPr>
        <w:pStyle w:val="869"/>
        <w:ind w:left="408" w:hanging="408"/>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乙方交纳人民币_________元作为本合同的履约保证金。</w:t>
      </w:r>
      <w:r>
        <w:rPr>
          <w:rFonts w:hint="eastAsia" w:ascii="宋体" w:hAnsi="宋体" w:cs="Courier New"/>
          <w:color w:val="000000"/>
          <w:sz w:val="24"/>
          <w:szCs w:val="24"/>
          <w:highlight w:val="none"/>
        </w:rPr>
        <w:t xml:space="preserve">（不得超过合同金额的10%）</w:t>
      </w:r>
      <w:r>
        <w:rPr>
          <w:rFonts w:hint="eastAsia" w:ascii="宋体" w:hAnsi="宋体" w:cs="Courier New"/>
          <w:color w:val="000000"/>
          <w:sz w:val="24"/>
          <w:szCs w:val="24"/>
          <w:highlight w:val="none"/>
        </w:rPr>
      </w:r>
      <w:r/>
    </w:p>
    <w:p>
      <w:pPr>
        <w:pStyle w:val="869"/>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rPr>
          <w:rFonts w:hint="eastAsia" w:ascii="宋体" w:hAnsi="宋体" w:cs="Courier New"/>
          <w:color w:val="000000"/>
          <w:sz w:val="24"/>
          <w:szCs w:val="24"/>
          <w:highlight w:val="none"/>
        </w:rPr>
      </w:r>
      <w:r/>
    </w:p>
    <w:p>
      <w:pPr>
        <w:pStyle w:val="869"/>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rPr>
          <w:rFonts w:hint="eastAsia" w:ascii="宋体" w:hAnsi="宋体" w:cs="Courier New"/>
          <w:color w:val="000000"/>
          <w:sz w:val="24"/>
          <w:szCs w:val="24"/>
          <w:highlight w:val="none"/>
        </w:rPr>
      </w:r>
      <w:r/>
    </w:p>
    <w:p>
      <w:pPr>
        <w:pStyle w:val="869"/>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rPr>
          <w:rFonts w:hint="eastAsia" w:ascii="宋体" w:hAnsi="宋体" w:cs="Courier New"/>
          <w:color w:val="000000"/>
          <w:sz w:val="24"/>
          <w:szCs w:val="24"/>
          <w:highlight w:val="none"/>
        </w:rPr>
      </w:r>
      <w:r/>
    </w:p>
    <w:p>
      <w:pPr>
        <w:pStyle w:val="869"/>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rPr>
          <w:rFonts w:hint="eastAsia" w:ascii="宋体" w:hAnsi="宋体" w:cs="Courier New"/>
          <w:color w:val="000000"/>
          <w:sz w:val="24"/>
          <w:szCs w:val="24"/>
          <w:highlight w:val="none"/>
        </w:rPr>
      </w:r>
      <w:r/>
    </w:p>
    <w:p>
      <w:pPr>
        <w:pStyle w:val="869"/>
        <w:ind w:left="408" w:hanging="408"/>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rPr>
          <w:rFonts w:ascii="宋体" w:hAnsi="宋体" w:cs="Courier New"/>
          <w:color w:val="000000"/>
          <w:sz w:val="24"/>
          <w:szCs w:val="24"/>
          <w:highlight w:val="none"/>
        </w:rPr>
      </w:r>
      <w:r/>
    </w:p>
    <w:p>
      <w:pPr>
        <w:pStyle w:val="869"/>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869"/>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869"/>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869"/>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rPr>
          <w:rFonts w:ascii="宋体" w:hAnsi="宋体" w:eastAsia="仿宋_GB2312"/>
          <w:color w:val="000000"/>
          <w:sz w:val="24"/>
          <w:szCs w:val="24"/>
          <w:highlight w:val="none"/>
        </w:rPr>
      </w:r>
      <w:r/>
    </w:p>
    <w:p>
      <w:pPr>
        <w:pStyle w:val="869"/>
        <w:spacing w:before="120" w:after="120"/>
        <w:rPr>
          <w:rFonts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rPr>
          <w:rFonts w:ascii="宋体" w:hAnsi="宋体" w:cs="Courier New"/>
          <w:b/>
          <w:color w:val="000000"/>
          <w:sz w:val="24"/>
          <w:szCs w:val="24"/>
          <w:highlight w:val="none"/>
        </w:rPr>
      </w:r>
      <w:r/>
    </w:p>
    <w:p>
      <w:pPr>
        <w:pStyle w:val="869"/>
        <w:spacing w:before="120" w:after="120"/>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rPr>
          <w:rFonts w:hint="eastAsia" w:ascii="宋体" w:hAnsi="宋体" w:cs="Courier New"/>
          <w:bCs/>
          <w:color w:val="000000"/>
          <w:sz w:val="24"/>
          <w:szCs w:val="24"/>
          <w:highlight w:val="none"/>
        </w:rPr>
      </w:r>
      <w:r/>
    </w:p>
    <w:p>
      <w:pPr>
        <w:pStyle w:val="869"/>
        <w:spacing w:before="120" w:after="120"/>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8.1.1 预付款支付时间：</w:t>
      </w:r>
      <w:r>
        <w:rPr>
          <w:rFonts w:hint="eastAsia" w:ascii="宋体" w:hAnsi="宋体" w:cs="Courier New"/>
          <w:bCs/>
          <w:color w:val="000000"/>
          <w:sz w:val="24"/>
          <w:szCs w:val="24"/>
          <w:highlight w:val="none"/>
          <w:u w:val="single"/>
        </w:rPr>
        <w:t xml:space="preserve">合同签订后***日内</w:t>
      </w:r>
      <w:r>
        <w:rPr>
          <w:rFonts w:hint="eastAsia" w:ascii="宋体" w:hAnsi="宋体" w:cs="Courier New"/>
          <w:bCs/>
          <w:color w:val="000000"/>
          <w:sz w:val="24"/>
          <w:szCs w:val="24"/>
          <w:highlight w:val="none"/>
        </w:rPr>
        <w:t xml:space="preserve">，预付款支付比例：</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r>
      <w:r/>
    </w:p>
    <w:p>
      <w:pPr>
        <w:pStyle w:val="869"/>
        <w:spacing w:before="120" w:after="120"/>
        <w:rPr>
          <w:rFonts w:hint="eastAsia" w:ascii="宋体" w:hAnsi="宋体" w:cs="Courier New"/>
          <w:color w:val="000000"/>
          <w:sz w:val="24"/>
          <w:szCs w:val="24"/>
          <w:highlight w:val="none"/>
          <w:u w:val="single"/>
        </w:rPr>
      </w:pPr>
      <w:r>
        <w:rPr>
          <w:rFonts w:hint="eastAsia" w:ascii="宋体" w:hAnsi="宋体" w:cs="Courier New"/>
          <w:bCs/>
          <w:color w:val="000000"/>
          <w:sz w:val="24"/>
          <w:szCs w:val="24"/>
          <w:highlight w:val="none"/>
        </w:rPr>
        <w:t xml:space="preserve">8.1.2 尾款支付时间：产品验收通过,采购人收到发票后15日内，尾款支付比例：</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rPr>
        <w:t xml:space="preserve">。</w:t>
      </w:r>
      <w:r>
        <w:rPr>
          <w:rFonts w:hint="eastAsia" w:ascii="宋体" w:hAnsi="宋体" w:cs="Courier New"/>
          <w:color w:val="000000"/>
          <w:sz w:val="24"/>
          <w:szCs w:val="24"/>
          <w:highlight w:val="none"/>
          <w:u w:val="single"/>
        </w:rPr>
      </w:r>
      <w:r/>
    </w:p>
    <w:p>
      <w:pPr>
        <w:pStyle w:val="869"/>
        <w:spacing w:line="0" w:lineRule="atLeast"/>
        <w:rPr>
          <w:rFonts w:ascii="Times New Roman"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t xml:space="preserve">.2</w:t>
      </w:r>
      <w:r>
        <w:rPr>
          <w:rFonts w:ascii="Times New Roman" w:hAnsi="宋体"/>
          <w:color w:val="000000"/>
          <w:sz w:val="24"/>
          <w:szCs w:val="24"/>
          <w:highlight w:val="none"/>
        </w:rPr>
        <w:t xml:space="preserve">当采购数量与实际使用数量不一致时，</w:t>
      </w:r>
      <w:r>
        <w:rPr>
          <w:rFonts w:hint="eastAsia" w:ascii="Times New Roman" w:hAnsi="宋体"/>
          <w:color w:val="000000"/>
          <w:sz w:val="24"/>
          <w:szCs w:val="24"/>
          <w:highlight w:val="none"/>
        </w:rPr>
        <w:t xml:space="preserve">乙方</w:t>
      </w:r>
      <w:r>
        <w:rPr>
          <w:rFonts w:ascii="Times New Roman" w:hAnsi="宋体"/>
          <w:color w:val="000000"/>
          <w:sz w:val="24"/>
          <w:szCs w:val="24"/>
          <w:highlight w:val="none"/>
        </w:rPr>
        <w:t xml:space="preserve">应根据实际使用量供货，合同的最终结算金额按实际使用量乘以成交单价进行计算。</w:t>
      </w:r>
      <w:r>
        <w:rPr>
          <w:rFonts w:ascii="Times New Roman" w:hAnsi="宋体"/>
          <w:color w:val="000000"/>
          <w:sz w:val="24"/>
          <w:szCs w:val="24"/>
          <w:highlight w:val="none"/>
        </w:rPr>
      </w:r>
      <w:r/>
    </w:p>
    <w:p>
      <w:pPr>
        <w:pStyle w:val="869"/>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69"/>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869"/>
        <w:ind w:left="412" w:hanging="412"/>
        <w:spacing w:before="120" w:after="120"/>
        <w:rPr>
          <w:rFonts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rPr>
          <w:rFonts w:ascii="宋体" w:hAnsi="宋体" w:cs="Courier New"/>
          <w:color w:val="000000"/>
          <w:sz w:val="24"/>
          <w:szCs w:val="24"/>
          <w:highlight w:val="none"/>
        </w:rPr>
      </w:r>
      <w:r/>
    </w:p>
    <w:p>
      <w:pPr>
        <w:pStyle w:val="869"/>
        <w:spacing w:line="0" w:lineRule="atLeast"/>
        <w:rPr>
          <w:rFonts w:ascii="Times New Roman"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ascii="Times New Roman" w:hAnsi="宋体"/>
          <w:color w:val="000000"/>
          <w:sz w:val="24"/>
          <w:szCs w:val="24"/>
          <w:highlight w:val="none"/>
        </w:rPr>
        <w:t xml:space="preserve"> 乙方应按招标文件规定的货物性能、技术要求、质量标准向甲方提供未经使用的</w:t>
      </w:r>
      <w:r>
        <w:rPr>
          <w:rFonts w:ascii="Times New Roman" w:hAnsi="宋体"/>
          <w:color w:val="000000"/>
          <w:sz w:val="24"/>
          <w:szCs w:val="24"/>
          <w:highlight w:val="none"/>
        </w:rPr>
      </w:r>
      <w:r/>
    </w:p>
    <w:p>
      <w:pPr>
        <w:pStyle w:val="869"/>
        <w:spacing w:line="0" w:lineRule="atLeast"/>
        <w:rPr>
          <w:rFonts w:ascii="Times New Roman" w:hAnsi="宋体"/>
          <w:color w:val="000000"/>
          <w:sz w:val="24"/>
          <w:szCs w:val="24"/>
          <w:highlight w:val="none"/>
        </w:rPr>
      </w:pPr>
      <w:r>
        <w:rPr>
          <w:rFonts w:ascii="Times New Roman" w:hAnsi="宋体"/>
          <w:color w:val="000000"/>
          <w:sz w:val="24"/>
          <w:szCs w:val="24"/>
          <w:highlight w:val="none"/>
        </w:rPr>
        <w:t xml:space="preserve">全新产品。</w:t>
      </w:r>
      <w:r>
        <w:rPr>
          <w:rFonts w:ascii="Times New Roman" w:hAnsi="宋体"/>
          <w:color w:val="000000"/>
          <w:sz w:val="24"/>
          <w:szCs w:val="24"/>
          <w:highlight w:val="none"/>
        </w:rPr>
      </w:r>
      <w:r/>
    </w:p>
    <w:p>
      <w:pPr>
        <w:pStyle w:val="869"/>
        <w:spacing w:line="0" w:lineRule="atLeast"/>
        <w:rPr>
          <w:rFonts w:ascii="Times New Roman"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.2 </w:t>
      </w:r>
      <w:r>
        <w:rPr>
          <w:rFonts w:ascii="Times New Roman" w:hAnsi="宋体"/>
          <w:color w:val="000000"/>
          <w:sz w:val="24"/>
          <w:szCs w:val="24"/>
          <w:highlight w:val="none"/>
        </w:rPr>
        <w:t xml:space="preserve">乙方提供的货物在质量期内因货物本身的质量问题发生故障，乙方应负责免费更</w:t>
      </w:r>
      <w:r>
        <w:rPr>
          <w:rFonts w:ascii="Times New Roman" w:hAnsi="宋体"/>
          <w:color w:val="000000"/>
          <w:sz w:val="24"/>
          <w:szCs w:val="24"/>
          <w:highlight w:val="none"/>
        </w:rPr>
      </w:r>
      <w:r/>
    </w:p>
    <w:p>
      <w:pPr>
        <w:pStyle w:val="869"/>
        <w:spacing w:line="0" w:lineRule="atLeast"/>
        <w:rPr>
          <w:rFonts w:ascii="Times New Roman" w:hAnsi="宋体"/>
          <w:color w:val="000000"/>
          <w:sz w:val="24"/>
          <w:szCs w:val="24"/>
          <w:highlight w:val="none"/>
        </w:rPr>
      </w:pPr>
      <w:r>
        <w:rPr>
          <w:rFonts w:ascii="Times New Roman" w:hAnsi="宋体"/>
          <w:color w:val="000000"/>
          <w:sz w:val="24"/>
          <w:szCs w:val="24"/>
          <w:highlight w:val="none"/>
        </w:rPr>
        <w:t xml:space="preserve">换。对达不到技术要求者，根据实际情况，经双方协商，可按以下办法处理：</w:t>
      </w:r>
      <w:r>
        <w:rPr>
          <w:rFonts w:ascii="Times New Roman" w:hAnsi="宋体"/>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rPr>
          <w:rFonts w:ascii="宋体" w:hAnsi="宋体" w:cs="Courier New"/>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rPr>
          <w:rFonts w:ascii="宋体" w:hAnsi="宋体" w:cs="Courier New"/>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rPr>
          <w:rFonts w:ascii="宋体" w:hAnsi="宋体" w:cs="Courier New"/>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 如在使用过程中发生质量问题，乙方在接到甲方通知后在_________小时内到达甲方现场。</w:t>
      </w:r>
      <w:r>
        <w:rPr>
          <w:rFonts w:ascii="宋体" w:hAnsi="宋体" w:cs="Courier New"/>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 在质保期内，乙方应对货物出现的质量及安全问题负责处理解决并承担一切费用。</w:t>
      </w:r>
      <w:r>
        <w:rPr>
          <w:rFonts w:ascii="宋体" w:hAnsi="宋体" w:cs="Courier New"/>
          <w:color w:val="000000"/>
          <w:sz w:val="24"/>
          <w:szCs w:val="24"/>
          <w:highlight w:val="none"/>
        </w:rPr>
      </w:r>
      <w:r/>
    </w:p>
    <w:p>
      <w:pPr>
        <w:pStyle w:val="869"/>
        <w:spacing w:line="0" w:lineRule="atLeast"/>
        <w:rPr>
          <w:rFonts w:ascii="Times New Roman"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.5</w:t>
      </w:r>
      <w:r>
        <w:rPr>
          <w:rFonts w:ascii="Times New Roman" w:hAnsi="宋体"/>
          <w:color w:val="000000"/>
          <w:sz w:val="24"/>
          <w:szCs w:val="24"/>
          <w:highlight w:val="none"/>
        </w:rPr>
        <w:t xml:space="preserve">上述的货物免费保修期为</w:t>
      </w:r>
      <w:r>
        <w:rPr>
          <w:rFonts w:ascii="Times New Roman" w:hAnsi="宋体"/>
          <w:color w:val="000000"/>
          <w:sz w:val="24"/>
          <w:szCs w:val="24"/>
          <w:highlight w:val="none"/>
          <w:u w:val="single"/>
        </w:rPr>
        <w:t xml:space="preserve">     </w:t>
      </w:r>
      <w:r>
        <w:rPr>
          <w:rFonts w:ascii="Times New Roman" w:hAnsi="宋体"/>
          <w:color w:val="000000"/>
          <w:sz w:val="24"/>
          <w:szCs w:val="24"/>
          <w:highlight w:val="none"/>
        </w:rPr>
        <w:t xml:space="preserve">年（自交货验收合格之日起计），因人为因素出现</w:t>
      </w:r>
      <w:r>
        <w:rPr>
          <w:rFonts w:ascii="Times New Roman" w:hAnsi="宋体"/>
          <w:color w:val="000000"/>
          <w:sz w:val="24"/>
          <w:szCs w:val="24"/>
          <w:highlight w:val="none"/>
        </w:rPr>
      </w:r>
      <w:r/>
    </w:p>
    <w:p>
      <w:pPr>
        <w:pStyle w:val="869"/>
        <w:spacing w:line="0" w:lineRule="atLeast"/>
        <w:rPr>
          <w:rFonts w:ascii="Times New Roman" w:hAnsi="宋体"/>
          <w:color w:val="000000"/>
          <w:sz w:val="24"/>
          <w:szCs w:val="24"/>
          <w:highlight w:val="none"/>
        </w:rPr>
      </w:pPr>
      <w:r>
        <w:rPr>
          <w:rFonts w:ascii="Times New Roman" w:hAnsi="宋体"/>
          <w:color w:val="000000"/>
          <w:sz w:val="24"/>
          <w:szCs w:val="24"/>
          <w:highlight w:val="none"/>
        </w:rPr>
        <w:t xml:space="preserve">的故障不在免费保修范围内。超过保修期的机器设备，终生维修，维修时只收部件成</w:t>
      </w:r>
      <w:r>
        <w:rPr>
          <w:rFonts w:ascii="Times New Roman" w:hAnsi="宋体"/>
          <w:color w:val="000000"/>
          <w:sz w:val="24"/>
          <w:szCs w:val="24"/>
          <w:highlight w:val="none"/>
        </w:rPr>
      </w:r>
      <w:r/>
    </w:p>
    <w:p>
      <w:pPr>
        <w:pStyle w:val="869"/>
        <w:spacing w:line="0" w:lineRule="atLeast"/>
        <w:rPr>
          <w:rFonts w:ascii="Times New Roman" w:hAnsi="宋体"/>
          <w:color w:val="000000"/>
          <w:sz w:val="24"/>
          <w:szCs w:val="24"/>
          <w:highlight w:val="none"/>
        </w:rPr>
      </w:pPr>
      <w:r>
        <w:rPr>
          <w:rFonts w:ascii="Times New Roman" w:hAnsi="宋体"/>
          <w:color w:val="000000"/>
          <w:sz w:val="24"/>
          <w:szCs w:val="24"/>
          <w:highlight w:val="none"/>
        </w:rPr>
        <w:t xml:space="preserve">本费。</w:t>
      </w:r>
      <w:r>
        <w:rPr>
          <w:rFonts w:ascii="Times New Roman" w:hAnsi="宋体"/>
          <w:color w:val="000000"/>
          <w:sz w:val="24"/>
          <w:szCs w:val="24"/>
          <w:highlight w:val="none"/>
        </w:rPr>
      </w:r>
      <w:r/>
    </w:p>
    <w:p>
      <w:pPr>
        <w:pStyle w:val="869"/>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rPr>
          <w:rFonts w:ascii="宋体" w:hAnsi="宋体" w:cs="Courier New"/>
          <w:b/>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highlight w:val="none"/>
        </w:rPr>
      </w:r>
      <w:r/>
    </w:p>
    <w:p>
      <w:pPr>
        <w:pStyle w:val="869"/>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69"/>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rPr>
          <w:rFonts w:ascii="宋体" w:hAnsi="宋体" w:cs="Courier New"/>
          <w:b/>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 乙方应在货物发运前对其进行满足运输距离、防潮、防震、防锈和防破损装卸等</w:t>
      </w:r>
      <w:r>
        <w:rPr>
          <w:rFonts w:ascii="宋体" w:hAnsi="宋体"/>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要求包装，以保证货物安全运达甲方指定地点。</w:t>
      </w:r>
      <w:r>
        <w:rPr>
          <w:rFonts w:hint="eastAsia" w:ascii="宋体" w:hAnsi="宋体"/>
          <w:color w:val="000000"/>
          <w:sz w:val="24"/>
          <w:szCs w:val="24"/>
          <w:highlight w:val="none"/>
        </w:rPr>
        <w:t xml:space="preserve">乙方对货物的包装应符合《商品包装</w:t>
      </w:r>
      <w:r>
        <w:rPr>
          <w:rFonts w:ascii="宋体" w:hAnsi="宋体"/>
          <w:color w:val="000000"/>
          <w:sz w:val="24"/>
          <w:szCs w:val="24"/>
          <w:highlight w:val="none"/>
        </w:rPr>
      </w:r>
      <w:r/>
    </w:p>
    <w:p>
      <w:pPr>
        <w:pStyle w:val="869"/>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政府采购需求标准（试行）》、《快递包装政府采购需求标准（试行）》的规定。</w:t>
      </w:r>
      <w:r>
        <w:rPr>
          <w:rFonts w:ascii="宋体" w:hAnsi="宋体"/>
          <w:color w:val="000000"/>
          <w:sz w:val="24"/>
          <w:szCs w:val="24"/>
          <w:highlight w:val="none"/>
        </w:rPr>
      </w:r>
      <w:r/>
    </w:p>
    <w:p>
      <w:pPr>
        <w:pStyle w:val="869"/>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使用说明书、质量检验证明书、随配附件和工具以及清单一并附于货物内。</w:t>
      </w:r>
      <w:r>
        <w:rPr>
          <w:rFonts w:ascii="宋体" w:hAnsi="宋体" w:cs="Courier New"/>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 乙方在货物发运手续办理完毕后24小时内或货到甲方48小时前通知甲方，以准</w:t>
      </w:r>
      <w:r>
        <w:rPr>
          <w:rFonts w:ascii="宋体" w:hAnsi="宋体"/>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备接货。</w:t>
      </w:r>
      <w:r>
        <w:rPr>
          <w:rFonts w:ascii="宋体" w:hAnsi="宋体"/>
          <w:color w:val="000000"/>
          <w:sz w:val="24"/>
          <w:szCs w:val="24"/>
          <w:highlight w:val="none"/>
        </w:rPr>
      </w:r>
      <w:r/>
    </w:p>
    <w:p>
      <w:pPr>
        <w:pStyle w:val="869"/>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 货物在交付甲方前发生的风险均由乙方负责。</w:t>
      </w:r>
      <w:r>
        <w:rPr>
          <w:rFonts w:ascii="宋体" w:hAnsi="宋体" w:cs="Courier New"/>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 货物在规定的交付期限内由乙方送达甲方指定的地点视为交付，乙方同时需通知甲方货物已送达。</w:t>
      </w:r>
      <w:r>
        <w:rPr>
          <w:rFonts w:ascii="宋体" w:hAnsi="宋体"/>
          <w:color w:val="000000"/>
          <w:sz w:val="24"/>
          <w:szCs w:val="24"/>
          <w:highlight w:val="none"/>
        </w:rPr>
      </w:r>
      <w:r/>
    </w:p>
    <w:p>
      <w:pPr>
        <w:pStyle w:val="869"/>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rPr>
          <w:rFonts w:ascii="宋体" w:hAnsi="宋体" w:cs="Courier New"/>
          <w:b/>
          <w:color w:val="000000"/>
          <w:sz w:val="24"/>
          <w:szCs w:val="24"/>
          <w:highlight w:val="none"/>
        </w:rPr>
      </w:r>
      <w:r/>
    </w:p>
    <w:p>
      <w:pPr>
        <w:pStyle w:val="869"/>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 甲方无正当理由拒收货物的，甲方向乙方偿付拒收货款总值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.2 甲方无故逾期验收和办理货款支付手续的,甲方应按逾期付款总额每日</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向乙方支付违约金。</w:t>
      </w:r>
      <w:r>
        <w:rPr>
          <w:rFonts w:ascii="宋体" w:hAnsi="宋体"/>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的违约金，如造成甲方损失超过违约金的，超出部分由乙方继续承担赔偿责任。 </w:t>
      </w:r>
      <w:r>
        <w:rPr>
          <w:rFonts w:ascii="宋体" w:hAnsi="宋体"/>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.4 乙方所交的货物品种、型号、规格、技术参数、质量不符合合同规定及招标文件</w:t>
      </w:r>
      <w:r>
        <w:rPr>
          <w:rFonts w:ascii="宋体" w:hAnsi="宋体"/>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规定标准的，甲方有权拒收该货物，乙方愿意更换货物但逾期交货的，按乙方逾期交</w:t>
      </w:r>
      <w:r>
        <w:rPr>
          <w:rFonts w:ascii="宋体" w:hAnsi="宋体"/>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货处理。乙方拒绝更换货物的，甲方可单方面解除合同。</w:t>
      </w:r>
      <w:r>
        <w:rPr>
          <w:rFonts w:ascii="宋体" w:hAnsi="宋体"/>
          <w:color w:val="000000"/>
          <w:sz w:val="24"/>
          <w:szCs w:val="24"/>
          <w:highlight w:val="none"/>
        </w:rPr>
      </w:r>
      <w:r/>
    </w:p>
    <w:p>
      <w:pPr>
        <w:pStyle w:val="869"/>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rPr>
          <w:rFonts w:ascii="宋体" w:hAnsi="宋体" w:cs="Courier New"/>
          <w:b/>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 在合同有效期内，任何一方因不可抗力事件导致不能履行合同，则合同履行期可</w:t>
      </w:r>
      <w:r>
        <w:rPr>
          <w:rFonts w:ascii="宋体" w:hAnsi="宋体"/>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延长，其延长期与不可抗力影响期相同。</w:t>
      </w:r>
      <w:r>
        <w:rPr>
          <w:rFonts w:ascii="宋体" w:hAnsi="宋体"/>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 不可抗力事件发生后，应立即通知对方，并寄送有关权威机构出具的证明。</w:t>
      </w:r>
      <w:r>
        <w:rPr>
          <w:rFonts w:ascii="宋体" w:hAnsi="宋体" w:cs="Courier New"/>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 不可抗力事件延续120天以上，双方应通过友好协商，确定是否继续履行合同。</w:t>
      </w:r>
      <w:r>
        <w:rPr>
          <w:rFonts w:ascii="宋体" w:hAnsi="宋体" w:cs="Courier New"/>
          <w:color w:val="000000"/>
          <w:sz w:val="24"/>
          <w:szCs w:val="24"/>
          <w:highlight w:val="none"/>
        </w:rPr>
      </w:r>
      <w:r/>
    </w:p>
    <w:p>
      <w:pPr>
        <w:pStyle w:val="869"/>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rPr>
          <w:rFonts w:ascii="宋体" w:hAnsi="宋体" w:cs="Courier New"/>
          <w:b/>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甲乙</w:t>
      </w:r>
      <w:r>
        <w:rPr>
          <w:rFonts w:ascii="宋体" w:hAnsi="宋体"/>
          <w:color w:val="000000"/>
          <w:sz w:val="24"/>
          <w:szCs w:val="24"/>
          <w:highlight w:val="none"/>
        </w:rPr>
        <w:t xml:space="preserve">双方</w:t>
      </w:r>
      <w:r>
        <w:rPr>
          <w:rFonts w:hint="eastAsia" w:ascii="宋体" w:hAnsi="宋体"/>
          <w:color w:val="000000"/>
          <w:sz w:val="24"/>
          <w:szCs w:val="24"/>
          <w:highlight w:val="none"/>
        </w:rPr>
        <w:t xml:space="preserve">因</w:t>
      </w:r>
      <w:r>
        <w:rPr>
          <w:rFonts w:ascii="宋体" w:hAnsi="宋体"/>
          <w:color w:val="000000"/>
          <w:sz w:val="24"/>
          <w:szCs w:val="24"/>
          <w:highlight w:val="none"/>
        </w:rPr>
        <w:t xml:space="preserve">合同</w:t>
      </w:r>
      <w:r>
        <w:rPr>
          <w:rFonts w:hint="eastAsia" w:ascii="宋体" w:hAnsi="宋体"/>
          <w:color w:val="000000"/>
          <w:sz w:val="24"/>
          <w:szCs w:val="24"/>
          <w:highlight w:val="none"/>
        </w:rPr>
        <w:t xml:space="preserve">签订、履行而</w:t>
      </w:r>
      <w:r>
        <w:rPr>
          <w:rFonts w:ascii="宋体" w:hAnsi="宋体"/>
          <w:color w:val="000000"/>
          <w:sz w:val="24"/>
          <w:szCs w:val="24"/>
          <w:highlight w:val="none"/>
        </w:rPr>
        <w:t xml:space="preserve">发生的一切争议，应通过</w:t>
      </w:r>
      <w:r>
        <w:rPr>
          <w:rFonts w:hint="eastAsia" w:ascii="宋体" w:hAnsi="宋体"/>
          <w:color w:val="000000"/>
          <w:sz w:val="24"/>
          <w:szCs w:val="24"/>
          <w:highlight w:val="none"/>
        </w:rPr>
        <w:t xml:space="preserve">友好</w:t>
      </w:r>
      <w:r>
        <w:rPr>
          <w:rFonts w:ascii="宋体" w:hAnsi="宋体"/>
          <w:color w:val="000000"/>
          <w:sz w:val="24"/>
          <w:szCs w:val="24"/>
          <w:highlight w:val="none"/>
        </w:rPr>
        <w:t xml:space="preserve">协商解决。如协商不</w:t>
      </w:r>
      <w:r>
        <w:rPr>
          <w:rFonts w:ascii="宋体" w:hAnsi="宋体"/>
          <w:color w:val="000000"/>
          <w:sz w:val="24"/>
          <w:szCs w:val="24"/>
          <w:highlight w:val="none"/>
        </w:rPr>
      </w:r>
      <w:r/>
    </w:p>
    <w:p>
      <w:pPr>
        <w:pStyle w:val="869"/>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成</w:t>
      </w:r>
      <w:r>
        <w:rPr>
          <w:rFonts w:hint="eastAsia" w:ascii="宋体" w:hAnsi="宋体"/>
          <w:color w:val="000000"/>
          <w:sz w:val="24"/>
          <w:szCs w:val="24"/>
          <w:highlight w:val="none"/>
        </w:rPr>
        <w:t xml:space="preserve">由甲方住所地人民</w:t>
      </w:r>
      <w:r>
        <w:rPr>
          <w:rFonts w:ascii="宋体" w:hAnsi="宋体"/>
          <w:color w:val="000000"/>
          <w:sz w:val="24"/>
          <w:szCs w:val="24"/>
          <w:highlight w:val="none"/>
        </w:rPr>
        <w:t xml:space="preserve">法院</w:t>
      </w:r>
      <w:r>
        <w:rPr>
          <w:rFonts w:hint="eastAsia" w:ascii="宋体" w:hAnsi="宋体"/>
          <w:color w:val="000000"/>
          <w:sz w:val="24"/>
          <w:szCs w:val="24"/>
          <w:highlight w:val="none"/>
        </w:rPr>
        <w:t xml:space="preserve">管辖。</w:t>
      </w:r>
      <w:r>
        <w:rPr>
          <w:rFonts w:hint="eastAsia" w:ascii="宋体" w:hAnsi="宋体"/>
          <w:color w:val="000000"/>
          <w:sz w:val="24"/>
          <w:szCs w:val="24"/>
          <w:highlight w:val="none"/>
        </w:rPr>
      </w:r>
      <w:r/>
    </w:p>
    <w:p>
      <w:pPr>
        <w:pStyle w:val="869"/>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、合同生效及其它</w:t>
      </w:r>
      <w:r>
        <w:rPr>
          <w:rFonts w:ascii="宋体" w:hAnsi="宋体" w:cs="Courier New"/>
          <w:b/>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 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rPr>
          <w:rFonts w:ascii="宋体" w:hAnsi="宋体" w:cs="Courier New"/>
          <w:color w:val="000000"/>
          <w:sz w:val="24"/>
          <w:szCs w:val="24"/>
          <w:highlight w:val="none"/>
        </w:rPr>
      </w:r>
      <w:r/>
    </w:p>
    <w:p>
      <w:pPr>
        <w:pStyle w:val="869"/>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 本合同未尽事宜，遵照</w:t>
      </w:r>
      <w:r>
        <w:rPr>
          <w:rFonts w:hint="eastAsia" w:ascii="宋体" w:hAnsi="宋体" w:cs="Courier New"/>
          <w:color w:val="000000"/>
          <w:sz w:val="24"/>
          <w:szCs w:val="24"/>
          <w:highlight w:val="none"/>
        </w:rPr>
        <w:t xml:space="preserve">中华人民共和国现行法律法规</w:t>
      </w:r>
      <w:r>
        <w:rPr>
          <w:rFonts w:ascii="宋体" w:hAnsi="宋体" w:cs="Courier New"/>
          <w:color w:val="000000"/>
          <w:sz w:val="24"/>
          <w:szCs w:val="24"/>
          <w:highlight w:val="none"/>
        </w:rPr>
        <w:t xml:space="preserve">有关条文执行。</w:t>
      </w:r>
      <w:r>
        <w:rPr>
          <w:rFonts w:ascii="宋体" w:hAnsi="宋体" w:cs="Courier New"/>
          <w:color w:val="000000"/>
          <w:sz w:val="24"/>
          <w:szCs w:val="24"/>
          <w:highlight w:val="none"/>
        </w:rPr>
      </w:r>
      <w:r/>
    </w:p>
    <w:p>
      <w:pPr>
        <w:pStyle w:val="869"/>
        <w:ind w:left="480" w:hanging="48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两</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乙方各执一份。</w:t>
      </w:r>
      <w:r>
        <w:rPr>
          <w:rFonts w:ascii="宋体" w:hAnsi="宋体" w:cs="Courier New"/>
          <w:color w:val="000000"/>
          <w:sz w:val="24"/>
          <w:szCs w:val="24"/>
          <w:highlight w:val="none"/>
        </w:rPr>
      </w:r>
      <w:r/>
    </w:p>
    <w:p>
      <w:pPr>
        <w:pStyle w:val="869"/>
        <w:ind w:left="480" w:hanging="480"/>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甲方：                        乙方： </w:t>
      </w:r>
      <w:r>
        <w:rPr>
          <w:rFonts w:ascii="宋体" w:hAnsi="宋体" w:cs="Courier New"/>
          <w:color w:val="000000"/>
          <w:sz w:val="24"/>
          <w:szCs w:val="24"/>
          <w:highlight w:val="none"/>
        </w:rPr>
      </w:r>
      <w:r/>
    </w:p>
    <w:p>
      <w:pPr>
        <w:pStyle w:val="869"/>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869"/>
        <w:spacing w:before="120" w:after="120" w:line="0" w:lineRule="atLeast"/>
        <w:rPr>
          <w:rFonts w:ascii="宋体" w:hAnsi="宋体" w:cs="Courier New"/>
          <w:color w:val="000000"/>
          <w:sz w:val="24"/>
          <w:szCs w:val="24"/>
          <w:highlight w:val="none"/>
        </w:rPr>
      </w:pP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869"/>
        <w:ind w:firstLine="240"/>
        <w:spacing w:before="120" w:after="120" w:line="0" w:lineRule="atLeast"/>
        <w:rPr>
          <w:rFonts w:hint="eastAsia" w:ascii="宋体" w:hAnsi="Courier New" w:cs="Courier New"/>
          <w:color w:val="000000"/>
          <w:szCs w:val="21"/>
          <w:highlight w:val="none"/>
        </w:rPr>
      </w:pPr>
      <w:r>
        <w:rPr>
          <w:rFonts w:hint="eastAsia" w:ascii="宋体" w:hAnsi="宋体" w:cs="Courier New"/>
          <w:color w:val="000000"/>
          <w:sz w:val="24"/>
          <w:szCs w:val="24"/>
          <w:highlight w:val="none"/>
        </w:rPr>
        <w:t xml:space="preserve">联系电话：                    联系电话：          </w:t>
      </w:r>
      <w:r>
        <w:rPr>
          <w:rFonts w:hint="eastAsia" w:ascii="宋体" w:hAnsi="Courier New" w:cs="Courier New"/>
          <w:color w:val="000000"/>
          <w:szCs w:val="21"/>
          <w:highlight w:val="none"/>
        </w:rPr>
      </w:r>
      <w:r/>
    </w:p>
    <w:p>
      <w:pPr>
        <w:pStyle w:val="869"/>
        <w:jc w:val="center"/>
        <w:spacing w:before="120" w:after="120" w:line="0" w:lineRule="atLeast"/>
        <w:rPr>
          <w:rFonts w:hint="eastAsia" w:ascii="宋体" w:hAnsi="宋体" w:cs="Courier New"/>
          <w:color w:val="000000"/>
          <w:sz w:val="24"/>
          <w:szCs w:val="24"/>
          <w:highlight w:val="none"/>
        </w:rPr>
      </w:pPr>
      <w:r>
        <w:rPr>
          <w:rFonts w:hint="eastAsia" w:ascii="宋体" w:hAnsi="Courier New" w:cs="Courier New"/>
          <w:color w:val="000000"/>
          <w:szCs w:val="21"/>
          <w:highlight w:val="none"/>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rPr>
      </w:r>
      <w:r/>
    </w:p>
    <w:p>
      <w:pPr>
        <w:pStyle w:val="869"/>
        <w:jc w:val="center"/>
        <w:spacing w:before="120" w:after="120" w:line="0" w:lineRule="atLeas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909"/>
        <w:jc w:val="center"/>
        <w:spacing w:before="120" w:after="120" w:line="0" w:lineRule="atLeas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rPr>
          <w:rFonts w:ascii="宋体" w:hAnsi="宋体" w:cs="Courier New"/>
          <w:color w:val="000000"/>
          <w:sz w:val="24"/>
          <w:szCs w:val="24"/>
          <w:highlight w:val="none"/>
        </w:rPr>
      </w:r>
      <w:r/>
    </w:p>
    <w:p>
      <w:pPr>
        <w:pStyle w:val="909"/>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p>
    <w:p>
      <w:pPr>
        <w:pStyle w:val="909"/>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p>
    <w:p>
      <w:pPr>
        <w:pStyle w:val="909"/>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p>
    <w:p>
      <w:pPr>
        <w:pStyle w:val="909"/>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p>
    <w:p>
      <w:pPr>
        <w:pStyle w:val="909"/>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p>
    <w:p>
      <w:pPr>
        <w:pStyle w:val="909"/>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p>
    <w:p>
      <w:pPr>
        <w:pStyle w:val="909"/>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t xml:space="preserve">第四章 采购需求</w:t>
      </w:r>
      <w:r>
        <w:rPr>
          <w:rFonts w:hint="eastAsia" w:ascii="黑体" w:eastAsia="黑体"/>
          <w:bCs/>
          <w:color w:val="000000"/>
          <w:sz w:val="44"/>
          <w:highlight w:val="none"/>
        </w:rPr>
      </w:r>
      <w:r/>
    </w:p>
    <w:p>
      <w:pPr>
        <w:pStyle w:val="909"/>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p>
    <w:p>
      <w:pPr>
        <w:pStyle w:val="869"/>
        <w:spacing w:line="0" w:lineRule="atLeast"/>
        <w:rPr>
          <w:rFonts w:hint="eastAsia"/>
          <w:color w:val="000000"/>
          <w:highlight w:val="none"/>
        </w:rPr>
      </w:pPr>
      <w:r>
        <w:rPr>
          <w:rFonts w:hint="eastAsia" w:cs="宋体"/>
          <w:i/>
          <w:iCs/>
          <w:color w:val="000000"/>
          <w:sz w:val="24"/>
          <w:szCs w:val="24"/>
          <w:highlight w:val="none"/>
          <w:u w:val="single"/>
        </w:rPr>
        <w:t xml:space="preserve">本招标文件中所有斜体下划线部分为实质性条款，如不满足，则为无效投标。</w:t>
      </w:r>
      <w:r>
        <w:rPr>
          <w:rFonts w:hint="eastAsia"/>
          <w:color w:val="000000"/>
          <w:highlight w:val="none"/>
        </w:rPr>
      </w:r>
      <w:r/>
    </w:p>
    <w:p>
      <w:pPr>
        <w:pStyle w:val="869"/>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69"/>
        <w:spacing w:line="0" w:lineRule="atLeast"/>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hint="eastAsia" w:ascii="宋体" w:hAnsi="宋体" w:eastAsia="宋体"/>
          <w:b/>
          <w:color w:val="000000"/>
          <w:sz w:val="24"/>
          <w:szCs w:val="24"/>
          <w:highlight w:val="none"/>
          <w:lang w:eastAsia="zh-CN"/>
        </w:rPr>
      </w:r>
      <w:r/>
    </w:p>
    <w:p>
      <w:pPr>
        <w:pStyle w:val="869"/>
        <w:spacing w:line="0" w:lineRule="atLeast"/>
        <w:rPr>
          <w:rFonts w:ascii="宋体" w:hAnsi="宋体"/>
          <w:b/>
          <w:color w:val="000000"/>
          <w:sz w:val="24"/>
          <w:szCs w:val="24"/>
          <w:highlight w:val="none"/>
        </w:rPr>
      </w:pPr>
      <w:r>
        <w:rPr>
          <w:rFonts w:ascii="宋体" w:hAnsi="宋体"/>
          <w:b/>
          <w:color w:val="000000"/>
          <w:sz w:val="24"/>
          <w:szCs w:val="24"/>
          <w:highlight w:val="none"/>
        </w:rPr>
      </w:r>
      <w:r/>
    </w:p>
    <w:tbl>
      <w:tblPr>
        <w:tblW w:w="372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96"/>
        <w:gridCol w:w="4296"/>
        <w:gridCol w:w="3576"/>
      </w:tblGrid>
      <w:tr>
        <w:trPr>
          <w:trHeight w:val="4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bidi="ar"/>
              </w:rPr>
              <w:t xml:space="preserve">序号</w:t>
            </w:r>
            <w:r>
              <w:rPr>
                <w:rFonts w:hint="eastAsia" w:ascii="宋体" w:hAnsi="宋体" w:eastAsia="宋体" w:cs="Times New Roman"/>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采购标的</w:t>
            </w:r>
            <w:r>
              <w:rPr>
                <w:rFonts w:hint="eastAsia" w:ascii="宋体" w:hAnsi="宋体" w:eastAsia="宋体" w:cs="Times New Roman"/>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rPr>
              <w:t xml:space="preserve">对应中小企业划分标准所属行业</w:t>
            </w:r>
            <w:r>
              <w:rPr>
                <w:rFonts w:hint="eastAsia" w:ascii="宋体" w:hAnsi="宋体" w:eastAsia="宋体" w:cs="Times New Roman"/>
                <w:b w:val="0"/>
                <w:bCs w:val="0"/>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1</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bidi="ar"/>
              </w:rPr>
              <w:t xml:space="preserve">长焦投影机</w:t>
            </w:r>
            <w:r>
              <w:rPr>
                <w:rFonts w:hint="eastAsia" w:ascii="宋体" w:hAnsi="宋体" w:eastAsia="宋体" w:cs="Times New Roman"/>
                <w:color w:val="000000"/>
                <w:sz w:val="24"/>
                <w:szCs w:val="24"/>
                <w:highlight w:val="none"/>
                <w:lang w:val="en-US" w:eastAsia="zh-CN" w:bidi="ar"/>
              </w:rPr>
              <w:t xml:space="preserve">(核心产品)</w:t>
            </w:r>
            <w:r>
              <w:rPr>
                <w:rFonts w:ascii="宋体" w:hAnsi="宋体"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eastAsia="zh-CN"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2</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超短焦投影机</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3</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bidi="ar"/>
              </w:rPr>
              <w:t xml:space="preserve">电脑</w:t>
            </w:r>
            <w:r>
              <w:rPr>
                <w:rFonts w:hint="eastAsia" w:ascii="宋体" w:hAnsi="宋体" w:eastAsia="宋体" w:cs="Times New Roman"/>
                <w:color w:val="000000"/>
                <w:sz w:val="24"/>
                <w:szCs w:val="24"/>
                <w:highlight w:val="none"/>
                <w:lang w:eastAsia="zh-CN" w:bidi="ar"/>
              </w:rPr>
              <w:t xml:space="preserve">（</w:t>
            </w:r>
            <w:r>
              <w:rPr>
                <w:rFonts w:hint="eastAsia" w:ascii="宋体" w:hAnsi="宋体" w:eastAsia="宋体" w:cs="Times New Roman"/>
                <w:color w:val="000000"/>
                <w:sz w:val="24"/>
                <w:szCs w:val="24"/>
                <w:highlight w:val="none"/>
                <w:lang w:val="en-US" w:eastAsia="zh-CN" w:bidi="ar"/>
              </w:rPr>
              <w:t xml:space="preserve">含主机、显示器、虚拟化桌面</w:t>
            </w:r>
            <w:r>
              <w:rPr>
                <w:rFonts w:hint="eastAsia" w:ascii="宋体" w:hAnsi="宋体" w:eastAsia="宋体" w:cs="Times New Roman"/>
                <w:color w:val="000000"/>
                <w:sz w:val="24"/>
                <w:szCs w:val="24"/>
                <w:highlight w:val="none"/>
                <w:lang w:eastAsia="zh-CN" w:bidi="ar"/>
              </w:rPr>
              <w:t xml:space="preserve">）</w:t>
            </w:r>
            <w:r>
              <w:rPr>
                <w:rFonts w:hint="eastAsia" w:ascii="宋体" w:hAnsi="宋体" w:eastAsia="宋体" w:cs="Times New Roman"/>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4</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多媒体设备柜</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5</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网络中控及控制面板1</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6</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网络中控及控制面板2</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7</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扩音设备1</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8</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扩音设备2</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9</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虚拟化服务器</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10</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控制平台服务器</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11</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商业显示屏1</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12</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pStyle w:val="8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bidi="ar"/>
              </w:rPr>
              <w:t xml:space="preserve">商业显示屏2</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tcPr>
          <w:p>
            <w:pPr>
              <w:pStyle w:val="869"/>
              <w:jc w:val="center"/>
              <w:widowControl/>
              <w:rPr>
                <w:rFonts w:hint="eastAsia" w:ascii="宋体" w:hAnsi="宋体" w:eastAsia="宋体" w:cs="Times New Roman"/>
                <w:color w:val="000000"/>
                <w:sz w:val="24"/>
                <w:szCs w:val="24"/>
                <w:highlight w:val="none"/>
                <w:lang w:bidi="ar"/>
              </w:rPr>
            </w:pPr>
            <w:r>
              <w:rPr>
                <w:rFonts w:hint="eastAsia" w:ascii="宋体" w:hAnsi="宋体" w:eastAsia="宋体" w:cs="Times New Roman"/>
                <w:color w:val="000000"/>
                <w:sz w:val="24"/>
                <w:szCs w:val="24"/>
                <w:highlight w:val="none"/>
                <w:lang w:val="en-US" w:eastAsia="zh-CN" w:bidi="ar"/>
              </w:rPr>
              <w:t xml:space="preserve">工业</w:t>
            </w:r>
            <w:r>
              <w:rPr>
                <w:rFonts w:hint="eastAsia" w:ascii="宋体" w:hAnsi="宋体" w:eastAsia="宋体" w:cs="Times New Roman"/>
                <w:color w:val="000000"/>
                <w:sz w:val="24"/>
                <w:szCs w:val="24"/>
                <w:highlight w:val="none"/>
                <w:lang w:bidi="ar"/>
              </w:rPr>
            </w:r>
            <w:r/>
          </w:p>
        </w:tc>
      </w:tr>
    </w:tbl>
    <w:p>
      <w:pPr>
        <w:pStyle w:val="869"/>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69"/>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1.项目概述及总体要求</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1.1需求概述</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根据学校目前规划，白马校区建设多媒体教室85间，将参考新庄校区多媒体教学系统建设的各项功能进行建设，满足学校在白马校区进行日常教学的需求。</w:t>
      </w:r>
      <w:r>
        <w:rPr>
          <w:rFonts w:cs="宋体"/>
          <w:color w:val="000000"/>
          <w:sz w:val="24"/>
          <w:szCs w:val="24"/>
          <w:highlight w:val="none"/>
        </w:rPr>
      </w:r>
      <w:r/>
    </w:p>
    <w:p>
      <w:pPr>
        <w:pStyle w:val="869"/>
        <w:ind w:firstLine="480"/>
        <w:widowControl/>
        <w:rPr>
          <w:rFonts w:cs="宋体"/>
          <w:color w:val="000000"/>
          <w:sz w:val="24"/>
          <w:szCs w:val="24"/>
          <w:highlight w:val="none"/>
        </w:rPr>
      </w:pPr>
      <w:r>
        <w:rPr>
          <w:rFonts w:hint="eastAsia" w:cs="宋体"/>
          <w:color w:val="000000"/>
          <w:sz w:val="24"/>
          <w:szCs w:val="24"/>
          <w:highlight w:val="none"/>
        </w:rPr>
        <w:t xml:space="preserve">1.2主要组成部分及基本功能要求</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1）控制系统</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主要包括网络中控、液晶控制面板（包含读卡器、IP呼叫）等。</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网络中控系统可采用两种控制方式执行开/关机操作：</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(1)扫动态二维码或反扫二维码身份认证，使用完毕后可一步操作自动关机；</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(2)插/拔实体卡方式控制，插卡开机、拔卡关机，使用南京林业大学校园一卡通卡。</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系统须与南京林业大学校园一卡通平台实现对接。</w:t>
      </w:r>
      <w:r>
        <w:rPr>
          <w:rFonts w:hint="eastAsia"/>
          <w:color w:val="000000"/>
          <w:sz w:val="24"/>
          <w:szCs w:val="24"/>
          <w:highlight w:val="none"/>
        </w:rPr>
        <w:t xml:space="preserve">（对接</w:t>
      </w:r>
      <w:r>
        <w:rPr>
          <w:rFonts w:hint="eastAsia"/>
          <w:color w:val="000000"/>
          <w:sz w:val="24"/>
          <w:szCs w:val="24"/>
          <w:highlight w:val="none"/>
          <w:lang w:val="en-US" w:eastAsia="zh-CN"/>
        </w:rPr>
        <w:t xml:space="preserve">材料见附件</w:t>
      </w:r>
      <w:r>
        <w:rPr>
          <w:rFonts w:hint="eastAsia"/>
          <w:color w:val="000000"/>
          <w:sz w:val="24"/>
          <w:szCs w:val="24"/>
          <w:highlight w:val="none"/>
        </w:rPr>
        <w:t xml:space="preserve">）</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2）显示系统</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主要包括激光投影设备、幕布、画框幕布等。</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(1)6间大教室每间安装2台激光超短焦投影机，2块150寸画框幕布，每间教室中间位置配置98寸或86寸辅助显示屏2块。</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(2)79间教室每间安装1台激光长焦投影机，1块120寸电动幕布。</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要求：需要结合教室的黑板进行安装施工，尤其是6间大教室的画框幕布施工，各投标商要充分考虑与黑板的衔接安装，所有85间教室与黑板配合施工过程中产生的费用需要包含在本次项目内。</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3）扩声系统</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(1)6间大教室：每间教室配置1台数字音频处理器，3支吊麦，8只音箱，1套无线话筒，1个充电底座；</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(2)79间教室：每间教室配置1台数字音频处理器，1支吊麦，2只音箱，1套无线话筒，1个充电底座。</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4）其它设备</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主要包括PC机（含虚拟化桌面）、多媒体讲台等。后端管理中心配置相应的管理服务器及虚拟化服务器。（数量详见“采购配置要求”）</w:t>
      </w:r>
      <w:r>
        <w:rPr>
          <w:rFonts w:cs="宋体"/>
          <w:color w:val="000000"/>
          <w:sz w:val="24"/>
          <w:szCs w:val="24"/>
          <w:highlight w:val="none"/>
        </w:rPr>
      </w:r>
      <w:r/>
    </w:p>
    <w:p>
      <w:pPr>
        <w:pStyle w:val="869"/>
        <w:ind w:firstLine="480"/>
        <w:widowControl/>
        <w:rPr>
          <w:rFonts w:cs="宋体"/>
          <w:color w:val="000000"/>
          <w:sz w:val="24"/>
          <w:szCs w:val="24"/>
          <w:highlight w:val="none"/>
        </w:rPr>
      </w:pPr>
      <w:r>
        <w:rPr>
          <w:rFonts w:hint="eastAsia" w:cs="宋体"/>
          <w:color w:val="000000"/>
          <w:sz w:val="24"/>
          <w:szCs w:val="24"/>
          <w:highlight w:val="none"/>
        </w:rPr>
        <w:t xml:space="preserve">1.2 总体要求</w:t>
      </w:r>
      <w:r>
        <w:rPr>
          <w:rFonts w:cs="宋体"/>
          <w:color w:val="000000"/>
          <w:sz w:val="24"/>
          <w:szCs w:val="24"/>
          <w:highlight w:val="none"/>
        </w:rPr>
      </w:r>
      <w:r/>
    </w:p>
    <w:p>
      <w:pPr>
        <w:pStyle w:val="896"/>
        <w:rPr>
          <w:rFonts w:hint="eastAsia" w:cs="宋体"/>
          <w:iCs/>
          <w:color w:val="000000"/>
          <w:sz w:val="24"/>
          <w:szCs w:val="24"/>
          <w:highlight w:val="none"/>
        </w:rPr>
      </w:pPr>
      <w:r>
        <w:rPr>
          <w:rFonts w:hint="eastAsia"/>
          <w:color w:val="000000"/>
          <w:highlight w:val="none"/>
        </w:rPr>
        <w:t xml:space="preserve">   </w:t>
      </w:r>
      <w:r>
        <w:rPr>
          <w:rFonts w:hint="eastAsia"/>
          <w:iCs/>
          <w:color w:val="000000"/>
          <w:sz w:val="24"/>
          <w:szCs w:val="24"/>
          <w:highlight w:val="none"/>
        </w:rPr>
        <w:t xml:space="preserve">（1）投标人必须在投标文件中提供承诺函并加盖投标人公章，承诺中标后签订合同前提供</w:t>
      </w:r>
      <w:r>
        <w:rPr>
          <w:rFonts w:hint="eastAsia" w:cs="宋体"/>
          <w:iCs/>
          <w:color w:val="000000"/>
          <w:sz w:val="24"/>
          <w:szCs w:val="24"/>
          <w:highlight w:val="none"/>
        </w:rPr>
        <w:t xml:space="preserve">本项目整体系统（包括硬件、软件等）最低五年质保服务（至少</w:t>
      </w:r>
      <w:r>
        <w:rPr>
          <w:rFonts w:cs="宋体"/>
          <w:iCs/>
          <w:color w:val="000000"/>
          <w:sz w:val="24"/>
          <w:szCs w:val="24"/>
          <w:highlight w:val="none"/>
        </w:rPr>
        <w:t xml:space="preserve">2</w:t>
      </w:r>
      <w:r>
        <w:rPr>
          <w:rFonts w:hint="eastAsia" w:cs="宋体"/>
          <w:iCs/>
          <w:color w:val="000000"/>
          <w:sz w:val="24"/>
          <w:szCs w:val="24"/>
          <w:highlight w:val="none"/>
        </w:rPr>
        <w:t xml:space="preserve">名驻场人员），提供本项目产品：长焦投影机、超短焦投影机、网络中控（含控制面板）、扩音系统</w:t>
      </w:r>
      <w:r>
        <w:rPr>
          <w:rFonts w:cs="宋体"/>
          <w:iCs/>
          <w:color w:val="000000"/>
          <w:sz w:val="24"/>
          <w:szCs w:val="24"/>
          <w:highlight w:val="none"/>
        </w:rPr>
        <w:t xml:space="preserve">1</w:t>
      </w:r>
      <w:r>
        <w:rPr>
          <w:rFonts w:hint="eastAsia" w:cs="宋体"/>
          <w:iCs/>
          <w:color w:val="000000"/>
          <w:sz w:val="24"/>
          <w:szCs w:val="24"/>
          <w:highlight w:val="none"/>
        </w:rPr>
        <w:t xml:space="preserve">、扩音系统</w:t>
      </w:r>
      <w:r>
        <w:rPr>
          <w:rFonts w:cs="宋体"/>
          <w:iCs/>
          <w:color w:val="000000"/>
          <w:sz w:val="24"/>
          <w:szCs w:val="24"/>
          <w:highlight w:val="none"/>
        </w:rPr>
        <w:t xml:space="preserve">2</w:t>
      </w:r>
      <w:r>
        <w:rPr>
          <w:rFonts w:hint="eastAsia" w:cs="宋体"/>
          <w:iCs/>
          <w:color w:val="000000"/>
          <w:sz w:val="24"/>
          <w:szCs w:val="24"/>
          <w:highlight w:val="none"/>
        </w:rPr>
        <w:t xml:space="preserve">、虚拟化桌面、多媒体设备柜，至少5年原厂质保。</w:t>
      </w:r>
      <w:r>
        <w:rPr>
          <w:rFonts w:hint="eastAsia" w:cs="宋体"/>
          <w:iCs/>
          <w:color w:val="000000"/>
          <w:sz w:val="24"/>
          <w:szCs w:val="24"/>
          <w:highlight w:val="none"/>
        </w:rPr>
      </w:r>
      <w:r/>
    </w:p>
    <w:p>
      <w:pPr>
        <w:pStyle w:val="896"/>
        <w:ind w:firstLine="480"/>
        <w:rPr>
          <w:rFonts w:hint="eastAsia" w:ascii="宋体" w:hAnsi="宋体" w:cs="宋体"/>
          <w:i/>
          <w:iCs/>
          <w:color w:val="000000"/>
          <w:szCs w:val="24"/>
          <w:highlight w:val="none"/>
          <w:u w:val="single"/>
        </w:rPr>
      </w:pPr>
      <w:r>
        <w:rPr>
          <w:rFonts w:hint="eastAsia" w:ascii="宋体" w:hAnsi="宋体" w:eastAsia="宋体" w:cs="宋体"/>
          <w:i/>
          <w:iCs/>
          <w:color w:val="000000"/>
          <w:sz w:val="24"/>
          <w:szCs w:val="24"/>
          <w:highlight w:val="none"/>
          <w:u w:val="single"/>
        </w:rPr>
        <w:t xml:space="preserve">（2）投标人必须在投标文件中提供承诺函，并加盖投标人公章。承诺中标后无条件配合学校完成本项目所有系统的信息安全等级保护测评工作，并达到二级及以上要求（“定级依据”参考《教育行业信息系统安全等级保护定级工作指南》，文件在现场勘查时由招标人提供。）</w:t>
      </w:r>
      <w:r>
        <w:rPr>
          <w:rFonts w:hint="eastAsia" w:ascii="宋体" w:hAnsi="宋体" w:cs="宋体"/>
          <w:i/>
          <w:iCs/>
          <w:color w:val="000000"/>
          <w:szCs w:val="24"/>
          <w:highlight w:val="none"/>
          <w:u w:val="single"/>
        </w:rPr>
      </w:r>
      <w:r/>
    </w:p>
    <w:p>
      <w:pPr>
        <w:pStyle w:val="869"/>
        <w:numPr>
          <w:ilvl w:val="0"/>
          <w:numId w:val="0"/>
        </w:numPr>
        <w:ind w:firstLine="480"/>
        <w:rPr>
          <w:rFonts w:hint="eastAsia" w:ascii="宋体" w:hAnsi="宋体" w:cs="宋体"/>
          <w:i/>
          <w:iCs/>
          <w:color w:val="000000"/>
          <w:szCs w:val="24"/>
          <w:highlight w:val="none"/>
          <w:u w:val="single"/>
        </w:rPr>
      </w:pP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投标人提供承诺函并加盖投标人公章，承诺须能与学校现有校园一卡通系统（附件1）对接，实现刷学校校园</w:t>
      </w:r>
      <w:r>
        <w:rPr>
          <w:rFonts w:hint="eastAsia" w:ascii="宋体" w:hAnsi="宋体" w:eastAsia="宋体" w:cs="宋体"/>
          <w:i/>
          <w:iCs/>
          <w:color w:val="000000"/>
          <w:sz w:val="24"/>
          <w:szCs w:val="24"/>
          <w:highlight w:val="none"/>
          <w:u w:val="single"/>
        </w:rPr>
        <w:t xml:space="preserve">卡和扫描虚拟校园卡二维码获取身份信息核验相应权限启动多媒体教学系统设备。校园卡必须为校园一卡通。须能与校园门户系统（附件2）、校园主数据平台（附件3）和教务系统（附件4）以数据库视图方式或者标准接口方式来实现数据对接。学校一卡通系统为北京新中新诚通信息技术股份有限公司金融化一卡通系统，校园门户系统为江苏金智教育信息股份有限公司门户系统，校园主数据平台为江苏金智教育信息股份有限公司主数据平台，教务系统为湖南强智科技发展有限公司教务管理系统。以上系统间对接均不收取对接费用。学校现有系统相关对接文档材料详见附件。</w:t>
      </w:r>
      <w:r>
        <w:rPr>
          <w:rFonts w:hint="eastAsia" w:ascii="宋体" w:hAnsi="宋体" w:cs="宋体"/>
          <w:i/>
          <w:iCs/>
          <w:color w:val="000000"/>
          <w:szCs w:val="24"/>
          <w:highlight w:val="none"/>
          <w:u w:val="single"/>
        </w:rPr>
      </w:r>
      <w:r/>
    </w:p>
    <w:p>
      <w:pPr>
        <w:pStyle w:val="869"/>
        <w:ind w:firstLine="480"/>
        <w:rPr>
          <w:rFonts w:cs="宋体"/>
          <w:i/>
          <w:iCs/>
          <w:color w:val="000000"/>
          <w:sz w:val="24"/>
          <w:szCs w:val="24"/>
          <w:highlight w:val="none"/>
          <w:u w:val="single"/>
        </w:rPr>
      </w:pPr>
      <w:r>
        <w:rPr>
          <w:rFonts w:hint="eastAsia"/>
          <w:i/>
          <w:iCs/>
          <w:color w:val="000000"/>
          <w:sz w:val="24"/>
          <w:szCs w:val="24"/>
          <w:highlight w:val="none"/>
          <w:u w:val="single"/>
        </w:rPr>
        <w:t xml:space="preserve">（</w:t>
      </w:r>
      <w:r>
        <w:rPr>
          <w:i/>
          <w:iCs/>
          <w:color w:val="000000"/>
          <w:sz w:val="24"/>
          <w:szCs w:val="24"/>
          <w:highlight w:val="none"/>
          <w:u w:val="single"/>
        </w:rPr>
        <w:t xml:space="preserve">4</w:t>
      </w:r>
      <w:r>
        <w:rPr>
          <w:rFonts w:hint="eastAsia"/>
          <w:i/>
          <w:iCs/>
          <w:color w:val="000000"/>
          <w:sz w:val="24"/>
          <w:szCs w:val="24"/>
          <w:highlight w:val="none"/>
          <w:u w:val="single"/>
        </w:rPr>
        <w:t xml:space="preserve">）投标人必须在投标文件中提供承诺函并加盖投标人公章，承诺</w:t>
      </w:r>
      <w:r>
        <w:rPr>
          <w:rFonts w:hint="eastAsia" w:cs="宋体"/>
          <w:i/>
          <w:iCs/>
          <w:color w:val="000000"/>
          <w:sz w:val="24"/>
          <w:szCs w:val="24"/>
          <w:highlight w:val="none"/>
          <w:u w:val="single"/>
        </w:rPr>
        <w:t xml:space="preserve">本项目验收前须提供检测结果合格的环境检测报告（检测费用由投标人承担），否则将不予验收。</w:t>
      </w:r>
      <w:r>
        <w:rPr>
          <w:rFonts w:cs="宋体"/>
          <w:i/>
          <w:iCs/>
          <w:color w:val="000000"/>
          <w:sz w:val="24"/>
          <w:szCs w:val="24"/>
          <w:highlight w:val="none"/>
          <w:u w:val="single"/>
        </w:rPr>
      </w:r>
      <w:r/>
    </w:p>
    <w:p>
      <w:pPr>
        <w:pStyle w:val="869"/>
        <w:ind w:firstLine="480"/>
        <w:rPr>
          <w:rFonts w:hint="eastAsia" w:cs="宋体"/>
          <w:i/>
          <w:iCs/>
          <w:color w:val="000000"/>
          <w:sz w:val="24"/>
          <w:szCs w:val="24"/>
          <w:highlight w:val="none"/>
          <w:u w:val="single"/>
        </w:rPr>
      </w:pPr>
      <w:r>
        <w:rPr>
          <w:rFonts w:hint="eastAsia" w:cs="宋体"/>
          <w:i/>
          <w:iCs/>
          <w:color w:val="000000"/>
          <w:sz w:val="24"/>
          <w:szCs w:val="24"/>
          <w:highlight w:val="none"/>
          <w:u w:val="single"/>
        </w:rPr>
        <w:t xml:space="preserve">（</w:t>
      </w:r>
      <w:r>
        <w:rPr>
          <w:rFonts w:cs="宋体"/>
          <w:i/>
          <w:iCs/>
          <w:color w:val="000000"/>
          <w:sz w:val="24"/>
          <w:szCs w:val="24"/>
          <w:highlight w:val="none"/>
          <w:u w:val="single"/>
        </w:rPr>
        <w:t xml:space="preserve">5</w:t>
      </w:r>
      <w:r>
        <w:rPr>
          <w:rFonts w:hint="eastAsia" w:cs="宋体"/>
          <w:i/>
          <w:iCs/>
          <w:color w:val="000000"/>
          <w:sz w:val="24"/>
          <w:szCs w:val="24"/>
          <w:highlight w:val="none"/>
          <w:u w:val="single"/>
        </w:rPr>
        <w:t xml:space="preserve">）本项目在施工期间，需先将不同类型的教室建设样板间（共三种类型教室，涉及四间教室），提供承诺函并加盖投标供应商公章。</w:t>
      </w:r>
      <w:r>
        <w:rPr>
          <w:rFonts w:hint="eastAsia" w:cs="宋体"/>
          <w:i/>
          <w:iCs/>
          <w:color w:val="000000"/>
          <w:sz w:val="24"/>
          <w:szCs w:val="24"/>
          <w:highlight w:val="none"/>
          <w:u w:val="singl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1.3 设备的具体安装位置由采购人在中标后告知中标人。</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1.4项目技术、实施、售后方案等要求</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项目技术方案：</w:t>
      </w:r>
      <w:r>
        <w:rPr>
          <w:rFonts w:cs="宋体"/>
          <w:color w:val="000000"/>
          <w:sz w:val="24"/>
          <w:szCs w:val="24"/>
          <w:highlight w:val="none"/>
        </w:rPr>
        <w:t xml:space="preserve">深化技术方案要求。投标人根据建设要求、现场勘察及设备配置等制订深化技术方案，方案应能满足国内最新、最先进产品、质量可靠、科学合理、安全可靠、功能齐全、扩展性强、经济性好、方便使用，使本次建设的教室能充分满足当前及今后一段时间的需要，同时仍留有将来升级改造的余地。有针对性的提供深化细化的系统拓扑图、教室设备布局图、施工管线图</w:t>
      </w:r>
      <w:r>
        <w:rPr>
          <w:rFonts w:hint="eastAsia" w:cs="宋体"/>
          <w:color w:val="000000"/>
          <w:sz w:val="24"/>
          <w:szCs w:val="24"/>
          <w:highlight w:val="none"/>
        </w:rPr>
        <w:t xml:space="preserve">、整体解决方案</w:t>
      </w:r>
      <w:r>
        <w:rPr>
          <w:rFonts w:cs="宋体"/>
          <w:color w:val="000000"/>
          <w:sz w:val="24"/>
          <w:szCs w:val="24"/>
          <w:highlight w:val="none"/>
        </w:rPr>
        <w:t xml:space="preserve">等，方案及相关图纸应科学合理切实可行，符合本项目各项建设要求。</w:t>
      </w:r>
      <w:r>
        <w:rPr>
          <w:rFonts w:cs="宋体"/>
          <w:color w:val="000000"/>
          <w:sz w:val="24"/>
          <w:szCs w:val="24"/>
          <w:highlight w:val="none"/>
        </w:rPr>
      </w:r>
      <w:r/>
    </w:p>
    <w:p>
      <w:pPr>
        <w:pStyle w:val="869"/>
        <w:ind w:firstLine="480"/>
        <w:rPr>
          <w:rFonts w:cs="宋体"/>
          <w:color w:val="000000"/>
          <w:sz w:val="24"/>
          <w:szCs w:val="24"/>
          <w:highlight w:val="none"/>
        </w:rPr>
      </w:pPr>
      <w:r>
        <w:rPr>
          <w:rFonts w:cs="宋体"/>
          <w:color w:val="000000"/>
          <w:sz w:val="24"/>
          <w:szCs w:val="24"/>
          <w:highlight w:val="none"/>
        </w:rPr>
        <w:t xml:space="preserve">项目实施</w:t>
      </w:r>
      <w:r>
        <w:rPr>
          <w:rFonts w:hint="eastAsia" w:cs="宋体"/>
          <w:color w:val="000000"/>
          <w:sz w:val="24"/>
          <w:szCs w:val="24"/>
          <w:highlight w:val="none"/>
        </w:rPr>
        <w:t xml:space="preserve">方案：</w:t>
      </w:r>
      <w:r>
        <w:rPr>
          <w:rFonts w:cs="宋体"/>
          <w:color w:val="000000"/>
          <w:sz w:val="24"/>
          <w:szCs w:val="24"/>
          <w:highlight w:val="none"/>
        </w:rPr>
        <w:t xml:space="preserve">投标人应根据项目技术方案及交付时间要求等制订具体的项目实施方案，包括全部设备软件的安装部署、联合调试方案、供货及安装各节点时间进度计划、人员配置安排、现场文明施工等。实施方案应做到科学可行，并有针对性，服从采购人安全管理要求，确保在规定的交货安装时限内高质量完成。</w:t>
      </w:r>
      <w:r>
        <w:rPr>
          <w:rFonts w:cs="宋体"/>
          <w:color w:val="000000"/>
          <w:sz w:val="24"/>
          <w:szCs w:val="24"/>
          <w:highlight w:val="none"/>
        </w:rPr>
      </w:r>
      <w:r/>
    </w:p>
    <w:p>
      <w:pPr>
        <w:pStyle w:val="869"/>
        <w:ind w:firstLine="480"/>
        <w:rPr>
          <w:rFonts w:cs="宋体"/>
          <w:color w:val="000000"/>
          <w:sz w:val="24"/>
          <w:szCs w:val="24"/>
          <w:highlight w:val="none"/>
        </w:rPr>
      </w:pPr>
      <w:r>
        <w:rPr>
          <w:rFonts w:cs="宋体"/>
          <w:color w:val="000000"/>
          <w:sz w:val="24"/>
          <w:szCs w:val="24"/>
          <w:highlight w:val="none"/>
        </w:rPr>
        <w:t xml:space="preserve">项目验收</w:t>
      </w:r>
      <w:r>
        <w:rPr>
          <w:rFonts w:hint="eastAsia" w:cs="宋体"/>
          <w:color w:val="000000"/>
          <w:sz w:val="24"/>
          <w:szCs w:val="24"/>
          <w:highlight w:val="none"/>
        </w:rPr>
        <w:t xml:space="preserve">方案：</w:t>
      </w:r>
      <w:r>
        <w:rPr>
          <w:rFonts w:cs="宋体"/>
          <w:color w:val="000000"/>
          <w:sz w:val="24"/>
          <w:szCs w:val="24"/>
          <w:highlight w:val="none"/>
        </w:rPr>
        <w:t xml:space="preserve">验收方案要体现项目的全过程质量管理，并制定专人或成立验收小组，对包括货物进场、货物安装过程、系统调试等实施验收控制并进行全过程记录，收集包括设备合格证、技术文档等的全套材料，确保货物设备及项目达到招标文件及投标人各项承诺要求。甲方对乙方提交的货物依据采购文件上的技术规格要求和国家有关质量标准进行现场初步验收，外观、说明书必须符合招标文件及投标文件。乙方交</w:t>
      </w:r>
      <w:r>
        <w:rPr>
          <w:rFonts w:cs="宋体"/>
          <w:color w:val="000000"/>
          <w:sz w:val="24"/>
          <w:szCs w:val="24"/>
          <w:highlight w:val="none"/>
        </w:rPr>
        <w:t xml:space="preserve">货前应对产品做出全面检查和对验收文件进行整理，并列出清单，作为甲方收货验收和使用的技术条件依据，检验的结果应随货物交甲方。供应商在项目实施中的材料，进场时将由第三方审计、监理单位进行核对，不能满足招标文件要求的，甲方有权不予验收。甲方对乙方提供的货物在使用前进行调试时，乙方需负责安装并培训甲方的使用操作人员，并协助甲方一起调试，直到符合技术要求，甲方才做最终验收。对技术复杂的货物，甲方可请国家认可的专业检测机构参与初步验收及最终验收，并由其出具质量检测报告。验收时乙方必须在现场，验收完毕后作出验收结果报告。</w:t>
      </w:r>
      <w:r>
        <w:rPr>
          <w:rFonts w:cs="宋体"/>
          <w:color w:val="000000"/>
          <w:sz w:val="24"/>
          <w:szCs w:val="24"/>
          <w:highlight w:val="none"/>
        </w:rPr>
      </w:r>
      <w:r/>
    </w:p>
    <w:p>
      <w:pPr>
        <w:pStyle w:val="869"/>
        <w:ind w:firstLine="480"/>
        <w:rPr>
          <w:rFonts w:cs="宋体"/>
          <w:color w:val="000000"/>
          <w:sz w:val="24"/>
          <w:szCs w:val="24"/>
          <w:highlight w:val="none"/>
        </w:rPr>
      </w:pPr>
      <w:r>
        <w:rPr>
          <w:rFonts w:cs="宋体"/>
          <w:color w:val="000000"/>
          <w:sz w:val="24"/>
          <w:szCs w:val="24"/>
          <w:highlight w:val="none"/>
        </w:rPr>
        <w:t xml:space="preserve">项目培训</w:t>
      </w:r>
      <w:r>
        <w:rPr>
          <w:rFonts w:hint="eastAsia" w:cs="宋体"/>
          <w:color w:val="000000"/>
          <w:sz w:val="24"/>
          <w:szCs w:val="24"/>
          <w:highlight w:val="none"/>
        </w:rPr>
        <w:t xml:space="preserve">方案：</w:t>
      </w:r>
      <w:r>
        <w:rPr>
          <w:rFonts w:cs="宋体"/>
          <w:color w:val="000000"/>
          <w:sz w:val="24"/>
          <w:szCs w:val="24"/>
          <w:highlight w:val="none"/>
        </w:rPr>
        <w:t xml:space="preserve">投标人须提供所需的培训服务，以确保采购人的技术人员及使用老师等能对投标人所提供的设备的设计、日常运作、故障和例行维护、事故处理和解决方面等有全面性的认识和了解。提供并解释有关设计资料、文件、图纸等，以便采购人对整套系统的各个方面都能熟练掌握。提供足够的材料、设备、样本、模型、幻灯、影片以及其它各种需要的培训教材文件，培训课程完成后，投标人应制订使用手册分发给采购人相关技术及使用人员。</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项目售后方案：</w:t>
      </w:r>
      <w:r>
        <w:rPr>
          <w:rFonts w:cs="宋体"/>
          <w:color w:val="000000"/>
          <w:sz w:val="24"/>
          <w:szCs w:val="24"/>
          <w:highlight w:val="none"/>
        </w:rPr>
        <w:t xml:space="preserve">本项目免费质保期为</w:t>
      </w:r>
      <w:r>
        <w:rPr>
          <w:rFonts w:hint="eastAsia" w:cs="宋体"/>
          <w:color w:val="000000"/>
          <w:sz w:val="24"/>
          <w:szCs w:val="24"/>
          <w:highlight w:val="none"/>
        </w:rPr>
        <w:t xml:space="preserve">至少</w:t>
      </w:r>
      <w:r>
        <w:rPr>
          <w:rFonts w:cs="宋体"/>
          <w:color w:val="000000"/>
          <w:sz w:val="24"/>
          <w:szCs w:val="24"/>
          <w:highlight w:val="none"/>
        </w:rPr>
        <w:t xml:space="preserve">五年。提供专业维保人员不少于2人、服务时间不少于</w:t>
      </w:r>
      <w:r>
        <w:rPr>
          <w:rFonts w:hint="eastAsia" w:cs="宋体"/>
          <w:color w:val="000000"/>
          <w:sz w:val="24"/>
          <w:szCs w:val="24"/>
          <w:highlight w:val="none"/>
        </w:rPr>
        <w:t xml:space="preserve">五</w:t>
      </w:r>
      <w:r>
        <w:rPr>
          <w:rFonts w:cs="宋体"/>
          <w:color w:val="000000"/>
          <w:sz w:val="24"/>
          <w:szCs w:val="24"/>
          <w:highlight w:val="none"/>
        </w:rPr>
        <w:t xml:space="preserve">年的驻场服务；驻场期间8</w:t>
      </w:r>
      <w:r>
        <w:rPr>
          <w:rFonts w:hint="eastAsia" w:cs="宋体"/>
          <w:color w:val="000000"/>
          <w:sz w:val="24"/>
          <w:szCs w:val="24"/>
          <w:highlight w:val="none"/>
        </w:rPr>
        <w:t xml:space="preserve">小时内不能排除故障，必须替换故障设备。质保期内经修理后不能复原的，中标方应予以更换，而更换设备的质保期从更换后计算。质保期内同一设备，同一质量问题连续两次维修仍无法正常使用时，中</w:t>
      </w:r>
      <w:r>
        <w:rPr>
          <w:rFonts w:cs="宋体"/>
          <w:color w:val="000000"/>
          <w:sz w:val="24"/>
          <w:szCs w:val="24"/>
          <w:highlight w:val="none"/>
        </w:rPr>
        <w:t xml:space="preserve">标方负责更换同品牌、同型号的新设备。驻场结束后的维护响应时间不超过4个小时，48小时内解决问题。提供定期巡检维护服务，重大活动根据采购人要求提供技术人员保障。投标人应提供自身服务体系、故障解决方案、专业技术人员保障、日常巡检、重大活动保障等服务方案，服务方案应科学合理、具备针对性，并指定专门的售后服务人员，确保投标人中标后提供的各项售后服务能满足招标文件要求。</w:t>
      </w:r>
      <w:r>
        <w:rPr>
          <w:rFonts w:cs="宋体"/>
          <w:color w:val="000000"/>
          <w:sz w:val="24"/>
          <w:szCs w:val="24"/>
          <w:highlight w:val="none"/>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1.5企业资信要求：投标人具有在有效期内的</w:t>
      </w:r>
      <w:r>
        <w:rPr>
          <w:rFonts w:ascii="Times New Roman" w:hAnsi="Times New Roman" w:eastAsia="Times New Roman" w:cs="Times New Roman"/>
          <w:color w:val="000000"/>
          <w:sz w:val="24"/>
        </w:rPr>
        <w:t xml:space="preserve">ISO20000</w:t>
      </w:r>
      <w:r>
        <w:rPr>
          <w:rFonts w:ascii="SimSun" w:hAnsi="SimSun" w:eastAsia="SimSun" w:cs="SimSun"/>
          <w:color w:val="000000"/>
          <w:sz w:val="24"/>
        </w:rPr>
        <w:t xml:space="preserve">信息技术服务管理体系认证证书、</w:t>
      </w:r>
      <w:r>
        <w:rPr>
          <w:rFonts w:ascii="Times New Roman" w:hAnsi="Times New Roman" w:eastAsia="Times New Roman" w:cs="Times New Roman"/>
          <w:color w:val="000000"/>
          <w:sz w:val="24"/>
        </w:rPr>
        <w:t xml:space="preserve">ISO27001</w:t>
      </w:r>
      <w:r>
        <w:rPr>
          <w:rFonts w:ascii="SimSun" w:hAnsi="SimSun" w:eastAsia="SimSun" w:cs="SimSun"/>
          <w:color w:val="000000"/>
          <w:sz w:val="24"/>
        </w:rPr>
        <w:t xml:space="preserve">信息安全管理体系认证证书。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业绩要求：投标人应具有自</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日以来完成的类似项目业绩。</w:t>
      </w:r>
      <w:r>
        <w:rPr>
          <w:rFonts w:ascii="Times New Roman" w:hAnsi="Times New Roman" w:eastAsia="Times New Roman" w:cs="Times New Roman"/>
          <w:sz w:val="21"/>
        </w:rPr>
      </w:r>
      <w:r/>
    </w:p>
    <w:p>
      <w:pPr>
        <w:pStyle w:val="869"/>
        <w:rPr>
          <w:rFonts w:cs="宋体"/>
          <w:color w:val="000000"/>
          <w:sz w:val="24"/>
          <w:szCs w:val="24"/>
          <w:highlight w:val="none"/>
        </w:rPr>
      </w:pPr>
      <w:r>
        <w:rPr>
          <w:rFonts w:hint="eastAsia" w:cs="宋体"/>
          <w:color w:val="000000"/>
          <w:sz w:val="24"/>
          <w:szCs w:val="24"/>
          <w:highlight w:val="none"/>
        </w:rPr>
        <w:t xml:space="preserve">2.施工要求</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根据前期勘察，现有教室存在建筑差异性，如果需要进行施工处理的，均包含在本次项目内。</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（1）管线问题</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在施工过程中，如发现教室存在投影机预设位置不合理、预埋线路长度不足等情况；或存在电动幕布电源未到位的情况；或存在设计和施工时未考虑安装商业显示屏，导致无相关预埋管线、无预留吊架、支架位置的情况，以上情况均须在本次建设过程中予以解决，费用均包含在本项目内。</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（2）声场问题</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本次项目采用吊麦扩声的方式，对声场的要求相对严格，施工时应根据自身产品的特点，自行判断现有的音箱点位是否需要重新调整，如音箱数量不足，须补足；须采取适当的施工措施，确保在教室在模拟正常上课的状态下，背景噪声低、混响时间适中、语音信号清晰、声场分布均匀，不可出现明显的声缺陷现象，如：回声、颤动回声、声染色等。以上情况均须在本次建设过程中予以解决，费用均包含在本项目内。</w:t>
      </w:r>
      <w:r>
        <w:rPr>
          <w:rFonts w:cs="宋体"/>
          <w:color w:val="000000"/>
          <w:sz w:val="24"/>
          <w:szCs w:val="24"/>
          <w:highlight w:val="none"/>
        </w:rPr>
      </w:r>
      <w:r/>
    </w:p>
    <w:p>
      <w:pPr>
        <w:pStyle w:val="869"/>
        <w:ind w:firstLine="480"/>
        <w:rPr>
          <w:rFonts w:cs="宋体"/>
          <w:color w:val="000000"/>
          <w:sz w:val="24"/>
          <w:szCs w:val="24"/>
          <w:highlight w:val="none"/>
        </w:rPr>
      </w:pPr>
      <w:r>
        <w:rPr>
          <w:rFonts w:hint="eastAsia" w:cs="宋体"/>
          <w:color w:val="000000"/>
          <w:sz w:val="24"/>
          <w:szCs w:val="24"/>
          <w:highlight w:val="none"/>
        </w:rPr>
        <w:t xml:space="preserve">（3）其他问题</w:t>
      </w:r>
      <w:r>
        <w:rPr>
          <w:rFonts w:cs="宋体"/>
          <w:color w:val="000000"/>
          <w:sz w:val="24"/>
          <w:szCs w:val="24"/>
          <w:highlight w:val="none"/>
        </w:rPr>
      </w:r>
      <w:r/>
    </w:p>
    <w:p>
      <w:pPr>
        <w:pStyle w:val="869"/>
        <w:ind w:firstLine="480"/>
        <w:rPr>
          <w:rFonts w:hint="eastAsia" w:cs="宋体"/>
          <w:color w:val="000000"/>
          <w:sz w:val="24"/>
          <w:szCs w:val="24"/>
          <w:highlight w:val="none"/>
        </w:rPr>
      </w:pPr>
      <w:r>
        <w:rPr>
          <w:rFonts w:hint="eastAsia" w:cs="宋体"/>
          <w:color w:val="000000"/>
          <w:sz w:val="24"/>
          <w:szCs w:val="24"/>
          <w:highlight w:val="none"/>
        </w:rPr>
        <w:t xml:space="preserve">施工时要根据所投产品的特点考虑所需要的相关线材及辅材，比如转接线、网络跳线、接线板、信号分配器等，中标后均不得以缺项、漏项导致功能无法实现为由进行增项。</w:t>
      </w:r>
      <w:r>
        <w:rPr>
          <w:rFonts w:hint="eastAsia"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采购标的需实现的功能及标准、规范：采购标的需执行国家标准、行业标准、地方标准或者其他标准、规范。</w:t>
      </w:r>
      <w:r>
        <w:rPr>
          <w:rFonts w:cs="宋体"/>
          <w:color w:val="000000"/>
          <w:sz w:val="24"/>
          <w:szCs w:val="24"/>
          <w:highlight w:val="none"/>
        </w:rPr>
      </w:r>
      <w:r/>
    </w:p>
    <w:p>
      <w:pPr>
        <w:pStyle w:val="869"/>
        <w:numPr>
          <w:ilvl w:val="0"/>
          <w:numId w:val="0"/>
        </w:numPr>
        <w:ind w:firstLine="480"/>
        <w:jc w:val="left"/>
        <w:rPr>
          <w:color w:val="000000"/>
          <w:highlight w:val="none"/>
        </w:rPr>
      </w:pPr>
      <w:r>
        <w:rPr>
          <w:rFonts w:hint="eastAsia" w:cs="宋体"/>
          <w:color w:val="000000"/>
          <w:sz w:val="24"/>
          <w:szCs w:val="24"/>
          <w:highlight w:val="none"/>
          <w:lang w:val="en-US" w:eastAsia="zh-CN"/>
        </w:rPr>
        <w:t xml:space="preserve">3.</w:t>
      </w:r>
      <w:r>
        <w:rPr>
          <w:rFonts w:hint="eastAsia" w:cs="宋体"/>
          <w:color w:val="000000"/>
          <w:sz w:val="24"/>
          <w:szCs w:val="24"/>
          <w:highlight w:val="none"/>
        </w:rPr>
        <w:t xml:space="preserve">采购配置要求</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20"/>
        <w:gridCol w:w="981"/>
        <w:gridCol w:w="6402"/>
      </w:tblGrid>
      <w:tr>
        <w:trPr>
          <w:trHeight w:val="600"/>
        </w:trPr>
        <w:tc>
          <w:tcPr>
            <w:tcW w:w="666"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序号</w:t>
            </w:r>
            <w:r>
              <w:rPr>
                <w:rFonts w:cs="宋体"/>
                <w:color w:val="000000"/>
                <w:sz w:val="24"/>
                <w:szCs w:val="24"/>
                <w:highlight w:val="none"/>
              </w:rPr>
            </w:r>
            <w:r/>
          </w:p>
        </w:tc>
        <w:tc>
          <w:tcPr>
            <w:tcW w:w="1120"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设备名称</w:t>
            </w:r>
            <w:r>
              <w:rPr>
                <w:rFonts w:cs="宋体"/>
                <w:color w:val="000000"/>
                <w:sz w:val="24"/>
                <w:szCs w:val="24"/>
                <w:highlight w:val="none"/>
              </w:rPr>
            </w:r>
            <w:r/>
          </w:p>
        </w:tc>
        <w:tc>
          <w:tcPr>
            <w:tcW w:w="981"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数量</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主要技术参数</w:t>
            </w:r>
            <w:r>
              <w:rPr>
                <w:rFonts w:cs="宋体"/>
                <w:color w:val="000000"/>
                <w:sz w:val="24"/>
                <w:szCs w:val="24"/>
                <w:highlight w:val="none"/>
              </w:rPr>
            </w:r>
            <w:r/>
          </w:p>
        </w:tc>
      </w:tr>
      <w:tr>
        <w:trPr>
          <w:trHeight w:val="600"/>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1</w:t>
            </w:r>
            <w:r>
              <w:rPr>
                <w:rFonts w:cs="宋体"/>
                <w:color w:val="000000"/>
                <w:sz w:val="24"/>
                <w:szCs w:val="24"/>
                <w:highlight w:val="none"/>
              </w:rPr>
            </w:r>
            <w:r/>
          </w:p>
        </w:tc>
        <w:tc>
          <w:tcPr>
            <w:tcW w:w="1120"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长焦投影机</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79</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1、光源：纯激光光源；</w:t>
            </w:r>
            <w:r>
              <w:rPr>
                <w:rFonts w:cs="宋体"/>
                <w:color w:val="000000"/>
                <w:sz w:val="24"/>
                <w:szCs w:val="24"/>
                <w:highlight w:val="none"/>
              </w:rPr>
            </w:r>
            <w:r/>
          </w:p>
          <w:p>
            <w:pPr>
              <w:pStyle w:val="869"/>
              <w:rPr>
                <w:rFonts w:cs="宋体"/>
                <w:color w:val="000000"/>
                <w:sz w:val="24"/>
                <w:szCs w:val="24"/>
                <w:highlight w:val="none"/>
              </w:rPr>
            </w:pPr>
            <w:r>
              <w:rPr>
                <w:rFonts w:hint="eastAsia" w:cs="宋体"/>
                <w:i/>
                <w:iCs/>
                <w:color w:val="000000"/>
                <w:sz w:val="24"/>
                <w:szCs w:val="24"/>
                <w:highlight w:val="none"/>
                <w:u w:val="single"/>
              </w:rPr>
              <w:t xml:space="preserve">2、3LCD液晶面板尺寸：≥0.64；亮度：≥5200流明；对比度≥2500000:1；标准分辨率：≥1920*1200； 标准画面16:10；</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3、镜头变焦倍数：≥1.6倍；</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4、功能要求：垂直和水平梯形校正、四角矫正；</w:t>
            </w:r>
            <w:r>
              <w:rPr>
                <w:rFonts w:cs="宋体"/>
                <w:color w:val="000000"/>
                <w:sz w:val="24"/>
                <w:szCs w:val="24"/>
                <w:highlight w:val="none"/>
              </w:rPr>
            </w:r>
            <w:r/>
          </w:p>
          <w:p>
            <w:pPr>
              <w:pStyle w:val="869"/>
              <w:rPr>
                <w:rFonts w:cs="宋体"/>
                <w:color w:val="000000"/>
                <w:sz w:val="24"/>
                <w:szCs w:val="24"/>
                <w:highlight w:val="none"/>
              </w:rPr>
            </w:pPr>
            <w:r>
              <w:rPr>
                <w:rFonts w:hint="eastAsia" w:cs="宋体"/>
                <w:i/>
                <w:iCs/>
                <w:color w:val="000000"/>
                <w:sz w:val="24"/>
                <w:szCs w:val="24"/>
                <w:highlight w:val="none"/>
                <w:u w:val="single"/>
              </w:rPr>
              <w:t xml:space="preserve">5、所投产品通过中国国家强制性产品认证（提供证明材料复印件加盖投标人公章）</w:t>
            </w:r>
            <w:r>
              <w:rPr>
                <w:rFonts w:hint="eastAsia" w:cs="宋体"/>
                <w:color w:val="000000"/>
                <w:sz w:val="24"/>
                <w:szCs w:val="24"/>
                <w:highlight w:val="none"/>
              </w:rPr>
              <w:t xml:space="preserve">；</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▲6、所投产品提供检测报告，并且测试结果中亮度、对比度完全满足招标要求。（投标人需提供第三方检测机构出具的具有CMA 标识的检测报告并加盖投标人公章或提供承诺书原件，承诺书内容为中标后提供由第三方检测机构出具的具有CMA标识的满足亮度、对比度招标要求的检测报告）</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7、电动幕布：对角线（英寸）120；比例 16:10；</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8、防盗支架：钢制防盗吊架，根据中标投影机机型，公司绘出图纸，需经校方认可后再可加工，功能与尺寸最终要达到校方的要求。</w:t>
            </w:r>
            <w:r>
              <w:rPr>
                <w:rFonts w:cs="宋体"/>
                <w:color w:val="000000"/>
                <w:sz w:val="24"/>
                <w:szCs w:val="24"/>
                <w:highlight w:val="none"/>
              </w:rPr>
            </w:r>
            <w:r/>
          </w:p>
        </w:tc>
      </w:tr>
      <w:tr>
        <w:trPr>
          <w:trHeight w:val="780"/>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2</w:t>
            </w:r>
            <w:r>
              <w:rPr>
                <w:rFonts w:cs="宋体"/>
                <w:color w:val="000000"/>
                <w:sz w:val="24"/>
                <w:szCs w:val="24"/>
                <w:highlight w:val="none"/>
              </w:rPr>
            </w:r>
            <w:r/>
          </w:p>
        </w:tc>
        <w:tc>
          <w:tcPr>
            <w:tcW w:w="1120"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超短焦投影机</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12</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1、光源：纯激光光源；</w:t>
            </w:r>
            <w:r>
              <w:rPr>
                <w:rFonts w:cs="宋体"/>
                <w:color w:val="000000"/>
                <w:sz w:val="24"/>
                <w:szCs w:val="24"/>
                <w:highlight w:val="none"/>
              </w:rPr>
            </w:r>
            <w:r/>
          </w:p>
          <w:p>
            <w:pPr>
              <w:pStyle w:val="869"/>
              <w:rPr>
                <w:rFonts w:cs="宋体"/>
                <w:color w:val="000000"/>
                <w:sz w:val="24"/>
                <w:szCs w:val="24"/>
                <w:highlight w:val="none"/>
              </w:rPr>
            </w:pPr>
            <w:r>
              <w:rPr>
                <w:rFonts w:hint="eastAsia" w:cs="宋体"/>
                <w:i/>
                <w:iCs/>
                <w:color w:val="000000"/>
                <w:sz w:val="24"/>
                <w:szCs w:val="24"/>
                <w:highlight w:val="none"/>
                <w:u w:val="single"/>
              </w:rPr>
              <w:t xml:space="preserve">2、亮度：≥5000流明；对比度：≥500000:1；标准分辨率: ≥1920*1080；</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3、投射比：≤0.3；</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4、功能要求：垂直和水平梯形校正、四角矫正；</w:t>
            </w:r>
            <w:r>
              <w:rPr>
                <w:rFonts w:cs="宋体"/>
                <w:color w:val="000000"/>
                <w:sz w:val="24"/>
                <w:szCs w:val="24"/>
                <w:highlight w:val="none"/>
              </w:rPr>
            </w:r>
            <w:r/>
          </w:p>
          <w:p>
            <w:pPr>
              <w:pStyle w:val="869"/>
              <w:rPr>
                <w:rFonts w:cs="宋体"/>
                <w:color w:val="000000"/>
                <w:sz w:val="24"/>
                <w:szCs w:val="24"/>
                <w:highlight w:val="none"/>
              </w:rPr>
            </w:pPr>
            <w:r>
              <w:rPr>
                <w:rFonts w:hint="eastAsia" w:cs="宋体"/>
                <w:i/>
                <w:iCs/>
                <w:color w:val="000000"/>
                <w:sz w:val="24"/>
                <w:szCs w:val="24"/>
                <w:highlight w:val="none"/>
                <w:u w:val="single"/>
              </w:rPr>
              <w:t xml:space="preserve">5、所投产品通过中国国家强制性产品认证（提供证明材料复印件加盖投标人公章）</w:t>
            </w:r>
            <w:r>
              <w:rPr>
                <w:rFonts w:hint="eastAsia" w:cs="宋体"/>
                <w:color w:val="000000"/>
                <w:sz w:val="24"/>
                <w:szCs w:val="24"/>
                <w:highlight w:val="none"/>
              </w:rPr>
              <w:t xml:space="preserve">；</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▲6、所投产品提供检测报告，并且测试结果中亮度、对比度完全满足招标要求。（投标人需提供第三方检测机构出具的具有 CMA 标识的检测报告并加盖投标人公章或提供承诺书原件，承诺书内容为中标后提供由第三方检测机构出具的具有CMA标识的满足亮度、对比度招标要求的检测报告）</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7、画框幕布：采用白塑玻纤材质，增益至少3倍以上；尺寸：≥150寸，显示比例：16:10，规格：宽*高（mm）尺寸：</w:t>
            </w:r>
            <w:r>
              <w:rPr>
                <w:rFonts w:cs="宋体"/>
                <w:color w:val="000000"/>
                <w:sz w:val="24"/>
                <w:szCs w:val="24"/>
                <w:highlight w:val="none"/>
              </w:rPr>
              <w:t xml:space="preserve">约</w:t>
            </w:r>
            <w:r>
              <w:rPr>
                <w:rFonts w:hint="eastAsia" w:cs="宋体"/>
                <w:color w:val="000000"/>
                <w:sz w:val="24"/>
                <w:szCs w:val="24"/>
                <w:highlight w:val="none"/>
              </w:rPr>
              <w:t xml:space="preserve">3330*1880；采用铝合金外框，表面静电植绒处理，底面做木质底层处理，双重保证底面平滑；幕面表面光洁柔滑，有效消除眩光现象，具有良好的反射效果；需采用四面镶嵌式一体安装。</w:t>
            </w:r>
            <w:r>
              <w:rPr>
                <w:rFonts w:cs="宋体"/>
                <w:color w:val="000000"/>
                <w:sz w:val="24"/>
                <w:szCs w:val="24"/>
                <w:highlight w:val="none"/>
              </w:rPr>
            </w:r>
            <w:r/>
          </w:p>
        </w:tc>
      </w:tr>
      <w:tr>
        <w:trPr>
          <w:trHeight w:val="600"/>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3</w:t>
            </w:r>
            <w:r>
              <w:rPr>
                <w:rFonts w:cs="宋体"/>
                <w:color w:val="000000"/>
                <w:sz w:val="24"/>
                <w:szCs w:val="24"/>
                <w:highlight w:val="none"/>
              </w:rPr>
            </w:r>
            <w:r/>
          </w:p>
        </w:tc>
        <w:tc>
          <w:tcPr>
            <w:tcW w:w="1120"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电脑（主机+显示器+虚拟化桌面）</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85</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一、电脑</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1</w:t>
            </w:r>
            <w:r>
              <w:rPr>
                <w:rFonts w:hint="eastAsia" w:cs="宋体"/>
                <w:color w:val="000000"/>
                <w:sz w:val="24"/>
                <w:szCs w:val="24"/>
                <w:highlight w:val="none"/>
              </w:rPr>
              <w:t xml:space="preserve">、</w:t>
            </w:r>
            <w:r>
              <w:rPr>
                <w:rFonts w:cs="宋体"/>
                <w:color w:val="000000"/>
                <w:sz w:val="24"/>
                <w:szCs w:val="24"/>
                <w:highlight w:val="none"/>
              </w:rPr>
              <w:t xml:space="preserve">CPU</w:t>
            </w:r>
            <w:r>
              <w:rPr>
                <w:rFonts w:hint="eastAsia" w:cs="宋体"/>
                <w:color w:val="000000"/>
                <w:sz w:val="24"/>
                <w:szCs w:val="24"/>
                <w:highlight w:val="none"/>
              </w:rPr>
              <w:t xml:space="preserve">：配置标准不低于</w:t>
            </w:r>
            <w:r>
              <w:rPr>
                <w:rFonts w:cs="宋体"/>
                <w:color w:val="000000"/>
                <w:sz w:val="24"/>
                <w:szCs w:val="24"/>
                <w:highlight w:val="none"/>
              </w:rPr>
              <w:t xml:space="preserve">12核心，主频</w:t>
            </w:r>
            <w:r>
              <w:rPr>
                <w:rFonts w:hint="eastAsia" w:cs="宋体"/>
                <w:color w:val="000000"/>
                <w:sz w:val="24"/>
                <w:szCs w:val="24"/>
                <w:highlight w:val="none"/>
              </w:rPr>
              <w:t xml:space="preserve">≥2</w:t>
            </w:r>
            <w:r>
              <w:rPr>
                <w:rFonts w:cs="宋体"/>
                <w:color w:val="000000"/>
                <w:sz w:val="24"/>
                <w:szCs w:val="24"/>
                <w:highlight w:val="none"/>
              </w:rPr>
              <w:t xml:space="preserve">.1GHz</w:t>
            </w:r>
            <w:r>
              <w:rPr>
                <w:rFonts w:hint="eastAsia" w:cs="宋体"/>
                <w:color w:val="000000"/>
                <w:sz w:val="24"/>
                <w:szCs w:val="24"/>
                <w:highlight w:val="none"/>
              </w:rPr>
              <w:t xml:space="preserve">；</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2</w:t>
            </w:r>
            <w:r>
              <w:rPr>
                <w:rFonts w:hint="eastAsia" w:cs="宋体"/>
                <w:color w:val="000000"/>
                <w:sz w:val="24"/>
                <w:szCs w:val="24"/>
                <w:highlight w:val="none"/>
              </w:rPr>
              <w:t xml:space="preserve">、内存：≥16G DDR4；</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3</w:t>
            </w:r>
            <w:r>
              <w:rPr>
                <w:rFonts w:hint="eastAsia" w:cs="宋体"/>
                <w:color w:val="000000"/>
                <w:sz w:val="24"/>
                <w:szCs w:val="24"/>
                <w:highlight w:val="none"/>
              </w:rPr>
              <w:t xml:space="preserve">、硬盘：≥512GB </w:t>
            </w:r>
            <w:r>
              <w:rPr>
                <w:rFonts w:cs="宋体"/>
                <w:color w:val="000000"/>
                <w:sz w:val="24"/>
                <w:szCs w:val="24"/>
                <w:highlight w:val="none"/>
              </w:rPr>
              <w:t xml:space="preserve">SSD</w:t>
            </w:r>
            <w:r>
              <w:rPr>
                <w:rFonts w:hint="eastAsia" w:cs="宋体"/>
                <w:color w:val="000000"/>
                <w:sz w:val="24"/>
                <w:szCs w:val="24"/>
                <w:highlight w:val="none"/>
              </w:rPr>
              <w:t xml:space="preserve">固态硬盘；</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4</w:t>
            </w:r>
            <w:r>
              <w:rPr>
                <w:rFonts w:hint="eastAsia" w:cs="宋体"/>
                <w:color w:val="000000"/>
                <w:sz w:val="24"/>
                <w:szCs w:val="24"/>
                <w:highlight w:val="none"/>
              </w:rPr>
              <w:t xml:space="preserve">、主板集成接口：USB≥8个（其中：前置≥4个，后置≥4个），HDMI/DP高清接口≥2个；</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5</w:t>
            </w:r>
            <w:r>
              <w:rPr>
                <w:rFonts w:hint="eastAsia" w:cs="宋体"/>
                <w:color w:val="000000"/>
                <w:sz w:val="24"/>
                <w:szCs w:val="24"/>
                <w:highlight w:val="none"/>
              </w:rPr>
              <w:t xml:space="preserve">、配备同品牌USB接口鼠标和键盘；</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6</w:t>
            </w:r>
            <w:r>
              <w:rPr>
                <w:rFonts w:hint="eastAsia" w:cs="宋体"/>
                <w:color w:val="000000"/>
                <w:sz w:val="24"/>
                <w:szCs w:val="24"/>
                <w:highlight w:val="none"/>
              </w:rPr>
              <w:t xml:space="preserve">、液晶显示器≥23.8寸；</w:t>
            </w:r>
            <w:r>
              <w:rPr>
                <w:rFonts w:cs="宋体"/>
                <w:color w:val="000000"/>
                <w:sz w:val="24"/>
                <w:szCs w:val="24"/>
                <w:highlight w:val="none"/>
              </w:rPr>
            </w:r>
            <w:r/>
          </w:p>
          <w:p>
            <w:pPr>
              <w:pStyle w:val="869"/>
              <w:rPr>
                <w:rFonts w:hint="eastAsia" w:cs="宋体"/>
                <w:color w:val="000000"/>
                <w:sz w:val="24"/>
                <w:szCs w:val="24"/>
                <w:highlight w:val="none"/>
              </w:rPr>
            </w:pPr>
            <w:r>
              <w:rPr>
                <w:rFonts w:cs="宋体"/>
                <w:color w:val="000000"/>
                <w:sz w:val="24"/>
                <w:szCs w:val="24"/>
                <w:highlight w:val="none"/>
              </w:rPr>
              <w:t xml:space="preserve">7</w:t>
            </w:r>
            <w:r>
              <w:rPr>
                <w:rFonts w:hint="eastAsia" w:cs="宋体"/>
                <w:color w:val="000000"/>
                <w:sz w:val="24"/>
                <w:szCs w:val="24"/>
                <w:highlight w:val="none"/>
              </w:rPr>
              <w:t xml:space="preserve">、需配置桌面旋转支架，支持显示器进行旋转调节。</w:t>
            </w:r>
            <w:r>
              <w:rPr>
                <w:rFonts w:hint="eastAsia" w:cs="宋体"/>
                <w:color w:val="000000"/>
                <w:sz w:val="24"/>
                <w:szCs w:val="24"/>
                <w:highlight w:val="none"/>
              </w:rPr>
            </w:r>
            <w:r/>
          </w:p>
          <w:p>
            <w:pPr>
              <w:pStyle w:val="906"/>
              <w:ind w:left="0" w:right="1470"/>
              <w:rPr>
                <w:i/>
                <w:iCs/>
                <w:color w:val="000000"/>
                <w:highlight w:val="none"/>
                <w:u w:val="single"/>
              </w:rPr>
            </w:pPr>
            <w:r>
              <w:rPr>
                <w:rFonts w:hint="eastAsia" w:cs="宋体"/>
                <w:i/>
                <w:iCs/>
                <w:color w:val="000000"/>
                <w:szCs w:val="24"/>
                <w:highlight w:val="none"/>
                <w:u w:val="single"/>
              </w:rPr>
              <w:t xml:space="preserve">8、电脑应为节能产品，提供节能产品认证证书并加盖投标人公章。</w:t>
            </w:r>
            <w:r>
              <w:rPr>
                <w:i/>
                <w:iCs/>
                <w:color w:val="000000"/>
                <w:highlight w:val="none"/>
                <w:u w:val="single"/>
              </w:rPr>
            </w:r>
            <w:r/>
          </w:p>
          <w:p>
            <w:pPr>
              <w:pStyle w:val="869"/>
              <w:rPr>
                <w:rFonts w:cs="宋体"/>
                <w:color w:val="000000"/>
                <w:sz w:val="24"/>
                <w:szCs w:val="24"/>
                <w:highlight w:val="none"/>
              </w:rPr>
            </w:pPr>
            <w:r>
              <w:rPr>
                <w:rFonts w:hint="eastAsia" w:cs="宋体"/>
                <w:color w:val="000000"/>
                <w:sz w:val="24"/>
                <w:szCs w:val="24"/>
                <w:highlight w:val="none"/>
              </w:rPr>
              <w:t xml:space="preserve">二、虚拟化桌面</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1、云桌面系统为C/S、B/S两种架构全支持，服务器端镜像提供映射模式，可以把镜像在服务器端直接映射成系统盘符操作，可以在云服务器端设置客户机禁止共享；</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采用多镜像多节点缓存架构，每个镜像下支持最少10个快照更新节点，当教学环境变化需要安装软件时，支持在镜像中做父子节点或者兄弟节点两种模式，并通过树状目录结构展示各节点间的关系，可以把同一个镜像下的不同节点同时加入启动菜单（提供功能截图，并加盖公章）；</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具备手动配置资产盘点表的功能，可以为用户资产添加终端类型、品牌、质保期限等相关数据，也可以为每台电脑添加图片数据并展示出来，展示硬件资产可以根据终端类型自定义分类展示，展示方式分为列表展示和图标展示两种；</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4、为防范勒索病毒，需具备分布式防火墙功能，可以通过设定防范地址及端口等隔绝数据传递；</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5、具备云管理端高级设置功能，可设置离线时种子的最大服务数和离线时的最高限速；在网络状况不佳时，可以设置使用可靠连接选项；可以设置客户端禁用菜单功能键，用以允许或禁止终端使用者；</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6、充分考虑多媒体教室跨网段情况，教室内终端可在不修改交换机参数的情况下直接跨网段启动，云桌面提供PXE DHCP引导、终端固定IP、外部DHCP三种方式，为保证网络数据可查，跨网段不能采用在服务器或其他机器安装代理软件的方式；</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7、具备多种还原模式，可以设定按日、按周、按月还原，也可以按镜像设置还原方式；</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w:t>
            </w:r>
            <w:r>
              <w:rPr>
                <w:rFonts w:cs="宋体"/>
                <w:color w:val="000000"/>
                <w:sz w:val="24"/>
                <w:szCs w:val="24"/>
                <w:highlight w:val="none"/>
              </w:rPr>
              <w:t xml:space="preserve">8、具备数据展示功能，可自定义时间</w:t>
            </w:r>
            <w:r>
              <w:rPr>
                <w:rFonts w:hint="eastAsia" w:cs="宋体"/>
                <w:color w:val="000000"/>
                <w:sz w:val="24"/>
                <w:szCs w:val="24"/>
                <w:highlight w:val="none"/>
              </w:rPr>
              <w:t xml:space="preserve">段展示教室终端软件使用时长和次数的排序；（提供功能截图证明）</w:t>
            </w:r>
            <w:r>
              <w:rPr>
                <w:rFonts w:cs="宋体"/>
                <w:color w:val="000000"/>
                <w:sz w:val="24"/>
                <w:szCs w:val="24"/>
                <w:highlight w:val="none"/>
              </w:rPr>
            </w:r>
            <w:r/>
          </w:p>
          <w:p>
            <w:pPr>
              <w:pStyle w:val="869"/>
              <w:rPr>
                <w:rFonts w:cs="宋体"/>
                <w:b/>
                <w:bCs/>
                <w:color w:val="000000"/>
                <w:sz w:val="24"/>
                <w:szCs w:val="24"/>
                <w:highlight w:val="none"/>
              </w:rPr>
            </w:pPr>
            <w:r>
              <w:rPr>
                <w:rFonts w:hint="eastAsia" w:cs="宋体"/>
                <w:color w:val="000000"/>
                <w:sz w:val="24"/>
                <w:szCs w:val="24"/>
                <w:highlight w:val="none"/>
              </w:rPr>
              <w:t xml:space="preserve">9、教室终端全部盘符均采用还原模式，对于管理员指定的终端上的个性化文件和注册表键值可以直接同步保存在云服务器上，管理者可在服务器上浏览并修改这些文件（非远程桌面修改模式），修改完毕的文件可以直接自动回传到教室终端机上。</w:t>
            </w:r>
            <w:r>
              <w:rPr>
                <w:rFonts w:cs="宋体"/>
                <w:b/>
                <w:bCs/>
                <w:color w:val="000000"/>
                <w:sz w:val="24"/>
                <w:szCs w:val="24"/>
                <w:highlight w:val="none"/>
              </w:rPr>
            </w:r>
            <w:r/>
          </w:p>
        </w:tc>
      </w:tr>
      <w:tr>
        <w:trPr>
          <w:trHeight w:val="600"/>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4</w:t>
            </w:r>
            <w:r>
              <w:rPr>
                <w:rFonts w:cs="宋体"/>
                <w:color w:val="000000"/>
                <w:sz w:val="24"/>
                <w:szCs w:val="24"/>
                <w:highlight w:val="none"/>
              </w:rPr>
            </w:r>
            <w:r/>
          </w:p>
        </w:tc>
        <w:tc>
          <w:tcPr>
            <w:tcW w:w="1120"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多媒体设备柜</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85</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1、规格：L*W*H（mm）闭合尺寸：1100*780*1020（允许正负5mm偏离）；</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2、桌面采用</w:t>
            </w:r>
            <w:r>
              <w:rPr>
                <w:rFonts w:cs="宋体"/>
                <w:color w:val="000000"/>
                <w:sz w:val="24"/>
                <w:szCs w:val="24"/>
                <w:highlight w:val="none"/>
              </w:rPr>
              <w:t xml:space="preserve">厚度</w:t>
            </w:r>
            <w:r>
              <w:rPr>
                <w:rFonts w:hint="eastAsia" w:cs="宋体"/>
                <w:color w:val="000000"/>
                <w:sz w:val="24"/>
                <w:szCs w:val="24"/>
                <w:highlight w:val="none"/>
              </w:rPr>
              <w:t xml:space="preserve">≥</w:t>
            </w:r>
            <w:r>
              <w:rPr>
                <w:rFonts w:cs="宋体"/>
                <w:color w:val="000000"/>
                <w:sz w:val="24"/>
                <w:szCs w:val="24"/>
                <w:highlight w:val="none"/>
              </w:rPr>
              <w:t xml:space="preserve">9mm</w:t>
            </w:r>
            <w:r>
              <w:rPr>
                <w:rFonts w:hint="eastAsia" w:cs="宋体"/>
                <w:color w:val="000000"/>
                <w:sz w:val="24"/>
                <w:szCs w:val="24"/>
                <w:highlight w:val="none"/>
              </w:rPr>
              <w:t xml:space="preserve">木黄色高密度纤维板，密度大于</w:t>
            </w:r>
            <w:r>
              <w:rPr>
                <w:rFonts w:cs="宋体"/>
                <w:color w:val="000000"/>
                <w:sz w:val="24"/>
                <w:szCs w:val="24"/>
                <w:highlight w:val="none"/>
              </w:rPr>
              <w:t xml:space="preserve">720kg/</w:t>
            </w:r>
            <w:r>
              <w:rPr>
                <w:rFonts w:hint="eastAsia" w:cs="宋体"/>
                <w:color w:val="000000"/>
                <w:sz w:val="24"/>
                <w:szCs w:val="24"/>
                <w:highlight w:val="none"/>
              </w:rPr>
              <w:t xml:space="preserve">立方米，边缘采用单面封边工艺；桌面高密度纤维板</w:t>
            </w:r>
            <w:r>
              <w:rPr>
                <w:rFonts w:cs="宋体"/>
                <w:color w:val="000000"/>
                <w:sz w:val="24"/>
                <w:szCs w:val="24"/>
                <w:highlight w:val="none"/>
              </w:rPr>
              <w:t xml:space="preserve">甲醛含量需</w:t>
            </w:r>
            <w:r>
              <w:rPr>
                <w:rFonts w:hint="eastAsia" w:cs="宋体"/>
                <w:color w:val="000000"/>
                <w:sz w:val="24"/>
                <w:szCs w:val="24"/>
                <w:highlight w:val="none"/>
              </w:rPr>
              <w:t xml:space="preserve">符合</w:t>
            </w:r>
            <w:r>
              <w:rPr>
                <w:rFonts w:cs="宋体"/>
                <w:color w:val="000000"/>
                <w:sz w:val="24"/>
                <w:szCs w:val="24"/>
                <w:highlight w:val="none"/>
              </w:rPr>
              <w:t xml:space="preserve">GB18584-2001的检验标准； </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3、主体采用≥</w:t>
            </w:r>
            <w:r>
              <w:rPr>
                <w:rFonts w:cs="宋体"/>
                <w:color w:val="000000"/>
                <w:sz w:val="24"/>
                <w:szCs w:val="24"/>
                <w:highlight w:val="none"/>
              </w:rPr>
              <w:t xml:space="preserve">1.0mm</w:t>
            </w:r>
            <w:r>
              <w:rPr>
                <w:rFonts w:hint="eastAsia" w:cs="宋体"/>
                <w:color w:val="000000"/>
                <w:sz w:val="24"/>
                <w:szCs w:val="24"/>
                <w:highlight w:val="none"/>
              </w:rPr>
              <w:t xml:space="preserve">冷轧钢板，钣金全部通过酸洗磷化喷涂后再进行高温烘烤，防锈；冷轧钢板</w:t>
            </w:r>
            <w:r>
              <w:rPr>
                <w:rFonts w:cs="宋体"/>
                <w:color w:val="000000"/>
                <w:sz w:val="24"/>
                <w:szCs w:val="24"/>
                <w:highlight w:val="none"/>
              </w:rPr>
              <w:t xml:space="preserve">所含</w:t>
            </w:r>
            <w:r>
              <w:rPr>
                <w:rFonts w:hint="eastAsia" w:cs="宋体"/>
                <w:color w:val="000000"/>
                <w:sz w:val="24"/>
                <w:szCs w:val="24"/>
                <w:highlight w:val="none"/>
              </w:rPr>
              <w:t xml:space="preserve">铅、汞、镉、六价铬、多溴联苯符合</w:t>
            </w:r>
            <w:r>
              <w:rPr>
                <w:rFonts w:cs="宋体"/>
                <w:color w:val="000000"/>
                <w:sz w:val="24"/>
                <w:szCs w:val="24"/>
                <w:highlight w:val="none"/>
              </w:rPr>
              <w:t xml:space="preserve">GB/T 26572-2011的标准要求；</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4、上层两侧采用橡木扶手，正面采用L型高档橡木装饰板，前置活动维修门，无锁联动，下层后门打开后，上层维修门方可打开，上翻开启并可拆卸，方便LOGO丝印和设备安装；</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5、分体式设计，桌面部分和桌体部分自成一体，方便进出比较窄的教室门，内置固定螺丝孔位；</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6、采用接线盒的方式，便于笔记本电脑模块的安装，模块配备HDMI母座接口*1、VGA 母座接口*1，USB2.0母座接口*2，音频3.5母座接口*1，MIC 6.35母座接口*1，网口*1，三相方形电源接口*1，其中HDMI、VGA、USB、网口、音频五个接口标配2米延长线，方便引线到桌面；</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7、整体采用桌面式结构，显示器通过桌面旋转支架安装，上层左侧底部配置旋转式铝合金隐藏式水杯架一套，下柜左侧预留挂扣，挂扣采用螺丝固定式安装结构，紧固牢靠，不得采用粘贴式安装方式；</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8、下层前门采用对开门设计，左侧预留光驱门，不打开柜门即可开关电脑和插拔U盘，预留主机限位孔及限位卡槽；右侧设备门，标配19英寸国标机架，可拆卸立柱及挡板,可放置中控主机，功放等多媒体设备，设备总空间≤12U，采用天地锁，耐用、防盗；</w:t>
            </w:r>
            <w:r>
              <w:rPr>
                <w:rFonts w:cs="宋体"/>
                <w:color w:val="000000"/>
                <w:sz w:val="24"/>
                <w:szCs w:val="24"/>
                <w:highlight w:val="none"/>
              </w:rPr>
            </w:r>
            <w:r/>
          </w:p>
          <w:p>
            <w:pPr>
              <w:pStyle w:val="869"/>
              <w:jc w:val="left"/>
              <w:widowControl/>
              <w:rPr>
                <w:rFonts w:cs="宋体"/>
                <w:color w:val="000000"/>
                <w:sz w:val="24"/>
                <w:szCs w:val="24"/>
                <w:highlight w:val="none"/>
              </w:rPr>
            </w:pPr>
            <w:r>
              <w:rPr>
                <w:rFonts w:hint="eastAsia" w:cs="宋体"/>
                <w:color w:val="000000"/>
                <w:sz w:val="24"/>
                <w:szCs w:val="24"/>
                <w:highlight w:val="none"/>
              </w:rPr>
              <w:t xml:space="preserve">9、讲台柜体内须配置漏电保护器装置，确保安全用电。</w:t>
            </w:r>
            <w:r>
              <w:rPr>
                <w:rFonts w:cs="宋体"/>
                <w:color w:val="000000"/>
                <w:sz w:val="24"/>
                <w:szCs w:val="24"/>
                <w:highlight w:val="none"/>
              </w:rPr>
            </w:r>
            <w:r/>
          </w:p>
        </w:tc>
      </w:tr>
      <w:tr>
        <w:trPr>
          <w:trHeight w:val="600"/>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5</w:t>
            </w:r>
            <w:r>
              <w:rPr>
                <w:rFonts w:cs="宋体"/>
                <w:color w:val="000000"/>
                <w:sz w:val="24"/>
                <w:szCs w:val="24"/>
                <w:highlight w:val="none"/>
              </w:rPr>
            </w:r>
            <w:r/>
          </w:p>
        </w:tc>
        <w:tc>
          <w:tcPr>
            <w:tcW w:w="1120"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网络中控及控制面板1</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79</w:t>
            </w:r>
            <w:r>
              <w:rPr>
                <w:rFonts w:cs="宋体"/>
                <w:color w:val="000000"/>
                <w:sz w:val="24"/>
                <w:szCs w:val="24"/>
                <w:highlight w:val="none"/>
              </w:rPr>
            </w:r>
            <w:r/>
          </w:p>
        </w:tc>
        <w:tc>
          <w:tcPr>
            <w:tcW w:w="6402" w:type="dxa"/>
            <w:vAlign w:val="center"/>
            <w:textDirection w:val="lrTb"/>
            <w:noWrap w:val="false"/>
          </w:tcPr>
          <w:p>
            <w:pPr>
              <w:pStyle w:val="869"/>
              <w:rPr>
                <w:rFonts w:hint="eastAsia" w:cs="宋体"/>
                <w:color w:val="000000"/>
                <w:sz w:val="24"/>
                <w:szCs w:val="24"/>
                <w:highlight w:val="none"/>
              </w:rPr>
            </w:pPr>
            <w:r>
              <w:rPr>
                <w:rFonts w:hint="eastAsia" w:cs="宋体"/>
                <w:color w:val="000000"/>
                <w:sz w:val="24"/>
                <w:szCs w:val="24"/>
                <w:highlight w:val="none"/>
              </w:rPr>
              <w:t xml:space="preserve">一、网络中控：</w:t>
            </w:r>
            <w:r>
              <w:rPr>
                <w:rFonts w:hint="eastAsia" w:cs="宋体"/>
                <w:color w:val="000000"/>
                <w:sz w:val="24"/>
                <w:szCs w:val="24"/>
                <w:highlight w:val="none"/>
              </w:rPr>
            </w:r>
            <w:r/>
          </w:p>
          <w:p>
            <w:pPr>
              <w:pStyle w:val="869"/>
              <w:rPr>
                <w:rFonts w:hint="eastAsia" w:cs="宋体"/>
                <w:color w:val="000000"/>
                <w:sz w:val="24"/>
                <w:szCs w:val="24"/>
                <w:highlight w:val="none"/>
              </w:rPr>
            </w:pPr>
            <w:r>
              <w:rPr>
                <w:rFonts w:hint="eastAsia" w:cs="宋体"/>
                <w:color w:val="000000"/>
                <w:sz w:val="24"/>
                <w:szCs w:val="24"/>
                <w:highlight w:val="none"/>
              </w:rPr>
              <w:t xml:space="preserve">▲1、多媒体网络中央控制器接口要求：内置≥5口千兆网络接口，HDMI输入接口≥3路，HDMI输出端口≥2路，红外控制接口≥1路，RS232双向通讯接口≥6路，3.5mm音频输入≥3路，3.5mm音频输出≥1路，3.5mm高清音频剥离输出接口≥1路，6.5mm话筒信号输入≥1路，6.5mm话筒信号输出≥1路，3+1强电控制端口（提供实物图片并对相关接口进行说明）；</w:t>
            </w:r>
            <w:r>
              <w:rPr>
                <w:rFonts w:hint="eastAsia"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2、具备远程授权功能，支持脱机和联网两种运行方式：网络畅通时数据上传至中心数据库，网络故障时，实现本地认证和操作记录，可与校园一卡通数据库兼容且实时对接；</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内置全双工数字语音对讲系统，支持IP语音广播功能，一键式按钮呼叫，教师可听到排队等待或网络故障等语音提示，管理端自动弹出呼叫排队列表，接通后总控平台自动显示对应呼叫教室的视频画面及计算机桌面，支持排队、等待、调度等功能，可多名管理员同时处理不同教室的呼叫请求，对讲内容可录入或同步录音存储（提供此功能截图）；</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4、有网络远程控制功能：网络中控可以进行远程管理；可以远程控制教室端各种设备的动作，可远程检测教室设备的工作状态、参数设置等。</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二、控制面板：</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1、集成电容触摸液晶控制面板，屏幕尺寸≥7英寸；</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▲2、可编程，按照功能名称、排列、风格等个性化定制，同时支持插卡、显示动态二维码、反扫二维码身份认证授权方式（提供实物照片及功能说明）；</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▲3、集成一键式呼入按钮，实现与总控室全双工语音对讲功能（内置拾音及扬声器），采用总线方式接口（提供实物照片及功能说明）；</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4、为了保证系统的稳定性及便捷性，须与网络中控为同一品牌。</w:t>
            </w:r>
            <w:r>
              <w:rPr>
                <w:rFonts w:cs="宋体"/>
                <w:color w:val="000000"/>
                <w:sz w:val="24"/>
                <w:szCs w:val="24"/>
                <w:highlight w:val="none"/>
              </w:rPr>
            </w:r>
            <w:r/>
          </w:p>
        </w:tc>
      </w:tr>
      <w:tr>
        <w:trPr>
          <w:trHeight w:val="600"/>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6</w:t>
            </w:r>
            <w:r>
              <w:rPr>
                <w:rFonts w:cs="宋体"/>
                <w:color w:val="000000"/>
                <w:sz w:val="24"/>
                <w:szCs w:val="24"/>
                <w:highlight w:val="none"/>
              </w:rPr>
            </w:r>
            <w:r/>
          </w:p>
        </w:tc>
        <w:tc>
          <w:tcPr>
            <w:tcW w:w="1120"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网络中控及控制面板2</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6</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一、网络中控：</w:t>
            </w:r>
            <w:r>
              <w:rPr>
                <w:rFonts w:cs="宋体"/>
                <w:color w:val="000000"/>
                <w:sz w:val="24"/>
                <w:szCs w:val="24"/>
                <w:highlight w:val="none"/>
              </w:rPr>
            </w:r>
            <w:r/>
          </w:p>
          <w:p>
            <w:pPr>
              <w:pStyle w:val="869"/>
              <w:rPr>
                <w:rFonts w:hint="eastAsia" w:cs="宋体"/>
                <w:color w:val="000000"/>
                <w:sz w:val="24"/>
                <w:szCs w:val="24"/>
                <w:highlight w:val="none"/>
              </w:rPr>
            </w:pPr>
            <w:r>
              <w:rPr>
                <w:rFonts w:hint="eastAsia" w:cs="宋体"/>
                <w:color w:val="000000"/>
                <w:sz w:val="24"/>
                <w:szCs w:val="24"/>
                <w:highlight w:val="none"/>
              </w:rPr>
              <w:t xml:space="preserve">▲1、多媒体网络中央控制器接口要求：内置≥5口千兆网络接口，HDMI输入接口≥3路，HDMI输出接口≥4路，HDBaseT输出接口≥1路，红外控制接口≥1路，RS232双向通讯接口≥8路，3.5mm音频输入≥3路，3.5mm音频输出≥1路，3.5mm高清音频混麦克风音频剥离输出接口≥1路，6.5mm话筒信号输入≥1路，6.5mm话筒信号输出≥1路，3+1强电控制端口（提供投标产品实物图片并对相关接口进行说明）；</w:t>
            </w:r>
            <w:r>
              <w:rPr>
                <w:rFonts w:hint="eastAsia"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2、具备远程授权功能，支持脱机和联网两种运行方式：网络畅通时数据上传至中心数据库，网络故障时，实现本地认证和操作记录，可与校园一卡通数据库兼容且实时对接；</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内置全双工数字语音对讲系统，支持IP语音广播功能，一键式按钮呼叫，教师可听到排队等待或网络故障等语音提示，管理端自动弹出呼叫排队列表，接通后总控平台自动显示对应呼叫教室的视频画面及计算机桌面，支持排队、等待、调度等功能，可多名管理员同时处理不同教室的呼叫请求，对讲内容可录入或同步录音存储（提供此功能截图）；</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4、有网络远程控制功能：网络中控可以进行远程管理；可以远程控制教室端各种设备的动作，可远程检测教室设备的工作状态、参数设置等。</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二、控制面板：</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1、集成电容触摸液晶控制面板，屏幕尺寸≥7英寸；</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▲2、可编程，按照功能名称、排列、风格等个性化定制，同时支持插卡、显示动态二维码、反扫二维码身份认证授权方式（提供实物照片及功能说明）；</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▲3、集成一键式呼入按钮，实现与总控室全双工语音对讲功能（内置拾音及扬声器），采用总线方式接口（提供实物照片及功能说明）；</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4</w:t>
            </w:r>
            <w:r>
              <w:rPr>
                <w:rFonts w:hint="eastAsia" w:cs="宋体"/>
                <w:color w:val="000000"/>
                <w:sz w:val="24"/>
                <w:szCs w:val="24"/>
                <w:highlight w:val="none"/>
              </w:rPr>
              <w:t xml:space="preserve">、为了保证系统的稳定性及便捷性，须与网络中控为同一品牌。</w:t>
            </w:r>
            <w:r>
              <w:rPr>
                <w:rFonts w:cs="宋体"/>
                <w:color w:val="000000"/>
                <w:sz w:val="24"/>
                <w:szCs w:val="24"/>
                <w:highlight w:val="none"/>
              </w:rPr>
            </w:r>
            <w:r/>
          </w:p>
        </w:tc>
      </w:tr>
      <w:tr>
        <w:trPr>
          <w:trHeight w:val="824"/>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7</w:t>
            </w:r>
            <w:r>
              <w:rPr>
                <w:rFonts w:cs="宋体"/>
                <w:color w:val="000000"/>
                <w:sz w:val="24"/>
                <w:szCs w:val="24"/>
                <w:highlight w:val="none"/>
              </w:rPr>
            </w:r>
            <w:r/>
          </w:p>
        </w:tc>
        <w:tc>
          <w:tcPr>
            <w:tcW w:w="1120"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扩音系统1</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79</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一、音频处理器（1台）</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1、机架式设备，高度≤1U，音频处理部分和功率放大器集成到一个机箱内；</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2、前面板具有音量指示灯和液晶显示屏，用于显示各项参数指标；</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3、具有至少1路48V幻象供电麦克风输入，采用凤凰端子，可在操作面板实现音量调整及麦克风开关，有线麦克风与无线麦克风之间可自由切换（需提供麦克风输入接口实物图片予以佐证）；</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▲4、具有≥1个以太网接口，≥1路RS-232接口，可实现平台远程声音控制、批量升级、音频参数调节、实时显示音量大小、提供负载检测等功能（需提供设备端口截图，加盖投标人公章）；</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▲5、内置自适应音频处理算法，传声增益提升幅度≥15dB，增益控制幅度-12dB - +12dB，信噪比提升≥18dB，回音消除尾音长度≥512ms，回声消除幅度≥60dB，收敛速度≥60dB/S，信噪比≥95dB，信号处理延时＜8ms，本地扩声声场不均匀度＜5dB，所有音频处理部分的频率响应：20Hz-20kHz（±3dB）；（提供有“CMA”标识的检测报告或提供承诺书原件内容为中标后提供具有“CMA”标识的满足此项参数的检测报告）</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6、功率放大器的最大输出功率：≥2*100W。</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二、吊装麦克风（1只）</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1、频率范围：20Hz-20KHz ；</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2、灵敏度：≥-35dB（18mV/Pa）；</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3、指向性：超心型；</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4、最大声压级：≥135dB；</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5、信噪比：≥75dB；</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6、供电电压：48V幻象电源供电；</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7、抗手机、电磁、高频干扰；</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8、有吊顶的教室使用吸顶麦克风拾音，吸顶麦克风露出部分不能超过8厘米，没有吊顶的教室使用吊装麦克风，麦克风最低处离地面至少3.5米（根据教室层高自行调整）；</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w:t>
            </w:r>
            <w:r>
              <w:rPr>
                <w:rFonts w:cs="宋体"/>
                <w:color w:val="000000"/>
                <w:sz w:val="24"/>
                <w:szCs w:val="24"/>
                <w:highlight w:val="none"/>
              </w:rPr>
              <w:t xml:space="preserve">9</w:t>
            </w:r>
            <w:r>
              <w:rPr>
                <w:rFonts w:hint="eastAsia" w:cs="宋体"/>
                <w:color w:val="000000"/>
                <w:sz w:val="24"/>
                <w:szCs w:val="24"/>
                <w:highlight w:val="none"/>
              </w:rPr>
              <w:t xml:space="preserve">、内部嵌入数字麦克风软件（提供数字麦克风嵌入式软件的计算机软件著作权登记证书复印件加盖投标人公章）。</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三、音箱（2只）</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1、频率响应：120Hz-20KHz（±3dB）；</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2、额定阻抗：4-8Ω；</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3、灵 敏 度：85-90dB；</w:t>
            </w:r>
            <w:r>
              <w:rPr>
                <w:rFonts w:cs="宋体"/>
                <w:color w:val="000000"/>
                <w:sz w:val="24"/>
                <w:szCs w:val="24"/>
                <w:highlight w:val="none"/>
              </w:rPr>
            </w:r>
            <w:r/>
          </w:p>
          <w:p>
            <w:pPr>
              <w:pStyle w:val="869"/>
              <w:rPr>
                <w:color w:val="000000"/>
                <w:highlight w:val="none"/>
              </w:rPr>
            </w:pPr>
            <w:r>
              <w:rPr>
                <w:rFonts w:hint="eastAsia" w:cs="宋体"/>
                <w:color w:val="000000"/>
                <w:sz w:val="24"/>
                <w:szCs w:val="24"/>
                <w:highlight w:val="none"/>
              </w:rPr>
              <w:t xml:space="preserve">4、额定功率：80W；</w:t>
            </w:r>
            <w:r>
              <w:rPr>
                <w:color w:val="000000"/>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5、接线端子：单线分音。</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四、无线话筒（1只）</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1、采用UHF数字调制和无线抗干扰编码技术，射频指标完全符合国家标准；</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2、采用低延时高保真数字音频压缩和传输技术，音频失真度＜0.08%；</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3、充电方式：直插式桌面充电器充电；</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4、具有充电提醒及保护功能；</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5、可实现无线话筒自动锁定功能，并可通过中控解锁。</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五、充电底座（1个）</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1、充电底座采用一体化设计，无线话筒插入充电座即可自动完成配对；</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2、收发频率：470MHz-510MHz；</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3、采用GFSK调制方式；</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4、频率响应范围：20Hz-20KHz（±3dB）；</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5、频率稳定度：≤±0.005%；</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6、综合信噪比：＞85dB ，综合失真：≤0.5%；</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7、频道组数≥2通道，支持两只无线话筒同时使用。</w:t>
            </w:r>
            <w:r>
              <w:rPr>
                <w:rFonts w:cs="宋体"/>
                <w:color w:val="000000"/>
                <w:sz w:val="24"/>
                <w:szCs w:val="24"/>
                <w:highlight w:val="none"/>
              </w:rPr>
            </w:r>
            <w:r/>
          </w:p>
        </w:tc>
      </w:tr>
      <w:tr>
        <w:trPr>
          <w:trHeight w:val="708"/>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8</w:t>
            </w:r>
            <w:r>
              <w:rPr>
                <w:rFonts w:cs="宋体"/>
                <w:color w:val="000000"/>
                <w:sz w:val="24"/>
                <w:szCs w:val="24"/>
                <w:highlight w:val="none"/>
              </w:rPr>
            </w:r>
            <w:r/>
          </w:p>
        </w:tc>
        <w:tc>
          <w:tcPr>
            <w:tcW w:w="1120"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扩音系统2</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6</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一、音频处理器（1台）</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1、音频处理部分和数字功率放大器部分一体式设计，≤2U标准机架式设备；</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2、前面板具有音量指示灯和音量调节按钮，便于随时调节；</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3、麦克风（MIC）输入：提供≥4路麦克输入，采用凤凰端子，提供48V可控幻象电源，有线麦克与无线麦克之间可自由切换；</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4、具有≥1路RS-232接口，可通过该接口对声音控制、升级、音频参数调节、实时显示音量大小、提供负载检测等功能；</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▲5、内置自适应音频处理算法，传声增益提升幅度≥15dB，增益控制幅度-12dB - +12dB，信噪比提升≥18dB，回音消除尾音长度≥512ms，回声消除幅度≥60dB，收敛速度≥60dB/S，信噪比≥95dB，信号处理延时＜8ms，本地扩声声场不均匀度＜5dB，所有音频处理部分的频率响应：20Hz-20kHz（±3dB）；（提供有“CMA”标识的检测报告或提供承诺书原件内容为中标后提供具有“CMA”标识的满足此项参数的检测报告）</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6、功率放大器的最大输出功率：≥2*400W。</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二、吊装麦克风（3只）</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1、频率范围：20Hz-20KHz ；</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2、灵敏度：≥-35dB（18mV/Pa）；</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3、指向性：超心型；</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4、最大声压级：≥135dB；</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5、信噪比：≥75dB；</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6、供电电压：48V幻象电源供电；</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7、抗手机、电磁、高频干扰；</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8、有吊顶的教室使用吸顶麦克风拾音，吸顶麦克风露出部分不能超过8厘米，没有吊顶的教室使用吊装麦克风，麦克风最低处离地面至少3.5米（根据教室层高自行调整）；</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▲9、内部嵌入数字麦克风软件（提供数字麦克风嵌入式软件的计算机软件著作权登记证书复印件加盖投标人公章）。</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三、音箱（8只）</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1、频率响应：120Hz-20KHz（±3dB）；</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2、额定阻抗：4-8Ω；</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3、灵 敏 度：85-90dB；</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4、额定功率：80W；</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5、接线端子：单线分音。</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四、无线话筒（1只）</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1、采用UHF数字调制和无线抗干扰编码技术，射频指标完全符合国家标准；</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2、采用低延时高保真数字音频压缩和传输技术，音频失真度＜0.08%；</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3、充电方式：直插式桌面充电器充电；</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4、具有充电提醒及保护功能；</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5、可实现无线话筒自动锁定功能，并可通过中控解锁。</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五、充电底座（1个）</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1、充电底座采用一体化设计，无线话筒插入充电座即可自动完成配对；</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2、收发频率：470MHz-510MHz；</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3、采用GFSK调制方式；</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4、频率响应范围：20Hz-20KHz（±3dB）；</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5、频率稳定度：≤±0.005%；</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6、综合信噪比：＞85dB ，综合失真：≤0.5%；</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7、频道组数≥2通道，支持两只无线话筒同时使用。</w:t>
            </w:r>
            <w:r>
              <w:rPr>
                <w:rFonts w:cs="宋体"/>
                <w:color w:val="000000"/>
                <w:sz w:val="24"/>
                <w:szCs w:val="24"/>
                <w:highlight w:val="none"/>
              </w:rPr>
            </w:r>
            <w:r/>
          </w:p>
        </w:tc>
      </w:tr>
      <w:tr>
        <w:trPr>
          <w:trHeight w:val="840"/>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9</w:t>
            </w:r>
            <w:r>
              <w:rPr>
                <w:rFonts w:cs="宋体"/>
                <w:color w:val="000000"/>
                <w:sz w:val="24"/>
                <w:szCs w:val="24"/>
                <w:highlight w:val="none"/>
              </w:rPr>
            </w:r>
            <w:r/>
          </w:p>
        </w:tc>
        <w:tc>
          <w:tcPr>
            <w:tcW w:w="1120"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虚拟化服务器</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3</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1、尺寸：2U机架式服务器；</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2</w:t>
            </w:r>
            <w:r>
              <w:rPr>
                <w:rFonts w:hint="eastAsia" w:cs="宋体"/>
                <w:color w:val="000000"/>
                <w:sz w:val="24"/>
                <w:szCs w:val="24"/>
                <w:highlight w:val="none"/>
              </w:rPr>
              <w:t xml:space="preserve">、</w:t>
            </w:r>
            <w:r>
              <w:rPr>
                <w:rFonts w:cs="宋体"/>
                <w:color w:val="000000"/>
                <w:sz w:val="24"/>
                <w:szCs w:val="24"/>
                <w:highlight w:val="none"/>
              </w:rPr>
              <w:t xml:space="preserve">CPU </w:t>
            </w:r>
            <w:r>
              <w:rPr>
                <w:rFonts w:hint="eastAsia" w:cs="宋体"/>
                <w:color w:val="000000"/>
                <w:sz w:val="24"/>
                <w:szCs w:val="24"/>
                <w:highlight w:val="none"/>
              </w:rPr>
              <w:t xml:space="preserve">：配置标准不低于以下参数：</w:t>
            </w:r>
            <w:r>
              <w:rPr>
                <w:rFonts w:cs="宋体"/>
                <w:color w:val="000000"/>
                <w:sz w:val="24"/>
                <w:szCs w:val="24"/>
                <w:highlight w:val="none"/>
              </w:rPr>
              <w:t xml:space="preserve"> 2.1GHz</w:t>
            </w:r>
            <w:r>
              <w:rPr>
                <w:rFonts w:hint="eastAsia" w:cs="宋体"/>
                <w:color w:val="000000"/>
                <w:sz w:val="24"/>
                <w:szCs w:val="24"/>
                <w:highlight w:val="none"/>
              </w:rPr>
              <w:t xml:space="preserve">，</w:t>
            </w:r>
            <w:r>
              <w:rPr>
                <w:rFonts w:cs="宋体"/>
                <w:color w:val="000000"/>
                <w:sz w:val="24"/>
                <w:szCs w:val="24"/>
                <w:highlight w:val="none"/>
              </w:rPr>
              <w:t xml:space="preserve">12核心/24线程</w:t>
            </w:r>
            <w:r>
              <w:rPr>
                <w:rFonts w:hint="eastAsia" w:cs="宋体"/>
                <w:color w:val="000000"/>
                <w:sz w:val="24"/>
                <w:szCs w:val="24"/>
                <w:highlight w:val="none"/>
              </w:rPr>
              <w:t xml:space="preserve">，</w:t>
            </w:r>
            <w:r>
              <w:rPr>
                <w:rFonts w:cs="宋体"/>
                <w:color w:val="000000"/>
                <w:sz w:val="24"/>
                <w:szCs w:val="24"/>
                <w:highlight w:val="none"/>
              </w:rPr>
              <w:t xml:space="preserve"> 10.4GT/s</w:t>
            </w:r>
            <w:r>
              <w:rPr>
                <w:rFonts w:hint="eastAsia" w:cs="宋体"/>
                <w:color w:val="000000"/>
                <w:sz w:val="24"/>
                <w:szCs w:val="24"/>
                <w:highlight w:val="none"/>
              </w:rPr>
              <w:t xml:space="preserve">；</w:t>
            </w:r>
            <w:r>
              <w:rPr>
                <w:rFonts w:cs="宋体"/>
                <w:color w:val="000000"/>
                <w:sz w:val="24"/>
                <w:szCs w:val="24"/>
                <w:highlight w:val="none"/>
              </w:rPr>
              <w:t xml:space="preserve"> </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3、内存：32G DDR4；</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4、硬盘：</w:t>
            </w:r>
            <w:r>
              <w:rPr>
                <w:rFonts w:cs="宋体"/>
                <w:color w:val="000000"/>
                <w:sz w:val="24"/>
                <w:szCs w:val="24"/>
                <w:highlight w:val="none"/>
              </w:rPr>
              <w:t xml:space="preserve">2*960G SSD</w:t>
            </w:r>
            <w:r>
              <w:rPr>
                <w:rFonts w:hint="eastAsia" w:cs="宋体"/>
                <w:color w:val="000000"/>
                <w:sz w:val="24"/>
                <w:szCs w:val="24"/>
                <w:highlight w:val="none"/>
              </w:rPr>
              <w:t xml:space="preserve">硬盘，</w:t>
            </w:r>
            <w:r>
              <w:rPr>
                <w:rFonts w:cs="宋体"/>
                <w:color w:val="000000"/>
                <w:sz w:val="24"/>
                <w:szCs w:val="24"/>
                <w:highlight w:val="none"/>
              </w:rPr>
              <w:t xml:space="preserve">2*4T SATA</w:t>
            </w:r>
            <w:r>
              <w:rPr>
                <w:rFonts w:hint="eastAsia" w:cs="宋体"/>
                <w:color w:val="000000"/>
                <w:sz w:val="24"/>
                <w:szCs w:val="24"/>
                <w:highlight w:val="none"/>
              </w:rPr>
              <w:t xml:space="preserve">硬盘；</w:t>
            </w:r>
            <w:r>
              <w:rPr>
                <w:rFonts w:cs="宋体"/>
                <w:color w:val="000000"/>
                <w:sz w:val="24"/>
                <w:szCs w:val="24"/>
                <w:highlight w:val="none"/>
              </w:rPr>
            </w:r>
            <w:r/>
          </w:p>
          <w:p>
            <w:pPr>
              <w:pStyle w:val="869"/>
              <w:rPr>
                <w:color w:val="000000"/>
                <w:highlight w:val="none"/>
              </w:rPr>
            </w:pPr>
            <w:r>
              <w:rPr>
                <w:rFonts w:cs="宋体"/>
                <w:color w:val="000000"/>
                <w:sz w:val="24"/>
                <w:szCs w:val="24"/>
                <w:highlight w:val="none"/>
              </w:rPr>
              <w:t xml:space="preserve">5</w:t>
            </w:r>
            <w:r>
              <w:rPr>
                <w:rFonts w:hint="eastAsia" w:cs="宋体"/>
                <w:color w:val="000000"/>
                <w:sz w:val="24"/>
                <w:szCs w:val="24"/>
                <w:highlight w:val="none"/>
              </w:rPr>
              <w:t xml:space="preserve">、网络接口：≥</w:t>
            </w:r>
            <w:r>
              <w:rPr>
                <w:rFonts w:cs="宋体"/>
                <w:color w:val="000000"/>
                <w:sz w:val="24"/>
                <w:szCs w:val="24"/>
                <w:highlight w:val="none"/>
              </w:rPr>
              <w:t xml:space="preserve">2</w:t>
            </w:r>
            <w:r>
              <w:rPr>
                <w:rFonts w:hint="eastAsia" w:cs="宋体"/>
                <w:color w:val="000000"/>
                <w:sz w:val="24"/>
                <w:szCs w:val="24"/>
                <w:highlight w:val="none"/>
              </w:rPr>
              <w:t xml:space="preserve">路</w:t>
            </w:r>
            <w:r>
              <w:rPr>
                <w:rFonts w:cs="宋体"/>
                <w:color w:val="000000"/>
                <w:sz w:val="24"/>
                <w:szCs w:val="24"/>
                <w:highlight w:val="none"/>
              </w:rPr>
              <w:t xml:space="preserve">10M/100M/1000M RJ45</w:t>
            </w:r>
            <w:r>
              <w:rPr>
                <w:rFonts w:hint="eastAsia" w:cs="宋体"/>
                <w:color w:val="000000"/>
                <w:sz w:val="24"/>
                <w:szCs w:val="24"/>
                <w:highlight w:val="none"/>
              </w:rPr>
              <w:t xml:space="preserve">接口, 支持</w:t>
            </w:r>
            <w:r>
              <w:rPr>
                <w:rFonts w:cs="宋体"/>
                <w:color w:val="000000"/>
                <w:sz w:val="24"/>
                <w:szCs w:val="24"/>
                <w:highlight w:val="none"/>
              </w:rPr>
              <w:t xml:space="preserve">RAID 0, 1, 5, 10</w:t>
            </w:r>
            <w:r>
              <w:rPr>
                <w:rFonts w:hint="eastAsia" w:cs="宋体"/>
                <w:color w:val="000000"/>
                <w:sz w:val="24"/>
                <w:szCs w:val="24"/>
                <w:highlight w:val="none"/>
              </w:rPr>
              <w:t xml:space="preserve">；</w:t>
            </w:r>
            <w:r>
              <w:rPr>
                <w:color w:val="000000"/>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6、电源：600W*2。</w:t>
            </w:r>
            <w:r>
              <w:rPr>
                <w:rFonts w:cs="宋体"/>
                <w:color w:val="000000"/>
                <w:sz w:val="24"/>
                <w:szCs w:val="24"/>
                <w:highlight w:val="none"/>
              </w:rPr>
            </w:r>
            <w:r/>
          </w:p>
        </w:tc>
      </w:tr>
      <w:tr>
        <w:trPr>
          <w:trHeight w:val="840"/>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10</w:t>
            </w:r>
            <w:r>
              <w:rPr>
                <w:rFonts w:cs="宋体"/>
                <w:color w:val="000000"/>
                <w:sz w:val="24"/>
                <w:szCs w:val="24"/>
                <w:highlight w:val="none"/>
              </w:rPr>
            </w:r>
            <w:r/>
          </w:p>
        </w:tc>
        <w:tc>
          <w:tcPr>
            <w:tcW w:w="1120"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控制平台服务器（含集控平台软件、一卡通数据对接系统、教务课表数据对接系统软件）</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3</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一、硬件参数</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w:t>
            </w:r>
            <w:r>
              <w:rPr>
                <w:rFonts w:cs="宋体"/>
                <w:color w:val="000000"/>
                <w:sz w:val="24"/>
                <w:szCs w:val="24"/>
                <w:highlight w:val="none"/>
              </w:rPr>
              <w:t xml:space="preserve">CPU: </w:t>
            </w:r>
            <w:r>
              <w:rPr>
                <w:rFonts w:hint="eastAsia" w:cs="宋体"/>
                <w:color w:val="000000"/>
                <w:sz w:val="24"/>
                <w:szCs w:val="24"/>
                <w:highlight w:val="none"/>
              </w:rPr>
              <w:t xml:space="preserve">配置标准不低于以下参数：</w:t>
            </w:r>
            <w:r>
              <w:rPr>
                <w:rFonts w:cs="宋体"/>
                <w:color w:val="000000"/>
                <w:sz w:val="24"/>
                <w:szCs w:val="24"/>
                <w:highlight w:val="none"/>
              </w:rPr>
              <w:t xml:space="preserve"> 2.9GHz</w:t>
            </w:r>
            <w:r>
              <w:rPr>
                <w:rFonts w:hint="eastAsia" w:cs="宋体"/>
                <w:color w:val="000000"/>
                <w:sz w:val="24"/>
                <w:szCs w:val="24"/>
                <w:highlight w:val="none"/>
              </w:rPr>
              <w:t xml:space="preserve">，</w:t>
            </w:r>
            <w:r>
              <w:rPr>
                <w:rFonts w:cs="宋体"/>
                <w:color w:val="000000"/>
                <w:sz w:val="24"/>
                <w:szCs w:val="24"/>
                <w:highlight w:val="none"/>
              </w:rPr>
              <w:t xml:space="preserve">12M</w:t>
            </w:r>
            <w:r>
              <w:rPr>
                <w:rFonts w:hint="eastAsia" w:cs="宋体"/>
                <w:color w:val="000000"/>
                <w:sz w:val="24"/>
                <w:szCs w:val="24"/>
                <w:highlight w:val="none"/>
              </w:rPr>
              <w:t xml:space="preserve">缓存，</w:t>
            </w:r>
            <w:r>
              <w:rPr>
                <w:rFonts w:cs="宋体"/>
                <w:color w:val="000000"/>
                <w:sz w:val="24"/>
                <w:szCs w:val="24"/>
                <w:highlight w:val="none"/>
              </w:rPr>
              <w:t xml:space="preserve"> 6核心/12线程</w:t>
            </w:r>
            <w:r>
              <w:rPr>
                <w:rFonts w:hint="eastAsia" w:cs="宋体"/>
                <w:color w:val="000000"/>
                <w:sz w:val="24"/>
                <w:szCs w:val="24"/>
                <w:highlight w:val="none"/>
              </w:rPr>
              <w:t xml:space="preserve">，；</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2</w:t>
            </w:r>
            <w:r>
              <w:rPr>
                <w:rFonts w:hint="eastAsia" w:cs="宋体"/>
                <w:color w:val="000000"/>
                <w:sz w:val="24"/>
                <w:szCs w:val="24"/>
                <w:highlight w:val="none"/>
              </w:rPr>
              <w:t xml:space="preserve">、内存：</w:t>
            </w:r>
            <w:r>
              <w:rPr>
                <w:rFonts w:cs="宋体"/>
                <w:color w:val="000000"/>
                <w:sz w:val="24"/>
                <w:szCs w:val="24"/>
                <w:highlight w:val="none"/>
              </w:rPr>
              <w:t xml:space="preserve">16G DDR4</w:t>
            </w:r>
            <w:r>
              <w:rPr>
                <w:rFonts w:hint="eastAsia" w:cs="宋体"/>
                <w:color w:val="000000"/>
                <w:sz w:val="24"/>
                <w:szCs w:val="24"/>
                <w:highlight w:val="none"/>
              </w:rPr>
              <w:t xml:space="preserve">；</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3</w:t>
            </w:r>
            <w:r>
              <w:rPr>
                <w:rFonts w:hint="eastAsia" w:cs="宋体"/>
                <w:color w:val="000000"/>
                <w:sz w:val="24"/>
                <w:szCs w:val="24"/>
                <w:highlight w:val="none"/>
              </w:rPr>
              <w:t xml:space="preserve">、硬盘：</w:t>
            </w:r>
            <w:r>
              <w:rPr>
                <w:rFonts w:cs="宋体"/>
                <w:color w:val="000000"/>
                <w:sz w:val="24"/>
                <w:szCs w:val="24"/>
                <w:highlight w:val="none"/>
              </w:rPr>
              <w:t xml:space="preserve">4*4T SATA  3.5</w:t>
            </w:r>
            <w:r>
              <w:rPr>
                <w:rFonts w:hint="eastAsia" w:cs="宋体"/>
                <w:color w:val="000000"/>
                <w:sz w:val="24"/>
                <w:szCs w:val="24"/>
                <w:highlight w:val="none"/>
              </w:rPr>
              <w:t xml:space="preserve">英寸企业盘；</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4</w:t>
            </w:r>
            <w:r>
              <w:rPr>
                <w:rFonts w:hint="eastAsia" w:cs="宋体"/>
                <w:color w:val="000000"/>
                <w:sz w:val="24"/>
                <w:szCs w:val="24"/>
                <w:highlight w:val="none"/>
              </w:rPr>
              <w:t xml:space="preserve">、网络接口：≥</w:t>
            </w:r>
            <w:r>
              <w:rPr>
                <w:rFonts w:cs="宋体"/>
                <w:color w:val="000000"/>
                <w:sz w:val="24"/>
                <w:szCs w:val="24"/>
                <w:highlight w:val="none"/>
              </w:rPr>
              <w:t xml:space="preserve">2</w:t>
            </w:r>
            <w:r>
              <w:rPr>
                <w:rFonts w:hint="eastAsia" w:cs="宋体"/>
                <w:color w:val="000000"/>
                <w:sz w:val="24"/>
                <w:szCs w:val="24"/>
                <w:highlight w:val="none"/>
              </w:rPr>
              <w:t xml:space="preserve">路</w:t>
            </w:r>
            <w:r>
              <w:rPr>
                <w:rFonts w:cs="宋体"/>
                <w:color w:val="000000"/>
                <w:sz w:val="24"/>
                <w:szCs w:val="24"/>
                <w:highlight w:val="none"/>
              </w:rPr>
              <w:t xml:space="preserve">10M/100M/1000M RJ45</w:t>
            </w:r>
            <w:r>
              <w:rPr>
                <w:rFonts w:hint="eastAsia" w:cs="宋体"/>
                <w:color w:val="000000"/>
                <w:sz w:val="24"/>
                <w:szCs w:val="24"/>
                <w:highlight w:val="none"/>
              </w:rPr>
              <w:t xml:space="preserve">接口；支持</w:t>
            </w:r>
            <w:r>
              <w:rPr>
                <w:rFonts w:cs="宋体"/>
                <w:color w:val="000000"/>
                <w:sz w:val="24"/>
                <w:szCs w:val="24"/>
                <w:highlight w:val="none"/>
              </w:rPr>
              <w:t xml:space="preserve">RAID 0, 1, 5, 10</w:t>
            </w:r>
            <w:r>
              <w:rPr>
                <w:rFonts w:hint="eastAsia" w:cs="宋体"/>
                <w:color w:val="000000"/>
                <w:sz w:val="24"/>
                <w:szCs w:val="24"/>
                <w:highlight w:val="none"/>
              </w:rPr>
              <w:t xml:space="preserve">。</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二、集控平台软件要求</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1、具有B/S架构与C/S架构双重方式，组建方式灵活，具备多校区、多客户端（PC/移动客户端）、多用户权限（管理员、操作员、查询用户）管理，可根据用户使用习惯自由设置功能辅助区；</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2、可远程控制教室中控系统开关、投影机开关、幕布的升降以及对多媒体系统进行锁定和解锁，可单独或批量控制教室设备；</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3、设备控制与视频监控、全双工对讲、计算机桌面四合一联动，视频画面支持4/9/16分割且具备轮巡、抓图、录像等功能，单教室视频联动支持多品牌、多画面同时接入；</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4、可远程查看多媒体教室系统设备运行状态，中控网络连接状态显示，具有投影机使用时间、工作状态、报警等信息，具有教室使用率、在线数量、断线数量等相关信息统计功能；</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5、卡处理系统：可实现远程写IC卡号发卡、挂失/解挂、权限设定、刷卡记录查询、数据管理，具备IC卡远程授权功能，支持管理员将读卡信息临时授权并录入白名单；</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6、具备语音提示与录音功能：可同时处理多个不同教室的呼叫请求，呼叫排队等待及网络故障时有语音提示功能，具有对讲录音功能，实时记录教师与管理员沟通与反馈内容，以便于之后的语音数据查询、分析、汇总（投标时提供功能截图）；</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7、具备手机客户端远程控制功能：手机客户端可以监视教室多媒体设备运行状态，实时获取教学设备异常报警信息，并可对教室进行上下课、设备加解锁、周边设备独立控制、呼叫对讲请求处理；</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▲8、网络多媒体中央控制系统具有相关软件著作权证书及软件评测报告。（提供证明材料复印件加盖公章）</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三、一卡通数据对接系统 </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▲具备一卡通数据二次开发对接软件著作权证书，有完全的自主知识产权和自主开发能力。（提供证明材料复印件加盖公章）</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四、教务课表数据对接系统软件</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▲具备教务课表数据对接软件著作权证书，有完全的自主产权有自主开发能力。（提供证明材料复印件加盖公章）</w:t>
            </w:r>
            <w:r>
              <w:rPr>
                <w:rFonts w:cs="宋体"/>
                <w:color w:val="000000"/>
                <w:sz w:val="24"/>
                <w:szCs w:val="24"/>
                <w:highlight w:val="none"/>
              </w:rPr>
            </w:r>
            <w:r/>
          </w:p>
        </w:tc>
      </w:tr>
      <w:tr>
        <w:trPr>
          <w:trHeight w:val="600"/>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11</w:t>
            </w:r>
            <w:r>
              <w:rPr>
                <w:rFonts w:cs="宋体"/>
                <w:color w:val="000000"/>
                <w:sz w:val="24"/>
                <w:szCs w:val="24"/>
                <w:highlight w:val="none"/>
              </w:rPr>
            </w:r>
            <w:r/>
          </w:p>
        </w:tc>
        <w:tc>
          <w:tcPr>
            <w:tcW w:w="1120"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商业显示屏1</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6</w:t>
            </w:r>
            <w:r>
              <w:rPr>
                <w:rFonts w:cs="宋体"/>
                <w:color w:val="000000"/>
                <w:sz w:val="24"/>
                <w:szCs w:val="24"/>
                <w:highlight w:val="none"/>
              </w:rPr>
            </w:r>
            <w:r/>
          </w:p>
        </w:tc>
        <w:tc>
          <w:tcPr>
            <w:tcW w:w="6402" w:type="dxa"/>
            <w:vAlign w:val="center"/>
            <w:textDirection w:val="lrTb"/>
            <w:noWrap w:val="false"/>
          </w:tcPr>
          <w:p>
            <w:pPr>
              <w:pStyle w:val="869"/>
              <w:rPr>
                <w:color w:val="000000"/>
                <w:highlight w:val="none"/>
              </w:rPr>
            </w:pPr>
            <w:r>
              <w:rPr>
                <w:rFonts w:hint="eastAsia" w:cs="宋体"/>
                <w:color w:val="000000"/>
                <w:sz w:val="24"/>
                <w:szCs w:val="24"/>
                <w:highlight w:val="none"/>
              </w:rPr>
              <w:t xml:space="preserve">1、98英寸，具备4K/ UHD 超高清显示；亮度 500nit。要求开机无广告；</w:t>
            </w:r>
            <w:r>
              <w:rPr>
                <w:color w:val="000000"/>
                <w:highlight w:val="none"/>
              </w:rPr>
            </w:r>
            <w:r/>
          </w:p>
          <w:p>
            <w:pPr>
              <w:pStyle w:val="869"/>
              <w:rPr>
                <w:rFonts w:cs="宋体"/>
                <w:color w:val="000000"/>
                <w:sz w:val="24"/>
                <w:szCs w:val="24"/>
                <w:highlight w:val="none"/>
              </w:rPr>
            </w:pPr>
            <w:r>
              <w:rPr>
                <w:rFonts w:cs="宋体"/>
                <w:color w:val="000000"/>
                <w:sz w:val="24"/>
                <w:szCs w:val="24"/>
                <w:highlight w:val="none"/>
              </w:rPr>
              <w:t xml:space="preserve">2</w:t>
            </w:r>
            <w:r>
              <w:rPr>
                <w:rFonts w:hint="eastAsia" w:cs="宋体"/>
                <w:color w:val="000000"/>
                <w:sz w:val="24"/>
                <w:szCs w:val="24"/>
                <w:highlight w:val="none"/>
              </w:rPr>
              <w:t xml:space="preserve">、具备音箱功能：10W*2；</w:t>
            </w:r>
            <w:r>
              <w:rPr>
                <w:rFonts w:cs="宋体"/>
                <w:color w:val="000000"/>
                <w:sz w:val="24"/>
                <w:szCs w:val="24"/>
                <w:highlight w:val="none"/>
              </w:rPr>
            </w:r>
            <w:r/>
          </w:p>
          <w:p>
            <w:pPr>
              <w:pStyle w:val="869"/>
              <w:widowControl/>
              <w:rPr>
                <w:rFonts w:cs="宋体"/>
                <w:color w:val="000000"/>
                <w:sz w:val="24"/>
                <w:szCs w:val="24"/>
                <w:highlight w:val="none"/>
              </w:rPr>
            </w:pPr>
            <w:r>
              <w:rPr>
                <w:rFonts w:hint="eastAsia" w:cs="宋体"/>
                <w:color w:val="000000"/>
                <w:sz w:val="24"/>
                <w:szCs w:val="24"/>
                <w:highlight w:val="none"/>
              </w:rPr>
              <w:t xml:space="preserve">▲</w:t>
            </w:r>
            <w:r>
              <w:rPr>
                <w:rFonts w:cs="宋体"/>
                <w:color w:val="000000"/>
                <w:sz w:val="24"/>
                <w:szCs w:val="24"/>
                <w:highlight w:val="none"/>
              </w:rPr>
              <w:t xml:space="preserve">3</w:t>
            </w:r>
            <w:r>
              <w:rPr>
                <w:rFonts w:hint="eastAsia" w:cs="宋体"/>
                <w:color w:val="000000"/>
                <w:sz w:val="24"/>
                <w:szCs w:val="24"/>
                <w:highlight w:val="none"/>
              </w:rPr>
              <w:t xml:space="preserve">、具备 HDMI 开机信号唤醒功能，支持无信号自动休眠设置。（提供检测报告或功能截图或厂家的产品介绍彩页或官网截图证明材料并加盖投标人公章）</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4</w:t>
            </w:r>
            <w:r>
              <w:rPr>
                <w:rFonts w:hint="eastAsia" w:cs="宋体"/>
                <w:color w:val="000000"/>
                <w:sz w:val="24"/>
                <w:szCs w:val="24"/>
                <w:highlight w:val="none"/>
              </w:rPr>
              <w:t xml:space="preserve">、支持远程管理：支持远程设置显示终端的定时播放、睡眠、定时开关机、终端设备重启，当终端设备出现异常，系统可远程重启终端，使之恢复正常；</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5</w:t>
            </w:r>
            <w:r>
              <w:rPr>
                <w:rFonts w:hint="eastAsia" w:cs="宋体"/>
                <w:color w:val="000000"/>
                <w:sz w:val="24"/>
                <w:szCs w:val="24"/>
                <w:highlight w:val="none"/>
              </w:rPr>
              <w:t xml:space="preserve">、要求根据现场环境配置相应的安装支架。</w:t>
            </w:r>
            <w:r>
              <w:rPr>
                <w:rFonts w:cs="宋体"/>
                <w:color w:val="000000"/>
                <w:sz w:val="24"/>
                <w:szCs w:val="24"/>
                <w:highlight w:val="none"/>
              </w:rPr>
            </w:r>
            <w:r/>
          </w:p>
        </w:tc>
      </w:tr>
      <w:tr>
        <w:trPr>
          <w:trHeight w:val="600"/>
        </w:trPr>
        <w:tc>
          <w:tcPr>
            <w:tcW w:w="666"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12</w:t>
            </w:r>
            <w:r>
              <w:rPr>
                <w:rFonts w:cs="宋体"/>
                <w:color w:val="000000"/>
                <w:sz w:val="24"/>
                <w:szCs w:val="24"/>
                <w:highlight w:val="none"/>
              </w:rPr>
            </w:r>
            <w:r/>
          </w:p>
        </w:tc>
        <w:tc>
          <w:tcPr>
            <w:tcW w:w="1120"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商业显示屏2</w:t>
            </w:r>
            <w:r>
              <w:rPr>
                <w:rFonts w:cs="宋体"/>
                <w:color w:val="000000"/>
                <w:sz w:val="24"/>
                <w:szCs w:val="24"/>
                <w:highlight w:val="none"/>
              </w:rPr>
            </w:r>
            <w:r/>
          </w:p>
        </w:tc>
        <w:tc>
          <w:tcPr>
            <w:tcW w:w="981" w:type="dxa"/>
            <w:vAlign w:val="center"/>
            <w:textDirection w:val="lrTb"/>
            <w:noWrap w:val="false"/>
          </w:tcPr>
          <w:p>
            <w:pPr>
              <w:pStyle w:val="869"/>
              <w:jc w:val="center"/>
              <w:rPr>
                <w:rFonts w:cs="宋体"/>
                <w:color w:val="000000"/>
                <w:sz w:val="24"/>
                <w:szCs w:val="24"/>
                <w:highlight w:val="none"/>
              </w:rPr>
            </w:pPr>
            <w:r>
              <w:rPr>
                <w:rFonts w:hint="eastAsia" w:cs="宋体"/>
                <w:color w:val="000000"/>
                <w:sz w:val="24"/>
                <w:szCs w:val="24"/>
                <w:highlight w:val="none"/>
              </w:rPr>
              <w:t xml:space="preserve">6</w:t>
            </w:r>
            <w:r>
              <w:rPr>
                <w:rFonts w:cs="宋体"/>
                <w:color w:val="000000"/>
                <w:sz w:val="24"/>
                <w:szCs w:val="24"/>
                <w:highlight w:val="none"/>
              </w:rPr>
            </w:r>
            <w:r/>
          </w:p>
        </w:tc>
        <w:tc>
          <w:tcPr>
            <w:tcW w:w="6402" w:type="dxa"/>
            <w:vAlign w:val="center"/>
            <w:textDirection w:val="lrTb"/>
            <w:noWrap w:val="false"/>
          </w:tcPr>
          <w:p>
            <w:pPr>
              <w:pStyle w:val="869"/>
              <w:rPr>
                <w:rFonts w:cs="宋体"/>
                <w:color w:val="000000"/>
                <w:sz w:val="24"/>
                <w:szCs w:val="24"/>
                <w:highlight w:val="none"/>
              </w:rPr>
            </w:pPr>
            <w:r>
              <w:rPr>
                <w:rFonts w:hint="eastAsia" w:cs="宋体"/>
                <w:color w:val="000000"/>
                <w:sz w:val="24"/>
                <w:szCs w:val="24"/>
                <w:highlight w:val="none"/>
              </w:rPr>
              <w:t xml:space="preserve">1、86英寸，具备4K/ UHD 超高清显示；亮度 500nit。要求开机无广告；</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2</w:t>
            </w:r>
            <w:r>
              <w:rPr>
                <w:rFonts w:hint="eastAsia" w:cs="宋体"/>
                <w:color w:val="000000"/>
                <w:sz w:val="24"/>
                <w:szCs w:val="24"/>
                <w:highlight w:val="none"/>
              </w:rPr>
              <w:t xml:space="preserve">、具备音箱功能：10W*2；</w:t>
            </w:r>
            <w:r>
              <w:rPr>
                <w:rFonts w:cs="宋体"/>
                <w:color w:val="000000"/>
                <w:sz w:val="24"/>
                <w:szCs w:val="24"/>
                <w:highlight w:val="none"/>
              </w:rPr>
            </w:r>
            <w:r/>
          </w:p>
          <w:p>
            <w:pPr>
              <w:pStyle w:val="869"/>
              <w:rPr>
                <w:rFonts w:cs="宋体"/>
                <w:color w:val="000000"/>
                <w:sz w:val="24"/>
                <w:szCs w:val="24"/>
                <w:highlight w:val="none"/>
              </w:rPr>
            </w:pPr>
            <w:r>
              <w:rPr>
                <w:rFonts w:hint="eastAsia" w:cs="宋体"/>
                <w:color w:val="000000"/>
                <w:sz w:val="24"/>
                <w:szCs w:val="24"/>
                <w:highlight w:val="none"/>
              </w:rPr>
              <w:t xml:space="preserve">▲</w:t>
            </w:r>
            <w:r>
              <w:rPr>
                <w:rFonts w:cs="宋体"/>
                <w:color w:val="000000"/>
                <w:sz w:val="24"/>
                <w:szCs w:val="24"/>
                <w:highlight w:val="none"/>
              </w:rPr>
              <w:t xml:space="preserve">3</w:t>
            </w:r>
            <w:r>
              <w:rPr>
                <w:rFonts w:hint="eastAsia" w:cs="宋体"/>
                <w:color w:val="000000"/>
                <w:sz w:val="24"/>
                <w:szCs w:val="24"/>
                <w:highlight w:val="none"/>
              </w:rPr>
              <w:t xml:space="preserve">、具备 HDMI 开机信号唤醒功能，支持无信号自动休眠设置；（提供检测报告或功能截图或厂家的产品介绍彩页或官网截图证明材料并加盖投标人公章）</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4</w:t>
            </w:r>
            <w:r>
              <w:rPr>
                <w:rFonts w:hint="eastAsia" w:cs="宋体"/>
                <w:color w:val="000000"/>
                <w:sz w:val="24"/>
                <w:szCs w:val="24"/>
                <w:highlight w:val="none"/>
              </w:rPr>
              <w:t xml:space="preserve">、支持远程管理：支持远程设置显示终端的定时播放、睡眠、定时开关机、 终端设备重启，当终端设备出现异常，系统可远程重启终端，使之恢复正常；</w:t>
            </w:r>
            <w:r>
              <w:rPr>
                <w:rFonts w:cs="宋体"/>
                <w:color w:val="000000"/>
                <w:sz w:val="24"/>
                <w:szCs w:val="24"/>
                <w:highlight w:val="none"/>
              </w:rPr>
            </w:r>
            <w:r/>
          </w:p>
          <w:p>
            <w:pPr>
              <w:pStyle w:val="869"/>
              <w:rPr>
                <w:rFonts w:cs="宋体"/>
                <w:color w:val="000000"/>
                <w:sz w:val="24"/>
                <w:szCs w:val="24"/>
                <w:highlight w:val="none"/>
              </w:rPr>
            </w:pPr>
            <w:r>
              <w:rPr>
                <w:rFonts w:cs="宋体"/>
                <w:color w:val="000000"/>
                <w:sz w:val="24"/>
                <w:szCs w:val="24"/>
                <w:highlight w:val="none"/>
              </w:rPr>
              <w:t xml:space="preserve">5</w:t>
            </w:r>
            <w:r>
              <w:rPr>
                <w:rFonts w:hint="eastAsia" w:cs="宋体"/>
                <w:color w:val="000000"/>
                <w:sz w:val="24"/>
                <w:szCs w:val="24"/>
                <w:highlight w:val="none"/>
              </w:rPr>
              <w:t xml:space="preserve">、要求根据现场环境配置相应的安装支架。</w:t>
            </w:r>
            <w:r>
              <w:rPr>
                <w:rFonts w:cs="宋体"/>
                <w:color w:val="000000"/>
                <w:sz w:val="24"/>
                <w:szCs w:val="24"/>
                <w:highlight w:val="none"/>
              </w:rPr>
            </w:r>
            <w:r/>
          </w:p>
        </w:tc>
      </w:tr>
    </w:tbl>
    <w:p>
      <w:pPr>
        <w:pStyle w:val="869"/>
        <w:spacing w:line="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69"/>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rPr>
          <w:rFonts w:ascii="宋体" w:hAnsi="宋体"/>
          <w:b/>
          <w:bCs/>
          <w:color w:val="000000"/>
          <w:sz w:val="24"/>
          <w:szCs w:val="24"/>
          <w:highlight w:val="none"/>
        </w:rPr>
      </w:r>
      <w:r/>
    </w:p>
    <w:p>
      <w:pPr>
        <w:pStyle w:val="869"/>
        <w:ind w:firstLine="480"/>
        <w:spacing w:line="240" w:lineRule="atLeast"/>
        <w:rPr>
          <w:rFonts w:cs="宋体"/>
          <w:color w:val="000000"/>
          <w:sz w:val="24"/>
          <w:szCs w:val="24"/>
          <w:highlight w:val="none"/>
        </w:rPr>
      </w:pPr>
      <w:r>
        <w:rPr>
          <w:rFonts w:hint="eastAsia" w:cs="宋体"/>
          <w:color w:val="000000"/>
          <w:sz w:val="24"/>
          <w:szCs w:val="24"/>
          <w:highlight w:val="none"/>
        </w:rPr>
        <w:t xml:space="preserve">1.报价</w:t>
      </w:r>
      <w:r>
        <w:rPr>
          <w:rFonts w:cs="宋体"/>
          <w:color w:val="000000"/>
          <w:sz w:val="24"/>
          <w:szCs w:val="24"/>
          <w:highlight w:val="none"/>
        </w:rPr>
      </w:r>
      <w:r/>
    </w:p>
    <w:p>
      <w:pPr>
        <w:pStyle w:val="869"/>
        <w:ind w:firstLine="480"/>
        <w:spacing w:line="240" w:lineRule="atLeast"/>
        <w:rPr>
          <w:rFonts w:cs="宋体"/>
          <w:iCs/>
          <w:color w:val="000000"/>
          <w:sz w:val="24"/>
          <w:szCs w:val="24"/>
          <w:highlight w:val="none"/>
        </w:rPr>
      </w:pPr>
      <w:r>
        <w:rPr>
          <w:rFonts w:hint="eastAsia" w:cs="宋体"/>
          <w:iCs/>
          <w:color w:val="000000"/>
          <w:sz w:val="24"/>
          <w:szCs w:val="24"/>
          <w:highlight w:val="none"/>
        </w:rPr>
        <w:t xml:space="preserve">本项目投标报价应包含所有货物制作、运输、安装、施工、系统集成、管线辅材、调试验收、验收检定费及相关的技术指导和售后服务（含与学校相关平台、系统数据对接及二次开发、买方操作维护人员培训等）；利润、保险、税金、现场检测费、现场配合费以及所包含的风险、责任等所有费用，请投标人认真考虑其各种风险。除合同另有规定外，伴随服务的费用均包含在合同价款中，采购人不再另行支付。</w:t>
      </w:r>
      <w:r>
        <w:rPr>
          <w:rFonts w:cs="宋体"/>
          <w:iCs/>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2、项目交付时间、地点</w:t>
      </w:r>
      <w:r>
        <w:rPr>
          <w:rFonts w:cs="宋体"/>
          <w:color w:val="000000"/>
          <w:sz w:val="24"/>
          <w:szCs w:val="24"/>
          <w:highlight w:val="none"/>
        </w:rPr>
      </w:r>
      <w:r/>
    </w:p>
    <w:p>
      <w:pPr>
        <w:pStyle w:val="869"/>
        <w:ind w:firstLine="480"/>
        <w:jc w:val="left"/>
        <w:rPr>
          <w:rFonts w:hint="eastAsia" w:cs="宋体"/>
          <w:color w:val="000000"/>
          <w:sz w:val="24"/>
          <w:szCs w:val="24"/>
          <w:highlight w:val="none"/>
        </w:rPr>
      </w:pPr>
      <w:r>
        <w:rPr>
          <w:rFonts w:hint="eastAsia" w:cs="宋体"/>
          <w:color w:val="000000"/>
          <w:sz w:val="24"/>
          <w:szCs w:val="24"/>
          <w:highlight w:val="none"/>
        </w:rPr>
        <w:t xml:space="preserve">交付时间：签订合同后</w:t>
      </w:r>
      <w:r>
        <w:rPr>
          <w:rFonts w:cs="宋体"/>
          <w:color w:val="000000"/>
          <w:sz w:val="24"/>
          <w:szCs w:val="24"/>
          <w:highlight w:val="none"/>
        </w:rPr>
        <w:t xml:space="preserve">30</w:t>
      </w:r>
      <w:r>
        <w:rPr>
          <w:rFonts w:hint="eastAsia" w:cs="宋体"/>
          <w:color w:val="000000"/>
          <w:sz w:val="24"/>
          <w:szCs w:val="24"/>
          <w:highlight w:val="none"/>
        </w:rPr>
        <w:t xml:space="preserve">日内，必须完成项目所有安装调试，达到交付使用的要求。</w:t>
      </w:r>
      <w:r>
        <w:rPr>
          <w:rFonts w:hint="eastAsia"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交付地点：南京林业大学白马校区</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投标人可先到工地踏勘以充分了解工地位置、情况、道路、存储空间、装卸限制及施工配合等任何其他足以影响投标报价的情况，任何因忽视或误解工地情况而导致的索赔或工期延长申请将不被批准。</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3、项目质保服务要求</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(1)所有系统、设备及辅材提供5年免费质保，供货时提供产品：长焦投影机、超短焦投影机、网络中控（含控制面板）、扩音系统1、扩音系统2、虚拟化桌面、多媒体设备柜的原厂质保证明材料。设备故障响应时间为7*24小时，修复时间不得超过8小时，超出时间由投标人提供备用设备。</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(2)投标人须提供至少5年驻场服务，提供至少2名具有1年以上多媒体教学系统运维服务经验（提供有用户单位公章的有效证明材料以及</w:t>
      </w:r>
      <w:r>
        <w:rPr>
          <w:rFonts w:hint="eastAsia" w:ascii="宋体" w:hAnsi="宋体"/>
          <w:color w:val="000000"/>
          <w:sz w:val="24"/>
          <w:highlight w:val="none"/>
        </w:rPr>
        <w:t xml:space="preserve">投标人为其缴纳2023年10月以来任意</w:t>
      </w:r>
      <w:r>
        <w:rPr>
          <w:rFonts w:ascii="宋体" w:hAnsi="宋体"/>
          <w:color w:val="000000"/>
          <w:sz w:val="24"/>
          <w:highlight w:val="none"/>
        </w:rPr>
        <w:t xml:space="preserve">1</w:t>
      </w:r>
      <w:r>
        <w:rPr>
          <w:rFonts w:hint="eastAsia" w:ascii="宋体" w:hAnsi="宋体"/>
          <w:color w:val="000000"/>
          <w:sz w:val="24"/>
          <w:highlight w:val="none"/>
        </w:rPr>
        <w:t xml:space="preserve">个月社保证明，加盖投标人公章</w:t>
      </w:r>
      <w:r>
        <w:rPr>
          <w:rFonts w:hint="eastAsia" w:cs="宋体"/>
          <w:color w:val="000000"/>
          <w:sz w:val="24"/>
          <w:szCs w:val="24"/>
          <w:highlight w:val="none"/>
        </w:rPr>
        <w:t xml:space="preserve">）的驻场服务人员，驻场工作时间为学校正常工作日，寒暑假期间根据学校需求提供检修服务，重要节点及特别需要时按需要增配人员参与服务。采购人有权根据在校服务期间表现提出更换驻场服务人员要求，直至所派人员能满足采购人运维要求。经采购人认可后的驻场人员原则上不允许更换，如确需人员变动，则需书面提交变更原因，且变更后人员资质不低于原驻场人员。如书面提交人员更换超过（包含）三次，招标人有权提前无偿终止合同。</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(3)项目交付使用前须提供完整的设备技术文档，并配合学校完成技术文档的归档工作。</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4、验收</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(1)到货验收：供货商供货时，应与采购人当面验收、清点、确保产品型号吻合。供货时提供原厂质保证明材料。原封产品凡有拆封痕迹，采购人可要求退货。</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(2)最终验收：由采购人会同使用方依据招标文件及商务合同进行验收。验收不合格，投标人应无条件整改，并承担整改所产生的费用。若三次不合格，投标人赔偿学校一切损失。</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5、其它投标须知</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投标人进场施工后，投标人负责保管施工过程中所使用的材料及设备，对施工过程中发生的任何安全生产事故负完全责任。在施工过程中，对于基础建设已完工部分做好保护措施，造成损坏的地方，施工单位须负责恢复，费用自行承担。</w:t>
      </w:r>
      <w:r>
        <w:rPr>
          <w:rFonts w:cs="宋体"/>
          <w:color w:val="000000"/>
          <w:sz w:val="24"/>
          <w:szCs w:val="24"/>
          <w:highlight w:val="none"/>
        </w:rPr>
      </w:r>
      <w:r/>
    </w:p>
    <w:p>
      <w:pPr>
        <w:pStyle w:val="869"/>
        <w:ind w:firstLine="480"/>
        <w:jc w:val="left"/>
        <w:rPr>
          <w:rFonts w:cs="宋体"/>
          <w:color w:val="000000"/>
          <w:sz w:val="24"/>
          <w:szCs w:val="24"/>
          <w:highlight w:val="none"/>
        </w:rPr>
      </w:pPr>
      <w:r>
        <w:rPr>
          <w:rFonts w:hint="eastAsia" w:cs="宋体"/>
          <w:color w:val="000000"/>
          <w:sz w:val="24"/>
          <w:szCs w:val="24"/>
          <w:highlight w:val="none"/>
        </w:rPr>
        <w:t xml:space="preserve">6、付款方式</w:t>
      </w:r>
      <w:r>
        <w:rPr>
          <w:rFonts w:cs="宋体"/>
          <w:color w:val="000000"/>
          <w:sz w:val="24"/>
          <w:szCs w:val="24"/>
          <w:highlight w:val="none"/>
        </w:rPr>
      </w:r>
      <w:r/>
    </w:p>
    <w:p>
      <w:pPr>
        <w:pStyle w:val="869"/>
        <w:ind w:firstLine="480"/>
        <w:spacing w:before="145" w:after="145"/>
        <w:rPr>
          <w:rFonts w:cs="宋体"/>
          <w:color w:val="000000"/>
          <w:sz w:val="24"/>
          <w:szCs w:val="24"/>
          <w:highlight w:val="none"/>
        </w:rPr>
      </w:pPr>
      <w:r>
        <w:rPr>
          <w:rFonts w:cs="宋体"/>
          <w:color w:val="000000"/>
          <w:sz w:val="24"/>
          <w:szCs w:val="24"/>
          <w:highlight w:val="none"/>
        </w:rPr>
        <w:t xml:space="preserve">（</w:t>
      </w:r>
      <w:r>
        <w:rPr>
          <w:rFonts w:hint="eastAsia" w:cs="宋体"/>
          <w:color w:val="000000"/>
          <w:sz w:val="24"/>
          <w:szCs w:val="24"/>
          <w:highlight w:val="none"/>
        </w:rPr>
        <w:t xml:space="preserve">1</w:t>
      </w:r>
      <w:r>
        <w:rPr>
          <w:rFonts w:cs="宋体"/>
          <w:color w:val="000000"/>
          <w:sz w:val="24"/>
          <w:szCs w:val="24"/>
          <w:highlight w:val="none"/>
        </w:rPr>
        <w:t xml:space="preserve">）合同签订后，采购人支付至合同总价款的10%。</w:t>
      </w:r>
      <w:r>
        <w:rPr>
          <w:rFonts w:cs="宋体"/>
          <w:color w:val="000000"/>
          <w:sz w:val="24"/>
          <w:szCs w:val="24"/>
          <w:highlight w:val="none"/>
        </w:rPr>
      </w:r>
      <w:r/>
    </w:p>
    <w:p>
      <w:pPr>
        <w:pStyle w:val="869"/>
        <w:ind w:firstLine="480"/>
        <w:spacing w:before="145" w:after="145"/>
        <w:rPr>
          <w:rFonts w:cs="宋体"/>
          <w:color w:val="000000"/>
          <w:sz w:val="24"/>
          <w:szCs w:val="24"/>
          <w:highlight w:val="none"/>
        </w:rPr>
      </w:pPr>
      <w:r>
        <w:rPr>
          <w:rFonts w:cs="宋体"/>
          <w:color w:val="000000"/>
          <w:sz w:val="24"/>
          <w:szCs w:val="24"/>
          <w:highlight w:val="none"/>
        </w:rPr>
        <w:t xml:space="preserve">（</w:t>
      </w:r>
      <w:r>
        <w:rPr>
          <w:rFonts w:hint="eastAsia" w:cs="宋体"/>
          <w:color w:val="000000"/>
          <w:sz w:val="24"/>
          <w:szCs w:val="24"/>
          <w:highlight w:val="none"/>
        </w:rPr>
        <w:t xml:space="preserve">2</w:t>
      </w:r>
      <w:r>
        <w:rPr>
          <w:rFonts w:cs="宋体"/>
          <w:color w:val="000000"/>
          <w:sz w:val="24"/>
          <w:szCs w:val="24"/>
          <w:highlight w:val="none"/>
        </w:rPr>
        <w:t xml:space="preserve">）验收合格后，采购人支付至合同总价款的100%。</w:t>
      </w:r>
      <w:r>
        <w:rPr>
          <w:rFonts w:cs="宋体"/>
          <w:color w:val="000000"/>
          <w:sz w:val="24"/>
          <w:szCs w:val="24"/>
          <w:highlight w:val="none"/>
        </w:rPr>
      </w:r>
      <w:r/>
    </w:p>
    <w:p>
      <w:pPr>
        <w:pStyle w:val="869"/>
        <w:spacing w:before="145" w:after="145"/>
        <w:rPr>
          <w:rFonts w:cs="宋体"/>
          <w:color w:val="000000"/>
          <w:sz w:val="24"/>
          <w:szCs w:val="24"/>
          <w:highlight w:val="none"/>
        </w:rPr>
      </w:pPr>
      <w:r>
        <w:rPr>
          <w:rFonts w:cs="宋体"/>
          <w:color w:val="000000"/>
          <w:sz w:val="24"/>
          <w:szCs w:val="24"/>
          <w:highlight w:val="none"/>
        </w:rPr>
        <w:t xml:space="preserve">注:满足合同约定支付条件的，采购人收到供应商发票后10个工作日内，将资金支付到合同约定的供应商账户。</w:t>
      </w:r>
      <w:r>
        <w:rPr>
          <w:rFonts w:cs="宋体"/>
          <w:color w:val="000000"/>
          <w:sz w:val="24"/>
          <w:szCs w:val="24"/>
          <w:highlight w:val="none"/>
        </w:rPr>
      </w:r>
      <w:r/>
    </w:p>
    <w:p>
      <w:pPr>
        <w:pStyle w:val="869"/>
        <w:spacing w:line="0" w:lineRule="atLeast"/>
        <w:rPr>
          <w:rFonts w:ascii="宋体" w:hAnsi="宋体"/>
          <w:color w:val="000000"/>
          <w:sz w:val="24"/>
          <w:szCs w:val="24"/>
          <w:highlight w:val="none"/>
        </w:rPr>
      </w:pPr>
      <w:r>
        <w:rPr>
          <w:rFonts w:ascii="宋体" w:hAnsi="宋体"/>
          <w:color w:val="000000"/>
          <w:sz w:val="24"/>
          <w:szCs w:val="24"/>
          <w:highlight w:val="none"/>
        </w:rPr>
      </w:r>
      <w:r/>
    </w:p>
    <w:p>
      <w:pPr>
        <w:pStyle w:val="869"/>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rPr>
          <w:rFonts w:hint="eastAsia" w:ascii="宋体" w:hAnsi="宋体"/>
          <w:b/>
          <w:color w:val="000000"/>
          <w:sz w:val="24"/>
          <w:szCs w:val="24"/>
          <w:highlight w:val="none"/>
        </w:rPr>
      </w:r>
      <w:r/>
    </w:p>
    <w:p>
      <w:pPr>
        <w:pStyle w:val="86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1.项目属性:</w:t>
      </w:r>
      <w:r>
        <w:rPr>
          <w:rFonts w:hint="eastAsia" w:ascii="宋体" w:hAnsi="宋体"/>
          <w:color w:val="000000"/>
          <w:sz w:val="24"/>
          <w:szCs w:val="24"/>
          <w:highlight w:val="none"/>
          <w:lang w:eastAsia="zh-CN"/>
        </w:rPr>
        <w:t xml:space="preserve">货物</w:t>
      </w:r>
      <w:r>
        <w:rPr>
          <w:rFonts w:hint="eastAsia" w:ascii="宋体" w:hAnsi="宋体"/>
          <w:color w:val="000000"/>
          <w:sz w:val="24"/>
          <w:szCs w:val="24"/>
          <w:highlight w:val="none"/>
        </w:rPr>
        <w:t xml:space="preserve">类项目。</w:t>
      </w:r>
      <w:r>
        <w:rPr>
          <w:rFonts w:hint="eastAsia" w:ascii="宋体" w:hAnsi="宋体"/>
          <w:color w:val="000000"/>
          <w:sz w:val="24"/>
          <w:szCs w:val="24"/>
          <w:highlight w:val="none"/>
        </w:rPr>
      </w:r>
      <w:r/>
    </w:p>
    <w:p>
      <w:pPr>
        <w:pStyle w:val="869"/>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2.核心产品：长焦投影机。</w:t>
      </w:r>
      <w:r>
        <w:rPr>
          <w:rFonts w:ascii="宋体" w:hAnsi="宋体" w:eastAsia="宋体"/>
          <w:color w:val="000000"/>
          <w:sz w:val="24"/>
          <w:szCs w:val="24"/>
          <w:highlight w:val="none"/>
          <w:lang w:val="en-US" w:eastAsia="zh-CN"/>
        </w:rPr>
      </w:r>
      <w:r/>
    </w:p>
    <w:p>
      <w:pPr>
        <w:pStyle w:val="869"/>
        <w:spacing w:line="0" w:lineRule="atLeas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.进口</w:t>
      </w:r>
      <w:r>
        <w:rPr>
          <w:rFonts w:ascii="宋体" w:hAnsi="宋体"/>
          <w:color w:val="000000"/>
          <w:sz w:val="24"/>
          <w:szCs w:val="24"/>
          <w:highlight w:val="none"/>
        </w:rPr>
        <w:t xml:space="preserve">产品</w:t>
      </w:r>
      <w:r>
        <w:rPr>
          <w:rFonts w:hint="eastAsia" w:ascii="宋体" w:hAnsi="宋体"/>
          <w:color w:val="000000"/>
          <w:sz w:val="24"/>
          <w:szCs w:val="24"/>
          <w:highlight w:val="none"/>
        </w:rPr>
        <w:t xml:space="preserve">投标</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3094" w:type="dxa"/>
            <w:vAlign w:val="top"/>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是否接受</w:t>
            </w:r>
            <w:r>
              <w:rPr>
                <w:rFonts w:ascii="宋体" w:hAnsi="宋体"/>
                <w:color w:val="000000"/>
                <w:highlight w:val="none"/>
              </w:rPr>
              <w:t xml:space="preserve">进口产品投标</w:t>
            </w:r>
            <w:r>
              <w:rPr>
                <w:rFonts w:hint="eastAsia" w:ascii="宋体" w:hAnsi="宋体"/>
                <w:color w:val="000000"/>
                <w:highlight w:val="none"/>
              </w:rPr>
              <w:t xml:space="preserve">（是/否）</w:t>
            </w:r>
            <w:r>
              <w:rPr>
                <w:rFonts w:hint="eastAsia" w:ascii="宋体" w:hAnsi="宋体"/>
                <w:color w:val="000000"/>
                <w:highlight w:val="none"/>
              </w:rPr>
            </w:r>
            <w:r/>
          </w:p>
        </w:tc>
      </w:tr>
      <w:tr>
        <w:trPr/>
        <w:tc>
          <w:tcPr>
            <w:tcW w:w="1148" w:type="dxa"/>
            <w:vAlign w:val="top"/>
            <w:textDirection w:val="lrTb"/>
            <w:noWrap w:val="false"/>
          </w:tcPr>
          <w:p>
            <w:pPr>
              <w:pStyle w:val="86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3094" w:type="dxa"/>
            <w:vAlign w:val="top"/>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否</w:t>
            </w:r>
            <w:r>
              <w:rPr>
                <w:rFonts w:hint="eastAsia" w:ascii="宋体" w:hAnsi="宋体"/>
                <w:color w:val="000000"/>
                <w:highlight w:val="none"/>
              </w:rPr>
            </w:r>
            <w:r/>
          </w:p>
        </w:tc>
      </w:tr>
    </w:tbl>
    <w:p>
      <w:pPr>
        <w:pStyle w:val="86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0" w:lineRule="atLeast"/>
        <w:rPr>
          <w:rFonts w:hint="eastAsia"/>
          <w:color w:val="000000"/>
          <w:sz w:val="24"/>
          <w:szCs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color w:val="000000"/>
          <w:sz w:val="24"/>
          <w:szCs w:val="24"/>
          <w:highlight w:val="none"/>
        </w:rPr>
        <w:t xml:space="preserve">演示要求</w:t>
      </w:r>
      <w:r>
        <w:rPr>
          <w:rFonts w:hint="eastAsia"/>
          <w:color w:val="000000"/>
          <w:sz w:val="24"/>
          <w:szCs w:val="24"/>
          <w:highlight w:val="none"/>
        </w:rPr>
      </w:r>
      <w:r/>
    </w:p>
    <w:p>
      <w:pPr>
        <w:pStyle w:val="869"/>
        <w:ind w:firstLine="480"/>
        <w:rPr>
          <w:rFonts w:hint="eastAsia"/>
          <w:color w:val="000000"/>
          <w:sz w:val="24"/>
          <w:szCs w:val="24"/>
          <w:highlight w:val="none"/>
        </w:rPr>
      </w:pPr>
      <w:r>
        <w:rPr>
          <w:rFonts w:hint="eastAsia"/>
          <w:color w:val="000000"/>
          <w:sz w:val="24"/>
          <w:szCs w:val="24"/>
          <w:highlight w:val="none"/>
        </w:rPr>
        <w:t xml:space="preserve">演示方式 上传视频演示</w:t>
      </w:r>
      <w:r>
        <w:rPr>
          <w:rFonts w:hint="eastAsia"/>
          <w:color w:val="000000"/>
          <w:sz w:val="24"/>
          <w:szCs w:val="24"/>
          <w:highlight w:val="none"/>
        </w:rPr>
      </w:r>
      <w:r/>
    </w:p>
    <w:p>
      <w:pPr>
        <w:pStyle w:val="869"/>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1.投标人需按照招标文件规定的演示内容制作演示视频文件，视频文件的格式为</w:t>
      </w:r>
      <w:r>
        <w:rPr>
          <w:rFonts w:ascii="宋体" w:hAnsi="宋体"/>
          <w:color w:val="000000"/>
          <w:sz w:val="24"/>
          <w:highlight w:val="none"/>
        </w:rPr>
        <w:t xml:space="preserve">*</w:t>
      </w:r>
      <w:r>
        <w:rPr>
          <w:rFonts w:hint="eastAsia" w:ascii="宋体" w:hAnsi="宋体"/>
          <w:color w:val="000000"/>
          <w:sz w:val="24"/>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分钟，</w:t>
      </w:r>
      <w:r>
        <w:rPr>
          <w:rFonts w:hint="eastAsia"/>
          <w:color w:val="000000"/>
          <w:sz w:val="24"/>
          <w:szCs w:val="24"/>
          <w:highlight w:val="none"/>
        </w:rPr>
        <w:t xml:space="preserve">演示需为所投产品的系统原型演示</w:t>
      </w:r>
      <w:r>
        <w:rPr>
          <w:rFonts w:hint="eastAsia" w:ascii="宋体" w:hAnsi="宋体"/>
          <w:color w:val="000000"/>
          <w:sz w:val="24"/>
          <w:highlight w:val="none"/>
        </w:rPr>
        <w:t xml:space="preserve">。（备注：如项目经办人需对演示时间进行调整，请与科长及分管主任商定。招标文件</w:t>
      </w:r>
      <w:r>
        <w:rPr>
          <w:rFonts w:ascii="宋体" w:hAnsi="宋体"/>
          <w:color w:val="000000"/>
          <w:sz w:val="24"/>
          <w:highlight w:val="none"/>
        </w:rPr>
        <w:t xml:space="preserve">定稿</w:t>
      </w:r>
      <w:r>
        <w:rPr>
          <w:rFonts w:hint="eastAsia" w:ascii="宋体" w:hAnsi="宋体"/>
          <w:color w:val="000000"/>
          <w:sz w:val="24"/>
          <w:highlight w:val="none"/>
        </w:rPr>
        <w:t xml:space="preserve">后该备注删除）。</w:t>
      </w:r>
      <w:r>
        <w:rPr>
          <w:rFonts w:ascii="宋体" w:hAnsi="宋体"/>
          <w:color w:val="000000"/>
          <w:sz w:val="24"/>
          <w:highlight w:val="none"/>
        </w:rPr>
      </w:r>
      <w:r/>
    </w:p>
    <w:p>
      <w:pPr>
        <w:pStyle w:val="869"/>
        <w:ind w:firstLine="480"/>
        <w:spacing w:line="0" w:lineRule="atLeast"/>
        <w:rPr>
          <w:rFonts w:hint="eastAsia" w:ascii="宋体" w:hAnsi="宋体"/>
          <w:color w:val="000000"/>
          <w:sz w:val="24"/>
          <w:highlight w:val="none"/>
        </w:rPr>
      </w:pPr>
      <w:r>
        <w:rPr>
          <w:rFonts w:hint="eastAsia" w:ascii="宋体" w:hAnsi="宋体"/>
          <w:color w:val="000000"/>
          <w:sz w:val="24"/>
          <w:highlight w:val="none"/>
        </w:rPr>
        <w:t xml:space="preserve">2.演示内容如下：</w:t>
      </w:r>
      <w:r>
        <w:rPr>
          <w:rFonts w:hint="eastAsia" w:ascii="宋体" w:hAnsi="宋体"/>
          <w:color w:val="000000"/>
          <w:sz w:val="24"/>
          <w:highlight w:val="none"/>
        </w:rPr>
      </w:r>
      <w:r/>
    </w:p>
    <w:p>
      <w:pPr>
        <w:pStyle w:val="869"/>
        <w:ind w:firstLine="240"/>
        <w:spacing w:line="0" w:lineRule="atLeast"/>
        <w:widowControl/>
        <w:rPr>
          <w:color w:val="000000"/>
          <w:sz w:val="24"/>
          <w:szCs w:val="24"/>
          <w:highlight w:val="none"/>
        </w:rPr>
      </w:pPr>
      <w:r>
        <w:rPr>
          <w:rFonts w:hint="eastAsia"/>
          <w:color w:val="000000"/>
          <w:sz w:val="24"/>
          <w:szCs w:val="24"/>
          <w:highlight w:val="none"/>
        </w:rPr>
        <w:t xml:space="preserve">（1）虚拟化桌面，主要需要体现：</w:t>
      </w:r>
      <w:r>
        <w:rPr>
          <w:color w:val="000000"/>
          <w:sz w:val="24"/>
          <w:szCs w:val="24"/>
          <w:highlight w:val="none"/>
        </w:rPr>
      </w:r>
      <w:r/>
    </w:p>
    <w:p>
      <w:pPr>
        <w:pStyle w:val="869"/>
        <w:ind w:firstLine="420"/>
        <w:widowControl/>
        <w:rPr>
          <w:color w:val="000000"/>
          <w:sz w:val="24"/>
          <w:szCs w:val="24"/>
          <w:highlight w:val="none"/>
        </w:rPr>
      </w:pPr>
      <w:r>
        <w:rPr>
          <w:rFonts w:hint="eastAsia"/>
          <w:color w:val="000000"/>
          <w:sz w:val="24"/>
          <w:szCs w:val="24"/>
          <w:highlight w:val="none"/>
        </w:rPr>
        <w:t xml:space="preserve">1）考虑到学校教学环境不断变化，采用多镜像多节点缓存架构，支持镜像全生命周期管理，通过树状目录结构展示镜像及各节点间关系；每个镜像下支持最少15个快照更新节点，当教学环境变化需要安装软件时，支持在镜像中做父子节点或者兄弟节点两种模式；可以把同一个镜像下的不同节点同时加入启动菜单。（提供功能演示）；</w:t>
      </w:r>
      <w:r>
        <w:rPr>
          <w:color w:val="000000"/>
          <w:sz w:val="24"/>
          <w:szCs w:val="24"/>
          <w:highlight w:val="none"/>
        </w:rPr>
      </w:r>
      <w:r/>
    </w:p>
    <w:p>
      <w:pPr>
        <w:pStyle w:val="869"/>
        <w:ind w:firstLine="420"/>
        <w:widowControl/>
        <w:rPr>
          <w:color w:val="000000"/>
          <w:sz w:val="24"/>
          <w:szCs w:val="24"/>
          <w:highlight w:val="none"/>
        </w:rPr>
      </w:pPr>
      <w:r>
        <w:rPr>
          <w:rFonts w:hint="eastAsia"/>
          <w:color w:val="000000"/>
          <w:sz w:val="24"/>
          <w:szCs w:val="24"/>
          <w:highlight w:val="none"/>
        </w:rPr>
        <w:t xml:space="preserve">2）充分考虑教学中部分个性化软件需要每间教室单独匹配的需求，教室终端全部盘符均采用还原模式，对于管理员指定的终端上的个性化文件和注册表键值可以直接同步保存在云服务器上，管理者可在服务器上浏览并修改这些文件（非远程桌面修改模式），修改完毕的文件可以直接自动回传到教室终端机上，满足各类软件的需求。（提供功能演示）。</w:t>
      </w:r>
      <w:r>
        <w:rPr>
          <w:color w:val="000000"/>
          <w:sz w:val="24"/>
          <w:szCs w:val="24"/>
          <w:highlight w:val="none"/>
        </w:rPr>
      </w:r>
      <w:r/>
    </w:p>
    <w:p>
      <w:pPr>
        <w:pStyle w:val="869"/>
        <w:ind w:firstLine="420"/>
        <w:widowControl/>
        <w:rPr>
          <w:color w:val="000000"/>
          <w:sz w:val="24"/>
          <w:szCs w:val="24"/>
          <w:highlight w:val="none"/>
        </w:rPr>
      </w:pPr>
      <w:r>
        <w:rPr>
          <w:rFonts w:hint="eastAsia"/>
          <w:color w:val="000000"/>
          <w:sz w:val="24"/>
          <w:szCs w:val="24"/>
          <w:highlight w:val="none"/>
        </w:rPr>
        <w:t xml:space="preserve">（2）网络中控及液晶面板功能，主要需要体现：</w:t>
      </w:r>
      <w:r>
        <w:rPr>
          <w:color w:val="000000"/>
          <w:sz w:val="24"/>
          <w:szCs w:val="24"/>
          <w:highlight w:val="none"/>
        </w:rPr>
      </w:r>
      <w:r/>
    </w:p>
    <w:p>
      <w:pPr>
        <w:pStyle w:val="869"/>
        <w:ind w:firstLine="420"/>
        <w:widowControl/>
        <w:rPr>
          <w:color w:val="000000"/>
          <w:sz w:val="24"/>
          <w:szCs w:val="24"/>
          <w:highlight w:val="none"/>
        </w:rPr>
      </w:pPr>
      <w:r>
        <w:rPr>
          <w:rFonts w:hint="eastAsia"/>
          <w:color w:val="000000"/>
          <w:sz w:val="24"/>
          <w:szCs w:val="24"/>
          <w:highlight w:val="none"/>
        </w:rPr>
        <w:t xml:space="preserve">1）可编程按照功能名称、排列、风格等个性化定制，同时支持插卡、动态二维码、反扫二维码身份认证授权方式；</w:t>
      </w:r>
      <w:r>
        <w:rPr>
          <w:color w:val="000000"/>
          <w:sz w:val="24"/>
          <w:szCs w:val="24"/>
          <w:highlight w:val="none"/>
        </w:rPr>
      </w:r>
      <w:r/>
    </w:p>
    <w:p>
      <w:pPr>
        <w:pStyle w:val="869"/>
        <w:ind w:firstLine="480"/>
        <w:rPr>
          <w:rFonts w:hint="eastAsia" w:ascii="宋体" w:hAnsi="宋体"/>
          <w:color w:val="000000"/>
          <w:sz w:val="24"/>
          <w:szCs w:val="24"/>
          <w:highlight w:val="none"/>
        </w:rPr>
      </w:pPr>
      <w:r>
        <w:rPr>
          <w:rFonts w:hint="eastAsia"/>
          <w:color w:val="000000"/>
          <w:sz w:val="24"/>
          <w:szCs w:val="24"/>
          <w:highlight w:val="none"/>
        </w:rPr>
        <w:t xml:space="preserve">2）集成一键式呼入按钮，实现与总控室全双工语音对讲功能（内置拾音及扬声器）。</w:t>
      </w:r>
      <w:r>
        <w:rPr>
          <w:rFonts w:hint="eastAsia" w:ascii="宋体" w:hAnsi="宋体"/>
          <w:color w:val="000000"/>
          <w:sz w:val="24"/>
          <w:szCs w:val="24"/>
          <w:highlight w:val="none"/>
        </w:rPr>
      </w:r>
      <w:r/>
    </w:p>
    <w:p>
      <w:pPr>
        <w:pStyle w:val="869"/>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69"/>
        <w:rPr>
          <w:rFonts w:hint="eastAsia"/>
          <w:color w:val="000000"/>
          <w:highlight w:val="none"/>
        </w:rPr>
      </w:pPr>
      <w:r>
        <w:rPr>
          <w:rFonts w:hint="eastAsia"/>
          <w:color w:val="000000"/>
          <w:highlight w:val="none"/>
        </w:rPr>
      </w:r>
      <w:r/>
    </w:p>
    <w:p>
      <w:pPr>
        <w:pStyle w:val="870"/>
        <w:rPr>
          <w:rFonts w:hint="eastAsia" w:ascii="黑体" w:eastAsia="黑体"/>
          <w:bCs/>
          <w:color w:val="000000"/>
          <w:sz w:val="44"/>
          <w:highlight w:val="none"/>
        </w:rPr>
      </w:pPr>
      <w:r>
        <w:rPr>
          <w:rFonts w:hint="eastAsia" w:ascii="黑体" w:eastAsia="黑体"/>
          <w:bCs/>
          <w:color w:val="000000"/>
          <w:sz w:val="44"/>
          <w:highlight w:val="none"/>
        </w:rPr>
        <w:t xml:space="preserve">第五章  </w:t>
      </w:r>
      <w:r>
        <w:rPr>
          <w:rFonts w:hint="eastAsia" w:ascii="黑体" w:eastAsia="黑体"/>
          <w:b/>
          <w:bCs/>
          <w:color w:val="000000"/>
          <w:sz w:val="44"/>
          <w:highlight w:val="none"/>
        </w:rPr>
        <w:t xml:space="preserve">评标方法与评标标准</w:t>
      </w:r>
      <w:r>
        <w:rPr>
          <w:rFonts w:hint="eastAsia" w:ascii="黑体" w:eastAsia="黑体"/>
          <w:bCs/>
          <w:color w:val="000000"/>
          <w:sz w:val="44"/>
          <w:highlight w:val="none"/>
        </w:rPr>
      </w:r>
      <w:r/>
    </w:p>
    <w:p>
      <w:pPr>
        <w:pStyle w:val="869"/>
        <w:rPr>
          <w:rFonts w:hint="eastAsia"/>
          <w:color w:val="000000"/>
          <w:highlight w:val="none"/>
        </w:rPr>
      </w:pPr>
      <w:r>
        <w:rPr>
          <w:rFonts w:hint="eastAsia"/>
          <w:color w:val="000000"/>
          <w:highlight w:val="none"/>
        </w:rPr>
      </w:r>
      <w:r/>
    </w:p>
    <w:p>
      <w:pPr>
        <w:pStyle w:val="957"/>
        <w:ind w:firstLine="439"/>
        <w:rPr>
          <w:rFonts w:cs="Arial"/>
          <w:color w:val="000000"/>
          <w:highlight w:val="none"/>
        </w:rPr>
      </w:pPr>
      <w:r>
        <w:rPr>
          <w:rFonts w:cs="Arial"/>
          <w:color w:val="000000"/>
          <w:highlight w:val="none"/>
        </w:rPr>
        <w:t xml:space="preserve">采用综合评分法的，评标结果按评审后得分由高到低顺序排列。得分相同的，按投标报价由低到高顺序排列。得分且投标报价相同的并列。</w:t>
      </w:r>
      <w:r>
        <w:rPr>
          <w:rFonts w:cs="Arial"/>
          <w:color w:val="000000"/>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1610" w:type="dxa"/>
            <w:vAlign w:val="center"/>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中标候选人数量</w:t>
            </w:r>
            <w:r>
              <w:rPr>
                <w:rFonts w:hint="eastAsia" w:ascii="宋体" w:hAnsi="宋体"/>
                <w:color w:val="000000"/>
                <w:highlight w:val="none"/>
              </w:rPr>
            </w:r>
            <w:r/>
          </w:p>
        </w:tc>
        <w:tc>
          <w:tcPr>
            <w:tcW w:w="4325" w:type="dxa"/>
            <w:vAlign w:val="center"/>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中标候选人的原则</w:t>
            </w:r>
            <w:r>
              <w:rPr>
                <w:rFonts w:hint="eastAsia" w:ascii="宋体" w:hAnsi="宋体"/>
                <w:color w:val="000000"/>
                <w:highlight w:val="none"/>
              </w:rPr>
            </w:r>
            <w:r/>
          </w:p>
        </w:tc>
      </w:tr>
      <w:tr>
        <w:trPr/>
        <w:tc>
          <w:tcPr>
            <w:tcW w:w="1148" w:type="dxa"/>
            <w:vAlign w:val="center"/>
            <w:textDirection w:val="lrTb"/>
            <w:noWrap w:val="false"/>
          </w:tcPr>
          <w:p>
            <w:pPr>
              <w:pStyle w:val="86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10" w:type="dxa"/>
            <w:vAlign w:val="center"/>
            <w:textDirection w:val="lrTb"/>
            <w:noWrap w:val="false"/>
          </w:tcPr>
          <w:p>
            <w:pPr>
              <w:pStyle w:val="86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4325" w:type="dxa"/>
            <w:vAlign w:val="center"/>
            <w:textDirection w:val="lrTb"/>
            <w:noWrap w:val="false"/>
          </w:tcPr>
          <w:p>
            <w:pPr>
              <w:pStyle w:val="869"/>
              <w:jc w:val="center"/>
              <w:rPr>
                <w:rFonts w:hint="eastAsia" w:ascii="宋体" w:hAnsi="宋体"/>
                <w:color w:val="000000"/>
                <w:highlight w:val="none"/>
              </w:rPr>
            </w:pPr>
            <w:r>
              <w:rPr>
                <w:rFonts w:hint="eastAsia" w:ascii="宋体" w:hAnsi="宋体"/>
                <w:color w:val="000000"/>
                <w:highlight w:val="none"/>
              </w:rPr>
              <w:t xml:space="preserve">满足招标文件全部实质性要求，且按照评审因素的量化指标评审得分最高的投标人为中标候选人。</w:t>
            </w:r>
            <w:r>
              <w:rPr>
                <w:rFonts w:hint="eastAsia" w:ascii="宋体" w:hAnsi="宋体"/>
                <w:color w:val="000000"/>
                <w:highlight w:val="none"/>
              </w:rPr>
            </w:r>
            <w:r/>
          </w:p>
        </w:tc>
      </w:tr>
    </w:tbl>
    <w:p>
      <w:pPr>
        <w:pStyle w:val="957"/>
        <w:ind w:firstLine="439"/>
        <w:spacing w:line="0" w:lineRule="atLeast"/>
        <w:rPr>
          <w:rFonts w:hint="eastAsia" w:cs="Arial"/>
          <w:color w:val="000000"/>
          <w:highlight w:val="none"/>
        </w:rPr>
      </w:pPr>
      <w:r>
        <w:rPr>
          <w:rFonts w:hint="eastAsia" w:cs="Arial"/>
          <w:color w:val="000000"/>
          <w:highlight w:val="none"/>
        </w:rPr>
      </w:r>
      <w:r/>
    </w:p>
    <w:p>
      <w:pPr>
        <w:pStyle w:val="957"/>
        <w:ind w:firstLine="441"/>
        <w:spacing w:line="0" w:lineRule="atLeast"/>
        <w:rPr>
          <w:rFonts w:hint="eastAsia" w:ascii="宋体" w:hAnsi="宋体"/>
          <w:b/>
          <w:color w:val="000000"/>
          <w:highlight w:val="none"/>
        </w:rPr>
      </w:pPr>
      <w:r>
        <w:rPr>
          <w:rFonts w:hint="eastAsia" w:ascii="宋体" w:hAnsi="宋体"/>
          <w:b/>
          <w:color w:val="000000"/>
          <w:highlight w:val="none"/>
        </w:rPr>
        <w:t xml:space="preserve">政府采购政策功能落实</w:t>
      </w:r>
      <w:r>
        <w:rPr>
          <w:rFonts w:hint="eastAsia" w:ascii="宋体" w:hAnsi="宋体"/>
          <w:b/>
          <w:color w:val="000000"/>
          <w:highlight w:val="none"/>
        </w:rPr>
      </w:r>
      <w:r/>
    </w:p>
    <w:p>
      <w:pPr>
        <w:pStyle w:val="957"/>
        <w:spacing w:line="0" w:lineRule="atLeast"/>
        <w:rPr>
          <w:rFonts w:hint="eastAsia" w:ascii="宋体" w:hAnsi="宋体"/>
          <w:color w:val="000000"/>
          <w:highlight w:val="none"/>
        </w:rPr>
      </w:pPr>
      <w:r>
        <w:rPr>
          <w:rFonts w:hint="eastAsia" w:ascii="宋体" w:hAnsi="宋体"/>
          <w:color w:val="000000"/>
          <w:highlight w:val="none"/>
        </w:rPr>
        <w:t xml:space="preserve">1、小微型企业价格扣除</w:t>
      </w:r>
      <w:r>
        <w:rPr>
          <w:rFonts w:hint="eastAsia" w:ascii="宋体" w:hAnsi="宋体"/>
          <w:color w:val="000000"/>
          <w:highlight w:val="none"/>
        </w:rPr>
      </w:r>
      <w:r/>
    </w:p>
    <w:p>
      <w:pPr>
        <w:pStyle w:val="957"/>
        <w:ind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（1）本项目对小型和微型企业提供的服务给予</w:t>
      </w:r>
      <w:r>
        <w:rPr>
          <w:rFonts w:hint="eastAsia" w:ascii="宋体" w:hAnsi="宋体"/>
          <w:color w:val="000000"/>
          <w:highlight w:val="none"/>
          <w:u w:val="single"/>
        </w:rPr>
        <w:t xml:space="preserve">10%</w:t>
      </w:r>
      <w:r>
        <w:rPr>
          <w:rFonts w:hint="eastAsia" w:ascii="宋体" w:hAnsi="宋体"/>
          <w:color w:val="000000"/>
          <w:highlight w:val="none"/>
        </w:rPr>
        <w:t xml:space="preserve">的扣除价格，用扣除后的价格参与评审。</w:t>
      </w:r>
      <w:r>
        <w:rPr>
          <w:rFonts w:hint="eastAsia" w:ascii="宋体" w:hAnsi="宋体"/>
          <w:color w:val="000000"/>
          <w:highlight w:val="none"/>
        </w:rPr>
      </w:r>
      <w:r/>
    </w:p>
    <w:p>
      <w:pPr>
        <w:pStyle w:val="957"/>
        <w:ind w:firstLine="360"/>
        <w:spacing w:line="0" w:lineRule="atLeast"/>
        <w:rPr>
          <w:rFonts w:hint="eastAsia" w:ascii="宋体" w:hAnsi="宋体"/>
          <w:color w:val="000000"/>
          <w:highlight w:val="none"/>
        </w:rPr>
      </w:pPr>
      <w:r>
        <w:rPr>
          <w:rFonts w:hint="eastAsia" w:ascii="宋体" w:hAnsi="宋体"/>
          <w:color w:val="000000"/>
          <w:highlight w:val="none"/>
        </w:rPr>
        <w:t xml:space="preserve">（2）供应商需按照采购文件的要求提供相应的《小微企业声明函》。</w:t>
      </w:r>
      <w:r>
        <w:rPr>
          <w:rFonts w:hint="eastAsia" w:ascii="宋体" w:hAnsi="宋体"/>
          <w:color w:val="000000"/>
          <w:highlight w:val="none"/>
        </w:rPr>
      </w:r>
      <w:r/>
    </w:p>
    <w:p>
      <w:pPr>
        <w:pStyle w:val="957"/>
        <w:ind w:firstLine="360"/>
        <w:spacing w:line="0" w:lineRule="atLeast"/>
        <w:rPr>
          <w:rFonts w:hint="eastAsia" w:ascii="宋体" w:hAnsi="宋体"/>
          <w:color w:val="000000"/>
          <w:highlight w:val="none"/>
        </w:rPr>
      </w:pPr>
      <w:r>
        <w:rPr>
          <w:rFonts w:hint="eastAsia" w:ascii="宋体" w:hAnsi="宋体"/>
          <w:color w:val="000000"/>
          <w:highlight w:val="none"/>
        </w:rPr>
        <w:t xml:space="preserve">（3）企业标准请参照《关于印发中小企业划型标准规定的通知》（工信部联企业[2011]300号）文件规定自行填写。</w:t>
      </w:r>
      <w:r>
        <w:rPr>
          <w:rFonts w:hint="eastAsia" w:ascii="宋体" w:hAnsi="宋体"/>
          <w:color w:val="000000"/>
          <w:highlight w:val="none"/>
        </w:rPr>
      </w:r>
      <w:r/>
    </w:p>
    <w:p>
      <w:pPr>
        <w:pStyle w:val="957"/>
        <w:spacing w:line="0" w:lineRule="atLeast"/>
        <w:rPr>
          <w:rFonts w:hint="eastAsia" w:ascii="宋体" w:hAnsi="宋体"/>
          <w:color w:val="000000"/>
          <w:highlight w:val="none"/>
        </w:rPr>
      </w:pPr>
      <w:r>
        <w:rPr>
          <w:rFonts w:hint="eastAsia" w:ascii="宋体" w:hAnsi="宋体"/>
          <w:color w:val="000000"/>
          <w:highlight w:val="none"/>
        </w:rPr>
        <w:t xml:space="preserve">2、残疾人福利单位价格扣除</w:t>
      </w:r>
      <w:r>
        <w:rPr>
          <w:rFonts w:hint="eastAsia" w:ascii="宋体" w:hAnsi="宋体"/>
          <w:color w:val="000000"/>
          <w:highlight w:val="none"/>
        </w:rPr>
      </w:r>
      <w:r/>
    </w:p>
    <w:p>
      <w:pPr>
        <w:pStyle w:val="957"/>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（1）本项目对残疾人福利性单位视同小型、微型企业，给予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957"/>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（2）残疾人福利单位需按照采购文件的要求提供《残疾人福利性单位声明函》。</w:t>
      </w:r>
      <w:r>
        <w:rPr>
          <w:rFonts w:hint="eastAsia" w:ascii="宋体" w:hAnsi="宋体"/>
          <w:color w:val="000000"/>
          <w:highlight w:val="none"/>
        </w:rPr>
      </w:r>
      <w:r/>
    </w:p>
    <w:p>
      <w:pPr>
        <w:pStyle w:val="957"/>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（3）残疾人福利单位标准请参照《关于促进残疾人就业政府采购政策的通知》（财库〔2017〕141号）。</w:t>
      </w:r>
      <w:r>
        <w:rPr>
          <w:rFonts w:hint="eastAsia" w:ascii="宋体" w:hAnsi="宋体"/>
          <w:color w:val="000000"/>
          <w:highlight w:val="none"/>
        </w:rPr>
      </w:r>
      <w:r/>
    </w:p>
    <w:p>
      <w:pPr>
        <w:pStyle w:val="957"/>
        <w:spacing w:line="0" w:lineRule="atLeast"/>
        <w:rPr>
          <w:rFonts w:hint="eastAsia" w:ascii="宋体" w:hAnsi="宋体"/>
          <w:color w:val="000000"/>
          <w:highlight w:val="none"/>
        </w:rPr>
      </w:pPr>
      <w:r>
        <w:rPr>
          <w:rFonts w:hint="eastAsia" w:ascii="宋体" w:hAnsi="宋体"/>
          <w:color w:val="000000"/>
          <w:highlight w:val="none"/>
        </w:rPr>
        <w:t xml:space="preserve">3、监狱和戒毒企业价格扣除</w:t>
      </w:r>
      <w:r>
        <w:rPr>
          <w:rFonts w:hint="eastAsia" w:ascii="宋体" w:hAnsi="宋体"/>
          <w:color w:val="000000"/>
          <w:highlight w:val="none"/>
        </w:rPr>
      </w:r>
      <w:r/>
    </w:p>
    <w:p>
      <w:pPr>
        <w:pStyle w:val="957"/>
        <w:spacing w:line="0" w:lineRule="atLeast"/>
        <w:rPr>
          <w:rFonts w:hint="eastAsia" w:ascii="宋体" w:hAnsi="宋体"/>
          <w:color w:val="000000"/>
          <w:highlight w:val="none"/>
        </w:rPr>
      </w:pPr>
      <w:r>
        <w:rPr>
          <w:rFonts w:hint="eastAsia" w:ascii="宋体" w:hAnsi="宋体"/>
          <w:color w:val="000000"/>
          <w:highlight w:val="none"/>
        </w:rPr>
        <w:t xml:space="preserve">（1）本项目对监狱和戒毒企业（简称监狱企业）视同小型、微型企业，给予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957"/>
        <w:spacing w:line="0" w:lineRule="atLeast"/>
        <w:rPr>
          <w:rFonts w:hint="eastAsia" w:ascii="宋体" w:hAnsi="宋体"/>
          <w:color w:val="000000"/>
          <w:highlight w:val="none"/>
        </w:rPr>
      </w:pPr>
      <w:r>
        <w:rPr>
          <w:rFonts w:hint="eastAsia" w:ascii="宋体" w:hAnsi="宋体"/>
          <w:color w:val="000000"/>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highlight w:val="none"/>
        </w:rPr>
        <w:t xml:space="preserve">供应商如不提供上述证明文件，价格将不做相应扣除</w:t>
      </w:r>
      <w:r>
        <w:rPr>
          <w:rFonts w:hint="eastAsia" w:ascii="宋体" w:hAnsi="宋体"/>
          <w:color w:val="000000"/>
          <w:highlight w:val="none"/>
        </w:rPr>
        <w:t xml:space="preserve">。</w:t>
      </w:r>
      <w:r>
        <w:rPr>
          <w:rFonts w:hint="eastAsia" w:ascii="宋体" w:hAnsi="宋体"/>
          <w:color w:val="000000"/>
          <w:highlight w:val="none"/>
        </w:rPr>
      </w:r>
      <w:r/>
    </w:p>
    <w:p>
      <w:pPr>
        <w:pStyle w:val="957"/>
        <w:spacing w:line="0" w:lineRule="atLeast"/>
        <w:rPr>
          <w:rFonts w:hint="eastAsia" w:ascii="宋体" w:hAnsi="宋体"/>
          <w:color w:val="000000"/>
          <w:highlight w:val="none"/>
        </w:rPr>
      </w:pPr>
      <w:r>
        <w:rPr>
          <w:rFonts w:hint="eastAsia" w:ascii="宋体" w:hAnsi="宋体"/>
          <w:color w:val="000000"/>
          <w:highlight w:val="none"/>
        </w:rPr>
        <w:t xml:space="preserve">（3）监狱企业标准请参照《关于政府采购支持监狱企业发展有关问题的通知》（</w:t>
      </w:r>
      <w:r>
        <w:rPr>
          <w:rFonts w:ascii="宋体" w:hAnsi="宋体"/>
          <w:color w:val="000000"/>
          <w:highlight w:val="none"/>
        </w:rPr>
        <w:t xml:space="preserve">财库[2014]68号</w:t>
      </w:r>
      <w:r>
        <w:rPr>
          <w:rFonts w:hint="eastAsia" w:ascii="宋体" w:hAnsi="宋体"/>
          <w:color w:val="000000"/>
          <w:highlight w:val="none"/>
        </w:rPr>
        <w:t xml:space="preserve">）。</w:t>
      </w:r>
      <w:r>
        <w:rPr>
          <w:rFonts w:hint="eastAsia" w:ascii="宋体" w:hAnsi="宋体"/>
          <w:color w:val="000000"/>
          <w:highlight w:val="none"/>
        </w:rPr>
      </w:r>
      <w:r/>
    </w:p>
    <w:p>
      <w:pPr>
        <w:pStyle w:val="957"/>
        <w:spacing w:line="400" w:lineRule="exact"/>
        <w:rPr>
          <w:rFonts w:hint="eastAsia" w:ascii="宋体" w:hAnsi="宋体"/>
          <w:color w:val="000000"/>
          <w:highlight w:val="none"/>
        </w:rPr>
      </w:pPr>
      <w:r>
        <w:rPr>
          <w:rFonts w:hint="eastAsia" w:ascii="宋体" w:hAnsi="宋体"/>
          <w:color w:val="000000"/>
          <w:highlight w:val="none"/>
        </w:rPr>
        <w:t xml:space="preserve">4、残疾人福利单位、监狱企业属于小型、微型企业的，不重复享受政策。</w:t>
      </w:r>
      <w:r>
        <w:rPr>
          <w:rFonts w:hint="eastAsia" w:ascii="宋体" w:hAnsi="宋体"/>
          <w:color w:val="000000"/>
          <w:highlight w:val="none"/>
        </w:rPr>
      </w:r>
      <w:r/>
    </w:p>
    <w:p>
      <w:pPr>
        <w:pStyle w:val="957"/>
        <w:spacing w:line="400" w:lineRule="exact"/>
        <w:rPr>
          <w:rFonts w:hint="eastAsia" w:ascii="宋体" w:hAnsi="宋体"/>
          <w:color w:val="000000"/>
          <w:highlight w:val="none"/>
        </w:rPr>
      </w:pPr>
      <w:r>
        <w:rPr>
          <w:rFonts w:hint="eastAsia" w:ascii="宋体" w:hAnsi="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highlight w:val="none"/>
          <w:u w:val="single"/>
        </w:rPr>
        <w:t xml:space="preserve">4</w:t>
      </w:r>
      <w:r>
        <w:rPr>
          <w:rFonts w:hint="eastAsia" w:ascii="宋体" w:hAnsi="宋体"/>
          <w:color w:val="000000"/>
          <w:highlight w:val="none"/>
          <w:u w:val="single"/>
        </w:rPr>
        <w:t xml:space="preserve">%</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957"/>
        <w:spacing w:line="400" w:lineRule="exact"/>
        <w:rPr>
          <w:rFonts w:hint="eastAsia" w:ascii="宋体" w:hAnsi="宋体"/>
          <w:color w:val="000000"/>
          <w:highlight w:val="none"/>
        </w:rPr>
      </w:pPr>
      <w:r>
        <w:rPr>
          <w:rFonts w:hint="eastAsia" w:ascii="宋体" w:hAnsi="宋体"/>
          <w:color w:val="000000"/>
          <w:highlight w:val="none"/>
        </w:rPr>
        <w:t xml:space="preserve">6、联合体各方均为小型、微型企业（残疾人福利单位、监狱企业）的，联合体享受</w:t>
      </w:r>
      <w:r>
        <w:rPr>
          <w:rFonts w:hint="eastAsia" w:ascii="宋体" w:hAnsi="宋体"/>
          <w:color w:val="000000"/>
          <w:highlight w:val="none"/>
          <w:u w:val="single"/>
        </w:rPr>
        <w:t xml:space="preserve">10%</w:t>
      </w:r>
      <w:r>
        <w:rPr>
          <w:rFonts w:hint="eastAsia" w:ascii="宋体" w:hAnsi="宋体"/>
          <w:color w:val="000000"/>
          <w:highlight w:val="none"/>
        </w:rPr>
        <w:t xml:space="preserve">价格扣除，用扣除后的价格参与评审。</w:t>
      </w:r>
      <w:r>
        <w:rPr>
          <w:rFonts w:hint="eastAsia" w:ascii="宋体" w:hAnsi="宋体"/>
          <w:color w:val="000000"/>
          <w:highlight w:val="none"/>
        </w:rPr>
      </w:r>
      <w:r/>
    </w:p>
    <w:p>
      <w:pPr>
        <w:pStyle w:val="957"/>
        <w:ind w:firstLine="472"/>
        <w:spacing w:line="400" w:lineRule="exact"/>
        <w:rPr>
          <w:rFonts w:hint="eastAsia"/>
          <w:color w:val="000000"/>
          <w:highlight w:val="none"/>
        </w:rPr>
      </w:pPr>
      <w:r>
        <w:rPr>
          <w:rFonts w:hint="eastAsia" w:ascii="宋体" w:hAnsi="宋体"/>
          <w:color w:val="000000"/>
          <w:highlight w:val="none"/>
        </w:rPr>
        <w:t xml:space="preserve">7、根据《江苏省政府采购信用管理暂行办法》的规定，供应商信用评价结果为三星的扣2分，评价结果为二星的扣3分，评价结果为一星的扣4分。</w:t>
      </w:r>
      <w:r>
        <w:rPr>
          <w:rFonts w:hint="eastAsia"/>
          <w:color w:val="000000"/>
          <w:highlight w:val="none"/>
        </w:rPr>
      </w:r>
      <w:r/>
    </w:p>
    <w:p>
      <w:pPr>
        <w:pStyle w:val="957"/>
        <w:ind w:firstLine="482"/>
        <w:spacing w:line="0" w:lineRule="atLeas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562"/>
        <w:gridCol w:w="808"/>
        <w:gridCol w:w="1084"/>
        <w:gridCol w:w="5618"/>
        <w:gridCol w:w="448"/>
      </w:tblGrid>
      <w:tr>
        <w:trPr>
          <w:trHeight w:val="456"/>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69"/>
              <w:jc w:val="center"/>
              <w:widowControl/>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808" w:type="dxa"/>
            <w:vAlign w:val="center"/>
            <w:textDirection w:val="lrTb"/>
            <w:noWrap w:val="false"/>
          </w:tcPr>
          <w:p>
            <w:pPr>
              <w:pStyle w:val="869"/>
              <w:jc w:val="center"/>
              <w:widowControl/>
              <w:rPr>
                <w:color w:val="000000"/>
                <w:highlight w:val="none"/>
              </w:rPr>
            </w:pPr>
            <w:r>
              <w:rPr>
                <w:rFonts w:hint="eastAsia"/>
                <w:color w:val="000000"/>
                <w:highlight w:val="none"/>
              </w:rPr>
              <w:t xml:space="preserve">类别</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1084" w:type="dxa"/>
            <w:vAlign w:val="center"/>
            <w:textDirection w:val="lrTb"/>
            <w:noWrap w:val="false"/>
          </w:tcPr>
          <w:p>
            <w:pPr>
              <w:pStyle w:val="869"/>
              <w:jc w:val="center"/>
              <w:widowControl/>
              <w:rPr>
                <w:color w:val="000000"/>
                <w:highlight w:val="none"/>
              </w:rPr>
            </w:pPr>
            <w:r>
              <w:rPr>
                <w:rFonts w:hint="eastAsia"/>
                <w:color w:val="000000"/>
                <w:highlight w:val="none"/>
              </w:rPr>
              <w:t xml:space="preserve">项目</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5618" w:type="dxa"/>
            <w:vAlign w:val="center"/>
            <w:textDirection w:val="lrTb"/>
            <w:noWrap w:val="false"/>
          </w:tcPr>
          <w:p>
            <w:pPr>
              <w:pStyle w:val="869"/>
              <w:jc w:val="center"/>
              <w:widowControl/>
              <w:rPr>
                <w:color w:val="000000"/>
                <w:highlight w:val="none"/>
              </w:rPr>
            </w:pPr>
            <w:r>
              <w:rPr>
                <w:rFonts w:hint="eastAsia"/>
                <w:color w:val="000000"/>
                <w:highlight w:val="none"/>
              </w:rPr>
              <w:t xml:space="preserve">评分依据</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448" w:type="dxa"/>
            <w:vAlign w:val="center"/>
            <w:textDirection w:val="lrTb"/>
            <w:noWrap w:val="false"/>
          </w:tcPr>
          <w:p>
            <w:pPr>
              <w:pStyle w:val="869"/>
              <w:jc w:val="center"/>
              <w:widowControl/>
              <w:rPr>
                <w:color w:val="000000"/>
                <w:highlight w:val="none"/>
              </w:rPr>
            </w:pPr>
            <w:r>
              <w:rPr>
                <w:rFonts w:hint="eastAsia"/>
                <w:color w:val="000000"/>
                <w:highlight w:val="none"/>
              </w:rPr>
              <w:t xml:space="preserve">分值</w:t>
            </w:r>
            <w:r>
              <w:rPr>
                <w:color w:val="000000"/>
                <w:highlight w:val="none"/>
              </w:rPr>
            </w:r>
            <w:r/>
          </w:p>
        </w:tc>
      </w:tr>
      <w:tr>
        <w:trPr>
          <w:trHeight w:val="1675"/>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69"/>
              <w:jc w:val="center"/>
              <w:widowControl/>
              <w:rPr>
                <w:color w:val="000000"/>
                <w:highlight w:val="none"/>
              </w:rPr>
            </w:pPr>
            <w:r>
              <w:rPr>
                <w:rFonts w:hint="eastAsia"/>
                <w:color w:val="000000"/>
                <w:highlight w:val="none"/>
              </w:rPr>
              <w:t xml:space="preserve">1</w:t>
            </w:r>
            <w:r>
              <w:rPr>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1892" w:type="dxa"/>
            <w:vAlign w:val="center"/>
            <w:textDirection w:val="lrTb"/>
            <w:noWrap w:val="false"/>
          </w:tcPr>
          <w:p>
            <w:pPr>
              <w:pStyle w:val="869"/>
              <w:jc w:val="center"/>
              <w:widowControl/>
              <w:rPr>
                <w:color w:val="000000"/>
                <w:highlight w:val="none"/>
              </w:rPr>
            </w:pPr>
            <w:r>
              <w:rPr>
                <w:rFonts w:hint="eastAsia"/>
                <w:color w:val="000000"/>
                <w:highlight w:val="none"/>
              </w:rPr>
              <w:t xml:space="preserve">价格（30分）</w:t>
            </w:r>
            <w:r>
              <w:rPr>
                <w:color w:val="000000"/>
                <w:highlight w:val="none"/>
              </w:rPr>
            </w:r>
            <w:r/>
          </w:p>
        </w:tc>
        <w:tc>
          <w:tcPr>
            <w:tcBorders>
              <w:top w:val="none" w:color="000000" w:sz="4" w:space="0"/>
              <w:left w:val="none" w:color="000000" w:sz="4" w:space="0"/>
              <w:bottom w:val="single" w:color="000000" w:sz="4" w:space="0"/>
              <w:right w:val="single" w:color="000000" w:sz="4" w:space="0"/>
            </w:tcBorders>
            <w:tcW w:w="5618" w:type="dxa"/>
            <w:vAlign w:val="center"/>
            <w:textDirection w:val="lrTb"/>
            <w:noWrap w:val="false"/>
          </w:tcPr>
          <w:p>
            <w:pPr>
              <w:pStyle w:val="869"/>
              <w:ind w:firstLine="420"/>
              <w:widowControl/>
              <w:rPr>
                <w:color w:val="000000"/>
                <w:highlight w:val="none"/>
              </w:rPr>
            </w:pPr>
            <w:r>
              <w:rPr>
                <w:rFonts w:hint="eastAsia"/>
                <w:color w:val="000000"/>
                <w:highlight w:val="none"/>
                <w:lang w:bidi="ar"/>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color w:val="000000"/>
                <w:highlight w:val="none"/>
              </w:rPr>
            </w:r>
            <w:r/>
          </w:p>
        </w:tc>
        <w:tc>
          <w:tcPr>
            <w:tcBorders>
              <w:top w:val="none" w:color="000000" w:sz="4" w:space="0"/>
              <w:left w:val="none" w:color="000000" w:sz="4" w:space="0"/>
              <w:bottom w:val="single" w:color="000000" w:sz="4" w:space="0"/>
              <w:right w:val="single" w:color="000000" w:sz="4" w:space="0"/>
            </w:tcBorders>
            <w:tcW w:w="448" w:type="dxa"/>
            <w:vAlign w:val="center"/>
            <w:textDirection w:val="lrTb"/>
            <w:noWrap w:val="false"/>
          </w:tcPr>
          <w:p>
            <w:pPr>
              <w:pStyle w:val="869"/>
              <w:jc w:val="center"/>
              <w:widowControl/>
              <w:rPr>
                <w:color w:val="000000"/>
                <w:highlight w:val="none"/>
              </w:rPr>
            </w:pPr>
            <w:r>
              <w:rPr>
                <w:rFonts w:hint="eastAsia"/>
                <w:color w:val="000000"/>
                <w:highlight w:val="none"/>
              </w:rPr>
              <w:t xml:space="preserve">30</w:t>
            </w:r>
            <w:r>
              <w:rPr>
                <w:color w:val="000000"/>
                <w:highlight w:val="none"/>
              </w:rPr>
            </w:r>
            <w:r/>
          </w:p>
        </w:tc>
      </w:tr>
      <w:tr>
        <w:trPr>
          <w:trHeight w:val="948"/>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69"/>
              <w:jc w:val="center"/>
              <w:widowControl/>
              <w:rPr>
                <w:color w:val="000000"/>
                <w:highlight w:val="none"/>
              </w:rPr>
            </w:pPr>
            <w:r>
              <w:rPr>
                <w:rFonts w:hint="eastAsia"/>
                <w:color w:val="000000"/>
                <w:highlight w:val="none"/>
              </w:rPr>
              <w:t xml:space="preserve">2.1</w:t>
            </w:r>
            <w:r>
              <w:rPr>
                <w:color w:val="000000"/>
                <w:highlight w:val="none"/>
              </w:rPr>
            </w:r>
            <w:r/>
          </w:p>
        </w:tc>
        <w:tc>
          <w:tcPr>
            <w:tcBorders>
              <w:top w:val="none" w:color="000000" w:sz="4" w:space="0"/>
              <w:left w:val="single" w:color="000000" w:sz="4" w:space="0"/>
              <w:bottom w:val="single" w:color="000000" w:sz="4" w:space="0"/>
              <w:right w:val="single" w:color="000000" w:sz="4" w:space="0"/>
            </w:tcBorders>
            <w:tcW w:w="808" w:type="dxa"/>
            <w:vAlign w:val="center"/>
            <w:vMerge w:val="restart"/>
            <w:textDirection w:val="lrTb"/>
            <w:noWrap w:val="false"/>
          </w:tcPr>
          <w:p>
            <w:pPr>
              <w:pStyle w:val="869"/>
              <w:jc w:val="center"/>
              <w:widowControl/>
              <w:rPr>
                <w:color w:val="000000"/>
                <w:highlight w:val="none"/>
              </w:rPr>
            </w:pPr>
            <w:r>
              <w:rPr>
                <w:rFonts w:hint="eastAsia"/>
                <w:color w:val="000000"/>
                <w:highlight w:val="none"/>
              </w:rPr>
              <w:t xml:space="preserve">商务及技术（47分）</w:t>
            </w:r>
            <w:r>
              <w:rPr>
                <w:color w:val="000000"/>
                <w:highlight w:val="none"/>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869"/>
              <w:jc w:val="center"/>
              <w:widowControl/>
              <w:rPr>
                <w:rFonts w:hint="eastAsia"/>
                <w:color w:val="000000"/>
                <w:highlight w:val="none"/>
              </w:rPr>
            </w:pPr>
            <w:r>
              <w:rPr>
                <w:rFonts w:hint="eastAsia"/>
                <w:color w:val="000000"/>
                <w:highlight w:val="none"/>
              </w:rPr>
              <w:t xml:space="preserve">技术参数及性能（</w:t>
            </w:r>
            <w:r>
              <w:rPr>
                <w:color w:val="000000"/>
                <w:highlight w:val="none"/>
              </w:rPr>
              <w:t xml:space="preserve">22</w:t>
            </w:r>
            <w:r>
              <w:rPr>
                <w:rFonts w:hint="eastAsia"/>
                <w:color w:val="000000"/>
                <w:highlight w:val="none"/>
              </w:rPr>
              <w:t xml:space="preserve">分）</w:t>
            </w:r>
            <w:r>
              <w:rPr>
                <w:rFonts w:hint="eastAsia"/>
                <w:color w:val="000000"/>
                <w:highlight w:val="none"/>
              </w:rPr>
            </w:r>
            <w:r/>
          </w:p>
          <w:p>
            <w:pPr>
              <w:pStyle w:val="873"/>
              <w:rPr>
                <w:color w:val="000000"/>
                <w:highlight w:val="none"/>
              </w:rPr>
            </w:pPr>
            <w:r>
              <w:rPr>
                <w:color w:val="000000"/>
                <w:highlight w:val="none"/>
              </w:rPr>
            </w:r>
            <w:r/>
          </w:p>
        </w:tc>
        <w:tc>
          <w:tcPr>
            <w:tcBorders>
              <w:top w:val="none" w:color="000000" w:sz="4" w:space="0"/>
              <w:left w:val="none" w:color="000000" w:sz="4" w:space="0"/>
              <w:bottom w:val="single" w:color="000000" w:sz="4" w:space="0"/>
              <w:right w:val="single" w:color="000000" w:sz="4" w:space="0"/>
            </w:tcBorders>
            <w:tcW w:w="5618" w:type="dxa"/>
            <w:vAlign w:val="center"/>
            <w:textDirection w:val="lrTb"/>
            <w:noWrap w:val="false"/>
          </w:tcPr>
          <w:p>
            <w:pPr>
              <w:pStyle w:val="869"/>
              <w:ind w:firstLine="420"/>
              <w:widowControl/>
              <w:rPr>
                <w:color w:val="000000"/>
                <w:highlight w:val="none"/>
              </w:rPr>
            </w:pPr>
            <w:r>
              <w:rPr>
                <w:rFonts w:hint="eastAsia"/>
                <w:color w:val="000000"/>
                <w:highlight w:val="none"/>
              </w:rPr>
              <w:t xml:space="preserve">2.1根据投标产品对采购文件招标技术要求表中每项技术参数要求的响应程度进行评分：</w:t>
            </w:r>
            <w:r>
              <w:rPr>
                <w:color w:val="000000"/>
                <w:highlight w:val="none"/>
              </w:rPr>
            </w:r>
            <w:r/>
          </w:p>
          <w:p>
            <w:pPr>
              <w:pStyle w:val="869"/>
              <w:ind w:firstLine="420"/>
              <w:widowControl/>
              <w:rPr>
                <w:color w:val="000000"/>
                <w:highlight w:val="none"/>
              </w:rPr>
            </w:pPr>
            <w:r>
              <w:rPr>
                <w:rFonts w:hint="eastAsia"/>
                <w:color w:val="000000"/>
                <w:highlight w:val="none"/>
              </w:rPr>
              <w:t xml:space="preserve">满足采购文件全部技术参数要求得2</w:t>
            </w:r>
            <w:r>
              <w:rPr>
                <w:color w:val="000000"/>
                <w:highlight w:val="none"/>
              </w:rPr>
              <w:t xml:space="preserve">2</w:t>
            </w:r>
            <w:r>
              <w:rPr>
                <w:rFonts w:hint="eastAsia"/>
                <w:color w:val="000000"/>
                <w:highlight w:val="none"/>
              </w:rPr>
              <w:t xml:space="preserve">分：打▲号指标为重要技术参数，22分，有一项负偏离扣1分，扣完为止。（投标人需如实填写所投产品参数，并按要求提供相应的证明材料，投标人所提供证明材料与投标产品、采购需求技术内容不符，视为不满足并作相应扣分处理。）</w:t>
            </w:r>
            <w:r>
              <w:rPr>
                <w:color w:val="000000"/>
                <w:highlight w:val="none"/>
              </w:rPr>
            </w:r>
            <w:r/>
          </w:p>
        </w:tc>
        <w:tc>
          <w:tcPr>
            <w:tcBorders>
              <w:top w:val="none" w:color="000000" w:sz="4" w:space="0"/>
              <w:left w:val="none" w:color="000000" w:sz="4" w:space="0"/>
              <w:bottom w:val="single" w:color="000000" w:sz="4" w:space="0"/>
              <w:right w:val="single" w:color="000000" w:sz="4" w:space="0"/>
            </w:tcBorders>
            <w:tcW w:w="448" w:type="dxa"/>
            <w:vAlign w:val="center"/>
            <w:textDirection w:val="lrTb"/>
            <w:noWrap w:val="false"/>
          </w:tcPr>
          <w:p>
            <w:pPr>
              <w:pStyle w:val="869"/>
              <w:jc w:val="center"/>
              <w:widowControl/>
              <w:rPr>
                <w:color w:val="000000"/>
                <w:highlight w:val="none"/>
              </w:rPr>
            </w:pPr>
            <w:r>
              <w:rPr>
                <w:color w:val="000000"/>
                <w:highlight w:val="none"/>
              </w:rPr>
              <w:t xml:space="preserve">22</w:t>
            </w:r>
            <w:r>
              <w:rPr>
                <w:color w:val="000000"/>
                <w:highlight w:val="none"/>
              </w:rPr>
            </w:r>
            <w:r/>
          </w:p>
        </w:tc>
      </w:tr>
      <w:tr>
        <w:trPr>
          <w:trHeight w:val="689"/>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69"/>
              <w:jc w:val="center"/>
              <w:widowControl/>
              <w:rPr>
                <w:color w:val="000000"/>
                <w:highlight w:val="none"/>
              </w:rPr>
            </w:pPr>
            <w:r>
              <w:rPr>
                <w:rFonts w:hint="eastAsia"/>
                <w:color w:val="000000"/>
                <w:highlight w:val="none"/>
              </w:rPr>
              <w:t xml:space="preserve">2.2</w:t>
            </w:r>
            <w:r>
              <w:rPr>
                <w:color w:val="000000"/>
                <w:highlight w:val="none"/>
              </w:rPr>
            </w:r>
            <w:r/>
          </w:p>
        </w:tc>
        <w:tc>
          <w:tcPr>
            <w:tcBorders>
              <w:top w:val="non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pStyle w:val="869"/>
              <w:jc w:val="left"/>
              <w:widowControl/>
              <w:rPr>
                <w:color w:val="000000"/>
                <w:highlight w:val="none"/>
              </w:rPr>
            </w:pPr>
            <w:r>
              <w:rPr>
                <w:color w:val="000000"/>
                <w:highlight w:val="none"/>
              </w:rPr>
            </w:r>
            <w:r/>
          </w:p>
        </w:tc>
        <w:tc>
          <w:tcPr>
            <w:tcBorders>
              <w:top w:val="none" w:color="000000" w:sz="4" w:space="0"/>
              <w:left w:val="single" w:color="000000" w:sz="4" w:space="0"/>
              <w:bottom w:val="single" w:color="000000" w:sz="4" w:space="0"/>
              <w:right w:val="single" w:color="000000" w:sz="4" w:space="0"/>
            </w:tcBorders>
            <w:tcW w:w="1084" w:type="dxa"/>
            <w:vAlign w:val="center"/>
            <w:textDirection w:val="lrTb"/>
            <w:noWrap w:val="false"/>
          </w:tcPr>
          <w:p>
            <w:pPr>
              <w:pStyle w:val="869"/>
              <w:jc w:val="center"/>
              <w:widowControl/>
              <w:rPr>
                <w:color w:val="000000"/>
                <w:highlight w:val="none"/>
              </w:rPr>
            </w:pPr>
            <w:r>
              <w:rPr>
                <w:rFonts w:hint="eastAsia"/>
                <w:color w:val="000000"/>
                <w:highlight w:val="none"/>
              </w:rPr>
              <w:t xml:space="preserve">项目方案（20分）</w:t>
            </w:r>
            <w:r>
              <w:rPr>
                <w:color w:val="000000"/>
                <w:highlight w:val="none"/>
              </w:rPr>
            </w:r>
            <w:r/>
          </w:p>
        </w:tc>
        <w:tc>
          <w:tcPr>
            <w:tcBorders>
              <w:top w:val="none" w:color="000000" w:sz="4" w:space="0"/>
              <w:left w:val="none" w:color="000000" w:sz="4" w:space="0"/>
              <w:bottom w:val="none" w:color="000000" w:sz="0" w:space="0"/>
              <w:right w:val="single" w:color="000000" w:sz="4" w:space="0"/>
            </w:tcBorders>
            <w:tcW w:w="5618" w:type="dxa"/>
            <w:vAlign w:val="center"/>
            <w:textDirection w:val="lrTb"/>
            <w:noWrap w:val="false"/>
          </w:tcPr>
          <w:p>
            <w:pPr>
              <w:pStyle w:val="869"/>
              <w:ind w:firstLine="420"/>
              <w:widowControl/>
              <w:rPr>
                <w:color w:val="000000"/>
                <w:highlight w:val="none"/>
              </w:rPr>
            </w:pPr>
            <w:r>
              <w:rPr>
                <w:rFonts w:hint="eastAsia"/>
                <w:color w:val="000000"/>
                <w:highlight w:val="none"/>
              </w:rPr>
              <w:t xml:space="preserve">2.2.1由评委根据投标文件中提供的项目技术方案进行综合评分：（5分）</w:t>
            </w:r>
            <w:r>
              <w:rPr>
                <w:color w:val="000000"/>
                <w:highlight w:val="none"/>
              </w:rPr>
            </w:r>
            <w:r/>
          </w:p>
          <w:p>
            <w:pPr>
              <w:pStyle w:val="869"/>
              <w:ind w:firstLine="420"/>
              <w:widowControl/>
              <w:rPr>
                <w:color w:val="000000"/>
                <w:highlight w:val="none"/>
              </w:rPr>
            </w:pPr>
            <w:r>
              <w:rPr>
                <w:rFonts w:hint="eastAsia"/>
                <w:color w:val="000000"/>
                <w:highlight w:val="none"/>
              </w:rPr>
              <w:t xml:space="preserve">方案</w:t>
            </w:r>
            <w:r>
              <w:rPr>
                <w:rFonts w:hint="eastAsia"/>
                <w:color w:val="000000"/>
                <w:highlight w:val="none"/>
                <w:lang w:eastAsia="zh-CN"/>
              </w:rPr>
              <w:t xml:space="preserve">优于项目需求</w:t>
            </w:r>
            <w:r>
              <w:rPr>
                <w:rFonts w:hint="eastAsia"/>
                <w:color w:val="000000"/>
                <w:highlight w:val="none"/>
              </w:rPr>
              <w:t xml:space="preserve">的得5分，方案</w:t>
            </w:r>
            <w:r>
              <w:rPr>
                <w:rFonts w:hint="eastAsia"/>
                <w:color w:val="000000"/>
                <w:highlight w:val="none"/>
                <w:lang w:eastAsia="zh-CN"/>
              </w:rPr>
              <w:t xml:space="preserve">符合项目需求</w:t>
            </w:r>
            <w:r>
              <w:rPr>
                <w:rFonts w:hint="eastAsia"/>
                <w:color w:val="000000"/>
                <w:highlight w:val="none"/>
              </w:rPr>
              <w:t xml:space="preserve">的得3分，方案不</w:t>
            </w:r>
            <w:r>
              <w:rPr>
                <w:rFonts w:hint="eastAsia"/>
                <w:color w:val="000000"/>
                <w:highlight w:val="none"/>
                <w:lang w:eastAsia="zh-CN"/>
              </w:rPr>
              <w:t xml:space="preserve">符合项目需求</w:t>
            </w:r>
            <w:r>
              <w:rPr>
                <w:rFonts w:hint="eastAsia"/>
                <w:color w:val="000000"/>
                <w:highlight w:val="none"/>
              </w:rPr>
              <w:t xml:space="preserve">或未提供的不得分。</w:t>
            </w:r>
            <w:r>
              <w:rPr>
                <w:color w:val="000000"/>
                <w:highlight w:val="none"/>
              </w:rPr>
            </w:r>
            <w:r/>
          </w:p>
          <w:p>
            <w:pPr>
              <w:pStyle w:val="869"/>
              <w:ind w:firstLine="420"/>
              <w:widowControl/>
              <w:rPr>
                <w:color w:val="000000"/>
                <w:highlight w:val="none"/>
              </w:rPr>
            </w:pPr>
            <w:r>
              <w:rPr>
                <w:rFonts w:hint="eastAsia"/>
                <w:color w:val="000000"/>
                <w:highlight w:val="none"/>
              </w:rPr>
              <w:t xml:space="preserve">2.2.2由评委根据投标文件中提供的项目实施方案进行综合评分（5分）</w:t>
            </w:r>
            <w:r>
              <w:rPr>
                <w:color w:val="000000"/>
                <w:highlight w:val="none"/>
              </w:rPr>
            </w:r>
            <w:r/>
          </w:p>
          <w:p>
            <w:pPr>
              <w:pStyle w:val="869"/>
              <w:ind w:firstLine="420"/>
              <w:widowControl/>
              <w:rPr>
                <w:color w:val="000000"/>
                <w:highlight w:val="none"/>
              </w:rPr>
            </w:pPr>
            <w:r>
              <w:rPr>
                <w:rFonts w:hint="eastAsia"/>
                <w:color w:val="000000"/>
                <w:highlight w:val="none"/>
              </w:rPr>
              <w:t xml:space="preserve">方案</w:t>
            </w:r>
            <w:r>
              <w:rPr>
                <w:rFonts w:hint="eastAsia"/>
                <w:color w:val="000000"/>
                <w:highlight w:val="none"/>
                <w:lang w:eastAsia="zh-CN"/>
              </w:rPr>
              <w:t xml:space="preserve">优于项目需求</w:t>
            </w:r>
            <w:r>
              <w:rPr>
                <w:rFonts w:hint="eastAsia"/>
                <w:color w:val="000000"/>
                <w:highlight w:val="none"/>
              </w:rPr>
              <w:t xml:space="preserve">的得5分，方案</w:t>
            </w:r>
            <w:r>
              <w:rPr>
                <w:rFonts w:hint="eastAsia"/>
                <w:color w:val="000000"/>
                <w:highlight w:val="none"/>
                <w:lang w:eastAsia="zh-CN"/>
              </w:rPr>
              <w:t xml:space="preserve">符合项目需求</w:t>
            </w:r>
            <w:r>
              <w:rPr>
                <w:rFonts w:hint="eastAsia"/>
                <w:color w:val="000000"/>
                <w:highlight w:val="none"/>
              </w:rPr>
              <w:t xml:space="preserve">的得3分，方案不</w:t>
            </w:r>
            <w:r>
              <w:rPr>
                <w:rFonts w:hint="eastAsia"/>
                <w:color w:val="000000"/>
                <w:highlight w:val="none"/>
                <w:lang w:eastAsia="zh-CN"/>
              </w:rPr>
              <w:t xml:space="preserve">符合项目需求</w:t>
            </w:r>
            <w:r>
              <w:rPr>
                <w:rFonts w:hint="eastAsia"/>
                <w:color w:val="000000"/>
                <w:highlight w:val="none"/>
              </w:rPr>
              <w:t xml:space="preserve">或未提供的不得分。</w:t>
            </w:r>
            <w:r>
              <w:rPr>
                <w:color w:val="000000"/>
                <w:highlight w:val="none"/>
              </w:rPr>
            </w:r>
            <w:r/>
          </w:p>
          <w:p>
            <w:pPr>
              <w:pStyle w:val="869"/>
              <w:ind w:firstLine="420"/>
              <w:widowControl/>
              <w:rPr>
                <w:color w:val="000000"/>
                <w:highlight w:val="none"/>
              </w:rPr>
            </w:pPr>
            <w:r>
              <w:rPr>
                <w:rFonts w:hint="eastAsia"/>
                <w:color w:val="000000"/>
                <w:highlight w:val="none"/>
              </w:rPr>
              <w:t xml:space="preserve">2.2.3由评委根据投标文件中提供的项目售后方案进行综合评分（5分）</w:t>
            </w:r>
            <w:r>
              <w:rPr>
                <w:color w:val="000000"/>
                <w:highlight w:val="none"/>
              </w:rPr>
            </w:r>
            <w:r/>
          </w:p>
          <w:p>
            <w:pPr>
              <w:pStyle w:val="869"/>
              <w:ind w:firstLine="420"/>
              <w:widowControl/>
              <w:rPr>
                <w:rFonts w:hint="eastAsia"/>
                <w:color w:val="000000"/>
                <w:highlight w:val="none"/>
              </w:rPr>
            </w:pPr>
            <w:r>
              <w:rPr>
                <w:rFonts w:hint="eastAsia"/>
                <w:color w:val="000000"/>
                <w:highlight w:val="none"/>
              </w:rPr>
              <w:t xml:space="preserve">方案</w:t>
            </w:r>
            <w:r>
              <w:rPr>
                <w:rFonts w:hint="eastAsia"/>
                <w:color w:val="000000"/>
                <w:highlight w:val="none"/>
                <w:lang w:eastAsia="zh-CN"/>
              </w:rPr>
              <w:t xml:space="preserve">优于项目需求</w:t>
            </w:r>
            <w:r>
              <w:rPr>
                <w:rFonts w:hint="eastAsia"/>
                <w:color w:val="000000"/>
                <w:highlight w:val="none"/>
              </w:rPr>
              <w:t xml:space="preserve">的得5分，方案</w:t>
            </w:r>
            <w:r>
              <w:rPr>
                <w:rFonts w:hint="eastAsia"/>
                <w:color w:val="000000"/>
                <w:highlight w:val="none"/>
                <w:lang w:eastAsia="zh-CN"/>
              </w:rPr>
              <w:t xml:space="preserve">符合项目需求</w:t>
            </w:r>
            <w:r>
              <w:rPr>
                <w:rFonts w:hint="eastAsia"/>
                <w:color w:val="000000"/>
                <w:highlight w:val="none"/>
              </w:rPr>
              <w:t xml:space="preserve">的得3分，方案不</w:t>
            </w:r>
            <w:r>
              <w:rPr>
                <w:rFonts w:hint="eastAsia"/>
                <w:color w:val="000000"/>
                <w:highlight w:val="none"/>
                <w:lang w:eastAsia="zh-CN"/>
              </w:rPr>
              <w:t xml:space="preserve">符合项目需求</w:t>
            </w:r>
            <w:r>
              <w:rPr>
                <w:rFonts w:hint="eastAsia"/>
                <w:color w:val="000000"/>
                <w:highlight w:val="none"/>
              </w:rPr>
              <w:t xml:space="preserve">或未提供的不得分。</w:t>
            </w:r>
            <w:r>
              <w:rPr>
                <w:rFonts w:hint="eastAsia"/>
                <w:color w:val="000000"/>
                <w:highlight w:val="none"/>
              </w:rPr>
            </w:r>
            <w:r/>
          </w:p>
          <w:p>
            <w:pPr>
              <w:pStyle w:val="869"/>
              <w:ind w:firstLine="420"/>
              <w:widowControl/>
              <w:rPr>
                <w:rFonts w:hint="eastAsia"/>
                <w:color w:val="000000"/>
                <w:highlight w:val="none"/>
              </w:rPr>
            </w:pPr>
            <w:r>
              <w:rPr>
                <w:rFonts w:hint="eastAsia"/>
                <w:color w:val="000000"/>
                <w:highlight w:val="none"/>
              </w:rPr>
              <w:t xml:space="preserve">2.2.4由评委根据投标文件中提供的项目培训方案进行综合评分（5分）</w:t>
            </w:r>
            <w:r>
              <w:rPr>
                <w:rFonts w:hint="eastAsia"/>
                <w:color w:val="000000"/>
                <w:highlight w:val="none"/>
              </w:rPr>
            </w:r>
            <w:r/>
          </w:p>
          <w:p>
            <w:pPr>
              <w:pStyle w:val="869"/>
              <w:ind w:firstLine="420"/>
              <w:widowControl/>
              <w:rPr>
                <w:color w:val="000000"/>
                <w:highlight w:val="none"/>
              </w:rPr>
            </w:pPr>
            <w:r>
              <w:rPr>
                <w:rFonts w:hint="eastAsia"/>
                <w:color w:val="000000"/>
                <w:highlight w:val="none"/>
              </w:rPr>
              <w:t xml:space="preserve">方案</w:t>
            </w:r>
            <w:r>
              <w:rPr>
                <w:rFonts w:hint="eastAsia"/>
                <w:color w:val="000000"/>
                <w:highlight w:val="none"/>
                <w:lang w:eastAsia="zh-CN"/>
              </w:rPr>
              <w:t xml:space="preserve">优于项目需求</w:t>
            </w:r>
            <w:r>
              <w:rPr>
                <w:rFonts w:hint="eastAsia"/>
                <w:color w:val="000000"/>
                <w:highlight w:val="none"/>
              </w:rPr>
              <w:t xml:space="preserve">的得5分，方案</w:t>
            </w:r>
            <w:r>
              <w:rPr>
                <w:rFonts w:hint="eastAsia"/>
                <w:color w:val="000000"/>
                <w:highlight w:val="none"/>
                <w:lang w:eastAsia="zh-CN"/>
              </w:rPr>
              <w:t xml:space="preserve">符合项目需求</w:t>
            </w:r>
            <w:r>
              <w:rPr>
                <w:rFonts w:hint="eastAsia"/>
                <w:color w:val="000000"/>
                <w:highlight w:val="none"/>
              </w:rPr>
              <w:t xml:space="preserve">的得3分，方案不</w:t>
            </w:r>
            <w:r>
              <w:rPr>
                <w:rFonts w:hint="eastAsia"/>
                <w:color w:val="000000"/>
                <w:highlight w:val="none"/>
                <w:lang w:eastAsia="zh-CN"/>
              </w:rPr>
              <w:t xml:space="preserve">符合项目需求</w:t>
            </w:r>
            <w:r>
              <w:rPr>
                <w:rFonts w:hint="eastAsia"/>
                <w:color w:val="000000"/>
                <w:highlight w:val="none"/>
              </w:rPr>
              <w:t xml:space="preserve">或未提供的不得分。</w:t>
            </w:r>
            <w:r>
              <w:rPr>
                <w:color w:val="000000"/>
                <w:highlight w:val="none"/>
              </w:rPr>
            </w:r>
            <w:r/>
          </w:p>
          <w:p>
            <w:pPr>
              <w:pStyle w:val="869"/>
              <w:ind w:firstLine="420"/>
              <w:rPr>
                <w:rFonts w:hint="eastAsia"/>
                <w:color w:val="000000"/>
                <w:highlight w:val="none"/>
              </w:rPr>
            </w:pPr>
            <w:r>
              <w:rPr>
                <w:rFonts w:hint="eastAsia"/>
                <w:color w:val="000000"/>
                <w:highlight w:val="none"/>
              </w:rPr>
            </w:r>
            <w:r/>
          </w:p>
        </w:tc>
        <w:tc>
          <w:tcPr>
            <w:tcBorders>
              <w:top w:val="none" w:color="000000" w:sz="4" w:space="0"/>
              <w:left w:val="single" w:color="000000" w:sz="4" w:space="0"/>
              <w:bottom w:val="single" w:color="000000" w:sz="4" w:space="0"/>
              <w:right w:val="single" w:color="000000" w:sz="4" w:space="0"/>
            </w:tcBorders>
            <w:tcW w:w="448" w:type="dxa"/>
            <w:vAlign w:val="center"/>
            <w:textDirection w:val="lrTb"/>
            <w:noWrap w:val="false"/>
          </w:tcPr>
          <w:p>
            <w:pPr>
              <w:pStyle w:val="869"/>
              <w:jc w:val="center"/>
              <w:widowControl/>
              <w:rPr>
                <w:color w:val="000000"/>
                <w:highlight w:val="none"/>
              </w:rPr>
            </w:pPr>
            <w:r>
              <w:rPr>
                <w:color w:val="000000"/>
                <w:highlight w:val="none"/>
              </w:rPr>
            </w:r>
            <w:r/>
          </w:p>
          <w:p>
            <w:pPr>
              <w:pStyle w:val="869"/>
              <w:jc w:val="center"/>
              <w:widowControl/>
              <w:rPr>
                <w:color w:val="000000"/>
                <w:highlight w:val="none"/>
              </w:rPr>
            </w:pPr>
            <w:r>
              <w:rPr>
                <w:rFonts w:hint="eastAsia"/>
                <w:color w:val="000000"/>
                <w:highlight w:val="none"/>
              </w:rPr>
              <w:t xml:space="preserve">20</w:t>
            </w:r>
            <w:r>
              <w:rPr>
                <w:color w:val="000000"/>
                <w:highlight w:val="none"/>
              </w:rPr>
            </w:r>
            <w:r/>
          </w:p>
        </w:tc>
      </w:tr>
      <w:tr>
        <w:trPr>
          <w:trHeight w:val="125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69"/>
              <w:jc w:val="center"/>
              <w:widowControl/>
              <w:rPr>
                <w:color w:val="000000"/>
                <w:highlight w:val="none"/>
              </w:rPr>
            </w:pPr>
            <w:r>
              <w:rPr>
                <w:rFonts w:hint="eastAsia"/>
                <w:color w:val="000000"/>
                <w:highlight w:val="none"/>
              </w:rPr>
              <w:t xml:space="preserve">2.</w:t>
            </w:r>
            <w:r>
              <w:rPr>
                <w:color w:val="000000"/>
                <w:highlight w:val="none"/>
              </w:rPr>
              <w:t xml:space="preserve">3</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08" w:type="dxa"/>
            <w:vAlign w:val="center"/>
            <w:vMerge w:val="continue"/>
            <w:textDirection w:val="lrTb"/>
            <w:noWrap w:val="false"/>
          </w:tcPr>
          <w:p>
            <w:pPr>
              <w:pStyle w:val="869"/>
              <w:jc w:val="left"/>
              <w:widowControl/>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pStyle w:val="869"/>
              <w:jc w:val="center"/>
              <w:widowControl/>
              <w:rPr>
                <w:color w:val="000000"/>
                <w:szCs w:val="22"/>
                <w:highlight w:val="none"/>
              </w:rPr>
            </w:pPr>
            <w:r>
              <w:rPr>
                <w:rFonts w:hint="eastAsia"/>
                <w:color w:val="000000"/>
                <w:highlight w:val="none"/>
              </w:rPr>
              <w:t xml:space="preserve">现场演示（5分）</w:t>
            </w:r>
            <w:r>
              <w:rPr>
                <w:color w:val="000000"/>
                <w:szCs w:val="22"/>
                <w:highlight w:val="none"/>
              </w:rPr>
            </w:r>
            <w:r/>
          </w:p>
        </w:tc>
        <w:tc>
          <w:tcPr>
            <w:tcBorders>
              <w:top w:val="single" w:color="000000" w:sz="4" w:space="0"/>
              <w:left w:val="single" w:color="000000" w:sz="4" w:space="0"/>
              <w:bottom w:val="single" w:color="000000" w:sz="4" w:space="0"/>
              <w:right w:val="single" w:color="000000" w:sz="4" w:space="0"/>
            </w:tcBorders>
            <w:tcW w:w="5618" w:type="dxa"/>
            <w:vAlign w:val="center"/>
            <w:textDirection w:val="lrTb"/>
            <w:noWrap w:val="false"/>
          </w:tcPr>
          <w:p>
            <w:pPr>
              <w:pStyle w:val="869"/>
              <w:ind w:firstLine="420"/>
              <w:widowControl/>
              <w:rPr>
                <w:color w:val="000000"/>
                <w:highlight w:val="none"/>
              </w:rPr>
            </w:pPr>
            <w:r>
              <w:rPr>
                <w:rFonts w:hint="eastAsia" w:ascii="宋体" w:hAnsi="宋体"/>
                <w:color w:val="000000"/>
                <w:highlight w:val="none"/>
              </w:rPr>
              <w:t xml:space="preserve">2.3投标人需按照招标文件规定的演示内容制作演示视频文件，视频文件的格式为</w:t>
            </w:r>
            <w:r>
              <w:rPr>
                <w:rFonts w:ascii="宋体" w:hAnsi="宋体"/>
                <w:color w:val="000000"/>
                <w:highlight w:val="none"/>
              </w:rPr>
              <w:t xml:space="preserve">*</w:t>
            </w:r>
            <w:r>
              <w:rPr>
                <w:rFonts w:hint="eastAsia" w:ascii="宋体" w:hAnsi="宋体"/>
                <w:color w:val="000000"/>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olor w:val="000000"/>
                <w:highlight w:val="none"/>
                <w:u w:val="single"/>
              </w:rPr>
              <w:t xml:space="preserve">10</w:t>
            </w:r>
            <w:r>
              <w:rPr>
                <w:rFonts w:hint="eastAsia" w:ascii="宋体" w:hAnsi="宋体"/>
                <w:color w:val="000000"/>
                <w:highlight w:val="none"/>
              </w:rPr>
              <w:t xml:space="preserve">分钟。</w:t>
            </w:r>
            <w:r>
              <w:rPr>
                <w:rFonts w:hint="eastAsia"/>
                <w:color w:val="000000"/>
                <w:highlight w:val="none"/>
              </w:rPr>
              <w:t xml:space="preserve">演示需为所投产品的系统原型演示，其他演示方式不得分。</w:t>
            </w:r>
            <w:r>
              <w:rPr>
                <w:color w:val="000000"/>
                <w:highlight w:val="none"/>
              </w:rPr>
            </w:r>
            <w:r/>
          </w:p>
          <w:p>
            <w:pPr>
              <w:pStyle w:val="869"/>
              <w:ind w:firstLine="420"/>
              <w:widowControl/>
              <w:rPr>
                <w:color w:val="000000"/>
                <w:highlight w:val="none"/>
              </w:rPr>
            </w:pPr>
            <w:r>
              <w:rPr>
                <w:rFonts w:hint="eastAsia"/>
                <w:color w:val="000000"/>
                <w:highlight w:val="none"/>
              </w:rPr>
              <w:t xml:space="preserve">（1）虚拟化桌面，主要需要体现：</w:t>
            </w:r>
            <w:r>
              <w:rPr>
                <w:color w:val="000000"/>
                <w:highlight w:val="none"/>
              </w:rPr>
            </w:r>
            <w:r/>
          </w:p>
          <w:p>
            <w:pPr>
              <w:pStyle w:val="869"/>
              <w:ind w:firstLine="420"/>
              <w:widowControl/>
              <w:rPr>
                <w:rFonts w:hint="eastAsia"/>
                <w:color w:val="000000"/>
                <w:highlight w:val="none"/>
              </w:rPr>
            </w:pPr>
            <w:r>
              <w:rPr>
                <w:rFonts w:hint="eastAsia"/>
                <w:color w:val="000000"/>
                <w:highlight w:val="none"/>
              </w:rPr>
              <w:t xml:space="preserve">1）考虑到学校教学环境不断变化，采用多镜像多节点缓存架构，支持镜像全生命周期管理，通过树状目录结构展示镜像及各节点间关系；每个镜像下支持最少15个快照更新节点，当教学环境变化需要安装软件时，支持在镜像中做父子节点或者兄弟节点两种模式；可以把同一个镜像下的不同节点同时加入启动菜单。（提供功能演示）；（2分）</w:t>
            </w:r>
            <w:r>
              <w:rPr>
                <w:rFonts w:hint="eastAsia"/>
                <w:color w:val="000000"/>
                <w:highlight w:val="none"/>
              </w:rPr>
            </w:r>
            <w:r/>
          </w:p>
          <w:p>
            <w:pPr>
              <w:pStyle w:val="939"/>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（全部符合演示要求得满分，未演示或演示不完整的不得分）</w:t>
            </w:r>
            <w:r>
              <w:rPr>
                <w:rFonts w:hint="eastAsia" w:ascii="Times New Roman" w:hAnsi="Times New Roman"/>
                <w:color w:val="000000"/>
                <w:szCs w:val="21"/>
                <w:highlight w:val="none"/>
              </w:rPr>
            </w:r>
            <w:r/>
          </w:p>
          <w:p>
            <w:pPr>
              <w:pStyle w:val="869"/>
              <w:ind w:firstLine="420"/>
              <w:widowControl/>
              <w:rPr>
                <w:rFonts w:hint="eastAsia"/>
                <w:color w:val="000000"/>
                <w:highlight w:val="none"/>
              </w:rPr>
            </w:pPr>
            <w:r>
              <w:rPr>
                <w:rFonts w:hint="eastAsia"/>
                <w:color w:val="000000"/>
                <w:highlight w:val="none"/>
              </w:rPr>
              <w:t xml:space="preserve">2）充分考虑教学中部分个性化软件需要每间教室单独匹配的需求，教室终端全部盘符均采用还原模式，对于管理员指定的终端上的个性化文件和注册表键值可以直接同步保存在云服务器上，管理者可在服务器上浏览并修改这些文件（非远程桌面修改模式），修改完毕的文件可以直接自动回传到教室终端机上，满足各类软件的需求。（提供功能演示）。（1分）</w:t>
            </w:r>
            <w:r>
              <w:rPr>
                <w:rFonts w:hint="eastAsia"/>
                <w:color w:val="000000"/>
                <w:highlight w:val="none"/>
              </w:rPr>
            </w:r>
            <w:r/>
          </w:p>
          <w:p>
            <w:pPr>
              <w:pStyle w:val="939"/>
              <w:rPr>
                <w:color w:val="000000"/>
                <w:highlight w:val="none"/>
              </w:rPr>
            </w:pPr>
            <w:r>
              <w:rPr>
                <w:rFonts w:hint="eastAsia" w:ascii="Times New Roman" w:hAnsi="Times New Roman"/>
                <w:color w:val="000000"/>
                <w:szCs w:val="21"/>
                <w:highlight w:val="none"/>
              </w:rPr>
              <w:t xml:space="preserve">（全部符合演示要求得满分，未演示或演示不完整的不得分）</w:t>
            </w:r>
            <w:r>
              <w:rPr>
                <w:color w:val="000000"/>
                <w:highlight w:val="none"/>
              </w:rPr>
            </w:r>
            <w:r/>
          </w:p>
          <w:p>
            <w:pPr>
              <w:pStyle w:val="869"/>
              <w:ind w:firstLine="420"/>
              <w:widowControl/>
              <w:rPr>
                <w:color w:val="000000"/>
                <w:highlight w:val="none"/>
              </w:rPr>
            </w:pPr>
            <w:r>
              <w:rPr>
                <w:rFonts w:hint="eastAsia"/>
                <w:color w:val="000000"/>
                <w:highlight w:val="none"/>
              </w:rPr>
              <w:t xml:space="preserve">（2）网络中控及液晶面板功能，主要需要体现：</w:t>
            </w:r>
            <w:r>
              <w:rPr>
                <w:color w:val="000000"/>
                <w:highlight w:val="none"/>
              </w:rPr>
            </w:r>
            <w:r/>
          </w:p>
          <w:p>
            <w:pPr>
              <w:pStyle w:val="869"/>
              <w:ind w:firstLine="420"/>
              <w:widowControl/>
              <w:rPr>
                <w:rFonts w:hint="eastAsia"/>
                <w:color w:val="000000"/>
                <w:highlight w:val="none"/>
              </w:rPr>
            </w:pPr>
            <w:r>
              <w:rPr>
                <w:rFonts w:hint="eastAsia"/>
                <w:color w:val="000000"/>
                <w:highlight w:val="none"/>
              </w:rPr>
              <w:t xml:space="preserve">1）可编程按照功能名称、排列、风格等个性化定制，同时支持插卡、动态二维码、反扫二维码身份认证授权方式；（1分）</w:t>
            </w:r>
            <w:r>
              <w:rPr>
                <w:rFonts w:hint="eastAsia"/>
                <w:color w:val="000000"/>
                <w:highlight w:val="none"/>
              </w:rPr>
            </w:r>
            <w:r/>
          </w:p>
          <w:p>
            <w:pPr>
              <w:pStyle w:val="869"/>
              <w:ind w:firstLine="420"/>
              <w:jc w:val="left"/>
              <w:widowControl/>
              <w:rPr>
                <w:color w:val="000000"/>
                <w:highlight w:val="none"/>
              </w:rPr>
            </w:pPr>
            <w:r>
              <w:rPr>
                <w:rFonts w:hint="eastAsia"/>
                <w:color w:val="000000"/>
                <w:highlight w:val="none"/>
              </w:rPr>
              <w:t xml:space="preserve">（全部符合演示要求得满分，未演示或演示不完整的不得分）</w:t>
            </w:r>
            <w:r>
              <w:rPr>
                <w:color w:val="000000"/>
                <w:highlight w:val="none"/>
              </w:rPr>
            </w:r>
            <w:r/>
          </w:p>
          <w:p>
            <w:pPr>
              <w:pStyle w:val="869"/>
              <w:ind w:firstLine="420"/>
              <w:widowControl/>
              <w:rPr>
                <w:color w:val="000000"/>
                <w:highlight w:val="none"/>
              </w:rPr>
            </w:pPr>
            <w:r>
              <w:rPr>
                <w:rFonts w:hint="eastAsia"/>
                <w:color w:val="000000"/>
                <w:highlight w:val="none"/>
              </w:rPr>
              <w:t xml:space="preserve">2）集成一键式呼入按钮，实现与总控室全双工语音对讲功能（内置拾音及扬声器）。（1分）</w:t>
            </w:r>
            <w:r>
              <w:rPr>
                <w:color w:val="000000"/>
                <w:highlight w:val="none"/>
              </w:rPr>
            </w:r>
            <w:r/>
          </w:p>
          <w:p>
            <w:pPr>
              <w:pStyle w:val="869"/>
              <w:ind w:firstLine="420"/>
              <w:jc w:val="left"/>
              <w:widowControl/>
              <w:rPr>
                <w:color w:val="000000"/>
                <w:highlight w:val="none"/>
              </w:rPr>
            </w:pPr>
            <w:r>
              <w:rPr>
                <w:rFonts w:hint="eastAsia"/>
                <w:color w:val="000000"/>
                <w:highlight w:val="none"/>
              </w:rPr>
              <w:t xml:space="preserve">（全部符合演示要求得满分，未演示或演示不完整的不得分）</w:t>
            </w:r>
            <w:r>
              <w:rPr>
                <w:color w:val="000000"/>
                <w:highlight w:val="none"/>
              </w:rPr>
            </w:r>
            <w:r/>
          </w:p>
          <w:p>
            <w:pPr>
              <w:pStyle w:val="869"/>
              <w:ind w:firstLine="420"/>
              <w:widowControl/>
              <w:rPr>
                <w:color w:val="000000"/>
                <w:highlight w:val="none"/>
              </w:rPr>
            </w:pPr>
            <w:r>
              <w:rPr>
                <w:color w:val="000000"/>
                <w:highlight w:val="none"/>
              </w:rPr>
            </w:r>
            <w:r/>
          </w:p>
        </w:tc>
        <w:tc>
          <w:tcPr>
            <w:tcBorders>
              <w:top w:val="none" w:color="000000" w:sz="4" w:space="0"/>
              <w:left w:val="none" w:color="000000" w:sz="4" w:space="0"/>
              <w:bottom w:val="single" w:color="000000" w:sz="4" w:space="0"/>
              <w:right w:val="single" w:color="000000" w:sz="4" w:space="0"/>
            </w:tcBorders>
            <w:tcW w:w="448" w:type="dxa"/>
            <w:vAlign w:val="center"/>
            <w:textDirection w:val="lrTb"/>
            <w:noWrap w:val="false"/>
          </w:tcPr>
          <w:p>
            <w:pPr>
              <w:pStyle w:val="869"/>
              <w:jc w:val="center"/>
              <w:widowControl/>
              <w:rPr>
                <w:rFonts w:hint="eastAsia"/>
                <w:color w:val="000000"/>
                <w:highlight w:val="none"/>
              </w:rPr>
            </w:pPr>
            <w:r>
              <w:rPr>
                <w:rFonts w:hint="eastAsia"/>
                <w:color w:val="000000"/>
                <w:highlight w:val="none"/>
              </w:rPr>
              <w:t xml:space="preserve">5</w:t>
            </w:r>
            <w:r>
              <w:rPr>
                <w:rFonts w:hint="eastAsia"/>
                <w:color w:val="000000"/>
                <w:highlight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869"/>
              <w:jc w:val="center"/>
              <w:widowControl/>
              <w:rPr>
                <w:color w:val="000000"/>
                <w:highlight w:val="none"/>
              </w:rPr>
            </w:pPr>
            <w:r>
              <w:rPr>
                <w:rFonts w:hint="eastAsia"/>
                <w:color w:val="000000"/>
                <w:highlight w:val="none"/>
              </w:rPr>
              <w:t xml:space="preserve">3</w:t>
            </w:r>
            <w:r>
              <w:rPr>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1892" w:type="dxa"/>
            <w:vAlign w:val="center"/>
            <w:textDirection w:val="lrTb"/>
            <w:noWrap w:val="false"/>
          </w:tcPr>
          <w:p>
            <w:pPr>
              <w:pStyle w:val="869"/>
              <w:jc w:val="center"/>
              <w:widowControl/>
              <w:rPr>
                <w:color w:val="000000"/>
                <w:highlight w:val="none"/>
              </w:rPr>
            </w:pPr>
            <w:r>
              <w:rPr>
                <w:rFonts w:hint="eastAsia"/>
                <w:color w:val="000000"/>
                <w:highlight w:val="none"/>
              </w:rPr>
              <w:t xml:space="preserve">驻场服务及产品质量保证（9分）</w:t>
            </w:r>
            <w:r>
              <w:rPr>
                <w:color w:val="000000"/>
                <w:highlight w:val="none"/>
              </w:rPr>
            </w:r>
            <w:r/>
          </w:p>
        </w:tc>
        <w:tc>
          <w:tcPr>
            <w:tcBorders>
              <w:top w:val="single" w:color="000000" w:sz="4" w:space="0"/>
              <w:left w:val="none" w:color="000000" w:sz="4" w:space="0"/>
              <w:bottom w:val="single" w:color="000000" w:sz="4" w:space="0"/>
              <w:right w:val="single" w:color="000000" w:sz="4" w:space="0"/>
            </w:tcBorders>
            <w:tcW w:w="5618" w:type="dxa"/>
            <w:vAlign w:val="center"/>
            <w:textDirection w:val="lrTb"/>
            <w:noWrap w:val="false"/>
          </w:tcPr>
          <w:p>
            <w:pPr>
              <w:pStyle w:val="869"/>
              <w:ind w:firstLine="420"/>
              <w:widowControl/>
              <w:rPr>
                <w:color w:val="000000"/>
                <w:highlight w:val="none"/>
              </w:rPr>
            </w:pPr>
            <w:r>
              <w:rPr>
                <w:rFonts w:hint="eastAsia"/>
                <w:color w:val="000000"/>
                <w:highlight w:val="none"/>
              </w:rPr>
              <w:t xml:space="preserve">3.1</w:t>
            </w:r>
            <w:r>
              <w:rPr>
                <w:color w:val="000000"/>
                <w:highlight w:val="none"/>
              </w:rPr>
              <w:t xml:space="preserve">驻场服务（</w:t>
            </w:r>
            <w:r>
              <w:rPr>
                <w:rFonts w:hint="eastAsia"/>
                <w:color w:val="000000"/>
                <w:highlight w:val="none"/>
              </w:rPr>
              <w:t xml:space="preserve">3</w:t>
            </w:r>
            <w:r>
              <w:rPr>
                <w:color w:val="000000"/>
                <w:highlight w:val="none"/>
              </w:rPr>
              <w:t xml:space="preserve"> 分）</w:t>
            </w:r>
            <w:r>
              <w:rPr>
                <w:color w:val="000000"/>
                <w:highlight w:val="none"/>
              </w:rPr>
            </w:r>
            <w:r/>
          </w:p>
          <w:p>
            <w:pPr>
              <w:pStyle w:val="869"/>
              <w:rPr>
                <w:color w:val="000000"/>
                <w:highlight w:val="none"/>
              </w:rPr>
            </w:pPr>
            <w:r>
              <w:rPr>
                <w:color w:val="000000"/>
                <w:highlight w:val="none"/>
              </w:rPr>
              <w:t xml:space="preserve">在满足本项目整体运维及驻场服务 5 年服务要求的基础上，每增加一年，加</w:t>
            </w:r>
            <w:r>
              <w:rPr>
                <w:rFonts w:hint="eastAsia"/>
                <w:color w:val="000000"/>
                <w:highlight w:val="none"/>
              </w:rPr>
              <w:t xml:space="preserve">3</w:t>
            </w:r>
            <w:r>
              <w:rPr>
                <w:color w:val="000000"/>
                <w:highlight w:val="none"/>
              </w:rPr>
              <w:t xml:space="preserve">分，本项满分</w:t>
            </w:r>
            <w:r>
              <w:rPr>
                <w:rFonts w:hint="eastAsia"/>
                <w:color w:val="000000"/>
                <w:highlight w:val="none"/>
              </w:rPr>
              <w:t xml:space="preserve">3</w:t>
            </w:r>
            <w:r>
              <w:rPr>
                <w:color w:val="000000"/>
                <w:highlight w:val="none"/>
              </w:rPr>
              <w:t xml:space="preserve">分。</w:t>
            </w:r>
            <w:r>
              <w:rPr>
                <w:rFonts w:hint="eastAsia" w:cs="宋体"/>
                <w:color w:val="000000"/>
                <w:highlight w:val="none"/>
                <w:lang w:bidi="ar"/>
              </w:rPr>
              <w:t xml:space="preserve">（投标文件中提供承诺函并加盖公章，未提供不得分）。</w:t>
            </w:r>
            <w:r>
              <w:rPr>
                <w:color w:val="000000"/>
                <w:highlight w:val="none"/>
              </w:rPr>
            </w:r>
            <w:r/>
          </w:p>
          <w:p>
            <w:pPr>
              <w:pStyle w:val="869"/>
              <w:ind w:firstLine="420"/>
              <w:jc w:val="left"/>
              <w:widowControl/>
              <w:rPr>
                <w:color w:val="000000"/>
                <w:highlight w:val="none"/>
                <w:lang w:bidi="ar"/>
              </w:rPr>
            </w:pPr>
            <w:r>
              <w:rPr>
                <w:rFonts w:hint="eastAsia"/>
                <w:color w:val="000000"/>
                <w:highlight w:val="none"/>
                <w:lang w:bidi="ar"/>
              </w:rPr>
              <w:t xml:space="preserve">3.2产品质量保证（6分）</w:t>
            </w:r>
            <w:r>
              <w:rPr>
                <w:color w:val="000000"/>
                <w:highlight w:val="none"/>
                <w:lang w:bidi="ar"/>
              </w:rPr>
            </w:r>
            <w:r/>
          </w:p>
          <w:p>
            <w:pPr>
              <w:pStyle w:val="869"/>
              <w:ind w:firstLine="420"/>
              <w:rPr>
                <w:color w:val="000000"/>
                <w:highlight w:val="none"/>
              </w:rPr>
            </w:pPr>
            <w:r>
              <w:rPr>
                <w:rFonts w:hint="eastAsia"/>
                <w:color w:val="000000"/>
                <w:highlight w:val="none"/>
                <w:lang w:bidi="ar"/>
              </w:rPr>
              <w:t xml:space="preserve">能够提供所投产品：长焦投影机、超短焦投影机、网络中控（含控制面板）、扩音系统1、扩音系统2、虚拟化桌面、多媒体设备柜原厂五年免费质保。在此基础上，每增加一年原厂质保得2分，本项满分6分（投标文件中提供承诺函并加盖公章，未提供不得分）。</w:t>
            </w:r>
            <w:r>
              <w:rPr>
                <w:color w:val="000000"/>
                <w:highlight w:val="none"/>
              </w:rPr>
            </w:r>
            <w:r/>
          </w:p>
        </w:tc>
        <w:tc>
          <w:tcPr>
            <w:tcBorders>
              <w:top w:val="none" w:color="000000" w:sz="4" w:space="0"/>
              <w:left w:val="none" w:color="000000" w:sz="4" w:space="0"/>
              <w:bottom w:val="single" w:color="000000" w:sz="4" w:space="0"/>
              <w:right w:val="single" w:color="000000" w:sz="4" w:space="0"/>
            </w:tcBorders>
            <w:tcW w:w="448" w:type="dxa"/>
            <w:vAlign w:val="center"/>
            <w:textDirection w:val="lrTb"/>
            <w:noWrap w:val="false"/>
          </w:tcPr>
          <w:p>
            <w:pPr>
              <w:pStyle w:val="869"/>
              <w:jc w:val="center"/>
              <w:widowControl/>
              <w:rPr>
                <w:rFonts w:hint="eastAsia"/>
                <w:color w:val="000000"/>
                <w:highlight w:val="none"/>
              </w:rPr>
            </w:pPr>
            <w:r>
              <w:rPr>
                <w:color w:val="000000"/>
                <w:highlight w:val="none"/>
              </w:rPr>
              <w:t xml:space="preserve">9</w:t>
            </w:r>
            <w:r>
              <w:rPr>
                <w:rFonts w:hint="eastAsia"/>
                <w:color w:val="000000"/>
                <w:highlight w:val="none"/>
              </w:rPr>
            </w:r>
            <w:r/>
          </w:p>
        </w:tc>
      </w:tr>
      <w:tr>
        <w:trPr>
          <w:trHeight w:val="456"/>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69"/>
              <w:jc w:val="center"/>
              <w:widowControl/>
              <w:rPr>
                <w:color w:val="000000"/>
                <w:highlight w:val="none"/>
              </w:rPr>
            </w:pPr>
            <w:r>
              <w:rPr>
                <w:rFonts w:hint="eastAsia"/>
                <w:color w:val="000000"/>
                <w:highlight w:val="none"/>
              </w:rPr>
              <w:t xml:space="preserve">4</w:t>
            </w:r>
            <w:r>
              <w:rPr>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1892" w:type="dxa"/>
            <w:vAlign w:val="center"/>
            <w:textDirection w:val="lrTb"/>
            <w:noWrap w:val="false"/>
          </w:tcPr>
          <w:p>
            <w:pPr>
              <w:pStyle w:val="869"/>
              <w:jc w:val="center"/>
              <w:widowControl/>
              <w:rPr>
                <w:color w:val="000000"/>
                <w:highlight w:val="none"/>
              </w:rPr>
            </w:pPr>
            <w:r>
              <w:rPr>
                <w:rFonts w:hint="eastAsia"/>
                <w:color w:val="000000"/>
                <w:highlight w:val="none"/>
              </w:rPr>
              <w:t xml:space="preserve">案例业绩（</w:t>
            </w:r>
            <w:r>
              <w:rPr>
                <w:rFonts w:hint="eastAsia"/>
                <w:color w:val="000000"/>
                <w:highlight w:val="none"/>
                <w:lang w:val="en-US" w:eastAsia="zh-CN"/>
              </w:rPr>
              <w:t xml:space="preserve">8</w:t>
            </w:r>
            <w:r>
              <w:rPr>
                <w:rFonts w:hint="eastAsia"/>
                <w:color w:val="000000"/>
                <w:highlight w:val="none"/>
              </w:rPr>
              <w:t xml:space="preserve">分）</w:t>
            </w:r>
            <w:r>
              <w:rPr>
                <w:color w:val="000000"/>
                <w:highlight w:val="none"/>
              </w:rPr>
            </w:r>
            <w:r/>
          </w:p>
        </w:tc>
        <w:tc>
          <w:tcPr>
            <w:tcBorders>
              <w:top w:val="none" w:color="000000" w:sz="4" w:space="0"/>
              <w:left w:val="none" w:color="000000" w:sz="4" w:space="0"/>
              <w:bottom w:val="single" w:color="000000" w:sz="4" w:space="0"/>
              <w:right w:val="single" w:color="000000" w:sz="4" w:space="0"/>
            </w:tcBorders>
            <w:tcW w:w="5618" w:type="dxa"/>
            <w:vAlign w:val="center"/>
            <w:textDirection w:val="lrTb"/>
            <w:noWrap w:val="false"/>
          </w:tcPr>
          <w:p>
            <w:pPr>
              <w:pStyle w:val="869"/>
              <w:ind w:firstLine="420"/>
              <w:widowControl/>
              <w:rPr>
                <w:color w:val="000000"/>
                <w:highlight w:val="none"/>
              </w:rPr>
            </w:pPr>
            <w:r>
              <w:rPr>
                <w:rFonts w:hint="eastAsia"/>
                <w:color w:val="000000"/>
                <w:highlight w:val="none"/>
                <w:lang w:val="en-US" w:eastAsia="zh-CN"/>
              </w:rPr>
              <w:t xml:space="preserve">4.1</w:t>
            </w:r>
            <w:r>
              <w:rPr>
                <w:rFonts w:hint="eastAsia"/>
                <w:color w:val="000000"/>
                <w:highlight w:val="none"/>
              </w:rPr>
              <w:t xml:space="preserve">投标人提供2021年1月1日以来类似项目案例合同，满足要求每提供一个合同得</w:t>
            </w:r>
            <w:r>
              <w:rPr>
                <w:color w:val="000000"/>
                <w:highlight w:val="none"/>
              </w:rPr>
              <w:t xml:space="preserve">1</w:t>
            </w:r>
            <w:r>
              <w:rPr>
                <w:rFonts w:hint="eastAsia"/>
                <w:color w:val="000000"/>
                <w:highlight w:val="none"/>
              </w:rPr>
              <w:t xml:space="preserve">分，本项满分</w:t>
            </w:r>
            <w:r>
              <w:rPr>
                <w:rFonts w:hint="eastAsia"/>
                <w:color w:val="000000"/>
                <w:highlight w:val="none"/>
                <w:lang w:val="en-US" w:eastAsia="zh-CN"/>
              </w:rPr>
              <w:t xml:space="preserve">8</w:t>
            </w:r>
            <w:r>
              <w:rPr>
                <w:rFonts w:hint="eastAsia"/>
                <w:color w:val="000000"/>
                <w:highlight w:val="none"/>
              </w:rPr>
              <w:t xml:space="preserve">分。投标人提供案例合同不满足要求或未提供案例合同的不得分。</w:t>
            </w:r>
            <w:r>
              <w:rPr>
                <w:color w:val="000000"/>
                <w:highlight w:val="none"/>
              </w:rPr>
            </w:r>
            <w:r/>
          </w:p>
          <w:p>
            <w:pPr>
              <w:pStyle w:val="869"/>
              <w:rPr>
                <w:color w:val="000000"/>
                <w:highlight w:val="none"/>
              </w:rPr>
            </w:pPr>
            <w:r>
              <w:rPr>
                <w:rFonts w:hint="eastAsia"/>
                <w:color w:val="000000"/>
                <w:highlight w:val="none"/>
              </w:rPr>
              <w:t xml:space="preserve">注：业绩需提供案例一览表，表内需单独注明合同内容与本项目相似部分。以合同签订时间为准，同时提供合同和验收报告复印件并加盖投标人公章；相同甲方单位的业绩不重复计算，单个案例只能使用一次。</w:t>
            </w:r>
            <w:r>
              <w:rPr>
                <w:color w:val="000000"/>
                <w:highlight w:val="none"/>
              </w:rPr>
            </w:r>
            <w:r/>
          </w:p>
        </w:tc>
        <w:tc>
          <w:tcPr>
            <w:tcBorders>
              <w:top w:val="none" w:color="000000" w:sz="4" w:space="0"/>
              <w:left w:val="none" w:color="000000" w:sz="4" w:space="0"/>
              <w:bottom w:val="single" w:color="000000" w:sz="4" w:space="0"/>
              <w:right w:val="single" w:color="000000" w:sz="4" w:space="0"/>
            </w:tcBorders>
            <w:tcW w:w="448" w:type="dxa"/>
            <w:vAlign w:val="center"/>
            <w:textDirection w:val="lrTb"/>
            <w:noWrap w:val="false"/>
          </w:tcPr>
          <w:p>
            <w:pPr>
              <w:pStyle w:val="869"/>
              <w:jc w:val="center"/>
              <w:widowControl/>
              <w:rPr>
                <w:rFonts w:hint="eastAsia" w:eastAsia="宋体"/>
                <w:color w:val="000000"/>
                <w:highlight w:val="none"/>
                <w:lang w:eastAsia="zh-CN"/>
              </w:rPr>
            </w:pPr>
            <w:r>
              <w:rPr>
                <w:rFonts w:hint="eastAsia"/>
                <w:color w:val="000000"/>
                <w:highlight w:val="none"/>
                <w:lang w:val="en-US" w:eastAsia="zh-CN"/>
              </w:rPr>
              <w:t xml:space="preserve">8</w:t>
            </w:r>
            <w:r>
              <w:rPr>
                <w:rFonts w:hint="eastAsia" w:eastAsia="宋体"/>
                <w:color w:val="000000"/>
                <w:highlight w:val="none"/>
                <w:lang w:eastAsia="zh-CN"/>
              </w:rPr>
            </w:r>
            <w:r/>
          </w:p>
        </w:tc>
      </w:tr>
      <w:tr>
        <w:trPr>
          <w:trHeight w:val="456"/>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69"/>
              <w:jc w:val="center"/>
              <w:widowControl/>
              <w:rPr>
                <w:color w:val="000000"/>
                <w:highlight w:val="none"/>
              </w:rPr>
            </w:pPr>
            <w:r>
              <w:rPr>
                <w:rFonts w:hint="eastAsia"/>
                <w:color w:val="000000"/>
                <w:highlight w:val="none"/>
              </w:rPr>
              <w:t xml:space="preserve">5</w:t>
            </w:r>
            <w:r>
              <w:rPr>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1892" w:type="dxa"/>
            <w:vAlign w:val="center"/>
            <w:textDirection w:val="lrTb"/>
            <w:noWrap w:val="false"/>
          </w:tcPr>
          <w:p>
            <w:pPr>
              <w:pStyle w:val="869"/>
              <w:jc w:val="center"/>
              <w:widowControl/>
              <w:rPr>
                <w:color w:val="000000"/>
                <w:highlight w:val="none"/>
              </w:rPr>
            </w:pPr>
            <w:r>
              <w:rPr>
                <w:rFonts w:hint="eastAsia"/>
                <w:color w:val="000000"/>
                <w:highlight w:val="none"/>
              </w:rPr>
              <w:t xml:space="preserve">企业资信（2分）</w:t>
            </w:r>
            <w:r>
              <w:rPr>
                <w:color w:val="000000"/>
                <w:highlight w:val="none"/>
              </w:rPr>
            </w:r>
            <w:r/>
          </w:p>
        </w:tc>
        <w:tc>
          <w:tcPr>
            <w:tcBorders>
              <w:top w:val="none" w:color="000000" w:sz="4" w:space="0"/>
              <w:left w:val="none" w:color="000000" w:sz="4" w:space="0"/>
              <w:bottom w:val="single" w:color="000000" w:sz="4" w:space="0"/>
              <w:right w:val="single" w:color="000000" w:sz="4" w:space="0"/>
            </w:tcBorders>
            <w:tcW w:w="5618" w:type="dxa"/>
            <w:vAlign w:val="center"/>
            <w:textDirection w:val="lrTb"/>
            <w:noWrap w:val="false"/>
          </w:tcPr>
          <w:p>
            <w:pPr>
              <w:pStyle w:val="869"/>
              <w:ind w:firstLine="420"/>
              <w:widowControl/>
              <w:rPr>
                <w:color w:val="000000"/>
                <w:highlight w:val="none"/>
              </w:rPr>
            </w:pPr>
            <w:r>
              <w:rPr>
                <w:rFonts w:hint="eastAsia"/>
                <w:color w:val="000000"/>
                <w:highlight w:val="none"/>
                <w:lang w:val="en-US" w:eastAsia="zh-CN"/>
              </w:rPr>
              <w:t xml:space="preserve">5.1</w:t>
            </w:r>
            <w:r>
              <w:rPr>
                <w:rFonts w:hint="eastAsia"/>
                <w:color w:val="000000"/>
                <w:highlight w:val="none"/>
              </w:rPr>
              <w:t xml:space="preserve">投标人具有在有效期内的I</w:t>
            </w:r>
            <w:r>
              <w:rPr>
                <w:color w:val="000000"/>
                <w:highlight w:val="none"/>
              </w:rPr>
              <w:t xml:space="preserve">SO20000</w:t>
            </w:r>
            <w:r>
              <w:rPr>
                <w:rFonts w:hint="eastAsia"/>
                <w:color w:val="000000"/>
                <w:highlight w:val="none"/>
              </w:rPr>
              <w:t xml:space="preserve">信息技术服务管理体系认证证书、I</w:t>
            </w:r>
            <w:r>
              <w:rPr>
                <w:color w:val="000000"/>
                <w:highlight w:val="none"/>
              </w:rPr>
              <w:t xml:space="preserve">SO27001</w:t>
            </w:r>
            <w:r>
              <w:rPr>
                <w:rFonts w:hint="eastAsia"/>
                <w:color w:val="000000"/>
                <w:highlight w:val="none"/>
              </w:rPr>
              <w:t xml:space="preserve">信息安全管理体系认证证书，每提供一份得1分，本项满分2分（投标文件中提供证书复印件加盖投标人公章）。</w:t>
            </w:r>
            <w:r>
              <w:rPr>
                <w:color w:val="000000"/>
                <w:highlight w:val="none"/>
              </w:rPr>
            </w:r>
            <w:r/>
          </w:p>
        </w:tc>
        <w:tc>
          <w:tcPr>
            <w:tcBorders>
              <w:top w:val="none" w:color="000000" w:sz="4" w:space="0"/>
              <w:left w:val="none" w:color="000000" w:sz="4" w:space="0"/>
              <w:bottom w:val="single" w:color="000000" w:sz="4" w:space="0"/>
              <w:right w:val="single" w:color="000000" w:sz="4" w:space="0"/>
            </w:tcBorders>
            <w:tcW w:w="448" w:type="dxa"/>
            <w:vAlign w:val="center"/>
            <w:textDirection w:val="lrTb"/>
            <w:noWrap w:val="false"/>
          </w:tcPr>
          <w:p>
            <w:pPr>
              <w:pStyle w:val="869"/>
              <w:jc w:val="center"/>
              <w:widowControl/>
              <w:rPr>
                <w:color w:val="000000"/>
                <w:highlight w:val="none"/>
              </w:rPr>
            </w:pPr>
            <w:r>
              <w:rPr>
                <w:rFonts w:hint="eastAsia"/>
                <w:color w:val="000000"/>
                <w:highlight w:val="none"/>
              </w:rPr>
              <w:t xml:space="preserve">2</w:t>
            </w:r>
            <w:r>
              <w:rPr>
                <w:color w:val="000000"/>
                <w:highlight w:val="none"/>
              </w:rPr>
            </w:r>
            <w:r/>
          </w:p>
        </w:tc>
      </w:tr>
      <w:tr>
        <w:trPr>
          <w:trHeight w:val="456"/>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69"/>
              <w:jc w:val="center"/>
              <w:widowControl/>
              <w:rPr>
                <w:color w:val="000000"/>
                <w:highlight w:val="none"/>
              </w:rPr>
            </w:pPr>
            <w:r>
              <w:rPr>
                <w:rFonts w:hint="eastAsia"/>
                <w:color w:val="000000"/>
                <w:highlight w:val="none"/>
              </w:rPr>
              <w:t xml:space="preserve">6</w:t>
            </w:r>
            <w:r>
              <w:rPr>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1892" w:type="dxa"/>
            <w:vAlign w:val="center"/>
            <w:textDirection w:val="lrTb"/>
            <w:noWrap w:val="false"/>
          </w:tcPr>
          <w:p>
            <w:pPr>
              <w:pStyle w:val="869"/>
              <w:jc w:val="center"/>
              <w:widowControl/>
              <w:rPr>
                <w:color w:val="000000"/>
                <w:highlight w:val="none"/>
              </w:rPr>
            </w:pPr>
            <w:r>
              <w:rPr>
                <w:rFonts w:hint="eastAsia"/>
                <w:color w:val="000000"/>
                <w:highlight w:val="none"/>
              </w:rPr>
              <w:t xml:space="preserve">人员要求（</w:t>
            </w:r>
            <w:r>
              <w:rPr>
                <w:color w:val="000000"/>
                <w:highlight w:val="none"/>
              </w:rPr>
              <w:t xml:space="preserve">2</w:t>
            </w:r>
            <w:r>
              <w:rPr>
                <w:rFonts w:hint="eastAsia"/>
                <w:color w:val="000000"/>
                <w:highlight w:val="none"/>
              </w:rPr>
              <w:t xml:space="preserve">分）</w:t>
            </w:r>
            <w:r>
              <w:rPr>
                <w:color w:val="000000"/>
                <w:highlight w:val="none"/>
              </w:rPr>
            </w:r>
            <w:r/>
          </w:p>
        </w:tc>
        <w:tc>
          <w:tcPr>
            <w:tcBorders>
              <w:top w:val="none" w:color="000000" w:sz="4" w:space="0"/>
              <w:left w:val="none" w:color="000000" w:sz="4" w:space="0"/>
              <w:bottom w:val="single" w:color="000000" w:sz="4" w:space="0"/>
              <w:right w:val="single" w:color="000000" w:sz="4" w:space="0"/>
            </w:tcBorders>
            <w:tcW w:w="5618" w:type="dxa"/>
            <w:vAlign w:val="center"/>
            <w:textDirection w:val="lrTb"/>
            <w:noWrap w:val="false"/>
          </w:tcPr>
          <w:p>
            <w:pPr>
              <w:pStyle w:val="869"/>
              <w:ind w:firstLine="420"/>
              <w:spacing w:line="360" w:lineRule="auto"/>
              <w:rPr>
                <w:rFonts w:hint="eastAsia"/>
                <w:color w:val="000000"/>
                <w:highlight w:val="none"/>
              </w:rPr>
            </w:pPr>
            <w:r>
              <w:rPr>
                <w:rFonts w:hint="eastAsia" w:ascii="宋体" w:hAnsi="宋体"/>
                <w:color w:val="000000"/>
                <w:highlight w:val="none"/>
                <w:lang w:val="en-US" w:eastAsia="zh-CN"/>
              </w:rPr>
              <w:t xml:space="preserve">6.1</w:t>
            </w:r>
            <w:r>
              <w:rPr>
                <w:rFonts w:hint="eastAsia" w:ascii="宋体" w:hAnsi="宋体"/>
                <w:color w:val="000000"/>
                <w:highlight w:val="none"/>
              </w:rPr>
              <w:t xml:space="preserve">投标人拟派的驻场服务人员（至少2人）应</w:t>
            </w:r>
            <w:r>
              <w:rPr>
                <w:rFonts w:hint="eastAsia" w:cs="宋体"/>
                <w:color w:val="000000"/>
                <w:highlight w:val="none"/>
              </w:rPr>
              <w:t xml:space="preserve">具有1年以上多媒体教学系统运维服务经验（提供有用户单位公章的有效证明材料以及投标人为其缴纳2023年10月以来任意</w:t>
            </w:r>
            <w:r>
              <w:rPr>
                <w:rFonts w:cs="宋体"/>
                <w:color w:val="000000"/>
                <w:highlight w:val="none"/>
              </w:rPr>
              <w:t xml:space="preserve">1</w:t>
            </w:r>
            <w:r>
              <w:rPr>
                <w:rFonts w:hint="eastAsia" w:cs="宋体"/>
                <w:color w:val="000000"/>
                <w:highlight w:val="none"/>
              </w:rPr>
              <w:t xml:space="preserve">个月社保证明，加盖投标人公章）</w:t>
            </w:r>
            <w:r>
              <w:rPr>
                <w:rFonts w:hint="eastAsia" w:ascii="宋体" w:hAnsi="宋体"/>
                <w:color w:val="000000"/>
                <w:highlight w:val="none"/>
              </w:rPr>
              <w:t xml:space="preserve">。在此基础上每增加1人得</w:t>
            </w:r>
            <w:r>
              <w:rPr>
                <w:rFonts w:ascii="宋体" w:hAnsi="宋体"/>
                <w:color w:val="000000"/>
                <w:highlight w:val="none"/>
              </w:rPr>
              <w:t xml:space="preserve">1分</w:t>
            </w:r>
            <w:r>
              <w:rPr>
                <w:rFonts w:hint="eastAsia" w:ascii="宋体" w:hAnsi="宋体"/>
                <w:color w:val="000000"/>
                <w:highlight w:val="none"/>
              </w:rPr>
              <w:t xml:space="preserve">，此项最多得</w:t>
            </w:r>
            <w:r>
              <w:rPr>
                <w:rFonts w:ascii="宋体" w:hAnsi="宋体"/>
                <w:color w:val="000000"/>
                <w:highlight w:val="none"/>
              </w:rPr>
              <w:t xml:space="preserve">2</w:t>
            </w:r>
            <w:r>
              <w:rPr>
                <w:rFonts w:hint="eastAsia" w:ascii="宋体" w:hAnsi="宋体"/>
                <w:color w:val="000000"/>
                <w:highlight w:val="none"/>
              </w:rPr>
              <w:t xml:space="preserve">分，不提供材料或材料提供不完整不得分。</w:t>
            </w:r>
            <w:r>
              <w:rPr>
                <w:rFonts w:hint="eastAsia"/>
                <w:color w:val="000000"/>
                <w:highlight w:val="none"/>
              </w:rPr>
            </w:r>
            <w:r/>
          </w:p>
        </w:tc>
        <w:tc>
          <w:tcPr>
            <w:tcBorders>
              <w:top w:val="none" w:color="000000" w:sz="4" w:space="0"/>
              <w:left w:val="none" w:color="000000" w:sz="4" w:space="0"/>
              <w:bottom w:val="single" w:color="000000" w:sz="4" w:space="0"/>
              <w:right w:val="single" w:color="000000" w:sz="4" w:space="0"/>
            </w:tcBorders>
            <w:tcW w:w="448" w:type="dxa"/>
            <w:vAlign w:val="center"/>
            <w:textDirection w:val="lrTb"/>
            <w:noWrap w:val="false"/>
          </w:tcPr>
          <w:p>
            <w:pPr>
              <w:pStyle w:val="869"/>
              <w:jc w:val="center"/>
              <w:widowControl/>
              <w:rPr>
                <w:color w:val="000000"/>
                <w:highlight w:val="none"/>
              </w:rPr>
            </w:pPr>
            <w:r>
              <w:rPr>
                <w:color w:val="000000"/>
                <w:highlight w:val="none"/>
              </w:rPr>
              <w:t xml:space="preserve">2</w:t>
            </w:r>
            <w:r>
              <w:rPr>
                <w:color w:val="000000"/>
                <w:highlight w:val="none"/>
              </w:rPr>
            </w:r>
            <w:r/>
          </w:p>
        </w:tc>
      </w:tr>
      <w:tr>
        <w:trPr>
          <w:trHeight w:val="456"/>
        </w:trPr>
        <w:tc>
          <w:tcPr>
            <w:tcBorders>
              <w:top w:val="none" w:color="000000" w:sz="4" w:space="0"/>
              <w:left w:val="single" w:color="000000" w:sz="4" w:space="0"/>
              <w:bottom w:val="single" w:color="000000" w:sz="4" w:space="0"/>
              <w:right w:val="single" w:color="000000" w:sz="4" w:space="0"/>
            </w:tcBorders>
            <w:tcW w:w="562" w:type="dxa"/>
            <w:vAlign w:val="center"/>
            <w:textDirection w:val="lrTb"/>
            <w:noWrap w:val="false"/>
          </w:tcPr>
          <w:p>
            <w:pPr>
              <w:pStyle w:val="869"/>
              <w:jc w:val="center"/>
              <w:widowControl/>
              <w:rPr>
                <w:rFonts w:hint="eastAsia" w:eastAsia="宋体"/>
                <w:color w:val="000000"/>
                <w:highlight w:val="none"/>
                <w:lang w:val="en-US" w:eastAsia="zh-CN"/>
              </w:rPr>
            </w:pPr>
            <w:r>
              <w:rPr>
                <w:rFonts w:hint="eastAsia"/>
                <w:color w:val="000000"/>
                <w:highlight w:val="none"/>
                <w:lang w:val="en-US" w:eastAsia="zh-CN"/>
              </w:rPr>
              <w:t xml:space="preserve">7</w:t>
            </w:r>
            <w:r>
              <w:rPr>
                <w:rFonts w:hint="eastAsia" w:eastAsia="宋体"/>
                <w:color w:val="000000"/>
                <w:highlight w:val="none"/>
                <w:lang w:val="en-US" w:eastAsia="zh-CN"/>
              </w:rPr>
            </w:r>
            <w:r/>
          </w:p>
        </w:tc>
        <w:tc>
          <w:tcPr>
            <w:gridSpan w:val="2"/>
            <w:tcBorders>
              <w:top w:val="single" w:color="000000" w:sz="4" w:space="0"/>
              <w:left w:val="none" w:color="000000" w:sz="4" w:space="0"/>
              <w:bottom w:val="single" w:color="000000" w:sz="4" w:space="0"/>
              <w:right w:val="single" w:color="000000" w:sz="4" w:space="0"/>
            </w:tcBorders>
            <w:tcW w:w="1892" w:type="dxa"/>
            <w:vAlign w:val="center"/>
            <w:textDirection w:val="lrTb"/>
            <w:noWrap w:val="false"/>
          </w:tcPr>
          <w:p>
            <w:pPr>
              <w:pStyle w:val="869"/>
              <w:jc w:val="center"/>
              <w:widowControl/>
              <w:rPr>
                <w:rFonts w:hint="eastAsia"/>
                <w:color w:val="000000"/>
                <w:highlight w:val="none"/>
              </w:rPr>
            </w:pPr>
            <w:r>
              <w:rPr>
                <w:rFonts w:hint="eastAsia"/>
                <w:color w:val="000000"/>
                <w:highlight w:val="none"/>
              </w:rPr>
              <w:t xml:space="preserve">节能环保（2分）</w:t>
            </w:r>
            <w:r>
              <w:rPr>
                <w:rFonts w:hint="eastAsia"/>
                <w:color w:val="000000"/>
                <w:highlight w:val="none"/>
              </w:rPr>
            </w:r>
            <w:r/>
          </w:p>
        </w:tc>
        <w:tc>
          <w:tcPr>
            <w:tcBorders>
              <w:top w:val="none" w:color="000000" w:sz="4" w:space="0"/>
              <w:left w:val="none" w:color="000000" w:sz="4" w:space="0"/>
              <w:bottom w:val="single" w:color="000000" w:sz="4" w:space="0"/>
              <w:right w:val="single" w:color="000000" w:sz="4" w:space="0"/>
            </w:tcBorders>
            <w:tcW w:w="5618" w:type="dxa"/>
            <w:vAlign w:val="center"/>
            <w:textDirection w:val="lrTb"/>
            <w:noWrap w:val="false"/>
          </w:tcPr>
          <w:p>
            <w:pPr>
              <w:pStyle w:val="869"/>
              <w:ind w:firstLine="420"/>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7.</w:t>
            </w:r>
            <w:r>
              <w:rPr>
                <w:rFonts w:hint="eastAsia" w:ascii="宋体" w:hAnsi="宋体"/>
                <w:color w:val="000000"/>
                <w:highlight w:val="none"/>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olor w:val="000000"/>
                <w:highlight w:val="none"/>
              </w:rPr>
            </w:r>
            <w:r/>
          </w:p>
          <w:p>
            <w:pPr>
              <w:pStyle w:val="869"/>
              <w:ind w:firstLine="420"/>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7.</w:t>
            </w:r>
            <w:r>
              <w:rPr>
                <w:rFonts w:hint="eastAsia" w:ascii="宋体" w:hAnsi="宋体"/>
                <w:color w:val="000000"/>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color w:val="000000"/>
                <w:highlight w:val="none"/>
              </w:rPr>
            </w:r>
            <w:r/>
          </w:p>
        </w:tc>
        <w:tc>
          <w:tcPr>
            <w:tcBorders>
              <w:top w:val="none" w:color="000000" w:sz="4" w:space="0"/>
              <w:left w:val="none" w:color="000000" w:sz="4" w:space="0"/>
              <w:bottom w:val="single" w:color="000000" w:sz="4" w:space="0"/>
              <w:right w:val="single" w:color="000000" w:sz="4" w:space="0"/>
            </w:tcBorders>
            <w:tcW w:w="448" w:type="dxa"/>
            <w:vAlign w:val="center"/>
            <w:textDirection w:val="lrTb"/>
            <w:noWrap w:val="false"/>
          </w:tcPr>
          <w:p>
            <w:pPr>
              <w:pStyle w:val="869"/>
              <w:jc w:val="center"/>
              <w:widowControl/>
              <w:rPr>
                <w:rFonts w:hint="eastAsia" w:eastAsia="宋体"/>
                <w:color w:val="000000"/>
                <w:highlight w:val="none"/>
                <w:lang w:val="en-US" w:eastAsia="zh-CN"/>
              </w:rPr>
            </w:pPr>
            <w:r>
              <w:rPr>
                <w:rFonts w:hint="eastAsia"/>
                <w:color w:val="000000"/>
                <w:highlight w:val="none"/>
                <w:lang w:val="en-US" w:eastAsia="zh-CN"/>
              </w:rPr>
              <w:t xml:space="preserve">2</w:t>
            </w:r>
            <w:r>
              <w:rPr>
                <w:rFonts w:hint="eastAsia" w:eastAsia="宋体"/>
                <w:color w:val="000000"/>
                <w:highlight w:val="none"/>
                <w:lang w:val="en-US" w:eastAsia="zh-CN"/>
              </w:rPr>
            </w:r>
            <w:r/>
          </w:p>
        </w:tc>
      </w:tr>
      <w:tr>
        <w:trPr>
          <w:trHeight w:val="456"/>
        </w:trPr>
        <w:tc>
          <w:tcPr>
            <w:gridSpan w:val="3"/>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pStyle w:val="869"/>
              <w:jc w:val="center"/>
              <w:widowControl/>
              <w:rPr>
                <w:color w:val="000000"/>
                <w:highlight w:val="none"/>
              </w:rPr>
            </w:pPr>
            <w:r>
              <w:rPr>
                <w:rFonts w:hint="eastAsia"/>
                <w:color w:val="000000"/>
                <w:highlight w:val="none"/>
              </w:rPr>
              <w:t xml:space="preserve">合计</w:t>
            </w:r>
            <w:r>
              <w:rPr>
                <w:color w:val="000000"/>
                <w:highlight w:val="none"/>
              </w:rPr>
            </w:r>
            <w:r/>
          </w:p>
        </w:tc>
        <w:tc>
          <w:tcPr>
            <w:gridSpan w:val="2"/>
            <w:tcBorders>
              <w:top w:val="single" w:color="000000" w:sz="4" w:space="0"/>
              <w:left w:val="none" w:color="000000" w:sz="4" w:space="0"/>
              <w:bottom w:val="single" w:color="000000" w:sz="4" w:space="0"/>
              <w:right w:val="single" w:color="000000" w:sz="4" w:space="0"/>
            </w:tcBorders>
            <w:tcW w:w="6066" w:type="dxa"/>
            <w:vAlign w:val="center"/>
            <w:textDirection w:val="lrTb"/>
            <w:noWrap w:val="false"/>
          </w:tcPr>
          <w:p>
            <w:pPr>
              <w:pStyle w:val="869"/>
              <w:jc w:val="center"/>
              <w:widowControl/>
              <w:rPr>
                <w:color w:val="000000"/>
                <w:highlight w:val="none"/>
              </w:rPr>
            </w:pPr>
            <w:r>
              <w:rPr>
                <w:rFonts w:hint="eastAsia"/>
                <w:color w:val="000000"/>
                <w:highlight w:val="none"/>
              </w:rPr>
              <w:t xml:space="preserve">100分</w:t>
            </w:r>
            <w:r>
              <w:rPr>
                <w:color w:val="000000"/>
                <w:highlight w:val="none"/>
              </w:rPr>
            </w:r>
            <w:r/>
          </w:p>
        </w:tc>
      </w:tr>
    </w:tbl>
    <w:p>
      <w:pPr>
        <w:pStyle w:val="957"/>
        <w:ind w:firstLine="1548"/>
        <w:rPr>
          <w:rFonts w:hint="eastAsia" w:ascii="宋体" w:hAnsi="宋体"/>
          <w:b/>
          <w:color w:val="000000"/>
          <w:sz w:val="36"/>
          <w:szCs w:val="36"/>
          <w:highlight w:val="none"/>
        </w:rPr>
      </w:pPr>
      <w:r>
        <w:rPr>
          <w:rFonts w:hint="eastAsia"/>
          <w:color w:val="000000"/>
          <w:highlight w:val="none"/>
        </w:rPr>
        <w:t xml:space="preserve"> </w:t>
      </w:r>
      <w:r>
        <w:rPr>
          <w:rFonts w:hint="eastAsia" w:ascii="宋体" w:hAnsi="宋体"/>
          <w:b/>
          <w:color w:val="000000"/>
          <w:sz w:val="36"/>
          <w:szCs w:val="36"/>
          <w:highlight w:val="none"/>
        </w:rPr>
      </w:r>
      <w:r/>
    </w:p>
    <w:p>
      <w:pPr>
        <w:pStyle w:val="957"/>
        <w:ind w:firstLine="2331"/>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keepNext/>
        <w:rPr>
          <w:rFonts w:hint="eastAsia" w:ascii="黑体" w:hAnsi="Times New Roman" w:eastAsia="黑体"/>
          <w:bCs/>
          <w:color w:val="000000"/>
          <w:sz w:val="44"/>
          <w:szCs w:val="28"/>
          <w:highlight w:val="none"/>
        </w:rPr>
        <w:outlineLvl w:val="0"/>
      </w:pPr>
      <w:r/>
      <w:bookmarkEnd w:id="186"/>
      <w:r/>
      <w:bookmarkEnd w:id="187"/>
      <w:r/>
      <w:bookmarkEnd w:id="188"/>
      <w:r/>
      <w:bookmarkEnd w:id="189"/>
      <w:r/>
      <w:bookmarkEnd w:id="190"/>
      <w:r>
        <w:rPr>
          <w:rFonts w:hint="eastAsia" w:ascii="黑体" w:hAnsi="Times New Roman" w:eastAsia="黑体"/>
          <w:bCs/>
          <w:color w:val="000000"/>
          <w:sz w:val="44"/>
          <w:szCs w:val="28"/>
          <w:highlight w:val="none"/>
        </w:rPr>
        <w:t xml:space="preserve">第六章  投标文件格式 </w:t>
      </w:r>
      <w:r>
        <w:rPr>
          <w:rFonts w:hint="eastAsia" w:ascii="黑体" w:hAnsi="Times New Roman" w:eastAsia="黑体"/>
          <w:bCs/>
          <w:color w:val="000000"/>
          <w:sz w:val="44"/>
          <w:szCs w:val="28"/>
          <w:highlight w:val="none"/>
        </w:rPr>
      </w:r>
      <w:r/>
    </w:p>
    <w:p>
      <w:pPr>
        <w:pStyle w:val="869"/>
        <w:jc w:val="center"/>
        <w:rPr>
          <w:rFonts w:hint="eastAsia" w:ascii="宋体" w:hAnsi="宋体"/>
          <w:b/>
          <w:color w:val="000000"/>
          <w:sz w:val="72"/>
          <w:szCs w:val="21"/>
          <w:highlight w:val="none"/>
        </w:rPr>
      </w:pPr>
      <w:r/>
      <w:bookmarkStart w:id="191" w:name="_Hlt26955039"/>
      <w:r/>
      <w:bookmarkEnd w:id="191"/>
      <w:r/>
      <w:bookmarkStart w:id="192" w:name="_Hlt26671244"/>
      <w:r/>
      <w:bookmarkEnd w:id="192"/>
      <w:r/>
      <w:bookmarkStart w:id="193" w:name="_Toc120614282"/>
      <w:r/>
      <w:bookmarkStart w:id="194" w:name="_Toc49090576"/>
      <w:r/>
      <w:bookmarkStart w:id="195" w:name="_Toc26554094"/>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869"/>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69"/>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869"/>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szCs w:val="21"/>
          <w:highlight w:val="none"/>
        </w:rPr>
      </w:pPr>
      <w:r>
        <w:rPr>
          <w:rFonts w:ascii="宋体" w:hAnsi="宋体"/>
          <w:color w:val="000000"/>
          <w:szCs w:val="21"/>
          <w:highlight w:val="none"/>
        </w:rPr>
      </w:r>
      <w:r/>
    </w:p>
    <w:p>
      <w:pPr>
        <w:pStyle w:val="869"/>
        <w:ind w:firstLine="1084"/>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hint="eastAsia" w:ascii="宋体" w:hAnsi="宋体"/>
          <w:b/>
          <w:bCs/>
          <w:color w:val="000000"/>
          <w:sz w:val="32"/>
          <w:szCs w:val="32"/>
          <w:highlight w:val="none"/>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rPr>
          <w:rFonts w:ascii="宋体" w:hAnsi="宋体"/>
          <w:b/>
          <w:color w:val="000000"/>
          <w:sz w:val="24"/>
          <w:szCs w:val="21"/>
          <w:highlight w:val="none"/>
        </w:rPr>
      </w:r>
      <w:r/>
    </w:p>
    <w:p>
      <w:pPr>
        <w:pStyle w:val="869"/>
        <w:ind w:left="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开标一览表（格式见附件</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投标分项报价表（格式见</w:t>
      </w:r>
      <w:r>
        <w:rPr>
          <w:rFonts w:ascii="宋体" w:hAnsi="宋体"/>
          <w:color w:val="000000"/>
          <w:sz w:val="24"/>
          <w:szCs w:val="21"/>
          <w:highlight w:val="none"/>
        </w:rPr>
        <w:t xml:space="preserve">附件2</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69"/>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技术要求响应及偏离表（格式见</w:t>
      </w:r>
      <w:r>
        <w:rPr>
          <w:rFonts w:ascii="宋体" w:hAnsi="宋体"/>
          <w:color w:val="000000"/>
          <w:sz w:val="24"/>
          <w:szCs w:val="21"/>
          <w:highlight w:val="none"/>
        </w:rPr>
        <w:t xml:space="preserve">附件3</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69"/>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商务要求响应及偏离表（格式见</w:t>
      </w:r>
      <w:r>
        <w:rPr>
          <w:rFonts w:ascii="宋体" w:hAnsi="宋体"/>
          <w:color w:val="000000"/>
          <w:sz w:val="24"/>
          <w:szCs w:val="21"/>
          <w:highlight w:val="none"/>
        </w:rPr>
        <w:t xml:space="preserve">附件4</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69"/>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rPr>
          <w:rFonts w:hint="eastAsia" w:ascii="宋体" w:hAnsi="宋体"/>
          <w:b/>
          <w:color w:val="000000"/>
          <w:sz w:val="24"/>
          <w:szCs w:val="21"/>
          <w:highlight w:val="none"/>
        </w:rPr>
      </w:r>
      <w:r/>
    </w:p>
    <w:p>
      <w:pPr>
        <w:pStyle w:val="869"/>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法人或者其他组织的营业执照等证明文件，自然人的身份证明</w:t>
      </w:r>
      <w:r>
        <w:rPr>
          <w:rFonts w:hint="eastAsia" w:ascii="宋体" w:hAnsi="宋体"/>
          <w:color w:val="000000"/>
          <w:sz w:val="24"/>
          <w:szCs w:val="21"/>
          <w:highlight w:val="none"/>
        </w:rPr>
      </w:r>
      <w:r/>
    </w:p>
    <w:p>
      <w:pPr>
        <w:pStyle w:val="869"/>
        <w:ind w:left="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2022或2023</w:t>
      </w:r>
      <w:r>
        <w:rPr>
          <w:rFonts w:hint="eastAsia" w:ascii="宋体" w:hAnsi="宋体"/>
          <w:color w:val="000000"/>
          <w:sz w:val="24"/>
          <w:szCs w:val="21"/>
          <w:highlight w:val="none"/>
        </w:rPr>
        <w:t xml:space="preserve">年度的财务状况报告（投标人成立不满一年无需提供）</w:t>
      </w:r>
      <w:r>
        <w:rPr>
          <w:rFonts w:hint="eastAsia" w:ascii="宋体" w:hAnsi="宋体"/>
          <w:color w:val="000000"/>
          <w:sz w:val="24"/>
          <w:szCs w:val="21"/>
          <w:highlight w:val="none"/>
        </w:rPr>
      </w:r>
      <w:r/>
    </w:p>
    <w:p>
      <w:pPr>
        <w:pStyle w:val="869"/>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依法缴纳税收和社会保障资金的相关材料（提供提交投标文件截止时间前一年</w:t>
      </w:r>
      <w:r>
        <w:rPr>
          <w:rFonts w:ascii="宋体" w:hAnsi="宋体"/>
          <w:color w:val="000000"/>
          <w:sz w:val="24"/>
          <w:szCs w:val="21"/>
          <w:highlight w:val="none"/>
        </w:rPr>
      </w:r>
      <w:r/>
    </w:p>
    <w:p>
      <w:pPr>
        <w:pStyle w:val="869"/>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内至少一个月依法缴纳税收及缴纳社会保障资金的证明材料。投标人依法享受缓缴、免缴税收、社会保障资金的提供证明材料。）</w:t>
      </w:r>
      <w:r>
        <w:rPr>
          <w:rFonts w:hint="eastAsia" w:ascii="宋体" w:hAnsi="宋体"/>
          <w:color w:val="000000"/>
          <w:sz w:val="24"/>
          <w:szCs w:val="21"/>
          <w:highlight w:val="none"/>
        </w:rPr>
      </w:r>
      <w:r/>
    </w:p>
    <w:p>
      <w:pPr>
        <w:pStyle w:val="869"/>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具备履行合同所必需的设备和专业技术能力的书面声明（格式见</w:t>
      </w:r>
      <w:r>
        <w:rPr>
          <w:rFonts w:ascii="宋体" w:hAnsi="宋体"/>
          <w:color w:val="000000"/>
          <w:sz w:val="24"/>
          <w:szCs w:val="21"/>
          <w:highlight w:val="none"/>
        </w:rPr>
        <w:t xml:space="preserve">附件5</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69"/>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5.参加政府采购活动前 3 年内在经营活动中没有重大违法记录的书面声明（格式</w:t>
      </w:r>
      <w:r>
        <w:rPr>
          <w:rFonts w:ascii="宋体" w:hAnsi="宋体"/>
          <w:color w:val="000000"/>
          <w:sz w:val="24"/>
          <w:szCs w:val="21"/>
          <w:highlight w:val="none"/>
        </w:rPr>
      </w:r>
      <w:r/>
    </w:p>
    <w:p>
      <w:pPr>
        <w:pStyle w:val="869"/>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附件6</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特定资格要求的证明文件（如果本项目对投标人</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，必须提供）</w:t>
      </w:r>
      <w:r>
        <w:rPr>
          <w:rFonts w:hint="eastAsia" w:ascii="宋体" w:hAnsi="宋体"/>
          <w:color w:val="000000"/>
          <w:sz w:val="24"/>
          <w:szCs w:val="21"/>
          <w:highlight w:val="none"/>
        </w:rPr>
      </w:r>
      <w:r/>
    </w:p>
    <w:p>
      <w:pPr>
        <w:pStyle w:val="869"/>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7</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法人授权书（格式见附件</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8</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投标函（格式见附件</w:t>
      </w:r>
      <w:r>
        <w:rPr>
          <w:rFonts w:ascii="宋体" w:hAnsi="宋体"/>
          <w:color w:val="000000"/>
          <w:sz w:val="24"/>
          <w:szCs w:val="21"/>
          <w:highlight w:val="none"/>
        </w:rPr>
        <w:t xml:space="preserve">8</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9</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中小微企业声明函（如果本项目</w:t>
      </w:r>
      <w:r>
        <w:rPr>
          <w:rFonts w:ascii="宋体" w:hAnsi="宋体"/>
          <w:color w:val="000000"/>
          <w:sz w:val="24"/>
          <w:szCs w:val="21"/>
          <w:highlight w:val="none"/>
        </w:rPr>
        <w:t xml:space="preserve">专门面向中小微型企业采购，则必须提供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残疾人福利性单位声明函（如果本项目</w:t>
      </w:r>
      <w:r>
        <w:rPr>
          <w:rFonts w:ascii="宋体" w:hAnsi="宋体"/>
          <w:color w:val="000000"/>
          <w:sz w:val="24"/>
          <w:szCs w:val="21"/>
          <w:highlight w:val="none"/>
        </w:rPr>
        <w:t xml:space="preserve">专门面向中小微型企业采购，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总备注：上述“资格审查内容”中1-5条、7、8条投标人必须在投标文件中提供</w:t>
      </w:r>
      <w:r>
        <w:rPr>
          <w:rFonts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相关材料，否则作无效投标处理；6、9、10条如招标文件要求必须提供相关材料而未提供的，作无效投标处理。</w:t>
      </w:r>
      <w:r>
        <w:rPr>
          <w:rFonts w:ascii="宋体" w:hAnsi="宋体"/>
          <w:color w:val="000000"/>
          <w:sz w:val="24"/>
          <w:szCs w:val="24"/>
          <w:highlight w:val="none"/>
        </w:rPr>
      </w:r>
      <w:r/>
    </w:p>
    <w:p>
      <w:pPr>
        <w:pStyle w:val="869"/>
        <w:ind w:left="480"/>
        <w:spacing w:line="40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rPr>
          <w:rFonts w:hint="eastAsia" w:ascii="宋体" w:hAnsi="宋体"/>
          <w:b/>
          <w:color w:val="000000"/>
          <w:sz w:val="24"/>
          <w:szCs w:val="21"/>
          <w:highlight w:val="none"/>
        </w:rPr>
      </w:r>
      <w:r/>
    </w:p>
    <w:p>
      <w:pPr>
        <w:pStyle w:val="869"/>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中加斜体下划线的实质性要求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，否则做无效投标处理。（格式见</w:t>
      </w:r>
      <w:r>
        <w:rPr>
          <w:rFonts w:ascii="宋体" w:hAnsi="宋体"/>
          <w:color w:val="000000"/>
          <w:sz w:val="24"/>
          <w:szCs w:val="21"/>
          <w:highlight w:val="none"/>
        </w:rPr>
        <w:t xml:space="preserve">附件1</w:t>
      </w: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rPr>
          <w:rFonts w:ascii="宋体" w:hAnsi="宋体"/>
          <w:b/>
          <w:color w:val="000000"/>
          <w:sz w:val="24"/>
          <w:szCs w:val="21"/>
          <w:highlight w:val="none"/>
        </w:rPr>
      </w:pPr>
      <w:r>
        <w:rPr>
          <w:rFonts w:hint="eastAsia" w:ascii="宋体" w:hAnsi="宋体"/>
          <w:b/>
          <w:color w:val="000000"/>
          <w:sz w:val="24"/>
          <w:szCs w:val="21"/>
          <w:highlight w:val="none"/>
        </w:rPr>
        <w:t xml:space="preserve">四、价格</w:t>
      </w:r>
      <w:r>
        <w:rPr>
          <w:rFonts w:ascii="宋体" w:hAnsi="宋体"/>
          <w:b/>
          <w:color w:val="000000"/>
          <w:sz w:val="24"/>
          <w:szCs w:val="21"/>
          <w:highlight w:val="none"/>
        </w:rPr>
        <w:t xml:space="preserve">扣除证明文件</w:t>
      </w:r>
      <w:r>
        <w:rPr>
          <w:rFonts w:ascii="宋体" w:hAnsi="宋体"/>
          <w:b/>
          <w:color w:val="000000"/>
          <w:sz w:val="24"/>
          <w:szCs w:val="21"/>
          <w:highlight w:val="none"/>
        </w:rPr>
      </w:r>
      <w:r/>
    </w:p>
    <w:p>
      <w:pPr>
        <w:pStyle w:val="869"/>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中小微企业声明函（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残疾人福利性单位声明函（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left="480"/>
        <w:rPr>
          <w:rFonts w:ascii="宋体" w:hAnsi="宋体"/>
          <w:b/>
          <w:color w:val="000000"/>
          <w:sz w:val="24"/>
          <w:szCs w:val="21"/>
          <w:highlight w:val="none"/>
        </w:rPr>
      </w:pPr>
      <w:r>
        <w:rPr>
          <w:rFonts w:ascii="宋体" w:hAnsi="宋体"/>
          <w:b/>
          <w:color w:val="000000"/>
          <w:sz w:val="24"/>
          <w:szCs w:val="21"/>
          <w:highlight w:val="none"/>
        </w:rPr>
      </w:r>
      <w:r/>
    </w:p>
    <w:p>
      <w:pPr>
        <w:pStyle w:val="869"/>
        <w:jc w:val="center"/>
        <w:rPr>
          <w:rFonts w:hint="eastAsia" w:ascii="Times New Roman" w:hAnsi="Times New Roman" w:eastAsia="仿宋_GB2312"/>
          <w:color w:val="000000"/>
          <w:sz w:val="24"/>
          <w:szCs w:val="20"/>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 </w:t>
      </w:r>
      <w:r>
        <w:rPr>
          <w:rFonts w:hint="eastAsia" w:ascii="宋体" w:hAnsi="宋体"/>
          <w:b/>
          <w:color w:val="000000"/>
          <w:sz w:val="24"/>
          <w:szCs w:val="24"/>
          <w:highlight w:val="none"/>
        </w:rPr>
        <w:t xml:space="preserve">开标一览表</w:t>
      </w:r>
      <w:r>
        <w:rPr>
          <w:rFonts w:hint="eastAsia" w:ascii="Times New Roman" w:hAnsi="Times New Roman" w:eastAsia="仿宋_GB2312"/>
          <w:color w:val="000000"/>
          <w:sz w:val="24"/>
          <w:szCs w:val="20"/>
          <w:highlight w:val="none"/>
        </w:rPr>
      </w:r>
      <w:r/>
    </w:p>
    <w:p>
      <w:pPr>
        <w:pStyle w:val="869"/>
        <w:ind w:firstLine="482"/>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69"/>
        <w:ind w:firstLine="482"/>
        <w:spacing w:line="400" w:lineRule="exact"/>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869"/>
        <w:ind w:firstLine="482"/>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项目编号：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69"/>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869"/>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869"/>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rPr>
            </w:r>
            <w:r/>
          </w:p>
        </w:tc>
        <w:tc>
          <w:tcPr>
            <w:tcW w:w="6405" w:type="dxa"/>
            <w:vAlign w:val="center"/>
            <w:textDirection w:val="lrTb"/>
            <w:noWrap w:val="false"/>
          </w:tcPr>
          <w:p>
            <w:pPr>
              <w:pStyle w:val="869"/>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69"/>
        <w:rPr>
          <w:rFonts w:ascii="宋体" w:hAnsi="宋体"/>
          <w:color w:val="000000"/>
          <w:sz w:val="24"/>
          <w:szCs w:val="24"/>
          <w:highlight w:val="none"/>
        </w:rPr>
      </w:pP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 投标分项报价表</w:t>
      </w:r>
      <w:r>
        <w:rPr>
          <w:rFonts w:hint="eastAsia" w:ascii="宋体" w:hAnsi="宋体"/>
          <w:b/>
          <w:color w:val="000000"/>
          <w:sz w:val="24"/>
          <w:szCs w:val="24"/>
          <w:highlight w:val="none"/>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98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10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r>
            <w:r/>
          </w:p>
        </w:tc>
        <w:tc>
          <w:tcPr>
            <w:tcW w:w="138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00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96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rPr>
            </w:r>
            <w:r/>
          </w:p>
        </w:tc>
      </w:tr>
      <w:tr>
        <w:trPr>
          <w:cantSplit/>
          <w:trHeight w:val="294"/>
        </w:trPr>
        <w:tc>
          <w:tcPr>
            <w:tcW w:w="50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98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制造商名称</w:t>
            </w:r>
            <w:r>
              <w:rPr>
                <w:rFonts w:hint="eastAsia" w:ascii="宋体" w:hAnsi="宋体"/>
                <w:color w:val="000000"/>
                <w:sz w:val="24"/>
                <w:szCs w:val="24"/>
                <w:highlight w:val="none"/>
              </w:rPr>
            </w:r>
            <w:r/>
          </w:p>
        </w:tc>
        <w:tc>
          <w:tcPr>
            <w:tcW w:w="110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138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008" w:type="dxa"/>
            <w:vAlign w:val="center"/>
            <w:textDirection w:val="lrTb"/>
            <w:noWrap w:val="false"/>
          </w:tcPr>
          <w:p>
            <w:pPr>
              <w:pStyle w:val="869"/>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966" w:type="dxa"/>
            <w:vAlign w:val="center"/>
            <w:textDirection w:val="lrTb"/>
            <w:noWrap w:val="false"/>
          </w:tcPr>
          <w:p>
            <w:pPr>
              <w:pStyle w:val="869"/>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96"/>
        </w:trPr>
        <w:tc>
          <w:tcPr>
            <w:tcW w:w="50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869"/>
              <w:jc w:val="center"/>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u w:val="singl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0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0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00" w:type="dxa"/>
            <w:vAlign w:val="center"/>
            <w:textDirection w:val="lrTb"/>
            <w:noWrap w:val="false"/>
          </w:tcPr>
          <w:p>
            <w:pPr>
              <w:pStyle w:val="869"/>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2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06" w:type="dxa"/>
            <w:vAlign w:val="top"/>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8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249"/>
        </w:trPr>
        <w:tc>
          <w:tcPr>
            <w:tcW w:w="50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gridSpan w:val="8"/>
            <w:tcW w:w="779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966" w:type="dxa"/>
            <w:vAlign w:val="top"/>
            <w:textDirection w:val="lrTb"/>
            <w:noWrap w:val="false"/>
          </w:tcPr>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869"/>
        <w:spacing w:line="400" w:lineRule="exact"/>
        <w:rPr>
          <w:rFonts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w:t>
      </w:r>
      <w:r>
        <w:rPr>
          <w:rFonts w:ascii="宋体" w:hAnsi="宋体"/>
          <w:color w:val="000000"/>
          <w:sz w:val="24"/>
          <w:szCs w:val="21"/>
          <w:highlight w:val="none"/>
        </w:rPr>
      </w:r>
      <w:r/>
    </w:p>
    <w:p>
      <w:pPr>
        <w:pStyle w:val="869"/>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ascii="宋体" w:hAnsi="宋体"/>
          <w:color w:val="000000"/>
          <w:sz w:val="24"/>
          <w:szCs w:val="21"/>
          <w:highlight w:val="none"/>
        </w:rPr>
      </w:r>
      <w:r/>
    </w:p>
    <w:p>
      <w:pPr>
        <w:pStyle w:val="869"/>
        <w:spacing w:line="400" w:lineRule="exact"/>
        <w:rPr>
          <w:rFonts w:hint="eastAsia" w:ascii="方正黑体_GBK" w:hAnsi="宋体" w:eastAsia="方正黑体_GBK"/>
          <w:b/>
          <w:color w:val="000000"/>
          <w:sz w:val="32"/>
          <w:szCs w:val="32"/>
          <w:highlight w:val="none"/>
        </w:rPr>
      </w:pPr>
      <w:r>
        <w:rPr>
          <w:rFonts w:hint="eastAsia" w:ascii="方正黑体_GBK" w:hAnsi="宋体" w:eastAsia="方正黑体_GBK"/>
          <w:b/>
          <w:color w:val="000000"/>
          <w:sz w:val="32"/>
          <w:szCs w:val="32"/>
          <w:highlight w:val="none"/>
        </w:rPr>
        <w:t xml:space="preserve">3.投标人需认真填写本报价表，尤其注意规格型号的准确填写。</w:t>
      </w:r>
      <w:r>
        <w:rPr>
          <w:rFonts w:hint="eastAsia" w:ascii="方正黑体_GBK" w:hAnsi="宋体" w:eastAsia="方正黑体_GBK"/>
          <w:b/>
          <w:color w:val="000000"/>
          <w:sz w:val="32"/>
          <w:szCs w:val="32"/>
          <w:highlight w:val="none"/>
        </w:rPr>
      </w:r>
      <w:r/>
    </w:p>
    <w:p>
      <w:pPr>
        <w:pStyle w:val="869"/>
        <w:ind w:left="480"/>
        <w:rPr>
          <w:rFonts w:ascii="宋体" w:hAnsi="宋体"/>
          <w:b/>
          <w:color w:val="000000"/>
          <w:sz w:val="24"/>
          <w:szCs w:val="21"/>
          <w:highlight w:val="none"/>
        </w:rPr>
      </w:pPr>
      <w:r>
        <w:rPr>
          <w:rFonts w:ascii="宋体" w:hAnsi="宋体"/>
          <w:b/>
          <w:color w:val="000000"/>
          <w:sz w:val="24"/>
          <w:szCs w:val="21"/>
          <w:highlight w:val="none"/>
        </w:rPr>
      </w:r>
      <w:r/>
    </w:p>
    <w:p>
      <w:pPr>
        <w:pStyle w:val="869"/>
        <w:jc w:val="center"/>
        <w:rPr>
          <w:rFonts w:ascii="宋体" w:hAnsi="宋体"/>
          <w:b/>
          <w:color w:val="000000"/>
          <w:sz w:val="24"/>
          <w:szCs w:val="24"/>
          <w:highlight w:val="none"/>
        </w:rPr>
      </w:pPr>
      <w:r>
        <w:rPr>
          <w:rFonts w:ascii="宋体" w:hAnsi="宋体"/>
          <w:b/>
          <w:color w:val="000000"/>
          <w:sz w:val="24"/>
          <w:szCs w:val="24"/>
          <w:highlight w:val="none"/>
        </w:rPr>
      </w:r>
      <w:r/>
    </w:p>
    <w:p>
      <w:pPr>
        <w:pStyle w:val="869"/>
        <w:rPr>
          <w:rFonts w:ascii="宋体" w:hAnsi="宋体"/>
          <w:b/>
          <w:color w:val="000000"/>
          <w:sz w:val="24"/>
          <w:szCs w:val="24"/>
          <w:highlight w:val="none"/>
        </w:rPr>
      </w:pPr>
      <w:r>
        <w:rPr>
          <w:rFonts w:ascii="宋体" w:hAnsi="宋体"/>
          <w:b/>
          <w:color w:val="000000"/>
          <w:sz w:val="24"/>
          <w:szCs w:val="24"/>
          <w:highlight w:val="none"/>
        </w:rPr>
      </w:r>
      <w:r/>
    </w:p>
    <w:p>
      <w:pPr>
        <w:pStyle w:val="869"/>
        <w:jc w:val="center"/>
        <w:rPr>
          <w:rFonts w:ascii="宋体" w:hAnsi="宋体"/>
          <w:b/>
          <w:color w:val="000000"/>
          <w:sz w:val="24"/>
          <w:szCs w:val="24"/>
          <w:highlight w:val="none"/>
        </w:rPr>
      </w:pPr>
      <w:r>
        <w:rPr>
          <w:rFonts w:ascii="宋体" w:hAnsi="宋体"/>
          <w:b/>
          <w:color w:val="000000"/>
          <w:sz w:val="24"/>
          <w:szCs w:val="24"/>
          <w:highlight w:val="none"/>
        </w:rPr>
      </w:r>
      <w:r/>
    </w:p>
    <w:p>
      <w:pPr>
        <w:pStyle w:val="869"/>
        <w:jc w:val="center"/>
        <w:rPr>
          <w:rFonts w:ascii="宋体" w:hAnsi="宋体"/>
          <w:b/>
          <w:color w:val="000000"/>
          <w:sz w:val="24"/>
          <w:szCs w:val="24"/>
          <w:highlight w:val="none"/>
        </w:rPr>
      </w:pPr>
      <w:r>
        <w:rPr>
          <w:rFonts w:ascii="宋体" w:hAnsi="宋体"/>
          <w:b/>
          <w:color w:val="000000"/>
          <w:sz w:val="24"/>
          <w:szCs w:val="24"/>
          <w:highlight w:val="none"/>
        </w:rPr>
      </w:r>
      <w:r/>
    </w:p>
    <w:p>
      <w:pPr>
        <w:pStyle w:val="869"/>
        <w:jc w:val="center"/>
        <w:rPr>
          <w:rFonts w:ascii="宋体" w:hAnsi="宋体"/>
          <w:b/>
          <w:color w:val="000000"/>
          <w:sz w:val="24"/>
          <w:szCs w:val="24"/>
          <w:highlight w:val="none"/>
        </w:rPr>
      </w:pPr>
      <w:r>
        <w:rPr>
          <w:rFonts w:ascii="宋体" w:hAnsi="宋体"/>
          <w:b/>
          <w:color w:val="000000"/>
          <w:sz w:val="24"/>
          <w:szCs w:val="24"/>
          <w:highlight w:val="none"/>
        </w:rPr>
      </w:r>
      <w:r/>
    </w:p>
    <w:p>
      <w:pPr>
        <w:pStyle w:val="869"/>
        <w:jc w:val="center"/>
        <w:rPr>
          <w:rFonts w:ascii="宋体" w:hAnsi="宋体"/>
          <w:b/>
          <w:color w:val="000000"/>
          <w:sz w:val="24"/>
          <w:szCs w:val="24"/>
          <w:highlight w:val="none"/>
        </w:rPr>
      </w:pPr>
      <w:r>
        <w:rPr>
          <w:rFonts w:ascii="宋体" w:hAnsi="宋体"/>
          <w:b/>
          <w:color w:val="000000"/>
          <w:sz w:val="24"/>
          <w:szCs w:val="24"/>
          <w:highlight w:val="none"/>
        </w:rPr>
      </w:r>
      <w:r/>
    </w:p>
    <w:p>
      <w:pPr>
        <w:pStyle w:val="869"/>
        <w:jc w:val="center"/>
        <w:rPr>
          <w:rFonts w:ascii="宋体" w:hAnsi="宋体"/>
          <w:b/>
          <w:color w:val="000000"/>
          <w:sz w:val="24"/>
          <w:szCs w:val="24"/>
          <w:highlight w:val="none"/>
        </w:rPr>
      </w:pPr>
      <w:r>
        <w:rPr>
          <w:rFonts w:ascii="宋体" w:hAnsi="宋体"/>
          <w:b/>
          <w:color w:val="000000"/>
          <w:sz w:val="24"/>
          <w:szCs w:val="24"/>
          <w:highlight w:val="none"/>
        </w:rPr>
      </w:r>
      <w:r/>
    </w:p>
    <w:p>
      <w:pPr>
        <w:pStyle w:val="869"/>
        <w:jc w:val="center"/>
        <w:rPr>
          <w:rFonts w:ascii="宋体" w:hAnsi="宋体"/>
          <w:b/>
          <w:color w:val="000000"/>
          <w:sz w:val="24"/>
          <w:szCs w:val="24"/>
          <w:highlight w:val="none"/>
        </w:rPr>
      </w:pPr>
      <w:r>
        <w:rPr>
          <w:rFonts w:ascii="宋体" w:hAnsi="宋体"/>
          <w:b/>
          <w:color w:val="000000"/>
          <w:sz w:val="24"/>
          <w:szCs w:val="24"/>
          <w:highlight w:val="none"/>
        </w:rPr>
      </w:r>
      <w:r/>
    </w:p>
    <w:p>
      <w:pPr>
        <w:pStyle w:val="869"/>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技术要求响应及偏离表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技术要求</w:t>
            </w:r>
            <w:r>
              <w:rPr>
                <w:rFonts w:hint="eastAsia" w:ascii="宋体" w:hAnsi="宋体"/>
                <w:color w:val="000000"/>
                <w:sz w:val="24"/>
                <w:szCs w:val="24"/>
                <w:highlight w:val="none"/>
              </w:rPr>
            </w:r>
            <w:r/>
          </w:p>
        </w:tc>
        <w:tc>
          <w:tcPr>
            <w:tcW w:w="3191"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4 </w:t>
      </w:r>
      <w:r>
        <w:rPr>
          <w:rFonts w:hint="eastAsia" w:ascii="宋体" w:hAnsi="宋体"/>
          <w:b/>
          <w:color w:val="000000"/>
          <w:sz w:val="24"/>
          <w:szCs w:val="24"/>
          <w:highlight w:val="none"/>
        </w:rPr>
        <w:t xml:space="preserve">商务要求响应及偏离表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商务要求</w:t>
            </w:r>
            <w:r>
              <w:rPr>
                <w:rFonts w:hint="eastAsia" w:ascii="宋体" w:hAnsi="宋体"/>
                <w:color w:val="000000"/>
                <w:sz w:val="24"/>
                <w:szCs w:val="24"/>
                <w:highlight w:val="none"/>
              </w:rPr>
            </w:r>
            <w:r/>
          </w:p>
        </w:tc>
        <w:tc>
          <w:tcPr>
            <w:tcW w:w="3191"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商务要求（未加斜体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hint="eastAsia" w:ascii="宋体" w:hAnsi="宋体"/>
          <w:color w:val="000000"/>
          <w:sz w:val="24"/>
          <w:szCs w:val="24"/>
          <w:highlight w:val="none"/>
        </w:rPr>
      </w:r>
      <w:r/>
    </w:p>
    <w:p>
      <w:pPr>
        <w:pStyle w:val="869"/>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69"/>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rPr>
          <w:rFonts w:hint="eastAsia" w:ascii="宋体" w:hAnsi="宋体"/>
          <w:b/>
          <w:color w:val="000000"/>
          <w:sz w:val="24"/>
          <w:szCs w:val="21"/>
          <w:highlight w:val="none"/>
        </w:rPr>
      </w:r>
      <w:r/>
    </w:p>
    <w:p>
      <w:pPr>
        <w:pStyle w:val="869"/>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69"/>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9"/>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69"/>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69"/>
        <w:ind w:left="480"/>
        <w:rPr>
          <w:rFonts w:ascii="宋体" w:hAnsi="宋体"/>
          <w:b/>
          <w:color w:val="000000"/>
          <w:sz w:val="24"/>
          <w:szCs w:val="21"/>
          <w:highlight w:val="none"/>
        </w:rPr>
      </w:pPr>
      <w:r>
        <w:rPr>
          <w:rFonts w:ascii="宋体" w:hAnsi="宋体"/>
          <w:b/>
          <w:color w:val="000000"/>
          <w:sz w:val="24"/>
          <w:szCs w:val="21"/>
          <w:highlight w:val="none"/>
        </w:rPr>
      </w:r>
      <w:r/>
    </w:p>
    <w:p>
      <w:pPr>
        <w:pStyle w:val="869"/>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年内在经营活动中没有重大违法记录的书面声明</w:t>
      </w:r>
      <w:r>
        <w:rPr>
          <w:rFonts w:hint="eastAsia" w:ascii="宋体" w:hAnsi="宋体"/>
          <w:b/>
          <w:color w:val="000000"/>
          <w:sz w:val="24"/>
          <w:szCs w:val="21"/>
          <w:highlight w:val="none"/>
        </w:rPr>
      </w:r>
      <w:r/>
    </w:p>
    <w:p>
      <w:pPr>
        <w:pStyle w:val="869"/>
        <w:jc w:val="center"/>
        <w:spacing w:line="460" w:lineRule="exact"/>
        <w:rPr>
          <w:rFonts w:ascii="宋体" w:hAnsi="宋体"/>
          <w:b/>
          <w:bCs/>
          <w:color w:val="000000"/>
          <w:sz w:val="24"/>
          <w:szCs w:val="21"/>
          <w:highlight w:val="none"/>
        </w:rPr>
      </w:pPr>
      <w:r>
        <w:rPr>
          <w:rFonts w:ascii="宋体" w:hAnsi="宋体"/>
          <w:b/>
          <w:bCs/>
          <w:color w:val="000000"/>
          <w:sz w:val="24"/>
          <w:szCs w:val="21"/>
          <w:highlight w:val="none"/>
        </w:rPr>
      </w:r>
      <w:r/>
    </w:p>
    <w:p>
      <w:pPr>
        <w:pStyle w:val="869"/>
        <w:jc w:val="center"/>
        <w:spacing w:line="460" w:lineRule="exact"/>
        <w:rPr>
          <w:rFonts w:hint="eastAsia" w:ascii="宋体" w:hAnsi="宋体"/>
          <w:b/>
          <w:bCs/>
          <w:color w:val="000000"/>
          <w:sz w:val="24"/>
          <w:szCs w:val="21"/>
          <w:highlight w:val="none"/>
        </w:rPr>
      </w:pPr>
      <w:r>
        <w:rPr>
          <w:rFonts w:hint="eastAsia" w:ascii="宋体" w:hAnsi="宋体"/>
          <w:b/>
          <w:bCs/>
          <w:color w:val="000000"/>
          <w:sz w:val="24"/>
          <w:szCs w:val="21"/>
          <w:highlight w:val="none"/>
        </w:rPr>
        <w:t xml:space="preserve">声  明</w:t>
      </w:r>
      <w:r>
        <w:rPr>
          <w:rFonts w:hint="eastAsia" w:ascii="宋体" w:hAnsi="宋体"/>
          <w:b/>
          <w:bCs/>
          <w:color w:val="000000"/>
          <w:sz w:val="24"/>
          <w:szCs w:val="21"/>
          <w:highlight w:val="none"/>
        </w:rPr>
      </w:r>
      <w:r/>
    </w:p>
    <w:p>
      <w:pPr>
        <w:pStyle w:val="869"/>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93"/>
      <w:r/>
      <w:bookmarkEnd w:id="194"/>
      <w:r/>
      <w:bookmarkEnd w:id="195"/>
      <w:r/>
      <w:bookmarkStart w:id="196" w:name="_Toc120614284"/>
      <w:r>
        <w:rPr>
          <w:rFonts w:hint="eastAsia" w:ascii="宋体" w:hAnsi="宋体"/>
          <w:bCs/>
          <w:color w:val="000000"/>
          <w:sz w:val="24"/>
          <w:szCs w:val="21"/>
          <w:highlight w:val="none"/>
        </w:rPr>
      </w:r>
      <w:r/>
    </w:p>
    <w:p>
      <w:pPr>
        <w:pStyle w:val="869"/>
        <w:spacing w:line="460" w:lineRule="exact"/>
        <w:rPr>
          <w:rFonts w:hint="eastAsia" w:ascii="宋体" w:hAnsi="宋体"/>
          <w:b/>
          <w:color w:val="000000"/>
          <w:sz w:val="24"/>
          <w:szCs w:val="21"/>
          <w:highlight w:val="none"/>
        </w:rPr>
      </w:pPr>
      <w:r>
        <w:rPr>
          <w:rFonts w:hint="eastAsia" w:ascii="宋体" w:hAnsi="宋体"/>
          <w:b/>
          <w:color w:val="000000"/>
          <w:sz w:val="24"/>
          <w:szCs w:val="21"/>
          <w:highlight w:val="none"/>
        </w:rPr>
      </w:r>
      <w:r/>
    </w:p>
    <w:p>
      <w:pPr>
        <w:pStyle w:val="869"/>
        <w:ind w:firstLine="480"/>
        <w:spacing w:line="460" w:lineRule="exact"/>
        <w:rPr>
          <w:rFonts w:hint="eastAsia"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法人授权书</w:t>
      </w:r>
      <w:r>
        <w:rPr>
          <w:rFonts w:hint="eastAsia" w:ascii="宋体" w:hAnsi="宋体"/>
          <w:bCs/>
          <w:color w:val="000000"/>
          <w:sz w:val="24"/>
          <w:szCs w:val="21"/>
          <w:highlight w:val="none"/>
        </w:rPr>
      </w:r>
      <w:r/>
    </w:p>
    <w:p>
      <w:pPr>
        <w:pStyle w:val="869"/>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ascii="Times New Roman" w:hAnsi="Times New Roman"/>
          <w:color w:val="000000"/>
          <w:sz w:val="24"/>
          <w:szCs w:val="24"/>
          <w:highlight w:val="none"/>
        </w:rPr>
        <w:t xml:space="preserve">320000-</w:t>
      </w:r>
      <w:r>
        <w:rPr>
          <w:rFonts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869"/>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869"/>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69"/>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69"/>
        <w:ind w:firstLine="120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69"/>
        <w:ind w:firstLine="480"/>
        <w:spacing w:line="40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69"/>
        <w:ind w:firstLine="480"/>
        <w:spacing w:line="40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197" w:name="_格式3__银行出具的资信证明"/>
      <w:r/>
      <w:bookmarkEnd w:id="197"/>
      <w:r/>
      <w:bookmarkStart w:id="198" w:name="_Hlt26955070"/>
      <w:r/>
      <w:bookmarkEnd w:id="198"/>
      <w:r/>
      <w:bookmarkStart w:id="199" w:name="_Hlt26671380"/>
      <w:r/>
      <w:bookmarkEnd w:id="199"/>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869"/>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投标函</w:t>
      </w:r>
      <w:r>
        <w:rPr>
          <w:rFonts w:ascii="黑体" w:hAnsi="黑体" w:eastAsia="黑体"/>
          <w:b/>
          <w:i/>
          <w:color w:val="000000"/>
          <w:sz w:val="32"/>
          <w:szCs w:val="32"/>
          <w:highlight w:val="none"/>
          <w:u w:val="single"/>
        </w:rPr>
      </w:r>
      <w:r/>
    </w:p>
    <w:p>
      <w:pPr>
        <w:pStyle w:val="869"/>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致：江苏省政府采购中心</w:t>
      </w:r>
      <w:r>
        <w:rPr>
          <w:rFonts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号招标文件，正式授权下述签字人_____(姓名)代表我方_______（投标人的名称），全权处理本次项目投标的有关事宜。</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6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869"/>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69"/>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869"/>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69"/>
        <w:ind w:firstLine="241"/>
        <w:jc w:val="center"/>
        <w:spacing w:line="560" w:lineRule="exact"/>
        <w:rPr>
          <w:rFonts w:ascii="宋体" w:hAnsi="宋体"/>
          <w:b/>
          <w:color w:val="000000"/>
          <w:sz w:val="24"/>
          <w:szCs w:val="21"/>
          <w:highlight w:val="none"/>
        </w:rPr>
      </w:pPr>
      <w:r>
        <w:rPr>
          <w:rFonts w:ascii="宋体" w:hAnsi="宋体"/>
          <w:b/>
          <w:color w:val="000000"/>
          <w:sz w:val="24"/>
          <w:szCs w:val="21"/>
          <w:highlight w:val="none"/>
        </w:rPr>
      </w:r>
      <w:r/>
    </w:p>
    <w:p>
      <w:pPr>
        <w:pStyle w:val="869"/>
        <w:ind w:firstLine="241"/>
        <w:jc w:val="center"/>
        <w:spacing w:line="560" w:lineRule="exact"/>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9</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中小微企业声明函（货物类项目）</w:t>
      </w:r>
      <w:r>
        <w:rPr>
          <w:rFonts w:hint="eastAsia" w:ascii="宋体" w:hAnsi="宋体"/>
          <w:b/>
          <w:color w:val="000000"/>
          <w:sz w:val="24"/>
          <w:szCs w:val="21"/>
          <w:highlight w:val="none"/>
        </w:rPr>
      </w:r>
      <w:r/>
    </w:p>
    <w:p>
      <w:pPr>
        <w:pStyle w:val="869"/>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采购编号为JSZC</w:t>
      </w:r>
      <w:r>
        <w:rPr>
          <w:rFonts w:ascii="宋体" w:hAnsi="宋体"/>
          <w:color w:val="000000"/>
          <w:sz w:val="24"/>
          <w:szCs w:val="24"/>
          <w:highlight w:val="none"/>
        </w:rPr>
        <w:t xml:space="preserve">-320000-</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highlight w:val="none"/>
        </w:rPr>
      </w:r>
      <w:r/>
    </w:p>
    <w:p>
      <w:pPr>
        <w:pStyle w:val="869"/>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869"/>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869"/>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69"/>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69"/>
        <w:ind w:right="480" w:firstLine="54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869"/>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869"/>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869"/>
        <w:ind w:left="540" w:hanging="1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3.供应商</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制造商</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10</w:t>
      </w:r>
      <w:r>
        <w:rPr>
          <w:rFonts w:hint="eastAsia" w:ascii="宋体" w:hAnsi="宋体"/>
          <w:b/>
          <w:color w:val="000000"/>
          <w:sz w:val="24"/>
          <w:szCs w:val="24"/>
          <w:highlight w:val="none"/>
        </w:rPr>
        <w:t xml:space="preserve">  残疾人福利性单位声明函（货物类项目）</w:t>
      </w:r>
      <w:r>
        <w:rPr>
          <w:rFonts w:hint="eastAsia" w:ascii="宋体" w:hAnsi="宋体"/>
          <w:color w:val="000000"/>
          <w:sz w:val="24"/>
          <w:szCs w:val="24"/>
          <w:highlight w:val="none"/>
        </w:rPr>
      </w:r>
      <w:r/>
    </w:p>
    <w:p>
      <w:pPr>
        <w:pStyle w:val="869"/>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1"/>
          <w:highlight w:val="none"/>
        </w:rPr>
        <w:t xml:space="preserve">JSZC-320000-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69"/>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hint="eastAsia" w:ascii="宋体" w:hAnsi="宋体"/>
          <w:color w:val="000000"/>
          <w:sz w:val="24"/>
          <w:szCs w:val="21"/>
          <w:highlight w:val="none"/>
        </w:rPr>
      </w:r>
      <w:r/>
    </w:p>
    <w:p>
      <w:pPr>
        <w:pStyle w:val="869"/>
        <w:ind w:firstLine="480"/>
        <w:spacing w:line="400" w:lineRule="exact"/>
        <w:rPr>
          <w:rFonts w:ascii="宋体" w:hAnsi="宋体"/>
          <w:color w:val="000000"/>
          <w:sz w:val="24"/>
          <w:szCs w:val="21"/>
          <w:highlight w:val="none"/>
        </w:rPr>
      </w:pPr>
      <w:r>
        <w:rPr>
          <w:rFonts w:ascii="宋体" w:hAnsi="宋体"/>
          <w:color w:val="000000"/>
          <w:sz w:val="24"/>
          <w:szCs w:val="21"/>
          <w:highlight w:val="none"/>
        </w:rPr>
      </w:r>
      <w:r/>
    </w:p>
    <w:p>
      <w:pPr>
        <w:pStyle w:val="869"/>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备注：</w:t>
      </w:r>
      <w:r>
        <w:rPr>
          <w:rFonts w:ascii="宋体" w:hAnsi="宋体"/>
          <w:color w:val="000000"/>
          <w:sz w:val="24"/>
          <w:szCs w:val="21"/>
          <w:highlight w:val="none"/>
        </w:rPr>
      </w:r>
      <w:r/>
    </w:p>
    <w:p>
      <w:pPr>
        <w:pStyle w:val="869"/>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，供应商为残疾人福利性单位并提供本单位制造的货物，或者提供其他残疾人福利性单位制造的货物，必须提供此</w:t>
      </w:r>
      <w:r>
        <w:rPr>
          <w:rFonts w:ascii="宋体" w:hAnsi="宋体"/>
          <w:color w:val="000000"/>
          <w:sz w:val="24"/>
          <w:szCs w:val="21"/>
          <w:highlight w:val="none"/>
        </w:rPr>
        <w:t xml:space="preserve">声明函</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否则将</w:t>
      </w:r>
      <w:r>
        <w:rPr>
          <w:rFonts w:hint="eastAsia" w:ascii="宋体" w:hAnsi="宋体"/>
          <w:color w:val="000000"/>
          <w:sz w:val="24"/>
          <w:szCs w:val="21"/>
          <w:highlight w:val="none"/>
        </w:rPr>
        <w:t xml:space="preserve">不能</w:t>
      </w:r>
      <w:r>
        <w:rPr>
          <w:rFonts w:ascii="宋体" w:hAnsi="宋体"/>
          <w:color w:val="000000"/>
          <w:sz w:val="24"/>
          <w:szCs w:val="21"/>
          <w:highlight w:val="none"/>
        </w:rPr>
        <w:t xml:space="preserve">通过资格审查</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69"/>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 非专门面向中小微型企业采购的</w:t>
      </w:r>
      <w:r>
        <w:rPr>
          <w:rFonts w:ascii="宋体" w:hAnsi="宋体"/>
          <w:color w:val="000000"/>
          <w:sz w:val="24"/>
          <w:szCs w:val="21"/>
          <w:highlight w:val="none"/>
        </w:rPr>
        <w:t xml:space="preserve">项目</w:t>
      </w:r>
      <w:r>
        <w:rPr>
          <w:rFonts w:hint="eastAsia" w:ascii="宋体" w:hAnsi="宋体"/>
          <w:color w:val="000000"/>
          <w:sz w:val="24"/>
          <w:szCs w:val="21"/>
          <w:highlight w:val="none"/>
        </w:rPr>
        <w:t xml:space="preserve">，供应商如不提供此声明函，价格将不做相应扣除。</w:t>
      </w:r>
      <w:r>
        <w:rPr>
          <w:rFonts w:ascii="宋体" w:hAnsi="宋体"/>
          <w:color w:val="000000"/>
          <w:sz w:val="24"/>
          <w:szCs w:val="21"/>
          <w:highlight w:val="none"/>
        </w:rPr>
      </w:r>
      <w:r/>
    </w:p>
    <w:p>
      <w:pPr>
        <w:pStyle w:val="869"/>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.中标/成交供应商为残疾人福利性单位的，此声明函将随中标/成交结果同时公告，接受社会监督。</w:t>
      </w:r>
      <w:r>
        <w:rPr>
          <w:rFonts w:ascii="宋体" w:hAnsi="宋体"/>
          <w:color w:val="000000"/>
          <w:sz w:val="24"/>
          <w:szCs w:val="21"/>
          <w:highlight w:val="none"/>
        </w:rPr>
      </w:r>
      <w:r/>
    </w:p>
    <w:p>
      <w:pPr>
        <w:pStyle w:val="869"/>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pStyle w:val="869"/>
        <w:ind w:right="1559" w:firstLine="624"/>
        <w:jc w:val="center"/>
        <w:spacing w:line="400" w:lineRule="exact"/>
        <w:tabs>
          <w:tab w:val="left" w:pos="4860" w:leader="none"/>
        </w:tabs>
        <w:rPr>
          <w:rFonts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p>
    <w:p>
      <w:pPr>
        <w:pStyle w:val="869"/>
        <w:ind w:right="1559" w:firstLine="480"/>
        <w:jc w:val="center"/>
        <w:spacing w:line="400"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rFonts w:ascii="宋体" w:hAnsi="宋体"/>
          <w:color w:val="000000"/>
          <w:sz w:val="24"/>
          <w:szCs w:val="21"/>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实质性要求响应及偏离表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609"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hint="eastAsia" w:ascii="宋体" w:hAnsi="宋体"/>
                <w:color w:val="000000"/>
                <w:sz w:val="24"/>
                <w:szCs w:val="24"/>
                <w:highlight w:val="none"/>
              </w:rPr>
            </w:r>
            <w:r/>
          </w:p>
        </w:tc>
        <w:tc>
          <w:tcPr>
            <w:tcW w:w="3317"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26" w:type="dxa"/>
            <w:vAlign w:val="center"/>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609"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3609"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609"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317"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869"/>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3.投标人未对实质性要求逐条作出明确响应的，或未按招标文件要求提供证明材料的，该分包作无效投标处理。</w:t>
      </w:r>
      <w:r>
        <w:rPr>
          <w:rFonts w:hint="eastAsia" w:ascii="宋体" w:hAnsi="宋体"/>
          <w:color w:val="000000"/>
          <w:sz w:val="24"/>
          <w:szCs w:val="24"/>
          <w:highlight w:val="none"/>
        </w:rPr>
      </w:r>
      <w:r/>
    </w:p>
    <w:p>
      <w:pPr>
        <w:pStyle w:val="869"/>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9"/>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9"/>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9"/>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9"/>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9"/>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9"/>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9"/>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9"/>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69"/>
        <w:rPr>
          <w:rFonts w:hint="eastAsia" w:ascii="宋体" w:hAnsi="宋体" w:cs="仿宋"/>
          <w:b/>
          <w:bCs/>
          <w:color w:val="000000"/>
          <w:sz w:val="32"/>
          <w:szCs w:val="32"/>
          <w:highlight w:val="none"/>
        </w:rPr>
      </w:pPr>
      <w:r/>
      <w:bookmarkEnd w:id="196"/>
      <w:r>
        <w:rPr>
          <w:rFonts w:hint="eastAsia" w:ascii="宋体" w:hAnsi="宋体" w:cs="仿宋"/>
          <w:b/>
          <w:bCs/>
          <w:color w:val="000000"/>
          <w:sz w:val="32"/>
          <w:szCs w:val="32"/>
          <w:highlight w:val="none"/>
        </w:rPr>
      </w:r>
      <w:r/>
    </w:p>
    <w:p>
      <w:pPr>
        <w:pStyle w:val="86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69"/>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69"/>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69"/>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69"/>
        <w:ind w:firstLine="42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69"/>
        <w:ind w:firstLine="420"/>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69"/>
        <w:rPr>
          <w:color w:val="000000"/>
          <w:highlight w:val="none"/>
        </w:rPr>
      </w:pPr>
      <w:r>
        <w:rPr>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３５</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9"/>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6"/>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1"/>
    <w:qFormat/>
    <w:pPr>
      <w:jc w:val="center"/>
      <w:keepNext/>
      <w:outlineLvl w:val="0"/>
    </w:pPr>
    <w:rPr>
      <w:rFonts w:ascii="楷体_GB2312" w:eastAsia="楷体_GB2312"/>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b/>
      <w:bCs/>
      <w:sz w:val="32"/>
      <w:szCs w:val="32"/>
    </w:rPr>
  </w:style>
  <w:style w:type="paragraph" w:styleId="873">
    <w:name w:val="标题 4"/>
    <w:basedOn w:val="869"/>
    <w:next w:val="869"/>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style>
  <w:style w:type="character" w:styleId="884">
    <w:name w:val="正文缩进 Char"/>
    <w:next w:val="884"/>
    <w:link w:val="883"/>
    <w:rPr>
      <w:rFonts w:ascii="Times New Roman" w:hAnsi="Times New Roman" w:eastAsia="宋体" w:cs="Times New Roman"/>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style>
  <w:style w:type="paragraph" w:styleId="893">
    <w:name w:val="目录 7"/>
    <w:basedOn w:val="869"/>
    <w:next w:val="869"/>
    <w:link w:val="869"/>
    <w:semiHidden/>
    <w:pPr>
      <w:ind w:left="1260"/>
      <w:jc w:val="left"/>
    </w:pPr>
  </w:style>
  <w:style w:type="paragraph" w:styleId="894">
    <w:name w:val="文档结构图"/>
    <w:basedOn w:val="869"/>
    <w:next w:val="894"/>
    <w:link w:val="895"/>
    <w:semiHidden/>
    <w:pPr>
      <w:shd w:val="clear" w:color="auto" w:fill="000080"/>
    </w:p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semiHidden/>
    <w:pPr>
      <w:jc w:val="left"/>
    </w:pPr>
  </w:style>
  <w:style w:type="character" w:styleId="897">
    <w:name w:val="批注文字 Char"/>
    <w:next w:val="897"/>
    <w:link w:val="896"/>
    <w:semiHidden/>
    <w:rPr>
      <w:rFonts w:ascii="Times New Roman" w:hAnsi="Times New Roman" w:eastAsia="宋体" w:cs="Times New Roman"/>
      <w:szCs w:val="21"/>
    </w:rPr>
  </w:style>
  <w:style w:type="paragraph" w:styleId="898">
    <w:name w:val="正文文本 3"/>
    <w:basedOn w:val="869"/>
    <w:next w:val="898"/>
    <w:link w:val="899"/>
    <w:rPr>
      <w:rFonts w:ascii="仿宋_GB2312" w:hAnsi="Arial" w:eastAsia="仿宋_GB2312"/>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pPr>
      <w:ind w:firstLine="645"/>
    </w:pPr>
    <w:rPr>
      <w:rFonts w:ascii="楷体_GB2312" w:eastAsia="楷体_GB2312"/>
      <w:sz w:val="32"/>
      <w:szCs w:val="32"/>
    </w:rPr>
  </w:style>
  <w:style w:type="character" w:styleId="903">
    <w:name w:val="正文文本缩进 Char"/>
    <w:next w:val="903"/>
    <w:link w:val="902"/>
    <w:rPr>
      <w:rFonts w:ascii="楷体_GB2312" w:hAnsi="Times New Roman" w:eastAsia="楷体_GB2312" w:cs="Times New Roman"/>
      <w:sz w:val="32"/>
      <w:szCs w:val="32"/>
    </w:rPr>
  </w:style>
  <w:style w:type="paragraph" w:styleId="904">
    <w:name w:val="寄信人地址"/>
    <w:basedOn w:val="869"/>
    <w:next w:val="904"/>
    <w:link w:val="869"/>
    <w:qFormat/>
    <w:rPr>
      <w:rFonts w:ascii="Arial" w:hAnsi="Arial"/>
    </w:rPr>
  </w:style>
  <w:style w:type="paragraph" w:styleId="905">
    <w:name w:val="列表 2"/>
    <w:basedOn w:val="869"/>
    <w:next w:val="905"/>
    <w:link w:val="869"/>
    <w:pPr>
      <w:ind w:left="100" w:hanging="200"/>
    </w:pPr>
  </w:style>
  <w:style w:type="paragraph" w:styleId="906">
    <w:name w:val="文本块"/>
    <w:basedOn w:val="869"/>
    <w:next w:val="906"/>
    <w:link w:val="869"/>
    <w:uiPriority w:val="99"/>
    <w:qFormat/>
    <w:pPr>
      <w:ind w:left="1440" w:right="1440"/>
      <w:spacing w:after="120" w:line="360" w:lineRule="auto"/>
    </w:pPr>
    <w:rPr>
      <w:rFonts w:ascii="Times New Roman" w:hAnsi="Times New Roman" w:eastAsia="宋体" w:cs="Times New Roman"/>
      <w:sz w:val="24"/>
      <w:lang w:val="en-US"/>
    </w:rPr>
  </w:style>
  <w:style w:type="paragraph" w:styleId="907">
    <w:name w:val="目录 5"/>
    <w:basedOn w:val="869"/>
    <w:next w:val="869"/>
    <w:link w:val="869"/>
    <w:semiHidden/>
    <w:pPr>
      <w:ind w:left="840"/>
      <w:jc w:val="left"/>
    </w:pPr>
  </w:style>
  <w:style w:type="paragraph" w:styleId="908">
    <w:name w:val="目录 3"/>
    <w:basedOn w:val="869"/>
    <w:next w:val="869"/>
    <w:link w:val="869"/>
    <w:semiHidden/>
    <w:pPr>
      <w:ind w:left="420"/>
      <w:jc w:val="left"/>
    </w:pPr>
    <w:rPr>
      <w:i/>
      <w:iCs/>
      <w:szCs w:val="24"/>
    </w:rPr>
  </w:style>
  <w:style w:type="paragraph" w:styleId="909">
    <w:name w:val="纯文本"/>
    <w:basedOn w:val="869"/>
    <w:next w:val="909"/>
    <w:link w:val="910"/>
    <w:rPr>
      <w:rFonts w:ascii="宋体" w:hAnsi="Courier New" w:cs="Courier New"/>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style>
  <w:style w:type="paragraph" w:styleId="912">
    <w:name w:val="日期"/>
    <w:basedOn w:val="869"/>
    <w:next w:val="869"/>
    <w:link w:val="913"/>
    <w:rPr>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3">
    <w:name w:val="目录 4"/>
    <w:basedOn w:val="869"/>
    <w:next w:val="869"/>
    <w:link w:val="869"/>
    <w:semiHidden/>
    <w:pPr>
      <w:ind w:left="630"/>
      <w:jc w:val="left"/>
    </w:pPr>
  </w:style>
  <w:style w:type="paragraph" w:styleId="924">
    <w:name w:val="列表"/>
    <w:basedOn w:val="869"/>
    <w:next w:val="924"/>
    <w:link w:val="869"/>
    <w:pPr>
      <w:ind w:left="200" w:hanging="200"/>
    </w:pPr>
  </w:style>
  <w:style w:type="paragraph" w:styleId="925">
    <w:name w:val="目录 6"/>
    <w:basedOn w:val="869"/>
    <w:next w:val="869"/>
    <w:link w:val="869"/>
    <w:semiHidden/>
    <w:pPr>
      <w:ind w:left="1050"/>
      <w:jc w:val="left"/>
    </w:p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style>
  <w:style w:type="paragraph" w:styleId="929">
    <w:name w:val="目录 2"/>
    <w:basedOn w:val="869"/>
    <w:next w:val="869"/>
    <w:link w:val="869"/>
    <w:semiHidden/>
    <w:pPr>
      <w:ind w:left="210"/>
      <w:jc w:val="left"/>
    </w:pPr>
    <w:rPr>
      <w:smallCaps/>
      <w:szCs w:val="24"/>
    </w:rPr>
  </w:style>
  <w:style w:type="paragraph" w:styleId="930">
    <w:name w:val="目录 9"/>
    <w:basedOn w:val="869"/>
    <w:next w:val="869"/>
    <w:link w:val="869"/>
    <w:semiHidden/>
    <w:pPr>
      <w:ind w:left="1680"/>
      <w:jc w:val="left"/>
    </w:pPr>
  </w:style>
  <w:style w:type="paragraph" w:styleId="931">
    <w:name w:val="正文文本 2"/>
    <w:basedOn w:val="869"/>
    <w:next w:val="931"/>
    <w:link w:val="932"/>
    <w:pPr>
      <w:jc w:val="center"/>
      <w:widowControl/>
    </w:pPr>
    <w:rPr>
      <w:rFonts w:ascii="楷体_GB2312" w:eastAsia="楷体_GB2312"/>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cs="宋体"/>
      <w:sz w:val="24"/>
      <w:szCs w:val="24"/>
    </w:rPr>
  </w:style>
  <w:style w:type="paragraph" w:styleId="934">
    <w:name w:val="索引 1"/>
    <w:basedOn w:val="869"/>
    <w:next w:val="869"/>
    <w:link w:val="869"/>
    <w:semiHidden/>
    <w:pPr>
      <w:spacing w:line="240" w:lineRule="atLeast"/>
    </w:pPr>
    <w:rPr>
      <w:b/>
      <w:bCs/>
    </w:rPr>
  </w:style>
  <w:style w:type="paragraph" w:styleId="935">
    <w:name w:val="批注主题"/>
    <w:basedOn w:val="896"/>
    <w:next w:val="896"/>
    <w:link w:val="936"/>
    <w:semiHidden/>
    <w:rPr>
      <w:b/>
      <w:bCs/>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eastAsia="仿宋_GB2312"/>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2"/>
    <w:next w:val="939"/>
    <w:link w:val="940"/>
    <w:pPr>
      <w:ind w:firstLine="420"/>
      <w:spacing w:line="360" w:lineRule="auto"/>
    </w:pPr>
    <w:rPr>
      <w:rFonts w:ascii="宋体" w:hAnsi="宋体" w:eastAsia="宋体"/>
      <w:sz w:val="21"/>
      <w:szCs w:val="20"/>
    </w:rPr>
  </w:style>
  <w:style w:type="character" w:styleId="940">
    <w:name w:val="正文首行缩进 2 Char"/>
    <w:next w:val="940"/>
    <w:link w:val="939"/>
    <w:rPr>
      <w:rFonts w:ascii="宋体" w:hAnsi="宋体" w:eastAsia="宋体" w:cs="Times New Roman"/>
      <w:sz w:val="32"/>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font5 Char"/>
    <w:next w:val="947"/>
    <w:link w:val="869"/>
    <w:rPr>
      <w:rFonts w:ascii="宋体" w:hAnsi="宋体" w:eastAsia="宋体"/>
      <w:sz w:val="28"/>
      <w:szCs w:val="28"/>
      <w:lang w:val="en-US" w:eastAsia="zh-CN" w:bidi="ar-SA"/>
    </w:rPr>
  </w:style>
  <w:style w:type="character" w:styleId="948">
    <w:name w:val="二级目录 Char"/>
    <w:next w:val="948"/>
    <w:link w:val="949"/>
    <w:rPr>
      <w:b/>
      <w:sz w:val="30"/>
      <w:szCs w:val="28"/>
    </w:rPr>
  </w:style>
  <w:style w:type="paragraph" w:styleId="949">
    <w:name w:val="二级目录"/>
    <w:next w:val="869"/>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69"/>
    <w:next w:val="951"/>
    <w:link w:val="950"/>
    <w:qFormat/>
    <w:pPr>
      <w:contextualSpacing/>
      <w:ind w:left="720"/>
      <w:jc w:val="left"/>
      <w:widowControl/>
    </w:pPr>
    <w:rPr>
      <w:rFonts w:ascii="Calibri" w:hAnsi="Calibri" w:eastAsia="宋体" w:cs="Times New Roman"/>
      <w:sz w:val="24"/>
      <w:szCs w:val="24"/>
      <w:lang w:eastAsia="en-US" w:bidi="en-US"/>
    </w:rPr>
  </w:style>
  <w:style w:type="paragraph" w:styleId="952">
    <w:name w:val="Body Text(ch)"/>
    <w:basedOn w:val="869"/>
    <w:next w:val="900"/>
    <w:link w:val="869"/>
    <w:pPr>
      <w:spacing w:after="120"/>
    </w:pPr>
    <w:rPr>
      <w:rFonts w:ascii="宋体" w:hAnsi="Arial"/>
      <w:bCs/>
      <w:iCs/>
      <w:szCs w:val="24"/>
    </w:rPr>
  </w:style>
  <w:style w:type="paragraph" w:styleId="953">
    <w:name w:val="xl27"/>
    <w:basedOn w:val="869"/>
    <w:next w:val="95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name w:val="xl26"/>
    <w:basedOn w:val="869"/>
    <w:next w:val="954"/>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name w:val="Char"/>
    <w:basedOn w:val="869"/>
    <w:next w:val="955"/>
    <w:link w:val="869"/>
    <w:pPr>
      <w:ind w:firstLine="200"/>
      <w:tabs>
        <w:tab w:val="left" w:pos="360" w:leader="none"/>
      </w:tabs>
    </w:pPr>
    <w:rPr>
      <w:sz w:val="28"/>
      <w:szCs w:val="30"/>
    </w:rPr>
  </w:style>
  <w:style w:type="paragraph" w:styleId="956">
    <w:name w:val=" Char"/>
    <w:basedOn w:val="894"/>
    <w:next w:val="956"/>
    <w:link w:val="869"/>
    <w:rPr>
      <w:rFonts w:ascii="Tahoma" w:hAnsi="Tahoma"/>
      <w:sz w:val="24"/>
      <w:szCs w:val="24"/>
    </w:rPr>
  </w:style>
  <w:style w:type="paragraph" w:styleId="957">
    <w:name w:val="普通正文"/>
    <w:basedOn w:val="869"/>
    <w:next w:val="957"/>
    <w:link w:val="869"/>
    <w:pPr>
      <w:ind w:firstLine="480"/>
      <w:jc w:val="left"/>
      <w:spacing w:before="120" w:after="120" w:line="360" w:lineRule="auto"/>
    </w:pPr>
    <w:rPr>
      <w:rFonts w:ascii="Arial" w:hAnsi="Arial"/>
      <w:sz w:val="24"/>
      <w:szCs w:val="24"/>
    </w:rPr>
  </w:style>
  <w:style w:type="paragraph" w:styleId="958">
    <w:name w:val="table_lines"/>
    <w:basedOn w:val="869"/>
    <w:next w:val="958"/>
    <w:link w:val="869"/>
    <w:pPr>
      <w:jc w:val="left"/>
      <w:widowControl/>
    </w:pPr>
    <w:rPr>
      <w:sz w:val="20"/>
      <w:szCs w:val="20"/>
      <w:lang w:val="de-DE" w:eastAsia="de-DE"/>
    </w:rPr>
  </w:style>
  <w:style w:type="paragraph" w:styleId="959">
    <w:name w:val="附录1"/>
    <w:next w:val="959"/>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0">
    <w:name w:val="font7"/>
    <w:basedOn w:val="869"/>
    <w:next w:val="960"/>
    <w:link w:val="869"/>
    <w:pPr>
      <w:jc w:val="left"/>
      <w:spacing w:before="100" w:beforeAutospacing="1" w:after="100" w:afterAutospacing="1"/>
      <w:widowControl/>
    </w:pPr>
    <w:rPr>
      <w:rFonts w:hint="eastAsia" w:ascii="宋体" w:hAnsi="宋体"/>
      <w:sz w:val="18"/>
      <w:szCs w:val="18"/>
    </w:rPr>
  </w:style>
  <w:style w:type="paragraph" w:styleId="961">
    <w:name w:val=" Char Char Char Char"/>
    <w:basedOn w:val="894"/>
    <w:next w:val="961"/>
    <w:link w:val="869"/>
    <w:pPr>
      <w:spacing w:line="360" w:lineRule="auto"/>
    </w:pPr>
    <w:rPr>
      <w:rFonts w:ascii="Tahoma" w:hAnsi="Tahoma"/>
      <w:sz w:val="24"/>
      <w:szCs w:val="24"/>
    </w:rPr>
  </w:style>
  <w:style w:type="paragraph" w:styleId="962">
    <w:name w:val="列出段落"/>
    <w:basedOn w:val="869"/>
    <w:next w:val="962"/>
    <w:link w:val="869"/>
    <w:qFormat/>
    <w:pPr>
      <w:contextualSpacing/>
      <w:ind w:left="720"/>
      <w:jc w:val="left"/>
      <w:widowControl/>
    </w:pPr>
    <w:rPr>
      <w:rFonts w:ascii="Calibri" w:hAnsi="Calibri"/>
      <w:sz w:val="24"/>
      <w:szCs w:val="24"/>
      <w:lang w:eastAsia="en-US" w:bidi="en-US"/>
    </w:rPr>
  </w:style>
  <w:style w:type="paragraph" w:styleId="963">
    <w:name w:val="4"/>
    <w:basedOn w:val="869"/>
    <w:next w:val="926"/>
    <w:link w:val="869"/>
    <w:pPr>
      <w:ind w:firstLine="420"/>
      <w:spacing w:line="360" w:lineRule="auto"/>
    </w:pPr>
    <w:rPr>
      <w:color w:val="ff0000"/>
      <w:sz w:val="24"/>
      <w:szCs w:val="24"/>
    </w:rPr>
  </w:style>
  <w:style w:type="paragraph" w:styleId="964">
    <w:name w:val="普通 (Web)"/>
    <w:basedOn w:val="869"/>
    <w:next w:val="964"/>
    <w:link w:val="869"/>
    <w:pPr>
      <w:jc w:val="left"/>
      <w:spacing w:before="100" w:beforeAutospacing="1" w:after="100" w:afterAutospacing="1"/>
      <w:widowControl/>
    </w:pPr>
    <w:rPr>
      <w:rFonts w:ascii="宋体" w:hAnsi="宋体"/>
      <w:sz w:val="24"/>
      <w:szCs w:val="24"/>
    </w:rPr>
  </w:style>
  <w:style w:type="paragraph" w:styleId="965">
    <w:name w:val=" Char Char Char Char Char Char Char Char Char Char"/>
    <w:basedOn w:val="869"/>
    <w:next w:val="965"/>
    <w:link w:val="869"/>
    <w:pPr>
      <w:spacing w:line="360" w:lineRule="auto"/>
    </w:pPr>
    <w:rPr>
      <w:sz w:val="24"/>
      <w:szCs w:val="20"/>
    </w:rPr>
  </w:style>
  <w:style w:type="paragraph" w:styleId="966">
    <w:name w:val="样式1"/>
    <w:basedOn w:val="869"/>
    <w:next w:val="966"/>
    <w:link w:val="869"/>
    <w:pPr>
      <w:numPr>
        <w:ilvl w:val="0"/>
        <w:numId w:val="3"/>
      </w:numPr>
      <w:tabs>
        <w:tab w:val="left" w:pos="709" w:leader="none"/>
      </w:tabs>
    </w:pPr>
    <w:rPr>
      <w:rFonts w:ascii="宋体" w:hAnsi="宋体"/>
    </w:rPr>
  </w:style>
  <w:style w:type="paragraph" w:styleId="967">
    <w:name w:val="font6"/>
    <w:basedOn w:val="869"/>
    <w:next w:val="967"/>
    <w:link w:val="869"/>
    <w:pPr>
      <w:jc w:val="left"/>
      <w:spacing w:before="100" w:beforeAutospacing="1" w:after="100" w:afterAutospacing="1"/>
      <w:widowControl/>
    </w:pPr>
    <w:rPr>
      <w:rFonts w:hint="eastAsia" w:ascii="宋体" w:hAnsi="宋体"/>
      <w:sz w:val="28"/>
      <w:szCs w:val="28"/>
      <w:u w:val="single"/>
    </w:rPr>
  </w:style>
  <w:style w:type="paragraph" w:styleId="968">
    <w:name w:val="xl25"/>
    <w:basedOn w:val="869"/>
    <w:next w:val="968"/>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name w:val="标题3"/>
    <w:basedOn w:val="869"/>
    <w:next w:val="869"/>
    <w:link w:val="869"/>
    <w:pPr>
      <w:ind w:firstLine="624"/>
      <w:spacing w:line="590" w:lineRule="atLeast"/>
    </w:pPr>
    <w:rPr>
      <w:rFonts w:ascii="方正黑体_GBK" w:eastAsia="方正黑体_GBK"/>
      <w:sz w:val="32"/>
      <w:szCs w:val="32"/>
    </w:rPr>
  </w:style>
  <w:style w:type="paragraph" w:styleId="971">
    <w:name w:val="xl24"/>
    <w:basedOn w:val="869"/>
    <w:next w:val="971"/>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9"/>
    <w:basedOn w:val="869"/>
    <w:next w:val="972"/>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name w:val="Char Char Char Char Char Char Char Char"/>
    <w:basedOn w:val="869"/>
    <w:next w:val="973"/>
    <w:link w:val="869"/>
    <w:pPr>
      <w:jc w:val="left"/>
      <w:spacing w:after="160" w:line="240" w:lineRule="exact"/>
      <w:widowControl/>
    </w:pPr>
    <w:rPr>
      <w:rFonts w:ascii="Verdana" w:hAnsi="Verdana"/>
      <w:sz w:val="20"/>
      <w:szCs w:val="20"/>
      <w:lang w:eastAsia="en-US"/>
    </w:rPr>
  </w:style>
  <w:style w:type="paragraph" w:styleId="974">
    <w:name w:val="xl28"/>
    <w:basedOn w:val="869"/>
    <w:next w:val="974"/>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name w:val=" Char Char Char Char Char Char Char Char"/>
    <w:basedOn w:val="869"/>
    <w:next w:val="975"/>
    <w:link w:val="869"/>
    <w:pPr>
      <w:jc w:val="left"/>
      <w:spacing w:after="160" w:line="240" w:lineRule="exact"/>
      <w:widowControl/>
    </w:pPr>
    <w:rPr>
      <w:rFonts w:ascii="Verdana" w:hAnsi="Verdana"/>
      <w:sz w:val="20"/>
      <w:szCs w:val="20"/>
      <w:lang w:eastAsia="en-US"/>
    </w:rPr>
  </w:style>
  <w:style w:type="paragraph" w:styleId="976">
    <w:name w:val="xl30"/>
    <w:basedOn w:val="869"/>
    <w:next w:val="976"/>
    <w:link w:val="869"/>
    <w:pPr>
      <w:jc w:val="center"/>
      <w:spacing w:before="100" w:beforeAutospacing="1" w:after="100" w:afterAutospacing="1"/>
      <w:widowControl/>
    </w:pPr>
    <w:rPr>
      <w:rFonts w:ascii="宋体" w:hAnsi="宋体"/>
      <w:b/>
      <w:bCs/>
      <w:sz w:val="36"/>
      <w:szCs w:val="36"/>
    </w:rPr>
  </w:style>
  <w:style w:type="paragraph" w:styleId="977">
    <w:name w:val="Char Char Char Char"/>
    <w:basedOn w:val="894"/>
    <w:next w:val="977"/>
    <w:link w:val="869"/>
    <w:pPr>
      <w:spacing w:line="360" w:lineRule="auto"/>
    </w:pPr>
    <w:rPr>
      <w:rFonts w:ascii="Tahoma" w:hAnsi="Tahoma"/>
      <w:sz w:val="24"/>
      <w:szCs w:val="24"/>
    </w:rPr>
  </w:style>
  <w:style w:type="paragraph" w:styleId="978">
    <w:name w:val="table_1stline"/>
    <w:basedOn w:val="869"/>
    <w:next w:val="978"/>
    <w:link w:val="869"/>
    <w:pPr>
      <w:jc w:val="left"/>
      <w:spacing w:before="120"/>
      <w:widowControl/>
    </w:pPr>
    <w:rPr>
      <w:bCs/>
      <w:sz w:val="20"/>
      <w:szCs w:val="20"/>
      <w:lang w:val="de-DE" w:eastAsia="de-DE"/>
    </w:rPr>
  </w:style>
  <w:style w:type="paragraph" w:styleId="979">
    <w:name w:val="font5"/>
    <w:basedOn w:val="869"/>
    <w:next w:val="979"/>
    <w:link w:val="869"/>
    <w:pPr>
      <w:jc w:val="left"/>
      <w:spacing w:before="100" w:beforeAutospacing="1" w:after="100" w:afterAutospacing="1"/>
      <w:widowControl/>
    </w:pPr>
    <w:rPr>
      <w:rFonts w:hint="eastAsia" w:ascii="宋体" w:hAnsi="宋体"/>
      <w:sz w:val="28"/>
      <w:szCs w:val="28"/>
    </w:rPr>
  </w:style>
  <w:style w:type="paragraph" w:styleId="980">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name w:val="修订"/>
    <w:next w:val="981"/>
    <w:link w:val="869"/>
    <w:uiPriority w:val="99"/>
    <w:semiHidden/>
    <w:rPr>
      <w:rFonts w:ascii="Times New Roman" w:hAnsi="Times New Roman"/>
      <w:sz w:val="21"/>
      <w:szCs w:val="21"/>
      <w:lang w:val="en-US" w:eastAsia="zh-CN" w:bidi="ar-SA"/>
    </w:rPr>
  </w:style>
  <w:style w:type="paragraph" w:styleId="982">
    <w:name w:val="无间隔"/>
    <w:next w:val="982"/>
    <w:link w:val="869"/>
    <w:uiPriority w:val="99"/>
    <w:qFormat/>
    <w:pPr>
      <w:jc w:val="both"/>
      <w:widowControl w:val="off"/>
    </w:pPr>
    <w:rPr>
      <w:rFonts w:ascii="Times New Roman" w:hAnsi="Times New Roman"/>
      <w:sz w:val="21"/>
      <w:szCs w:val="21"/>
      <w:lang w:val="en-US" w:eastAsia="zh-CN" w:bidi="ar-SA"/>
    </w:r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7</cp:revision>
  <dcterms:created xsi:type="dcterms:W3CDTF">2023-03-16T02:16:00Z</dcterms:created>
  <dcterms:modified xsi:type="dcterms:W3CDTF">2024-05-06T04:43:15Z</dcterms:modified>
</cp:coreProperties>
</file>