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3"/>
        <w:jc w:val="center"/>
        <w:rPr>
          <w:rFonts w:ascii="仿宋" w:hAnsi="仿宋" w:eastAsia="仿宋" w:cs="仿宋"/>
          <w:b/>
          <w:spacing w:val="76"/>
          <w:sz w:val="156"/>
          <w:highlight w:val="none"/>
        </w:rPr>
      </w:pPr>
      <w:r>
        <w:rPr>
          <w:rFonts w:ascii="仿宋" w:hAnsi="仿宋" w:eastAsia="仿宋" w:cs="仿宋"/>
          <w:b/>
          <w:spacing w:val="76"/>
          <w:sz w:val="156"/>
          <w:highlight w:val="none"/>
        </w:rPr>
      </w:r>
      <w:r/>
    </w:p>
    <w:p>
      <w:pPr>
        <w:pStyle w:val="1223"/>
        <w:jc w:val="center"/>
        <w:rPr>
          <w:rFonts w:ascii="仿宋" w:hAnsi="仿宋" w:eastAsia="仿宋" w:cs="仿宋"/>
          <w:bCs/>
          <w:spacing w:val="76"/>
          <w:sz w:val="156"/>
          <w:highlight w:val="none"/>
        </w:rPr>
      </w:pPr>
      <w:r>
        <w:rPr>
          <w:rFonts w:hint="eastAsia" w:ascii="仿宋" w:hAnsi="仿宋" w:eastAsia="仿宋" w:cs="仿宋"/>
          <w:bCs/>
          <w:spacing w:val="76"/>
          <w:sz w:val="156"/>
          <w:highlight w:val="none"/>
        </w:rPr>
        <w:t xml:space="preserve">招标文件</w:t>
      </w:r>
      <w:r/>
    </w:p>
    <w:p>
      <w:pPr>
        <w:pStyle w:val="1223"/>
        <w:rPr>
          <w:rFonts w:ascii="仿宋" w:hAnsi="仿宋" w:eastAsia="仿宋" w:cs="仿宋"/>
          <w:b/>
          <w:sz w:val="32"/>
          <w:highlight w:val="none"/>
        </w:rPr>
      </w:pPr>
      <w:r>
        <w:rPr>
          <w:rFonts w:ascii="仿宋" w:hAnsi="仿宋" w:eastAsia="仿宋" w:cs="仿宋"/>
          <w:b/>
          <w:sz w:val="32"/>
          <w:highlight w:val="none"/>
        </w:rPr>
      </w:r>
      <w:r/>
    </w:p>
    <w:p>
      <w:pPr>
        <w:pStyle w:val="1223"/>
        <w:rPr>
          <w:rFonts w:ascii="仿宋" w:hAnsi="仿宋" w:eastAsia="仿宋" w:cs="仿宋"/>
          <w:b/>
          <w:sz w:val="32"/>
          <w:highlight w:val="none"/>
        </w:rPr>
      </w:pPr>
      <w:r>
        <w:rPr>
          <w:rFonts w:ascii="仿宋" w:hAnsi="仿宋" w:eastAsia="仿宋" w:cs="仿宋"/>
          <w:b/>
          <w:sz w:val="32"/>
          <w:highlight w:val="none"/>
        </w:rPr>
      </w:r>
      <w:r/>
    </w:p>
    <w:p>
      <w:pPr>
        <w:pStyle w:val="1223"/>
        <w:ind w:firstLine="640"/>
        <w:spacing w:line="360" w:lineRule="auto"/>
        <w:rPr>
          <w:rFonts w:ascii="仿宋" w:hAnsi="仿宋" w:eastAsia="仿宋" w:cs="仿宋"/>
          <w:sz w:val="32"/>
          <w:highlight w:val="none"/>
        </w:rPr>
      </w:pPr>
      <w:r>
        <w:rPr>
          <w:rFonts w:hint="eastAsia" w:ascii="仿宋" w:hAnsi="仿宋" w:eastAsia="仿宋" w:cs="仿宋"/>
          <w:sz w:val="32"/>
          <w:highlight w:val="none"/>
        </w:rPr>
        <w:t xml:space="preserve">   </w:t>
      </w:r>
      <w:r/>
    </w:p>
    <w:p>
      <w:pPr>
        <w:pStyle w:val="1223"/>
        <w:ind w:firstLine="960"/>
        <w:spacing w:line="360" w:lineRule="auto"/>
        <w:rPr>
          <w:rFonts w:hint="eastAsia" w:ascii="仿宋" w:hAnsi="仿宋" w:eastAsia="仿宋" w:cs="仿宋"/>
          <w:sz w:val="32"/>
          <w:highlight w:val="none"/>
          <w:lang w:eastAsia="zh-CN"/>
        </w:rPr>
      </w:pPr>
      <w:r>
        <w:rPr>
          <w:rFonts w:hint="eastAsia" w:ascii="仿宋" w:hAnsi="仿宋" w:eastAsia="仿宋" w:cs="仿宋"/>
          <w:sz w:val="32"/>
          <w:highlight w:val="none"/>
        </w:rPr>
        <w:t xml:space="preserve">项目名称：</w:t>
      </w:r>
      <w:r>
        <w:rPr>
          <w:rFonts w:hint="eastAsia" w:ascii="仿宋" w:hAnsi="仿宋" w:eastAsia="仿宋" w:cs="仿宋"/>
          <w:sz w:val="32"/>
          <w:highlight w:val="none"/>
          <w:lang w:eastAsia="zh-CN"/>
        </w:rPr>
        <w:t xml:space="preserve">2024年度徐州市农产品质量安全监测项目</w:t>
      </w:r>
      <w:r/>
    </w:p>
    <w:p>
      <w:pPr>
        <w:pStyle w:val="1223"/>
        <w:ind w:firstLine="960"/>
        <w:spacing w:line="360" w:lineRule="auto"/>
        <w:rPr>
          <w:rFonts w:hint="eastAsia" w:ascii="仿宋" w:hAnsi="仿宋" w:eastAsia="仿宋" w:cs="仿宋"/>
          <w:sz w:val="32"/>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JSZC-320300-DXLD-G2024-0006</w:t>
      </w:r>
      <w:r/>
    </w:p>
    <w:p>
      <w:pPr>
        <w:pStyle w:val="1223"/>
        <w:ind w:firstLine="960"/>
        <w:spacing w:line="360" w:lineRule="auto"/>
        <w:rPr>
          <w:rFonts w:ascii="仿宋" w:hAnsi="仿宋" w:eastAsia="仿宋" w:cs="仿宋"/>
          <w:sz w:val="32"/>
          <w:highlight w:val="none"/>
        </w:rPr>
      </w:pPr>
      <w:r>
        <w:rPr>
          <w:rFonts w:hint="eastAsia" w:ascii="仿宋" w:hAnsi="仿宋" w:eastAsia="仿宋" w:cs="仿宋"/>
          <w:sz w:val="32"/>
          <w:highlight w:val="none"/>
        </w:rPr>
        <w:t xml:space="preserve">采 购 人：</w:t>
      </w:r>
      <w:r>
        <w:rPr>
          <w:rFonts w:hint="eastAsia" w:ascii="仿宋" w:hAnsi="仿宋" w:eastAsia="仿宋" w:cs="仿宋"/>
          <w:sz w:val="32"/>
          <w:highlight w:val="none"/>
          <w:lang w:eastAsia="zh-CN"/>
        </w:rPr>
        <w:t xml:space="preserve">徐州市农业农村局</w:t>
      </w:r>
      <w:r/>
    </w:p>
    <w:p>
      <w:pPr>
        <w:pStyle w:val="1223"/>
        <w:ind w:firstLine="562"/>
        <w:spacing w:line="360" w:lineRule="auto"/>
        <w:rPr>
          <w:rFonts w:ascii="仿宋" w:hAnsi="仿宋" w:eastAsia="仿宋" w:cs="仿宋"/>
          <w:b/>
          <w:sz w:val="32"/>
          <w:highlight w:val="none"/>
        </w:rPr>
      </w:pPr>
      <w:r>
        <w:rPr>
          <w:rFonts w:hint="eastAsia" w:ascii="仿宋" w:hAnsi="仿宋" w:eastAsia="仿宋" w:cs="仿宋"/>
          <w:b/>
          <w:bCs/>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1798320</wp:posOffset>
                </wp:positionH>
                <wp:positionV relativeFrom="paragraph">
                  <wp:posOffset>223520</wp:posOffset>
                </wp:positionV>
                <wp:extent cx="1562735" cy="1451610"/>
                <wp:effectExtent l="0" t="0" r="18415" b="15240"/>
                <wp:wrapSquare wrapText="bothSides"/>
                <wp:docPr id="11"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0"/>
                        <a:stretch/>
                      </pic:blipFill>
                      <pic:spPr bwMode="auto">
                        <a:xfrm>
                          <a:off x="0" y="0"/>
                          <a:ext cx="1562735" cy="1451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41.6pt;mso-position-horizontal:absolute;mso-position-vertical-relative:text;margin-top:17.6pt;mso-position-vertical:absolute;width:123.0pt;height:114.3pt;mso-wrap-distance-left:9.0pt;mso-wrap-distance-top:0.0pt;mso-wrap-distance-right:9.0pt;mso-wrap-distance-bottom:0.0pt;" stroked="f">
                <v:path textboxrect="0,0,0,0"/>
                <w10:wrap type="square"/>
                <v:imagedata r:id="rId20" o:title=""/>
              </v:shape>
            </w:pict>
          </mc:Fallback>
        </mc:AlternateContent>
      </w:r>
      <w:r/>
    </w:p>
    <w:p>
      <w:pPr>
        <w:pStyle w:val="1223"/>
        <w:jc w:val="center"/>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pStyle w:val="1223"/>
        <w:jc w:val="center"/>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pStyle w:val="1223"/>
        <w:jc w:val="center"/>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pStyle w:val="1223"/>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pStyle w:val="1223"/>
        <w:ind w:firstLine="64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采购代理机构：江苏鼎信利达建设管理有限公司</w:t>
      </w:r>
      <w:r/>
    </w:p>
    <w:p>
      <w:pPr>
        <w:pStyle w:val="1226"/>
        <w:ind w:firstLine="640"/>
        <w:jc w:val="cente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二〇二</w:t>
      </w:r>
      <w:r>
        <w:rPr>
          <w:rFonts w:hint="eastAsia" w:ascii="仿宋" w:hAnsi="仿宋" w:eastAsia="仿宋" w:cs="仿宋"/>
          <w:sz w:val="32"/>
          <w:szCs w:val="32"/>
          <w:highlight w:val="none"/>
          <w:lang w:val="en-US" w:eastAsia="zh-CN"/>
        </w:rPr>
        <w:t xml:space="preserve">四</w:t>
      </w:r>
      <w:r>
        <w:rPr>
          <w:rFonts w:hint="eastAsia" w:ascii="仿宋" w:hAnsi="仿宋" w:eastAsia="仿宋" w:cs="仿宋"/>
          <w:sz w:val="32"/>
          <w:szCs w:val="32"/>
          <w:highlight w:val="none"/>
        </w:rPr>
        <w:t xml:space="preserve">年</w:t>
      </w:r>
      <w:r>
        <w:rPr>
          <w:rFonts w:hint="eastAsia" w:ascii="仿宋" w:hAnsi="仿宋" w:eastAsia="仿宋" w:cs="仿宋"/>
          <w:sz w:val="32"/>
          <w:szCs w:val="32"/>
          <w:highlight w:val="none"/>
          <w:lang w:val="en-US" w:eastAsia="zh-CN"/>
        </w:rPr>
        <w:t xml:space="preserve">七</w:t>
      </w:r>
      <w:r>
        <w:rPr>
          <w:rFonts w:hint="eastAsia" w:ascii="仿宋" w:hAnsi="仿宋" w:eastAsia="仿宋" w:cs="仿宋"/>
          <w:sz w:val="32"/>
          <w:szCs w:val="32"/>
          <w:highlight w:val="none"/>
        </w:rPr>
        <w:t xml:space="preserve">月</w:t>
      </w:r>
      <w:r/>
    </w:p>
    <w:p>
      <w:pPr>
        <w:pStyle w:val="1223"/>
        <w:jc w:val="left"/>
        <w:spacing w:line="360" w:lineRule="auto"/>
        <w:widowControl/>
        <w:rPr>
          <w:rFonts w:ascii="仿宋" w:hAnsi="仿宋" w:eastAsia="仿宋" w:cs="仿宋"/>
          <w:sz w:val="32"/>
          <w:szCs w:val="32"/>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sz w:val="32"/>
          <w:szCs w:val="32"/>
          <w:highlight w:val="none"/>
        </w:rPr>
      </w:r>
      <w:r/>
    </w:p>
    <w:p>
      <w:pPr>
        <w:pStyle w:val="1198"/>
        <w:ind w:firstLine="880"/>
        <w:jc w:val="center"/>
        <w:rPr>
          <w:rFonts w:ascii="仿宋" w:hAnsi="仿宋" w:eastAsia="仿宋" w:cs="仿宋"/>
          <w:sz w:val="44"/>
          <w:highlight w:val="none"/>
        </w:rPr>
      </w:pPr>
      <w:r>
        <w:rPr>
          <w:rFonts w:hint="eastAsia" w:ascii="仿宋" w:hAnsi="仿宋" w:eastAsia="仿宋" w:cs="仿宋"/>
          <w:sz w:val="44"/>
          <w:highlight w:val="none"/>
        </w:rPr>
        <w:t xml:space="preserve">总目录</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第一章 投标邀请</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第二章 投标人须知</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第三章 投标资料表</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第四章 评标标准</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第五章 拟签订的合同文本</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第六章 采购需求</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第七章 投标文件相关格式</w:t>
      </w:r>
      <w:r/>
    </w:p>
    <w:p>
      <w:pPr>
        <w:rPr>
          <w:rFonts w:ascii="仿宋" w:hAnsi="仿宋" w:eastAsia="仿宋" w:cs="仿宋"/>
          <w:sz w:val="30"/>
          <w:szCs w:val="30"/>
          <w:highlight w:val="none"/>
        </w:rPr>
      </w:pPr>
      <w:r>
        <w:rPr>
          <w:rFonts w:ascii="仿宋" w:hAnsi="仿宋" w:eastAsia="仿宋" w:cs="仿宋"/>
          <w:sz w:val="30"/>
          <w:szCs w:val="30"/>
          <w:highlight w:val="none"/>
        </w:rPr>
      </w:r>
      <w:r/>
    </w:p>
    <w:p>
      <w:pPr>
        <w:pStyle w:val="1223"/>
        <w:ind w:firstLine="643"/>
        <w:jc w:val="center"/>
        <w:spacing w:line="400" w:lineRule="exact"/>
        <w:rPr>
          <w:rFonts w:ascii="仿宋" w:hAnsi="仿宋" w:eastAsia="仿宋" w:cs="仿宋"/>
          <w:b/>
          <w:bCs/>
          <w:sz w:val="32"/>
          <w:szCs w:val="32"/>
          <w:highlight w:val="none"/>
        </w:rPr>
        <w:sectPr>
          <w:headerReference w:type="default" r:id="rId10"/>
          <w:footerReference w:type="default" r:id="rId13"/>
          <w:footnotePr/>
          <w:endnotePr/>
          <w:type w:val="nextPage"/>
          <w:pgSz w:w="11906" w:h="16838" w:orient="portrait"/>
          <w:pgMar w:top="1304" w:right="1361" w:bottom="1304" w:left="1361" w:header="737" w:footer="992" w:gutter="0"/>
          <w:pgNumType w:start="1"/>
          <w:cols w:num="1" w:sep="0" w:space="1701" w:equalWidth="1"/>
          <w:docGrid w:linePitch="360"/>
        </w:sectPr>
      </w:pPr>
      <w:r>
        <w:rPr>
          <w:rFonts w:ascii="仿宋" w:hAnsi="仿宋" w:eastAsia="仿宋" w:cs="仿宋"/>
          <w:b/>
          <w:bCs/>
          <w:sz w:val="32"/>
          <w:szCs w:val="32"/>
          <w:highlight w:val="none"/>
        </w:rPr>
      </w:r>
      <w:r/>
    </w:p>
    <w:p>
      <w:pPr>
        <w:pStyle w:val="1223"/>
        <w:ind w:firstLine="643"/>
        <w:jc w:val="center"/>
        <w:spacing w:line="40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第一章  投标邀请</w:t>
      </w:r>
      <w:r/>
    </w:p>
    <w:p>
      <w:pPr>
        <w:pStyle w:val="1223"/>
        <w:ind w:firstLine="480"/>
        <w:rPr>
          <w:rFonts w:ascii="仿宋" w:hAnsi="仿宋" w:eastAsia="仿宋" w:cs="仿宋"/>
          <w:sz w:val="22"/>
          <w:szCs w:val="22"/>
          <w:highlight w:val="none"/>
        </w:rPr>
      </w:pPr>
      <w:r>
        <w:rPr>
          <w:rFonts w:ascii="仿宋" w:hAnsi="仿宋" w:eastAsia="仿宋" w:cs="仿宋"/>
          <w:sz w:val="22"/>
          <w:szCs w:val="22"/>
          <w:highlight w:val="none"/>
        </w:rPr>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江苏鼎信利达建设管理有限公司受</w:t>
      </w:r>
      <w:r>
        <w:rPr>
          <w:rFonts w:hint="eastAsia" w:ascii="仿宋" w:hAnsi="仿宋" w:eastAsia="仿宋" w:cs="仿宋"/>
          <w:sz w:val="24"/>
          <w:highlight w:val="none"/>
          <w:lang w:eastAsia="zh-CN"/>
        </w:rPr>
        <w:t xml:space="preserve">徐州市农业农村局</w:t>
      </w:r>
      <w:r>
        <w:rPr>
          <w:rFonts w:hint="eastAsia" w:ascii="仿宋" w:hAnsi="仿宋" w:eastAsia="仿宋" w:cs="仿宋"/>
          <w:sz w:val="24"/>
          <w:highlight w:val="none"/>
        </w:rPr>
        <w:t xml:space="preserve">委托，对</w:t>
      </w:r>
      <w:r>
        <w:rPr>
          <w:rFonts w:hint="eastAsia" w:ascii="仿宋" w:hAnsi="仿宋" w:eastAsia="仿宋" w:cs="仿宋"/>
          <w:sz w:val="24"/>
          <w:highlight w:val="none"/>
          <w:lang w:eastAsia="zh-CN"/>
        </w:rPr>
        <w:t xml:space="preserve">2024年度徐州市农产品质量安全监测项目</w:t>
      </w:r>
      <w:r>
        <w:rPr>
          <w:rFonts w:hint="eastAsia" w:ascii="仿宋" w:hAnsi="仿宋" w:eastAsia="仿宋" w:cs="仿宋"/>
          <w:sz w:val="24"/>
          <w:highlight w:val="none"/>
        </w:rPr>
        <w:t xml:space="preserve">进行公开招标采购，现邀请符合相关条件的供应商投标。</w:t>
      </w:r>
      <w:r/>
    </w:p>
    <w:p>
      <w:pPr>
        <w:pStyle w:val="1223"/>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一、项目名称和项目编号</w:t>
      </w:r>
      <w:r/>
    </w:p>
    <w:p>
      <w:pPr>
        <w:pStyle w:val="1223"/>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pStyle w:val="1223"/>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p>
    <w:p>
      <w:pPr>
        <w:pStyle w:val="1223"/>
        <w:numPr>
          <w:ilvl w:val="0"/>
          <w:numId w:val="1"/>
        </w:numPr>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投标人的资格要求</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详见本项目公开招标公告。</w:t>
      </w:r>
      <w:r/>
    </w:p>
    <w:p>
      <w:pPr>
        <w:pStyle w:val="1223"/>
        <w:numPr>
          <w:ilvl w:val="0"/>
          <w:numId w:val="2"/>
        </w:numPr>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获取招标文件</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本项目采用网上注册登记方式。</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（1）潜在投标人访问电子招标投标交易平台的网络地址和方法：</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①登录http://jszfcg.jsczt.cn/ ，或进入徐州政府采购网--业务工作--用户登录，点击“苏采云”进入系统。</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（2）采购代理机构将数据电文形式的招标文件加载至电子招标投标交易平台，供潜在投标人下载或者查阅。</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（3）售价：免费。 </w:t>
      </w:r>
      <w:r/>
    </w:p>
    <w:p>
      <w:pPr>
        <w:pStyle w:val="1223"/>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四、投标有关信息</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1.投标截止时间：</w:t>
      </w:r>
      <w:r>
        <w:rPr>
          <w:rFonts w:hint="eastAsia" w:ascii="仿宋" w:hAnsi="仿宋" w:eastAsia="仿宋" w:cs="仿宋"/>
          <w:sz w:val="24"/>
          <w:highlight w:val="none"/>
          <w:lang w:eastAsia="zh-CN"/>
        </w:rPr>
        <w:t xml:space="preserve">2024年7月24日</w:t>
      </w:r>
      <w:r>
        <w:rPr>
          <w:rFonts w:hint="eastAsia" w:ascii="仿宋" w:hAnsi="仿宋" w:eastAsia="仿宋" w:cs="仿宋"/>
          <w:sz w:val="24"/>
          <w:highlight w:val="none"/>
        </w:rPr>
        <w:t xml:space="preserve">北京时间9：30</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2.开标时间：</w:t>
      </w:r>
      <w:r>
        <w:rPr>
          <w:rFonts w:hint="eastAsia" w:ascii="仿宋" w:hAnsi="仿宋" w:eastAsia="仿宋" w:cs="仿宋"/>
          <w:sz w:val="24"/>
          <w:highlight w:val="none"/>
          <w:lang w:eastAsia="zh-CN"/>
        </w:rPr>
        <w:t xml:space="preserve">2024年7月24日</w:t>
      </w:r>
      <w:r>
        <w:rPr>
          <w:rFonts w:hint="eastAsia" w:ascii="仿宋" w:hAnsi="仿宋" w:eastAsia="仿宋" w:cs="仿宋"/>
          <w:sz w:val="24"/>
          <w:highlight w:val="none"/>
        </w:rPr>
        <w:t xml:space="preserve">北京时间9：30</w:t>
      </w:r>
      <w:r/>
    </w:p>
    <w:p>
      <w:pPr>
        <w:pStyle w:val="1223"/>
        <w:ind w:firstLine="480"/>
        <w:jc w:val="left"/>
        <w:spacing w:line="360" w:lineRule="exact"/>
        <w:rPr>
          <w:rFonts w:ascii="仿宋" w:hAnsi="仿宋" w:eastAsia="仿宋" w:cs="仿宋"/>
          <w:sz w:val="24"/>
          <w:highlight w:val="none"/>
        </w:rPr>
      </w:pPr>
      <w:r>
        <w:rPr>
          <w:rFonts w:hint="eastAsia" w:ascii="仿宋" w:hAnsi="仿宋" w:eastAsia="仿宋" w:cs="仿宋"/>
          <w:sz w:val="24"/>
          <w:highlight w:val="none"/>
        </w:rPr>
        <w:t xml:space="preserve">3.开标地点（线上开标地点）：“苏采云”系统（网址： http://jszfcg.jsczt.cn/）“开标大厅”或进入徐州政府采购网（网址：http://czj.xz.gov.cn/Home/HomeIndex）-业务工作 -采购人登录，点击“苏采云”进入系统“开标大厅”。 </w:t>
      </w:r>
      <w:r/>
    </w:p>
    <w:p>
      <w:pPr>
        <w:pStyle w:val="1223"/>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五、采购人</w:t>
      </w:r>
      <w:r/>
    </w:p>
    <w:p>
      <w:pPr>
        <w:pStyle w:val="1223"/>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徐州市农业农村局</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2．地址：江苏省徐州市云龙区汉风路1号行政中心西区综合楼</w:t>
      </w:r>
      <w:r/>
    </w:p>
    <w:p>
      <w:pPr>
        <w:pStyle w:val="1223"/>
        <w:ind w:firstLine="480"/>
        <w:spacing w:line="36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3.采购项目联系人：</w:t>
      </w:r>
      <w:r>
        <w:rPr>
          <w:rFonts w:hint="eastAsia" w:ascii="仿宋" w:hAnsi="仿宋" w:eastAsia="仿宋" w:cs="仿宋"/>
          <w:sz w:val="24"/>
          <w:highlight w:val="none"/>
          <w:lang w:val="en-US" w:eastAsia="zh-CN"/>
        </w:rPr>
        <w:t xml:space="preserve">李少华</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4.联系方式：13852446047</w:t>
      </w:r>
      <w:r/>
    </w:p>
    <w:p>
      <w:pPr>
        <w:pStyle w:val="1223"/>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六、采购代理机构</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1．名称：江苏鼎信利达建设管理有限公司</w:t>
      </w:r>
      <w:r/>
    </w:p>
    <w:p>
      <w:pPr>
        <w:pStyle w:val="1223"/>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2．地址：徐州市云龙区吉田商务广场B幢536   邮编：221000</w:t>
      </w:r>
      <w:r/>
    </w:p>
    <w:p>
      <w:pPr>
        <w:pStyle w:val="1223"/>
        <w:ind w:firstLine="480"/>
        <w:jc w:val="left"/>
        <w:spacing w:line="360" w:lineRule="exact"/>
        <w:rPr>
          <w:rFonts w:ascii="仿宋" w:hAnsi="仿宋" w:eastAsia="仿宋" w:cs="仿宋"/>
          <w:sz w:val="24"/>
          <w:highlight w:val="none"/>
        </w:rPr>
      </w:pPr>
      <w:r>
        <w:rPr>
          <w:rFonts w:hint="eastAsia" w:ascii="仿宋" w:hAnsi="仿宋" w:eastAsia="仿宋" w:cs="仿宋"/>
          <w:sz w:val="24"/>
          <w:highlight w:val="none"/>
        </w:rPr>
        <w:t xml:space="preserve">3．联系方式：</w:t>
      </w:r>
      <w:r>
        <w:rPr>
          <w:rFonts w:hint="eastAsia" w:ascii="仿宋" w:hAnsi="仿宋" w:eastAsia="仿宋" w:cs="仿宋"/>
          <w:sz w:val="24"/>
          <w:highlight w:val="none"/>
          <w:lang w:bidi="en-US"/>
        </w:rPr>
        <w:t xml:space="preserve">高珂</w:t>
      </w: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0516-87986661 </w:t>
      </w:r>
      <w:r>
        <w:rPr>
          <w:rFonts w:hint="eastAsia" w:ascii="仿宋" w:hAnsi="仿宋" w:eastAsia="仿宋" w:cs="仿宋"/>
          <w:sz w:val="24"/>
          <w:highlight w:val="none"/>
        </w:rPr>
        <w:t xml:space="preserve"> </w:t>
      </w:r>
      <w:r>
        <w:rPr>
          <w:rFonts w:hint="eastAsia" w:ascii="仿宋" w:hAnsi="仿宋" w:eastAsia="仿宋" w:cs="仿宋"/>
          <w:sz w:val="24"/>
          <w:highlight w:val="none"/>
          <w:lang w:bidi="en-US"/>
        </w:rPr>
        <w:t xml:space="preserve">15152460601</w:t>
      </w:r>
      <w:r/>
    </w:p>
    <w:p>
      <w:pPr>
        <w:rPr>
          <w:rFonts w:ascii="仿宋" w:hAnsi="仿宋" w:eastAsia="仿宋" w:cs="仿宋"/>
          <w:sz w:val="24"/>
          <w:highlight w:val="none"/>
        </w:rPr>
      </w:pPr>
      <w:r>
        <w:rPr>
          <w:rFonts w:hint="eastAsia" w:ascii="仿宋" w:hAnsi="仿宋" w:eastAsia="仿宋" w:cs="仿宋"/>
          <w:sz w:val="24"/>
          <w:highlight w:val="none"/>
        </w:rPr>
        <w:br w:type="page" w:clear="all"/>
      </w:r>
      <w:r/>
    </w:p>
    <w:p>
      <w:pPr>
        <w:ind w:firstLine="600"/>
        <w:jc w:val="center"/>
        <w:rPr>
          <w:rFonts w:ascii="仿宋" w:hAnsi="仿宋" w:eastAsia="仿宋" w:cs="仿宋"/>
          <w:sz w:val="30"/>
          <w:szCs w:val="30"/>
          <w:highlight w:val="none"/>
        </w:rPr>
      </w:pPr>
      <w:r>
        <w:rPr>
          <w:rFonts w:hint="eastAsia" w:ascii="仿宋" w:hAnsi="仿宋" w:eastAsia="仿宋" w:cs="仿宋"/>
          <w:sz w:val="30"/>
          <w:szCs w:val="30"/>
          <w:highlight w:val="none"/>
        </w:rPr>
        <w:t xml:space="preserve">第二章  投标人须知</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ind w:firstLine="600"/>
        <w:jc w:val="center"/>
        <w:rPr>
          <w:rFonts w:ascii="仿宋" w:hAnsi="仿宋" w:eastAsia="仿宋" w:cs="仿宋"/>
          <w:sz w:val="30"/>
          <w:szCs w:val="30"/>
          <w:highlight w:val="none"/>
        </w:rPr>
      </w:pPr>
      <w:r>
        <w:rPr>
          <w:rFonts w:hint="eastAsia" w:ascii="仿宋" w:hAnsi="仿宋" w:eastAsia="仿宋" w:cs="仿宋"/>
          <w:sz w:val="30"/>
          <w:szCs w:val="30"/>
          <w:highlight w:val="none"/>
        </w:rPr>
        <w:t xml:space="preserve">目 录</w:t>
      </w:r>
      <w:r/>
    </w:p>
    <w:p>
      <w:pPr>
        <w:ind w:left="420"/>
        <w:spacing w:line="360" w:lineRule="auto"/>
        <w:rPr>
          <w:rFonts w:ascii="仿宋" w:hAnsi="仿宋" w:eastAsia="仿宋" w:cs="仿宋"/>
          <w:sz w:val="30"/>
          <w:szCs w:val="30"/>
          <w:highlight w:val="none"/>
        </w:rPr>
      </w:pPr>
      <w:r>
        <w:rPr>
          <w:rFonts w:ascii="仿宋" w:hAnsi="仿宋" w:eastAsia="仿宋" w:cs="仿宋"/>
          <w:sz w:val="30"/>
          <w:szCs w:val="30"/>
          <w:highlight w:val="none"/>
        </w:rPr>
      </w:r>
      <w:r/>
    </w:p>
    <w:p>
      <w:pPr>
        <w:pStyle w:val="1223"/>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一、总则</w:t>
      </w:r>
      <w:r/>
    </w:p>
    <w:p>
      <w:pPr>
        <w:pStyle w:val="1223"/>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二、招标</w:t>
      </w:r>
      <w:r/>
    </w:p>
    <w:p>
      <w:pPr>
        <w:pStyle w:val="1223"/>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三、投标</w:t>
      </w:r>
      <w:r/>
    </w:p>
    <w:p>
      <w:pPr>
        <w:pStyle w:val="1223"/>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四、开标</w:t>
      </w:r>
      <w:r/>
    </w:p>
    <w:p>
      <w:pPr>
        <w:pStyle w:val="1223"/>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五、评标</w:t>
      </w:r>
      <w:r/>
    </w:p>
    <w:p>
      <w:pPr>
        <w:pStyle w:val="1223"/>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六、定标</w:t>
      </w:r>
      <w:r/>
    </w:p>
    <w:p>
      <w:pPr>
        <w:pStyle w:val="1223"/>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七、政府采购合同</w:t>
      </w:r>
      <w:r/>
    </w:p>
    <w:p>
      <w:pPr>
        <w:pStyle w:val="1223"/>
        <w:ind w:firstLine="600"/>
        <w:spacing w:line="600" w:lineRule="exact"/>
        <w:rPr>
          <w:rFonts w:ascii="仿宋" w:hAnsi="仿宋" w:eastAsia="仿宋" w:cs="仿宋"/>
          <w:highlight w:val="none"/>
        </w:rPr>
      </w:pPr>
      <w:r>
        <w:rPr>
          <w:rFonts w:hint="eastAsia" w:ascii="仿宋" w:hAnsi="仿宋" w:eastAsia="仿宋" w:cs="仿宋"/>
          <w:sz w:val="30"/>
          <w:szCs w:val="30"/>
          <w:highlight w:val="none"/>
        </w:rPr>
        <w:t xml:space="preserve">八、询问和质疑</w:t>
      </w:r>
      <w:r/>
    </w:p>
    <w:p>
      <w:pPr>
        <w:pStyle w:val="1223"/>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九、电子招标投标交易平台</w:t>
      </w:r>
      <w:r/>
    </w:p>
    <w:p>
      <w:pPr>
        <w:pStyle w:val="1216"/>
        <w:rPr>
          <w:rFonts w:ascii="仿宋" w:hAnsi="仿宋" w:eastAsia="仿宋" w:cs="仿宋"/>
          <w:highlight w:val="none"/>
        </w:rPr>
      </w:pPr>
      <w:r>
        <w:rPr>
          <w:rFonts w:ascii="仿宋" w:hAnsi="仿宋" w:eastAsia="仿宋" w:cs="仿宋"/>
          <w:highlight w:val="none"/>
        </w:rPr>
      </w:r>
      <w:r/>
    </w:p>
    <w:p>
      <w:pPr>
        <w:ind w:firstLine="420"/>
        <w:rPr>
          <w:rFonts w:ascii="仿宋" w:hAnsi="仿宋" w:eastAsia="仿宋" w:cs="仿宋"/>
          <w:highlight w:val="none"/>
        </w:rPr>
      </w:pPr>
      <w:r>
        <w:rPr>
          <w:rFonts w:hint="eastAsia" w:ascii="仿宋" w:hAnsi="仿宋" w:eastAsia="仿宋" w:cs="仿宋"/>
          <w:highlight w:val="none"/>
        </w:rPr>
        <w:br w:type="page" w:clear="all"/>
      </w:r>
      <w:r/>
    </w:p>
    <w:p>
      <w:pPr>
        <w:pStyle w:val="1223"/>
        <w:jc w:val="center"/>
        <w:rPr>
          <w:rFonts w:ascii="仿宋" w:hAnsi="仿宋" w:eastAsia="仿宋" w:cs="仿宋"/>
          <w:b/>
          <w:sz w:val="28"/>
          <w:szCs w:val="28"/>
          <w:highlight w:val="none"/>
        </w:rPr>
      </w:pPr>
      <w:r>
        <w:rPr>
          <w:rFonts w:hint="eastAsia" w:ascii="仿宋" w:hAnsi="仿宋" w:eastAsia="仿宋" w:cs="仿宋"/>
          <w:b/>
          <w:sz w:val="28"/>
          <w:szCs w:val="28"/>
          <w:highlight w:val="none"/>
        </w:rPr>
        <w:t xml:space="preserve">一、总  则</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 采购人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1.1采购人是指依法进行政府采购的国家机关、事业单位、团体组织。本项目采购人：见招标文件第三章《投标资料表》。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 政府采购方式</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2.1政府采购货物或者服务（以下简称“货物服务”）招标分为公开招标和邀请招标。本次采购采用的政府采购方式：见招标文件第三章《投标资料表》。</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3. 采购人应当在货物服务招标投标活动中落实节约能源、保护环境、扶持不发达地区和少数民族地区、促进中小企业发展等政府采购政策。</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4. 采购人应当按照财政部制定的《政府采购品目分类目录》确定采购项目属性。按照《政府采购品目分类目录》无法确定的，按照有利于采购项目实施的原则确定。</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采购人确定的采购项目属性：见招标文件第三章《投标资料表》。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5.采购人委托采购代理机构代理招标的，采购代理机构应当在采购人委托的范围内依法开展采购活动。本项目委托代理机构：见招标文件第三章《投标资料表》。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 投标人的资格条件</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6.1参加政府采购货物服务投标活动的供应商（以下简称“投标人”），应当是提供本国货物服务的本国供应商，但法律、行政法规规定外国供应商可以参加货物服务招标投标活动的除外。</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投标人，是指响应招标、参加投标竞争的法人、其他组织或者自然人。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6.2 投标人授权代表系指法定代表人或受法人委托的受托人。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7. 投标费用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7.1 投标人应承担所有与准备和参加投标有关的费用。无论投标的结果如何，采购代理机构对上述费用不承担任何责任和义务。</w:t>
      </w:r>
      <w:r/>
    </w:p>
    <w:p>
      <w:pPr>
        <w:pStyle w:val="1223"/>
        <w:jc w:val="center"/>
        <w:rPr>
          <w:rFonts w:ascii="仿宋" w:hAnsi="仿宋" w:eastAsia="仿宋" w:cs="仿宋"/>
          <w:b/>
          <w:sz w:val="28"/>
          <w:szCs w:val="28"/>
          <w:highlight w:val="none"/>
        </w:rPr>
      </w:pPr>
      <w:r>
        <w:rPr>
          <w:rFonts w:ascii="仿宋" w:hAnsi="仿宋" w:eastAsia="仿宋" w:cs="仿宋"/>
          <w:b/>
          <w:sz w:val="28"/>
          <w:szCs w:val="28"/>
          <w:highlight w:val="none"/>
        </w:rPr>
      </w:r>
      <w:r/>
    </w:p>
    <w:p>
      <w:pPr>
        <w:pStyle w:val="1223"/>
        <w:jc w:val="center"/>
        <w:rPr>
          <w:rFonts w:ascii="仿宋" w:hAnsi="仿宋" w:eastAsia="仿宋" w:cs="仿宋"/>
          <w:b/>
          <w:sz w:val="28"/>
          <w:szCs w:val="28"/>
          <w:highlight w:val="none"/>
        </w:rPr>
      </w:pPr>
      <w:r>
        <w:rPr>
          <w:rFonts w:hint="eastAsia" w:ascii="仿宋" w:hAnsi="仿宋" w:eastAsia="仿宋" w:cs="仿宋"/>
          <w:b/>
          <w:sz w:val="28"/>
          <w:szCs w:val="28"/>
          <w:highlight w:val="none"/>
        </w:rPr>
        <w:t xml:space="preserve">二、招  标</w:t>
      </w:r>
      <w:r/>
    </w:p>
    <w:p>
      <w:pPr>
        <w:pStyle w:val="1223"/>
        <w:ind w:firstLine="480"/>
        <w:jc w:val="center"/>
        <w:rPr>
          <w:rFonts w:ascii="仿宋" w:hAnsi="仿宋" w:eastAsia="仿宋" w:cs="仿宋"/>
          <w:sz w:val="24"/>
          <w:highlight w:val="none"/>
        </w:rPr>
      </w:pPr>
      <w:r>
        <w:rPr>
          <w:rFonts w:ascii="仿宋" w:hAnsi="仿宋" w:eastAsia="仿宋" w:cs="仿宋"/>
          <w:sz w:val="24"/>
          <w:highlight w:val="none"/>
        </w:rPr>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8. 招标文件的内容</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8.1招标文件包括以下内容：</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第一章 投标邀请</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第二章 投标人须知</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第三章 投标资料表</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第四章 评标标准</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第五章 拟签订的合同文本</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第六章 采购需求</w:t>
      </w:r>
      <w:r/>
    </w:p>
    <w:p>
      <w:pPr>
        <w:pStyle w:val="1223"/>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第七章 投标文件相关格式</w:t>
      </w:r>
      <w:r/>
    </w:p>
    <w:p>
      <w:pPr>
        <w:pStyle w:val="1223"/>
        <w:ind w:firstLine="360"/>
        <w:rPr>
          <w:rFonts w:ascii="仿宋" w:hAnsi="仿宋" w:eastAsia="仿宋" w:cs="仿宋"/>
          <w:sz w:val="24"/>
          <w:highlight w:val="none"/>
        </w:rPr>
      </w:pPr>
      <w:r>
        <w:rPr>
          <w:rFonts w:ascii="仿宋" w:hAnsi="仿宋" w:eastAsia="仿宋" w:cs="仿宋"/>
          <w:sz w:val="24"/>
          <w:highlight w:val="none"/>
        </w:rPr>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 招标文件澄清或者修改</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9.2现场考察以招标文件第三章《投标资料表》中的要求为准。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9.3开标前答疑会以招标文件第三章《投标资料表》中的要求为准。</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jc w:val="center"/>
        <w:rPr>
          <w:rFonts w:ascii="仿宋" w:hAnsi="仿宋" w:eastAsia="仿宋" w:cs="仿宋"/>
          <w:b/>
          <w:sz w:val="28"/>
          <w:szCs w:val="28"/>
          <w:highlight w:val="none"/>
        </w:rPr>
      </w:pPr>
      <w:r>
        <w:rPr>
          <w:rFonts w:hint="eastAsia" w:ascii="仿宋" w:hAnsi="仿宋" w:eastAsia="仿宋" w:cs="仿宋"/>
          <w:b/>
          <w:sz w:val="28"/>
          <w:szCs w:val="28"/>
          <w:highlight w:val="none"/>
        </w:rPr>
        <w:t xml:space="preserve">三、投标</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10.投标人应当按照招标文件的要求编制投标文件。投标文件应对招标文件提出的要求和条件作出实质性响应。</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11.投标文件的语言。投标文件以及投标人与采购代理机构就有关投标的往来函电均应使用本文件第三章《投标资料表》规定的语言书写，否则无效。</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12.投标文件的构成：</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12.1投标文件的构成以本文件第三章《投标资料表》中的要求为准。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12.2投标人应当提交的资格、资信证明文件，以本文件第三章《投标资料表》中的所提要求为准。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13投标函和价格表、商务条件、交货和提供服务的时间：</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13.1投标函和价格表的要求见本章（十二）、（十三），格式见本文件第七章《投标文件相关格式》中《投标函》和《开标一览表》。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13.2商务条件以本文件第三章《投标资料表》中的要求为准。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13.3交货和提供服务的时间，以本文件第三章《投标资料表》中所提要求为准。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14投标报价要求：</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14.1投标人应按照招标文件的要求报出分项价格和总价。</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14.2投标人应按照招标文件的要求进行报价，如投标人作出偏离，应在《偏离表》中列出。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14.3采购人不支付报价以外的任何费用。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14.4投标人所报的价格，在合同执行过程中是固定的，不得以任何理由予以变更。投标人提交滑动价格的投标文件，在资格性、符合性检查时按照无效投标处理。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14.5投标人只能提交一个投标价格，投标人提交多个价格的投标文件，在资格性、符合性检查时按照无效投标处理。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15.投标货币。以本文件第三章《投标资料表》中所提要求为准。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16.投标有效期：</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16.1投标有效期为开标之日后90天。采购人可以要求对投标有效期延长一次，但该延长期最长不得超过30天。</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16.2采购人要求延长投标有效期的，必须要在距投标有效期满20日之前，以书面形式通知投标人，如果有关投标人同意延长投标有效期的要求，其应在原投标有效期期满前以书面形式向采购人确认。</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16.3如果采购人发出要求延长投标有效期的通知，并在投标有效期届满前，没有收到投标人同意的书面通知，则视为该投标人不接受上述延期的要求。</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17投标文件的编制要求和签署要求</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17.1投标人应由其法定代表人或法定代表人授权代表在规定的网上投标时间，凭 CA 证书登陆“苏采云”系统在线编制投标文件（电子数据），并在投标截止时间之前上传投标文件。</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17.2投标人应对 CA 证书妥善保管，如被他人盗用投标，因此带来的结果均由投标人自行承担。</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17.3投标人应当对招标文件提出的要求和条件作出实质性响应，并在电子投标系统逐条应答。</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17.4投标人应对要求提供的资格证明文件（如资质证书、资格证书）、技术资料（如白皮书、彩页、手册、检测报告等）扫描上传至投标系统。</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18.投标文件的盖章要求：</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投标文件的盖章要求，以本文件第三章《投标资料表》中所提要求为准。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19.提交投标文件的截止时间和收到投标文件后注意事项。投标人应在招标文件要求的提交投标文件的截止时间前，将投标文件提交至“苏采云”系统。</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20.凡在招标文件要求提交投标文件的截止时间之后送达的投标文件，均为无效投标文件，“苏采云”系统将自动拒收。 各投标人应在规定时间内通过 CA 证书进行网上解密。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21.投标人在投标截止时间前，可以对所递交的投标文件进行补充、修改或者撤回。其所进行补充、修改的内容，应当按照招标文件要求进行签署、盖章，然后纳为投标文件的组成部分。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22.本项目不允许分包。</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23.投标人应当遵循公平竞争的原则，不得恶意串通，不得妨碍其他投标人的竞争行为，不得损害采购人或者其他投标人的合法权益。</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在评标过程中发现投标人有上述情形的，评标委员会应当认定其投标无效，并书面报告本级财政部门。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24.有下列情形之一的，其投标无效。</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1.不同投标人的投标文件，由同一单位或者个人编制；</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2.不同投标人委托同一单位或者个人办理投标事宜；</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3.不同投标人的投标文件中，所载明的项目管理成员或联系人为同一人；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4.不同投标人的投标文件，异常一致或者投标报价呈规律性差异；</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6.电子投标文件未按规定期限投标的；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7.电子投标文件未按招标文件要求签章的；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8.投标人未在规定时间内解密电子投标文件的；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9.投标文件未按招标文件规定的内容和要求填写的；没有在投标系统指定位置上传对应文件、材料的；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10.不具备招标文件中规定的资格要求的；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11.报价超过招标文件中规定的预算金额或者最高限价的；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12.投标文件含有采购人不能接受的附加条件的；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13.法律、法规和招标文件规定的其他无效情形。</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numPr>
          <w:ilvl w:val="0"/>
          <w:numId w:val="3"/>
        </w:numPr>
        <w:ind w:firstLine="56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开标</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25.开标：</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25.1开标时间及地点。开标应当在招标文件确定的提交投标文件截止时间的同一时间公开进行；开标地点应当为招标文件中预先确定的地点。</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25.2由电子招标投标交易平台主持，邀请投标人参加。</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25.3所有投标单位使用 CA 证书在开标时间时，解密各自投标文件，由工作人员操作系统进行开标，投标人不足3家的，不得评标。</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25.4投标人原因造成投标文件未解密的，视为撤销其投标文件;因投标人之外的原因造成投标文件未解密的，视为撤回其投标文件。部分投标文件未解密的，其他投标文件的开标可以继续进行。</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numPr>
          <w:ilvl w:val="0"/>
          <w:numId w:val="3"/>
        </w:numPr>
        <w:ind w:firstLine="56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评标</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26.公开招标采购项目开标结束后，采购人依法对投标人的资格进行审查。合格投标人不足3家的，不得评标。</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26.1评标工作由采购代理机构负责组织，并履行下列职责：</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（1）核对评审专家身份和采购人代表授权函，对评审专家在政府采购活动中的职责履行情况予以记录，并及时将有关违法违规行为向财政部门报告；</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（2）宣布评标纪律；</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（3）公布投标人名单，告知评审专家应当回避的情形；</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（4）组织评标委员会推选评标组长（采购人代表不得担任组长）；</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（5）在评标期间采取必要的通讯管理措施，保证评标活动不受外界干扰；</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（6）根据评标委员会的要求介绍政府采购相关政策法规、招标文件；</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仿宋" w:hAnsi="仿宋" w:eastAsia="仿宋" w:cs="仿宋"/>
          <w:sz w:val="24"/>
          <w:highlight w:val="none"/>
        </w:rPr>
        <w:t xml:space="preserve">政府采购</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货物和服务招标投标管理办法》第六十四条规定情形的，应要求评标委员会复核或者书面说明理由，评标委员会拒绝的，应予记录并向本级财政部门报告；</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（9）评审工作完成后，按照规定向评审专家支付劳务报酬和异地评审差旅费，不得向评审专家以外的其他人员支付评审劳务报酬； </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（10）处理与评标有关的其他事项。</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26.2评标委员会负责具体评标事务，并独立履行下列职责：</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（1）审查、评价投标文件是否符合招标文件的商务、技术等实质性要求；</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（2）要求投标人对投标文件有关事项作出澄清或者说明；</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（3）对投标文件进行比较和评价；</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（4）确定中标候选人名单，以及根据采购人委托直接确定中标人；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（5）向采购人、采购代理机构或有关部门报告评标中发现的违法行为。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27.评标方法分为最低评标价法和综合评分法。</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28评标</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28.1评标工作程序：</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（1）投标文件初审。</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①资格性审查。</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②符合性审查。</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（2）澄清有关问题。</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（3）比较与评价。</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（4）推荐中标候选供应商名单。</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（5）编写评审报告（评标报告）。</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28.2在评标中，不得改变招标文件中规定的评标标准、方法和中标条件。评标委员会对投标文件响应性的判定，要基于投标文件本身的内容，而不得寻求外部的证据。</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28.3采用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hint="eastAsia" w:ascii="仿宋" w:hAnsi="仿宋" w:eastAsia="仿宋" w:cs="仿宋"/>
          <w:sz w:val="24"/>
          <w:highlight w:val="none"/>
        </w:rPr>
        <w:t xml:space="preserve">最低评标价法</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仿宋" w:hAnsi="仿宋" w:eastAsia="仿宋" w:cs="仿宋"/>
          <w:sz w:val="24"/>
          <w:highlight w:val="none"/>
        </w:rPr>
        <w:t xml:space="preserve">综合评分法</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非单一产品采购项目，多家投标人提供的核心产品品牌相同的，按前两款规定处理。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29.投标文件报价出现前后不一致的，按照下列规定修正：</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29.1投标文件中开标一览表（报价表）内容与投标文件中相应内容不一致的，以开标一览表（报价表）为准；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29.2大写金额和小写金额不一致的，以大写金额为准；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29.3单价金额小数点或者百分比有明显错位的，以开标一览表的总价为准，并修改单价；</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29.4总价金额与按单价合计金额不一致的，以单价金额计算结果为准。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评标中需要投标人对投标文件澄清或者说明的，应当通过“苏采云”系统交换数据电文。在评标期间，请投标人保持在线。</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30.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31.评标委员会成员对需要共同认定的事项存在争议的，应当按照少数服从多数的原则作出结论。持不同意见的评标委员会成员应当在评标报告上签署不同意见及理由，否则视为同意评标报告。</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32.废标条款：</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出现下列情形之一的，应予废标。</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1.符合专业条件的供应商或者对招标文件作实质响应的供应商不足三家的；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2.出现影响采购公正的违法、违规行为的；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3.投标人的报价均超过了采购预算，采购人不能支付的；</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4.因重大变故，采购任务取消的。</w:t>
      </w:r>
      <w:r/>
    </w:p>
    <w:p>
      <w:pPr>
        <w:pStyle w:val="1223"/>
        <w:ind w:firstLine="48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六、定标</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33.采购代理机构应当在评标结束后2个工作日内将评标报告送采购人。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34.采购人应当自收到评标报告之日起5个工作日内，在评标报告确定的中标候选人名单中按顺序确定中标人。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35.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七、政府采购合同</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36.签订政府采购合同（合同签订方式）：</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36.1采购人应当自中标通知书发出之日起30日内，按照招标文件和中标人投标文件的规定，与中标人签订书面合同。所签订的合同不得对招标文件确定的事项和中标人投标文件作实质性修改。</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采购人不得向中标人提出任何不合理的要求作为签订合同的条件。</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36.2中标或者成交供应商拒绝与采购人签订合同的，采购人可以按照评审报告推荐的中标或者成交候选人名单排序，确定下一个候选人为中标或者成交供应商，也可以重新开展政府采购活动。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37.采购人与中标人应当根据合同的约定依法履行合同义务。政府采购合同的履行、违约责任和解决争议的方法等，按《中华人民共和国合同法》相关条款执行。</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38.履约保证金：</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38.1 中标人应在政府采购合同签订后，向采购人提交本文件第三章《投标资料表》中规定金额的履约保证金。</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38.2如果中标人没有遵守本章（三十八）1 或本章（三十九） 的规定，采购代理机构有权取消该中标决定。在此情况下，采购人可以与排位在中标人之后第一位的中标候选人签订政府采购合同，以此类推。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38.3中标人凭采购人出具验收书的复印件及收款收据办理履约保证金退付手续。履约保证金在采购人处存放期间，不计利息。</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39腐败和欺诈行为：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39.1采购代理机构、采购人、投标人等参与招投标的各方，均应在招标、采购、合同执行等过程中保持廉洁和最高的道德水准。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（1）腐败和欺诈行为的含义：</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②“欺诈行为”系指为了影响招标、采购和合同执行等过程，隐瞒事实真象，给买方、卖方、采购代理机构及他人造成损害的行为，其中包括投标人之间的串通行为。</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（2）如果被推荐的中标人有腐败和欺诈行为，将取消其中标资格。</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（3）如果投标人在任何时候，被法院及政府有关管理部门认定为有腐败和欺诈行为，采购代理机构有权拒绝其投标、取消其中标资格和撤消其已签署的合同。</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numPr>
          <w:ilvl w:val="0"/>
          <w:numId w:val="4"/>
        </w:numPr>
        <w:ind w:firstLine="48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询问和质疑</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40.询问和质疑</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numPr>
          <w:ilvl w:val="0"/>
          <w:numId w:val="4"/>
        </w:numPr>
        <w:ind w:firstLine="48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电子招标投标交易平台</w:t>
      </w:r>
      <w:r/>
    </w:p>
    <w:p>
      <w:pPr>
        <w:pStyle w:val="1216"/>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41.电子招标投标交易平台（即“苏采云”系统，网址：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仿宋" w:hAnsi="仿宋" w:eastAsia="仿宋" w:cs="仿宋"/>
          <w:sz w:val="24"/>
          <w:highlight w:val="none"/>
        </w:rPr>
        <w:t xml:space="preserve">http://jszfcg.jsczt.cn/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）相关要求是本招标文件的组成部分。</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ascii="仿宋" w:hAnsi="仿宋" w:eastAsia="仿宋" w:cs="仿宋"/>
          <w:b/>
          <w:bCs/>
          <w:sz w:val="24"/>
          <w:highlight w:val="none"/>
        </w:rPr>
      </w:pPr>
      <w:r>
        <w:rPr>
          <w:rFonts w:hint="eastAsia" w:ascii="仿宋" w:hAnsi="仿宋" w:eastAsia="仿宋" w:cs="仿宋"/>
          <w:b/>
          <w:bCs/>
          <w:sz w:val="24"/>
          <w:highlight w:val="none"/>
        </w:rPr>
        <w:br w:type="page" w:clear="all"/>
      </w:r>
      <w:r/>
    </w:p>
    <w:p>
      <w:pPr>
        <w:pStyle w:val="1223"/>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 xml:space="preserve">第三章  投标资料表</w:t>
      </w:r>
      <w:r/>
    </w:p>
    <w:p>
      <w:pPr>
        <w:pStyle w:val="1230"/>
        <w:ind w:firstLine="480"/>
        <w:rPr>
          <w:rFonts w:ascii="仿宋" w:hAnsi="仿宋" w:eastAsia="仿宋" w:cs="仿宋"/>
          <w:sz w:val="24"/>
          <w:szCs w:val="24"/>
          <w:highlight w:val="none"/>
        </w:rPr>
      </w:pPr>
      <w:r>
        <w:rPr>
          <w:rFonts w:hint="eastAsia" w:ascii="仿宋" w:hAnsi="仿宋" w:eastAsia="仿宋" w:cs="仿宋"/>
          <w:sz w:val="24"/>
          <w:szCs w:val="24"/>
          <w:highlight w:val="none"/>
        </w:rPr>
        <w:t xml:space="preserve">该资料表的条款项号是与《投标人须知》中条款项号对应的，若有增加的条款，是对《投标人须知》的补充、修改和完善，如果有矛盾的话，应以本资料表为准。</w:t>
      </w:r>
      <w:r/>
    </w:p>
    <w:tbl>
      <w:tblPr>
        <w:tblStyle w:val="1196"/>
        <w:tblW w:w="957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
              <w:jc w:val="center"/>
              <w:rPr>
                <w:rFonts w:ascii="仿宋" w:hAnsi="仿宋" w:eastAsia="仿宋" w:cs="仿宋"/>
                <w:sz w:val="24"/>
                <w:highlight w:val="none"/>
              </w:rPr>
            </w:pPr>
            <w:r>
              <w:rPr>
                <w:rFonts w:hint="eastAsia" w:ascii="仿宋" w:hAnsi="仿宋" w:eastAsia="仿宋" w:cs="仿宋"/>
                <w:sz w:val="24"/>
                <w:highlight w:val="none"/>
              </w:rPr>
              <w:t xml:space="preserve">内容</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center"/>
              <w:rPr>
                <w:rFonts w:ascii="仿宋" w:hAnsi="仿宋" w:eastAsia="仿宋" w:cs="仿宋"/>
                <w:b/>
                <w:sz w:val="24"/>
                <w:highlight w:val="none"/>
              </w:rPr>
            </w:pPr>
            <w:r>
              <w:rPr>
                <w:rFonts w:hint="eastAsia" w:ascii="仿宋" w:hAnsi="仿宋" w:eastAsia="仿宋" w:cs="仿宋"/>
                <w:b/>
                <w:sz w:val="24"/>
                <w:highlight w:val="none"/>
              </w:rPr>
              <w:t xml:space="preserve">一、总则</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left"/>
              <w:rPr>
                <w:rFonts w:hint="eastAsia" w:ascii="仿宋" w:hAnsi="仿宋" w:eastAsia="仿宋" w:cs="仿宋"/>
                <w:sz w:val="24"/>
                <w:highlight w:val="none"/>
                <w:lang w:eastAsia="zh-CN"/>
              </w:rPr>
            </w:pPr>
            <w:r>
              <w:rPr>
                <w:rFonts w:hint="eastAsia" w:ascii="仿宋" w:hAnsi="仿宋" w:eastAsia="仿宋" w:cs="仿宋"/>
                <w:sz w:val="24"/>
                <w:highlight w:val="none"/>
              </w:rPr>
              <w:t xml:space="preserve">采购人：</w:t>
            </w:r>
            <w:r>
              <w:rPr>
                <w:rFonts w:hint="eastAsia" w:ascii="仿宋" w:hAnsi="仿宋" w:eastAsia="仿宋" w:cs="仿宋"/>
                <w:sz w:val="24"/>
                <w:highlight w:val="none"/>
                <w:lang w:eastAsia="zh-CN"/>
              </w:rPr>
              <w:t xml:space="preserve">徐州市农业农村局</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left"/>
              <w:rPr>
                <w:rFonts w:ascii="仿宋" w:hAnsi="仿宋" w:eastAsia="仿宋" w:cs="仿宋"/>
                <w:sz w:val="24"/>
                <w:highlight w:val="none"/>
              </w:rPr>
            </w:pPr>
            <w:r>
              <w:rPr>
                <w:rFonts w:hint="eastAsia" w:ascii="仿宋" w:hAnsi="仿宋" w:eastAsia="仿宋" w:cs="仿宋"/>
                <w:sz w:val="24"/>
                <w:highlight w:val="none"/>
              </w:rPr>
              <w:t xml:space="preserve">本次采购采用的政府采购方式：公开招标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left"/>
              <w:rPr>
                <w:rFonts w:hint="eastAsia" w:ascii="仿宋" w:hAnsi="仿宋" w:eastAsia="仿宋" w:cs="仿宋"/>
                <w:b/>
                <w:sz w:val="24"/>
                <w:highlight w:val="none"/>
                <w:u w:val="single"/>
                <w:lang w:eastAsia="zh-CN"/>
              </w:rPr>
            </w:pPr>
            <w:r>
              <w:rPr>
                <w:rFonts w:hint="eastAsia" w:ascii="仿宋" w:hAnsi="仿宋" w:eastAsia="仿宋" w:cs="仿宋"/>
                <w:sz w:val="24"/>
                <w:highlight w:val="none"/>
              </w:rPr>
              <w:t xml:space="preserve">采购人确定的采购项目属性：</w:t>
            </w:r>
            <w:r>
              <w:rPr>
                <w:rFonts w:hint="eastAsia" w:ascii="仿宋" w:hAnsi="仿宋" w:eastAsia="仿宋" w:cs="仿宋"/>
                <w:sz w:val="24"/>
                <w:highlight w:val="none"/>
                <w:lang w:val="en-US" w:eastAsia="zh-CN"/>
              </w:rPr>
              <w:t xml:space="preserve">服务</w:t>
            </w:r>
            <w:r/>
          </w:p>
        </w:tc>
      </w:tr>
      <w:tr>
        <w:trPr>
          <w:trHeight w:val="7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left"/>
              <w:rPr>
                <w:rFonts w:ascii="仿宋" w:hAnsi="仿宋" w:eastAsia="仿宋" w:cs="仿宋"/>
                <w:sz w:val="24"/>
                <w:highlight w:val="none"/>
              </w:rPr>
            </w:pPr>
            <w:r>
              <w:rPr>
                <w:rFonts w:hint="eastAsia" w:ascii="仿宋" w:hAnsi="仿宋" w:eastAsia="仿宋" w:cs="仿宋"/>
                <w:sz w:val="24"/>
                <w:highlight w:val="none"/>
              </w:rPr>
              <w:t xml:space="preserve">本项目采购代理机构：江苏鼎信利达建设管理有限公司</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szCs w:val="32"/>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投标人的资格条件：</w:t>
            </w:r>
            <w:r/>
          </w:p>
          <w:p>
            <w:pPr>
              <w:pStyle w:val="1223"/>
              <w:ind w:firstLine="480"/>
              <w:jc w:val="left"/>
              <w:tabs>
                <w:tab w:val="left" w:pos="0" w:leader="none"/>
              </w:tabs>
              <w:rPr>
                <w:rFonts w:ascii="仿宋" w:hAnsi="仿宋" w:eastAsia="仿宋" w:cs="仿宋"/>
                <w:sz w:val="24"/>
                <w:highlight w:val="none"/>
              </w:rPr>
            </w:pPr>
            <w:r>
              <w:rPr>
                <w:rFonts w:hint="eastAsia" w:ascii="仿宋" w:hAnsi="仿宋" w:eastAsia="仿宋" w:cs="仿宋"/>
                <w:sz w:val="24"/>
                <w:highlight w:val="none"/>
              </w:rPr>
              <w:t xml:space="preserve">1、符合《中华人民共和国政府采购法》第二十二条的规定；</w:t>
            </w:r>
            <w:r/>
          </w:p>
          <w:p>
            <w:pPr>
              <w:pStyle w:val="1222"/>
              <w:ind w:left="0" w:firstLine="480"/>
              <w:rPr>
                <w:rFonts w:ascii="仿宋" w:hAnsi="仿宋" w:eastAsia="仿宋" w:cs="仿宋"/>
                <w:sz w:val="24"/>
                <w:highlight w:val="none"/>
              </w:rPr>
            </w:pPr>
            <w:r>
              <w:rPr>
                <w:rFonts w:hint="eastAsia" w:ascii="仿宋" w:hAnsi="仿宋" w:eastAsia="仿宋" w:cs="仿宋"/>
                <w:sz w:val="24"/>
                <w:highlight w:val="none"/>
              </w:rPr>
              <w:t xml:space="preserve">2、落实政府采购政策需满足的资格要求：此项目不属于专门面向中小微企业采购的项目。</w:t>
            </w:r>
            <w:r/>
          </w:p>
          <w:p>
            <w:pPr>
              <w:pStyle w:val="1222"/>
              <w:ind w:left="0" w:firstLine="480"/>
              <w:rPr>
                <w:rFonts w:ascii="仿宋" w:hAnsi="仿宋" w:eastAsia="仿宋" w:cs="仿宋"/>
                <w:sz w:val="24"/>
                <w:highlight w:val="none"/>
              </w:rPr>
            </w:pPr>
            <w:r>
              <w:rPr>
                <w:rFonts w:hint="eastAsia" w:ascii="仿宋" w:hAnsi="仿宋" w:eastAsia="仿宋" w:cs="仿宋"/>
                <w:sz w:val="24"/>
                <w:highlight w:val="none"/>
              </w:rPr>
              <w:t xml:space="preserve">3、本项目的特定资格要求：无</w:t>
            </w:r>
            <w:r/>
          </w:p>
          <w:p>
            <w:pPr>
              <w:pStyle w:val="1223"/>
              <w:ind w:firstLine="480"/>
              <w:jc w:val="left"/>
              <w:rPr>
                <w:rFonts w:ascii="仿宋" w:hAnsi="仿宋" w:eastAsia="仿宋" w:cs="仿宋"/>
                <w:sz w:val="24"/>
                <w:highlight w:val="none"/>
              </w:rPr>
            </w:pPr>
            <w:r>
              <w:rPr>
                <w:rFonts w:hint="eastAsia" w:ascii="仿宋" w:hAnsi="仿宋" w:eastAsia="仿宋" w:cs="仿宋"/>
                <w:sz w:val="24"/>
                <w:highlight w:val="none"/>
              </w:rPr>
              <w:t xml:space="preserve">同时明确相关事项如下：</w:t>
            </w:r>
            <w:r/>
          </w:p>
          <w:p>
            <w:pPr>
              <w:pStyle w:val="1223"/>
              <w:ind w:firstLine="482"/>
              <w:jc w:val="left"/>
              <w:widowControl/>
              <w:rPr>
                <w:rFonts w:ascii="仿宋" w:hAnsi="仿宋" w:eastAsia="仿宋" w:cs="仿宋"/>
                <w:b/>
                <w:bCs/>
                <w:sz w:val="24"/>
                <w:highlight w:val="none"/>
              </w:rPr>
            </w:pPr>
            <w:r>
              <w:rPr>
                <w:rFonts w:hint="eastAsia" w:ascii="仿宋" w:hAnsi="仿宋" w:eastAsia="仿宋" w:cs="仿宋"/>
                <w:b/>
                <w:bCs/>
                <w:sz w:val="24"/>
                <w:highlight w:val="none"/>
              </w:rPr>
              <w:t xml:space="preserve">1、本项目不接受联</w:t>
            </w:r>
            <w:r>
              <w:rPr>
                <w:rFonts w:hint="eastAsia" w:ascii="仿宋" w:hAnsi="仿宋" w:eastAsia="仿宋" w:cs="仿宋"/>
                <w:b/>
                <w:bCs/>
                <w:sz w:val="24"/>
                <w:highlight w:val="none"/>
                <w:lang w:val="en-US" w:eastAsia="zh-CN"/>
              </w:rPr>
              <w:t xml:space="preserve">合体</w:t>
            </w:r>
            <w:r>
              <w:rPr>
                <w:rFonts w:hint="eastAsia" w:ascii="仿宋" w:hAnsi="仿宋" w:eastAsia="仿宋" w:cs="仿宋"/>
                <w:b/>
                <w:bCs/>
                <w:sz w:val="24"/>
                <w:highlight w:val="none"/>
              </w:rPr>
              <w:t xml:space="preserve">参与采购活动。</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2、单位负责人为同一人或者存在直接控股、管理关系的不同供应商，不得参加同一合同项下的政府采购活动。</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3、为本采购项目提供整体设计、规范编制或者项目管理、监理、检测等服务的供应商，不得再参加本采购项目的采购活动。</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4、查询及使用投标人（以联合体形式投标的，含所有联合体成员）信用记录：</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（1）由采购人查询信用信息。</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（2）查询渠道包括：</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①“信用中国”网（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仿宋" w:hAnsi="仿宋" w:eastAsia="仿宋" w:cs="仿宋"/>
                <w:sz w:val="24"/>
                <w:highlight w:val="none"/>
              </w:rPr>
              <w:t xml:space="preserve">www.creditchina.gov.cn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②中国政府采购网（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仿宋" w:hAnsi="仿宋" w:eastAsia="仿宋" w:cs="仿宋"/>
                <w:sz w:val="24"/>
                <w:highlight w:val="none"/>
              </w:rPr>
              <w:t xml:space="preserve">www.ccgp.gov.cn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③“信用江苏”网（http://credit.jiangsu.gov.cn）；</w:t>
            </w:r>
            <w:r/>
          </w:p>
          <w:p>
            <w:pPr>
              <w:pStyle w:val="1223"/>
              <w:ind w:firstLine="480"/>
              <w:jc w:val="left"/>
              <w:rPr>
                <w:rFonts w:ascii="仿宋" w:hAnsi="仿宋" w:eastAsia="仿宋" w:cs="仿宋"/>
                <w:sz w:val="24"/>
                <w:highlight w:val="none"/>
              </w:rPr>
            </w:pPr>
            <w:r>
              <w:rPr>
                <w:rFonts w:hint="eastAsia" w:ascii="仿宋" w:hAnsi="仿宋" w:eastAsia="仿宋" w:cs="仿宋"/>
                <w:sz w:val="24"/>
                <w:highlight w:val="none"/>
              </w:rPr>
              <w:t xml:space="preserve">④“信用中国（江苏徐州）”网（</w:t>
            </w:r>
            <w:r>
              <w:rPr>
                <w:highlight w:val="none"/>
              </w:rPr>
              <w:fldChar w:fldCharType="begin"/>
            </w:r>
            <w:r>
              <w:rPr>
                <w:highlight w:val="none"/>
              </w:rPr>
              <w:instrText xml:space="preserve"> HYPERLINK "http://www.xuzhoucredit.gov.cn/" </w:instrText>
            </w:r>
            <w:r>
              <w:rPr>
                <w:highlight w:val="none"/>
              </w:rPr>
              <w:fldChar w:fldCharType="separate"/>
            </w:r>
            <w:r>
              <w:rPr>
                <w:rFonts w:hint="eastAsia" w:ascii="仿宋" w:hAnsi="仿宋" w:eastAsia="仿宋" w:cs="仿宋"/>
                <w:sz w:val="24"/>
                <w:highlight w:val="none"/>
              </w:rPr>
              <w:t xml:space="preserve">http://www.xuzhoucredit.gov.cn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⑤江苏省政府采购信用评价系统。</w:t>
            </w:r>
            <w:r/>
          </w:p>
          <w:p>
            <w:pPr>
              <w:pStyle w:val="1223"/>
              <w:numPr>
                <w:ilvl w:val="0"/>
                <w:numId w:val="5"/>
              </w:numPr>
              <w:ind w:firstLine="480"/>
              <w:rPr>
                <w:rFonts w:ascii="仿宋" w:hAnsi="仿宋" w:eastAsia="仿宋" w:cs="仿宋"/>
                <w:sz w:val="24"/>
                <w:highlight w:val="none"/>
              </w:rPr>
            </w:pPr>
            <w:r>
              <w:rPr>
                <w:rFonts w:hint="eastAsia" w:ascii="仿宋" w:hAnsi="仿宋" w:eastAsia="仿宋" w:cs="仿宋"/>
                <w:sz w:val="24"/>
                <w:highlight w:val="none"/>
              </w:rPr>
              <w:t xml:space="preserve">截止时点（查询环节）：开标后资格审查结束前。</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（4）信用信息查询记录和证据留存的具体方式：网页截屏打印，与其他采购文件一并保存。</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（5）信用信息的使用规则：</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招标代理服务费由中标人支付，收费标准按本招标文件《招标代理服务收费标准》执行。</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center"/>
              <w:rPr>
                <w:rFonts w:ascii="仿宋" w:hAnsi="仿宋" w:eastAsia="仿宋" w:cs="仿宋"/>
                <w:b/>
                <w:sz w:val="24"/>
                <w:highlight w:val="none"/>
              </w:rPr>
            </w:pPr>
            <w:r>
              <w:rPr>
                <w:rFonts w:hint="eastAsia" w:ascii="仿宋" w:hAnsi="仿宋" w:eastAsia="仿宋" w:cs="仿宋"/>
                <w:b/>
                <w:sz w:val="24"/>
                <w:highlight w:val="none"/>
              </w:rPr>
              <w:t xml:space="preserve">二、招标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tabs>
                <w:tab w:val="left" w:pos="5760" w:leader="none"/>
              </w:tabs>
              <w:rPr>
                <w:rFonts w:ascii="仿宋" w:hAnsi="仿宋" w:eastAsia="仿宋" w:cs="仿宋"/>
                <w:sz w:val="24"/>
                <w:highlight w:val="none"/>
              </w:rPr>
            </w:pPr>
            <w:r>
              <w:rPr>
                <w:rFonts w:hint="eastAsia" w:ascii="仿宋" w:hAnsi="仿宋" w:eastAsia="仿宋" w:cs="仿宋"/>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rPr>
                <w:rFonts w:ascii="仿宋" w:hAnsi="仿宋" w:eastAsia="仿宋" w:cs="仿宋"/>
                <w:sz w:val="24"/>
                <w:highlight w:val="none"/>
              </w:rPr>
            </w:pPr>
            <w:r>
              <w:rPr>
                <w:rFonts w:hint="eastAsia" w:ascii="仿宋" w:hAnsi="仿宋" w:eastAsia="仿宋" w:cs="仿宋"/>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center"/>
              <w:rPr>
                <w:rFonts w:ascii="仿宋" w:hAnsi="仿宋" w:eastAsia="仿宋" w:cs="仿宋"/>
                <w:b/>
                <w:sz w:val="24"/>
                <w:highlight w:val="none"/>
              </w:rPr>
            </w:pPr>
            <w:r>
              <w:rPr>
                <w:rFonts w:hint="eastAsia" w:ascii="仿宋" w:hAnsi="仿宋" w:eastAsia="仿宋" w:cs="仿宋"/>
                <w:b/>
                <w:sz w:val="24"/>
                <w:highlight w:val="none"/>
              </w:rPr>
              <w:t xml:space="preserve">三、投标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rPr>
                <w:rFonts w:ascii="仿宋" w:hAnsi="仿宋" w:eastAsia="仿宋" w:cs="仿宋"/>
                <w:sz w:val="24"/>
                <w:highlight w:val="none"/>
              </w:rPr>
            </w:pPr>
            <w:r>
              <w:rPr>
                <w:rFonts w:hint="eastAsia" w:ascii="仿宋" w:hAnsi="仿宋" w:eastAsia="仿宋" w:cs="仿宋"/>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(十二)</w:t>
            </w:r>
            <w:r/>
          </w:p>
          <w:p>
            <w:pPr>
              <w:pStyle w:val="1223"/>
              <w:ind w:firstLine="480"/>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2"/>
              <w:rPr>
                <w:rFonts w:ascii="仿宋" w:hAnsi="仿宋" w:eastAsia="仿宋" w:cs="仿宋"/>
                <w:b/>
                <w:sz w:val="24"/>
                <w:highlight w:val="none"/>
              </w:rPr>
            </w:pPr>
            <w:r>
              <w:rPr>
                <w:rFonts w:hint="eastAsia" w:ascii="仿宋" w:hAnsi="仿宋" w:eastAsia="仿宋" w:cs="仿宋"/>
                <w:b/>
                <w:sz w:val="24"/>
                <w:highlight w:val="none"/>
              </w:rPr>
              <w:t xml:space="preserve">线上投标文件编制要求：</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请按照以下要求（包括但不限于以下要求）制作：</w:t>
            </w:r>
            <w:r/>
          </w:p>
          <w:p>
            <w:pPr>
              <w:pStyle w:val="1223"/>
              <w:ind w:firstLine="482"/>
              <w:rPr>
                <w:rFonts w:ascii="仿宋" w:hAnsi="仿宋" w:eastAsia="仿宋" w:cs="仿宋"/>
                <w:b/>
                <w:sz w:val="24"/>
                <w:highlight w:val="none"/>
              </w:rPr>
            </w:pPr>
            <w:r>
              <w:rPr>
                <w:rFonts w:hint="eastAsia" w:ascii="仿宋" w:hAnsi="仿宋" w:eastAsia="仿宋" w:cs="仿宋"/>
                <w:b/>
                <w:sz w:val="24"/>
                <w:highlight w:val="none"/>
              </w:rPr>
              <w:t xml:space="preserve">一、基本目录</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1.《开标一览表》（加盖电子签章，政府采购客户端工具输入报价自动生成）；</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2.《授权委托书》（提供原件的扫描件，格式见招标文件第七章《投标文件相关格式》）；</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投标人认为需要提供的其他资料的扫描件（如有）。</w:t>
            </w:r>
            <w:r/>
          </w:p>
          <w:p>
            <w:pPr>
              <w:pStyle w:val="1223"/>
              <w:ind w:firstLine="482"/>
              <w:rPr>
                <w:rFonts w:ascii="仿宋" w:hAnsi="仿宋" w:eastAsia="仿宋" w:cs="仿宋"/>
                <w:b/>
                <w:sz w:val="24"/>
                <w:highlight w:val="none"/>
              </w:rPr>
            </w:pPr>
            <w:r>
              <w:rPr>
                <w:rFonts w:hint="eastAsia" w:ascii="仿宋" w:hAnsi="仿宋" w:eastAsia="仿宋" w:cs="仿宋"/>
                <w:b/>
                <w:sz w:val="24"/>
                <w:highlight w:val="none"/>
              </w:rPr>
              <w:t xml:space="preserve">二、资格条件（1～</w:t>
            </w:r>
            <w:r>
              <w:rPr>
                <w:rFonts w:hint="eastAsia" w:ascii="仿宋" w:hAnsi="仿宋" w:eastAsia="仿宋" w:cs="仿宋"/>
                <w:b/>
                <w:sz w:val="24"/>
                <w:highlight w:val="none"/>
                <w:lang w:val="en-US" w:eastAsia="zh-CN"/>
              </w:rPr>
              <w:t xml:space="preserve">7</w:t>
            </w:r>
            <w:r>
              <w:rPr>
                <w:rFonts w:hint="eastAsia" w:ascii="仿宋" w:hAnsi="仿宋" w:eastAsia="仿宋" w:cs="仿宋"/>
                <w:b/>
                <w:sz w:val="24"/>
                <w:highlight w:val="none"/>
              </w:rPr>
              <w:t xml:space="preserve">项必须提供，否则投标无效）</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1.投标人合法有效的营业执照扫描件，或事业单位法人证书扫描件，或民办非企业单位登记证书扫描件</w:t>
            </w:r>
            <w:r>
              <w:rPr>
                <w:rFonts w:hint="eastAsia" w:ascii="仿宋" w:hAnsi="仿宋" w:eastAsia="仿宋" w:cs="仿宋"/>
                <w:bCs/>
                <w:sz w:val="24"/>
                <w:highlight w:val="none"/>
                <w:lang w:eastAsia="zh-CN"/>
              </w:rPr>
              <w:t xml:space="preserve">；</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2.财务状况报告（即提供投标人的本项目开标时间前6个月内任何1个月的资产负债表、利润表扫描件各一份；或提供投标人上年度经审计的财务报告扫描件一份；或投标人的本项目开标时间前6个月内银行出具的资信证明扫描件一份）；</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3.投标人依法缴纳税收和社会保障资金的记录：</w:t>
            </w:r>
            <w:r/>
          </w:p>
          <w:p>
            <w:pPr>
              <w:ind w:right="28" w:firstLine="48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highlight w:val="none"/>
              </w:rPr>
              <w:t xml:space="preserve">投标人的本项目开标时间前6个月内任何1个月的依法缴纳税收扫描件和社会保障资金扫描件各一份的相关材料（依法免税或不需要缴纳社会保障资金的供应商,提供相应文件扫</w:t>
            </w:r>
            <w:r>
              <w:rPr>
                <w:rFonts w:hint="eastAsia" w:ascii="仿宋" w:hAnsi="仿宋" w:eastAsia="仿宋" w:cs="仿宋"/>
                <w:sz w:val="24"/>
                <w:highlight w:val="none"/>
              </w:rPr>
              <w:t xml:space="preserve">描件证明其依法免税或不需要缴纳社会保障资金)；</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4.具备履行合同所必需的设备和专业技术能力的证明材料。投标文件中提供《</w:t>
            </w:r>
            <w:bookmarkStart w:id="0" w:name="_Toc515551102"/>
            <w:r>
              <w:rPr>
                <w:rFonts w:hint="eastAsia" w:ascii="仿宋" w:hAnsi="仿宋" w:eastAsia="仿宋" w:cs="仿宋"/>
                <w:bCs/>
                <w:sz w:val="24"/>
                <w:highlight w:val="none"/>
              </w:rPr>
              <w:t xml:space="preserve">具备履行合同所必需的设备和专业技术能力的书面声明</w:t>
            </w:r>
            <w:bookmarkEnd w:id="0"/>
            <w:r>
              <w:rPr>
                <w:rFonts w:hint="eastAsia" w:ascii="仿宋" w:hAnsi="仿宋" w:eastAsia="仿宋" w:cs="仿宋"/>
                <w:bCs/>
                <w:sz w:val="24"/>
                <w:highlight w:val="none"/>
              </w:rPr>
              <w:t xml:space="preserve">（附证明材料原件的扫描件）》（加盖电子签章，格式见招标文件第七章《投标文件相关格式》）；</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5.投标人参加政府采购活动前3年内在经营活动中没有重大违法记录的书面声明（加盖电子签章，格式见招标文件第七章《投标文件相关格式》）；</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7.投标人不是为本采购项目提供整体设计、规范编制或者项目管理、监理、检测等服务的供应商的书面声明。（加盖电子签章，格式见招标文件第七章《投标文件相关格式》）。</w:t>
            </w:r>
            <w:r/>
          </w:p>
          <w:p>
            <w:pPr>
              <w:pStyle w:val="1223"/>
              <w:ind w:firstLine="480"/>
              <w:rPr>
                <w:rFonts w:ascii="仿宋" w:hAnsi="仿宋" w:eastAsia="仿宋" w:cs="仿宋"/>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.投标人信用信息（要求见本章条款项号“(六)”中“4、”内容）。</w:t>
            </w:r>
            <w:r/>
          </w:p>
          <w:p>
            <w:pPr>
              <w:pStyle w:val="1223"/>
              <w:ind w:firstLine="482"/>
              <w:rPr>
                <w:rFonts w:ascii="仿宋" w:hAnsi="仿宋" w:eastAsia="仿宋" w:cs="仿宋"/>
                <w:b/>
                <w:sz w:val="24"/>
                <w:highlight w:val="none"/>
              </w:rPr>
            </w:pPr>
            <w:r>
              <w:rPr>
                <w:rFonts w:hint="eastAsia" w:ascii="仿宋" w:hAnsi="仿宋" w:eastAsia="仿宋" w:cs="仿宋"/>
                <w:b/>
                <w:sz w:val="24"/>
                <w:highlight w:val="none"/>
              </w:rPr>
              <w:t xml:space="preserve">三、符合条件（必须提供，否则投标无效）</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（一）报价</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1.《开标一览表》（加盖电子签章，格式见招标文件第七章《投标文件相关格式》。）；</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2.《分项价格表》（加盖电子签章，格式见招标文件第七章《投标文件相关格式》。）；</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（二）商务资信</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1.《投标函》（加盖电子签章，格式见招标文件第七章《投标文件相关格式》。）；</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2、《授权委托书》（加盖电子签章，格式见招标文件第七章《投标文件相关格式》。）；</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（三）技术响应</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1.《偏离表》（加盖电子签章，格式见招标文件第七章《投标文件相关格式》。）；</w:t>
            </w:r>
            <w:r/>
          </w:p>
          <w:p>
            <w:pPr>
              <w:pStyle w:val="1223"/>
              <w:ind w:firstLine="482"/>
              <w:rPr>
                <w:rFonts w:ascii="仿宋" w:hAnsi="仿宋" w:eastAsia="仿宋" w:cs="仿宋"/>
                <w:b/>
                <w:sz w:val="24"/>
                <w:highlight w:val="none"/>
              </w:rPr>
            </w:pPr>
            <w:r>
              <w:rPr>
                <w:rFonts w:hint="eastAsia" w:ascii="仿宋" w:hAnsi="仿宋" w:eastAsia="仿宋" w:cs="仿宋"/>
                <w:b/>
                <w:sz w:val="24"/>
                <w:highlight w:val="none"/>
              </w:rPr>
              <w:t xml:space="preserve">四、综合评审评分项</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（一）技术部分</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1．整体设想、策划、管理和服务方案（要求见招标文件第四章《评标标准》及第六章《采购需求》）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2.组织机构设置及职能</w:t>
            </w:r>
            <w:r>
              <w:rPr>
                <w:rFonts w:hint="eastAsia" w:ascii="仿宋" w:hAnsi="仿宋" w:eastAsia="仿宋" w:cs="仿宋"/>
                <w:bCs/>
                <w:sz w:val="24"/>
                <w:highlight w:val="none"/>
              </w:rPr>
              <w:t xml:space="preserve">（要求见招标文件第四章《评标标准》及第六章《采购需求》）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3.管理规章制度、档案建立与管理</w:t>
            </w:r>
            <w:r>
              <w:rPr>
                <w:rFonts w:hint="eastAsia" w:ascii="仿宋" w:hAnsi="仿宋" w:eastAsia="仿宋" w:cs="仿宋"/>
                <w:bCs/>
                <w:sz w:val="24"/>
                <w:highlight w:val="none"/>
              </w:rPr>
              <w:t xml:space="preserve">（要求见招标文件第四章《评标标准》及第六章《采购需求》）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4.组织计划、进度保障措施方案</w:t>
            </w:r>
            <w:r>
              <w:rPr>
                <w:rFonts w:hint="eastAsia" w:ascii="仿宋" w:hAnsi="仿宋" w:eastAsia="仿宋" w:cs="仿宋"/>
                <w:bCs/>
                <w:sz w:val="24"/>
                <w:highlight w:val="none"/>
              </w:rPr>
              <w:t xml:space="preserve">（要求见招标文件第四章《评标标准》及第六章《采购需求》）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服务质量承诺及措施（要求见招标文件第四章《评标标准》及第六章《采购需求》）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服务保障及突发事件的应急措施（要求见招标文件第四章《评标标准》及第六章《采购需求》）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设备、仪器投入方案（要求见招标文件第四章《评标标准》及第六章《采购需求》）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人员配备方案（要求见招标文件第四章《评标标准》及第六章《采购需求》）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配合与服从采购人管理方案（要求见招标文件第四章《评标标准》及第六章《采购需求》）</w:t>
            </w:r>
            <w:r>
              <w:rPr>
                <w:rFonts w:hint="eastAsia" w:ascii="仿宋" w:hAnsi="仿宋" w:eastAsia="仿宋" w:cs="仿宋"/>
                <w:bCs/>
                <w:sz w:val="24"/>
                <w:highlight w:val="none"/>
                <w:lang w:eastAsia="zh-CN"/>
              </w:rPr>
              <w:t xml:space="preserve">；</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（二）商务部分</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1．业绩（要求见招标文件第四章《评标标准》）。</w:t>
            </w:r>
            <w:r/>
          </w:p>
          <w:p>
            <w:pPr>
              <w:pStyle w:val="1223"/>
              <w:ind w:firstLine="482"/>
              <w:rPr>
                <w:rFonts w:ascii="仿宋" w:hAnsi="仿宋" w:eastAsia="仿宋" w:cs="仿宋"/>
                <w:b/>
                <w:sz w:val="24"/>
                <w:highlight w:val="none"/>
              </w:rPr>
            </w:pPr>
            <w:r>
              <w:rPr>
                <w:rFonts w:hint="eastAsia" w:ascii="仿宋" w:hAnsi="仿宋" w:eastAsia="仿宋" w:cs="仿宋"/>
                <w:b/>
                <w:sz w:val="24"/>
                <w:highlight w:val="none"/>
              </w:rPr>
              <w:t xml:space="preserve">五、价格折扣文件格式</w:t>
            </w:r>
            <w:r/>
          </w:p>
          <w:p>
            <w:pPr>
              <w:pStyle w:val="1223"/>
              <w:ind w:firstLine="480"/>
              <w:rPr>
                <w:rFonts w:hint="eastAsia" w:ascii="仿宋" w:hAnsi="仿宋" w:eastAsia="仿宋" w:cs="仿宋"/>
                <w:bCs/>
                <w:sz w:val="24"/>
                <w:highlight w:val="none"/>
              </w:rPr>
            </w:pPr>
            <w:r>
              <w:rPr>
                <w:rFonts w:hint="eastAsia" w:ascii="仿宋" w:hAnsi="仿宋" w:eastAsia="仿宋" w:cs="仿宋"/>
                <w:bCs/>
                <w:sz w:val="24"/>
                <w:highlight w:val="none"/>
              </w:rPr>
              <w:t xml:space="preserve">提供的服务全部由符合政策要求的中小企业承接，提供《中小企业声明函》（填写完整，加盖电子签章，格式见招标文件第七章《投标文件相关格式》如不填写完整，视为无效）。</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注：具体以《政府采购促进中小企业发展管理办法》（财库[2020]46号）和《关于印发中小企业划型标准规定的通知》（工信部联企业[2011]300号）的规定为准。</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注：监狱企业和残疾人福利性单位等同于小微企业。</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投标人为监狱企业的，提供省级以上监狱管理局、戒毒管理局（含新疆生产建设兵团）出具的属于监狱企业的证明文件原件的扫描件。</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具体以《财政部 司法部关于政府采购支持监狱企业发展有关问题的通知》（财库〔2014〕68号）的规定为准。</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投标人为享受政府采购支持政策的残疾人福利性单位的，提供《残疾人福利性单位声明函》（加盖电子签章，格式见招标文件第七章《投标文件相关格式》）。</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享受政府采购支持政策的残疾人福利性单位应当同时满足以下条件：</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①安置的残疾人占本单位在职职工人数的比例不低于25%（含25%），并且安置的残疾人人数不少于10人（含10人）；</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②依法与安置的每位残疾人签订了一年以上（含一年）的劳动合同或服务协议；</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③为安置的每位残疾人按月足额缴纳了基本养老保险、基本医疗保险、失业保险、工伤保险和生育保险等社会保险费；</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④通过银行等金融机构向安置的每位残疾人，按月支付了不低于单位所在区县适用的经省级人民政府批准的月最低工资标准的工资；</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223"/>
              <w:rPr>
                <w:rFonts w:hint="eastAsia" w:ascii="仿宋" w:hAnsi="仿宋" w:eastAsia="仿宋" w:cs="仿宋"/>
                <w:bCs/>
                <w:sz w:val="24"/>
                <w:highlight w:val="none"/>
              </w:rPr>
            </w:pPr>
            <w:r>
              <w:rPr>
                <w:rFonts w:hint="eastAsia" w:ascii="仿宋" w:hAnsi="仿宋" w:eastAsia="仿宋" w:cs="仿宋"/>
                <w:bCs/>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23"/>
              <w:rPr>
                <w:rFonts w:ascii="仿宋" w:hAnsi="仿宋" w:eastAsia="仿宋" w:cs="仿宋"/>
                <w:bCs/>
                <w:sz w:val="24"/>
                <w:highlight w:val="none"/>
              </w:rPr>
            </w:pPr>
            <w:r>
              <w:rPr>
                <w:rFonts w:hint="eastAsia" w:ascii="仿宋" w:hAnsi="仿宋" w:eastAsia="仿宋" w:cs="仿宋"/>
                <w:bCs/>
                <w:sz w:val="24"/>
                <w:highlight w:val="none"/>
              </w:rPr>
              <w:t xml:space="preserve">具体以《三部门联合发布关于促进残疾人就业政府采购政策的通知》（财库〔2017〕141号）规定为准。注：</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1.投标人应对以上文件的合法性、真实性负责。</w:t>
            </w:r>
            <w:r/>
          </w:p>
          <w:p>
            <w:pPr>
              <w:pStyle w:val="1223"/>
              <w:ind w:firstLine="480"/>
              <w:rPr>
                <w:rFonts w:ascii="仿宋" w:hAnsi="仿宋" w:eastAsia="仿宋" w:cs="仿宋"/>
                <w:bCs/>
                <w:sz w:val="24"/>
                <w:highlight w:val="none"/>
              </w:rPr>
            </w:pPr>
            <w:r>
              <w:rPr>
                <w:rFonts w:hint="eastAsia" w:ascii="仿宋" w:hAnsi="仿宋" w:eastAsia="仿宋" w:cs="仿宋"/>
                <w:bCs/>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widowControl/>
              <w:rPr>
                <w:rFonts w:ascii="仿宋" w:hAnsi="仿宋" w:eastAsia="仿宋" w:cs="仿宋"/>
                <w:sz w:val="24"/>
                <w:highlight w:val="none"/>
              </w:rPr>
            </w:pPr>
            <w:r>
              <w:rPr>
                <w:rFonts w:hint="eastAsia" w:ascii="仿宋" w:hAnsi="仿宋" w:eastAsia="仿宋" w:cs="仿宋"/>
                <w:sz w:val="24"/>
                <w:highlight w:val="none"/>
              </w:rPr>
              <w:t xml:space="preserve">商务条件见：</w:t>
            </w:r>
            <w:r/>
          </w:p>
          <w:p>
            <w:pPr>
              <w:pStyle w:val="1223"/>
              <w:ind w:firstLine="480"/>
              <w:widowControl/>
              <w:rPr>
                <w:rFonts w:ascii="仿宋" w:hAnsi="仿宋" w:eastAsia="仿宋" w:cs="仿宋"/>
                <w:sz w:val="24"/>
                <w:highlight w:val="none"/>
              </w:rPr>
            </w:pPr>
            <w:r>
              <w:rPr>
                <w:rFonts w:hint="eastAsia" w:ascii="仿宋" w:hAnsi="仿宋" w:eastAsia="仿宋" w:cs="仿宋"/>
                <w:sz w:val="24"/>
                <w:highlight w:val="none"/>
              </w:rPr>
              <w:t xml:space="preserve">1.招标文件第四章《评标标准》中《评审因素细化和量化》</w:t>
            </w:r>
            <w:r/>
          </w:p>
          <w:p>
            <w:pPr>
              <w:pStyle w:val="1223"/>
              <w:ind w:firstLine="480"/>
              <w:rPr>
                <w:rFonts w:ascii="仿宋" w:hAnsi="仿宋" w:eastAsia="仿宋" w:cs="仿宋"/>
                <w:bCs/>
                <w:sz w:val="24"/>
                <w:highlight w:val="none"/>
              </w:rPr>
            </w:pPr>
            <w:r>
              <w:rPr>
                <w:rFonts w:hint="eastAsia" w:ascii="仿宋" w:hAnsi="仿宋" w:eastAsia="仿宋" w:cs="仿宋"/>
                <w:sz w:val="24"/>
                <w:highlight w:val="none"/>
              </w:rPr>
              <w:t xml:space="preserve">2.招标文件第三章《投标资料表》中“十二”</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widowControl/>
              <w:rPr>
                <w:rFonts w:ascii="仿宋" w:hAnsi="仿宋" w:eastAsia="仿宋" w:cs="仿宋"/>
                <w:sz w:val="24"/>
                <w:highlight w:val="none"/>
              </w:rPr>
            </w:pPr>
            <w:r>
              <w:rPr>
                <w:rFonts w:hint="eastAsia" w:ascii="仿宋" w:hAnsi="仿宋" w:eastAsia="仿宋" w:cs="仿宋"/>
                <w:sz w:val="24"/>
                <w:highlight w:val="none"/>
              </w:rPr>
              <w:t xml:space="preserve">交货和提供服务的时间见：招标文件第五章 《拟签订的合同文本》及或招标文件第六章《采购需求》。</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hint="eastAsia" w:ascii="仿宋" w:hAnsi="仿宋" w:eastAsia="仿宋" w:cs="仿宋"/>
                <w:sz w:val="24"/>
                <w:highlight w:val="none"/>
              </w:rPr>
            </w:pPr>
            <w:r>
              <w:rPr>
                <w:rFonts w:hint="eastAsia" w:ascii="仿宋" w:hAnsi="仿宋" w:eastAsia="仿宋" w:cs="仿宋"/>
                <w:sz w:val="24"/>
                <w:highlight w:val="none"/>
              </w:rPr>
              <w:t xml:space="preserve">本项目采购预算金额：</w:t>
            </w:r>
            <w:r>
              <w:rPr>
                <w:rFonts w:hint="eastAsia" w:ascii="仿宋" w:hAnsi="仿宋" w:eastAsia="仿宋" w:cs="仿宋"/>
                <w:sz w:val="24"/>
                <w:highlight w:val="none"/>
                <w:lang w:val="en-US" w:eastAsia="zh-CN"/>
              </w:rPr>
              <w:t xml:space="preserve">467.8</w:t>
            </w:r>
            <w:r>
              <w:rPr>
                <w:rFonts w:hint="eastAsia" w:ascii="仿宋" w:hAnsi="仿宋" w:eastAsia="仿宋" w:cs="仿宋"/>
                <w:sz w:val="24"/>
                <w:highlight w:val="none"/>
              </w:rPr>
              <w:t xml:space="preserve">万元（人民币）</w:t>
            </w:r>
            <w:r/>
          </w:p>
          <w:p>
            <w:pPr>
              <w:pStyle w:val="1223"/>
              <w:rPr>
                <w:rFonts w:hint="eastAsia" w:ascii="仿宋" w:hAnsi="仿宋" w:eastAsia="仿宋" w:cs="仿宋"/>
                <w:sz w:val="24"/>
                <w:highlight w:val="none"/>
              </w:rPr>
            </w:pPr>
            <w:r>
              <w:rPr>
                <w:rFonts w:hint="eastAsia" w:ascii="仿宋" w:hAnsi="仿宋" w:eastAsia="仿宋" w:cs="仿宋"/>
                <w:sz w:val="24"/>
                <w:highlight w:val="none"/>
              </w:rPr>
              <w:t xml:space="preserve">其中：</w:t>
            </w:r>
            <w:r/>
          </w:p>
          <w:p>
            <w:pPr>
              <w:pStyle w:val="1223"/>
              <w:ind w:firstLine="480"/>
              <w:rPr>
                <w:rFonts w:hint="eastAsia" w:ascii="仿宋" w:hAnsi="仿宋" w:eastAsia="仿宋" w:cs="仿宋"/>
                <w:sz w:val="24"/>
                <w:highlight w:val="none"/>
              </w:rPr>
            </w:pPr>
            <w:r>
              <w:rPr>
                <w:rFonts w:hint="eastAsia" w:ascii="仿宋" w:hAnsi="仿宋" w:eastAsia="仿宋" w:cs="仿宋"/>
                <w:sz w:val="24"/>
                <w:highlight w:val="none"/>
              </w:rPr>
              <w:t xml:space="preserve">采购包一不接受超过</w:t>
            </w:r>
            <w:r>
              <w:rPr>
                <w:rFonts w:hint="eastAsia" w:ascii="仿宋" w:hAnsi="仿宋" w:eastAsia="仿宋" w:cs="仿宋"/>
                <w:sz w:val="24"/>
                <w:highlight w:val="none"/>
                <w:lang w:val="en-US" w:eastAsia="zh-CN"/>
              </w:rPr>
              <w:t xml:space="preserve">59</w:t>
            </w:r>
            <w:r>
              <w:rPr>
                <w:rFonts w:hint="eastAsia" w:ascii="仿宋" w:hAnsi="仿宋" w:eastAsia="仿宋" w:cs="仿宋"/>
                <w:sz w:val="24"/>
                <w:highlight w:val="none"/>
              </w:rPr>
              <w:t xml:space="preserve">万元人民币的投标报价；</w:t>
            </w:r>
            <w:r/>
          </w:p>
          <w:p>
            <w:pPr>
              <w:pStyle w:val="1223"/>
              <w:ind w:firstLine="480"/>
              <w:rPr>
                <w:rFonts w:hint="eastAsia" w:ascii="仿宋" w:hAnsi="仿宋" w:eastAsia="仿宋" w:cs="仿宋"/>
                <w:sz w:val="24"/>
                <w:highlight w:val="none"/>
              </w:rPr>
            </w:pPr>
            <w:r>
              <w:rPr>
                <w:rFonts w:hint="eastAsia" w:ascii="仿宋" w:hAnsi="仿宋" w:eastAsia="仿宋" w:cs="仿宋"/>
                <w:sz w:val="24"/>
                <w:highlight w:val="none"/>
              </w:rPr>
              <w:t xml:space="preserve">采购包二不接受超过</w:t>
            </w:r>
            <w:r>
              <w:rPr>
                <w:rFonts w:hint="eastAsia" w:ascii="仿宋" w:hAnsi="仿宋" w:eastAsia="仿宋" w:cs="仿宋"/>
                <w:sz w:val="24"/>
                <w:highlight w:val="none"/>
                <w:lang w:val="en-US" w:eastAsia="zh-CN"/>
              </w:rPr>
              <w:t xml:space="preserve">51.2</w:t>
            </w:r>
            <w:r>
              <w:rPr>
                <w:rFonts w:hint="eastAsia" w:ascii="仿宋" w:hAnsi="仿宋" w:eastAsia="仿宋" w:cs="仿宋"/>
                <w:sz w:val="24"/>
                <w:highlight w:val="none"/>
              </w:rPr>
              <w:t xml:space="preserve">万元人民币的投标报价；</w:t>
            </w:r>
            <w:r/>
          </w:p>
          <w:p>
            <w:pPr>
              <w:pStyle w:val="1223"/>
              <w:ind w:firstLine="480"/>
              <w:rPr>
                <w:rFonts w:hint="eastAsia" w:ascii="仿宋" w:hAnsi="仿宋" w:eastAsia="仿宋" w:cs="仿宋"/>
                <w:sz w:val="24"/>
                <w:highlight w:val="none"/>
              </w:rPr>
            </w:pPr>
            <w:r>
              <w:rPr>
                <w:rFonts w:hint="eastAsia" w:ascii="仿宋" w:hAnsi="仿宋" w:eastAsia="仿宋" w:cs="仿宋"/>
                <w:sz w:val="24"/>
                <w:highlight w:val="none"/>
              </w:rPr>
              <w:t xml:space="preserve">采购包三不接受超过</w:t>
            </w:r>
            <w:r>
              <w:rPr>
                <w:rFonts w:hint="eastAsia" w:ascii="仿宋" w:hAnsi="仿宋" w:eastAsia="仿宋" w:cs="仿宋"/>
                <w:sz w:val="24"/>
                <w:highlight w:val="none"/>
                <w:lang w:val="en-US" w:eastAsia="zh-CN"/>
              </w:rPr>
              <w:t xml:space="preserve">62.7</w:t>
            </w:r>
            <w:r>
              <w:rPr>
                <w:rFonts w:hint="eastAsia" w:ascii="仿宋" w:hAnsi="仿宋" w:eastAsia="仿宋" w:cs="仿宋"/>
                <w:sz w:val="24"/>
                <w:highlight w:val="none"/>
              </w:rPr>
              <w:t xml:space="preserve">万元人民币的投标报价；</w:t>
            </w:r>
            <w:r/>
          </w:p>
          <w:p>
            <w:pPr>
              <w:pStyle w:val="1223"/>
              <w:ind w:firstLine="480"/>
              <w:rPr>
                <w:rFonts w:hint="eastAsia" w:ascii="仿宋" w:hAnsi="仿宋" w:eastAsia="仿宋" w:cs="仿宋"/>
                <w:sz w:val="24"/>
                <w:highlight w:val="none"/>
              </w:rPr>
            </w:pPr>
            <w:r>
              <w:rPr>
                <w:rFonts w:hint="eastAsia" w:ascii="仿宋" w:hAnsi="仿宋" w:eastAsia="仿宋" w:cs="仿宋"/>
                <w:sz w:val="24"/>
                <w:highlight w:val="none"/>
              </w:rPr>
              <w:t xml:space="preserve">采购包四不接受超过</w:t>
            </w:r>
            <w:r>
              <w:rPr>
                <w:rFonts w:hint="eastAsia" w:ascii="仿宋" w:hAnsi="仿宋" w:eastAsia="仿宋" w:cs="仿宋"/>
                <w:sz w:val="24"/>
                <w:highlight w:val="none"/>
                <w:lang w:val="en-US" w:eastAsia="zh-CN"/>
              </w:rPr>
              <w:t xml:space="preserve">59</w:t>
            </w:r>
            <w:r>
              <w:rPr>
                <w:rFonts w:hint="eastAsia" w:ascii="仿宋" w:hAnsi="仿宋" w:eastAsia="仿宋" w:cs="仿宋"/>
                <w:sz w:val="24"/>
                <w:highlight w:val="none"/>
              </w:rPr>
              <w:t xml:space="preserve">万元人民币的投标报价；</w:t>
            </w:r>
            <w:r/>
          </w:p>
          <w:p>
            <w:pPr>
              <w:pStyle w:val="1223"/>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采购包五不接受超过</w:t>
            </w:r>
            <w:r>
              <w:rPr>
                <w:rFonts w:hint="eastAsia" w:ascii="仿宋" w:hAnsi="仿宋" w:eastAsia="仿宋" w:cs="仿宋"/>
                <w:sz w:val="24"/>
                <w:highlight w:val="none"/>
                <w:lang w:val="en-US" w:eastAsia="zh-CN"/>
              </w:rPr>
              <w:t xml:space="preserve">51.2</w:t>
            </w:r>
            <w:r>
              <w:rPr>
                <w:rFonts w:hint="eastAsia" w:ascii="仿宋" w:hAnsi="仿宋" w:eastAsia="仿宋" w:cs="仿宋"/>
                <w:sz w:val="24"/>
                <w:highlight w:val="none"/>
              </w:rPr>
              <w:t xml:space="preserve">万元人民币的投标报价</w:t>
            </w:r>
            <w:r>
              <w:rPr>
                <w:rFonts w:hint="eastAsia" w:ascii="仿宋" w:hAnsi="仿宋" w:eastAsia="仿宋" w:cs="仿宋"/>
                <w:sz w:val="24"/>
                <w:highlight w:val="none"/>
                <w:lang w:eastAsia="zh-CN"/>
              </w:rPr>
              <w:t xml:space="preserve">；</w:t>
            </w:r>
            <w:r/>
          </w:p>
          <w:p>
            <w:pPr>
              <w:pStyle w:val="1223"/>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采购包</w:t>
            </w:r>
            <w:r>
              <w:rPr>
                <w:rFonts w:hint="eastAsia" w:ascii="仿宋" w:hAnsi="仿宋" w:eastAsia="仿宋" w:cs="仿宋"/>
                <w:sz w:val="24"/>
                <w:highlight w:val="none"/>
                <w:lang w:val="en-US" w:eastAsia="zh-CN"/>
              </w:rPr>
              <w:t xml:space="preserve">六</w:t>
            </w:r>
            <w:r>
              <w:rPr>
                <w:rFonts w:hint="eastAsia" w:ascii="仿宋" w:hAnsi="仿宋" w:eastAsia="仿宋" w:cs="仿宋"/>
                <w:sz w:val="24"/>
                <w:highlight w:val="none"/>
              </w:rPr>
              <w:t xml:space="preserve">不接受超过</w:t>
            </w:r>
            <w:r>
              <w:rPr>
                <w:rFonts w:hint="eastAsia" w:ascii="仿宋" w:hAnsi="仿宋" w:eastAsia="仿宋" w:cs="仿宋"/>
                <w:sz w:val="24"/>
                <w:highlight w:val="none"/>
                <w:lang w:val="en-US" w:eastAsia="zh-CN"/>
              </w:rPr>
              <w:t xml:space="preserve">62.7</w:t>
            </w:r>
            <w:r>
              <w:rPr>
                <w:rFonts w:hint="eastAsia" w:ascii="仿宋" w:hAnsi="仿宋" w:eastAsia="仿宋" w:cs="仿宋"/>
                <w:sz w:val="24"/>
                <w:highlight w:val="none"/>
              </w:rPr>
              <w:t xml:space="preserve">万元人民币的投标报价</w:t>
            </w:r>
            <w:r>
              <w:rPr>
                <w:rFonts w:hint="eastAsia" w:ascii="仿宋" w:hAnsi="仿宋" w:eastAsia="仿宋" w:cs="仿宋"/>
                <w:sz w:val="24"/>
                <w:highlight w:val="none"/>
                <w:lang w:eastAsia="zh-CN"/>
              </w:rPr>
              <w:t xml:space="preserve">；</w:t>
            </w:r>
            <w:r/>
          </w:p>
          <w:p>
            <w:pPr>
              <w:pStyle w:val="1223"/>
              <w:ind w:firstLine="480"/>
              <w:rPr>
                <w:rFonts w:hint="eastAsia" w:ascii="仿宋" w:hAnsi="仿宋" w:eastAsia="仿宋" w:cs="仿宋"/>
                <w:sz w:val="24"/>
                <w:highlight w:val="none"/>
              </w:rPr>
            </w:pPr>
            <w:r>
              <w:rPr>
                <w:rFonts w:hint="eastAsia" w:ascii="仿宋" w:hAnsi="仿宋" w:eastAsia="仿宋" w:cs="仿宋"/>
                <w:sz w:val="24"/>
                <w:highlight w:val="none"/>
              </w:rPr>
              <w:t xml:space="preserve">采购包</w:t>
            </w:r>
            <w:r>
              <w:rPr>
                <w:rFonts w:hint="eastAsia" w:ascii="仿宋" w:hAnsi="仿宋" w:eastAsia="仿宋" w:cs="仿宋"/>
                <w:sz w:val="24"/>
                <w:highlight w:val="none"/>
                <w:lang w:val="en-US" w:eastAsia="zh-CN"/>
              </w:rPr>
              <w:t xml:space="preserve">七</w:t>
            </w:r>
            <w:r>
              <w:rPr>
                <w:rFonts w:hint="eastAsia" w:ascii="仿宋" w:hAnsi="仿宋" w:eastAsia="仿宋" w:cs="仿宋"/>
                <w:sz w:val="24"/>
                <w:highlight w:val="none"/>
              </w:rPr>
              <w:t xml:space="preserve">不接受超过</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万元人民币的投标报价；</w:t>
            </w:r>
            <w:r/>
          </w:p>
          <w:p>
            <w:pPr>
              <w:pStyle w:val="1223"/>
              <w:ind w:firstLine="480"/>
              <w:rPr>
                <w:rFonts w:hint="eastAsia" w:ascii="仿宋" w:hAnsi="仿宋" w:eastAsia="仿宋" w:cs="仿宋"/>
                <w:sz w:val="24"/>
                <w:highlight w:val="none"/>
              </w:rPr>
            </w:pPr>
            <w:r>
              <w:rPr>
                <w:rFonts w:hint="eastAsia" w:ascii="仿宋" w:hAnsi="仿宋" w:eastAsia="仿宋" w:cs="仿宋"/>
                <w:sz w:val="24"/>
                <w:highlight w:val="none"/>
              </w:rPr>
              <w:t xml:space="preserve">采购包</w:t>
            </w:r>
            <w:r>
              <w:rPr>
                <w:rFonts w:hint="eastAsia" w:ascii="仿宋" w:hAnsi="仿宋" w:eastAsia="仿宋" w:cs="仿宋"/>
                <w:sz w:val="24"/>
                <w:highlight w:val="none"/>
                <w:lang w:val="en-US" w:eastAsia="zh-CN"/>
              </w:rPr>
              <w:t xml:space="preserve">八</w:t>
            </w:r>
            <w:r>
              <w:rPr>
                <w:rFonts w:hint="eastAsia" w:ascii="仿宋" w:hAnsi="仿宋" w:eastAsia="仿宋" w:cs="仿宋"/>
                <w:sz w:val="24"/>
                <w:highlight w:val="none"/>
              </w:rPr>
              <w:t xml:space="preserve">不接受超过</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万元人民币的投标报价；</w:t>
            </w:r>
            <w:r/>
          </w:p>
          <w:p>
            <w:pPr>
              <w:pStyle w:val="1223"/>
              <w:ind w:firstLine="480"/>
              <w:rPr>
                <w:rFonts w:hint="eastAsia" w:ascii="仿宋" w:hAnsi="仿宋" w:eastAsia="仿宋" w:cs="仿宋"/>
                <w:sz w:val="24"/>
                <w:highlight w:val="none"/>
              </w:rPr>
            </w:pPr>
            <w:r>
              <w:rPr>
                <w:rFonts w:hint="eastAsia" w:ascii="仿宋" w:hAnsi="仿宋" w:eastAsia="仿宋" w:cs="仿宋"/>
                <w:sz w:val="24"/>
                <w:highlight w:val="none"/>
              </w:rPr>
              <w:t xml:space="preserve">采购包</w:t>
            </w:r>
            <w:r>
              <w:rPr>
                <w:rFonts w:hint="eastAsia" w:ascii="仿宋" w:hAnsi="仿宋" w:eastAsia="仿宋" w:cs="仿宋"/>
                <w:sz w:val="24"/>
                <w:highlight w:val="none"/>
                <w:lang w:val="en-US" w:eastAsia="zh-CN"/>
              </w:rPr>
              <w:t xml:space="preserve">九</w:t>
            </w:r>
            <w:r>
              <w:rPr>
                <w:rFonts w:hint="eastAsia" w:ascii="仿宋" w:hAnsi="仿宋" w:eastAsia="仿宋" w:cs="仿宋"/>
                <w:sz w:val="24"/>
                <w:highlight w:val="none"/>
              </w:rPr>
              <w:t xml:space="preserve">不接受超过</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万元人民币的投标报价；</w:t>
            </w:r>
            <w:r/>
          </w:p>
          <w:p>
            <w:pPr>
              <w:pStyle w:val="1223"/>
              <w:ind w:firstLine="48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报价包括</w:t>
            </w:r>
            <w:r>
              <w:rPr>
                <w:rFonts w:hint="eastAsia" w:ascii="仿宋" w:hAnsi="仿宋" w:eastAsia="仿宋" w:cs="仿宋"/>
                <w:sz w:val="24"/>
                <w:highlight w:val="none"/>
                <w:lang w:val="en-US" w:eastAsia="zh-CN"/>
              </w:rPr>
              <w:t xml:space="preserve">完成本项目的</w:t>
            </w:r>
            <w:r>
              <w:rPr>
                <w:rFonts w:hint="eastAsia" w:ascii="仿宋" w:hAnsi="仿宋" w:eastAsia="仿宋" w:cs="仿宋"/>
                <w:sz w:val="24"/>
                <w:highlight w:val="none"/>
              </w:rPr>
              <w:t xml:space="preserve">全部费用。采购人不再支付报价以外的任</w:t>
            </w:r>
            <w:r>
              <w:rPr>
                <w:rFonts w:hint="eastAsia" w:ascii="仿宋" w:hAnsi="仿宋" w:eastAsia="仿宋" w:cs="仿宋"/>
                <w:bCs/>
                <w:sz w:val="24"/>
                <w:highlight w:val="none"/>
              </w:rPr>
              <w:t xml:space="preserve">何费用。</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以人民币报价。投标人</w:t>
            </w:r>
            <w:r>
              <w:rPr>
                <w:rFonts w:hint="eastAsia" w:ascii="仿宋" w:hAnsi="仿宋" w:eastAsia="仿宋" w:cs="仿宋"/>
                <w:sz w:val="24"/>
                <w:highlight w:val="none"/>
                <w:lang w:val="en-US" w:eastAsia="zh-CN"/>
              </w:rPr>
              <w:t xml:space="preserve">可以对其中任意一个或多个采购包进行投标报价</w:t>
            </w:r>
            <w:r>
              <w:rPr>
                <w:rFonts w:hint="eastAsia" w:ascii="仿宋" w:hAnsi="仿宋" w:eastAsia="仿宋" w:cs="仿宋"/>
                <w:sz w:val="24"/>
                <w:highlight w:val="none"/>
              </w:rPr>
              <w:t xml:space="preserve">，但只能中标一个采购包，评审（中标）顺序为采购包1至采购包</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（中标后可参加下一采购包的评审但不得被推荐为中标人）。</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线上投标要求：</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投标人应当通过“苏采云”系统提交数据电文形式的投标文件（即电子投标）。</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特别说明：通过“苏采云”系统提交政府采购客户端工具导出加密的投标文件（后缀名为zip）。投标文件不得超过350M（具体以“苏采云”系统规定为准）！</w:t>
            </w:r>
            <w:r/>
          </w:p>
          <w:p>
            <w:pPr>
              <w:pStyle w:val="1223"/>
              <w:ind w:firstLine="480"/>
              <w:rPr>
                <w:rFonts w:ascii="仿宋" w:hAnsi="仿宋" w:eastAsia="仿宋" w:cs="仿宋"/>
                <w:sz w:val="24"/>
                <w:highlight w:val="none"/>
                <w:u w:val="single"/>
              </w:rPr>
            </w:pPr>
            <w:r>
              <w:rPr>
                <w:rFonts w:hint="eastAsia" w:ascii="仿宋" w:hAnsi="仿宋" w:eastAsia="仿宋" w:cs="仿宋"/>
                <w:sz w:val="24"/>
                <w:highlight w:val="none"/>
              </w:rPr>
              <w:t xml:space="preserve">说明：本项目通过“苏采云”系统进行电子采购，即供应商投标文件从政府采购客户端工具制作通过“苏采云”系统提交，未提供线上投标文件并解密(因“苏采云”系统导致解密失败的除外)的，投标无效。</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线上投标文件的密封、签署、盖章要求：</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1.投标文件的密封（加密）要求：</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2.投标文件的签署要求：见招标文件第七章《投标文件相关格式》。</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3.投标文件的盖章要求：见招标文件第三章《投标资料表》和招标文件第七章《投标文件相关格式》。投标人须通过“苏采云”系统提供的政府采购客户端工具（使用“CA数字证书”）加盖电子签章。</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说明：投标人应准备CA数字证书以及自备的能够登录“苏采云”系统的电脑，在达到开标时间后，使用CA数字证书解密各自投标文件。</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“苏采云”系统拒收未按规定加密的投标文件。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投标文件的提交与接收： </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1.投标文件提交与接收时间：</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线上提交与接收时间：提交投标文件截止时间（</w:t>
            </w:r>
            <w:r>
              <w:rPr>
                <w:rFonts w:hint="eastAsia" w:ascii="仿宋" w:hAnsi="仿宋" w:eastAsia="仿宋" w:cs="仿宋"/>
                <w:sz w:val="24"/>
                <w:highlight w:val="none"/>
                <w:lang w:eastAsia="zh-CN"/>
              </w:rPr>
              <w:t xml:space="preserve">2024年7月24日</w:t>
            </w:r>
            <w:r>
              <w:rPr>
                <w:rFonts w:hint="eastAsia" w:ascii="仿宋" w:hAnsi="仿宋" w:eastAsia="仿宋" w:cs="仿宋"/>
                <w:sz w:val="24"/>
                <w:highlight w:val="none"/>
              </w:rPr>
              <w:t xml:space="preserve">北京时间9：30）前。</w:t>
            </w:r>
            <w:r/>
          </w:p>
          <w:p>
            <w:pPr>
              <w:pStyle w:val="1223"/>
              <w:numPr>
                <w:ilvl w:val="0"/>
                <w:numId w:val="6"/>
              </w:numPr>
              <w:ind w:firstLine="480"/>
              <w:rPr>
                <w:rFonts w:ascii="仿宋" w:hAnsi="仿宋" w:eastAsia="仿宋" w:cs="仿宋"/>
                <w:sz w:val="24"/>
                <w:highlight w:val="none"/>
              </w:rPr>
            </w:pPr>
            <w:r>
              <w:rPr>
                <w:rFonts w:hint="eastAsia" w:ascii="仿宋" w:hAnsi="仿宋" w:eastAsia="仿宋" w:cs="仿宋"/>
                <w:sz w:val="24"/>
                <w:highlight w:val="none"/>
              </w:rPr>
              <w:t xml:space="preserve">投标截止时间</w:t>
            </w:r>
            <w:r>
              <w:rPr>
                <w:rFonts w:hint="eastAsia" w:ascii="仿宋" w:hAnsi="仿宋" w:eastAsia="仿宋" w:cs="仿宋"/>
                <w:sz w:val="24"/>
                <w:highlight w:val="none"/>
                <w:lang w:eastAsia="zh-CN"/>
              </w:rPr>
              <w:t xml:space="preserve">2024年7月24日</w:t>
            </w:r>
            <w:r>
              <w:rPr>
                <w:rFonts w:hint="eastAsia" w:ascii="仿宋" w:hAnsi="仿宋" w:eastAsia="仿宋" w:cs="仿宋"/>
                <w:sz w:val="24"/>
                <w:highlight w:val="none"/>
              </w:rPr>
              <w:t xml:space="preserve">北京时间9：30。</w:t>
            </w:r>
            <w:r/>
          </w:p>
          <w:p>
            <w:pPr>
              <w:pStyle w:val="1223"/>
              <w:numPr>
                <w:ilvl w:val="0"/>
                <w:numId w:val="6"/>
              </w:numPr>
              <w:ind w:firstLine="480"/>
              <w:rPr>
                <w:rFonts w:ascii="仿宋" w:hAnsi="仿宋" w:eastAsia="仿宋" w:cs="仿宋"/>
                <w:sz w:val="24"/>
                <w:highlight w:val="none"/>
              </w:rPr>
            </w:pPr>
            <w:r>
              <w:rPr>
                <w:rFonts w:hint="eastAsia" w:ascii="仿宋" w:hAnsi="仿宋" w:eastAsia="仿宋" w:cs="仿宋"/>
                <w:sz w:val="24"/>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center"/>
              <w:rPr>
                <w:rFonts w:ascii="仿宋" w:hAnsi="仿宋" w:eastAsia="仿宋" w:cs="仿宋"/>
                <w:b/>
                <w:sz w:val="24"/>
                <w:highlight w:val="none"/>
              </w:rPr>
            </w:pPr>
            <w:r>
              <w:rPr>
                <w:rFonts w:hint="eastAsia" w:ascii="仿宋" w:hAnsi="仿宋" w:eastAsia="仿宋" w:cs="仿宋"/>
                <w:b/>
                <w:sz w:val="24"/>
                <w:highlight w:val="none"/>
              </w:rPr>
              <w:t xml:space="preserve">四、开标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(二十一)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lang w:bidi="en-US"/>
              </w:rPr>
            </w:pPr>
            <w:r>
              <w:rPr>
                <w:rFonts w:hint="eastAsia" w:ascii="仿宋" w:hAnsi="仿宋" w:eastAsia="仿宋" w:cs="仿宋"/>
                <w:sz w:val="24"/>
                <w:highlight w:val="none"/>
                <w:lang w:bidi="en-US"/>
              </w:rPr>
              <w:t xml:space="preserve">开标时间及地点：</w:t>
            </w:r>
            <w:r/>
          </w:p>
          <w:p>
            <w:pPr>
              <w:pStyle w:val="1223"/>
              <w:ind w:firstLine="480"/>
              <w:rPr>
                <w:rFonts w:ascii="仿宋" w:hAnsi="仿宋" w:eastAsia="仿宋" w:cs="仿宋"/>
                <w:sz w:val="24"/>
                <w:highlight w:val="none"/>
                <w:lang w:bidi="en-US"/>
              </w:rPr>
            </w:pPr>
            <w:r>
              <w:rPr>
                <w:rFonts w:hint="eastAsia" w:ascii="仿宋" w:hAnsi="仿宋" w:eastAsia="仿宋" w:cs="仿宋"/>
                <w:sz w:val="24"/>
                <w:highlight w:val="none"/>
                <w:lang w:bidi="en-US"/>
              </w:rPr>
              <w:t xml:space="preserve">1.开标时间：</w:t>
            </w:r>
            <w:r>
              <w:rPr>
                <w:rFonts w:hint="eastAsia" w:ascii="仿宋" w:hAnsi="仿宋" w:eastAsia="仿宋" w:cs="仿宋"/>
                <w:sz w:val="24"/>
                <w:highlight w:val="none"/>
                <w:lang w:eastAsia="zh-CN"/>
              </w:rPr>
              <w:t xml:space="preserve">2024年7月24日</w:t>
            </w:r>
            <w:r>
              <w:rPr>
                <w:rFonts w:hint="eastAsia" w:ascii="仿宋" w:hAnsi="仿宋" w:eastAsia="仿宋" w:cs="仿宋"/>
                <w:sz w:val="24"/>
                <w:highlight w:val="none"/>
                <w:lang w:bidi="en-US"/>
              </w:rPr>
              <w:t xml:space="preserve">9：30（北京时间）</w:t>
            </w:r>
            <w:r/>
          </w:p>
          <w:p>
            <w:pPr>
              <w:pStyle w:val="1223"/>
              <w:ind w:firstLine="480"/>
              <w:jc w:val="left"/>
              <w:rPr>
                <w:rFonts w:ascii="仿宋" w:hAnsi="仿宋" w:eastAsia="仿宋" w:cs="仿宋"/>
                <w:sz w:val="24"/>
                <w:highlight w:val="none"/>
                <w:lang w:bidi="en-US"/>
              </w:rPr>
            </w:pPr>
            <w:r>
              <w:rPr>
                <w:rFonts w:hint="eastAsia" w:ascii="仿宋" w:hAnsi="仿宋" w:eastAsia="仿宋" w:cs="仿宋"/>
                <w:sz w:val="24"/>
                <w:highlight w:val="none"/>
                <w:lang w:bidi="en-US"/>
              </w:rPr>
              <w:t xml:space="preserve">2.开标地点：</w:t>
            </w:r>
            <w:r/>
          </w:p>
          <w:p>
            <w:pPr>
              <w:pStyle w:val="1223"/>
              <w:ind w:firstLine="480"/>
              <w:jc w:val="left"/>
              <w:rPr>
                <w:rFonts w:ascii="仿宋" w:hAnsi="仿宋" w:eastAsia="仿宋" w:cs="仿宋"/>
                <w:sz w:val="24"/>
                <w:highlight w:val="none"/>
                <w:lang w:bidi="en-US"/>
              </w:rPr>
            </w:pPr>
            <w:r>
              <w:rPr>
                <w:rFonts w:hint="eastAsia" w:ascii="仿宋" w:hAnsi="仿宋" w:eastAsia="仿宋" w:cs="仿宋"/>
                <w:sz w:val="24"/>
                <w:highlight w:val="none"/>
                <w:lang w:bidi="en-US"/>
              </w:rPr>
              <w:t xml:space="preserve">线上地点：“苏采云”系统（网址： http://jszfcg.jsczt.cn/）“开标大厅”或进入徐州政府采购网（网址：http://czj.xz.gov.cn/Home/HomeIndex）--业务工作--采购人登录，点击“苏采云”进入系统“开标大厅”。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（二十二）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线上开标时，“苏采云”系统自动提取所有投标文件，投标人按招标文件规定方式按时在线解密。本项目招标文件规定的投标人按时在线解密方式：截至本公告发布之日“苏采云”系统解密时间为</w:t>
            </w:r>
            <w:r>
              <w:rPr>
                <w:rFonts w:hint="eastAsia" w:ascii="仿宋" w:hAnsi="仿宋" w:eastAsia="仿宋" w:cs="仿宋"/>
                <w:b/>
                <w:bCs/>
                <w:sz w:val="24"/>
                <w:highlight w:val="none"/>
              </w:rPr>
              <w:t xml:space="preserve">开标时间后30分钟内，</w:t>
            </w:r>
            <w:r>
              <w:rPr>
                <w:rFonts w:hint="eastAsia" w:ascii="仿宋" w:hAnsi="仿宋" w:eastAsia="仿宋" w:cs="仿宋"/>
                <w:sz w:val="24"/>
                <w:highlight w:val="none"/>
              </w:rPr>
              <w:t xml:space="preserve">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center"/>
              <w:rPr>
                <w:rFonts w:ascii="仿宋" w:hAnsi="仿宋" w:eastAsia="仿宋" w:cs="仿宋"/>
                <w:b/>
                <w:sz w:val="24"/>
                <w:highlight w:val="none"/>
              </w:rPr>
            </w:pPr>
            <w:r>
              <w:rPr>
                <w:rFonts w:hint="eastAsia" w:ascii="仿宋" w:hAnsi="仿宋" w:eastAsia="仿宋" w:cs="仿宋"/>
                <w:b/>
                <w:sz w:val="24"/>
                <w:highlight w:val="none"/>
              </w:rPr>
              <w:t xml:space="preserve">五、评标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（二十三）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2"/>
              <w:rPr>
                <w:rFonts w:ascii="仿宋" w:hAnsi="仿宋" w:eastAsia="仿宋" w:cs="仿宋"/>
                <w:b/>
                <w:sz w:val="24"/>
                <w:highlight w:val="none"/>
              </w:rPr>
            </w:pPr>
            <w:r>
              <w:rPr>
                <w:rFonts w:hint="eastAsia" w:ascii="仿宋" w:hAnsi="仿宋" w:eastAsia="仿宋" w:cs="仿宋"/>
                <w:b/>
                <w:sz w:val="24"/>
                <w:highlight w:val="none"/>
              </w:rPr>
              <w:t xml:space="preserve">本项目的评标方法：综合评分法。</w:t>
            </w:r>
            <w:r/>
          </w:p>
        </w:tc>
      </w:tr>
      <w:tr>
        <w:trPr>
          <w:trHeight w:val="130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（二十四）</w:t>
            </w:r>
            <w:r/>
          </w:p>
          <w:p>
            <w:pPr>
              <w:pStyle w:val="1223"/>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一、推荐中标候选供应商名单。中标候选供应商数量应当根据采购需要确定，但必须按顺序排列中标候选供应商。</w:t>
            </w:r>
            <w:r/>
          </w:p>
          <w:p>
            <w:pPr>
              <w:pStyle w:val="1223"/>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二、采用综合评分法的，按评审后得分由高到低顺序排列。得分相同的，按投标报价由低到高顺序排列。得分且投标报价相同的，按整体设想、策划、管理和服务方案得分由高到底顺序排列。</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（二十六）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1.评标中需要投标人对投标文件澄清或者说明的，应当通过“苏采云”系统交换数据电文。</w:t>
            </w:r>
            <w:r>
              <w:rPr>
                <w:rFonts w:hint="eastAsia" w:ascii="仿宋" w:hAnsi="仿宋" w:eastAsia="仿宋" w:cs="仿宋"/>
                <w:b/>
                <w:bCs/>
                <w:sz w:val="24"/>
                <w:highlight w:val="none"/>
              </w:rPr>
              <w:t xml:space="preserve">在评标期间，请投标人保持在线</w:t>
            </w:r>
            <w:r>
              <w:rPr>
                <w:rFonts w:hint="eastAsia" w:ascii="仿宋" w:hAnsi="仿宋" w:eastAsia="仿宋" w:cs="仿宋"/>
                <w:sz w:val="24"/>
                <w:highlight w:val="none"/>
              </w:rPr>
              <w:t xml:space="preserve">。</w:t>
            </w:r>
            <w:r/>
          </w:p>
          <w:p>
            <w:pPr>
              <w:pStyle w:val="1223"/>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1223"/>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223"/>
              <w:ind w:firstLine="482"/>
              <w:jc w:val="left"/>
              <w:widowControl/>
              <w:rPr>
                <w:rFonts w:ascii="仿宋" w:hAnsi="仿宋" w:eastAsia="仿宋" w:cs="仿宋"/>
                <w:sz w:val="24"/>
                <w:highlight w:val="none"/>
              </w:rPr>
            </w:pPr>
            <w:r>
              <w:rPr>
                <w:rFonts w:hint="eastAsia" w:ascii="仿宋" w:hAnsi="仿宋" w:eastAsia="仿宋" w:cs="仿宋"/>
                <w:b/>
                <w:bCs/>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jc w:val="center"/>
              <w:rPr>
                <w:rFonts w:ascii="仿宋" w:hAnsi="仿宋" w:eastAsia="仿宋" w:cs="仿宋"/>
                <w:b/>
                <w:sz w:val="24"/>
                <w:highlight w:val="none"/>
              </w:rPr>
            </w:pPr>
            <w:r>
              <w:rPr>
                <w:rFonts w:hint="eastAsia" w:ascii="仿宋" w:hAnsi="仿宋" w:eastAsia="仿宋" w:cs="仿宋"/>
                <w:b/>
                <w:sz w:val="24"/>
                <w:highlight w:val="none"/>
              </w:rPr>
              <w:t xml:space="preserve">六、政府采购合同</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采购人与中标、成交供应商应当在中标、成交通知书发出之日起</w:t>
            </w:r>
            <w:r>
              <w:rPr>
                <w:rFonts w:hint="eastAsia" w:ascii="仿宋" w:hAnsi="仿宋" w:eastAsia="仿宋" w:cs="仿宋"/>
                <w:sz w:val="24"/>
                <w:highlight w:val="none"/>
                <w:u w:val="single"/>
              </w:rPr>
              <w:t xml:space="preserve">30</w:t>
            </w:r>
            <w:r>
              <w:rPr>
                <w:rFonts w:hint="eastAsia" w:ascii="仿宋" w:hAnsi="仿宋" w:eastAsia="仿宋" w:cs="仿宋"/>
                <w:sz w:val="24"/>
                <w:highlight w:val="none"/>
              </w:rPr>
              <w:t xml:space="preserve">日内，按照采购文件确定的事项签订采购合同。</w:t>
            </w:r>
            <w:r/>
          </w:p>
        </w:tc>
      </w:tr>
      <w:tr>
        <w:trPr>
          <w:trHeight w:val="33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（二十八）</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1225"/>
              <w:ind w:firstLine="480"/>
              <w:spacing w:after="0"/>
              <w:rPr>
                <w:rFonts w:ascii="仿宋" w:hAnsi="仿宋" w:eastAsia="仿宋" w:cs="仿宋"/>
                <w:sz w:val="24"/>
                <w:highlight w:val="none"/>
              </w:rPr>
            </w:pPr>
            <w:r>
              <w:rPr>
                <w:rFonts w:hint="eastAsia" w:ascii="仿宋" w:hAnsi="仿宋" w:eastAsia="仿宋" w:cs="仿宋"/>
                <w:sz w:val="24"/>
                <w:highlight w:val="none"/>
              </w:rPr>
              <w:t xml:space="preserve">履约保证金：详见第五章《拟签订的合同文本》</w:t>
            </w:r>
            <w:r/>
          </w:p>
        </w:tc>
      </w:tr>
      <w:tr>
        <w:trPr>
          <w:trHeight w:val="398"/>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1223"/>
              <w:ind w:firstLine="562"/>
              <w:jc w:val="center"/>
              <w:rPr>
                <w:rFonts w:ascii="仿宋" w:hAnsi="仿宋" w:eastAsia="仿宋" w:cs="仿宋"/>
                <w:sz w:val="24"/>
                <w:highlight w:val="none"/>
              </w:rPr>
            </w:pPr>
            <w:r>
              <w:rPr>
                <w:rFonts w:hint="eastAsia" w:ascii="仿宋" w:hAnsi="仿宋" w:eastAsia="仿宋" w:cs="仿宋"/>
                <w:b/>
                <w:sz w:val="24"/>
                <w:highlight w:val="none"/>
              </w:rPr>
              <w:t xml:space="preserve">八、询问和质疑</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sz w:val="24"/>
                <w:highlight w:val="none"/>
              </w:rPr>
              <w:t xml:space="preserve">（二十九）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供应商在法定质疑期内一次性提出针对同一采购程序环节的质疑。</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质疑接收人：高珂</w:t>
            </w:r>
            <w:r>
              <w:rPr>
                <w:rFonts w:hint="eastAsia" w:ascii="仿宋" w:hAnsi="仿宋" w:eastAsia="仿宋" w:cs="仿宋"/>
                <w:sz w:val="24"/>
                <w:highlight w:val="none"/>
                <w:lang w:bidi="en-US"/>
              </w:rPr>
              <w:t xml:space="preserve"> </w:t>
            </w:r>
            <w:r>
              <w:rPr>
                <w:rFonts w:hint="eastAsia" w:ascii="仿宋" w:hAnsi="仿宋" w:eastAsia="仿宋" w:cs="仿宋"/>
                <w:sz w:val="24"/>
                <w:highlight w:val="none"/>
              </w:rPr>
              <w:t xml:space="preserve">   联系电话：</w:t>
            </w:r>
            <w:r>
              <w:rPr>
                <w:rFonts w:hint="eastAsia" w:ascii="仿宋" w:hAnsi="仿宋" w:eastAsia="仿宋" w:cs="仿宋"/>
                <w:sz w:val="24"/>
                <w:highlight w:val="none"/>
                <w:lang w:bidi="en-US"/>
              </w:rPr>
              <w:t xml:space="preserve">15152460601</w:t>
            </w:r>
            <w:r/>
          </w:p>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地址：</w:t>
            </w:r>
            <w:r>
              <w:rPr>
                <w:rFonts w:hint="eastAsia" w:ascii="仿宋" w:hAnsi="仿宋" w:eastAsia="仿宋" w:cs="仿宋"/>
                <w:sz w:val="24"/>
                <w:highlight w:val="none"/>
                <w:lang w:bidi="en-US"/>
              </w:rPr>
              <w:t xml:space="preserve">徐州市云龙区吉田商务广场B幢536</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223"/>
              <w:jc w:val="center"/>
              <w:rPr>
                <w:rFonts w:ascii="仿宋" w:hAnsi="仿宋" w:eastAsia="仿宋" w:cs="仿宋"/>
                <w:sz w:val="24"/>
                <w:highlight w:val="none"/>
              </w:rPr>
            </w:pPr>
            <w:r>
              <w:rPr>
                <w:rFonts w:hint="eastAsia" w:ascii="仿宋" w:hAnsi="仿宋" w:eastAsia="仿宋" w:cs="仿宋"/>
                <w:b/>
                <w:bCs/>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223"/>
              <w:ind w:firstLine="480"/>
              <w:rPr>
                <w:rFonts w:ascii="仿宋" w:hAnsi="仿宋" w:eastAsia="仿宋" w:cs="仿宋"/>
                <w:sz w:val="24"/>
                <w:highlight w:val="none"/>
              </w:rPr>
            </w:pPr>
            <w:r>
              <w:rPr>
                <w:rFonts w:hint="eastAsia" w:ascii="仿宋" w:hAnsi="仿宋" w:eastAsia="仿宋" w:cs="仿宋"/>
                <w:sz w:val="24"/>
                <w:highlight w:val="none"/>
              </w:rPr>
              <w:t xml:space="preserve">中标人在收到中标通知书时，须向采购代理机构提交《开标一览表》和《分项价格表》的数据文件（WORD格式）。</w:t>
            </w:r>
            <w:r/>
          </w:p>
        </w:tc>
      </w:tr>
    </w:tbl>
    <w:p>
      <w:pPr>
        <w:pStyle w:val="1223"/>
        <w:rPr>
          <w:rFonts w:ascii="仿宋" w:hAnsi="仿宋" w:eastAsia="仿宋" w:cs="仿宋"/>
          <w:b/>
          <w:sz w:val="24"/>
          <w:highlight w:val="none"/>
        </w:rPr>
        <w:sectPr>
          <w:footerReference w:type="default" r:id="rId14"/>
          <w:footnotePr/>
          <w:endnotePr/>
          <w:type w:val="nextPage"/>
          <w:pgSz w:w="11906" w:h="16838" w:orient="portrait"/>
          <w:pgMar w:top="1304" w:right="1361" w:bottom="1304" w:left="1361" w:header="737" w:footer="992" w:gutter="0"/>
          <w:cols w:num="1" w:sep="0" w:space="1701" w:equalWidth="1"/>
          <w:docGrid w:linePitch="360"/>
        </w:sectPr>
      </w:pPr>
      <w:r>
        <w:rPr>
          <w:rFonts w:ascii="仿宋" w:hAnsi="仿宋" w:eastAsia="仿宋" w:cs="仿宋"/>
          <w:b/>
          <w:sz w:val="24"/>
          <w:highlight w:val="none"/>
        </w:rPr>
      </w:r>
      <w:r/>
    </w:p>
    <w:p>
      <w:pPr>
        <w:pStyle w:val="1223"/>
        <w:ind w:firstLine="562"/>
        <w:jc w:val="left"/>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附件：</w:t>
      </w:r>
      <w:r/>
    </w:p>
    <w:p>
      <w:pPr>
        <w:pStyle w:val="1223"/>
        <w:ind w:firstLine="562"/>
        <w:jc w:val="center"/>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招标代理服务收费标准</w:t>
      </w:r>
      <w:r/>
    </w:p>
    <w:tbl>
      <w:tblPr>
        <w:tblStyle w:val="1196"/>
        <w:tblW w:w="0" w:type="auto"/>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收费上</w:t>
            </w:r>
            <w:r>
              <w:rPr>
                <w:rFonts w:hint="eastAsia" w:ascii="仿宋" w:hAnsi="仿宋" w:eastAsia="仿宋" w:cs="仿宋"/>
                <w:color w:val="000000"/>
                <w:sz w:val="24"/>
                <w:szCs w:val="24"/>
                <w:highlight w:val="none"/>
                <w:lang w:val="en-US" w:eastAsia="zh-CN"/>
              </w:rPr>
              <w:t xml:space="preserve">下</w:t>
            </w:r>
            <w:r>
              <w:rPr>
                <w:rFonts w:hint="eastAsia" w:ascii="仿宋" w:hAnsi="仿宋" w:eastAsia="仿宋" w:cs="仿宋"/>
                <w:color w:val="000000"/>
                <w:sz w:val="24"/>
                <w:szCs w:val="24"/>
                <w:highlight w:val="none"/>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w:t>
            </w:r>
            <w:r/>
          </w:p>
        </w:tc>
        <w:tc>
          <w:tcPr>
            <w:tcW w:w="1971" w:type="dxa"/>
            <w:vAlign w:val="center"/>
            <w:vMerge w:val="restart"/>
            <w:textDirection w:val="lrTb"/>
            <w:noWrap w:val="false"/>
          </w:tcPr>
          <w:p>
            <w:pPr>
              <w:ind w:firstLine="480"/>
              <w:keepLines w:val="0"/>
              <w:keepNext w:val="0"/>
              <w:pageBreakBefore w:val="0"/>
              <w:spacing w:line="6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最低5千元</w:t>
            </w:r>
            <w:r/>
          </w:p>
          <w:p>
            <w:pPr>
              <w:ind w:firstLine="480"/>
              <w:keepLines w:val="0"/>
              <w:keepNext w:val="0"/>
              <w:pageBreakBefore w:val="0"/>
              <w:spacing w:line="6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最高15万元</w:t>
            </w:r>
            <w:r/>
          </w:p>
          <w:p>
            <w:pPr>
              <w:ind w:firstLine="240"/>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100万</w:t>
            </w:r>
            <w:r>
              <w:rPr>
                <w:rFonts w:hint="eastAsia" w:ascii="仿宋" w:hAnsi="仿宋" w:eastAsia="仿宋" w:cs="仿宋"/>
                <w:color w:val="333333"/>
                <w:sz w:val="24"/>
                <w:szCs w:val="24"/>
                <w:highlight w:val="none"/>
              </w:rPr>
              <w:t xml:space="preserve">~</w:t>
            </w:r>
            <w:r>
              <w:rPr>
                <w:rFonts w:hint="eastAsia" w:ascii="仿宋" w:hAnsi="仿宋" w:eastAsia="仿宋" w:cs="仿宋"/>
                <w:color w:val="000000"/>
                <w:sz w:val="24"/>
                <w:szCs w:val="24"/>
                <w:highlight w:val="none"/>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500万</w:t>
            </w:r>
            <w:r>
              <w:rPr>
                <w:rFonts w:hint="eastAsia" w:ascii="仿宋" w:hAnsi="仿宋" w:eastAsia="仿宋" w:cs="仿宋"/>
                <w:color w:val="333333"/>
                <w:sz w:val="24"/>
                <w:szCs w:val="24"/>
                <w:highlight w:val="none"/>
              </w:rPr>
              <w:t xml:space="preserve">~</w:t>
            </w:r>
            <w:r>
              <w:rPr>
                <w:rFonts w:hint="eastAsia" w:ascii="仿宋" w:hAnsi="仿宋" w:eastAsia="仿宋" w:cs="仿宋"/>
                <w:color w:val="000000"/>
                <w:sz w:val="24"/>
                <w:szCs w:val="24"/>
                <w:highlight w:val="none"/>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l000万</w:t>
            </w:r>
            <w:r>
              <w:rPr>
                <w:rFonts w:hint="eastAsia" w:ascii="仿宋" w:hAnsi="仿宋" w:eastAsia="仿宋" w:cs="仿宋"/>
                <w:color w:val="333333"/>
                <w:sz w:val="24"/>
                <w:szCs w:val="24"/>
                <w:highlight w:val="none"/>
              </w:rPr>
              <w:t xml:space="preserve">~</w:t>
            </w:r>
            <w:r>
              <w:rPr>
                <w:rFonts w:hint="eastAsia" w:ascii="仿宋" w:hAnsi="仿宋" w:eastAsia="仿宋" w:cs="仿宋"/>
                <w:color w:val="000000"/>
                <w:sz w:val="24"/>
                <w:szCs w:val="24"/>
                <w:highlight w:val="none"/>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5000万</w:t>
            </w:r>
            <w:r>
              <w:rPr>
                <w:rFonts w:hint="eastAsia" w:ascii="仿宋" w:hAnsi="仿宋" w:eastAsia="仿宋" w:cs="仿宋"/>
                <w:color w:val="333333"/>
                <w:sz w:val="24"/>
                <w:szCs w:val="24"/>
                <w:highlight w:val="none"/>
              </w:rPr>
              <w:t xml:space="preserve">~</w:t>
            </w:r>
            <w:r>
              <w:rPr>
                <w:rFonts w:hint="eastAsia" w:ascii="仿宋" w:hAnsi="仿宋" w:eastAsia="仿宋" w:cs="仿宋"/>
                <w:color w:val="000000"/>
                <w:sz w:val="24"/>
                <w:szCs w:val="24"/>
                <w:highlight w:val="none"/>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1亿</w:t>
            </w:r>
            <w:r>
              <w:rPr>
                <w:rFonts w:hint="eastAsia" w:ascii="仿宋" w:hAnsi="仿宋" w:eastAsia="仿宋" w:cs="仿宋"/>
                <w:color w:val="333333"/>
                <w:sz w:val="24"/>
                <w:szCs w:val="24"/>
                <w:highlight w:val="none"/>
              </w:rPr>
              <w:t xml:space="preserve">~</w:t>
            </w:r>
            <w:r>
              <w:rPr>
                <w:rFonts w:hint="eastAsia" w:ascii="仿宋" w:hAnsi="仿宋" w:eastAsia="仿宋" w:cs="仿宋"/>
                <w:color w:val="000000"/>
                <w:sz w:val="24"/>
                <w:szCs w:val="24"/>
                <w:highlight w:val="none"/>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5亿</w:t>
            </w:r>
            <w:r>
              <w:rPr>
                <w:rFonts w:hint="eastAsia" w:ascii="仿宋" w:hAnsi="仿宋" w:eastAsia="仿宋" w:cs="仿宋"/>
                <w:color w:val="333333"/>
                <w:sz w:val="24"/>
                <w:szCs w:val="24"/>
                <w:highlight w:val="none"/>
              </w:rPr>
              <w:t xml:space="preserve">~</w:t>
            </w:r>
            <w:r>
              <w:rPr>
                <w:rFonts w:hint="eastAsia" w:ascii="仿宋" w:hAnsi="仿宋" w:eastAsia="仿宋" w:cs="仿宋"/>
                <w:color w:val="000000"/>
                <w:sz w:val="24"/>
                <w:szCs w:val="24"/>
                <w:highlight w:val="none"/>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10亿</w:t>
            </w:r>
            <w:r>
              <w:rPr>
                <w:rFonts w:hint="eastAsia" w:ascii="仿宋" w:hAnsi="仿宋" w:eastAsia="仿宋" w:cs="仿宋"/>
                <w:color w:val="333333"/>
                <w:sz w:val="24"/>
                <w:szCs w:val="24"/>
                <w:highlight w:val="none"/>
              </w:rPr>
              <w:t xml:space="preserve">~</w:t>
            </w:r>
            <w:r>
              <w:rPr>
                <w:rFonts w:hint="eastAsia" w:ascii="仿宋" w:hAnsi="仿宋" w:eastAsia="仿宋" w:cs="仿宋"/>
                <w:color w:val="000000"/>
                <w:sz w:val="24"/>
                <w:szCs w:val="24"/>
                <w:highlight w:val="none"/>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50亿</w:t>
            </w:r>
            <w:r>
              <w:rPr>
                <w:rFonts w:hint="eastAsia" w:ascii="仿宋" w:hAnsi="仿宋" w:eastAsia="仿宋" w:cs="仿宋"/>
                <w:color w:val="333333"/>
                <w:sz w:val="24"/>
                <w:szCs w:val="24"/>
                <w:highlight w:val="none"/>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p>
      <w:pPr>
        <w:ind w:firstLine="480"/>
        <w:spacing w:line="240" w:lineRule="auto"/>
        <w:widowControl/>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sz w:val="24"/>
          <w:szCs w:val="24"/>
          <w:highlight w:val="none"/>
        </w:rPr>
        <w:t xml:space="preserve">1.按上表计算的收费为代理服务全过程的收费金额。各社会代理机构不另外收取采购文件制作售卖费用。</w:t>
      </w:r>
      <w:r/>
    </w:p>
    <w:p>
      <w:pPr>
        <w:ind w:firstLine="480"/>
        <w:keepLines w:val="0"/>
        <w:keepNext w:val="0"/>
        <w:pageBreakBefore w:val="0"/>
        <w:spacing w:line="240" w:lineRule="auto"/>
        <w:tabs>
          <w:tab w:val="left" w:pos="8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2.代理服务费按差额定率累进法计算。</w:t>
      </w:r>
      <w:r/>
    </w:p>
    <w:p>
      <w:pPr>
        <w:ind w:left="67" w:firstLine="48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3.代理服务费基准金额</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 xml:space="preserve">按差额定率累进法计算的</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 xml:space="preserve">中标金额（</w:t>
      </w:r>
      <w:r>
        <w:rPr>
          <w:rFonts w:hint="eastAsia" w:ascii="仿宋" w:hAnsi="仿宋" w:eastAsia="仿宋" w:cs="仿宋"/>
          <w:color w:val="000000"/>
          <w:sz w:val="24"/>
          <w:szCs w:val="24"/>
          <w:highlight w:val="none"/>
        </w:rPr>
        <w:t xml:space="preserve">按差额定率累进法计算的</w:t>
      </w:r>
      <w:r>
        <w:rPr>
          <w:rFonts w:hint="eastAsia" w:ascii="仿宋" w:hAnsi="仿宋" w:eastAsia="仿宋" w:cs="仿宋"/>
          <w:color w:val="000000"/>
          <w:sz w:val="24"/>
          <w:szCs w:val="24"/>
          <w:highlight w:val="none"/>
        </w:rPr>
        <w:t xml:space="preserve">） * 费率（%）</w:t>
      </w:r>
      <w:r/>
    </w:p>
    <w:p>
      <w:pPr>
        <w:ind w:left="67" w:firstLine="48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t xml:space="preserve">代理服务费应收取金额=代理服务费基准金额</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 xml:space="preserve">按差额定率累进法计算的</w:t>
      </w:r>
      <w:r>
        <w:rPr>
          <w:rFonts w:hint="eastAsia" w:ascii="仿宋" w:hAnsi="仿宋" w:eastAsia="仿宋" w:cs="仿宋"/>
          <w:color w:val="000000"/>
          <w:sz w:val="24"/>
          <w:szCs w:val="24"/>
          <w:highlight w:val="none"/>
        </w:rPr>
        <w:t xml:space="preserve">）的合计数。</w:t>
      </w:r>
      <w:r/>
    </w:p>
    <w:p>
      <w:pPr>
        <w:ind w:left="-1" w:firstLine="48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5.计算出的代理服务费应收取金额如</w:t>
      </w:r>
      <w:r>
        <w:rPr>
          <w:rFonts w:hint="eastAsia" w:ascii="仿宋" w:hAnsi="仿宋" w:eastAsia="仿宋" w:cs="仿宋"/>
          <w:color w:val="000000"/>
          <w:sz w:val="24"/>
          <w:szCs w:val="24"/>
          <w:highlight w:val="none"/>
        </w:rPr>
        <w:t xml:space="preserve">低于</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千元，按</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千元收取；如高于</w:t>
      </w:r>
      <w:r>
        <w:rPr>
          <w:rFonts w:hint="eastAsia" w:ascii="仿宋" w:hAnsi="仿宋" w:eastAsia="仿宋" w:cs="仿宋"/>
          <w:color w:val="000000"/>
          <w:sz w:val="24"/>
          <w:szCs w:val="24"/>
          <w:highlight w:val="none"/>
          <w:lang w:val="en-US" w:eastAsia="zh-CN"/>
        </w:rPr>
        <w:t xml:space="preserve">15万元，按15万元收取。</w:t>
      </w:r>
      <w:r/>
    </w:p>
    <w:p>
      <w:pPr>
        <w:ind w:firstLine="480"/>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定点类等无金额或事先不能计算出价格总额的</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lang w:val="en-US" w:eastAsia="zh-CN"/>
        </w:rPr>
        <w:t xml:space="preserve">按</w:t>
      </w:r>
      <w:r>
        <w:rPr>
          <w:rFonts w:hint="eastAsia" w:ascii="仿宋" w:hAnsi="仿宋" w:eastAsia="仿宋" w:cs="仿宋"/>
          <w:color w:val="000000"/>
          <w:sz w:val="24"/>
          <w:szCs w:val="24"/>
          <w:highlight w:val="none"/>
        </w:rPr>
        <w:t xml:space="preserve">中标（成交）金额</w:t>
      </w:r>
      <w:r>
        <w:rPr>
          <w:rFonts w:hint="eastAsia" w:ascii="仿宋" w:hAnsi="仿宋" w:eastAsia="仿宋" w:cs="仿宋"/>
          <w:color w:val="000000"/>
          <w:sz w:val="24"/>
          <w:szCs w:val="24"/>
          <w:highlight w:val="none"/>
          <w:lang w:val="en-US" w:eastAsia="zh-CN"/>
        </w:rPr>
        <w:t xml:space="preserve">100</w:t>
      </w:r>
      <w:r>
        <w:rPr>
          <w:rFonts w:hint="eastAsia" w:ascii="仿宋" w:hAnsi="仿宋" w:eastAsia="仿宋" w:cs="仿宋"/>
          <w:color w:val="000000"/>
          <w:sz w:val="24"/>
          <w:szCs w:val="24"/>
          <w:highlight w:val="none"/>
        </w:rPr>
        <w:t xml:space="preserve">万元计算</w:t>
      </w:r>
      <w:r>
        <w:rPr>
          <w:rFonts w:hint="eastAsia" w:ascii="仿宋" w:hAnsi="仿宋" w:eastAsia="仿宋" w:cs="仿宋"/>
          <w:color w:val="000000"/>
          <w:sz w:val="24"/>
          <w:szCs w:val="24"/>
          <w:highlight w:val="none"/>
          <w:lang w:val="en-US" w:eastAsia="zh-CN"/>
        </w:rPr>
        <w:t xml:space="preserve">服务费</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240" w:lineRule="auto"/>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7.多个采购包（标段）项目按总项目中标（成交）金额收费，最高不超过15万元。</w:t>
      </w:r>
      <w:r/>
    </w:p>
    <w:p>
      <w:pPr>
        <w:ind w:firstLine="5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8.以上价格为协会指导价，双方也可以协商定。本办法自202</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月1日起执行</w:t>
      </w:r>
      <w:r/>
    </w:p>
    <w:p>
      <w:pPr>
        <w:pStyle w:val="1224"/>
        <w:spacing w:after="0"/>
        <w:rPr>
          <w:rFonts w:ascii="仿宋" w:hAnsi="仿宋" w:eastAsia="仿宋" w:cs="仿宋"/>
          <w:sz w:val="24"/>
          <w:highlight w:val="none"/>
        </w:rPr>
      </w:pPr>
      <w:r>
        <w:rPr>
          <w:rFonts w:ascii="仿宋" w:hAnsi="仿宋" w:eastAsia="仿宋" w:cs="仿宋"/>
          <w:sz w:val="24"/>
          <w:highlight w:val="none"/>
        </w:rPr>
      </w:r>
      <w:r/>
    </w:p>
    <w:p>
      <w:pPr>
        <w:ind w:firstLine="420"/>
        <w:rPr>
          <w:rFonts w:ascii="仿宋" w:hAnsi="仿宋" w:eastAsia="仿宋" w:cs="仿宋"/>
          <w:sz w:val="24"/>
          <w:highlight w:val="none"/>
        </w:rPr>
      </w:pPr>
      <w:r>
        <w:rPr>
          <w:rFonts w:hint="eastAsia" w:ascii="仿宋" w:hAnsi="仿宋" w:eastAsia="仿宋" w:cs="仿宋"/>
          <w:highlight w:val="none"/>
        </w:rPr>
        <w:br w:type="page" w:clear="all"/>
      </w:r>
      <w:r/>
    </w:p>
    <w:p>
      <w:pPr>
        <w:pStyle w:val="1201"/>
        <w:numPr>
          <w:ilvl w:val="0"/>
          <w:numId w:val="7"/>
        </w:numPr>
        <w:jc w:val="center"/>
        <w:spacing w:after="0"/>
        <w:rPr>
          <w:rFonts w:ascii="仿宋" w:hAnsi="仿宋" w:eastAsia="仿宋" w:cs="仿宋"/>
          <w:sz w:val="30"/>
          <w:szCs w:val="30"/>
          <w:highlight w:val="none"/>
        </w:rPr>
      </w:pPr>
      <w:r>
        <w:rPr>
          <w:rFonts w:hint="eastAsia" w:ascii="仿宋" w:hAnsi="仿宋" w:eastAsia="仿宋" w:cs="仿宋"/>
          <w:sz w:val="30"/>
          <w:szCs w:val="30"/>
          <w:highlight w:val="none"/>
        </w:rPr>
        <w:t xml:space="preserve">评标标准</w:t>
      </w:r>
      <w:r/>
    </w:p>
    <w:p>
      <w:pPr>
        <w:pStyle w:val="1209"/>
        <w:rPr>
          <w:rFonts w:hAnsi="宋体"/>
          <w:szCs w:val="28"/>
          <w:highlight w:val="none"/>
        </w:rPr>
      </w:pPr>
      <w:r>
        <w:rPr>
          <w:rFonts w:hint="eastAsia" w:ascii="仿宋" w:hAnsi="仿宋" w:eastAsia="仿宋" w:cs="仿宋"/>
          <w:b/>
          <w:bCs/>
          <w:sz w:val="24"/>
          <w:highlight w:val="none"/>
        </w:rPr>
        <w:t xml:space="preserve">采购包</w:t>
      </w:r>
      <w:r>
        <w:rPr>
          <w:rFonts w:hint="eastAsia" w:ascii="仿宋" w:hAnsi="仿宋" w:eastAsia="仿宋" w:cs="仿宋"/>
          <w:b/>
          <w:bCs/>
          <w:sz w:val="24"/>
          <w:highlight w:val="none"/>
          <w:lang w:val="en-US" w:eastAsia="zh-CN"/>
        </w:rPr>
        <w:t xml:space="preserve">1至采购包9</w:t>
      </w:r>
      <w:r>
        <w:rPr>
          <w:rFonts w:hint="eastAsia" w:ascii="仿宋" w:hAnsi="仿宋" w:eastAsia="仿宋" w:cs="仿宋"/>
          <w:b/>
          <w:bCs/>
          <w:sz w:val="24"/>
          <w:highlight w:val="none"/>
        </w:rPr>
        <w:t xml:space="preserve">评标标准</w:t>
      </w:r>
      <w:r/>
    </w:p>
    <w:tbl>
      <w:tblPr>
        <w:tblStyle w:val="1196"/>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492"/>
        <w:gridCol w:w="6875"/>
      </w:tblGrid>
      <w:tr>
        <w:trPr>
          <w:jc w:val="center"/>
          <w:trHeight w:val="651"/>
        </w:trPr>
        <w:tc>
          <w:tcPr>
            <w:gridSpan w:val="2"/>
            <w:tcBorders>
              <w:top w:val="single" w:color="auto" w:sz="4" w:space="0"/>
              <w:left w:val="single" w:color="auto" w:sz="4" w:space="0"/>
              <w:bottom w:val="single" w:color="auto" w:sz="4" w:space="0"/>
              <w:right w:val="single" w:color="auto" w:sz="4" w:space="0"/>
            </w:tcBorders>
            <w:tcW w:w="27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评审因素细化和量化</w:t>
            </w:r>
            <w:r/>
          </w:p>
        </w:tc>
      </w:tr>
      <w:tr>
        <w:trPr>
          <w:jc w:val="center"/>
          <w:trHeight w:val="1088"/>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价格部分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价格分（</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各投标人价格得分=最低报价（投标人的最低评审价格）÷各投标人评审价格×15。</w:t>
            </w:r>
            <w:r/>
          </w:p>
          <w:p>
            <w:pPr>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注：</w:t>
            </w:r>
            <w:bookmarkStart w:id="3" w:name="_GoBack"/>
            <w:r/>
            <w:bookmarkEnd w:id="3"/>
            <w:r>
              <w:rPr>
                <w:rFonts w:hint="eastAsia" w:ascii="仿宋" w:hAnsi="仿宋" w:eastAsia="仿宋" w:cs="仿宋"/>
                <w:sz w:val="24"/>
                <w:szCs w:val="24"/>
                <w:highlight w:val="none"/>
                <w:lang w:val="en-US" w:eastAsia="zh-CN"/>
              </w:rPr>
              <w:t xml:space="preserve">得分四舍五入保留小数点后2位。</w:t>
            </w:r>
            <w:r/>
          </w:p>
        </w:tc>
      </w:tr>
      <w:tr>
        <w:trPr>
          <w:jc w:val="center"/>
          <w:trHeight w:val="1040"/>
        </w:trPr>
        <w:tc>
          <w:tcPr>
            <w:tcBorders>
              <w:left w:val="single" w:color="auto" w:sz="4" w:space="0"/>
              <w:right w:val="single" w:color="auto" w:sz="4" w:space="0"/>
            </w:tcBorders>
            <w:tcW w:w="123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both"/>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业绩（</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投标文件中提供投标人为乙方，合同签订日期在202</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月1日以后，合同内容与本项目相同或类似的合同扫描件，每提供一份得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r>
      <w:tr>
        <w:trPr>
          <w:jc w:val="center"/>
          <w:trHeight w:val="1185"/>
        </w:trPr>
        <w:tc>
          <w:tcPr>
            <w:tcBorders>
              <w:left w:val="single" w:color="auto" w:sz="4" w:space="0"/>
              <w:right w:val="single" w:color="auto" w:sz="4" w:space="0"/>
            </w:tcBorders>
            <w:tcW w:w="1236"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技术部分（</w:t>
            </w:r>
            <w:r>
              <w:rPr>
                <w:rFonts w:hint="eastAsia" w:ascii="仿宋" w:hAnsi="仿宋" w:eastAsia="仿宋" w:cs="仿宋"/>
                <w:sz w:val="24"/>
                <w:szCs w:val="24"/>
                <w:highlight w:val="none"/>
                <w:lang w:val="en-US" w:eastAsia="zh-CN"/>
              </w:rPr>
              <w:t xml:space="preserve">81</w:t>
            </w:r>
            <w:r>
              <w:rPr>
                <w:rFonts w:hint="eastAsia" w:ascii="仿宋" w:hAnsi="仿宋" w:eastAsia="仿宋" w:cs="仿宋"/>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整体设想、策划、管理和服务方案（</w:t>
            </w: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根据投标人投标文件中提供的整体设想、策划、管理和服务方案的合理性、可行性、针对性进行评价：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r>
        <w:trPr>
          <w:jc w:val="center"/>
          <w:trHeight w:val="1185"/>
        </w:trPr>
        <w:tc>
          <w:tcPr>
            <w:tcBorders>
              <w:left w:val="single" w:color="auto" w:sz="4" w:space="0"/>
              <w:right w:val="single" w:color="auto" w:sz="4" w:space="0"/>
            </w:tcBorders>
            <w:tcW w:w="123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组织机构设置及职能(9分)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根据投标人投标文件中提供的组织机构设置及职能的合理性、可行性、针对性进行评价：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r>
        <w:trPr>
          <w:jc w:val="center"/>
          <w:trHeight w:val="1185"/>
        </w:trPr>
        <w:tc>
          <w:tcPr>
            <w:tcBorders>
              <w:left w:val="single" w:color="auto" w:sz="4" w:space="0"/>
              <w:right w:val="single" w:color="auto" w:sz="4" w:space="0"/>
            </w:tcBorders>
            <w:tcW w:w="123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管理规章制度、档案建立与管理（9分）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根据投标人投标文件中提供的管理规章制度、档案建立与管理的合理性、可行性、针对性进行评价：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r>
        <w:trPr>
          <w:jc w:val="center"/>
          <w:trHeight w:val="1185"/>
        </w:trPr>
        <w:tc>
          <w:tcPr>
            <w:tcBorders>
              <w:left w:val="single" w:color="auto" w:sz="4" w:space="0"/>
              <w:right w:val="single" w:color="auto" w:sz="4" w:space="0"/>
            </w:tcBorders>
            <w:tcW w:w="123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组织计划、进度保障措施方案(9分)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根据投标人投标文件中提供的组织计划、进度保障措施方案的合理性、可行性、针对性进行评价：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r>
        <w:trPr>
          <w:jc w:val="center"/>
          <w:trHeight w:val="1185"/>
        </w:trPr>
        <w:tc>
          <w:tcPr>
            <w:tcBorders>
              <w:left w:val="single" w:color="auto" w:sz="4" w:space="0"/>
              <w:right w:val="single" w:color="auto" w:sz="4" w:space="0"/>
            </w:tcBorders>
            <w:tcW w:w="123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服务质量承诺及措施（9分)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根据投标人投标文件中提供的服务质量承诺及措施的合理性、可行性、针对性进行评价：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r>
        <w:trPr>
          <w:jc w:val="center"/>
          <w:trHeight w:val="1185"/>
        </w:trPr>
        <w:tc>
          <w:tcPr>
            <w:tcBorders>
              <w:left w:val="single" w:color="auto" w:sz="4" w:space="0"/>
              <w:right w:val="single" w:color="auto" w:sz="4" w:space="0"/>
            </w:tcBorders>
            <w:tcW w:w="123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服务保障及突发事件的应急措施（9分）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根据投标人投标文件中提供的服务保障及突发事件的应急措施的合理性、可行性、针对性进行评价：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r>
        <w:trPr>
          <w:jc w:val="center"/>
          <w:trHeight w:val="450"/>
        </w:trPr>
        <w:tc>
          <w:tcPr>
            <w:tcBorders>
              <w:left w:val="single" w:color="auto" w:sz="4" w:space="0"/>
              <w:right w:val="single" w:color="auto" w:sz="4" w:space="0"/>
            </w:tcBorders>
            <w:tcW w:w="123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设备、仪器投入方案（9分）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根据投标人投标文件中提供的设备、仪器投入方案的合理性、可行性、针对性进行评价：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r>
        <w:trPr>
          <w:jc w:val="center"/>
          <w:trHeight w:val="785"/>
        </w:trPr>
        <w:tc>
          <w:tcPr>
            <w:tcBorders>
              <w:left w:val="single" w:color="auto" w:sz="4" w:space="0"/>
              <w:right w:val="single" w:color="auto" w:sz="4" w:space="0"/>
            </w:tcBorders>
            <w:tcW w:w="123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人员配备方案（9分）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根据投标人投标文件中提供的人员配备方案的合理性、可行性、针对性进行评价：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r>
        <w:trPr>
          <w:jc w:val="center"/>
          <w:trHeight w:val="1185"/>
        </w:trPr>
        <w:tc>
          <w:tcPr>
            <w:tcBorders>
              <w:left w:val="single" w:color="auto" w:sz="4" w:space="0"/>
              <w:right w:val="single" w:color="auto" w:sz="4" w:space="0"/>
            </w:tcBorders>
            <w:tcW w:w="123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92"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配合与服从采购人管理方案（</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875"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根据投标人投标文件中提供的配合与服从采购人管理方案的合理性、可行性、针对性进行评价：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分，最低得0分。</w:t>
            </w:r>
            <w:r/>
          </w:p>
        </w:tc>
      </w:tr>
    </w:tbl>
    <w:p>
      <w:pPr>
        <w:rPr>
          <w:highlight w:val="none"/>
        </w:rPr>
      </w:pPr>
      <w:r>
        <w:rPr>
          <w:highlight w:val="none"/>
        </w:rPr>
      </w:r>
      <w:r/>
    </w:p>
    <w:p>
      <w:pPr>
        <w:pStyle w:val="1201"/>
        <w:spacing w:after="0"/>
        <w:rPr>
          <w:rFonts w:ascii="仿宋" w:hAnsi="仿宋" w:eastAsia="仿宋" w:cs="仿宋"/>
          <w:sz w:val="24"/>
          <w:highlight w:val="none"/>
        </w:rPr>
      </w:pPr>
      <w:r>
        <w:rPr>
          <w:rFonts w:hint="eastAsia" w:ascii="仿宋" w:hAnsi="仿宋" w:eastAsia="仿宋" w:cs="仿宋"/>
          <w:sz w:val="24"/>
          <w:highlight w:val="none"/>
        </w:rPr>
        <w:t xml:space="preserve">本章说明：1、评分结果精确到小数点后两位。</w:t>
      </w:r>
      <w:r/>
    </w:p>
    <w:p>
      <w:pPr>
        <w:pStyle w:val="1201"/>
        <w:spacing w:after="0"/>
        <w:rPr>
          <w:rFonts w:ascii="仿宋" w:hAnsi="仿宋" w:eastAsia="仿宋" w:cs="仿宋"/>
          <w:sz w:val="24"/>
          <w:highlight w:val="none"/>
        </w:rPr>
      </w:pPr>
      <w:r>
        <w:rPr>
          <w:rFonts w:hint="eastAsia" w:ascii="仿宋" w:hAnsi="仿宋" w:eastAsia="仿宋" w:cs="仿宋"/>
          <w:sz w:val="24"/>
          <w:highlight w:val="none"/>
        </w:rPr>
        <w:t xml:space="preserve">2、本项目采用综合评分法。</w:t>
      </w:r>
      <w:r/>
    </w:p>
    <w:p>
      <w:pPr>
        <w:widowControl/>
        <w:rPr>
          <w:rFonts w:ascii="仿宋" w:hAnsi="仿宋" w:eastAsia="仿宋" w:cs="仿宋"/>
          <w:sz w:val="30"/>
          <w:szCs w:val="30"/>
          <w:highlight w:val="none"/>
        </w:rPr>
      </w:pPr>
      <w:r>
        <w:rPr>
          <w:rFonts w:ascii="仿宋" w:hAnsi="仿宋" w:eastAsia="仿宋" w:cs="仿宋"/>
          <w:sz w:val="30"/>
          <w:szCs w:val="30"/>
          <w:highlight w:val="none"/>
        </w:rPr>
      </w:r>
      <w:r/>
    </w:p>
    <w:p>
      <w:pPr>
        <w:ind w:firstLine="600"/>
        <w:jc w:val="center"/>
        <w:pageBreakBefore/>
        <w:rPr>
          <w:rFonts w:ascii="仿宋" w:hAnsi="仿宋" w:eastAsia="仿宋" w:cs="仿宋"/>
          <w:sz w:val="30"/>
          <w:szCs w:val="30"/>
          <w:highlight w:val="none"/>
        </w:rPr>
      </w:pPr>
      <w:r>
        <w:rPr>
          <w:rFonts w:hint="eastAsia" w:ascii="仿宋" w:hAnsi="仿宋" w:eastAsia="仿宋" w:cs="仿宋"/>
          <w:sz w:val="30"/>
          <w:szCs w:val="30"/>
          <w:highlight w:val="none"/>
        </w:rPr>
        <w:t xml:space="preserve">第五章  拟签订的合同文本</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ind w:left="0" w:right="0"/>
        <w:jc w:val="center"/>
        <w:keepLines w:val="0"/>
        <w:keepNext w:val="0"/>
        <w:spacing w:before="0" w:beforeAutospacing="0" w:after="0" w:afterAutospacing="0"/>
        <w:widowControl w:val="off"/>
        <w:rPr>
          <w:rFonts w:hint="eastAsia" w:ascii="仿宋" w:hAnsi="仿宋" w:eastAsia="仿宋" w:cs="仿宋"/>
          <w:b/>
          <w:bCs w:val="0"/>
          <w:color w:val="auto"/>
          <w:sz w:val="72"/>
          <w:szCs w:val="72"/>
          <w:highlight w:val="none"/>
          <w:lang w:val="en-US" w:eastAsia="zh-CN" w:bidi="ar"/>
        </w:rPr>
        <w:suppressLineNumbers w:val="0"/>
      </w:pPr>
      <w:r>
        <w:rPr>
          <w:rFonts w:hint="eastAsia" w:ascii="仿宋" w:hAnsi="仿宋" w:eastAsia="仿宋" w:cs="仿宋"/>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b/>
          <w:bCs w:val="0"/>
          <w:color w:val="auto"/>
          <w:sz w:val="72"/>
          <w:szCs w:val="72"/>
          <w:highlight w:val="none"/>
          <w:lang w:val="en-US" w:eastAsia="zh-CN" w:bidi="ar"/>
        </w:rPr>
        <w:suppressLineNumbers w:val="0"/>
      </w:pPr>
      <w:r>
        <w:rPr>
          <w:rFonts w:hint="eastAsia" w:ascii="仿宋" w:hAnsi="仿宋" w:eastAsia="仿宋" w:cs="仿宋"/>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b/>
          <w:bCs w:val="0"/>
          <w:color w:val="auto"/>
          <w:sz w:val="72"/>
          <w:szCs w:val="72"/>
          <w:highlight w:val="none"/>
          <w:lang w:val="en-US" w:eastAsia="zh-CN" w:bidi="ar"/>
        </w:rPr>
        <w:suppressLineNumbers w:val="0"/>
      </w:pPr>
      <w:r>
        <w:rPr>
          <w:rFonts w:hint="eastAsia" w:ascii="仿宋" w:hAnsi="仿宋" w:eastAsia="仿宋" w:cs="仿宋"/>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b/>
          <w:bCs w:val="0"/>
          <w:color w:val="auto"/>
          <w:sz w:val="72"/>
          <w:szCs w:val="72"/>
          <w:highlight w:val="none"/>
          <w:lang w:eastAsia="zh-CN"/>
        </w:rPr>
        <w:suppressLineNumbers w:val="0"/>
      </w:pPr>
      <w:r>
        <w:rPr>
          <w:rFonts w:hint="eastAsia" w:ascii="仿宋" w:hAnsi="仿宋" w:eastAsia="仿宋" w:cs="仿宋"/>
          <w:b/>
          <w:bCs w:val="0"/>
          <w:color w:val="auto"/>
          <w:sz w:val="72"/>
          <w:szCs w:val="72"/>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仿宋" w:hAnsi="仿宋" w:eastAsia="仿宋" w:cs="仿宋"/>
          <w:b/>
          <w:color w:val="auto"/>
          <w:sz w:val="36"/>
          <w:szCs w:val="36"/>
          <w:highlight w:val="none"/>
          <w:lang w:eastAsia="zh-CN"/>
        </w:rPr>
        <w:suppressLineNumbers w:val="0"/>
      </w:pPr>
      <w:r>
        <w:rPr>
          <w:rFonts w:hint="eastAsia" w:ascii="仿宋" w:hAnsi="仿宋" w:eastAsia="仿宋" w:cs="仿宋"/>
          <w:b/>
          <w:color w:val="auto"/>
          <w:sz w:val="36"/>
          <w:szCs w:val="36"/>
          <w:highlight w:val="none"/>
          <w:lang w:eastAsia="zh-CN"/>
        </w:rPr>
      </w:r>
      <w:r/>
    </w:p>
    <w:p>
      <w:pPr>
        <w:ind w:right="0"/>
        <w:jc w:val="left"/>
        <w:keepLines w:val="0"/>
        <w:keepNext w:val="0"/>
        <w:spacing w:before="0" w:beforeAutospacing="0" w:after="0" w:afterAutospacing="0"/>
        <w:widowControl w:val="off"/>
        <w:rPr>
          <w:rFonts w:hint="eastAsia" w:ascii="仿宋" w:hAnsi="仿宋" w:eastAsia="仿宋" w:cs="仿宋"/>
          <w:b/>
          <w:color w:val="auto"/>
          <w:sz w:val="36"/>
          <w:szCs w:val="36"/>
          <w:highlight w:val="none"/>
          <w:lang w:eastAsia="zh-CN"/>
        </w:rPr>
        <w:suppressLineNumbers w:val="0"/>
      </w:pPr>
      <w:r>
        <w:rPr>
          <w:rFonts w:hint="eastAsia" w:ascii="仿宋" w:hAnsi="仿宋" w:eastAsia="仿宋" w:cs="仿宋"/>
          <w:b/>
          <w:color w:val="auto"/>
          <w:sz w:val="36"/>
          <w:szCs w:val="36"/>
          <w:highlight w:val="none"/>
          <w:lang w:eastAsia="zh-CN"/>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t xml:space="preserve">项目编号：</w:t>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left="1280" w:right="0" w:hanging="1280"/>
        <w:jc w:val="left"/>
        <w:keepLines w:val="0"/>
        <w:keepNext w:val="0"/>
        <w:spacing w:before="0" w:beforeAutospacing="0" w:after="0" w:afterAutospacing="0"/>
        <w:widowControl w:val="off"/>
        <w:rPr>
          <w:rFonts w:hint="default"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t xml:space="preserve">项目名称：2024年度徐州市农产品质量安全监测项目        （采购包   ）</w:t>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t xml:space="preserve">采购单位：徐州市农业农村局</w:t>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eastAsia="zh-CN"/>
        </w:rPr>
        <w:suppressLineNumbers w:val="0"/>
      </w:pPr>
      <w:r>
        <w:rPr>
          <w:rFonts w:hint="eastAsia" w:ascii="仿宋" w:hAnsi="仿宋" w:eastAsia="仿宋" w:cs="仿宋"/>
          <w:b w:val="0"/>
          <w:bCs/>
          <w:color w:val="auto"/>
          <w:sz w:val="32"/>
          <w:szCs w:val="32"/>
          <w:highlight w:val="none"/>
          <w:lang w:val="en-US" w:eastAsia="zh-CN" w:bidi="ar"/>
        </w:rPr>
        <w:t xml:space="preserve">中标供应商：</w:t>
      </w:r>
      <w:r/>
    </w:p>
    <w:p>
      <w:pPr>
        <w:ind w:left="0" w:right="0" w:firstLine="63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eastAsia="zh-CN"/>
        </w:rPr>
        <w:suppressLineNumbers w:val="0"/>
      </w:pPr>
      <w:r>
        <w:rPr>
          <w:rFonts w:hint="eastAsia" w:ascii="仿宋" w:hAnsi="仿宋" w:eastAsia="仿宋" w:cs="仿宋"/>
          <w:b w:val="0"/>
          <w:bCs/>
          <w:color w:val="auto"/>
          <w:sz w:val="32"/>
          <w:szCs w:val="32"/>
          <w:highlight w:val="none"/>
          <w:lang w:eastAsia="zh-CN"/>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eastAsia="zh-CN"/>
        </w:rPr>
        <w:suppressLineNumbers w:val="0"/>
      </w:pPr>
      <w:r>
        <w:rPr>
          <w:rFonts w:hint="eastAsia" w:ascii="仿宋" w:hAnsi="仿宋" w:eastAsia="仿宋" w:cs="仿宋"/>
          <w:b w:val="0"/>
          <w:bCs/>
          <w:color w:val="auto"/>
          <w:sz w:val="32"/>
          <w:szCs w:val="32"/>
          <w:highlight w:val="none"/>
          <w:lang w:val="en-US" w:eastAsia="zh-CN" w:bidi="ar"/>
        </w:rPr>
        <w:t xml:space="preserve">签订日期：    年  月  日</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1203"/>
        <w:ind w:left="0" w:firstLine="0"/>
        <w:rPr>
          <w:rFonts w:hint="eastAsia"/>
          <w:color w:val="auto"/>
          <w:sz w:val="24"/>
          <w:szCs w:val="24"/>
          <w:highlight w:val="none"/>
        </w:rPr>
      </w:pPr>
      <w:r>
        <w:rPr>
          <w:rFonts w:hint="eastAsia"/>
          <w:color w:val="auto"/>
          <w:sz w:val="24"/>
          <w:szCs w:val="24"/>
          <w:highlight w:val="none"/>
        </w:rPr>
      </w:r>
      <w:r/>
    </w:p>
    <w:p>
      <w:pPr>
        <w:pStyle w:val="1203"/>
        <w:ind w:left="0" w:right="0" w:firstLine="0"/>
        <w:keepLines w:val="0"/>
        <w:keepNext w:val="0"/>
        <w:pageBreakBefore w:val="0"/>
        <w:spacing w:after="0"/>
        <w:widowControl w:val="off"/>
        <w:rPr>
          <w:rFonts w:hint="eastAsia" w:ascii="仿宋" w:hAnsi="仿宋" w:eastAsia="仿宋" w:cs="仿宋"/>
          <w:b/>
          <w:bCs w:val="0"/>
          <w:color w:val="auto"/>
          <w:sz w:val="24"/>
          <w:szCs w:val="24"/>
          <w:highlight w:val="none"/>
          <w:lang w:val="en-US" w:eastAsia="zh-CN" w:bidi="ar"/>
        </w:rPr>
        <w:outlineLvl w:val="9"/>
      </w:pPr>
      <w:r>
        <w:rPr>
          <w:rFonts w:hint="eastAsia" w:ascii="仿宋" w:hAnsi="仿宋" w:eastAsia="仿宋" w:cs="仿宋"/>
          <w:b/>
          <w:bCs w:val="0"/>
          <w:color w:val="auto"/>
          <w:sz w:val="24"/>
          <w:szCs w:val="24"/>
          <w:highlight w:val="none"/>
          <w:lang w:val="en-US" w:eastAsia="zh-CN" w:bidi="ar"/>
        </w:rPr>
      </w:r>
      <w:r/>
    </w:p>
    <w:p>
      <w:pPr>
        <w:pStyle w:val="1203"/>
        <w:ind w:left="0" w:right="0" w:firstLine="0"/>
        <w:keepLines w:val="0"/>
        <w:keepNext w:val="0"/>
        <w:pageBreakBefore w:val="0"/>
        <w:spacing w:after="0"/>
        <w:widowControl w:val="off"/>
        <w:rPr>
          <w:rFonts w:hint="eastAsia" w:ascii="仿宋" w:hAnsi="仿宋" w:eastAsia="仿宋" w:cs="仿宋"/>
          <w:b/>
          <w:bCs w:val="0"/>
          <w:color w:val="auto"/>
          <w:sz w:val="24"/>
          <w:szCs w:val="24"/>
          <w:highlight w:val="none"/>
          <w:lang w:val="en-US" w:eastAsia="zh-CN" w:bidi="ar"/>
        </w:rPr>
        <w:outlineLvl w:val="9"/>
      </w:pPr>
      <w:r>
        <w:rPr>
          <w:rFonts w:hint="eastAsia" w:ascii="仿宋" w:hAnsi="仿宋" w:eastAsia="仿宋" w:cs="仿宋"/>
          <w:b/>
          <w:bCs w:val="0"/>
          <w:color w:val="auto"/>
          <w:sz w:val="24"/>
          <w:szCs w:val="24"/>
          <w:highlight w:val="none"/>
          <w:lang w:val="en-US" w:eastAsia="zh-CN" w:bidi="ar"/>
        </w:rPr>
      </w:r>
      <w:r/>
    </w:p>
    <w:p>
      <w:pPr>
        <w:pStyle w:val="1203"/>
        <w:ind w:left="0" w:right="0" w:firstLine="0"/>
        <w:keepLines w:val="0"/>
        <w:keepNext w:val="0"/>
        <w:pageBreakBefore w:val="0"/>
        <w:spacing w:after="0" w:line="240" w:lineRule="auto"/>
        <w:widowControl w:val="off"/>
        <w:rPr>
          <w:rFonts w:hint="eastAsia" w:ascii="仿宋" w:hAnsi="仿宋" w:eastAsia="仿宋" w:cs="仿宋"/>
          <w:b/>
          <w:bCs w:val="0"/>
          <w:color w:val="auto"/>
          <w:sz w:val="24"/>
          <w:szCs w:val="24"/>
          <w:highlight w:val="none"/>
          <w:lang w:val="en-US" w:eastAsia="zh-CN" w:bidi="ar"/>
        </w:rPr>
        <w:outlineLvl w:val="9"/>
      </w:pPr>
      <w:r>
        <w:rPr>
          <w:rFonts w:hint="eastAsia" w:ascii="仿宋" w:hAnsi="仿宋" w:eastAsia="仿宋" w:cs="仿宋"/>
          <w:b/>
          <w:bCs w:val="0"/>
          <w:color w:val="auto"/>
          <w:sz w:val="24"/>
          <w:szCs w:val="24"/>
          <w:highlight w:val="none"/>
          <w:lang w:val="en-US" w:eastAsia="zh-CN" w:bidi="ar"/>
        </w:rPr>
      </w:r>
      <w:r/>
    </w:p>
    <w:p>
      <w:pPr>
        <w:pStyle w:val="1203"/>
        <w:ind w:left="0" w:right="0" w:firstLine="482"/>
        <w:keepLines w:val="0"/>
        <w:keepNext w:val="0"/>
        <w:pageBreakBefore w:val="0"/>
        <w:spacing w:after="0" w:line="240" w:lineRule="auto"/>
        <w:widowControl w:val="off"/>
        <w:rPr>
          <w:rFonts w:hint="eastAsia" w:ascii="仿宋" w:hAnsi="仿宋" w:eastAsia="仿宋" w:cs="仿宋"/>
          <w:b/>
          <w:bCs w:val="0"/>
          <w:color w:val="auto"/>
          <w:sz w:val="24"/>
          <w:szCs w:val="24"/>
          <w:highlight w:val="none"/>
          <w:lang w:val="en-US" w:eastAsia="zh-CN" w:bidi="ar"/>
        </w:rPr>
        <w:outlineLvl w:val="9"/>
      </w:pPr>
      <w:r>
        <w:rPr>
          <w:rFonts w:hint="eastAsia" w:ascii="仿宋" w:hAnsi="仿宋" w:eastAsia="仿宋" w:cs="仿宋"/>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1203"/>
        <w:ind w:left="0" w:right="0" w:firstLine="482"/>
        <w:keepLines w:val="0"/>
        <w:keepNext w:val="0"/>
        <w:pageBreakBefore w:val="0"/>
        <w:spacing w:after="0" w:line="240" w:lineRule="auto"/>
        <w:widowControl w:val="off"/>
        <w:rPr>
          <w:rFonts w:hint="eastAsia" w:ascii="仿宋" w:hAnsi="仿宋" w:eastAsia="仿宋" w:cs="仿宋"/>
          <w:b/>
          <w:bCs w:val="0"/>
          <w:color w:val="auto"/>
          <w:sz w:val="24"/>
          <w:szCs w:val="24"/>
          <w:highlight w:val="none"/>
          <w:lang w:val="en-US" w:eastAsia="zh-CN" w:bidi="ar"/>
        </w:rP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仿宋" w:hAnsi="仿宋" w:eastAsia="仿宋" w:cs="仿宋"/>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pStyle w:val="1241"/>
        <w:ind w:left="1032" w:hanging="560"/>
        <w:keepLines w:val="0"/>
        <w:keepNext w:val="0"/>
        <w:pageBreakBefore w:val="0"/>
        <w:spacing w:after="0"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甲方：（买方）徐州市农业农村局</w:t>
      </w:r>
      <w:r/>
    </w:p>
    <w:p>
      <w:pPr>
        <w:pStyle w:val="1241"/>
        <w:ind w:left="1032" w:hanging="560"/>
        <w:keepLines w:val="0"/>
        <w:keepNext w:val="0"/>
        <w:pageBreakBefore w:val="0"/>
        <w:spacing w:after="0"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乙方：（卖方）_________________</w:t>
      </w:r>
      <w:r/>
    </w:p>
    <w:p>
      <w:pPr>
        <w:pStyle w:val="1241"/>
        <w:keepLines w:val="0"/>
        <w:keepNext w:val="0"/>
        <w:pageBreakBefore w:val="0"/>
        <w:spacing w:after="0"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甲、乙双方根据徐州市农业农村局“</w:t>
      </w:r>
      <w:r>
        <w:rPr>
          <w:rFonts w:hint="eastAsia" w:ascii="仿宋" w:hAnsi="仿宋" w:eastAsia="仿宋" w:cs="仿宋"/>
          <w:color w:val="000000"/>
          <w:sz w:val="24"/>
          <w:szCs w:val="24"/>
          <w:highlight w:val="none"/>
        </w:rPr>
        <w:t xml:space="preserve">2024年度徐州市农产品质量安全监测项目</w:t>
      </w:r>
      <w:r>
        <w:rPr>
          <w:rFonts w:hint="eastAsia" w:ascii="仿宋" w:hAnsi="仿宋" w:eastAsia="仿宋" w:cs="仿宋"/>
          <w:sz w:val="24"/>
          <w:szCs w:val="24"/>
          <w:highlight w:val="none"/>
        </w:rPr>
        <w:t xml:space="preserve">”公开招标的结果，签署本合同。</w:t>
      </w:r>
      <w:r/>
    </w:p>
    <w:p>
      <w:pPr>
        <w:pStyle w:val="1205"/>
        <w:ind w:firstLine="482"/>
        <w:keepLines w:val="0"/>
        <w:keepNext w:val="0"/>
        <w:pageBreakBefore w:val="0"/>
        <w:spacing w:before="120" w:after="120" w:line="46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一、服务内容</w:t>
      </w:r>
      <w:r/>
    </w:p>
    <w:p>
      <w:pPr>
        <w:pStyle w:val="1205"/>
        <w:ind w:firstLine="480"/>
        <w:jc w:val="left"/>
        <w:keepLines w:val="0"/>
        <w:keepNext w:val="0"/>
        <w:pageBreakBefore w:val="0"/>
        <w:spacing w:before="120" w:after="120"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服务名称：2024年度徐州市农产品质量安全监测项目（采购包：</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），含抽样样品费。</w:t>
      </w:r>
      <w:r/>
    </w:p>
    <w:p>
      <w:pPr>
        <w:pStyle w:val="1205"/>
        <w:ind w:firstLine="482"/>
        <w:keepLines w:val="0"/>
        <w:keepNext w:val="0"/>
        <w:pageBreakBefore w:val="0"/>
        <w:spacing w:before="120" w:after="120" w:line="46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二、付款标准、付款流程和付款方式</w:t>
      </w:r>
      <w:r/>
    </w:p>
    <w:p>
      <w:pPr>
        <w:ind w:firstLine="560"/>
        <w:keepLines w:val="0"/>
        <w:keepNext w:val="0"/>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sz w:val="24"/>
          <w:szCs w:val="24"/>
          <w:highlight w:val="none"/>
        </w:rPr>
        <w:t xml:space="preserve">2.1 经双方协商一致，选择以下第种付款方式：</w:t>
      </w:r>
      <w:r/>
    </w:p>
    <w:p>
      <w:pPr>
        <w:pStyle w:val="1242"/>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付款方式一：提交预付款保函的</w:t>
      </w:r>
      <w:r/>
    </w:p>
    <w:p>
      <w:pPr>
        <w:pStyle w:val="1242"/>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合同价款的百分之五十(50%)即￥</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元</w:t>
      </w:r>
      <w:r>
        <w:rPr>
          <w:rFonts w:hint="eastAsia" w:ascii="仿宋" w:hAnsi="仿宋" w:eastAsia="仿宋" w:cs="仿宋"/>
          <w:color w:val="000000"/>
          <w:sz w:val="24"/>
          <w:szCs w:val="24"/>
          <w:highlight w:val="none"/>
        </w:rPr>
        <w:t xml:space="preserve">整，在双方签订合同</w:t>
      </w:r>
      <w:r>
        <w:rPr>
          <w:rFonts w:hint="eastAsia" w:ascii="仿宋" w:hAnsi="仿宋" w:eastAsia="仿宋" w:cs="仿宋"/>
          <w:color w:val="000000"/>
          <w:sz w:val="24"/>
          <w:szCs w:val="24"/>
          <w:highlight w:val="none"/>
          <w:lang w:val="en-US" w:eastAsia="zh-CN"/>
        </w:rPr>
        <w:t xml:space="preserve">且乙方提交的监测方案通过甲方审核</w:t>
      </w:r>
      <w:r>
        <w:rPr>
          <w:rFonts w:hint="eastAsia" w:ascii="仿宋" w:hAnsi="仿宋" w:eastAsia="仿宋" w:cs="仿宋"/>
          <w:color w:val="000000"/>
          <w:sz w:val="24"/>
          <w:szCs w:val="24"/>
          <w:highlight w:val="none"/>
        </w:rPr>
        <w:t xml:space="preserve">后15个工作日内，乙方向甲方出具等额预付款保函后，由甲方办理政府采购资金结算手续支付给乙方。</w:t>
      </w:r>
      <w:r/>
    </w:p>
    <w:p>
      <w:pPr>
        <w:pStyle w:val="1242"/>
        <w:ind w:firstLine="48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合同总价的百分之五十(50%)即￥</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元整，合同标的相关服务全部完成后15 个工作日内，由甲方办理政府采购资金结算手续，经审核后支付给卖方。</w:t>
      </w:r>
      <w:r/>
    </w:p>
    <w:p>
      <w:pPr>
        <w:pStyle w:val="1242"/>
        <w:ind w:firstLine="48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乙方需提交的支付文件包括：</w:t>
      </w:r>
      <w:r/>
    </w:p>
    <w:p>
      <w:pPr>
        <w:pStyle w:val="1242"/>
        <w:ind w:firstLine="48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乙方出具的全额正式发票；</w:t>
      </w:r>
      <w:r/>
    </w:p>
    <w:p>
      <w:pPr>
        <w:pStyle w:val="1242"/>
        <w:ind w:firstLine="48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付款方式二：不提交预付款保函的</w:t>
      </w:r>
      <w:r/>
    </w:p>
    <w:p>
      <w:pPr>
        <w:pStyle w:val="1242"/>
        <w:ind w:firstLine="48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合同价款的百分之三十(30%)即￥</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元整，在双方签订合同</w:t>
      </w:r>
      <w:r>
        <w:rPr>
          <w:rFonts w:hint="eastAsia" w:ascii="仿宋" w:hAnsi="仿宋" w:eastAsia="仿宋" w:cs="仿宋"/>
          <w:color w:val="000000"/>
          <w:sz w:val="24"/>
          <w:szCs w:val="24"/>
          <w:highlight w:val="none"/>
          <w:lang w:val="en-US" w:eastAsia="zh-CN"/>
        </w:rPr>
        <w:t xml:space="preserve">且乙方提交的监测方案通过甲方审核</w:t>
      </w:r>
      <w:r>
        <w:rPr>
          <w:rFonts w:hint="eastAsia" w:ascii="仿宋" w:hAnsi="仿宋" w:eastAsia="仿宋" w:cs="仿宋"/>
          <w:color w:val="000000"/>
          <w:sz w:val="24"/>
          <w:szCs w:val="24"/>
          <w:highlight w:val="none"/>
        </w:rPr>
        <w:t xml:space="preserve">后15个工作日内，由甲方办理政府采购资金结算手续支付给乙方。</w:t>
      </w:r>
      <w:r/>
    </w:p>
    <w:p>
      <w:pPr>
        <w:pStyle w:val="1242"/>
        <w:ind w:firstLine="48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合同总价的百分之七十(70%)即￥</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元整，合同标的相关服务全部完成后15 个工作日内，由甲方办理政府采购资金结算手续，经审核后支付给卖方。</w:t>
      </w:r>
      <w:r/>
    </w:p>
    <w:p>
      <w:pPr>
        <w:pStyle w:val="1242"/>
        <w:ind w:firstLine="48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乙方需提交的支付文件包括：</w:t>
      </w:r>
      <w:r/>
    </w:p>
    <w:p>
      <w:pPr>
        <w:ind w:firstLine="560"/>
        <w:spacing w:line="460" w:lineRule="exact"/>
        <w:widowControl w:val="off"/>
        <w:tabs>
          <w:tab w:val="left" w:pos="567"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乙方出具的全额正式发票。</w:t>
      </w:r>
      <w:r/>
    </w:p>
    <w:p>
      <w:pPr>
        <w:pStyle w:val="1205"/>
        <w:ind w:firstLine="482"/>
        <w:spacing w:before="120" w:after="12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三、技术资料</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乙方应在合同签订之日前向甲方提供检测资质的有关资料。</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没有甲方事先书面同意，乙方不得将由甲方提供的有关合同或任何合同条文、规格、培训计划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pStyle w:val="1205"/>
        <w:spacing w:before="120" w:after="12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四、知识产权</w:t>
      </w:r>
      <w:r/>
    </w:p>
    <w:p>
      <w:pPr>
        <w:pStyle w:val="120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乙方应保证甲方在使用、接受本合同服务或其任何一部分时不受第三方提出侵犯其专利权、版权、商标权和工业设计权等知识产权的起诉。一旦出现侵权，由乙方负全部责任。</w:t>
      </w:r>
      <w:r/>
    </w:p>
    <w:p>
      <w:pPr>
        <w:pStyle w:val="1205"/>
        <w:ind w:left="478" w:hanging="478"/>
        <w:spacing w:before="120" w:after="12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五、合同金额</w:t>
      </w:r>
      <w:r/>
    </w:p>
    <w:p>
      <w:pPr>
        <w:ind w:firstLine="56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 本合同金额为人民币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元（大写：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w:t>
      </w:r>
      <w:r/>
    </w:p>
    <w:p>
      <w:pPr>
        <w:pStyle w:val="1205"/>
        <w:ind w:left="478" w:hanging="478"/>
        <w:spacing w:before="120" w:after="12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六、转包或分包</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 本合同范围的检测服务，应由乙方直接供应，不得转让他人供应。</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6.2如乙方有转包或分包行为，甲方有权予以终止合同。</w:t>
      </w:r>
      <w:r/>
    </w:p>
    <w:p>
      <w:pPr>
        <w:pStyle w:val="1205"/>
        <w:spacing w:before="120" w:after="12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七、合同期限</w:t>
      </w:r>
      <w:r/>
    </w:p>
    <w:p>
      <w:pPr>
        <w:pStyle w:val="1205"/>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7.1 本项目合同期限为：自合同签订之日起至项目结束。</w:t>
      </w:r>
      <w:r/>
    </w:p>
    <w:p>
      <w:pPr>
        <w:pStyle w:val="1205"/>
        <w:spacing w:before="120" w:after="12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八、承检日期</w:t>
      </w:r>
      <w:r/>
    </w:p>
    <w:p>
      <w:pPr>
        <w:pStyle w:val="120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 承检日期：202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年度，具体日期由甲方通知乙方。</w:t>
      </w:r>
      <w:r/>
    </w:p>
    <w:p>
      <w:pPr>
        <w:pStyle w:val="1205"/>
        <w:ind w:left="564" w:hanging="562"/>
        <w:spacing w:before="120" w:after="120"/>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九、检测质量保证</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 乙方应按招标文件规定的检测要求、检测标准及时向甲方提供合法准确的检测结果。</w:t>
      </w:r>
      <w:r/>
    </w:p>
    <w:p>
      <w:pPr>
        <w:pStyle w:val="1205"/>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十、违约责任</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 乙方承担的检测服务未按招标文件及响应文件的规定执行，甲方可根据所造成后果的严重程度，对乙方按照合同金额10%—50%的经济处罚。</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10.2乙方在没有得到甲方书面同意的情况下，一旦透露、使用检测数据，甲方可根据数据泄密造成后果的严重程度，对乙方按照合同金额10%—50%的经济处罚。</w:t>
      </w:r>
      <w:r/>
    </w:p>
    <w:p>
      <w:pPr>
        <w:pStyle w:val="1205"/>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十一、不可抗力事件处理</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 在合同有效期内，任何一方因不可抗力事件导致不能履行合同，则合同履行期可延长，其延长期与不可抗力影响期相同。</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不可抗力事件发生后，应立即通知对方，并寄送有关权威机构出具的证明。</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 不可抗力事件延续60天以上，双方应友好协商，确定是否继续履行合同。</w:t>
      </w:r>
      <w:r/>
    </w:p>
    <w:p>
      <w:pPr>
        <w:pStyle w:val="1205"/>
        <w:spacing w:before="120" w:after="12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十二、诉讼</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 双方在执行合同中所发生的一切争议，应通过协商解决。如协商不成，可向合同签订地法院起诉。</w:t>
      </w:r>
      <w:r/>
    </w:p>
    <w:p>
      <w:pPr>
        <w:pStyle w:val="1205"/>
        <w:spacing w:before="120" w:after="12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十三、合同生效及其它</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 合同经双方法定代表人或授权委托代表人签字并加盖单位公章，盖章后生效。</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13.2本合同未尽事宜，遵照《中华人民共和国民法典》有关条文执行。</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13.3 本合同正本一式</w:t>
      </w:r>
      <w:r>
        <w:rPr>
          <w:rFonts w:hint="eastAsia" w:ascii="仿宋" w:hAnsi="仿宋" w:eastAsia="仿宋" w:cs="仿宋"/>
          <w:sz w:val="24"/>
          <w:szCs w:val="24"/>
          <w:highlight w:val="none"/>
          <w:lang w:eastAsia="zh-CN"/>
        </w:rPr>
        <w:t xml:space="preserve">五</w:t>
      </w:r>
      <w:r>
        <w:rPr>
          <w:rFonts w:hint="eastAsia" w:ascii="仿宋" w:hAnsi="仿宋" w:eastAsia="仿宋" w:cs="仿宋"/>
          <w:sz w:val="24"/>
          <w:szCs w:val="24"/>
          <w:highlight w:val="none"/>
        </w:rPr>
        <w:t xml:space="preserve">份，具有同等法律效力，甲方、乙方</w:t>
      </w:r>
      <w:r>
        <w:rPr>
          <w:rFonts w:hint="eastAsia" w:ascii="仿宋" w:hAnsi="仿宋" w:eastAsia="仿宋" w:cs="仿宋"/>
          <w:sz w:val="24"/>
          <w:szCs w:val="24"/>
          <w:highlight w:val="none"/>
          <w:lang w:eastAsia="zh-CN"/>
        </w:rPr>
        <w:t xml:space="preserve">各执二份，采购代理机构</w:t>
      </w:r>
      <w:r>
        <w:rPr>
          <w:rFonts w:hint="eastAsia" w:ascii="仿宋" w:hAnsi="仿宋" w:eastAsia="仿宋" w:cs="仿宋"/>
          <w:sz w:val="24"/>
          <w:szCs w:val="24"/>
          <w:highlight w:val="none"/>
        </w:rPr>
        <w:t xml:space="preserve">一份</w:t>
      </w:r>
      <w:r>
        <w:rPr>
          <w:rFonts w:hint="eastAsia" w:ascii="仿宋" w:hAnsi="仿宋" w:eastAsia="仿宋" w:cs="仿宋"/>
          <w:sz w:val="24"/>
          <w:szCs w:val="24"/>
          <w:highlight w:val="none"/>
          <w:lang w:eastAsia="zh-CN"/>
        </w:rPr>
        <w:t xml:space="preserve">备案</w:t>
      </w:r>
      <w:r>
        <w:rPr>
          <w:rFonts w:hint="eastAsia" w:ascii="仿宋" w:hAnsi="仿宋" w:eastAsia="仿宋" w:cs="仿宋"/>
          <w:sz w:val="24"/>
          <w:szCs w:val="24"/>
          <w:highlight w:val="none"/>
        </w:rPr>
        <w:t xml:space="preserve">。</w:t>
      </w:r>
      <w:r/>
    </w:p>
    <w:p>
      <w:pPr>
        <w:pStyle w:val="1205"/>
        <w:spacing w:before="120" w:after="120"/>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pStyle w:val="1205"/>
        <w:ind w:left="560" w:hanging="560"/>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甲方：                                   乙方： </w:t>
      </w:r>
      <w:r/>
    </w:p>
    <w:p>
      <w:pPr>
        <w:pStyle w:val="1205"/>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地址：                                   地址： </w:t>
      </w:r>
      <w:r/>
    </w:p>
    <w:p>
      <w:pPr>
        <w:pStyle w:val="1205"/>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法定代表人或授权代表：                   法定代表人或授权代表：</w:t>
      </w:r>
      <w:r/>
    </w:p>
    <w:p>
      <w:pPr>
        <w:pStyle w:val="1205"/>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联系电话：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联系电话：</w:t>
      </w:r>
      <w:r/>
    </w:p>
    <w:p>
      <w:pPr>
        <w:pStyle w:val="1205"/>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开户行：</w:t>
      </w:r>
      <w:r/>
    </w:p>
    <w:p>
      <w:pPr>
        <w:pStyle w:val="1205"/>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账号：</w:t>
      </w:r>
      <w:r/>
    </w:p>
    <w:p>
      <w:pPr>
        <w:pStyle w:val="1205"/>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签订日期：   年  月  日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签订日期：   年  月  </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2"/>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第六章  采购需求</w:t>
      </w:r>
      <w:r/>
    </w:p>
    <w:p>
      <w:pPr>
        <w:ind w:firstLine="281"/>
        <w:spacing w:line="520" w:lineRule="exact"/>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一、采购标的</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（一）采购人：徐州市农业农村局。</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（二）项目名称：2024年度徐州市农产品质量安全监测项目。</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三</w:t>
      </w:r>
      <w:r>
        <w:rPr>
          <w:rFonts w:hint="eastAsia" w:ascii="仿宋" w:hAnsi="仿宋" w:eastAsia="仿宋" w:cs="仿宋"/>
          <w:bCs/>
          <w:sz w:val="24"/>
          <w:szCs w:val="24"/>
          <w:highlight w:val="none"/>
        </w:rPr>
        <w:t xml:space="preserve">）此项目不属于专门面向中小微企业采购的项目。</w:t>
      </w:r>
      <w:r/>
    </w:p>
    <w:p>
      <w:pPr>
        <w:ind w:firstLine="280"/>
        <w:spacing w:line="52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四）服务期限：自合同签定之日起至项目结束，第一阶段任务完成时限为2024年10月中旬。第二阶段任务完成时限为2024年12月15日，小麦专项风险监测任务完成时限为2024年9月30日，水稻、玉米、大豆专项风险监测任务完成时限为2024年11月30日。</w:t>
      </w:r>
      <w:r/>
    </w:p>
    <w:p>
      <w:pPr>
        <w:ind w:firstLine="280"/>
        <w:spacing w:line="52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五</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采购</w:t>
      </w:r>
      <w:r>
        <w:rPr>
          <w:rFonts w:hint="eastAsia" w:ascii="仿宋" w:hAnsi="仿宋" w:eastAsia="仿宋" w:cs="仿宋"/>
          <w:bCs/>
          <w:sz w:val="24"/>
          <w:szCs w:val="24"/>
          <w:highlight w:val="none"/>
        </w:rPr>
        <w:t xml:space="preserve">预算金额：</w:t>
      </w:r>
      <w:r>
        <w:rPr>
          <w:rFonts w:hint="eastAsia" w:ascii="仿宋" w:hAnsi="仿宋" w:eastAsia="仿宋" w:cs="仿宋"/>
          <w:bCs/>
          <w:sz w:val="24"/>
          <w:szCs w:val="24"/>
          <w:highlight w:val="none"/>
          <w:lang w:val="en-US" w:eastAsia="zh-CN"/>
        </w:rPr>
        <w:t xml:space="preserve">本项目采购预算金额为467.8</w:t>
      </w:r>
      <w:r>
        <w:rPr>
          <w:rFonts w:hint="eastAsia" w:ascii="仿宋" w:hAnsi="仿宋" w:eastAsia="仿宋" w:cs="仿宋"/>
          <w:bCs/>
          <w:sz w:val="24"/>
          <w:szCs w:val="24"/>
          <w:highlight w:val="none"/>
        </w:rPr>
        <w:t xml:space="preserve">万元人民币</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采购包一：60万元、采购包二：51.2万元、采购包三：62.7万元、采购包四：60万元、采购包五：51.2万元、采购包六：62.7万元、采购包七：40万元、采购包八：40万元、采购包九：40万元。</w:t>
      </w:r>
      <w:r>
        <w:rPr>
          <w:rFonts w:hint="eastAsia" w:ascii="仿宋" w:hAnsi="仿宋" w:eastAsia="仿宋" w:cs="仿宋"/>
          <w:bCs/>
          <w:sz w:val="24"/>
          <w:szCs w:val="24"/>
          <w:highlight w:val="none"/>
          <w:lang w:eastAsia="zh-CN"/>
        </w:rPr>
        <w:t xml:space="preserve">）</w:t>
      </w:r>
      <w:r/>
    </w:p>
    <w:p>
      <w:pPr>
        <w:ind w:firstLine="280"/>
        <w:spacing w:line="52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（六）最高限价：465.8万元。</w:t>
      </w:r>
      <w:r/>
    </w:p>
    <w:p>
      <w:pPr>
        <w:spacing w:line="520" w:lineRule="exact"/>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其中：</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采购包一不接受超过</w:t>
      </w:r>
      <w:r>
        <w:rPr>
          <w:rFonts w:hint="eastAsia" w:ascii="仿宋" w:hAnsi="仿宋" w:eastAsia="仿宋" w:cs="仿宋"/>
          <w:bCs/>
          <w:sz w:val="24"/>
          <w:szCs w:val="24"/>
          <w:highlight w:val="none"/>
          <w:lang w:val="en-US" w:eastAsia="zh-CN"/>
        </w:rPr>
        <w:t xml:space="preserve">59</w:t>
      </w:r>
      <w:r>
        <w:rPr>
          <w:rFonts w:hint="eastAsia" w:ascii="仿宋" w:hAnsi="仿宋" w:eastAsia="仿宋" w:cs="仿宋"/>
          <w:bCs/>
          <w:sz w:val="24"/>
          <w:szCs w:val="24"/>
          <w:highlight w:val="none"/>
        </w:rPr>
        <w:t xml:space="preserve">万元人民币的投标报价；</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采购包二不接受超过</w:t>
      </w:r>
      <w:r>
        <w:rPr>
          <w:rFonts w:hint="eastAsia" w:ascii="仿宋" w:hAnsi="仿宋" w:eastAsia="仿宋" w:cs="仿宋"/>
          <w:bCs/>
          <w:sz w:val="24"/>
          <w:szCs w:val="24"/>
          <w:highlight w:val="none"/>
          <w:lang w:val="en-US" w:eastAsia="zh-CN"/>
        </w:rPr>
        <w:t xml:space="preserve">51.2</w:t>
      </w:r>
      <w:r>
        <w:rPr>
          <w:rFonts w:hint="eastAsia" w:ascii="仿宋" w:hAnsi="仿宋" w:eastAsia="仿宋" w:cs="仿宋"/>
          <w:bCs/>
          <w:sz w:val="24"/>
          <w:szCs w:val="24"/>
          <w:highlight w:val="none"/>
        </w:rPr>
        <w:t xml:space="preserve">万元人民币的投标报价；</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采购包三不接受超过</w:t>
      </w:r>
      <w:r>
        <w:rPr>
          <w:rFonts w:hint="eastAsia" w:ascii="仿宋" w:hAnsi="仿宋" w:eastAsia="仿宋" w:cs="仿宋"/>
          <w:bCs/>
          <w:sz w:val="24"/>
          <w:szCs w:val="24"/>
          <w:highlight w:val="none"/>
          <w:lang w:val="en-US" w:eastAsia="zh-CN"/>
        </w:rPr>
        <w:t xml:space="preserve">62.7</w:t>
      </w:r>
      <w:r>
        <w:rPr>
          <w:rFonts w:hint="eastAsia" w:ascii="仿宋" w:hAnsi="仿宋" w:eastAsia="仿宋" w:cs="仿宋"/>
          <w:bCs/>
          <w:sz w:val="24"/>
          <w:szCs w:val="24"/>
          <w:highlight w:val="none"/>
        </w:rPr>
        <w:t xml:space="preserve">万元人民币的投标报价；</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采购包四不接受超过</w:t>
      </w:r>
      <w:r>
        <w:rPr>
          <w:rFonts w:hint="eastAsia" w:ascii="仿宋" w:hAnsi="仿宋" w:eastAsia="仿宋" w:cs="仿宋"/>
          <w:bCs/>
          <w:sz w:val="24"/>
          <w:szCs w:val="24"/>
          <w:highlight w:val="none"/>
          <w:lang w:val="en-US" w:eastAsia="zh-CN"/>
        </w:rPr>
        <w:t xml:space="preserve">59</w:t>
      </w:r>
      <w:r>
        <w:rPr>
          <w:rFonts w:hint="eastAsia" w:ascii="仿宋" w:hAnsi="仿宋" w:eastAsia="仿宋" w:cs="仿宋"/>
          <w:bCs/>
          <w:sz w:val="24"/>
          <w:szCs w:val="24"/>
          <w:highlight w:val="none"/>
        </w:rPr>
        <w:t xml:space="preserve">万元人民币的投标报价；</w:t>
      </w:r>
      <w:r/>
    </w:p>
    <w:p>
      <w:pPr>
        <w:ind w:firstLine="280"/>
        <w:spacing w:line="52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采购包五不接受超过</w:t>
      </w:r>
      <w:r>
        <w:rPr>
          <w:rFonts w:hint="eastAsia" w:ascii="仿宋" w:hAnsi="仿宋" w:eastAsia="仿宋" w:cs="仿宋"/>
          <w:bCs/>
          <w:sz w:val="24"/>
          <w:szCs w:val="24"/>
          <w:highlight w:val="none"/>
          <w:lang w:val="en-US" w:eastAsia="zh-CN"/>
        </w:rPr>
        <w:t xml:space="preserve">51.2</w:t>
      </w:r>
      <w:r>
        <w:rPr>
          <w:rFonts w:hint="eastAsia" w:ascii="仿宋" w:hAnsi="仿宋" w:eastAsia="仿宋" w:cs="仿宋"/>
          <w:bCs/>
          <w:sz w:val="24"/>
          <w:szCs w:val="24"/>
          <w:highlight w:val="none"/>
        </w:rPr>
        <w:t xml:space="preserve">万元人民币的投标报价</w:t>
      </w:r>
      <w:r>
        <w:rPr>
          <w:rFonts w:hint="eastAsia" w:ascii="仿宋" w:hAnsi="仿宋" w:eastAsia="仿宋" w:cs="仿宋"/>
          <w:bCs/>
          <w:sz w:val="24"/>
          <w:szCs w:val="24"/>
          <w:highlight w:val="none"/>
          <w:lang w:eastAsia="zh-CN"/>
        </w:rPr>
        <w:t xml:space="preserve">；</w:t>
      </w:r>
      <w:r/>
    </w:p>
    <w:p>
      <w:pPr>
        <w:ind w:firstLine="280"/>
        <w:spacing w:line="52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采购包</w:t>
      </w:r>
      <w:r>
        <w:rPr>
          <w:rFonts w:hint="eastAsia" w:ascii="仿宋" w:hAnsi="仿宋" w:eastAsia="仿宋" w:cs="仿宋"/>
          <w:bCs/>
          <w:sz w:val="24"/>
          <w:szCs w:val="24"/>
          <w:highlight w:val="none"/>
          <w:lang w:val="en-US" w:eastAsia="zh-CN"/>
        </w:rPr>
        <w:t xml:space="preserve">六</w:t>
      </w:r>
      <w:r>
        <w:rPr>
          <w:rFonts w:hint="eastAsia" w:ascii="仿宋" w:hAnsi="仿宋" w:eastAsia="仿宋" w:cs="仿宋"/>
          <w:bCs/>
          <w:sz w:val="24"/>
          <w:szCs w:val="24"/>
          <w:highlight w:val="none"/>
        </w:rPr>
        <w:t xml:space="preserve">不接受超过</w:t>
      </w:r>
      <w:r>
        <w:rPr>
          <w:rFonts w:hint="eastAsia" w:ascii="仿宋" w:hAnsi="仿宋" w:eastAsia="仿宋" w:cs="仿宋"/>
          <w:bCs/>
          <w:sz w:val="24"/>
          <w:szCs w:val="24"/>
          <w:highlight w:val="none"/>
          <w:lang w:val="en-US" w:eastAsia="zh-CN"/>
        </w:rPr>
        <w:t xml:space="preserve">62.7</w:t>
      </w:r>
      <w:r>
        <w:rPr>
          <w:rFonts w:hint="eastAsia" w:ascii="仿宋" w:hAnsi="仿宋" w:eastAsia="仿宋" w:cs="仿宋"/>
          <w:bCs/>
          <w:sz w:val="24"/>
          <w:szCs w:val="24"/>
          <w:highlight w:val="none"/>
        </w:rPr>
        <w:t xml:space="preserve">万元人民币的投标报价</w:t>
      </w:r>
      <w:r>
        <w:rPr>
          <w:rFonts w:hint="eastAsia" w:ascii="仿宋" w:hAnsi="仿宋" w:eastAsia="仿宋" w:cs="仿宋"/>
          <w:bCs/>
          <w:sz w:val="24"/>
          <w:szCs w:val="24"/>
          <w:highlight w:val="none"/>
          <w:lang w:eastAsia="zh-CN"/>
        </w:rPr>
        <w:t xml:space="preserve">；</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采购包</w:t>
      </w:r>
      <w:r>
        <w:rPr>
          <w:rFonts w:hint="eastAsia" w:ascii="仿宋" w:hAnsi="仿宋" w:eastAsia="仿宋" w:cs="仿宋"/>
          <w:bCs/>
          <w:sz w:val="24"/>
          <w:szCs w:val="24"/>
          <w:highlight w:val="none"/>
          <w:lang w:val="en-US" w:eastAsia="zh-CN"/>
        </w:rPr>
        <w:t xml:space="preserve">七</w:t>
      </w:r>
      <w:r>
        <w:rPr>
          <w:rFonts w:hint="eastAsia" w:ascii="仿宋" w:hAnsi="仿宋" w:eastAsia="仿宋" w:cs="仿宋"/>
          <w:bCs/>
          <w:sz w:val="24"/>
          <w:szCs w:val="24"/>
          <w:highlight w:val="none"/>
        </w:rPr>
        <w:t xml:space="preserve">不接受超过</w:t>
      </w:r>
      <w:r>
        <w:rPr>
          <w:rFonts w:hint="eastAsia" w:ascii="仿宋" w:hAnsi="仿宋" w:eastAsia="仿宋" w:cs="仿宋"/>
          <w:bCs/>
          <w:sz w:val="24"/>
          <w:szCs w:val="24"/>
          <w:highlight w:val="none"/>
          <w:lang w:val="en-US" w:eastAsia="zh-CN"/>
        </w:rPr>
        <w:t xml:space="preserve">40</w:t>
      </w:r>
      <w:r>
        <w:rPr>
          <w:rFonts w:hint="eastAsia" w:ascii="仿宋" w:hAnsi="仿宋" w:eastAsia="仿宋" w:cs="仿宋"/>
          <w:bCs/>
          <w:sz w:val="24"/>
          <w:szCs w:val="24"/>
          <w:highlight w:val="none"/>
        </w:rPr>
        <w:t xml:space="preserve">万元人民币的投标报价；</w:t>
      </w:r>
      <w:r/>
    </w:p>
    <w:p>
      <w:pPr>
        <w:ind w:firstLine="28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采购包</w:t>
      </w:r>
      <w:r>
        <w:rPr>
          <w:rFonts w:hint="eastAsia" w:ascii="仿宋" w:hAnsi="仿宋" w:eastAsia="仿宋" w:cs="仿宋"/>
          <w:bCs/>
          <w:sz w:val="24"/>
          <w:szCs w:val="24"/>
          <w:highlight w:val="none"/>
          <w:lang w:val="en-US" w:eastAsia="zh-CN"/>
        </w:rPr>
        <w:t xml:space="preserve">八</w:t>
      </w:r>
      <w:r>
        <w:rPr>
          <w:rFonts w:hint="eastAsia" w:ascii="仿宋" w:hAnsi="仿宋" w:eastAsia="仿宋" w:cs="仿宋"/>
          <w:bCs/>
          <w:sz w:val="24"/>
          <w:szCs w:val="24"/>
          <w:highlight w:val="none"/>
        </w:rPr>
        <w:t xml:space="preserve">不接受超过</w:t>
      </w:r>
      <w:r>
        <w:rPr>
          <w:rFonts w:hint="eastAsia" w:ascii="仿宋" w:hAnsi="仿宋" w:eastAsia="仿宋" w:cs="仿宋"/>
          <w:bCs/>
          <w:sz w:val="24"/>
          <w:szCs w:val="24"/>
          <w:highlight w:val="none"/>
          <w:lang w:val="en-US" w:eastAsia="zh-CN"/>
        </w:rPr>
        <w:t xml:space="preserve">40</w:t>
      </w:r>
      <w:r>
        <w:rPr>
          <w:rFonts w:hint="eastAsia" w:ascii="仿宋" w:hAnsi="仿宋" w:eastAsia="仿宋" w:cs="仿宋"/>
          <w:bCs/>
          <w:sz w:val="24"/>
          <w:szCs w:val="24"/>
          <w:highlight w:val="none"/>
        </w:rPr>
        <w:t xml:space="preserve">万元人民币的投标报价；</w:t>
      </w:r>
      <w:r/>
    </w:p>
    <w:p>
      <w:pPr>
        <w:ind w:firstLine="280"/>
        <w:spacing w:line="52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采购包</w:t>
      </w:r>
      <w:r>
        <w:rPr>
          <w:rFonts w:hint="eastAsia" w:ascii="仿宋" w:hAnsi="仿宋" w:eastAsia="仿宋" w:cs="仿宋"/>
          <w:bCs/>
          <w:sz w:val="24"/>
          <w:szCs w:val="24"/>
          <w:highlight w:val="none"/>
          <w:lang w:val="en-US" w:eastAsia="zh-CN"/>
        </w:rPr>
        <w:t xml:space="preserve">九</w:t>
      </w:r>
      <w:r>
        <w:rPr>
          <w:rFonts w:hint="eastAsia" w:ascii="仿宋" w:hAnsi="仿宋" w:eastAsia="仿宋" w:cs="仿宋"/>
          <w:bCs/>
          <w:sz w:val="24"/>
          <w:szCs w:val="24"/>
          <w:highlight w:val="none"/>
        </w:rPr>
        <w:t xml:space="preserve">不接受超过</w:t>
      </w:r>
      <w:r>
        <w:rPr>
          <w:rFonts w:hint="eastAsia" w:ascii="仿宋" w:hAnsi="仿宋" w:eastAsia="仿宋" w:cs="仿宋"/>
          <w:bCs/>
          <w:sz w:val="24"/>
          <w:szCs w:val="24"/>
          <w:highlight w:val="none"/>
          <w:lang w:val="en-US" w:eastAsia="zh-CN"/>
        </w:rPr>
        <w:t xml:space="preserve">40</w:t>
      </w:r>
      <w:r>
        <w:rPr>
          <w:rFonts w:hint="eastAsia" w:ascii="仿宋" w:hAnsi="仿宋" w:eastAsia="仿宋" w:cs="仿宋"/>
          <w:bCs/>
          <w:sz w:val="24"/>
          <w:szCs w:val="24"/>
          <w:highlight w:val="none"/>
        </w:rPr>
        <w:t xml:space="preserve">万元人民币的投标报价；</w:t>
      </w:r>
      <w:r/>
    </w:p>
    <w:p>
      <w:pPr>
        <w:ind w:firstLine="280"/>
        <w:spacing w:line="52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报价包含项目完成所需全部费用（含支付现场抽样样品费），采购人不再支付报价以外的任何费用。</w:t>
      </w:r>
      <w:r>
        <w:rPr>
          <w:rFonts w:hint="eastAsia" w:ascii="仿宋" w:hAnsi="仿宋" w:eastAsia="仿宋" w:cs="仿宋"/>
          <w:bCs/>
          <w:sz w:val="24"/>
          <w:szCs w:val="24"/>
          <w:highlight w:val="none"/>
          <w:lang w:eastAsia="zh-CN"/>
        </w:rPr>
        <w:t xml:space="preserve">）</w:t>
      </w:r>
      <w:r/>
    </w:p>
    <w:p>
      <w:pPr>
        <w:ind w:firstLine="280"/>
        <w:spacing w:line="52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注：</w:t>
      </w:r>
      <w:r/>
    </w:p>
    <w:p>
      <w:pPr>
        <w:ind w:firstLine="560"/>
        <w:spacing w:line="5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各投标人</w:t>
      </w:r>
      <w:r>
        <w:rPr>
          <w:rFonts w:hint="eastAsia" w:ascii="仿宋" w:hAnsi="仿宋" w:eastAsia="仿宋" w:cs="仿宋"/>
          <w:bCs/>
          <w:sz w:val="24"/>
          <w:szCs w:val="24"/>
          <w:highlight w:val="none"/>
          <w:lang w:val="en-US" w:eastAsia="zh-CN"/>
        </w:rPr>
        <w:t xml:space="preserve">可以对其中任意一个或多个采购包进行投标报价</w:t>
      </w:r>
      <w:r>
        <w:rPr>
          <w:rFonts w:hint="eastAsia" w:ascii="仿宋" w:hAnsi="仿宋" w:eastAsia="仿宋" w:cs="仿宋"/>
          <w:bCs/>
          <w:sz w:val="24"/>
          <w:szCs w:val="24"/>
          <w:highlight w:val="none"/>
        </w:rPr>
        <w:t xml:space="preserve">，但只能中标一个采购包，评审（中标）顺序为采购包1至采购包</w:t>
      </w:r>
      <w:r>
        <w:rPr>
          <w:rFonts w:hint="eastAsia" w:ascii="仿宋" w:hAnsi="仿宋" w:eastAsia="仿宋" w:cs="仿宋"/>
          <w:bCs/>
          <w:sz w:val="24"/>
          <w:szCs w:val="24"/>
          <w:highlight w:val="none"/>
          <w:lang w:val="en-US" w:eastAsia="zh-CN"/>
        </w:rPr>
        <w:t xml:space="preserve">9</w:t>
      </w:r>
      <w:r>
        <w:rPr>
          <w:rFonts w:hint="eastAsia" w:ascii="仿宋" w:hAnsi="仿宋" w:eastAsia="仿宋" w:cs="仿宋"/>
          <w:bCs/>
          <w:sz w:val="24"/>
          <w:szCs w:val="24"/>
          <w:highlight w:val="none"/>
        </w:rPr>
        <w:t xml:space="preserve">（中标后可参加下一采购包的评审但不得被推荐为中标人）。</w:t>
      </w:r>
      <w:r/>
    </w:p>
    <w:p>
      <w:pPr>
        <w:ind w:firstLine="281"/>
        <w:spacing w:line="5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二、项目内容</w:t>
      </w:r>
      <w:r/>
    </w:p>
    <w:p>
      <w:pPr>
        <w:ind w:firstLine="560"/>
        <w:spacing w:line="5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为进一步强化监测评估工作，提高风险发现与处置能力，确保全市农产品质量安全水平稳步提升，根据《农产品质量安全法》和《江苏省农产品质量安全条例》、按照省厅《关于开展2024年农产品质量安全监测工作的通知》文件要求，现采购2024年度徐州市农产品质量安全监测项目。监测抽检</w:t>
      </w:r>
      <w:r>
        <w:rPr>
          <w:rFonts w:hint="eastAsia" w:ascii="仿宋" w:hAnsi="仿宋" w:eastAsia="仿宋" w:cs="仿宋"/>
          <w:color w:val="auto"/>
          <w:sz w:val="24"/>
          <w:szCs w:val="24"/>
          <w:highlight w:val="none"/>
        </w:rPr>
        <w:t xml:space="preserve">任务划分如下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单位：批次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pStyle w:val="1201"/>
        <w:ind w:firstLine="560"/>
        <w:spacing w:line="560" w:lineRule="exact"/>
        <w:rPr>
          <w:rFonts w:hint="eastAsia" w:ascii="仿宋" w:hAnsi="仿宋" w:eastAsia="仿宋" w:cs="仿宋"/>
          <w:sz w:val="32"/>
          <w:szCs w:val="32"/>
          <w:highlight w:val="none"/>
          <w:lang w:eastAsia="zh-CN"/>
        </w:rPr>
      </w:pPr>
      <w:r>
        <w:rPr>
          <w:rFonts w:hint="eastAsia" w:ascii="仿宋" w:hAnsi="仿宋" w:eastAsia="仿宋" w:cs="仿宋"/>
          <w:sz w:val="28"/>
          <w:szCs w:val="28"/>
          <w:highlight w:val="none"/>
        </w:rPr>
        <w:t xml:space="preserve">（一）</w:t>
      </w:r>
      <w:r>
        <w:rPr>
          <w:rFonts w:hint="eastAsia" w:ascii="仿宋" w:hAnsi="仿宋" w:eastAsia="仿宋" w:cs="仿宋"/>
          <w:sz w:val="28"/>
          <w:szCs w:val="28"/>
          <w:highlight w:val="none"/>
          <w:lang w:val="en-US" w:eastAsia="zh-CN"/>
        </w:rPr>
        <w:t xml:space="preserve">采购包1：</w:t>
      </w:r>
      <w:r>
        <w:rPr>
          <w:rFonts w:hint="eastAsia" w:ascii="仿宋" w:hAnsi="仿宋" w:eastAsia="仿宋" w:cs="仿宋"/>
          <w:sz w:val="28"/>
          <w:szCs w:val="28"/>
          <w:highlight w:val="none"/>
        </w:rPr>
        <w:t xml:space="preserve">第一阶段丰睢贾标段监测抽检数量</w:t>
      </w:r>
      <w:r/>
    </w:p>
    <w:tbl>
      <w:tblPr>
        <w:tblStyle w:val="12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975"/>
        <w:gridCol w:w="992"/>
        <w:gridCol w:w="992"/>
        <w:gridCol w:w="1134"/>
        <w:gridCol w:w="993"/>
        <w:gridCol w:w="1134"/>
        <w:gridCol w:w="1559"/>
      </w:tblGrid>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县  区</w:t>
            </w:r>
            <w:r/>
          </w:p>
        </w:tc>
        <w:tc>
          <w:tcPr>
            <w:tcW w:w="975"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992"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992"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34"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993"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34"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55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第一阶段</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任务合计</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丰  县</w:t>
            </w:r>
            <w:r/>
          </w:p>
        </w:tc>
        <w:tc>
          <w:tcPr>
            <w:tcW w:w="975"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28</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9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5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216</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睢宁县</w:t>
            </w:r>
            <w:r/>
          </w:p>
        </w:tc>
        <w:tc>
          <w:tcPr>
            <w:tcW w:w="975"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9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55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256</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贾汪区</w:t>
            </w:r>
            <w:r/>
          </w:p>
        </w:tc>
        <w:tc>
          <w:tcPr>
            <w:tcW w:w="975"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60</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w:t>
            </w:r>
            <w:r/>
          </w:p>
        </w:tc>
        <w:tc>
          <w:tcPr>
            <w:tcW w:w="9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155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118</w:t>
            </w:r>
            <w:r/>
          </w:p>
        </w:tc>
      </w:tr>
      <w:tr>
        <w:trPr/>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color w:val="000000"/>
                <w:sz w:val="24"/>
                <w:highlight w:val="none"/>
              </w:rPr>
              <w:t xml:space="preserve">合  计</w:t>
            </w:r>
            <w:r/>
          </w:p>
        </w:tc>
        <w:tc>
          <w:tcPr>
            <w:tcW w:w="975"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352</w:t>
            </w:r>
            <w:r/>
          </w:p>
        </w:tc>
        <w:tc>
          <w:tcPr>
            <w:tcW w:w="992"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86</w:t>
            </w:r>
            <w:r/>
          </w:p>
        </w:tc>
        <w:tc>
          <w:tcPr>
            <w:tcW w:w="992"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34</w:t>
            </w:r>
            <w:r/>
          </w:p>
        </w:tc>
        <w:tc>
          <w:tcPr>
            <w:tcW w:w="1134"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88</w:t>
            </w:r>
            <w:r/>
          </w:p>
        </w:tc>
        <w:tc>
          <w:tcPr>
            <w:tcW w:w="993"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W w:w="1134"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155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590</w:t>
            </w:r>
            <w:r/>
          </w:p>
        </w:tc>
      </w:tr>
    </w:tbl>
    <w:p>
      <w:pPr>
        <w:pStyle w:val="1201"/>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w:t>
      </w:r>
      <w:r>
        <w:rPr>
          <w:rFonts w:hint="eastAsia" w:ascii="仿宋" w:hAnsi="仿宋" w:eastAsia="仿宋" w:cs="仿宋"/>
          <w:sz w:val="28"/>
          <w:szCs w:val="28"/>
          <w:highlight w:val="none"/>
          <w:lang w:val="en-US" w:eastAsia="zh-CN"/>
        </w:rPr>
        <w:t xml:space="preserve">采购包2：</w:t>
      </w:r>
      <w:r>
        <w:rPr>
          <w:rFonts w:hint="eastAsia" w:ascii="仿宋" w:hAnsi="仿宋" w:eastAsia="仿宋" w:cs="仿宋"/>
          <w:sz w:val="28"/>
          <w:szCs w:val="28"/>
          <w:highlight w:val="none"/>
        </w:rPr>
        <w:t xml:space="preserve">第一阶段新邳标段监测抽检数量</w:t>
      </w:r>
      <w:r/>
    </w:p>
    <w:tbl>
      <w:tblPr>
        <w:tblStyle w:val="121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118"/>
        <w:gridCol w:w="1118"/>
        <w:gridCol w:w="1118"/>
        <w:gridCol w:w="1119"/>
        <w:gridCol w:w="1119"/>
        <w:gridCol w:w="1119"/>
        <w:gridCol w:w="1493"/>
      </w:tblGrid>
      <w:tr>
        <w:trPr/>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县  区</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493"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第一阶段</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任务合计</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新沂市</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256</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邳州市</w:t>
            </w:r>
            <w:r/>
          </w:p>
        </w:tc>
        <w:tc>
          <w:tcPr>
            <w:tcW w:w="1118" w:type="dxa"/>
            <w:vAlign w:val="center"/>
            <w:textDirection w:val="lrTb"/>
            <w:noWrap w:val="false"/>
          </w:tcPr>
          <w:p>
            <w:pPr>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256</w:t>
            </w:r>
            <w:r/>
          </w:p>
        </w:tc>
      </w:tr>
      <w:tr>
        <w:trPr/>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合  计</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292</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80</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40</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72</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16</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1493"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512</w:t>
            </w:r>
            <w:r/>
          </w:p>
        </w:tc>
      </w:tr>
    </w:tbl>
    <w:p>
      <w:pPr>
        <w:pStyle w:val="1201"/>
        <w:ind w:firstLine="560"/>
        <w:spacing w:line="560" w:lineRule="exact"/>
        <w:rPr>
          <w:rFonts w:hint="eastAsia" w:ascii="仿宋" w:hAnsi="仿宋" w:eastAsia="仿宋" w:cs="仿宋"/>
          <w:sz w:val="32"/>
          <w:szCs w:val="32"/>
          <w:highlight w:val="none"/>
        </w:rPr>
      </w:pPr>
      <w:r>
        <w:rPr>
          <w:rFonts w:hint="eastAsia" w:ascii="仿宋" w:hAnsi="仿宋" w:eastAsia="仿宋" w:cs="仿宋"/>
          <w:sz w:val="28"/>
          <w:szCs w:val="28"/>
          <w:highlight w:val="none"/>
        </w:rPr>
        <w:t xml:space="preserve">（三）</w:t>
      </w:r>
      <w:r>
        <w:rPr>
          <w:rFonts w:hint="eastAsia" w:ascii="仿宋" w:hAnsi="仿宋" w:eastAsia="仿宋" w:cs="仿宋"/>
          <w:sz w:val="28"/>
          <w:szCs w:val="28"/>
          <w:highlight w:val="none"/>
          <w:lang w:val="en-US" w:eastAsia="zh-CN"/>
        </w:rPr>
        <w:t xml:space="preserve">采购包3：</w:t>
      </w:r>
      <w:r>
        <w:rPr>
          <w:rFonts w:hint="eastAsia" w:ascii="仿宋" w:hAnsi="仿宋" w:eastAsia="仿宋" w:cs="仿宋"/>
          <w:sz w:val="28"/>
          <w:szCs w:val="28"/>
          <w:highlight w:val="none"/>
        </w:rPr>
        <w:t xml:space="preserve">第一阶段铜沛经泉标段监测抽检数量</w:t>
      </w:r>
      <w:r/>
    </w:p>
    <w:tbl>
      <w:tblPr>
        <w:tblStyle w:val="121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118"/>
        <w:gridCol w:w="1118"/>
        <w:gridCol w:w="1118"/>
        <w:gridCol w:w="1119"/>
        <w:gridCol w:w="1119"/>
        <w:gridCol w:w="1119"/>
        <w:gridCol w:w="1493"/>
      </w:tblGrid>
      <w:tr>
        <w:trPr/>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县  区</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493"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第一阶段</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任务合计</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铜山区</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262</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沛  县</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34</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262</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经开区</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泉山区</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67</w:t>
            </w:r>
            <w:r/>
          </w:p>
        </w:tc>
      </w:tr>
      <w:tr>
        <w:trPr/>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合  计</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336</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92</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68</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84</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29</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18</w:t>
            </w:r>
            <w:r/>
          </w:p>
        </w:tc>
        <w:tc>
          <w:tcPr>
            <w:tcW w:w="1493"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627</w:t>
            </w:r>
            <w:r/>
          </w:p>
        </w:tc>
      </w:tr>
    </w:tbl>
    <w:p>
      <w:pPr>
        <w:pStyle w:val="1201"/>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w:t>
      </w:r>
      <w:r>
        <w:rPr>
          <w:rFonts w:hint="eastAsia" w:ascii="仿宋" w:hAnsi="仿宋" w:eastAsia="仿宋" w:cs="仿宋"/>
          <w:sz w:val="28"/>
          <w:szCs w:val="28"/>
          <w:highlight w:val="none"/>
          <w:lang w:val="en-US" w:eastAsia="zh-CN"/>
        </w:rPr>
        <w:t xml:space="preserve">采购包4：</w:t>
      </w:r>
      <w:r>
        <w:rPr>
          <w:rFonts w:hint="eastAsia" w:ascii="仿宋" w:hAnsi="仿宋" w:eastAsia="仿宋" w:cs="仿宋"/>
          <w:sz w:val="28"/>
          <w:szCs w:val="28"/>
          <w:highlight w:val="none"/>
        </w:rPr>
        <w:t xml:space="preserve">第二阶段丰睢贾标段监测抽检数量</w:t>
      </w:r>
      <w:r/>
    </w:p>
    <w:tbl>
      <w:tblPr>
        <w:tblStyle w:val="12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975"/>
        <w:gridCol w:w="992"/>
        <w:gridCol w:w="992"/>
        <w:gridCol w:w="1134"/>
        <w:gridCol w:w="993"/>
        <w:gridCol w:w="1134"/>
        <w:gridCol w:w="1559"/>
      </w:tblGrid>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县  区</w:t>
            </w:r>
            <w:r/>
          </w:p>
        </w:tc>
        <w:tc>
          <w:tcPr>
            <w:tcW w:w="975"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992"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992"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34"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993"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34"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55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第二阶段</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任务合计</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丰  县</w:t>
            </w:r>
            <w:r/>
          </w:p>
        </w:tc>
        <w:tc>
          <w:tcPr>
            <w:tcW w:w="975"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28</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9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55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216</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睢宁县</w:t>
            </w:r>
            <w:r/>
          </w:p>
        </w:tc>
        <w:tc>
          <w:tcPr>
            <w:tcW w:w="975"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9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55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256</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贾汪区</w:t>
            </w:r>
            <w:r/>
          </w:p>
        </w:tc>
        <w:tc>
          <w:tcPr>
            <w:tcW w:w="975"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60</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w:t>
            </w:r>
            <w:r/>
          </w:p>
        </w:tc>
        <w:tc>
          <w:tcPr>
            <w:tcW w:w="992"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w:t>
            </w:r>
            <w:r/>
          </w:p>
        </w:tc>
        <w:tc>
          <w:tcPr>
            <w:tcW w:w="9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155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118</w:t>
            </w:r>
            <w:r/>
          </w:p>
        </w:tc>
      </w:tr>
      <w:tr>
        <w:trPr/>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color w:val="000000"/>
                <w:sz w:val="24"/>
                <w:highlight w:val="none"/>
              </w:rPr>
              <w:t xml:space="preserve">合  计</w:t>
            </w:r>
            <w:r/>
          </w:p>
        </w:tc>
        <w:tc>
          <w:tcPr>
            <w:tcW w:w="975"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352</w:t>
            </w:r>
            <w:r/>
          </w:p>
        </w:tc>
        <w:tc>
          <w:tcPr>
            <w:tcW w:w="992"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86</w:t>
            </w:r>
            <w:r/>
          </w:p>
        </w:tc>
        <w:tc>
          <w:tcPr>
            <w:tcW w:w="992"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34</w:t>
            </w:r>
            <w:r/>
          </w:p>
        </w:tc>
        <w:tc>
          <w:tcPr>
            <w:tcW w:w="1134"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88</w:t>
            </w:r>
            <w:r/>
          </w:p>
        </w:tc>
        <w:tc>
          <w:tcPr>
            <w:tcW w:w="993"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W w:w="1134"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155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590</w:t>
            </w:r>
            <w:r/>
          </w:p>
        </w:tc>
      </w:tr>
    </w:tbl>
    <w:p>
      <w:pPr>
        <w:pStyle w:val="1201"/>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w:t>
      </w:r>
      <w:r>
        <w:rPr>
          <w:rFonts w:hint="eastAsia" w:ascii="仿宋" w:hAnsi="仿宋" w:eastAsia="仿宋" w:cs="仿宋"/>
          <w:sz w:val="28"/>
          <w:szCs w:val="28"/>
          <w:highlight w:val="none"/>
          <w:lang w:val="en-US" w:eastAsia="zh-CN"/>
        </w:rPr>
        <w:t xml:space="preserve">采购包5：</w:t>
      </w:r>
      <w:r>
        <w:rPr>
          <w:rFonts w:hint="eastAsia" w:ascii="仿宋" w:hAnsi="仿宋" w:eastAsia="仿宋" w:cs="仿宋"/>
          <w:sz w:val="28"/>
          <w:szCs w:val="28"/>
          <w:highlight w:val="none"/>
        </w:rPr>
        <w:t xml:space="preserve">第二阶段新邳标段监测抽检数量</w:t>
      </w:r>
      <w:r/>
    </w:p>
    <w:tbl>
      <w:tblPr>
        <w:tblStyle w:val="121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118"/>
        <w:gridCol w:w="1118"/>
        <w:gridCol w:w="1118"/>
        <w:gridCol w:w="1119"/>
        <w:gridCol w:w="1119"/>
        <w:gridCol w:w="1119"/>
        <w:gridCol w:w="1493"/>
      </w:tblGrid>
      <w:tr>
        <w:trPr/>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县  区</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493"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第二阶段</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任务合计</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新沂市</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256</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邳州市</w:t>
            </w:r>
            <w:r/>
          </w:p>
        </w:tc>
        <w:tc>
          <w:tcPr>
            <w:tcW w:w="1118" w:type="dxa"/>
            <w:vAlign w:val="center"/>
            <w:textDirection w:val="lrTb"/>
            <w:noWrap w:val="false"/>
          </w:tcPr>
          <w:p>
            <w:pPr>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256</w:t>
            </w:r>
            <w:r/>
          </w:p>
        </w:tc>
      </w:tr>
      <w:tr>
        <w:trPr/>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合  计</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292</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80</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40</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72</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16</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1493"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512</w:t>
            </w:r>
            <w:r/>
          </w:p>
        </w:tc>
      </w:tr>
    </w:tbl>
    <w:p>
      <w:pPr>
        <w:pStyle w:val="1201"/>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w:t>
      </w:r>
      <w:r>
        <w:rPr>
          <w:rFonts w:hint="eastAsia" w:ascii="仿宋" w:hAnsi="仿宋" w:eastAsia="仿宋" w:cs="仿宋"/>
          <w:sz w:val="28"/>
          <w:szCs w:val="28"/>
          <w:highlight w:val="none"/>
          <w:lang w:val="en-US" w:eastAsia="zh-CN"/>
        </w:rPr>
        <w:t xml:space="preserve">采购包6：</w:t>
      </w:r>
      <w:r>
        <w:rPr>
          <w:rFonts w:hint="eastAsia" w:ascii="仿宋" w:hAnsi="仿宋" w:eastAsia="仿宋" w:cs="仿宋"/>
          <w:sz w:val="28"/>
          <w:szCs w:val="28"/>
          <w:highlight w:val="none"/>
        </w:rPr>
        <w:t xml:space="preserve">第二阶段铜沛经泉标段监测抽检数量</w:t>
      </w:r>
      <w:r/>
    </w:p>
    <w:tbl>
      <w:tblPr>
        <w:tblStyle w:val="121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118"/>
        <w:gridCol w:w="1118"/>
        <w:gridCol w:w="1118"/>
        <w:gridCol w:w="1119"/>
        <w:gridCol w:w="1119"/>
        <w:gridCol w:w="1119"/>
        <w:gridCol w:w="1493"/>
      </w:tblGrid>
      <w:tr>
        <w:trPr/>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县  区</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8"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例行</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蔬果</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畜禽</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119"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水产</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监督</w:t>
            </w:r>
            <w:r/>
          </w:p>
        </w:tc>
        <w:tc>
          <w:tcPr>
            <w:tcW w:w="1493" w:type="dxa"/>
            <w:vAlign w:val="center"/>
            <w:textDirection w:val="lrTb"/>
            <w:noWrap w:val="false"/>
          </w:tcPr>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第二阶段</w:t>
            </w:r>
            <w:r/>
          </w:p>
          <w:p>
            <w:pPr>
              <w:jc w:val="center"/>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任务合计</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铜山区</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20</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262</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沛  县</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146</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34</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262</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经开区</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36</w:t>
            </w:r>
            <w:r/>
          </w:p>
        </w:tc>
      </w:tr>
      <w:tr>
        <w:trPr/>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泉山区</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w:t>
            </w:r>
            <w:r/>
          </w:p>
        </w:tc>
        <w:tc>
          <w:tcPr>
            <w:tcW w:w="1118"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w:t>
            </w:r>
            <w:r/>
          </w:p>
        </w:tc>
        <w:tc>
          <w:tcPr>
            <w:tcW w:w="1119"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1493" w:type="dxa"/>
            <w:vAlign w:val="center"/>
            <w:textDirection w:val="lrTb"/>
            <w:noWrap w:val="false"/>
          </w:tcPr>
          <w:p>
            <w:pPr>
              <w:jc w:val="center"/>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67</w:t>
            </w:r>
            <w:r/>
          </w:p>
        </w:tc>
      </w:tr>
      <w:tr>
        <w:trPr/>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合  计</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336</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92</w:t>
            </w:r>
            <w:r/>
          </w:p>
        </w:tc>
        <w:tc>
          <w:tcPr>
            <w:tcW w:w="1118"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68</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84</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29</w:t>
            </w:r>
            <w:r/>
          </w:p>
        </w:tc>
        <w:tc>
          <w:tcPr>
            <w:tcW w:w="1119"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18</w:t>
            </w:r>
            <w:r/>
          </w:p>
        </w:tc>
        <w:tc>
          <w:tcPr>
            <w:tcW w:w="1493" w:type="dxa"/>
            <w:textDirection w:val="lrTb"/>
            <w:noWrap w:val="false"/>
          </w:tcPr>
          <w:p>
            <w:pPr>
              <w:pStyle w:val="1201"/>
              <w:jc w:val="center"/>
              <w:spacing w:line="5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627</w:t>
            </w:r>
            <w:r/>
          </w:p>
        </w:tc>
      </w:tr>
    </w:tbl>
    <w:p>
      <w:pPr>
        <w:pStyle w:val="1201"/>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采购包7：</w:t>
      </w:r>
      <w:r>
        <w:rPr>
          <w:rFonts w:hint="eastAsia" w:ascii="仿宋" w:hAnsi="仿宋" w:eastAsia="仿宋" w:cs="仿宋"/>
          <w:sz w:val="24"/>
          <w:szCs w:val="24"/>
          <w:highlight w:val="none"/>
        </w:rPr>
        <w:t xml:space="preserve">小麦专项风险监测抽检数量</w:t>
      </w:r>
      <w:r/>
    </w:p>
    <w:tbl>
      <w:tblPr>
        <w:tblStyle w:val="121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513"/>
      </w:tblGrid>
      <w:tr>
        <w:trPr/>
        <w:tc>
          <w:tcPr>
            <w:tcW w:w="1526" w:type="dxa"/>
            <w:vAlign w:val="center"/>
            <w:textDirection w:val="lrTb"/>
            <w:noWrap w:val="false"/>
          </w:tcPr>
          <w:p>
            <w:pPr>
              <w:jc w:val="center"/>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县  区</w:t>
            </w:r>
            <w:r/>
          </w:p>
        </w:tc>
        <w:tc>
          <w:tcPr>
            <w:tcW w:w="7513" w:type="dxa"/>
            <w:vAlign w:val="center"/>
            <w:textDirection w:val="lrTb"/>
            <w:noWrap w:val="false"/>
          </w:tcPr>
          <w:p>
            <w:pPr>
              <w:jc w:val="center"/>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小麦抽检数量（批次）</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睢宁县</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新沂市</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邳州市</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丰县</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沛县</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铜山区</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贾汪区</w:t>
            </w:r>
            <w:r/>
          </w:p>
        </w:tc>
        <w:tc>
          <w:tcPr>
            <w:tcW w:w="7513"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w:t>
            </w:r>
            <w:r/>
          </w:p>
        </w:tc>
      </w:tr>
      <w:tr>
        <w:trPr/>
        <w:tc>
          <w:tcPr>
            <w:tcW w:w="1526" w:type="dxa"/>
            <w:vAlign w:val="center"/>
            <w:textDirection w:val="lrTb"/>
            <w:noWrap w:val="false"/>
          </w:tcPr>
          <w:p>
            <w:pPr>
              <w:ind w:firstLine="240"/>
              <w:jc w:val="both"/>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  计</w:t>
            </w:r>
            <w:r/>
          </w:p>
        </w:tc>
        <w:tc>
          <w:tcPr>
            <w:tcW w:w="7513"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500</w:t>
            </w:r>
            <w:r/>
          </w:p>
        </w:tc>
      </w:tr>
    </w:tbl>
    <w:p>
      <w:pPr>
        <w:pStyle w:val="1201"/>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201"/>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八</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采购包8：</w:t>
      </w:r>
      <w:r>
        <w:rPr>
          <w:rFonts w:hint="eastAsia" w:ascii="仿宋" w:hAnsi="仿宋" w:eastAsia="仿宋" w:cs="仿宋"/>
          <w:sz w:val="24"/>
          <w:szCs w:val="24"/>
          <w:highlight w:val="none"/>
        </w:rPr>
        <w:t xml:space="preserve">水稻专项风险监测抽检数量</w:t>
      </w:r>
      <w:r/>
    </w:p>
    <w:tbl>
      <w:tblPr>
        <w:tblStyle w:val="121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513"/>
      </w:tblGrid>
      <w:tr>
        <w:trPr/>
        <w:tc>
          <w:tcPr>
            <w:tcW w:w="1526" w:type="dxa"/>
            <w:vAlign w:val="center"/>
            <w:textDirection w:val="lrTb"/>
            <w:noWrap w:val="false"/>
          </w:tcPr>
          <w:p>
            <w:pPr>
              <w:jc w:val="center"/>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县  区</w:t>
            </w:r>
            <w:r/>
          </w:p>
        </w:tc>
        <w:tc>
          <w:tcPr>
            <w:tcW w:w="7513" w:type="dxa"/>
            <w:vAlign w:val="center"/>
            <w:textDirection w:val="lrTb"/>
            <w:noWrap w:val="false"/>
          </w:tcPr>
          <w:p>
            <w:pPr>
              <w:jc w:val="center"/>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水稻抽检数量（批次）</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睢宁县</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新沂市</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邳州市</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丰县</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沛县</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铜山区</w:t>
            </w:r>
            <w:r/>
          </w:p>
        </w:tc>
        <w:tc>
          <w:tcPr>
            <w:tcW w:w="751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贾汪区</w:t>
            </w:r>
            <w:r/>
          </w:p>
        </w:tc>
        <w:tc>
          <w:tcPr>
            <w:tcW w:w="7513"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w:t>
            </w:r>
            <w:r/>
          </w:p>
        </w:tc>
      </w:tr>
      <w:tr>
        <w:trPr/>
        <w:tc>
          <w:tcPr>
            <w:tcW w:w="1526" w:type="dxa"/>
            <w:vAlign w:val="center"/>
            <w:textDirection w:val="lrTb"/>
            <w:noWrap w:val="false"/>
          </w:tcPr>
          <w:p>
            <w:pPr>
              <w:ind w:firstLine="240"/>
              <w:jc w:val="both"/>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  计</w:t>
            </w:r>
            <w:r/>
          </w:p>
        </w:tc>
        <w:tc>
          <w:tcPr>
            <w:tcW w:w="7513"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500</w:t>
            </w:r>
            <w:r/>
          </w:p>
        </w:tc>
      </w:tr>
    </w:tbl>
    <w:p>
      <w:pPr>
        <w:pStyle w:val="1201"/>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九</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采购包9：</w:t>
      </w:r>
      <w:r>
        <w:rPr>
          <w:rFonts w:hint="eastAsia" w:ascii="仿宋" w:hAnsi="仿宋" w:eastAsia="仿宋" w:cs="仿宋"/>
          <w:sz w:val="24"/>
          <w:szCs w:val="24"/>
          <w:highlight w:val="none"/>
        </w:rPr>
        <w:t xml:space="preserve">玉米、大豆专项风险监测抽检数量</w:t>
      </w:r>
      <w:r/>
    </w:p>
    <w:tbl>
      <w:tblPr>
        <w:tblStyle w:val="121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544"/>
        <w:gridCol w:w="3969"/>
      </w:tblGrid>
      <w:tr>
        <w:trPr/>
        <w:tc>
          <w:tcPr>
            <w:tcW w:w="1526" w:type="dxa"/>
            <w:vAlign w:val="center"/>
            <w:textDirection w:val="lrTb"/>
            <w:noWrap w:val="false"/>
          </w:tcPr>
          <w:p>
            <w:pPr>
              <w:jc w:val="center"/>
              <w:spacing w:line="5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县  区</w:t>
            </w:r>
            <w:r/>
          </w:p>
        </w:tc>
        <w:tc>
          <w:tcPr>
            <w:tcW w:w="3544" w:type="dxa"/>
            <w:vAlign w:val="center"/>
            <w:textDirection w:val="lrTb"/>
            <w:noWrap w:val="false"/>
          </w:tcPr>
          <w:p>
            <w:pPr>
              <w:jc w:val="center"/>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玉米抽检数量（批次）</w:t>
            </w:r>
            <w:r/>
          </w:p>
        </w:tc>
        <w:tc>
          <w:tcPr>
            <w:tcW w:w="3969" w:type="dxa"/>
            <w:vAlign w:val="center"/>
            <w:textDirection w:val="lrTb"/>
            <w:noWrap w:val="false"/>
          </w:tcPr>
          <w:p>
            <w:pPr>
              <w:jc w:val="center"/>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大豆抽检数量（批次）</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睢宁县</w:t>
            </w:r>
            <w:r/>
          </w:p>
        </w:tc>
        <w:tc>
          <w:tcPr>
            <w:tcW w:w="35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w:t>
            </w:r>
            <w:r/>
          </w:p>
        </w:tc>
        <w:tc>
          <w:tcPr>
            <w:tcW w:w="396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新沂市</w:t>
            </w:r>
            <w:r/>
          </w:p>
        </w:tc>
        <w:tc>
          <w:tcPr>
            <w:tcW w:w="35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w:t>
            </w:r>
            <w:r/>
          </w:p>
        </w:tc>
        <w:tc>
          <w:tcPr>
            <w:tcW w:w="396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邳州市</w:t>
            </w:r>
            <w:r/>
          </w:p>
        </w:tc>
        <w:tc>
          <w:tcPr>
            <w:tcW w:w="35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w:t>
            </w:r>
            <w:r/>
          </w:p>
        </w:tc>
        <w:tc>
          <w:tcPr>
            <w:tcW w:w="396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丰县</w:t>
            </w:r>
            <w:r/>
          </w:p>
        </w:tc>
        <w:tc>
          <w:tcPr>
            <w:tcW w:w="35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w:t>
            </w:r>
            <w:r/>
          </w:p>
        </w:tc>
        <w:tc>
          <w:tcPr>
            <w:tcW w:w="396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沛县</w:t>
            </w:r>
            <w:r/>
          </w:p>
        </w:tc>
        <w:tc>
          <w:tcPr>
            <w:tcW w:w="35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w:t>
            </w:r>
            <w:r/>
          </w:p>
        </w:tc>
        <w:tc>
          <w:tcPr>
            <w:tcW w:w="396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铜山区</w:t>
            </w:r>
            <w:r/>
          </w:p>
        </w:tc>
        <w:tc>
          <w:tcPr>
            <w:tcW w:w="35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w:t>
            </w:r>
            <w:r/>
          </w:p>
        </w:tc>
        <w:tc>
          <w:tcPr>
            <w:tcW w:w="396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r>
      <w:tr>
        <w:trPr/>
        <w:tc>
          <w:tcPr>
            <w:tcW w:w="1526"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贾汪区</w:t>
            </w:r>
            <w:r/>
          </w:p>
        </w:tc>
        <w:tc>
          <w:tcPr>
            <w:tcW w:w="35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w:t>
            </w:r>
            <w:r/>
          </w:p>
        </w:tc>
        <w:tc>
          <w:tcPr>
            <w:tcW w:w="396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r>
      <w:tr>
        <w:trPr/>
        <w:tc>
          <w:tcPr>
            <w:tcW w:w="1526" w:type="dxa"/>
            <w:vAlign w:val="center"/>
            <w:textDirection w:val="lrTb"/>
            <w:noWrap w:val="false"/>
          </w:tcPr>
          <w:p>
            <w:pPr>
              <w:ind w:firstLine="240"/>
              <w:jc w:val="both"/>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  计</w:t>
            </w:r>
            <w:r/>
          </w:p>
        </w:tc>
        <w:tc>
          <w:tcPr>
            <w:tcW w:w="354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400</w:t>
            </w:r>
            <w:r/>
          </w:p>
        </w:tc>
        <w:tc>
          <w:tcPr>
            <w:tcW w:w="396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w:t>
            </w:r>
            <w:r/>
          </w:p>
        </w:tc>
      </w:tr>
    </w:tbl>
    <w:p>
      <w:pPr>
        <w:ind w:firstLine="562"/>
        <w:keepLines w:val="0"/>
        <w:keepNext w:val="0"/>
        <w:pageBreakBefore w:val="0"/>
        <w:spacing w:line="4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三、服务要求</w:t>
      </w:r>
      <w:r/>
    </w:p>
    <w:p>
      <w:pPr>
        <w:pStyle w:val="1212"/>
        <w:ind w:left="400" w:firstLine="562"/>
        <w:keepLines w:val="0"/>
        <w:keepNext w:val="0"/>
        <w:pageBreakBefore w:val="0"/>
        <w:spacing w:line="46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（一）风险监测部分</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1、监测时间</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2024年</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2、监测范围及对象</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监测范围：丰县、沛县、新沂市、邳州市、睢宁县、铜山区、贾汪区、经济技术开发区、泉山区。</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监测对象：种植类产品监测蔬菜、果品、食用菌，样品从生产企业、家庭农场、合作社、收储运环节及田头交易市场抽取；畜禽产品监测猪肝、猪肉、禽肉、禽蛋、牛肉、羊肉、生鲜牛乳等，肉蛋从屠宰场和养殖场抽取，生鲜牛乳从奶站、奶罐车和养殖场抽取；水产品抽样环节为水产养殖主体、运输车及塘口交易市场。绿色优质农产品基地产品要做到抽检全覆盖。全部产品均需可溯源，每次可根据上市季节情况覆盖一定数量的小散户。</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3、监测品种、方式、时间和数量</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3.1监测品种</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为保证数据客观性，原则上不能超出以下目录品种，对于部分地方特色品种，纳入地方专项风险监测。</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蔬果产品：蔬菜产品包括大白菜、普通白菜、结球甘蓝、花椰菜、青花菜、韭菜、蕹菜、茼蒿、苋菜、叶用莴苣、菠菜、油麦菜、荠菜、芹菜、茎用莴苣、豇豆、菜豆、番茄、茄子、辣椒、黄瓜、丝瓜、冬瓜、萝卜、胡萝卜、马铃薯、洋葱、姜、葱、蒜、食用菌（均为鲜样）。水果主要包括草莓、西瓜、梨、桃、葡萄、苹果。</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畜禽产品：包括猪肝、猪肉、禽肉、禽蛋、牛肉、羊肉、生鲜牛乳。</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水产品：包括养殖鱼类、虾类、蟹类、其它类。</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3.2监测时间和方式</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bidi="ar-SA"/>
        </w:rPr>
        <w:t xml:space="preserve">市级农产品质量安全例行监测，全年共监测4次。采取“随机”方式抽取主体，规模生产主体从全市主体名录库（包括省农产品质量追溯管理平台、智慧动监、苏农云水产品质量安全监管平台、“三品一标”获证产品库、收储运主体名录等）随机抽取，名录抽样前发给各检测机构；抽自小散户的部分样品</w:t>
      </w:r>
      <w:r>
        <w:rPr>
          <w:rFonts w:hint="eastAsia" w:ascii="仿宋" w:hAnsi="仿宋" w:eastAsia="仿宋" w:cs="仿宋"/>
          <w:bCs/>
          <w:sz w:val="24"/>
          <w:szCs w:val="24"/>
          <w:highlight w:val="none"/>
        </w:rPr>
        <w:t xml:space="preserve">，名录由各县（市）区农业农村部门确定。</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3.3</w:t>
      </w:r>
      <w:r>
        <w:rPr>
          <w:rFonts w:hint="eastAsia" w:ascii="仿宋" w:hAnsi="仿宋" w:eastAsia="仿宋" w:cs="仿宋"/>
          <w:bCs/>
          <w:sz w:val="24"/>
          <w:szCs w:val="24"/>
          <w:highlight w:val="none"/>
        </w:rPr>
        <w:t xml:space="preserve">监测数量</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例行监测全年共抽取2760个样品。</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蔬果产品：全年抽取1960个样品。其中铜山区、丰县、沛县、邳州市、新沂市、睢宁县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分别抽取73个样品（其中10个样品可抽自小散户，10个样品抽自收储运环节、10个样品抽自田头交易市场）。贾汪区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30个样品（其中4个样品可抽自小散户，4个样品抽自收储运环节、4个样品抽自田头交易市场）。经济开发区</w:t>
      </w:r>
      <w:r>
        <w:rPr>
          <w:rFonts w:hint="eastAsia" w:ascii="仿宋" w:hAnsi="仿宋" w:eastAsia="仿宋" w:cs="仿宋"/>
          <w:bCs/>
          <w:sz w:val="24"/>
          <w:szCs w:val="24"/>
          <w:highlight w:val="none"/>
          <w:lang w:val="en-US" w:eastAsia="zh-CN"/>
        </w:rPr>
        <w:t xml:space="preserve">每次</w:t>
      </w:r>
      <w:r>
        <w:rPr>
          <w:rFonts w:hint="eastAsia" w:ascii="仿宋" w:hAnsi="仿宋" w:eastAsia="仿宋" w:cs="仿宋"/>
          <w:bCs/>
          <w:sz w:val="24"/>
          <w:szCs w:val="24"/>
          <w:highlight w:val="none"/>
        </w:rPr>
        <w:t xml:space="preserve">15个；泉山区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7个样品。</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畜禽产品：全年抽取516个样品，其中邳州市、新沂市、睢宁县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分别抽取20个样品（其中4个样品抽自小散户）,沛县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抽取17个样品（其中3个样品抽自小散户），铜山区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抽取23个样品（其中4个样品抽自小散户），丰县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抽取14个样品（其中2个样品抽自小散户），贾汪区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抽取9个样品（其中1个样品抽自小散户）、泉山区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抽取6个样品（其中1个样品抽自小散户）。</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水产品：全年抽取284个样品，其中邳州市、新沂市、睢宁县、铜山区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分别抽取10个样品，沛县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抽取15个样品，贾汪区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抽取7个样品，泉山区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抽取9个样品。（其中全年总数的20%抽自小散户，</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1个抽自运输车、1个抽自塘口交易市场）。</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抽样要求</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监测样品必须具有代表性。凡被确定的监测点不得拒绝抽样，本监测不得向被查单位收取任何费用。</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4.1</w:t>
      </w:r>
      <w:r>
        <w:rPr>
          <w:rFonts w:hint="eastAsia" w:ascii="仿宋" w:hAnsi="仿宋" w:eastAsia="仿宋" w:cs="仿宋"/>
          <w:bCs/>
          <w:sz w:val="24"/>
          <w:szCs w:val="24"/>
          <w:highlight w:val="none"/>
        </w:rPr>
        <w:t xml:space="preserve">抽样点确定</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抽样点确定</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承检机构从全省主体名录库中抽取基地及品种，每个种植养殖生产主体不得超过2个样品，样品品种批次不得重复，畜禽样品同一批次只能抽一个样，水产样品同一水源只能抽一个样。抽取不到的样品从名录顺延补全，总数不得减少。畜禽屠宰场每张检疫证（不同产地来源）可抽样1个，每家共计不超过8个样品。市级例行监测全年需覆盖全部的食用菌生产主体、生猪定点屠宰企业、已备案的牛羊/禽类集中屠宰企业及奶站、奶牛养殖场。同一生产主体全年抽样不得超过两次。确实抽不到的农产品可适当在农贸市场补齐，但需是本地农产品且可溯源。</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2.抽样方法</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蔬果产品：按《农药残留分析样本的采样方法》（NY/T 789）规定执行。</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畜禽产品：生鲜乳抽样按照农业部《生鲜乳抽样方法》执行，其他畜禽产品参照《动物及动物产品兽药残留监控抽样规范》（NY/T1897）及有关标准执行。样品均需冷冻保存。</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水产品：按《水产品抽样规范》（GB/T 30891）规定执行。样品需冷冻保存。</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3.抽样方式</w:t>
      </w:r>
      <w:r/>
    </w:p>
    <w:p>
      <w:pPr>
        <w:pStyle w:val="1212"/>
        <w:ind w:left="400" w:firstLine="560"/>
        <w:keepLines w:val="0"/>
        <w:keepNext w:val="0"/>
        <w:pageBreakBefore w:val="0"/>
        <w:spacing w:line="4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由各县（市）区农业农村行政主管部门根据抽样要求，明确牵头科室（单位），协助承检机构共同完成抽样任务。</w:t>
      </w:r>
      <w:r/>
    </w:p>
    <w:p>
      <w:pPr>
        <w:pStyle w:val="1212"/>
        <w:ind w:left="0" w:firstLine="909"/>
        <w:keepLines w:val="0"/>
        <w:keepNext w:val="0"/>
        <w:pageBreakBefore w:val="0"/>
        <w:spacing w:line="460" w:lineRule="exact"/>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、监测项目、检测方法和判定依据</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见下方见附表1、2、3。</w:t>
      </w:r>
      <w:r/>
    </w:p>
    <w:p>
      <w:pPr>
        <w:keepLines w:val="0"/>
        <w:keepNext w:val="0"/>
        <w:pageBreakBefore w:val="0"/>
        <w:spacing w:line="460" w:lineRule="exact"/>
        <w:rPr>
          <w:rStyle w:val="1233"/>
          <w:rFonts w:eastAsia="仿宋"/>
          <w:sz w:val="32"/>
          <w:szCs w:val="32"/>
          <w:highlight w:val="none"/>
        </w:rPr>
      </w:pPr>
      <w:r>
        <w:rPr>
          <w:rStyle w:val="1233"/>
          <w:rFonts w:eastAsia="仿宋"/>
          <w:sz w:val="32"/>
          <w:szCs w:val="32"/>
          <w:highlight w:val="none"/>
        </w:rPr>
        <w:br w:type="page" w:clear="all"/>
      </w:r>
      <w:r/>
    </w:p>
    <w:p>
      <w:pPr>
        <w:spacing w:line="240" w:lineRule="atLeast"/>
        <w:widowControl/>
        <w:rPr>
          <w:rStyle w:val="1233"/>
          <w:rFonts w:hint="eastAsia" w:ascii="仿宋" w:hAnsi="仿宋" w:eastAsia="仿宋" w:cs="仿宋"/>
          <w:sz w:val="32"/>
          <w:szCs w:val="32"/>
          <w:highlight w:val="none"/>
        </w:rPr>
      </w:pPr>
      <w:r>
        <w:rPr>
          <w:rStyle w:val="1233"/>
          <w:rFonts w:hint="eastAsia" w:ascii="仿宋" w:hAnsi="仿宋" w:eastAsia="仿宋" w:cs="仿宋"/>
          <w:sz w:val="32"/>
          <w:szCs w:val="32"/>
          <w:highlight w:val="none"/>
        </w:rPr>
        <w:t xml:space="preserve">附表1：</w:t>
      </w:r>
      <w:r/>
    </w:p>
    <w:p>
      <w:pPr>
        <w:jc w:val="center"/>
        <w:spacing w:line="240" w:lineRule="atLeas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lang w:bidi="ar"/>
        </w:rPr>
        <w:t xml:space="preserve">市级蔬果质量安全例行监测检测方法和判定依据</w:t>
      </w:r>
      <w:r/>
    </w:p>
    <w:tbl>
      <w:tblPr>
        <w:tblStyle w:val="1244"/>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12"/>
        <w:gridCol w:w="2505"/>
        <w:gridCol w:w="1461"/>
      </w:tblGrid>
      <w:tr>
        <w:trPr>
          <w:jc w:val="center"/>
          <w:trHeight w:val="561"/>
        </w:trPr>
        <w:tc>
          <w:tcPr>
            <w:tcW w:w="5812" w:type="dxa"/>
            <w:vAlign w:val="center"/>
            <w:textDirection w:val="lrTb"/>
            <w:noWrap w:val="false"/>
          </w:tcPr>
          <w:p>
            <w:pPr>
              <w:pStyle w:val="1243"/>
              <w:ind w:left="14" w:firstLine="31"/>
              <w:jc w:val="center"/>
              <w:spacing w:line="2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监测项目（75项）</w:t>
            </w:r>
            <w:r/>
          </w:p>
        </w:tc>
        <w:tc>
          <w:tcPr>
            <w:tcW w:w="2505" w:type="dxa"/>
            <w:vAlign w:val="center"/>
            <w:textDirection w:val="lrTb"/>
            <w:noWrap w:val="false"/>
          </w:tcPr>
          <w:p>
            <w:pPr>
              <w:pStyle w:val="1243"/>
              <w:ind w:left="14" w:firstLine="31"/>
              <w:jc w:val="center"/>
              <w:spacing w:line="2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检测方法（推荐使用）</w:t>
            </w:r>
            <w:r/>
          </w:p>
        </w:tc>
        <w:tc>
          <w:tcPr>
            <w:tcW w:w="1461" w:type="dxa"/>
            <w:vAlign w:val="center"/>
            <w:textDirection w:val="lrTb"/>
            <w:noWrap w:val="false"/>
          </w:tcPr>
          <w:p>
            <w:pPr>
              <w:pStyle w:val="1243"/>
              <w:ind w:left="14" w:firstLine="31"/>
              <w:jc w:val="center"/>
              <w:spacing w:line="28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判定依据</w:t>
            </w:r>
            <w:r/>
          </w:p>
        </w:tc>
      </w:tr>
      <w:tr>
        <w:trPr>
          <w:jc w:val="center"/>
          <w:trHeight w:val="2245"/>
        </w:trPr>
        <w:tc>
          <w:tcPr>
            <w:tcW w:w="5812" w:type="dxa"/>
            <w:vAlign w:val="center"/>
            <w:textDirection w:val="lrTb"/>
            <w:noWrap w:val="false"/>
          </w:tcPr>
          <w:p>
            <w:pPr>
              <w:pStyle w:val="1243"/>
              <w:ind w:left="14" w:firstLine="31"/>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甲胺磷 、对硫磷、甲基对硫磷、六六六、 甲拌磷（包括甲拌磷砜和甲拌磷亚砜） 、氧乐果 、水胺硫磷 、甲基异柳磷、克百威（包括3-羟基克百威）、涕灭威（包括涕灭威砜和涕灭威亚砜） 、毒死蜱 、三唑磷 、乐果 、 乙酰甲胺磷 、灭多威 、灭线磷、内吸磷、硫环磷、氯唑磷、敌敌畏 、丙溴磷 、马拉硫磷 、亚胺硫磷 、辛硫磷 、倍硫磷、氰戊菊酯 、 甲氰菊酯 、溴氰菊酯 、联苯菊酯 、三唑酮、异菌脲、腐霉利、多菌灵、吡虫啉</w:t>
            </w:r>
            <w:r/>
          </w:p>
        </w:tc>
        <w:tc>
          <w:tcPr>
            <w:tcW w:w="2505" w:type="dxa"/>
            <w:textDirection w:val="lrTb"/>
            <w:noWrap w:val="false"/>
          </w:tcPr>
          <w:p>
            <w:pPr>
              <w:jc w:val="left"/>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pStyle w:val="1243"/>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NY/T 761-2008或</w:t>
            </w:r>
            <w:r/>
          </w:p>
          <w:p>
            <w:pPr>
              <w:pStyle w:val="1243"/>
              <w:ind w:left="1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GB23200.8-2016或</w:t>
            </w:r>
            <w:r/>
          </w:p>
          <w:p>
            <w:pPr>
              <w:pStyle w:val="1243"/>
              <w:ind w:left="1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GB/T 20769-2008或</w:t>
            </w:r>
            <w:r/>
          </w:p>
          <w:p>
            <w:pPr>
              <w:pStyle w:val="1243"/>
              <w:ind w:left="10" w:right="437"/>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GB23200.113-2018或 GB23200. 121-2021</w:t>
            </w:r>
            <w:r/>
          </w:p>
        </w:tc>
        <w:tc>
          <w:tcPr>
            <w:tcBorders>
              <w:bottom w:val="none" w:color="000000" w:sz="4" w:space="0"/>
            </w:tcBorders>
            <w:tcW w:w="1461" w:type="dxa"/>
            <w:vMerge w:val="restart"/>
            <w:textDirection w:val="lrTb"/>
            <w:noWrap w:val="false"/>
          </w:tcPr>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pStyle w:val="1243"/>
              <w:ind w:left="14"/>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按GB</w:t>
            </w:r>
            <w:r/>
          </w:p>
          <w:p>
            <w:pPr>
              <w:pStyle w:val="1243"/>
              <w:ind w:left="15" w:right="151" w:hanging="7"/>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2763—2021和 农业农村部例行监测判定标准进行判定</w:t>
            </w:r>
            <w:r/>
          </w:p>
        </w:tc>
      </w:tr>
      <w:tr>
        <w:trPr>
          <w:jc w:val="center"/>
          <w:trHeight w:val="1184"/>
        </w:trPr>
        <w:tc>
          <w:tcPr>
            <w:tcW w:w="5812" w:type="dxa"/>
            <w:vAlign w:val="center"/>
            <w:textDirection w:val="lrTb"/>
            <w:noWrap w:val="false"/>
          </w:tcPr>
          <w:p>
            <w:pPr>
              <w:pStyle w:val="1243"/>
              <w:ind w:left="21" w:right="3"/>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氯氰菊酯 、杀螟硫磷 、氯氟氰菊酯 、氟氯氰菊酯 、百菌清 、三氯杀螨醇 、五氯硝基苯 、 乙烯菌核利</w:t>
            </w:r>
            <w:r/>
          </w:p>
        </w:tc>
        <w:tc>
          <w:tcPr>
            <w:tcW w:w="2505" w:type="dxa"/>
            <w:vAlign w:val="center"/>
            <w:textDirection w:val="lrTb"/>
            <w:noWrap w:val="false"/>
          </w:tcPr>
          <w:p>
            <w:pPr>
              <w:pStyle w:val="1243"/>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NY/T 761-2008或</w:t>
            </w:r>
            <w:r/>
          </w:p>
          <w:p>
            <w:pPr>
              <w:pStyle w:val="1243"/>
              <w:ind w:left="1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GB23200.8-2016或</w:t>
            </w:r>
            <w:r/>
          </w:p>
          <w:p>
            <w:pPr>
              <w:pStyle w:val="1243"/>
              <w:ind w:left="1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GB/T 20769-2008或</w:t>
            </w:r>
            <w:r/>
          </w:p>
          <w:p>
            <w:pPr>
              <w:ind w:left="10"/>
              <w:jc w:val="left"/>
              <w:spacing w:line="300" w:lineRule="exact"/>
              <w:rPr>
                <w:rFonts w:hint="eastAsia" w:ascii="仿宋" w:hAnsi="仿宋" w:eastAsia="仿宋" w:cs="仿宋"/>
                <w:szCs w:val="21"/>
                <w:highlight w:val="none"/>
              </w:rPr>
            </w:pPr>
            <w:r>
              <w:rPr>
                <w:rFonts w:hint="eastAsia" w:ascii="仿宋" w:hAnsi="仿宋" w:eastAsia="仿宋" w:cs="仿宋"/>
                <w:szCs w:val="21"/>
                <w:highlight w:val="none"/>
              </w:rPr>
              <w:t xml:space="preserve">GB23200.113-2018</w:t>
            </w:r>
            <w:r/>
          </w:p>
        </w:tc>
        <w:tc>
          <w:tcPr>
            <w:tcBorders>
              <w:top w:val="none" w:color="000000" w:sz="4" w:space="0"/>
              <w:bottom w:val="none" w:color="000000" w:sz="4" w:space="0"/>
            </w:tcBorders>
            <w:tcW w:w="1461" w:type="dxa"/>
            <w:vMerge w:val="continue"/>
            <w:textDirection w:val="lrTb"/>
            <w:noWrap w:val="false"/>
          </w:tcPr>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1604"/>
        </w:trPr>
        <w:tc>
          <w:tcPr>
            <w:tcW w:w="5812" w:type="dxa"/>
            <w:vAlign w:val="center"/>
            <w:textDirection w:val="lrTb"/>
            <w:noWrap w:val="false"/>
          </w:tcPr>
          <w:p>
            <w:pPr>
              <w:pStyle w:val="1243"/>
              <w:ind w:left="16" w:firstLine="8"/>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氟虫腈（包括氟甲腈 、氟虫腈硫醚 、氟虫腈砜） 啶虫脒 、哒螨灵 、苯醚甲环唑 、嘧霉胺 、 甲氨基阿维菌素苯甲酸盐 、烯酰吗啉 、咪鲜胺、嘧菌酯、二甲戊灵 、噻虫嗪、氟啶脲、灭幼脲、甲霜灵 、霜霉威 、多效唑 、丙环唑、氯吡脲、氯虫苯甲酰胺 、氯菊酯（异构体之和） 、醚菊酯 、虫酰肼 、吡唑醚菌酯 、除虫脲、戊唑醇、呋虫胺、虱螨脲</w:t>
            </w:r>
            <w:r/>
          </w:p>
        </w:tc>
        <w:tc>
          <w:tcPr>
            <w:tcW w:w="2505" w:type="dxa"/>
            <w:vAlign w:val="center"/>
            <w:textDirection w:val="lrTb"/>
            <w:noWrap w:val="false"/>
          </w:tcPr>
          <w:p>
            <w:pPr>
              <w:pStyle w:val="1243"/>
              <w:ind w:left="1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 23200.8—2016或</w:t>
            </w:r>
            <w:r/>
          </w:p>
          <w:p>
            <w:pPr>
              <w:pStyle w:val="1243"/>
              <w:ind w:left="10" w:right="43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GB/T 20769—2008或    GB23200.113—2018或 GB23200. 121-2021</w:t>
            </w:r>
            <w:r/>
          </w:p>
        </w:tc>
        <w:tc>
          <w:tcPr>
            <w:tcBorders>
              <w:top w:val="none" w:color="000000" w:sz="4" w:space="0"/>
              <w:bottom w:val="none" w:color="000000" w:sz="4" w:space="0"/>
            </w:tcBorders>
            <w:tcW w:w="1461" w:type="dxa"/>
            <w:vMerge w:val="continue"/>
            <w:textDirection w:val="lrTb"/>
            <w:noWrap w:val="false"/>
          </w:tcPr>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849"/>
        </w:trPr>
        <w:tc>
          <w:tcPr>
            <w:tcW w:w="5812" w:type="dxa"/>
            <w:vAlign w:val="center"/>
            <w:textDirection w:val="lrTb"/>
            <w:noWrap w:val="false"/>
          </w:tcPr>
          <w:p>
            <w:pPr>
              <w:pStyle w:val="1243"/>
              <w:ind w:left="26"/>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虫螨腈、灭蝇胺</w:t>
            </w:r>
            <w:r/>
          </w:p>
        </w:tc>
        <w:tc>
          <w:tcPr>
            <w:tcW w:w="2505" w:type="dxa"/>
            <w:vAlign w:val="center"/>
            <w:textDirection w:val="lrTb"/>
            <w:noWrap w:val="false"/>
          </w:tcPr>
          <w:p>
            <w:pPr>
              <w:pStyle w:val="1243"/>
              <w:ind w:left="1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 23200.8—2016或</w:t>
            </w:r>
            <w:r/>
          </w:p>
          <w:p>
            <w:pPr>
              <w:pStyle w:val="1243"/>
              <w:ind w:left="1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GB/T 20769—2008或</w:t>
            </w:r>
            <w:r/>
          </w:p>
          <w:p>
            <w:pPr>
              <w:ind w:left="10"/>
              <w:jc w:val="left"/>
              <w:spacing w:line="300" w:lineRule="exact"/>
              <w:rPr>
                <w:rFonts w:hint="eastAsia" w:ascii="仿宋" w:hAnsi="仿宋" w:eastAsia="仿宋" w:cs="仿宋"/>
                <w:szCs w:val="21"/>
                <w:highlight w:val="none"/>
              </w:rPr>
            </w:pPr>
            <w:r>
              <w:rPr>
                <w:rFonts w:hint="eastAsia" w:ascii="仿宋" w:hAnsi="仿宋" w:eastAsia="仿宋" w:cs="仿宋"/>
                <w:szCs w:val="21"/>
                <w:highlight w:val="none"/>
              </w:rPr>
              <w:t xml:space="preserve">GB 23200.113—2018</w:t>
            </w:r>
            <w:r/>
          </w:p>
        </w:tc>
        <w:tc>
          <w:tcPr>
            <w:tcBorders>
              <w:top w:val="none" w:color="000000" w:sz="4" w:space="0"/>
              <w:bottom w:val="none" w:color="000000" w:sz="4" w:space="0"/>
            </w:tcBorders>
            <w:tcW w:w="1461" w:type="dxa"/>
            <w:vMerge w:val="continue"/>
            <w:textDirection w:val="lrTb"/>
            <w:noWrap w:val="false"/>
          </w:tcPr>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45"/>
        </w:trPr>
        <w:tc>
          <w:tcPr>
            <w:tcW w:w="5812" w:type="dxa"/>
            <w:vAlign w:val="center"/>
            <w:textDirection w:val="lrTb"/>
            <w:noWrap w:val="false"/>
          </w:tcPr>
          <w:p>
            <w:pPr>
              <w:pStyle w:val="1243"/>
              <w:ind w:left="33"/>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阿维菌素</w:t>
            </w:r>
            <w:r/>
          </w:p>
        </w:tc>
        <w:tc>
          <w:tcPr>
            <w:tcW w:w="2505" w:type="dxa"/>
            <w:vAlign w:val="center"/>
            <w:textDirection w:val="lrTb"/>
            <w:noWrap w:val="false"/>
          </w:tcPr>
          <w:p>
            <w:pPr>
              <w:pStyle w:val="1243"/>
              <w:ind w:left="10"/>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 23200. 19或</w:t>
            </w:r>
            <w:r/>
          </w:p>
          <w:p>
            <w:pPr>
              <w:ind w:left="10"/>
              <w:jc w:val="left"/>
              <w:spacing w:line="300" w:lineRule="exact"/>
              <w:rPr>
                <w:rFonts w:hint="eastAsia" w:ascii="仿宋" w:hAnsi="仿宋" w:eastAsia="仿宋" w:cs="仿宋"/>
                <w:szCs w:val="21"/>
                <w:highlight w:val="none"/>
              </w:rPr>
            </w:pPr>
            <w:r>
              <w:rPr>
                <w:rFonts w:hint="eastAsia" w:ascii="仿宋" w:hAnsi="仿宋" w:eastAsia="仿宋" w:cs="仿宋"/>
                <w:szCs w:val="21"/>
                <w:highlight w:val="none"/>
              </w:rPr>
              <w:t xml:space="preserve">GB 23200. 121-2021</w:t>
            </w:r>
            <w:r/>
          </w:p>
        </w:tc>
        <w:tc>
          <w:tcPr>
            <w:tcBorders>
              <w:top w:val="none" w:color="000000" w:sz="4" w:space="0"/>
              <w:bottom w:val="none" w:color="000000" w:sz="4" w:space="0"/>
            </w:tcBorders>
            <w:tcW w:w="1461" w:type="dxa"/>
            <w:vMerge w:val="continue"/>
            <w:textDirection w:val="lrTb"/>
            <w:noWrap w:val="false"/>
          </w:tcPr>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849"/>
        </w:trPr>
        <w:tc>
          <w:tcPr>
            <w:tcW w:w="5812" w:type="dxa"/>
            <w:vAlign w:val="center"/>
            <w:textDirection w:val="lrTb"/>
            <w:noWrap w:val="false"/>
          </w:tcPr>
          <w:p>
            <w:pPr>
              <w:pStyle w:val="1243"/>
              <w:ind w:left="24"/>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噻虫胺</w:t>
            </w:r>
            <w:r/>
          </w:p>
        </w:tc>
        <w:tc>
          <w:tcPr>
            <w:tcW w:w="2505" w:type="dxa"/>
            <w:vAlign w:val="center"/>
            <w:textDirection w:val="lrTb"/>
            <w:noWrap w:val="false"/>
          </w:tcPr>
          <w:p>
            <w:pPr>
              <w:pStyle w:val="1243"/>
              <w:ind w:left="10" w:right="379"/>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GB/T 20769—2008或    GB 23200. 121-2021或 GB 23200.39-2016</w:t>
            </w:r>
            <w:r/>
          </w:p>
        </w:tc>
        <w:tc>
          <w:tcPr>
            <w:tcBorders>
              <w:top w:val="none" w:color="000000" w:sz="4" w:space="0"/>
              <w:bottom w:val="none" w:color="000000" w:sz="4" w:space="0"/>
            </w:tcBorders>
            <w:tcW w:w="1461" w:type="dxa"/>
            <w:vMerge w:val="continue"/>
            <w:textDirection w:val="lrTb"/>
            <w:noWrap w:val="false"/>
          </w:tcPr>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854"/>
        </w:trPr>
        <w:tc>
          <w:tcPr>
            <w:tcW w:w="5812" w:type="dxa"/>
            <w:vAlign w:val="center"/>
            <w:textDirection w:val="lrTb"/>
            <w:noWrap w:val="false"/>
          </w:tcPr>
          <w:p>
            <w:pPr>
              <w:pStyle w:val="1243"/>
              <w:ind w:left="27"/>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三环唑</w:t>
            </w:r>
            <w:r/>
          </w:p>
        </w:tc>
        <w:tc>
          <w:tcPr>
            <w:tcW w:w="2505" w:type="dxa"/>
            <w:vAlign w:val="center"/>
            <w:textDirection w:val="lrTb"/>
            <w:noWrap w:val="false"/>
          </w:tcPr>
          <w:p>
            <w:pPr>
              <w:pStyle w:val="1243"/>
              <w:ind w:right="379" w:firstLine="9"/>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GB/T 20769—2008或    GB 23200. 121-2021或 NY/T 1379-2017</w:t>
            </w:r>
            <w:r/>
          </w:p>
        </w:tc>
        <w:tc>
          <w:tcPr>
            <w:tcBorders>
              <w:top w:val="none" w:color="000000" w:sz="4" w:space="0"/>
              <w:bottom w:val="none" w:color="000000" w:sz="4" w:space="0"/>
            </w:tcBorders>
            <w:tcW w:w="1461" w:type="dxa"/>
            <w:vMerge w:val="continue"/>
            <w:textDirection w:val="lrTb"/>
            <w:noWrap w:val="false"/>
          </w:tcPr>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84"/>
        </w:trPr>
        <w:tc>
          <w:tcPr>
            <w:tcW w:w="5812" w:type="dxa"/>
            <w:vAlign w:val="center"/>
            <w:textDirection w:val="lrTb"/>
            <w:noWrap w:val="false"/>
          </w:tcPr>
          <w:p>
            <w:pPr>
              <w:pStyle w:val="1243"/>
              <w:ind w:left="27"/>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丁硫克百威</w:t>
            </w:r>
            <w:r/>
          </w:p>
        </w:tc>
        <w:tc>
          <w:tcPr>
            <w:tcW w:w="2505" w:type="dxa"/>
            <w:vAlign w:val="center"/>
            <w:textDirection w:val="lrTb"/>
            <w:noWrap w:val="false"/>
          </w:tcPr>
          <w:p>
            <w:pPr>
              <w:pStyle w:val="1243"/>
              <w:ind w:right="379" w:firstLine="9"/>
              <w:jc w:val="left"/>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GB 23200. 13-2016或</w:t>
            </w:r>
            <w:r/>
          </w:p>
          <w:p>
            <w:pPr>
              <w:jc w:val="left"/>
              <w:spacing w:line="300" w:lineRule="exact"/>
              <w:rPr>
                <w:rFonts w:hint="eastAsia" w:ascii="仿宋" w:hAnsi="仿宋" w:eastAsia="仿宋" w:cs="仿宋"/>
                <w:szCs w:val="21"/>
                <w:highlight w:val="none"/>
              </w:rPr>
            </w:pPr>
            <w:r>
              <w:rPr>
                <w:rFonts w:hint="eastAsia" w:ascii="仿宋" w:hAnsi="仿宋" w:eastAsia="仿宋" w:cs="仿宋"/>
                <w:szCs w:val="21"/>
                <w:highlight w:val="none"/>
              </w:rPr>
              <w:t xml:space="preserve">GB 23200.33-2016</w:t>
            </w:r>
            <w:r/>
          </w:p>
        </w:tc>
        <w:tc>
          <w:tcPr>
            <w:tcBorders>
              <w:top w:val="none" w:color="000000" w:sz="4" w:space="0"/>
            </w:tcBorders>
            <w:tcW w:w="1461" w:type="dxa"/>
            <w:textDirection w:val="lrTb"/>
            <w:noWrap w:val="false"/>
          </w:tcPr>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tc>
      </w:tr>
    </w:tbl>
    <w:p>
      <w:pPr>
        <w:spacing w:line="360" w:lineRule="exact"/>
        <w:widowControl/>
        <w:rPr>
          <w:rFonts w:hint="eastAsia" w:ascii="仿宋" w:hAnsi="仿宋" w:eastAsia="仿宋" w:cs="仿宋"/>
          <w:highlight w:val="none"/>
        </w:rPr>
      </w:pPr>
      <w:r>
        <w:rPr>
          <w:rFonts w:hint="eastAsia" w:ascii="仿宋" w:hAnsi="仿宋" w:eastAsia="仿宋" w:cs="仿宋"/>
          <w:bCs/>
          <w:szCs w:val="21"/>
          <w:highlight w:val="none"/>
          <w:lang w:bidi="ar"/>
        </w:rPr>
        <w:t xml:space="preserve">注：满足检出限和定量限要求的其他检测方法（包括国家标准、行业标准及农业农村部公告等）也可使用。</w:t>
      </w:r>
      <w:r/>
    </w:p>
    <w:p>
      <w:pPr>
        <w:rPr>
          <w:rFonts w:hint="eastAsia" w:ascii="仿宋" w:hAnsi="仿宋" w:eastAsia="仿宋" w:cs="仿宋"/>
          <w:highlight w:val="none"/>
        </w:rPr>
        <w:sectPr>
          <w:footerReference w:type="default" r:id="rId16"/>
          <w:footnotePr/>
          <w:endnotePr/>
          <w:type w:val="nextPage"/>
          <w:pgSz w:w="11906" w:h="16840" w:orient="portrait"/>
          <w:pgMar w:top="1440" w:right="1800" w:bottom="1440" w:left="1800" w:header="851" w:footer="1701" w:gutter="1"/>
          <w:cols w:num="1" w:sep="0" w:space="720" w:equalWidth="1"/>
          <w:docGrid w:linePitch="360"/>
        </w:sectPr>
      </w:pPr>
      <w:r>
        <w:rPr>
          <w:rFonts w:hint="eastAsia" w:ascii="仿宋" w:hAnsi="仿宋" w:eastAsia="仿宋" w:cs="仿宋"/>
          <w:highlight w:val="none"/>
        </w:rPr>
      </w:r>
      <w:r/>
    </w:p>
    <w:p>
      <w:pPr>
        <w:spacing w:line="560" w:lineRule="exact"/>
        <w:widowControl/>
        <w:rPr>
          <w:rStyle w:val="1233"/>
          <w:rFonts w:hint="eastAsia" w:ascii="仿宋" w:hAnsi="仿宋" w:eastAsia="仿宋" w:cs="仿宋"/>
          <w:sz w:val="24"/>
          <w:szCs w:val="24"/>
          <w:highlight w:val="none"/>
        </w:rPr>
      </w:pPr>
      <w:r>
        <w:rPr>
          <w:rStyle w:val="1233"/>
          <w:rFonts w:hint="eastAsia" w:ascii="仿宋" w:hAnsi="仿宋" w:eastAsia="仿宋" w:cs="仿宋"/>
          <w:sz w:val="24"/>
          <w:szCs w:val="24"/>
          <w:highlight w:val="none"/>
        </w:rPr>
        <w:t xml:space="preserve">附表2：</w:t>
      </w:r>
      <w:r/>
    </w:p>
    <w:p>
      <w:pPr>
        <w:ind w:left="552" w:firstLine="1260"/>
        <w:spacing w:line="56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lang w:bidi="ar"/>
        </w:rPr>
        <w:t xml:space="preserve">市级畜禽产品质量安全例行监测检测方法和判定依据</w:t>
      </w:r>
      <w:r/>
    </w:p>
    <w:tbl>
      <w:tblPr>
        <w:tblStyle w:val="1196"/>
        <w:tblW w:w="0" w:type="auto"/>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921"/>
        <w:gridCol w:w="1245"/>
        <w:gridCol w:w="6014"/>
        <w:gridCol w:w="2384"/>
      </w:tblGrid>
      <w:tr>
        <w:trPr>
          <w:jc w:val="center"/>
          <w:trHeight w:val="392"/>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center"/>
              <w:spacing w:line="27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监测项目（31项）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27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样品种类</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center"/>
              <w:spacing w:line="27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检测方法（推荐使用）</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270" w:lineRule="exact"/>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判定依据</w:t>
            </w:r>
            <w:r/>
          </w:p>
        </w:tc>
      </w:tr>
      <w:tr>
        <w:trPr>
          <w:cantSplit/>
          <w:jc w:val="center"/>
          <w:trHeight w:val="564"/>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9种β—受体激动剂（克伦特罗、莱克多巴胺、沙丁胺醇、特布他林、西马特罗、非诺特罗、氯丙那林、妥布特罗、喷布特罗）</w:t>
            </w:r>
            <w:r/>
          </w:p>
        </w:tc>
        <w:tc>
          <w:tcPr>
            <w:tcBorders>
              <w:top w:val="single" w:color="000000" w:sz="4" w:space="0"/>
              <w:left w:val="single" w:color="000000" w:sz="4" w:space="0"/>
              <w:right w:val="single" w:color="000000" w:sz="4" w:space="0"/>
            </w:tcBorders>
            <w:tcW w:w="1245" w:type="dxa"/>
            <w:vAlign w:val="center"/>
            <w:vMerge w:val="restart"/>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猪肉、猪肝、</w:t>
            </w:r>
            <w:r/>
          </w:p>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牛肉、羊肉</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《动物源性食品中β—受体激动剂残留检测—液相色谱—串联质谱法》（农业部1025公告—18—2008）　</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不得检出，</w:t>
            </w:r>
            <w:r/>
          </w:p>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检测方法的定量限（判定值）均≤0.5μg /kg;</w:t>
            </w:r>
            <w:r/>
          </w:p>
        </w:tc>
      </w:tr>
      <w:tr>
        <w:trPr>
          <w:cantSplit/>
          <w:jc w:val="center"/>
          <w:trHeight w:val="757"/>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5种磺胺类（磺胺间甲氧嘧啶（SMM）、磺胺二甲嘧啶（SM2）、磺胺甲噁唑（SMZ）、磺胺二甲氧嘧啶（SDM）、磺胺喹噁啉（SQ）），四环素类</w:t>
            </w:r>
            <w:r/>
          </w:p>
        </w:tc>
        <w:tc>
          <w:tcPr>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270" w:lineRule="exac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《动物源食品中磺胺类药物残留检测 液相色谱-串联质谱法》（农业部1025号公告-23-2008）</w:t>
            </w:r>
            <w:r/>
          </w:p>
          <w:p>
            <w:pPr>
              <w:jc w:val="left"/>
              <w:spacing w:line="270" w:lineRule="exact"/>
              <w:widowControl/>
              <w:rPr>
                <w:rFonts w:hint="eastAsia" w:ascii="仿宋" w:hAnsi="仿宋" w:eastAsia="仿宋" w:cs="仿宋"/>
                <w:highlight w:val="none"/>
              </w:rPr>
            </w:pPr>
            <w:r>
              <w:rPr>
                <w:rFonts w:hint="eastAsia" w:ascii="仿宋" w:hAnsi="仿宋" w:eastAsia="仿宋" w:cs="仿宋"/>
                <w:szCs w:val="21"/>
                <w:highlight w:val="none"/>
              </w:rPr>
              <w:t xml:space="preserve">《动物源性食品中四环素类兽药残留量检测方法 液相色谱-质谱/质谱法与高效液相色谱法》（GB/T 21317-2007 ）</w:t>
            </w:r>
            <w:r/>
          </w:p>
        </w:tc>
        <w:tc>
          <w:tcPr>
            <w:tcBorders>
              <w:top w:val="single" w:color="000000" w:sz="4" w:space="0"/>
              <w:left w:val="single" w:color="000000" w:sz="4" w:space="0"/>
              <w:bottom w:val="single" w:color="000000" w:sz="4" w:space="0"/>
              <w:right w:val="single" w:color="000000" w:sz="4" w:space="0"/>
            </w:tcBorders>
            <w:tcW w:w="2384" w:type="dxa"/>
            <w:vAlign w:val="center"/>
            <w:vMerge w:val="restart"/>
            <w:textDirection w:val="lrTb"/>
            <w:noWrap w:val="false"/>
          </w:tcPr>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按《食品安全国家标准 食品中兽药最大残留限量》</w:t>
            </w:r>
            <w:r/>
          </w:p>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（GB 31650-2019）和《食品安全国家标准 食品中41种兽药最大残留限量》</w:t>
            </w:r>
            <w:r/>
          </w:p>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（GB 31650.1-2022）及相关规定执行。</w:t>
            </w:r>
            <w:r/>
          </w:p>
        </w:tc>
      </w:tr>
      <w:tr>
        <w:trPr>
          <w:cantSplit/>
          <w:jc w:val="center"/>
          <w:trHeight w:val="589"/>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8种氟喹诺酮类（恩诺沙星、环丙沙星、沙拉沙星、达氟沙星、氧氟沙星、培氟沙星、诺氟沙星和洛美沙星）</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禽肉、禽蛋、</w:t>
            </w:r>
            <w:r/>
          </w:p>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生鲜牛乳</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《动物源性食品中14种喹诺酮药物残留检测方法 液相色谱-质谱/质谱法》（GB/T 21312-2007）</w:t>
            </w:r>
            <w:r/>
          </w:p>
        </w:tc>
        <w:tc>
          <w:tcPr>
            <w:tcBorders>
              <w:top w:val="single" w:color="000000" w:sz="4" w:space="0"/>
              <w:left w:val="single" w:color="000000" w:sz="4" w:space="0"/>
              <w:bottom w:val="single" w:color="000000" w:sz="4" w:space="0"/>
              <w:right w:val="single" w:color="000000" w:sz="4" w:space="0"/>
            </w:tcBorders>
            <w:tcW w:w="2384" w:type="dxa"/>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cantSplit/>
          <w:jc w:val="center"/>
          <w:trHeight w:val="985"/>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3种酰胺醇类及代谢物（氯霉素、甲砜霉素、氟苯尼考和氟苯尼考胺）</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spacing w:line="270" w:lineRule="exact"/>
              <w:rPr>
                <w:rFonts w:hint="eastAsia" w:ascii="仿宋" w:hAnsi="仿宋" w:eastAsia="仿宋" w:cs="仿宋"/>
                <w:sz w:val="24"/>
                <w:highlight w:val="none"/>
              </w:rPr>
            </w:pPr>
            <w:r>
              <w:rPr>
                <w:rFonts w:hint="eastAsia" w:ascii="仿宋" w:hAnsi="仿宋" w:eastAsia="仿宋" w:cs="仿宋"/>
                <w:szCs w:val="21"/>
                <w:highlight w:val="none"/>
              </w:rPr>
              <w:t xml:space="preserve">禽肉、禽蛋</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《禽肉和禽蛋中酰胺醇类药物及代谢物残留量的测定 液相色谱-串联质谱法》（中国农业科学院农业质量标准与检测技术研究所自建方法） 《食品安全国家标准 动物性食品中酰胺醇类药物及其代谢物残留量的测定 液相色谱-串联质谱法》(GB 31658.20-2022)</w:t>
            </w:r>
            <w:r/>
          </w:p>
        </w:tc>
        <w:tc>
          <w:tcPr>
            <w:tcBorders>
              <w:top w:val="single" w:color="000000" w:sz="4" w:space="0"/>
              <w:left w:val="single" w:color="000000" w:sz="4" w:space="0"/>
              <w:bottom w:val="single" w:color="000000" w:sz="4" w:space="0"/>
              <w:right w:val="single" w:color="000000" w:sz="4" w:space="0"/>
            </w:tcBorders>
            <w:tcW w:w="2384" w:type="dxa"/>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cantSplit/>
          <w:jc w:val="center"/>
          <w:trHeight w:val="756"/>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金刚烷胺</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《食品安全国家标准 动物性食品中金刚烷胺残留量的测定 液相色谱-串联质谱法》（GB 31660.5-2019） 禽肉和禽蛋中氟喹诺酮类药物及金刚烷胺残留量的测定 液相色谱-串联质谱法操作细则（中国农业科学院农业质量标准与检测技术研究所自建方法）。</w:t>
            </w:r>
            <w:r/>
          </w:p>
        </w:tc>
        <w:tc>
          <w:tcPr>
            <w:tcBorders>
              <w:top w:val="single" w:color="000000" w:sz="4" w:space="0"/>
              <w:left w:val="single" w:color="000000" w:sz="4" w:space="0"/>
              <w:bottom w:val="single" w:color="000000" w:sz="4" w:space="0"/>
              <w:right w:val="single" w:color="000000" w:sz="4" w:space="0"/>
            </w:tcBorders>
            <w:tcW w:w="2384" w:type="dxa"/>
            <w:textDirection w:val="lrTb"/>
            <w:noWrap w:val="false"/>
          </w:tcPr>
          <w:p>
            <w:pPr>
              <w:spacing w:line="270" w:lineRule="exact"/>
              <w:rPr>
                <w:rFonts w:hint="eastAsia" w:ascii="仿宋" w:hAnsi="仿宋" w:eastAsia="仿宋" w:cs="仿宋"/>
                <w:sz w:val="24"/>
                <w:highlight w:val="none"/>
              </w:rPr>
            </w:pPr>
            <w:r>
              <w:rPr>
                <w:rFonts w:hint="eastAsia" w:ascii="仿宋" w:hAnsi="仿宋" w:eastAsia="仿宋" w:cs="仿宋"/>
                <w:szCs w:val="21"/>
                <w:highlight w:val="none"/>
              </w:rPr>
              <w:t xml:space="preserve">不得检出，检测方法的定量限（判定值）≤2.0μg /kg;</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三聚氰胺</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生鲜牛乳</w:t>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《原料乳及乳制品中三聚氰胺检测方法》（GB/T22388）</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2.5mg/kg</w:t>
            </w:r>
            <w:r/>
          </w:p>
        </w:tc>
      </w:tr>
      <w:tr>
        <w:trPr>
          <w:cantSplit/>
          <w:jc w:val="center"/>
          <w:trHeight w:val="337"/>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β-内酰胺酶</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试剂盒快速筛选检测法；确证方法：MRT/B 9 《乳及乳制品中舒巴坦敏感 β-内酰胺酶类药物检测方法 杯碟法》</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4U/mL</w:t>
            </w:r>
            <w:r/>
          </w:p>
        </w:tc>
      </w:tr>
      <w:tr>
        <w:trPr>
          <w:cantSplit/>
          <w:jc w:val="center"/>
          <w:trHeight w:val="135"/>
        </w:trPr>
        <w:tc>
          <w:tcPr>
            <w:tcBorders>
              <w:top w:val="single" w:color="000000" w:sz="4" w:space="0"/>
              <w:left w:val="single" w:color="000000" w:sz="4" w:space="0"/>
              <w:bottom w:val="single" w:color="000000" w:sz="4" w:space="0"/>
              <w:right w:val="single" w:color="000000" w:sz="4" w:space="0"/>
            </w:tcBorders>
            <w:tcW w:w="4921" w:type="dxa"/>
            <w:vAlign w:val="center"/>
            <w:textDirection w:val="lrTb"/>
            <w:noWrap w:val="false"/>
          </w:tcPr>
          <w:p>
            <w:pPr>
              <w:jc w:val="left"/>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碱类物质</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6014" w:type="dxa"/>
            <w:vAlign w:val="center"/>
            <w:textDirection w:val="lrTb"/>
            <w:noWrap w:val="false"/>
          </w:tcPr>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MRT/B 7 生乳中碱类物质的测定方法</w:t>
            </w:r>
            <w:r/>
          </w:p>
        </w:tc>
        <w:tc>
          <w:tcPr>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spacing w:line="27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不得检出</w:t>
            </w:r>
            <w:r/>
          </w:p>
        </w:tc>
      </w:tr>
    </w:tbl>
    <w:p>
      <w:pPr>
        <w:spacing w:line="40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注：1. 检出β-受体激动剂阳性样品需24 小时内送样至省畜产品质检中心进行确证。</w:t>
      </w:r>
      <w:r/>
    </w:p>
    <w:p>
      <w:pPr>
        <w:spacing w:line="400" w:lineRule="exact"/>
        <w:widowControl/>
        <w:rPr>
          <w:rFonts w:hint="eastAsia" w:ascii="仿宋" w:hAnsi="仿宋" w:eastAsia="仿宋" w:cs="仿宋"/>
          <w:szCs w:val="21"/>
          <w:highlight w:val="none"/>
          <w:lang w:bidi="ar"/>
        </w:rPr>
      </w:pPr>
      <w:r>
        <w:rPr>
          <w:rFonts w:hint="eastAsia" w:ascii="仿宋" w:hAnsi="仿宋" w:eastAsia="仿宋" w:cs="仿宋"/>
          <w:bCs/>
          <w:szCs w:val="21"/>
          <w:highlight w:val="none"/>
          <w:lang w:bidi="ar"/>
        </w:rPr>
        <w:t xml:space="preserve">    2. </w:t>
      </w:r>
      <w:r>
        <w:rPr>
          <w:rFonts w:hint="eastAsia" w:ascii="仿宋" w:hAnsi="仿宋" w:eastAsia="仿宋" w:cs="仿宋"/>
          <w:szCs w:val="21"/>
          <w:highlight w:val="none"/>
          <w:lang w:bidi="ar"/>
        </w:rPr>
        <w:t xml:space="preserve">满足检测限要求的其他检测方法（包括国家标准和农业农村部公告等）也可以使用。</w:t>
      </w:r>
      <w:r/>
    </w:p>
    <w:p>
      <w:pPr>
        <w:rPr>
          <w:rStyle w:val="1233"/>
          <w:rFonts w:hint="eastAsia" w:ascii="仿宋" w:hAnsi="仿宋" w:eastAsia="仿宋" w:cs="仿宋"/>
          <w:sz w:val="32"/>
          <w:szCs w:val="32"/>
          <w:highlight w:val="none"/>
        </w:rPr>
      </w:pPr>
      <w:r>
        <w:rPr>
          <w:rFonts w:hint="eastAsia" w:ascii="仿宋" w:hAnsi="仿宋" w:eastAsia="仿宋" w:cs="仿宋"/>
          <w:szCs w:val="21"/>
          <w:highlight w:val="none"/>
          <w:lang w:bidi="ar"/>
        </w:rPr>
        <w:br w:type="page" w:clear="all"/>
      </w:r>
      <w:r>
        <w:rPr>
          <w:rStyle w:val="1233"/>
          <w:rFonts w:hint="eastAsia" w:ascii="仿宋" w:hAnsi="仿宋" w:eastAsia="仿宋" w:cs="仿宋"/>
          <w:sz w:val="32"/>
          <w:szCs w:val="32"/>
          <w:highlight w:val="none"/>
        </w:rPr>
        <w:t xml:space="preserve">附表3：</w:t>
      </w:r>
      <w:r/>
    </w:p>
    <w:p>
      <w:pPr>
        <w:ind w:left="840"/>
        <w:jc w:val="center"/>
        <w:spacing w:line="560" w:lineRule="exact"/>
        <w:widowControl/>
        <w:rPr>
          <w:rFonts w:hint="eastAsia" w:ascii="仿宋" w:hAnsi="仿宋" w:eastAsia="仿宋" w:cs="仿宋"/>
          <w:b/>
          <w:sz w:val="36"/>
          <w:szCs w:val="36"/>
          <w:highlight w:val="none"/>
        </w:rPr>
      </w:pPr>
      <w:r>
        <w:rPr>
          <w:rFonts w:hint="eastAsia" w:ascii="仿宋" w:hAnsi="仿宋" w:eastAsia="仿宋" w:cs="仿宋"/>
          <w:bCs/>
          <w:sz w:val="36"/>
          <w:szCs w:val="36"/>
          <w:highlight w:val="none"/>
          <w:lang w:bidi="ar"/>
        </w:rPr>
        <w:t xml:space="preserve">市级水产品质量安全例行监测检测方法和判定依据</w:t>
      </w:r>
      <w:r/>
    </w:p>
    <w:tbl>
      <w:tblPr>
        <w:tblStyle w:val="1196"/>
        <w:tblW w:w="0" w:type="auto"/>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017"/>
        <w:gridCol w:w="5948"/>
        <w:gridCol w:w="3373"/>
      </w:tblGrid>
      <w:tr>
        <w:trPr>
          <w:jc w:val="center"/>
          <w:trHeight w:val="306"/>
        </w:trPr>
        <w:tc>
          <w:tcPr>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jc w:val="center"/>
              <w:spacing w:line="28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监测项目（32项）</w:t>
            </w:r>
            <w:r/>
          </w:p>
        </w:tc>
        <w:tc>
          <w:tcPr>
            <w:tcBorders>
              <w:top w:val="single" w:color="000000" w:sz="4" w:space="0"/>
              <w:left w:val="none" w:color="000000" w:sz="4" w:space="0"/>
              <w:bottom w:val="single" w:color="000000" w:sz="4" w:space="0"/>
              <w:right w:val="single" w:color="000000" w:sz="4" w:space="0"/>
            </w:tcBorders>
            <w:tcW w:w="5948" w:type="dxa"/>
            <w:vAlign w:val="center"/>
            <w:textDirection w:val="lrTb"/>
            <w:noWrap w:val="false"/>
          </w:tcPr>
          <w:p>
            <w:pPr>
              <w:jc w:val="center"/>
              <w:spacing w:line="28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检测方法（推荐使用）</w:t>
            </w:r>
            <w:r/>
          </w:p>
        </w:tc>
        <w:tc>
          <w:tcPr>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jc w:val="center"/>
              <w:spacing w:line="280" w:lineRule="exact"/>
              <w:widowControl/>
              <w:rPr>
                <w:rFonts w:hint="eastAsia" w:ascii="仿宋" w:hAnsi="仿宋" w:eastAsia="仿宋" w:cs="仿宋"/>
                <w:bCs/>
                <w:szCs w:val="21"/>
                <w:highlight w:val="none"/>
              </w:rPr>
            </w:pPr>
            <w:r>
              <w:rPr>
                <w:rFonts w:hint="eastAsia" w:ascii="仿宋" w:hAnsi="仿宋" w:eastAsia="仿宋" w:cs="仿宋"/>
                <w:bCs/>
                <w:color w:val="auto"/>
                <w:szCs w:val="21"/>
                <w:highlight w:val="none"/>
                <w:lang w:bidi="ar"/>
              </w:rPr>
              <w:t xml:space="preserve">判定依据（µg/kg）</w:t>
            </w:r>
            <w:r/>
          </w:p>
        </w:tc>
      </w:tr>
      <w:tr>
        <w:trPr>
          <w:cantSplit/>
          <w:jc w:val="center"/>
          <w:trHeight w:val="278"/>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氯霉素</w:t>
            </w:r>
            <w:r/>
          </w:p>
        </w:tc>
        <w:tc>
          <w:tcPr>
            <w:tcBorders>
              <w:top w:val="none" w:color="000000" w:sz="4" w:space="0"/>
              <w:left w:val="none" w:color="000000" w:sz="4" w:space="0"/>
              <w:bottom w:val="single" w:color="000000" w:sz="4" w:space="0"/>
              <w:right w:val="single" w:color="000000" w:sz="4" w:space="0"/>
            </w:tcBorders>
            <w:tcW w:w="5948" w:type="dxa"/>
            <w:vAlign w:val="center"/>
            <w:vMerge w:val="restart"/>
            <w:textDirection w:val="lrTb"/>
            <w:noWrap w:val="false"/>
          </w:tcPr>
          <w:p>
            <w:pPr>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《可食动物肌肉、肝脏和水产品中氯霉素、甲砜霉素和氟苯尼考残留量的测定液相色谱-串联质谱法》（GB/T 20756-2006）</w:t>
            </w:r>
            <w:r/>
          </w:p>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《动物源性食品中氯霉素类药物残留量测定》（GB/T22338-2008）</w:t>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不得检出（判定限量值：0.3）</w:t>
            </w:r>
            <w:r/>
          </w:p>
        </w:tc>
      </w:tr>
      <w:tr>
        <w:trPr>
          <w:cantSplit/>
          <w:jc w:val="center"/>
          <w:trHeight w:val="485"/>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酰胺醇类（甲砜霉素、氟苯尼考、氟苯尼考胺）</w:t>
            </w:r>
            <w:r/>
          </w:p>
        </w:tc>
        <w:tc>
          <w:tcPr>
            <w:tcBorders>
              <w:top w:val="none" w:color="000000" w:sz="4" w:space="0"/>
              <w:left w:val="none" w:color="000000" w:sz="4" w:space="0"/>
              <w:bottom w:val="single" w:color="000000" w:sz="4" w:space="0"/>
              <w:right w:val="single" w:color="000000" w:sz="4" w:space="0"/>
            </w:tcBorders>
            <w:tcW w:w="594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甲砜霉素：≤50</w:t>
            </w:r>
            <w:r/>
          </w:p>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氟苯尼考和氟苯尼考胺总量：≤1000</w:t>
            </w:r>
            <w:r/>
          </w:p>
        </w:tc>
      </w:tr>
      <w:tr>
        <w:trPr>
          <w:jc w:val="center"/>
          <w:trHeight w:val="566"/>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硝基呋喃类代谢物（呋喃唑酮代谢物、呋喃西林代谢物、呋喃妥因代谢物、呋喃它酮代谢物）</w:t>
            </w:r>
            <w:r/>
          </w:p>
        </w:tc>
        <w:tc>
          <w:tcPr>
            <w:tcBorders>
              <w:top w:val="none" w:color="000000" w:sz="4" w:space="0"/>
              <w:left w:val="none" w:color="000000" w:sz="4" w:space="0"/>
              <w:bottom w:val="single" w:color="000000" w:sz="4" w:space="0"/>
              <w:right w:val="single" w:color="000000" w:sz="4" w:space="0"/>
            </w:tcBorders>
            <w:tcW w:w="5948"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《水产品中硝基呋喃类代谢物残留量的测定 液相色谱-串联质谱法》（农业部783号公告-1-2006）</w:t>
            </w:r>
            <w:r/>
          </w:p>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《食品安全国家标准  水产品中硝基呋喃类代谢物多残留的测定 液相色谱-串联质谱法》（GB 31656.13-2021 ）</w:t>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不得检出（各分项判定限量值：1.0）</w:t>
            </w:r>
            <w:r/>
          </w:p>
        </w:tc>
      </w:tr>
      <w:tr>
        <w:trPr>
          <w:jc w:val="center"/>
          <w:trHeight w:val="603"/>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5948"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《水产品中孔雀石绿和结晶紫残留量的测定 高效液相色谱荧光检测法》（GB/T 20361-2006）</w:t>
            </w:r>
            <w:r/>
          </w:p>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《水产品中孔雀石绿和结晶紫残留量的测定》（GB/T 19857-2005）</w:t>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不得检出（判定限量值：有色孔雀石绿和无色孔雀石绿的总量≤1.0）</w:t>
            </w:r>
            <w:r/>
          </w:p>
        </w:tc>
      </w:tr>
      <w:tr>
        <w:trPr>
          <w:jc w:val="center"/>
          <w:trHeight w:val="455"/>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地西泮</w:t>
            </w:r>
            <w:r/>
          </w:p>
        </w:tc>
        <w:tc>
          <w:tcPr>
            <w:tcBorders>
              <w:top w:val="none" w:color="000000" w:sz="4" w:space="0"/>
              <w:left w:val="none" w:color="000000" w:sz="4" w:space="0"/>
              <w:bottom w:val="single" w:color="000000" w:sz="4" w:space="0"/>
              <w:right w:val="single" w:color="000000" w:sz="4" w:space="0"/>
            </w:tcBorders>
            <w:tcW w:w="5948"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《出口动物源食品中多类禁用药物残留量检测方法 液相色谱-质谱/质谱法》（SN/T3235-2012 ）</w:t>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不得检出（判定限量值：0.5）</w:t>
            </w:r>
            <w:r/>
          </w:p>
        </w:tc>
      </w:tr>
      <w:tr>
        <w:trPr>
          <w:jc w:val="center"/>
          <w:trHeight w:val="1030"/>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12种磺胺类（磺胺噻唑、磺胺嘧啶、磺胺甲基嘧啶、磺胺二甲基嘧啶、磺胺甲基异噁唑、磺胺多辛、磺胺异噁唑、磺胺喹噁啉、磺胺间甲氧嘧啶、磺胺间二甲氧嘧啶、磺胺氯哒嗪和磺胺甲噻二唑）</w:t>
            </w:r>
            <w:r/>
          </w:p>
        </w:tc>
        <w:tc>
          <w:tcPr>
            <w:tcBorders>
              <w:top w:val="none" w:color="000000" w:sz="4" w:space="0"/>
              <w:left w:val="none" w:color="000000" w:sz="4" w:space="0"/>
              <w:bottom w:val="single" w:color="000000" w:sz="4" w:space="0"/>
              <w:right w:val="single" w:color="000000" w:sz="4" w:space="0"/>
            </w:tcBorders>
            <w:tcW w:w="5948"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《水产品中17种磺胺类及15种喹诺酮类药物残留量的测定 液相色谱-串联质谱法》（农业部1077号公告-1-2008）</w:t>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总量≤100</w:t>
            </w:r>
            <w:r/>
          </w:p>
        </w:tc>
      </w:tr>
      <w:tr>
        <w:trPr>
          <w:jc w:val="center"/>
          <w:trHeight w:val="425"/>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四环素类（四环素、土霉素、金霉素、多西环素）</w:t>
            </w:r>
            <w:r/>
          </w:p>
        </w:tc>
        <w:tc>
          <w:tcPr>
            <w:tcBorders>
              <w:top w:val="none" w:color="000000" w:sz="4" w:space="0"/>
              <w:left w:val="none" w:color="000000" w:sz="4" w:space="0"/>
              <w:bottom w:val="single" w:color="000000" w:sz="4" w:space="0"/>
              <w:right w:val="single" w:color="000000" w:sz="4" w:space="0"/>
            </w:tcBorders>
            <w:tcW w:w="5948" w:type="dxa"/>
            <w:vAlign w:val="center"/>
            <w:textDirection w:val="lrTb"/>
            <w:noWrap w:val="false"/>
          </w:tcPr>
          <w:p>
            <w:pPr>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 《动物源性食品中四环素类兽药残留量检测方法 液相色谱-质谱/质谱法与高效液相色谱法》（GB/T 21317-2007）</w:t>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四环素、土霉素、金霉素≤200</w:t>
            </w:r>
            <w:r/>
          </w:p>
          <w:p>
            <w:pPr>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多西环素≤100</w:t>
            </w:r>
            <w:r/>
          </w:p>
        </w:tc>
      </w:tr>
      <w:tr>
        <w:trPr>
          <w:cantSplit/>
          <w:jc w:val="center"/>
          <w:trHeight w:val="308"/>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氟喹诺酮类（恩诺沙星、环丙沙星）</w:t>
            </w:r>
            <w:r/>
          </w:p>
        </w:tc>
        <w:tc>
          <w:tcPr>
            <w:tcBorders>
              <w:top w:val="none" w:color="000000" w:sz="4" w:space="0"/>
              <w:left w:val="none" w:color="000000" w:sz="4" w:space="0"/>
              <w:bottom w:val="single" w:color="000000" w:sz="4" w:space="0"/>
              <w:right w:val="single" w:color="000000" w:sz="4" w:space="0"/>
            </w:tcBorders>
            <w:tcW w:w="5948" w:type="dxa"/>
            <w:vAlign w:val="center"/>
            <w:vMerge w:val="restart"/>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《水产品中17种磺胺类及15种喹诺酮类药物残留量的测定 液相色谱-串联质谱法》（农业部1077号公告-1-2008）</w:t>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总量≤100</w:t>
            </w:r>
            <w:r/>
          </w:p>
        </w:tc>
      </w:tr>
      <w:tr>
        <w:trPr>
          <w:cantSplit/>
          <w:jc w:val="center"/>
          <w:trHeight w:val="518"/>
        </w:trPr>
        <w:tc>
          <w:tcPr>
            <w:tcBorders>
              <w:top w:val="none" w:color="000000" w:sz="4" w:space="0"/>
              <w:left w:val="single" w:color="000000" w:sz="4" w:space="0"/>
              <w:bottom w:val="single" w:color="000000" w:sz="4" w:space="0"/>
              <w:right w:val="single" w:color="000000" w:sz="4" w:space="0"/>
            </w:tcBorders>
            <w:tcW w:w="5017"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食品动物中停止使用药物氟喹诺酮类（诺氟沙星、氧氟沙星、培氟沙星、洛美沙星）</w:t>
            </w:r>
            <w:r/>
          </w:p>
        </w:tc>
        <w:tc>
          <w:tcPr>
            <w:tcBorders>
              <w:top w:val="none" w:color="000000" w:sz="4" w:space="0"/>
              <w:left w:val="none" w:color="000000" w:sz="4" w:space="0"/>
              <w:bottom w:val="single" w:color="000000" w:sz="4" w:space="0"/>
              <w:right w:val="single" w:color="000000" w:sz="4" w:space="0"/>
            </w:tcBorders>
            <w:tcW w:w="5948"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single" w:color="000000" w:sz="4" w:space="0"/>
              <w:right w:val="single" w:color="000000" w:sz="4" w:space="0"/>
            </w:tcBorders>
            <w:tcW w:w="3373" w:type="dxa"/>
            <w:vAlign w:val="center"/>
            <w:textDirection w:val="lrTb"/>
            <w:noWrap w:val="false"/>
          </w:tcPr>
          <w:p>
            <w:pPr>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不得检出(判定限量值：2.0)</w:t>
            </w:r>
            <w:r/>
          </w:p>
        </w:tc>
      </w:tr>
    </w:tbl>
    <w:p>
      <w:pPr>
        <w:ind w:firstLine="420"/>
        <w:spacing w:line="240" w:lineRule="exact"/>
        <w:widowControl/>
        <w:rPr>
          <w:rFonts w:hint="eastAsia" w:ascii="仿宋" w:hAnsi="仿宋" w:eastAsia="仿宋" w:cs="仿宋"/>
          <w:szCs w:val="21"/>
          <w:highlight w:val="none"/>
        </w:rPr>
      </w:pPr>
      <w:r>
        <w:rPr>
          <w:rFonts w:hint="eastAsia" w:ascii="仿宋" w:hAnsi="仿宋" w:eastAsia="仿宋" w:cs="仿宋"/>
          <w:bCs/>
          <w:szCs w:val="21"/>
          <w:highlight w:val="none"/>
          <w:lang w:bidi="ar"/>
        </w:rPr>
        <w:t xml:space="preserve">注：</w:t>
      </w:r>
      <w:r>
        <w:rPr>
          <w:rFonts w:hint="eastAsia" w:ascii="仿宋" w:hAnsi="仿宋" w:eastAsia="仿宋" w:cs="仿宋"/>
          <w:szCs w:val="21"/>
          <w:highlight w:val="none"/>
          <w:lang w:bidi="ar"/>
        </w:rPr>
        <w:t xml:space="preserve">1.其中虾蟹类呋喃西林代谢物SEM不作判定。</w:t>
      </w:r>
      <w:r/>
    </w:p>
    <w:p>
      <w:pPr>
        <w:numPr>
          <w:ilvl w:val="0"/>
          <w:numId w:val="8"/>
        </w:numPr>
        <w:ind w:left="368" w:firstLine="480"/>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其中只有淡水鱼类检测地西泮。</w:t>
      </w:r>
      <w:r/>
    </w:p>
    <w:p>
      <w:pPr>
        <w:numPr>
          <w:ilvl w:val="0"/>
          <w:numId w:val="8"/>
        </w:numPr>
        <w:ind w:left="368" w:firstLine="480"/>
        <w:spacing w:line="240" w:lineRule="exact"/>
        <w:widowControl/>
        <w:rPr>
          <w:rFonts w:hint="eastAsia" w:ascii="仿宋" w:hAnsi="仿宋" w:eastAsia="仿宋" w:cs="仿宋"/>
          <w:highlight w:val="none"/>
        </w:rPr>
        <w:sectPr>
          <w:footnotePr/>
          <w:endnotePr/>
          <w:type w:val="nextPage"/>
          <w:pgSz w:w="16839" w:h="11907" w:orient="landscape"/>
          <w:pgMar w:top="1440" w:right="1800" w:bottom="1440" w:left="1800" w:header="851" w:footer="1701" w:gutter="1"/>
          <w:cols w:num="1" w:sep="0" w:space="720" w:equalWidth="1"/>
          <w:docGrid w:linePitch="360"/>
        </w:sectPr>
      </w:pPr>
      <w:r>
        <w:rPr>
          <w:rFonts w:hint="eastAsia" w:ascii="仿宋" w:hAnsi="仿宋" w:eastAsia="仿宋" w:cs="仿宋"/>
          <w:szCs w:val="21"/>
          <w:highlight w:val="none"/>
          <w:lang w:bidi="ar"/>
        </w:rPr>
        <w:t xml:space="preserve">满足检测限要求的其他检测方法（包括国家标准、行业标准及农业农村部公告等）也可使用。</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rPr>
        <w:t xml:space="preserve">、抽查复检</w:t>
      </w:r>
      <w:r/>
    </w:p>
    <w:p>
      <w:pPr>
        <w:ind w:right="28" w:firstLine="56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每次抽样完成后，承检机构应及时对所抽样品进行预处理，将每个样品分为3份（检样、留样和副样各1份），副样留存承检机构备查。</w:t>
      </w:r>
      <w:r/>
    </w:p>
    <w:p>
      <w:pPr>
        <w:ind w:right="28" w:firstLine="56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rPr>
        <w:t xml:space="preserve">、有关要求和注意事项</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7.1</w:t>
      </w:r>
      <w:r>
        <w:rPr>
          <w:rFonts w:hint="eastAsia" w:ascii="仿宋" w:hAnsi="仿宋" w:eastAsia="仿宋" w:cs="仿宋"/>
          <w:bCs/>
          <w:sz w:val="24"/>
          <w:szCs w:val="24"/>
          <w:highlight w:val="none"/>
        </w:rPr>
        <w:t xml:space="preserve">监测工作应当保证科学性、代表性和真实性。承检机构及配合抽样单位不得提前通知被抽检单位。</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7.2</w:t>
      </w:r>
      <w:r>
        <w:rPr>
          <w:rFonts w:hint="eastAsia" w:ascii="仿宋" w:hAnsi="仿宋" w:eastAsia="仿宋" w:cs="仿宋"/>
          <w:bCs/>
          <w:sz w:val="24"/>
          <w:szCs w:val="24"/>
          <w:highlight w:val="none"/>
        </w:rPr>
        <w:t xml:space="preserve">各承检机构要严格按照抽样方法和检测方法，强化检测质量控制措施。统一判定原则，检测过程要做试剂空白和加标回收率。</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7.3</w:t>
      </w:r>
      <w:r>
        <w:rPr>
          <w:rFonts w:hint="eastAsia" w:ascii="仿宋" w:hAnsi="仿宋" w:eastAsia="仿宋" w:cs="仿宋"/>
          <w:bCs/>
          <w:sz w:val="24"/>
          <w:szCs w:val="24"/>
          <w:highlight w:val="none"/>
        </w:rPr>
        <w:t xml:space="preserve">承检机构负责监测结果的统一汇总分析，分析报告包括监测总体</w:t>
      </w:r>
      <w:r>
        <w:rPr>
          <w:rFonts w:hint="eastAsia" w:ascii="仿宋" w:hAnsi="仿宋" w:eastAsia="仿宋" w:cs="仿宋"/>
          <w:bCs/>
          <w:sz w:val="24"/>
          <w:szCs w:val="24"/>
          <w:highlight w:val="none"/>
          <w:lang w:val="en-US" w:eastAsia="zh-CN"/>
        </w:rPr>
        <w:t xml:space="preserve">情况、</w:t>
      </w:r>
      <w:r>
        <w:rPr>
          <w:rFonts w:hint="eastAsia" w:ascii="仿宋" w:hAnsi="仿宋" w:eastAsia="仿宋" w:cs="仿宋"/>
          <w:bCs/>
          <w:sz w:val="24"/>
          <w:szCs w:val="24"/>
          <w:highlight w:val="none"/>
        </w:rPr>
        <w:t xml:space="preserve">监测结果分析、存在问题、原因分析及对策建议等。</w:t>
      </w:r>
      <w:r/>
    </w:p>
    <w:p>
      <w:pPr>
        <w:numPr>
          <w:ilvl w:val="0"/>
          <w:numId w:val="0"/>
        </w:num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7.4</w:t>
      </w:r>
      <w:r>
        <w:rPr>
          <w:rFonts w:hint="eastAsia" w:ascii="仿宋" w:hAnsi="仿宋" w:eastAsia="仿宋" w:cs="仿宋"/>
          <w:bCs/>
          <w:sz w:val="24"/>
          <w:szCs w:val="24"/>
          <w:highlight w:val="none"/>
        </w:rPr>
        <w:t xml:space="preserve">未经许可，任何单位和个人不得引用和公布监测结果。</w:t>
      </w:r>
      <w:r/>
    </w:p>
    <w:p>
      <w:pPr>
        <w:ind w:right="28" w:firstLine="480"/>
        <w:keepLines w:val="0"/>
        <w:keepNext w:val="0"/>
        <w:pageBreakBefore w:val="0"/>
        <w:spacing w:line="460" w:lineRule="exact"/>
        <w:widowControl/>
        <w:tabs>
          <w:tab w:val="left" w:pos="3930" w:leader="none"/>
        </w:tabs>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7.5例行监测不合格率达到1%及以上。</w:t>
      </w:r>
      <w:r/>
    </w:p>
    <w:p>
      <w:pPr>
        <w:numPr>
          <w:ilvl w:val="0"/>
          <w:numId w:val="0"/>
        </w:numPr>
        <w:ind w:right="28"/>
        <w:keepLines w:val="0"/>
        <w:keepNext w:val="0"/>
        <w:pageBreakBefore w:val="0"/>
        <w:spacing w:line="460" w:lineRule="exact"/>
        <w:widowControl/>
        <w:tabs>
          <w:tab w:val="left" w:pos="393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（二）监督抽查部分</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监督抽查重点</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2024年市级农产品质量安全监督抽查品种和对象为：</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对例行监测问题较多、风险评估中隐患较大的即将上市销售的地产农产品进行抽查。抽查品种为蔬菜、畜禽肉、禽蛋和水产品。监督抽查对象以农产品生产企业、合作社、家庭农场、养殖场、种植养殖大户等农产品生产经营主体以及定点屠宰场为重点，做到“两品一标一基地”全覆盖、“治违禁控药残促提升”三年行动计划确定的11个重点品种全覆盖。2023年度例行监测禁限用药物检出样品、不合格样品的生产主体（企业）列为重点抽查对象。</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监督抽查时间及方式</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市级农产品质量安全监督抽查，全年共抽查</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次。采取“双随机、一公开”抽查方式，被抽查主体由市级农业农村行政主管部门从全市相关主体名录库随机抽取，其中历年例行监测不合格样品的生产基地（企业）列入重点抽查名录。各地按照双随机原则确定承担抽样任务的执法人员。</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监督抽查品种及数量</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全年共抽取698个样品。每个抽样主体不得超过2个样品，样品品种批次不得重复，畜禽样品同一批次只能抽一个样，水产样品同一水源只能抽一个样。抽取不到的样品从名录顺延补全，也可以从当地农产品批发市场抽取当地产品，总数不得减少。绿优农产品优先抽取。各地根据当地种植养殖实际情况安排监督抽查任务，抽样品种如下，特殊情况另行通知。</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蔬果产品：全年共488个样品，其中铜山区、沛县、邳州市、新沂市、睢宁县、丰县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分别抽18个样品（其中绿优农产品2个），贾汪区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分别抽8个样品，泉山区、经开区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分别抽3个样品。抽检产品为豇豆、韭菜、芹菜、辣椒、普通白菜、萝卜、叶用莴苣。各地（除贾汪区）豇豆抽查全年不少于8批次，在集中上市时期为必抽样品。</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畜禽产品：全年共130个样品，其中铜山区、沛县、邳州市、新沂市、睢宁县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抽4个样品，贾汪区、丰县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抽3个样品，泉山区养鸡场上下半年各13个样品。抽检产品为鸡蛋、鸭蛋、鸽蛋、鹌鹑蛋、鸡肉、鸭肉、乌鸡肉、鸽肉、牛肉、羊肉。</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水产品：全年共抽取80个样品，其中铜山区、睢宁县、新沂市和邳州市</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抽3个样品，沛县</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抽4个样品，贾汪区和泉山区</w:t>
      </w:r>
      <w:r>
        <w:rPr>
          <w:rFonts w:hint="eastAsia" w:ascii="仿宋" w:hAnsi="仿宋" w:eastAsia="仿宋" w:cs="仿宋"/>
          <w:bCs/>
          <w:sz w:val="24"/>
          <w:szCs w:val="24"/>
          <w:highlight w:val="none"/>
          <w:lang w:eastAsia="zh-CN"/>
        </w:rPr>
        <w:t xml:space="preserve">每次</w:t>
      </w:r>
      <w:r>
        <w:rPr>
          <w:rFonts w:hint="eastAsia" w:ascii="仿宋" w:hAnsi="仿宋" w:eastAsia="仿宋" w:cs="仿宋"/>
          <w:bCs/>
          <w:sz w:val="24"/>
          <w:szCs w:val="24"/>
          <w:highlight w:val="none"/>
        </w:rPr>
        <w:t xml:space="preserve">抽2个样品。抽检产品为鳊鱼、鲫鱼、草鱼、鲢鱼、大口黑鲈、乌鳢、罗氏沼虾、青虾、斑点叉尾鮰。</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监督抽查任务分工</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4.1</w:t>
      </w:r>
      <w:r>
        <w:rPr>
          <w:rFonts w:hint="eastAsia" w:ascii="仿宋" w:hAnsi="仿宋" w:eastAsia="仿宋" w:cs="仿宋"/>
          <w:bCs/>
          <w:sz w:val="24"/>
          <w:szCs w:val="24"/>
          <w:highlight w:val="none"/>
        </w:rPr>
        <w:t xml:space="preserve">现场抽样。监督抽查抽样工作由市农业综合行政执法支队具体实施，监督抽查抽样时，现场持有执法证件的抽样人员应不少于2名。抽样严格按照《江苏省农产品质量安全监测工作主要程序和方法》（苏农办质〔2021〕16 号）进行。凡被确定的受检单位无正当理由拒绝抽检的，抽样人员应当告知拒绝抽样的后果和处理措施。被抽查人仍拒绝抽样的，由抽样人员和见证人现场共同签字确认，对被抽查农产品以不合格论处。</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4.2</w:t>
      </w:r>
      <w:r>
        <w:rPr>
          <w:rFonts w:hint="eastAsia" w:ascii="仿宋" w:hAnsi="仿宋" w:eastAsia="仿宋" w:cs="仿宋"/>
          <w:bCs/>
          <w:sz w:val="24"/>
          <w:szCs w:val="24"/>
          <w:highlight w:val="none"/>
        </w:rPr>
        <w:t xml:space="preserve">样品预处理。承检机构按照抽样规范有关要求协助抽样单位做好具体抽样工作，并根据不同检测参数的前处理要求，分别做好样品的预处理工作。</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4.3</w:t>
      </w:r>
      <w:r>
        <w:rPr>
          <w:rFonts w:hint="eastAsia" w:ascii="仿宋" w:hAnsi="仿宋" w:eastAsia="仿宋" w:cs="仿宋"/>
          <w:bCs/>
          <w:sz w:val="24"/>
          <w:szCs w:val="24"/>
          <w:highlight w:val="none"/>
        </w:rPr>
        <w:t xml:space="preserve">样品检测。由承担监测任务的检测机构实施。</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抽样要求</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5.1</w:t>
      </w:r>
      <w:r>
        <w:rPr>
          <w:rFonts w:hint="eastAsia" w:ascii="仿宋" w:hAnsi="仿宋" w:eastAsia="仿宋" w:cs="仿宋"/>
          <w:bCs/>
          <w:sz w:val="24"/>
          <w:szCs w:val="24"/>
          <w:highlight w:val="none"/>
        </w:rPr>
        <w:t xml:space="preserve">抽样标准。种植业样品抽样方法按照《农药残留分析样本的采样方法》（NY/T 789）和《蔬菜抽样技术规范》（NY/T 2103）执行；畜禽产品、水产品抽样参照《动物及动物产品兽药残留监控抽样规范》（NY/T 1897）执行；水产品按《水产品抽样规范》(GB/T30891)执行。</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5.2</w:t>
      </w:r>
      <w:r>
        <w:rPr>
          <w:rFonts w:hint="eastAsia" w:ascii="仿宋" w:hAnsi="仿宋" w:eastAsia="仿宋" w:cs="仿宋"/>
          <w:bCs/>
          <w:sz w:val="24"/>
          <w:szCs w:val="24"/>
          <w:highlight w:val="none"/>
        </w:rPr>
        <w:t xml:space="preserve">样品预处理。所抽样品按照不同检测参数需一式3份（检测样、备份样、复检样）预处理，并分别进行封存，受检单位和抽样单位均应在封条上签字并盖章。其中检测样和备份样交由承检单位进行检测，复检样由抽样单位保存，不得留存于受检单位。抽样时要认真填写抽样单，详细登记被检单位、样品来源等信息。</w:t>
      </w:r>
      <w:r/>
    </w:p>
    <w:p>
      <w:pPr>
        <w:ind w:right="26" w:firstLine="480"/>
        <w:spacing w:line="460" w:lineRule="exact"/>
        <w:tabs>
          <w:tab w:val="left" w:pos="3930" w:leader="none"/>
        </w:tabs>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5.3监督抽查不合格率需达到1.5%及以上。</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rPr>
        <w:t xml:space="preserve">检测项目、方法及判定依据</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蔬菜：甲胺磷、甲拌磷、氧乐果、水胺硫磷、甲基异柳磷、克百威、涕灭威、氟虫腈、毒死蜱、三唑磷、乐果、乙酰甲胺磷、灭多威、噻虫嗪、啶虫脒、多菌灵、吡虫啉、阿维菌素、腐霉利、烯酰吗啉、嘧霉胺、灭蝇胺。</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畜肉：克仑特罗、莱克多巴胺、沙丁胺醇。</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禽肉：硝基呋喃类药物代谢物（AOZ、AMOZ、AHD、SEM）、氯霉素、氟苯尼考、甲砜霉素、氧氟沙星、培氟沙星、诺氟沙星、洛美沙星、金刚烷胺。</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禽蛋：恩诺沙星、环丙沙星、氧氟沙星、培氟沙星、诺氟沙星、洛美沙星、氟苯尼考、金刚烷胺。</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水产品：氯霉素、孔雀石绿、硝基呋喃类代谢物（AOZ、SEM、AMOZ和AHD）、地西泮、氧氟沙星、诺氟沙星、培氟沙星、洛美沙星、恩诺沙星和环丙沙星。</w:t>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检测方法和判定依据见</w:t>
      </w:r>
      <w:r>
        <w:rPr>
          <w:rFonts w:hint="eastAsia" w:ascii="仿宋" w:hAnsi="仿宋" w:eastAsia="仿宋" w:cs="仿宋"/>
          <w:bCs/>
          <w:sz w:val="24"/>
          <w:szCs w:val="24"/>
          <w:highlight w:val="none"/>
          <w:lang w:val="en-US" w:eastAsia="zh-CN"/>
        </w:rPr>
        <w:t xml:space="preserve">下方</w:t>
      </w:r>
      <w:r>
        <w:rPr>
          <w:rFonts w:hint="eastAsia" w:ascii="仿宋" w:hAnsi="仿宋" w:eastAsia="仿宋" w:cs="仿宋"/>
          <w:bCs/>
          <w:sz w:val="24"/>
          <w:szCs w:val="24"/>
          <w:highlight w:val="none"/>
        </w:rPr>
        <w:t xml:space="preserve">附表。</w:t>
      </w:r>
      <w:r/>
    </w:p>
    <w:p>
      <w:pPr>
        <w:pStyle w:val="1212"/>
        <w:ind w:firstLine="0"/>
        <w:rPr>
          <w:rStyle w:val="1233"/>
          <w:rFonts w:eastAsia="仿宋"/>
          <w:sz w:val="32"/>
          <w:szCs w:val="32"/>
          <w:highlight w:val="none"/>
        </w:rPr>
      </w:pPr>
      <w:r>
        <w:rPr>
          <w:rStyle w:val="1233"/>
          <w:rFonts w:eastAsia="仿宋"/>
          <w:sz w:val="32"/>
          <w:szCs w:val="32"/>
          <w:highlight w:val="none"/>
        </w:rPr>
        <w:t xml:space="preserve">附表：</w:t>
      </w:r>
      <w:r/>
    </w:p>
    <w:p>
      <w:pPr>
        <w:jc w:val="center"/>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bidi="ar"/>
        </w:rPr>
        <w:t xml:space="preserve">2024年徐州市农产品质量安全监督抽查</w:t>
      </w:r>
      <w:r/>
    </w:p>
    <w:p>
      <w:pPr>
        <w:jc w:val="center"/>
        <w:spacing w:line="56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检测方法和判定依据</w:t>
      </w:r>
      <w:r/>
    </w:p>
    <w:p>
      <w:pPr>
        <w:spacing w:line="5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一、种植业产品</w:t>
      </w:r>
      <w:r/>
    </w:p>
    <w:tbl>
      <w:tblPr>
        <w:tblStyle w:val="1196"/>
        <w:tblW w:w="0" w:type="auto"/>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527"/>
        <w:gridCol w:w="2856"/>
        <w:gridCol w:w="1875"/>
      </w:tblGrid>
      <w:tr>
        <w:trPr>
          <w:jc w:val="center"/>
          <w:trHeight w:val="493"/>
        </w:trPr>
        <w:tc>
          <w:tcPr>
            <w:tcBorders>
              <w:top w:val="single" w:color="000000" w:sz="4" w:space="0"/>
              <w:left w:val="single" w:color="000000" w:sz="4" w:space="0"/>
              <w:bottom w:val="single" w:color="000000" w:sz="4" w:space="0"/>
              <w:right w:val="single" w:color="000000" w:sz="4" w:space="0"/>
            </w:tcBorders>
            <w:tcW w:w="4527" w:type="dxa"/>
            <w:vAlign w:val="center"/>
            <w:textDirection w:val="lrTb"/>
            <w:noWrap w:val="false"/>
          </w:tcPr>
          <w:p>
            <w:pPr>
              <w:ind w:firstLine="482"/>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            抽检参数</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482"/>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   检测方法</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firstLine="482"/>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判定依据</w:t>
            </w:r>
            <w:r/>
          </w:p>
        </w:tc>
      </w:tr>
      <w:tr>
        <w:trPr>
          <w:cantSplit/>
          <w:jc w:val="center"/>
          <w:trHeight w:val="2053"/>
        </w:trPr>
        <w:tc>
          <w:tcPr>
            <w:tcBorders>
              <w:top w:val="single" w:color="000000" w:sz="4" w:space="0"/>
              <w:left w:val="single" w:color="000000" w:sz="4" w:space="0"/>
              <w:bottom w:val="single" w:color="000000" w:sz="4" w:space="0"/>
              <w:right w:val="single" w:color="000000" w:sz="4" w:space="0"/>
            </w:tcBorders>
            <w:tcW w:w="452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甲胺磷、甲拌磷（包括甲拌磷砜和甲拌磷亚砜）、氧乐果、水胺硫磷、甲基异柳磷、克百威（包括3-羟基克百威）、涕灭威（包括涕灭威砜和涕灭威亚砜）、毒死蜱、三唑磷、乐果、乙酰甲胺磷、灭多威、腐霉利、多菌灵、吡虫啉</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NY/T761-2008 或</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23200.8-2016或</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20769-2008</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23200.113-2018</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23200.121-2021</w:t>
            </w:r>
            <w:r/>
          </w:p>
        </w:tc>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val="false"/>
          </w:tcPr>
          <w:p>
            <w:pPr>
              <w:spacing w:line="56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GB2763</w:t>
            </w:r>
            <w:r/>
          </w:p>
        </w:tc>
      </w:tr>
      <w:tr>
        <w:trPr>
          <w:cantSplit/>
          <w:jc w:val="center"/>
          <w:trHeight w:val="1608"/>
        </w:trPr>
        <w:tc>
          <w:tcPr>
            <w:tcBorders>
              <w:top w:val="single" w:color="000000" w:sz="4" w:space="0"/>
              <w:left w:val="single" w:color="000000" w:sz="4" w:space="0"/>
              <w:bottom w:val="single" w:color="000000" w:sz="4" w:space="0"/>
              <w:right w:val="single" w:color="000000" w:sz="4" w:space="0"/>
            </w:tcBorders>
            <w:tcW w:w="452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氟虫腈（包括氟甲腈、氟虫腈硫醚、氟虫腈砜）、啶虫脒、嘧霉胺、烯酰吗啉、噻虫嗪</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23200.8-2016或</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20769-2008或</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23200.113-2018</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23200.121-2021</w:t>
            </w:r>
            <w:r/>
          </w:p>
        </w:tc>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cantSplit/>
          <w:jc w:val="center"/>
          <w:trHeight w:val="1055"/>
        </w:trPr>
        <w:tc>
          <w:tcPr>
            <w:tcBorders>
              <w:top w:val="single" w:color="000000" w:sz="4" w:space="0"/>
              <w:left w:val="single" w:color="000000" w:sz="4" w:space="0"/>
              <w:bottom w:val="single" w:color="000000" w:sz="4" w:space="0"/>
              <w:right w:val="single" w:color="000000" w:sz="4" w:space="0"/>
            </w:tcBorders>
            <w:tcW w:w="452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灭蝇胺</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23200.8-2016或</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20769-2008或</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23200.113-2018</w:t>
            </w:r>
            <w:r/>
          </w:p>
        </w:tc>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r>
        <w:trPr>
          <w:cantSplit/>
          <w:jc w:val="center"/>
          <w:trHeight w:val="855"/>
        </w:trPr>
        <w:tc>
          <w:tcPr>
            <w:tcBorders>
              <w:top w:val="single" w:color="000000" w:sz="4" w:space="0"/>
              <w:left w:val="single" w:color="000000" w:sz="4" w:space="0"/>
              <w:bottom w:val="single" w:color="000000" w:sz="4" w:space="0"/>
              <w:right w:val="single" w:color="000000" w:sz="4" w:space="0"/>
            </w:tcBorders>
            <w:tcW w:w="452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阿维菌素</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GB/T23200.19</w:t>
            </w:r>
            <w:r/>
          </w:p>
          <w:p>
            <w:pPr>
              <w:jc w:val="left"/>
              <w:spacing w:line="30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23200.121-2021</w:t>
            </w:r>
            <w:r/>
          </w:p>
        </w:tc>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bl>
    <w:p>
      <w:pPr>
        <w:spacing w:line="5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r>
      <w:r/>
    </w:p>
    <w:p>
      <w:pPr>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二、畜牧业产品</w:t>
      </w:r>
      <w:r/>
    </w:p>
    <w:tbl>
      <w:tblPr>
        <w:tblStyle w:val="1196"/>
        <w:tblW w:w="0" w:type="auto"/>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555"/>
        <w:gridCol w:w="1559"/>
        <w:gridCol w:w="2977"/>
      </w:tblGrid>
      <w:tr>
        <w:trPr>
          <w:jc w:val="center"/>
          <w:trHeight w:val="472"/>
        </w:trPr>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ind w:firstLine="482"/>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抽检参数</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firstLine="482"/>
              <w:jc w:val="center"/>
              <w:spacing w:line="240" w:lineRule="exact"/>
              <w:widowControl/>
              <w:rPr>
                <w:rFonts w:hint="eastAsia" w:ascii="仿宋" w:hAnsi="仿宋" w:eastAsia="仿宋" w:cs="仿宋"/>
                <w:bCs/>
                <w:szCs w:val="21"/>
                <w:highlight w:val="none"/>
              </w:rPr>
            </w:pPr>
            <w:r>
              <w:rPr>
                <w:rFonts w:hint="eastAsia" w:ascii="仿宋" w:hAnsi="仿宋" w:eastAsia="仿宋" w:cs="仿宋"/>
                <w:bCs/>
                <w:szCs w:val="21"/>
                <w:highlight w:val="none"/>
                <w:lang w:bidi="ar"/>
              </w:rPr>
              <w:t xml:space="preserve">判定依据</w:t>
            </w:r>
            <w:r/>
          </w:p>
        </w:tc>
      </w:tr>
      <w:tr>
        <w:trPr>
          <w:cantSplit/>
          <w:jc w:val="center"/>
          <w:trHeight w:val="531"/>
        </w:trPr>
        <w:tc>
          <w:tcPr>
            <w:tcBorders>
              <w:top w:val="none" w:color="000000" w:sz="4" w:space="0"/>
              <w:left w:val="single" w:color="000000" w:sz="4" w:space="0"/>
              <w:bottom w:val="single" w:color="000000" w:sz="4" w:space="0"/>
              <w:right w:val="single" w:color="000000" w:sz="4" w:space="0"/>
            </w:tcBorders>
            <w:tcW w:w="4555"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克伦特罗、沙丁胺醇、莱克多巴胺</w:t>
            </w:r>
            <w:r/>
          </w:p>
        </w:tc>
        <w:tc>
          <w:tcPr>
            <w:tcBorders>
              <w:top w:val="single" w:color="000000" w:sz="4" w:space="0"/>
              <w:left w:val="none" w:color="000000" w:sz="4" w:space="0"/>
              <w:bottom w:val="single" w:color="000000" w:sz="4" w:space="0"/>
              <w:right w:val="single" w:color="000000" w:sz="4" w:space="0"/>
            </w:tcBorders>
            <w:tcW w:w="1559" w:type="dxa"/>
            <w:vAlign w:val="center"/>
            <w:vMerge w:val="restart"/>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国家现行有效的检测方法，但方法最低检出限必须满足判定依据限量值。</w:t>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农业农村部公告第250号</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4555"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氯霉素、甲砜霉素、氟苯尼考</w:t>
            </w:r>
            <w:r/>
          </w:p>
        </w:tc>
        <w:tc>
          <w:tcPr>
            <w:tcBorders>
              <w:top w:val="singl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农业农村部公告第250号</w:t>
            </w:r>
            <w:r/>
          </w:p>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31650-2019</w:t>
            </w:r>
            <w:r/>
          </w:p>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31650.1-2022</w:t>
            </w:r>
            <w:r/>
          </w:p>
        </w:tc>
      </w:tr>
      <w:tr>
        <w:trPr>
          <w:cantSplit/>
          <w:jc w:val="center"/>
          <w:trHeight w:val="748"/>
        </w:trPr>
        <w:tc>
          <w:tcPr>
            <w:tcBorders>
              <w:top w:val="none" w:color="000000" w:sz="4" w:space="0"/>
              <w:left w:val="single" w:color="000000" w:sz="4" w:space="0"/>
              <w:bottom w:val="single" w:color="000000" w:sz="4" w:space="0"/>
              <w:right w:val="single" w:color="000000" w:sz="4" w:space="0"/>
            </w:tcBorders>
            <w:tcW w:w="4555"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恩诺沙星、环丙沙星、诺氟沙星、氧氟沙星、培氟沙星、洛美沙星</w:t>
            </w:r>
            <w:r/>
          </w:p>
        </w:tc>
        <w:tc>
          <w:tcPr>
            <w:tcBorders>
              <w:top w:val="singl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31650-2019</w:t>
            </w:r>
            <w:r/>
          </w:p>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31650.1-2022</w:t>
            </w:r>
            <w:r/>
          </w:p>
        </w:tc>
      </w:tr>
      <w:tr>
        <w:trPr>
          <w:cantSplit/>
          <w:jc w:val="center"/>
          <w:trHeight w:val="396"/>
        </w:trPr>
        <w:tc>
          <w:tcPr>
            <w:tcBorders>
              <w:top w:val="none" w:color="000000" w:sz="4" w:space="0"/>
              <w:left w:val="single" w:color="000000" w:sz="4" w:space="0"/>
              <w:bottom w:val="single" w:color="000000" w:sz="4" w:space="0"/>
              <w:right w:val="single" w:color="000000" w:sz="4" w:space="0"/>
            </w:tcBorders>
            <w:tcW w:w="4555"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金刚烷胺</w:t>
            </w:r>
            <w:r/>
          </w:p>
        </w:tc>
        <w:tc>
          <w:tcPr>
            <w:tcBorders>
              <w:top w:val="singl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农业农村部公告第560号</w:t>
            </w:r>
            <w:r/>
          </w:p>
        </w:tc>
      </w:tr>
      <w:tr>
        <w:trPr>
          <w:cantSplit/>
          <w:jc w:val="center"/>
          <w:trHeight w:val="586"/>
        </w:trPr>
        <w:tc>
          <w:tcPr>
            <w:tcBorders>
              <w:top w:val="none" w:color="000000" w:sz="4" w:space="0"/>
              <w:left w:val="single" w:color="000000" w:sz="4" w:space="0"/>
              <w:bottom w:val="single" w:color="000000" w:sz="4" w:space="0"/>
              <w:right w:val="single" w:color="000000" w:sz="4" w:space="0"/>
            </w:tcBorders>
            <w:tcW w:w="4555"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硝基呋喃类代谢物（AOZ、SEM、AMOZ和AHD）</w:t>
            </w:r>
            <w:r/>
          </w:p>
        </w:tc>
        <w:tc>
          <w:tcPr>
            <w:tcBorders>
              <w:top w:val="single" w:color="000000" w:sz="4" w:space="0"/>
              <w:left w:val="none" w:color="000000" w:sz="4" w:space="0"/>
              <w:bottom w:val="single" w:color="000000" w:sz="4" w:space="0"/>
              <w:right w:val="single" w:color="000000" w:sz="4" w:space="0"/>
            </w:tcBorders>
            <w:tcW w:w="1559"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农业农村部公告第250号</w:t>
            </w:r>
            <w:r/>
          </w:p>
        </w:tc>
      </w:tr>
    </w:tbl>
    <w:p>
      <w:pPr>
        <w:spacing w:line="56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p>
      <w:pPr>
        <w:spacing w:line="5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三、水产品</w:t>
      </w:r>
      <w:r/>
    </w:p>
    <w:tbl>
      <w:tblPr>
        <w:tblStyle w:val="1196"/>
        <w:tblW w:w="0" w:type="auto"/>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2323"/>
        <w:gridCol w:w="3685"/>
        <w:gridCol w:w="1559"/>
        <w:gridCol w:w="1555"/>
      </w:tblGrid>
      <w:tr>
        <w:trPr>
          <w:jc w:val="center"/>
          <w:trHeight w:val="454"/>
        </w:trPr>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center"/>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抽检参数</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判定值</w:t>
            </w:r>
            <w:r/>
          </w:p>
          <w:p>
            <w:pPr>
              <w:jc w:val="center"/>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（µg/kg）</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判定依据</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氯霉素</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 20756-2006《可食动物肌肉、肝脏和水产品中氯霉素、甲砜霉素和氟苯尼考残留量的测定液相色谱-串联质谱法》</w:t>
            </w:r>
            <w:r/>
          </w:p>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农业部781号公告-2-2006《动物源食品中氯霉素残留量的测定 高效液相色谱-串联质谱法》</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w:t>
            </w:r>
            <w:r/>
          </w:p>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(判定值≤0.3)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农业农村部第250号公告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孔雀石绿</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GB/T19857-2005《水产品中孔雀石绿和结晶紫残留量的测定》</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w:t>
            </w:r>
            <w:r/>
          </w:p>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(判定值有色孔雀石绿和无色孔雀石绿的总量≤1.0)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农业农村部第250号公告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硝基呋喃类代谢物(AOZ、SEM、AMOZ、AHD)</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农业部783号公告-1-2006《水产品中硝基呋喃类代谢物残留量的测定液相色谱-串联质谱法》</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w:t>
            </w:r>
            <w:r/>
          </w:p>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(判定值各为  ≤1.0)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农业农村部第250号公告</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地西泮</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SN/T3235-2012 《出口动物源食品中多类禁用药物残留量检测方法 液相色谱-质谱/质谱法》</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不得检出（判定限量值：0.5）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spacing w:line="3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GB31650-2019</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诺氟沙星、氧氟沙星、培氟沙星、洛美沙星</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农业部1077号公告-1-2008《水产品中17种磺胺类及15种喹诺酮类药物残留量的测定 液相色谱-串联质谱法》</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不得检出</w:t>
            </w:r>
            <w:r/>
          </w:p>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(判定值各为</w:t>
            </w:r>
            <w:r/>
          </w:p>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31650.1-2022</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left"/>
              <w:spacing w:line="32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农业部1077号公告-1-2008《水产品中17种磺胺类及15种喹诺酮类药物残留量的测定 液相色谱-串联质谱法》</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总量≤100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spacing w:line="32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GB 31650-2019</w:t>
            </w:r>
            <w:r/>
          </w:p>
        </w:tc>
      </w:tr>
    </w:tbl>
    <w:p>
      <w:pPr>
        <w:ind w:left="212"/>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p>
      <w:pPr>
        <w:ind w:left="212"/>
        <w:jc w:val="left"/>
        <w:spacing w:line="28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注：1.虾蟹类呋喃西林代谢物SEM不作判定。</w:t>
      </w:r>
      <w:r/>
    </w:p>
    <w:p>
      <w:pPr>
        <w:ind w:left="210" w:firstLine="319"/>
        <w:jc w:val="left"/>
        <w:spacing w:line="280" w:lineRule="exac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 2.其中只有淡水鱼类检测地西泮。</w:t>
      </w:r>
      <w:r/>
    </w:p>
    <w:p>
      <w:pPr>
        <w:ind w:left="210" w:firstLine="319"/>
        <w:jc w:val="left"/>
        <w:spacing w:line="280" w:lineRule="exact"/>
        <w:widowControl/>
        <w:rPr>
          <w:rFonts w:eastAsia="方正楷体_GBK"/>
          <w:szCs w:val="21"/>
          <w:highlight w:val="none"/>
        </w:rPr>
      </w:pPr>
      <w:r>
        <w:rPr>
          <w:rFonts w:hint="eastAsia" w:ascii="仿宋" w:hAnsi="仿宋" w:eastAsia="仿宋" w:cs="仿宋"/>
          <w:szCs w:val="21"/>
          <w:highlight w:val="none"/>
          <w:lang w:bidi="ar"/>
        </w:rPr>
        <w:t xml:space="preserve"> 3.国家现行有效方法也可以使用，但方法最低检出限必须满足判定依据限量值。</w:t>
      </w:r>
      <w:r/>
    </w:p>
    <w:p>
      <w:pPr>
        <w:pStyle w:val="1212"/>
        <w:rPr>
          <w:rFonts w:hint="eastAsia"/>
          <w:highlight w:val="none"/>
        </w:rPr>
      </w:pPr>
      <w:r>
        <w:rPr>
          <w:rFonts w:hint="eastAsia"/>
          <w:highlight w:val="none"/>
        </w:rPr>
      </w:r>
      <w:r/>
    </w:p>
    <w:p>
      <w:pPr>
        <w:ind w:right="26" w:firstLine="480"/>
        <w:spacing w:line="460" w:lineRule="exact"/>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rPr>
        <w:t xml:space="preserve">、检测结果确认</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承检机构</w:t>
      </w:r>
      <w:r>
        <w:rPr>
          <w:rFonts w:hint="eastAsia" w:ascii="仿宋" w:hAnsi="仿宋" w:eastAsia="仿宋" w:cs="仿宋"/>
          <w:bCs/>
          <w:sz w:val="24"/>
          <w:szCs w:val="24"/>
          <w:highlight w:val="none"/>
        </w:rPr>
        <w:t xml:space="preserve">在获得样品后，应及时按照标准进行检测。经检测判定为不合格的，应当48小时内反馈给各地农业农村局,启动执法程序，告知生产经营主体检测结果，及时立案并开展调查取证。被抽查人对检测结果有异议的，应在收到检测结果之日起5日内，向县级农业农村局提出书面复检申请。复检工作，由市局指定检测机构按照规定程序和要求对复检样进行复检。检测结果与原结果一致的，复检费用由申请复检的被抽查人承担；复检结果与原结果不一致的，复检费用由原承检机构承担。承检机构应当及时将所承担抽检结果汇总分析报告以正式文件形式报市局农产品质量安全监管处。</w:t>
      </w:r>
      <w:r/>
    </w:p>
    <w:p>
      <w:pPr>
        <w:pStyle w:val="1239"/>
        <w:numPr>
          <w:ilvl w:val="0"/>
          <w:numId w:val="0"/>
        </w:numPr>
        <w:ind w:left="472"/>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小麦水稻玉米大豆专项风险监测部分</w:t>
      </w:r>
      <w:r/>
    </w:p>
    <w:p>
      <w:pPr>
        <w:pStyle w:val="1239"/>
        <w:numPr>
          <w:ilvl w:val="0"/>
          <w:numId w:val="0"/>
        </w:numPr>
        <w:ind w:left="472"/>
        <w:keepLines w:val="0"/>
        <w:keepNext w:val="0"/>
        <w:pageBreakBefore w:val="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样品采集</w:t>
      </w:r>
      <w:r/>
    </w:p>
    <w:p>
      <w:pPr>
        <w:numPr>
          <w:ilvl w:val="0"/>
          <w:numId w:val="0"/>
        </w:numPr>
        <w:keepLines w:val="0"/>
        <w:keepNext w:val="0"/>
        <w:pageBreakBefore w:val="0"/>
        <w:spacing w:line="46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1.1</w:t>
      </w:r>
      <w:r>
        <w:rPr>
          <w:rFonts w:hint="eastAsia" w:ascii="仿宋" w:hAnsi="仿宋" w:eastAsia="仿宋" w:cs="仿宋"/>
          <w:b/>
          <w:bCs w:val="0"/>
          <w:color w:val="auto"/>
          <w:sz w:val="24"/>
          <w:szCs w:val="24"/>
          <w:highlight w:val="none"/>
        </w:rPr>
        <w:t xml:space="preserve">采样方法</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本次专项监测样品采样，分布在全市7个涉农县（市、区）。每个县（市、区）每个样品采样点至少分布在10个乡镇不同村的不同农户。采样方式参照《农、畜、水产品污染监测技术规范》（NY/T 398-2000）执行。</w:t>
      </w:r>
      <w:r/>
    </w:p>
    <w:p>
      <w:pPr>
        <w:numPr>
          <w:ilvl w:val="0"/>
          <w:numId w:val="0"/>
        </w:numPr>
        <w:keepLines w:val="0"/>
        <w:keepNext w:val="0"/>
        <w:pageBreakBefore w:val="0"/>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1.2</w:t>
      </w:r>
      <w:r>
        <w:rPr>
          <w:rFonts w:hint="eastAsia" w:ascii="仿宋" w:hAnsi="仿宋" w:eastAsia="仿宋" w:cs="仿宋"/>
          <w:b/>
          <w:bCs/>
          <w:color w:val="auto"/>
          <w:sz w:val="24"/>
          <w:szCs w:val="24"/>
          <w:highlight w:val="none"/>
        </w:rPr>
        <w:t xml:space="preserve">采样量</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小麦籽粒</w:t>
      </w:r>
      <w:r>
        <w:rPr>
          <w:rFonts w:hint="eastAsia" w:ascii="仿宋" w:hAnsi="仿宋" w:eastAsia="仿宋" w:cs="仿宋"/>
          <w:color w:val="auto"/>
          <w:sz w:val="24"/>
          <w:szCs w:val="24"/>
          <w:highlight w:val="none"/>
        </w:rPr>
        <w:t xml:space="preserve">样品一份，数量2kg以上；水稻、玉米、大豆采样量要求为1kg（干重），样品</w:t>
      </w:r>
      <w:r>
        <w:rPr>
          <w:rFonts w:hint="eastAsia" w:ascii="仿宋" w:hAnsi="仿宋" w:eastAsia="仿宋" w:cs="仿宋"/>
          <w:color w:val="auto"/>
          <w:sz w:val="24"/>
          <w:szCs w:val="24"/>
          <w:highlight w:val="none"/>
          <w:lang w:val="en-US" w:eastAsia="zh-CN"/>
        </w:rPr>
        <w:t xml:space="preserve">采集前</w:t>
      </w:r>
      <w:r>
        <w:rPr>
          <w:rFonts w:hint="eastAsia" w:ascii="仿宋" w:hAnsi="仿宋" w:eastAsia="仿宋" w:cs="仿宋"/>
          <w:color w:val="auto"/>
          <w:sz w:val="24"/>
          <w:szCs w:val="24"/>
          <w:highlight w:val="none"/>
        </w:rPr>
        <w:t xml:space="preserve">必须经过晾晒、烘干等方式进行干燥处理，采用透气布袋包装。</w:t>
      </w:r>
      <w:r/>
    </w:p>
    <w:p>
      <w:pPr>
        <w:numPr>
          <w:ilvl w:val="0"/>
          <w:numId w:val="0"/>
        </w:numPr>
        <w:keepLines w:val="0"/>
        <w:keepNext w:val="0"/>
        <w:pageBreakBefore w:val="0"/>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1.3</w:t>
      </w:r>
      <w:r>
        <w:rPr>
          <w:rFonts w:hint="eastAsia" w:ascii="仿宋" w:hAnsi="仿宋" w:eastAsia="仿宋" w:cs="仿宋"/>
          <w:b/>
          <w:bCs/>
          <w:color w:val="auto"/>
          <w:sz w:val="24"/>
          <w:szCs w:val="24"/>
          <w:highlight w:val="none"/>
        </w:rPr>
        <w:t xml:space="preserve">采样记录</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样小组应完整填写采样登记表、保存样品采集相关信息，本次样品编号统一采用如下规则：县区名称首字母（附件3）-流水号。如编号为jwxm-01的样品表示贾汪区的第1号小麦样品；tssd-03的样品表示铜山区的第3号水稻样品； xydd -06表示新沂市第6号大豆样品，pzym-07表示邳州市第7号玉米样品。请承检机构严格按照此编号规则进行编号，防止与其它样品混淆。</w:t>
      </w:r>
      <w:r/>
    </w:p>
    <w:p>
      <w:pPr>
        <w:numPr>
          <w:ilvl w:val="0"/>
          <w:numId w:val="0"/>
        </w:numPr>
        <w:keepLines w:val="0"/>
        <w:keepNext w:val="0"/>
        <w:pageBreakBefore w:val="0"/>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1.4</w:t>
      </w:r>
      <w:r>
        <w:rPr>
          <w:rFonts w:hint="eastAsia" w:ascii="仿宋" w:hAnsi="仿宋" w:eastAsia="仿宋" w:cs="仿宋"/>
          <w:b/>
          <w:bCs/>
          <w:color w:val="auto"/>
          <w:sz w:val="24"/>
          <w:szCs w:val="24"/>
          <w:highlight w:val="none"/>
        </w:rPr>
        <w:t xml:space="preserve">采样时间</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样人员应与采样点位的农户保持联系，结合当地的实际情况组织现场采样。采集应避开在雨天等不利气候条件下进行，采样应避开病虫害和其他处于特殊状态下的植株，不得使用可能对样品造成污染的工具采集样品。</w:t>
      </w:r>
      <w:r/>
    </w:p>
    <w:p>
      <w:pPr>
        <w:ind w:firstLine="354"/>
        <w:keepLines w:val="0"/>
        <w:keepNext w:val="0"/>
        <w:pageBreakBefore w:val="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样品制备</w:t>
      </w:r>
      <w:r/>
    </w:p>
    <w:p>
      <w:pPr>
        <w:ind w:firstLine="482"/>
        <w:keepLines w:val="0"/>
        <w:keepNext w:val="0"/>
        <w:pageBreakBefore w:val="0"/>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2.1 </w:t>
      </w:r>
      <w:r>
        <w:rPr>
          <w:rFonts w:hint="eastAsia" w:ascii="仿宋" w:hAnsi="仿宋" w:eastAsia="仿宋" w:cs="仿宋"/>
          <w:b/>
          <w:bCs/>
          <w:color w:val="auto"/>
          <w:sz w:val="24"/>
          <w:szCs w:val="24"/>
          <w:highlight w:val="none"/>
        </w:rPr>
        <w:t xml:space="preserve">样品制备</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样品制备过程尽可能使每一份测试样品均匀取自该样品总量。样品制备过程应确保每份样品的均匀性和代表性。初步制备包括对新产出农产品进行除杂，风干或烘干及脱粒，反复混合均匀后的重量小麦应为</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kg左右，水稻、玉米、大豆应为1kg左右。</w:t>
      </w:r>
      <w:r/>
    </w:p>
    <w:p>
      <w:pPr>
        <w:ind w:firstLine="482"/>
        <w:keepLines w:val="0"/>
        <w:keepNext w:val="0"/>
        <w:pageBreakBefore w:val="0"/>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2.2制样注意事项</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（1）样品风干、磨碎过程中样品标签必须始终保持一致，注意检查样品标签登记信息，严防样品标签模糊不清或丢失。</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（2）制样所用工具应在处理每份样品前清理干净，严防交叉污染。</w:t>
      </w:r>
      <w:r/>
    </w:p>
    <w:p>
      <w:pPr>
        <w:ind w:firstLine="354"/>
        <w:keepLines w:val="0"/>
        <w:keepNext w:val="0"/>
        <w:pageBreakBefore w:val="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检测参数、方法</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 </w:t>
      </w:r>
      <w:r>
        <w:rPr>
          <w:rFonts w:hint="eastAsia" w:ascii="仿宋" w:hAnsi="仿宋" w:eastAsia="仿宋" w:cs="仿宋"/>
          <w:color w:val="auto"/>
          <w:sz w:val="24"/>
          <w:szCs w:val="24"/>
          <w:highlight w:val="none"/>
        </w:rPr>
        <w:t xml:space="preserve">重金属7项，包括：镉、铅、铬、汞、镍、铜、总砷。检测方法：GB 5009.268-2016《食品安全国家标准 食品中多元素的测定》采用 ICP/MS 法进行检测。稻米总砷含量超过 0.20 mg/kg 时，需补充测定无机砷含量。</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农药残留34项，包括：禁限用农药2个（甲胺磷、氟虫腈）；登记农药32个（三唑磷、毒死蜱、克百威、稻瘟灵、氯虫苯甲酰胺、苯醚甲环唑、吡蚜酮、嘧菌酯、丙环唑、戊唑醇、吡虫啉、噻虫嗪、多菌灵、啶虫脒、噻虫胺、仲丁威、咪鲜胺、水胺硫磷、噻嗪酮、烯啶虫胺、异丙威、三唑酮、乐果、三环唑、肟菌酯、辛硫磷、杀螟丹、茚虫威、稻瘟酰胺、吡唑醚菌酯、肟菌酯、噻呋酰胺）。</w:t>
      </w:r>
      <w:r/>
    </w:p>
    <w:p>
      <w:pPr>
        <w:ind w:firstLine="48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农药残留参照 GB/T 20770-2008《粮谷中486 种农药及相关化学品残留量的测定 液相色谱-串联质谱法》、GB 23200.9-2016《粮谷中475 种农药及相关化学品残留量的测定方法 气相色谱-质谱法》、GB 23200.113-2018《植物源性食品中208种农药及其代谢物残留量的测定》或 NY/T 761-2008《蔬菜和水果中有机磷、有机氯、拟除虫菊酯和氨基甲酸酯类农药多残留的测定》进行检测。</w:t>
      </w:r>
      <w:r/>
    </w:p>
    <w:p>
      <w:pPr>
        <w:ind w:firstLine="470"/>
        <w:keepLines w:val="0"/>
        <w:keepNext w:val="0"/>
        <w:pageBreakBefore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注意事项</w:t>
      </w:r>
      <w:r/>
    </w:p>
    <w:p>
      <w:pPr>
        <w:ind w:firstLine="480"/>
        <w:jc w:val="left"/>
        <w:keepLines w:val="0"/>
        <w:keepNext w:val="0"/>
        <w:pageBreakBefore w:val="0"/>
        <w:spacing w:line="46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采样时请认真填写样品标签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样品采集记录表，确保样品相关信息的真实可靠。</w:t>
      </w:r>
      <w:r>
        <w:rPr>
          <w:rFonts w:hint="eastAsia" w:ascii="仿宋" w:hAnsi="仿宋" w:eastAsia="仿宋" w:cs="仿宋"/>
          <w:color w:val="auto"/>
          <w:sz w:val="24"/>
          <w:szCs w:val="24"/>
          <w:highlight w:val="none"/>
          <w:lang w:val="en-US" w:eastAsia="zh-CN"/>
        </w:rPr>
        <w:t xml:space="preserve">样品采集完成后，并及时填写样品汇总表。</w:t>
      </w:r>
      <w:r/>
    </w:p>
    <w:p>
      <w:pPr>
        <w:ind w:firstLine="480"/>
        <w:jc w:val="left"/>
        <w:keepLines w:val="0"/>
        <w:keepNext w:val="0"/>
        <w:pageBreakBefore w:val="0"/>
        <w:spacing w:line="460" w:lineRule="exact"/>
        <w:widowControl/>
        <w:rPr>
          <w:rFonts w:hint="eastAsia" w:ascii="仿宋" w:hAnsi="仿宋" w:eastAsia="仿宋" w:cs="仿宋"/>
          <w:bCs/>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采样时应优先采集前两年农残或重金属超标的农作物。</w:t>
      </w:r>
      <w:r/>
    </w:p>
    <w:p>
      <w:pPr>
        <w:ind w:right="28" w:firstLine="482"/>
        <w:keepLines w:val="0"/>
        <w:keepNext w:val="0"/>
        <w:pageBreakBefore w:val="0"/>
        <w:spacing w:line="460" w:lineRule="exact"/>
        <w:widowControl/>
        <w:tabs>
          <w:tab w:val="left" w:pos="393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四、</w:t>
      </w:r>
      <w:r>
        <w:rPr>
          <w:rFonts w:hint="eastAsia" w:ascii="仿宋" w:hAnsi="仿宋" w:eastAsia="仿宋" w:cs="仿宋"/>
          <w:b/>
          <w:bCs w:val="0"/>
          <w:sz w:val="24"/>
          <w:szCs w:val="24"/>
          <w:highlight w:val="none"/>
          <w:lang w:val="en-US" w:eastAsia="zh-CN"/>
        </w:rPr>
        <w:t xml:space="preserve">项目</w:t>
      </w:r>
      <w:r>
        <w:rPr>
          <w:rFonts w:hint="eastAsia" w:ascii="仿宋" w:hAnsi="仿宋" w:eastAsia="仿宋" w:cs="仿宋"/>
          <w:b/>
          <w:bCs w:val="0"/>
          <w:sz w:val="24"/>
          <w:szCs w:val="24"/>
          <w:highlight w:val="none"/>
        </w:rPr>
        <w:t xml:space="preserve">实施要求：</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项目</w:t>
      </w:r>
      <w:r>
        <w:rPr>
          <w:rFonts w:hint="eastAsia" w:ascii="仿宋" w:hAnsi="仿宋" w:eastAsia="仿宋" w:cs="仿宋"/>
          <w:bCs/>
          <w:sz w:val="24"/>
          <w:szCs w:val="24"/>
          <w:highlight w:val="none"/>
        </w:rPr>
        <w:t xml:space="preserve">实施方案应详实、具体、针对性强、可操作性强。要求包含但不限于以下方面：</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1、服务整体设想、策划、管理和服务的目标。</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2、服务组织机构设置及职能。</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3、服务管理规章制度。</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4、组织计划、进度保障措施。</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5、服务质量承诺及措施。</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6、安全防范及能耗管理，建立各类安全管理措施及应急处理预案。</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7、设备、仪器投入方案。</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8、人员配备方案。</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9、配合与服从采购人管理方案。</w:t>
      </w:r>
      <w:r/>
    </w:p>
    <w:p>
      <w:pPr>
        <w:ind w:right="28" w:firstLine="482"/>
        <w:keepLines w:val="0"/>
        <w:keepNext w:val="0"/>
        <w:pageBreakBefore w:val="0"/>
        <w:spacing w:line="460" w:lineRule="exact"/>
        <w:widowControl/>
        <w:tabs>
          <w:tab w:val="left" w:pos="393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rPr>
        <w:t xml:space="preserve">五、</w:t>
      </w:r>
      <w:r>
        <w:rPr>
          <w:rFonts w:hint="eastAsia" w:ascii="仿宋" w:hAnsi="仿宋" w:eastAsia="仿宋" w:cs="仿宋"/>
          <w:b/>
          <w:bCs w:val="0"/>
          <w:sz w:val="24"/>
          <w:szCs w:val="24"/>
          <w:highlight w:val="none"/>
          <w:lang w:val="en-US" w:eastAsia="zh-CN"/>
        </w:rPr>
        <w:t xml:space="preserve">验收标准：</w:t>
      </w:r>
      <w:r/>
    </w:p>
    <w:p>
      <w:pPr>
        <w:ind w:right="28" w:firstLine="480"/>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按照《关于开展2024年徐州市农产品质量安全监测工作的通知》（徐农办〔2024〕6号）、《关于开展2024年徐州市专项风险监测工作的通知》（徐农办〔2024〕10号）文件规定的相应监测项目、检测方法和判断依据按时完成样品抽检，并提供样品检验报告（PDF版本）、监测结果汇总表和监测分析报告，</w:t>
      </w:r>
      <w:r>
        <w:rPr>
          <w:rFonts w:hint="eastAsia" w:ascii="仿宋" w:hAnsi="仿宋" w:eastAsia="仿宋" w:cs="仿宋"/>
          <w:bCs/>
          <w:sz w:val="24"/>
          <w:szCs w:val="24"/>
          <w:highlight w:val="none"/>
          <w:lang w:val="en-US" w:eastAsia="zh-CN" w:bidi="ar-SA"/>
        </w:rPr>
        <w:t xml:space="preserve">绿色优质农产品基地产品要做到抽检全覆盖</w:t>
      </w:r>
      <w:r>
        <w:rPr>
          <w:rFonts w:hint="eastAsia" w:ascii="仿宋" w:hAnsi="仿宋" w:eastAsia="仿宋" w:cs="仿宋"/>
          <w:bCs/>
          <w:sz w:val="24"/>
          <w:szCs w:val="24"/>
          <w:highlight w:val="none"/>
          <w:lang w:val="en-US" w:eastAsia="zh-CN"/>
        </w:rPr>
        <w:t xml:space="preserve">。</w:t>
      </w:r>
      <w:r/>
    </w:p>
    <w:p>
      <w:pPr>
        <w:ind w:right="28" w:firstLine="482"/>
        <w:keepLines w:val="0"/>
        <w:keepNext w:val="0"/>
        <w:pageBreakBefore w:val="0"/>
        <w:spacing w:line="460" w:lineRule="exact"/>
        <w:widowControl/>
        <w:tabs>
          <w:tab w:val="left" w:pos="3930" w:leader="none"/>
        </w:tabs>
        <w:rPr>
          <w:rFonts w:hint="eastAsia" w:ascii="仿宋" w:hAnsi="仿宋" w:eastAsia="仿宋" w:cs="仿宋"/>
          <w:bCs/>
          <w:sz w:val="24"/>
          <w:szCs w:val="24"/>
          <w:highlight w:val="none"/>
        </w:rPr>
      </w:pPr>
      <w:r>
        <w:rPr>
          <w:rFonts w:hint="eastAsia" w:ascii="仿宋" w:hAnsi="仿宋" w:eastAsia="仿宋" w:cs="仿宋"/>
          <w:b/>
          <w:bCs w:val="0"/>
          <w:sz w:val="24"/>
          <w:szCs w:val="24"/>
          <w:highlight w:val="none"/>
          <w:lang w:val="en-US" w:eastAsia="zh-CN"/>
        </w:rPr>
        <w:t xml:space="preserve">六、</w:t>
      </w:r>
      <w:r>
        <w:rPr>
          <w:rFonts w:hint="eastAsia" w:ascii="仿宋" w:hAnsi="仿宋" w:eastAsia="仿宋" w:cs="仿宋"/>
          <w:b/>
          <w:bCs w:val="0"/>
          <w:sz w:val="24"/>
          <w:szCs w:val="24"/>
          <w:highlight w:val="none"/>
        </w:rPr>
        <w:t xml:space="preserve">其他要求：</w:t>
      </w:r>
      <w:r>
        <w:rPr>
          <w:rFonts w:hint="eastAsia" w:ascii="仿宋" w:hAnsi="仿宋" w:eastAsia="仿宋" w:cs="仿宋"/>
          <w:bCs/>
          <w:sz w:val="24"/>
          <w:szCs w:val="24"/>
          <w:highlight w:val="none"/>
        </w:rPr>
        <w:t xml:space="preserve">见招标文件第五章《拟签订的合同文本》。</w:t>
      </w:r>
      <w:r/>
    </w:p>
    <w:p>
      <w:pPr>
        <w:ind w:firstLine="480"/>
        <w:rPr>
          <w:rFonts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ind w:firstLine="600"/>
        <w:jc w:val="center"/>
        <w:pageBreakBefore/>
        <w:rPr>
          <w:rFonts w:ascii="仿宋" w:hAnsi="仿宋" w:eastAsia="仿宋" w:cs="仿宋"/>
          <w:sz w:val="30"/>
          <w:szCs w:val="30"/>
          <w:highlight w:val="none"/>
        </w:rPr>
      </w:pPr>
      <w:r>
        <w:rPr>
          <w:rFonts w:hint="eastAsia" w:ascii="仿宋" w:hAnsi="仿宋" w:eastAsia="仿宋" w:cs="仿宋"/>
          <w:sz w:val="30"/>
          <w:szCs w:val="30"/>
          <w:highlight w:val="none"/>
        </w:rPr>
        <w:t xml:space="preserve">第七章  投标文件相关格式</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jc w:val="center"/>
        <w:rPr>
          <w:rFonts w:ascii="仿宋" w:hAnsi="仿宋" w:eastAsia="仿宋" w:cs="仿宋"/>
          <w:sz w:val="24"/>
          <w:highlight w:val="none"/>
        </w:rPr>
      </w:pPr>
      <w:r>
        <w:rPr>
          <w:rFonts w:hint="eastAsia" w:ascii="仿宋" w:hAnsi="仿宋" w:eastAsia="仿宋" w:cs="仿宋"/>
          <w:sz w:val="24"/>
          <w:highlight w:val="none"/>
        </w:rPr>
        <w:t xml:space="preserve">目录</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 投标函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 开标一览表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 分项价格表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4．偏离表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 授权委托书</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 中小企业声明函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 投标人参加政府采购活动前3年内在经营活动中没有重大违法记录的书面声明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 残疾人福利性单位声明函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9. 具备履行合同所必需的设备和专业技术能力的书面声明（附证明材料原件的扫描件）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10.投标人相关承诺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11.投标人书面声明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12.预付款保函支付条款模板</w:t>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ind w:firstLine="480"/>
        <w:rPr>
          <w:rFonts w:ascii="仿宋" w:hAnsi="仿宋" w:eastAsia="仿宋" w:cs="仿宋"/>
          <w:sz w:val="24"/>
          <w:szCs w:val="28"/>
          <w:highlight w:val="none"/>
        </w:rPr>
      </w:pPr>
      <w:r>
        <w:rPr>
          <w:rFonts w:hint="eastAsia" w:ascii="仿宋" w:hAnsi="仿宋" w:eastAsia="仿宋" w:cs="仿宋"/>
          <w:sz w:val="24"/>
          <w:szCs w:val="28"/>
          <w:highlight w:val="none"/>
        </w:rPr>
        <w:br w:type="page" w:clear="all"/>
      </w:r>
      <w:r/>
    </w:p>
    <w:p>
      <w:pPr>
        <w:ind w:left="450" w:firstLine="480"/>
        <w:jc w:val="center"/>
        <w:rPr>
          <w:rFonts w:ascii="仿宋" w:hAnsi="仿宋" w:eastAsia="仿宋" w:cs="仿宋"/>
          <w:sz w:val="28"/>
          <w:szCs w:val="28"/>
          <w:highlight w:val="none"/>
        </w:rPr>
      </w:pPr>
      <w:r>
        <w:rPr>
          <w:rFonts w:hint="eastAsia" w:ascii="仿宋" w:hAnsi="仿宋" w:eastAsia="仿宋" w:cs="仿宋"/>
          <w:sz w:val="24"/>
          <w:szCs w:val="28"/>
          <w:highlight w:val="none"/>
        </w:rPr>
        <w:t xml:space="preserve">3．</w:t>
      </w:r>
      <w:r>
        <w:rPr>
          <w:rFonts w:hint="eastAsia" w:ascii="仿宋" w:hAnsi="仿宋" w:eastAsia="仿宋" w:cs="仿宋"/>
          <w:sz w:val="30"/>
          <w:szCs w:val="30"/>
          <w:highlight w:val="none"/>
        </w:rPr>
        <w:t xml:space="preserve">投标</w:t>
      </w:r>
      <w:r>
        <w:rPr>
          <w:rFonts w:hint="eastAsia" w:ascii="仿宋" w:hAnsi="仿宋" w:eastAsia="仿宋" w:cs="仿宋"/>
          <w:sz w:val="28"/>
          <w:szCs w:val="28"/>
          <w:highlight w:val="none"/>
        </w:rPr>
        <w:t xml:space="preserve">函</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致：</w:t>
      </w:r>
      <w:r>
        <w:rPr>
          <w:rFonts w:hint="eastAsia" w:ascii="仿宋" w:hAnsi="仿宋" w:eastAsia="仿宋" w:cs="仿宋"/>
          <w:sz w:val="24"/>
          <w:highlight w:val="none"/>
          <w:u w:val="single"/>
        </w:rPr>
        <w:t xml:space="preserve"> 江苏鼎信利达建设管理有限公司</w:t>
      </w:r>
      <w:r/>
    </w:p>
    <w:p>
      <w:pPr>
        <w:ind w:firstLine="480"/>
        <w:jc w:val="left"/>
        <w:spacing w:line="400" w:lineRule="exact"/>
        <w:rPr>
          <w:rFonts w:ascii="仿宋" w:hAnsi="仿宋" w:eastAsia="仿宋" w:cs="仿宋"/>
          <w:sz w:val="24"/>
          <w:highlight w:val="none"/>
        </w:rPr>
      </w:pPr>
      <w:r>
        <w:rPr>
          <w:rFonts w:hint="eastAsia" w:ascii="仿宋" w:hAnsi="仿宋" w:eastAsia="仿宋" w:cs="仿宋"/>
          <w:sz w:val="24"/>
          <w:highlight w:val="none"/>
        </w:rPr>
        <w:t xml:space="preserve">根据</w:t>
      </w:r>
      <w:r>
        <w:rPr>
          <w:rFonts w:hint="eastAsia" w:ascii="仿宋" w:hAnsi="仿宋" w:eastAsia="仿宋" w:cs="仿宋"/>
          <w:sz w:val="24"/>
          <w:highlight w:val="none"/>
          <w:u w:val="single"/>
          <w:lang w:eastAsia="zh-CN"/>
        </w:rPr>
        <w:t xml:space="preserve">2024年度徐州市农产品质量安全监测项目</w:t>
      </w:r>
      <w:r>
        <w:rPr>
          <w:rFonts w:hint="eastAsia" w:ascii="仿宋" w:hAnsi="仿宋" w:eastAsia="仿宋" w:cs="仿宋"/>
          <w:sz w:val="24"/>
          <w:highlight w:val="none"/>
        </w:rPr>
        <w:t xml:space="preserve">[项目编号：          招标文件，</w:t>
      </w:r>
      <w:r>
        <w:rPr>
          <w:rFonts w:hint="eastAsia" w:ascii="仿宋" w:hAnsi="仿宋" w:eastAsia="仿宋" w:cs="仿宋"/>
          <w:szCs w:val="21"/>
          <w:highlight w:val="none"/>
        </w:rPr>
        <w:t xml:space="preserve">_____(</w:t>
      </w:r>
      <w:r>
        <w:rPr>
          <w:rFonts w:hint="eastAsia" w:ascii="仿宋" w:hAnsi="仿宋" w:eastAsia="仿宋" w:cs="仿宋"/>
          <w:sz w:val="24"/>
          <w:highlight w:val="none"/>
        </w:rPr>
        <w:t xml:space="preserve">姓名)代表我方</w:t>
      </w:r>
      <w:r>
        <w:rPr>
          <w:rFonts w:hint="eastAsia" w:ascii="仿宋" w:hAnsi="仿宋" w:eastAsia="仿宋" w:cs="仿宋"/>
          <w:szCs w:val="21"/>
          <w:highlight w:val="none"/>
        </w:rPr>
        <w:t xml:space="preserve">______________</w:t>
      </w:r>
      <w:r>
        <w:rPr>
          <w:rFonts w:hint="eastAsia" w:ascii="仿宋" w:hAnsi="仿宋" w:eastAsia="仿宋" w:cs="仿宋"/>
          <w:sz w:val="24"/>
          <w:highlight w:val="none"/>
        </w:rPr>
        <w:t xml:space="preserve">（投标人的名称）全权处理本次投标的有关事宜。</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据此函，投标人承诺并同意如下： </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1.投标人唯一投标报价见《开标一览表》。</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2.投标人将按招标文件的规定履行合同责任和义务。</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4.投标有效期为90天。</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6.招标文件中关于“投标文件的密封要求”的规定由江苏鼎信利达建设管理有限公司解释，投标人完全理解招标文件中关于“投标文件的密封要求”的规定。</w:t>
      </w:r>
      <w:r/>
    </w:p>
    <w:p>
      <w:pPr>
        <w:ind w:right="29"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7.江苏鼎信利达建设管理有限公司有权将我单位本项目投标文件中的《开标一览表》和《分项价格表》予以公示，公示的方式由江苏鼎信利达建设管理有限公司确定。如我单位被确定为中标、成交供应商，江苏鼎信利达建设管理有限公司有权将我单位本项目投标文件中的《中小企业声明函》（如有）和《残疾人福利性单位声明函》（如有）作为《中标（成交）结果公告》的附件予以公告。</w:t>
      </w:r>
      <w:r/>
    </w:p>
    <w:p>
      <w:pPr>
        <w:ind w:right="29"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9.与本投标有关的一切正式往来信函请寄：</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地址： </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电话：            手机号码： </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传真： </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ind w:firstLine="4560"/>
        <w:spacing w:line="360" w:lineRule="auto"/>
        <w:rPr>
          <w:rFonts w:ascii="仿宋" w:hAnsi="仿宋" w:eastAsia="仿宋" w:cs="仿宋"/>
          <w:sz w:val="24"/>
          <w:highlight w:val="none"/>
        </w:rPr>
      </w:pPr>
      <w:r>
        <w:rPr>
          <w:rFonts w:ascii="仿宋" w:hAnsi="仿宋" w:eastAsia="仿宋" w:cs="仿宋"/>
          <w:sz w:val="24"/>
          <w:highlight w:val="none"/>
        </w:rPr>
      </w:r>
      <w:r/>
    </w:p>
    <w:p>
      <w:pPr>
        <w:spacing w:line="360" w:lineRule="auto"/>
        <w:rPr>
          <w:rFonts w:ascii="仿宋" w:hAnsi="仿宋" w:eastAsia="仿宋" w:cs="仿宋"/>
          <w:sz w:val="24"/>
          <w:highlight w:val="none"/>
        </w:rPr>
      </w:pPr>
      <w:r>
        <w:rPr>
          <w:rFonts w:ascii="仿宋" w:hAnsi="仿宋" w:eastAsia="仿宋" w:cs="仿宋"/>
          <w:sz w:val="24"/>
          <w:highlight w:val="none"/>
        </w:rPr>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2．开标一览表</w:t>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rPr>
          <w:rFonts w:hint="eastAsia" w:ascii="仿宋" w:hAnsi="仿宋" w:eastAsia="仿宋" w:cs="仿宋"/>
          <w:sz w:val="24"/>
          <w:highlight w:val="none"/>
        </w:rPr>
        <w:t xml:space="preserve">  </w:t>
      </w:r>
      <w:r/>
    </w:p>
    <w:p>
      <w:pPr>
        <w:pStyle w:val="1201"/>
        <w:ind w:firstLine="480"/>
        <w:rPr>
          <w:rFonts w:hint="eastAsia" w:eastAsia="仿宋"/>
          <w:highlight w:val="none"/>
          <w:lang w:val="en-US" w:eastAsia="zh-CN"/>
        </w:rPr>
      </w:pPr>
      <w:r>
        <w:rPr>
          <w:rFonts w:hint="eastAsia" w:ascii="仿宋" w:hAnsi="仿宋" w:eastAsia="仿宋" w:cs="仿宋"/>
          <w:sz w:val="24"/>
          <w:highlight w:val="none"/>
          <w:lang w:val="en-US" w:eastAsia="zh-CN"/>
        </w:rPr>
        <w:t xml:space="preserve">采购包（）</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                                    货币单位：人民币元</w:t>
      </w:r>
      <w:r/>
    </w:p>
    <w:tbl>
      <w:tblPr>
        <w:tblStyle w:val="1196"/>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项目名称</w:t>
            </w:r>
            <w:r/>
          </w:p>
        </w:tc>
        <w:tc>
          <w:tcPr>
            <w:tcBorders>
              <w:top w:val="single" w:color="000000" w:sz="6" w:space="0"/>
              <w:left w:val="single" w:color="000000" w:sz="2" w:space="0"/>
              <w:bottom w:val="single" w:color="000000" w:sz="2" w:space="0"/>
              <w:right w:val="single" w:color="000000" w:sz="4" w:space="0"/>
            </w:tcBorders>
            <w:tcW w:w="38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2024年度徐州市农产品质量安全监测项目</w:t>
            </w:r>
            <w:r/>
          </w:p>
        </w:tc>
        <w:tc>
          <w:tcPr>
            <w:tcBorders>
              <w:top w:val="single" w:color="000000" w:sz="2" w:space="0"/>
              <w:left w:val="single" w:color="000000" w:sz="2" w:space="0"/>
              <w:right w:val="single" w:color="000000" w:sz="4" w:space="0"/>
            </w:tcBorders>
            <w:tcW w:w="38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详见投标文件  </w:t>
            </w:r>
            <w:r/>
          </w:p>
        </w:tc>
        <w:tc>
          <w:tcPr>
            <w:tcBorders>
              <w:top w:val="single" w:color="000000" w:sz="2" w:space="0"/>
              <w:left w:val="single" w:color="000000" w:sz="4" w:space="0"/>
              <w:right w:val="single" w:color="000000" w:sz="2" w:space="0"/>
            </w:tcBorders>
            <w:tcW w:w="177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s="仿宋"/>
                <w:sz w:val="24"/>
                <w:highlight w:val="none"/>
              </w:rPr>
            </w:pPr>
            <w:r>
              <w:rPr>
                <w:rFonts w:hint="eastAsia" w:ascii="仿宋" w:hAnsi="仿宋" w:eastAsia="仿宋" w:cs="仿宋"/>
                <w:sz w:val="24"/>
                <w:highlight w:val="none"/>
              </w:rPr>
              <w:t xml:space="preserve">总价（大写）：</w:t>
            </w:r>
            <w:r/>
          </w:p>
        </w:tc>
      </w:tr>
    </w:tbl>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pStyle w:val="1208"/>
        <w:rPr>
          <w:rFonts w:ascii="仿宋" w:hAnsi="仿宋" w:eastAsia="仿宋" w:cs="仿宋"/>
          <w:sz w:val="24"/>
          <w:szCs w:val="24"/>
          <w:highlight w:val="none"/>
        </w:rPr>
      </w:pPr>
      <w:r>
        <w:rPr>
          <w:rFonts w:ascii="仿宋" w:hAnsi="仿宋" w:eastAsia="仿宋" w:cs="仿宋"/>
          <w:sz w:val="24"/>
          <w:szCs w:val="24"/>
          <w:highlight w:val="none"/>
        </w:rPr>
      </w:r>
      <w:r/>
    </w:p>
    <w:p>
      <w:pPr>
        <w:rPr>
          <w:rFonts w:ascii="仿宋" w:hAnsi="仿宋" w:eastAsia="仿宋" w:cs="仿宋"/>
          <w:sz w:val="24"/>
          <w:highlight w:val="none"/>
        </w:rPr>
      </w:pPr>
      <w:r>
        <w:rPr>
          <w:rFonts w:ascii="仿宋" w:hAnsi="仿宋" w:eastAsia="仿宋" w:cs="仿宋"/>
          <w:sz w:val="24"/>
          <w:highlight w:val="none"/>
        </w:rPr>
      </w:r>
      <w:r/>
    </w:p>
    <w:p>
      <w:pPr>
        <w:pStyle w:val="1208"/>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ascii="仿宋" w:hAnsi="仿宋" w:eastAsia="仿宋" w:cs="仿宋"/>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ind w:firstLine="480"/>
        <w:jc w:val="center"/>
        <w:rPr>
          <w:rFonts w:ascii="仿宋" w:hAnsi="仿宋" w:eastAsia="仿宋" w:cs="仿宋"/>
          <w:sz w:val="28"/>
          <w:szCs w:val="28"/>
          <w:highlight w:val="none"/>
        </w:rPr>
      </w:pPr>
      <w:r>
        <w:rPr>
          <w:rFonts w:hint="eastAsia" w:ascii="仿宋" w:hAnsi="仿宋" w:eastAsia="仿宋" w:cs="仿宋"/>
          <w:sz w:val="24"/>
          <w:highlight w:val="none"/>
        </w:rPr>
        <w:br w:type="page" w:clear="all"/>
      </w:r>
      <w:r>
        <w:rPr>
          <w:rFonts w:hint="eastAsia" w:ascii="仿宋" w:hAnsi="仿宋" w:eastAsia="仿宋" w:cs="仿宋"/>
          <w:sz w:val="28"/>
          <w:szCs w:val="28"/>
          <w:highlight w:val="none"/>
        </w:rPr>
        <w:t xml:space="preserve">3．分项价格表</w:t>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rPr>
          <w:rFonts w:hint="eastAsia" w:ascii="仿宋" w:hAnsi="仿宋" w:eastAsia="仿宋" w:cs="仿宋"/>
          <w:sz w:val="24"/>
          <w:highlight w:val="none"/>
        </w:rPr>
        <w:t xml:space="preserve">                                     </w:t>
      </w:r>
      <w:r/>
    </w:p>
    <w:p>
      <w:pPr>
        <w:pStyle w:val="1201"/>
        <w:ind w:firstLine="480"/>
        <w:rPr>
          <w:highlight w:val="none"/>
        </w:rPr>
      </w:pPr>
      <w:r>
        <w:rPr>
          <w:rFonts w:hint="eastAsia" w:ascii="仿宋" w:hAnsi="仿宋" w:eastAsia="仿宋" w:cs="仿宋"/>
          <w:sz w:val="24"/>
          <w:highlight w:val="none"/>
          <w:lang w:val="en-US" w:eastAsia="zh-CN"/>
        </w:rPr>
        <w:t xml:space="preserve">采购包（）</w:t>
      </w:r>
      <w:r/>
    </w:p>
    <w:p>
      <w:pPr>
        <w:ind w:firstLine="480"/>
        <w:jc w:val="right"/>
        <w:rPr>
          <w:rFonts w:ascii="仿宋" w:hAnsi="仿宋" w:eastAsia="仿宋" w:cs="仿宋"/>
          <w:sz w:val="24"/>
          <w:highlight w:val="none"/>
        </w:rPr>
      </w:pPr>
      <w:r>
        <w:rPr>
          <w:rFonts w:hint="eastAsia" w:ascii="仿宋" w:hAnsi="仿宋" w:eastAsia="仿宋" w:cs="仿宋"/>
          <w:sz w:val="24"/>
          <w:highlight w:val="none"/>
        </w:rPr>
        <w:t xml:space="preserve"> 货币单位：人民币元</w:t>
      </w:r>
      <w:r/>
    </w:p>
    <w:p>
      <w:pPr>
        <w:jc w:val="cente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r>
      <w:r/>
    </w:p>
    <w:p>
      <w:pPr>
        <w:jc w:val="cente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r>
      <w:r/>
    </w:p>
    <w:p>
      <w:pPr>
        <w:jc w:val="cente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 xml:space="preserve">格式自拟</w:t>
      </w:r>
      <w:r/>
    </w:p>
    <w:p>
      <w:pPr>
        <w:spacing w:line="300" w:lineRule="auto"/>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0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0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  </w:t>
      </w:r>
      <w:r/>
    </w:p>
    <w:p>
      <w:pPr>
        <w:ind w:firstLine="480"/>
        <w:spacing w:line="360" w:lineRule="auto"/>
        <w:rPr>
          <w:rFonts w:ascii="仿宋" w:hAnsi="仿宋" w:eastAsia="仿宋" w:cs="仿宋"/>
          <w:highlight w:val="none"/>
        </w:rPr>
      </w:pPr>
      <w:r>
        <w:rPr>
          <w:rFonts w:hint="eastAsia" w:ascii="仿宋" w:hAnsi="仿宋" w:eastAsia="仿宋" w:cs="仿宋"/>
          <w:sz w:val="24"/>
          <w:highlight w:val="none"/>
        </w:rPr>
        <w:t xml:space="preserve">日期：   年  月  日</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1．如果按单价计算的结果与总价不一致，以总价为准。</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2．如果不提供详细分项报价将视为没有实质性响应招标文件。</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3. 投标人对以上数据的真实性负责。</w:t>
      </w:r>
      <w:r/>
    </w:p>
    <w:p>
      <w:pPr>
        <w:ind w:firstLine="480"/>
        <w:widowControl/>
        <w:rPr>
          <w:rFonts w:ascii="仿宋" w:hAnsi="仿宋" w:eastAsia="仿宋" w:cs="仿宋"/>
          <w:i/>
          <w:iCs/>
          <w:sz w:val="24"/>
          <w:highlight w:val="none"/>
          <w:u w:val="single"/>
        </w:rPr>
        <w:outlineLvl w:val="2"/>
      </w:pPr>
      <w:r>
        <w:rPr>
          <w:rFonts w:hint="eastAsia" w:ascii="仿宋" w:hAnsi="仿宋" w:eastAsia="仿宋" w:cs="仿宋"/>
          <w:i/>
          <w:iCs/>
          <w:sz w:val="24"/>
          <w:highlight w:val="none"/>
          <w:u w:val="single"/>
        </w:rPr>
        <w:t xml:space="preserve">采购人或采购代理机构有权将以上内容进行公示。</w:t>
      </w:r>
      <w:r/>
    </w:p>
    <w:p>
      <w:pPr>
        <w:ind w:firstLine="480"/>
        <w:rPr>
          <w:rFonts w:ascii="仿宋" w:hAnsi="仿宋" w:eastAsia="仿宋" w:cs="仿宋"/>
          <w:i/>
          <w:sz w:val="24"/>
          <w:highlight w:val="none"/>
          <w:u w:val="single"/>
        </w:rPr>
      </w:pPr>
      <w:r>
        <w:rPr>
          <w:rFonts w:hint="eastAsia" w:ascii="仿宋" w:hAnsi="仿宋" w:eastAsia="仿宋" w:cs="仿宋"/>
          <w:i/>
          <w:sz w:val="24"/>
          <w:highlight w:val="none"/>
          <w:u w:val="single"/>
        </w:rPr>
        <w:br w:type="page" w:clear="all"/>
      </w:r>
      <w:r/>
    </w:p>
    <w:p>
      <w:pPr>
        <w:ind w:firstLine="560"/>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4．偏离表</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p>
    <w:p>
      <w:pPr>
        <w:pStyle w:val="1201"/>
        <w:ind w:firstLine="480"/>
        <w:rPr>
          <w:rFonts w:hint="eastAsia" w:eastAsia="仿宋"/>
          <w:highlight w:val="none"/>
          <w:lang w:val="en-US" w:eastAsia="zh-CN"/>
        </w:rPr>
      </w:pPr>
      <w:r>
        <w:rPr>
          <w:rFonts w:hint="eastAsia" w:ascii="仿宋" w:hAnsi="仿宋" w:eastAsia="仿宋" w:cs="仿宋"/>
          <w:sz w:val="24"/>
          <w:highlight w:val="none"/>
          <w:lang w:val="en-US" w:eastAsia="zh-CN"/>
        </w:rPr>
        <w:t xml:space="preserve">采购包（）</w:t>
      </w:r>
      <w:r/>
    </w:p>
    <w:p>
      <w:pPr>
        <w:pStyle w:val="1201"/>
        <w:rPr>
          <w:rFonts w:hint="eastAsia"/>
          <w:highlight w:val="none"/>
          <w:lang w:eastAsia="zh-CN"/>
        </w:rPr>
      </w:pPr>
      <w:r>
        <w:rPr>
          <w:rFonts w:hint="eastAsia"/>
          <w:highlight w:val="none"/>
          <w:lang w:eastAsia="zh-CN"/>
        </w:rPr>
      </w:r>
      <w:r/>
    </w:p>
    <w:tbl>
      <w:tblPr>
        <w:tblStyle w:val="1196"/>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bl>
    <w:p>
      <w:pPr>
        <w:rPr>
          <w:rFonts w:ascii="仿宋" w:hAnsi="仿宋" w:eastAsia="仿宋" w:cs="仿宋"/>
          <w:sz w:val="24"/>
          <w:highlight w:val="none"/>
          <w:u w:val="single"/>
        </w:rPr>
      </w:pPr>
      <w:r>
        <w:rPr>
          <w:rFonts w:ascii="仿宋" w:hAnsi="仿宋" w:eastAsia="仿宋" w:cs="仿宋"/>
          <w:sz w:val="24"/>
          <w:highlight w:val="none"/>
          <w:u w:val="single"/>
        </w:rPr>
      </w:r>
      <w:r/>
    </w:p>
    <w:p>
      <w:pPr>
        <w:ind w:firstLine="480"/>
        <w:rPr>
          <w:rFonts w:ascii="仿宋" w:hAnsi="仿宋" w:eastAsia="仿宋" w:cs="仿宋"/>
          <w:sz w:val="24"/>
          <w:highlight w:val="none"/>
          <w:u w:val="single"/>
        </w:rPr>
      </w:pPr>
      <w:r>
        <w:rPr>
          <w:rFonts w:hint="eastAsia" w:ascii="仿宋" w:hAnsi="仿宋" w:eastAsia="仿宋" w:cs="仿宋"/>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cs="仿宋"/>
          <w:sz w:val="24"/>
          <w:highlight w:val="none"/>
          <w:u w:val="single"/>
        </w:rPr>
      </w:pPr>
      <w:r>
        <w:rPr>
          <w:rFonts w:ascii="仿宋" w:hAnsi="仿宋" w:eastAsia="仿宋" w:cs="仿宋"/>
          <w:sz w:val="24"/>
          <w:highlight w:val="none"/>
          <w:u w:val="singl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  </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highlight w:val="none"/>
        </w:rPr>
      </w:pPr>
      <w:r>
        <w:rPr>
          <w:rFonts w:ascii="仿宋" w:hAnsi="仿宋" w:eastAsia="仿宋" w:cs="仿宋"/>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br w:type="page" w:clear="all"/>
      </w:r>
      <w:r/>
    </w:p>
    <w:p>
      <w:pPr>
        <w:ind w:firstLine="560"/>
        <w:jc w:val="center"/>
        <w:rPr>
          <w:rFonts w:ascii="仿宋" w:hAnsi="仿宋" w:eastAsia="仿宋" w:cs="仿宋"/>
          <w:sz w:val="28"/>
          <w:szCs w:val="28"/>
          <w:highlight w:val="none"/>
        </w:rPr>
      </w:pPr>
      <w:r>
        <w:rPr>
          <w:rFonts w:hint="eastAsia" w:ascii="仿宋" w:hAnsi="仿宋" w:eastAsia="仿宋" w:cs="仿宋"/>
          <w:bCs/>
          <w:sz w:val="28"/>
          <w:szCs w:val="28"/>
          <w:highlight w:val="none"/>
        </w:rPr>
        <w:t xml:space="preserve">5. 授权委托书</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委托人：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地  址：</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法定代表人（负责人）：               职务：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统一社会信用代码：</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受托人：                   性别：男（女）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年龄：  岁                 民族：   族</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职务：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身份证号：</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兹委托（      ）全权代表我企业（公司）参与（</w:t>
      </w:r>
      <w:r>
        <w:rPr>
          <w:rFonts w:hint="eastAsia" w:ascii="仿宋" w:hAnsi="仿宋" w:eastAsia="仿宋" w:cs="仿宋"/>
          <w:sz w:val="24"/>
          <w:highlight w:val="none"/>
          <w:lang w:eastAsia="zh-CN"/>
        </w:rPr>
        <w:t xml:space="preserve">2024年度徐州市农产品质量安全监测项目</w:t>
      </w:r>
      <w:r>
        <w:rPr>
          <w:rFonts w:hint="eastAsia" w:ascii="仿宋" w:hAnsi="仿宋" w:eastAsia="仿宋" w:cs="仿宋"/>
          <w:sz w:val="24"/>
          <w:highlight w:val="none"/>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特此授权委托。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委托人（公章）：                      受托人（签字）：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法定代表人（负责人）（签字）：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   年   月   日 </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(受托人身份证原件扫描件附后)</w:t>
      </w:r>
      <w:r/>
    </w:p>
    <w:p>
      <w:pPr>
        <w:ind w:firstLine="560"/>
        <w:jc w:val="center"/>
        <w:spacing w:line="38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center"/>
        <w:spacing w:line="38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6.中小企业声明函</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rPr>
          <w:rFonts w:hint="eastAsia" w:ascii="仿宋" w:hAnsi="仿宋" w:eastAsia="仿宋" w:cs="仿宋"/>
          <w:sz w:val="24"/>
          <w:highlight w:val="none"/>
        </w:rPr>
        <w:t xml:space="preserve"> </w:t>
      </w:r>
      <w:r/>
    </w:p>
    <w:p>
      <w:pPr>
        <w:ind w:firstLine="56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6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本公司郑重声明，根据《政府采购促进中小企业发展管理办法》（财库﹝2020﹞46 号）的规定，本公司参加</w:t>
      </w:r>
      <w:r>
        <w:rPr>
          <w:rFonts w:hint="eastAsia" w:ascii="仿宋" w:hAnsi="仿宋" w:eastAsia="仿宋" w:cs="仿宋"/>
          <w:sz w:val="24"/>
          <w:szCs w:val="24"/>
          <w:highlight w:val="none"/>
          <w:u w:val="single"/>
        </w:rPr>
        <w:t xml:space="preserve">（徐州市农业农村局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（2024年度徐州市农产品质量安全监测项目）</w:t>
      </w:r>
      <w:r>
        <w:rPr>
          <w:rFonts w:hint="eastAsia" w:ascii="仿宋" w:hAnsi="仿宋" w:eastAsia="仿宋" w:cs="仿宋"/>
          <w:sz w:val="24"/>
          <w:szCs w:val="24"/>
          <w:highlight w:val="none"/>
        </w:rPr>
        <w:t xml:space="preserve">采购活动，服务全部由符合政策要求的中小企业承接。相关企业的具体情况如下：</w:t>
      </w:r>
      <w:r/>
    </w:p>
    <w:p>
      <w:pPr>
        <w:ind w:firstLine="560"/>
        <w:spacing w:line="480" w:lineRule="exact"/>
        <w:rPr>
          <w:rFonts w:hint="eastAsia" w:ascii="仿宋" w:hAnsi="仿宋" w:eastAsia="仿宋" w:cs="仿宋"/>
          <w:b/>
          <w:spacing w:val="6"/>
          <w:sz w:val="24"/>
          <w:szCs w:val="24"/>
          <w:highlight w:val="none"/>
        </w:rPr>
      </w:pPr>
      <w:r>
        <w:rPr>
          <w:rFonts w:hint="eastAsia" w:ascii="仿宋" w:hAnsi="仿宋" w:eastAsia="仿宋" w:cs="仿宋"/>
          <w:sz w:val="24"/>
          <w:szCs w:val="24"/>
          <w:highlight w:val="none"/>
        </w:rPr>
        <w:t xml:space="preserve">本项目</w:t>
      </w:r>
      <w:r>
        <w:rPr>
          <w:rFonts w:hint="eastAsia" w:ascii="仿宋" w:hAnsi="仿宋" w:eastAsia="仿宋" w:cs="仿宋"/>
          <w:sz w:val="24"/>
          <w:szCs w:val="24"/>
          <w:highlight w:val="none"/>
          <w:u w:val="single"/>
        </w:rPr>
        <w:t xml:space="preserve">（2024年度徐州市农产品质量安全监测项目）</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（其他未列明行业）</w:t>
      </w:r>
      <w:r>
        <w:rPr>
          <w:rFonts w:hint="eastAsia" w:ascii="仿宋" w:hAnsi="仿宋" w:eastAsia="仿宋" w:cs="仿宋"/>
          <w:sz w:val="24"/>
          <w:szCs w:val="24"/>
          <w:highlight w:val="none"/>
        </w:rPr>
        <w:t xml:space="preserve">； 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w:t>
      </w:r>
      <w:r>
        <w:rPr>
          <w:rFonts w:hint="eastAsia" w:ascii="仿宋" w:hAnsi="仿宋" w:eastAsia="仿宋" w:cs="仿宋"/>
          <w:b/>
          <w:sz w:val="24"/>
          <w:szCs w:val="24"/>
          <w:highlight w:val="none"/>
        </w:rPr>
        <w:t xml:space="preserve">属于（□中型企业、□小型企业、□微型企业，请勾选！）；</w:t>
      </w:r>
      <w:r/>
    </w:p>
    <w:p>
      <w:pPr>
        <w:ind w:firstLine="560"/>
        <w:spacing w:line="480" w:lineRule="exact"/>
        <w:rPr>
          <w:rFonts w:hint="eastAsia" w:ascii="仿宋" w:hAnsi="仿宋" w:eastAsia="仿宋" w:cs="仿宋"/>
          <w:spacing w:val="6"/>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仿宋" w:hAnsi="仿宋" w:eastAsia="仿宋" w:cs="仿宋"/>
          <w:spacing w:val="6"/>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6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注：本项目采购的服务属于</w:t>
      </w:r>
      <w:r>
        <w:rPr>
          <w:rFonts w:hint="eastAsia" w:ascii="仿宋" w:hAnsi="仿宋" w:eastAsia="仿宋" w:cs="仿宋"/>
          <w:sz w:val="24"/>
          <w:szCs w:val="24"/>
          <w:highlight w:val="none"/>
          <w:u w:val="single"/>
        </w:rPr>
        <w:t xml:space="preserve">其他未列明行业</w:t>
      </w:r>
      <w:r>
        <w:rPr>
          <w:rFonts w:hint="eastAsia" w:ascii="仿宋" w:hAnsi="仿宋" w:eastAsia="仿宋" w:cs="仿宋"/>
          <w:sz w:val="24"/>
          <w:szCs w:val="24"/>
          <w:highlight w:val="none"/>
        </w:rPr>
        <w:t xml:space="preserve">。</w:t>
      </w:r>
      <w:r/>
    </w:p>
    <w:p>
      <w:pPr>
        <w:ind w:firstLine="560"/>
        <w:jc w:val="righ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企业名称（电子签章）：</w:t>
      </w:r>
      <w:r/>
    </w:p>
    <w:p>
      <w:pPr>
        <w:ind w:firstLine="560"/>
        <w:jc w:val="righ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w:t>
      </w:r>
      <w:r/>
    </w:p>
    <w:p>
      <w:pPr>
        <w:pStyle w:val="1202"/>
        <w:ind w:right="480" w:firstLine="3240"/>
        <w:rPr>
          <w:rFonts w:ascii="仿宋" w:hAnsi="仿宋" w:eastAsia="仿宋" w:cs="仿宋"/>
          <w:sz w:val="24"/>
          <w:highlight w:val="none"/>
        </w:rPr>
      </w:pPr>
      <w:r>
        <w:rPr>
          <w:rFonts w:ascii="仿宋" w:hAnsi="仿宋" w:eastAsia="仿宋" w:cs="仿宋"/>
          <w:sz w:val="24"/>
          <w:highlight w:val="none"/>
        </w:rPr>
      </w:r>
      <w:r/>
    </w:p>
    <w:p>
      <w:pPr>
        <w:pStyle w:val="1202"/>
        <w:ind w:left="0"/>
        <w:rPr>
          <w:rFonts w:ascii="仿宋" w:hAnsi="仿宋" w:eastAsia="仿宋" w:cs="仿宋"/>
          <w:sz w:val="24"/>
          <w:highlight w:val="none"/>
        </w:rPr>
      </w:pPr>
      <w:r>
        <w:rPr>
          <w:rFonts w:ascii="仿宋" w:hAnsi="仿宋" w:eastAsia="仿宋" w:cs="仿宋"/>
          <w:sz w:val="24"/>
          <w:highlight w:val="none"/>
        </w:rPr>
      </w:r>
      <w:r/>
    </w:p>
    <w:p>
      <w:pPr>
        <w:pStyle w:val="1223"/>
        <w:spacing w:line="52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备注：1.从业人员、营业收入、资产总额填报上一年度数据，无上一年度数据的新成立企业可不填报。</w:t>
      </w:r>
      <w:r/>
    </w:p>
    <w:p>
      <w:pPr>
        <w:pStyle w:val="1223"/>
        <w:spacing w:line="520" w:lineRule="exact"/>
        <w:widowControl/>
        <w:rPr>
          <w:rFonts w:ascii="仿宋" w:hAnsi="仿宋" w:eastAsia="仿宋" w:cs="仿宋"/>
          <w:sz w:val="28"/>
          <w:szCs w:val="28"/>
          <w:highlight w:val="none"/>
        </w:rPr>
      </w:pPr>
      <w:r>
        <w:rPr>
          <w:rFonts w:hint="eastAsia" w:ascii="仿宋" w:hAnsi="仿宋" w:eastAsia="仿宋" w:cs="仿宋"/>
          <w:b/>
          <w:bCs/>
          <w:sz w:val="24"/>
          <w:highlight w:val="none"/>
        </w:rPr>
        <w:t xml:space="preserve">2.《中小企业声明函》查询渠道参考工业和信息化部发布的中小企业规模自测小程序。</w:t>
      </w:r>
      <w:r/>
    </w:p>
    <w:p>
      <w:pPr>
        <w:pStyle w:val="1223"/>
        <w:jc w:val="center"/>
        <w:rPr>
          <w:rFonts w:ascii="宋体" w:hAnsi="宋体" w:cs="宋体"/>
          <w:sz w:val="28"/>
          <w:szCs w:val="28"/>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4015740" cy="6120765"/>
                <wp:effectExtent l="0" t="0" r="3810" b="13335"/>
                <wp:docPr id="12" name="图片 3"/>
                <wp:cNvGraphicFramePr/>
                <a:graphic xmlns:a="http://schemas.openxmlformats.org/drawingml/2006/main">
                  <a:graphicData uri="http://schemas.openxmlformats.org/drawingml/2006/picture">
                    <pic:pic xmlns:pic="http://schemas.openxmlformats.org/drawingml/2006/picture">
                      <pic:nvPicPr>
                        <pic:cNvPr id="1" name="图片 3"/>
                        <pic:cNvPicPr/>
                        <pic:nvPr/>
                      </pic:nvPicPr>
                      <pic:blipFill>
                        <a:blip r:embed="rId21"/>
                        <a:stretch/>
                      </pic:blipFill>
                      <pic:spPr bwMode="auto">
                        <a:xfrm>
                          <a:off x="0" y="0"/>
                          <a:ext cx="4015740" cy="6120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16.2pt;height:481.9pt;mso-wrap-distance-left:0.0pt;mso-wrap-distance-top:0.0pt;mso-wrap-distance-right:0.0pt;mso-wrap-distance-bottom:0.0pt;" stroked="f">
                <v:path textboxrect="0,0,0,0"/>
                <v:imagedata r:id="rId21" o:title=""/>
              </v:shape>
            </w:pict>
          </mc:Fallback>
        </mc:AlternateContent>
      </w:r>
      <w:r/>
    </w:p>
    <w:p>
      <w:pPr>
        <w:pStyle w:val="1235"/>
        <w:jc w:val="both"/>
        <w:spacing w:before="0" w:beforeAutospacing="0" w:after="0" w:afterAutospacing="0"/>
        <w:shd w:val="clear" w:color="auto" w:fill="ffffff"/>
        <w:rPr>
          <w:rFonts w:cs="宋体"/>
          <w:highlight w:val="none"/>
        </w:rPr>
      </w:pPr>
      <w:r>
        <w:rPr>
          <w:rFonts w:cs="宋体"/>
          <w:highlight w:val="none"/>
        </w:rPr>
      </w:r>
      <w:r/>
    </w:p>
    <w:p>
      <w:pPr>
        <w:pStyle w:val="1235"/>
        <w:jc w:val="both"/>
        <w:spacing w:before="0" w:beforeAutospacing="0" w:after="0" w:afterAutospacing="0"/>
        <w:shd w:val="clear" w:color="auto" w:fill="ffffff"/>
        <w:rPr>
          <w:rFonts w:cs="宋体"/>
          <w:highlight w:val="none"/>
        </w:rPr>
      </w:pPr>
      <w:r>
        <w:rPr>
          <w:rFonts w:cs="宋体"/>
          <w:highlight w:val="none"/>
        </w:rPr>
      </w:r>
      <w:r/>
    </w:p>
    <w:p>
      <w:pPr>
        <w:pStyle w:val="1235"/>
        <w:jc w:val="both"/>
        <w:spacing w:before="0" w:beforeAutospacing="0" w:after="0" w:afterAutospacing="0"/>
        <w:shd w:val="clear" w:color="auto" w:fill="ffffff"/>
        <w:rPr>
          <w:rFonts w:cs="宋体"/>
          <w:highlight w:val="none"/>
        </w:rPr>
      </w:pPr>
      <w:r>
        <w:rPr>
          <w:rFonts w:cs="宋体"/>
          <w:highlight w:val="none"/>
        </w:rPr>
      </w:r>
      <w:r/>
    </w:p>
    <w:p>
      <w:pPr>
        <w:pStyle w:val="1235"/>
        <w:jc w:val="both"/>
        <w:spacing w:before="0" w:beforeAutospacing="0" w:after="0" w:afterAutospacing="0"/>
        <w:shd w:val="clear" w:color="auto" w:fill="ffffff"/>
        <w:rPr>
          <w:rFonts w:ascii="仿宋" w:hAnsi="仿宋" w:eastAsia="仿宋" w:cs="仿宋"/>
          <w:highlight w:val="none"/>
        </w:rPr>
      </w:pPr>
      <w:r>
        <w:rPr>
          <w:rFonts w:hint="eastAsia" w:ascii="仿宋" w:hAnsi="仿宋" w:eastAsia="仿宋" w:cs="仿宋"/>
          <w:highlight w:val="none"/>
        </w:rPr>
        <w:t xml:space="preserve">为方便中小企业和社会各界使用自测结果，小程序增加自测结果打印功能，测试者可按照小程序填写测试企业有关信息并完成自测后，保存自测结果自行打印。</w:t>
      </w:r>
      <w:r/>
    </w:p>
    <w:p>
      <w:pPr>
        <w:pStyle w:val="1235"/>
        <w:jc w:val="both"/>
        <w:spacing w:before="0" w:beforeAutospacing="0" w:after="0" w:afterAutospacing="0"/>
        <w:shd w:val="clear" w:color="auto" w:fill="ffffff"/>
        <w:rPr>
          <w:rFonts w:ascii="仿宋" w:hAnsi="仿宋" w:eastAsia="仿宋" w:cs="仿宋"/>
          <w:highlight w:val="none"/>
        </w:rPr>
      </w:pPr>
      <w:r>
        <w:rPr>
          <w:rFonts w:hint="eastAsia" w:ascii="仿宋" w:hAnsi="仿宋" w:eastAsia="仿宋" w:cs="仿宋"/>
          <w:highlight w:val="none"/>
        </w:rPr>
        <w:t xml:space="preserve">如有疑问，可与市工信局中小企业综合协调处咨询联系。联系电话：0516-83861958。</w:t>
      </w:r>
      <w:r/>
    </w:p>
    <w:p>
      <w:pPr>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7. 投标人参加政府采购活动前3年内在经营活动中没有重大违法记录的书面声明</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我单位在参加（</w:t>
      </w:r>
      <w:r>
        <w:rPr>
          <w:rFonts w:hint="eastAsia" w:ascii="仿宋" w:hAnsi="仿宋" w:eastAsia="仿宋" w:cs="仿宋"/>
          <w:sz w:val="24"/>
          <w:highlight w:val="none"/>
          <w:lang w:eastAsia="zh-CN"/>
        </w:rPr>
        <w:t xml:space="preserve">2024年度徐州市农产品质量安全监测项目</w:t>
      </w:r>
      <w:r>
        <w:rPr>
          <w:rFonts w:hint="eastAsia" w:ascii="仿宋" w:hAnsi="仿宋" w:eastAsia="仿宋" w:cs="仿宋"/>
          <w:sz w:val="24"/>
          <w:highlight w:val="none"/>
        </w:rPr>
        <w:t xml:space="preserve">）项目（项目编号：</w:t>
      </w:r>
      <w:r>
        <w:rPr>
          <w:rFonts w:hint="eastAsia" w:ascii="仿宋" w:hAnsi="仿宋" w:eastAsia="仿宋" w:cs="仿宋"/>
          <w:sz w:val="24"/>
          <w:highlight w:val="none"/>
          <w:lang w:eastAsia="zh-CN"/>
        </w:rPr>
        <w:t xml:space="preserve">JSZC-320300-DXLD-G2024-0006</w:t>
      </w:r>
      <w:r>
        <w:rPr>
          <w:rFonts w:hint="eastAsia" w:ascii="仿宋" w:hAnsi="仿宋" w:eastAsia="仿宋" w:cs="仿宋"/>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pStyle w:val="1210"/>
        <w:ind w:firstLine="480"/>
        <w:rPr>
          <w:rFonts w:ascii="仿宋" w:hAnsi="仿宋" w:eastAsia="仿宋" w:cs="仿宋"/>
          <w:highlight w:val="none"/>
        </w:rPr>
      </w:pPr>
      <w:r>
        <w:rPr>
          <w:rFonts w:hint="eastAsia" w:ascii="仿宋" w:hAnsi="仿宋" w:eastAsia="仿宋" w:cs="仿宋"/>
          <w:highlight w:val="none"/>
        </w:rPr>
        <w:t xml:space="preserve">我单位对上述声明的真实性负责。如有虚假，将依法承担相应责任。</w:t>
      </w:r>
      <w:r/>
    </w:p>
    <w:p>
      <w:pPr>
        <w:ind w:firstLine="700"/>
        <w:spacing w:line="360" w:lineRule="auto"/>
        <w:rPr>
          <w:rFonts w:ascii="仿宋" w:hAnsi="仿宋" w:eastAsia="仿宋" w:cs="仿宋"/>
          <w:sz w:val="24"/>
          <w:highlight w:val="none"/>
        </w:rPr>
      </w:pPr>
      <w:r>
        <w:rPr>
          <w:rFonts w:ascii="仿宋" w:hAnsi="仿宋" w:eastAsia="仿宋" w:cs="仿宋"/>
          <w:sz w:val="24"/>
          <w:highlight w:val="none"/>
        </w:rPr>
      </w:r>
      <w:r/>
    </w:p>
    <w:p>
      <w:pPr>
        <w:spacing w:line="360" w:lineRule="auto"/>
        <w:rPr>
          <w:rFonts w:ascii="仿宋" w:hAnsi="仿宋" w:eastAsia="仿宋" w:cs="仿宋"/>
          <w:sz w:val="24"/>
          <w:highlight w:val="none"/>
        </w:rPr>
      </w:pPr>
      <w:r>
        <w:rPr>
          <w:rFonts w:ascii="仿宋" w:hAnsi="仿宋" w:eastAsia="仿宋" w:cs="仿宋"/>
          <w:sz w:val="24"/>
          <w:highlight w:val="none"/>
        </w:rPr>
      </w:r>
      <w:r/>
    </w:p>
    <w:p>
      <w:pPr>
        <w:spacing w:line="360" w:lineRule="auto"/>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ind w:firstLine="3990"/>
        <w:spacing w:line="360" w:lineRule="auto"/>
        <w:rPr>
          <w:rFonts w:ascii="仿宋" w:hAnsi="仿宋" w:eastAsia="仿宋" w:cs="仿宋"/>
          <w:sz w:val="24"/>
          <w:highlight w:val="none"/>
        </w:rPr>
      </w:pPr>
      <w:r>
        <w:rPr>
          <w:rFonts w:ascii="仿宋" w:hAnsi="仿宋" w:eastAsia="仿宋" w:cs="仿宋"/>
          <w:sz w:val="24"/>
          <w:highlight w:val="none"/>
        </w:rPr>
      </w:r>
      <w:r/>
    </w:p>
    <w:p>
      <w:pPr>
        <w:ind w:firstLine="3990"/>
        <w:spacing w:line="360" w:lineRule="auto"/>
        <w:rPr>
          <w:rFonts w:ascii="仿宋" w:hAnsi="仿宋" w:eastAsia="仿宋" w:cs="仿宋"/>
          <w:highlight w:val="none"/>
        </w:rPr>
      </w:pPr>
      <w:r>
        <w:rPr>
          <w:rFonts w:ascii="仿宋" w:hAnsi="仿宋" w:eastAsia="仿宋" w:cs="仿宋"/>
          <w:highlight w:val="none"/>
        </w:rPr>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center"/>
        <w:spacing w:line="588" w:lineRule="exact"/>
        <w:rPr>
          <w:rFonts w:ascii="仿宋" w:hAnsi="仿宋" w:eastAsia="仿宋" w:cs="仿宋"/>
          <w:spacing w:val="6"/>
          <w:sz w:val="28"/>
          <w:szCs w:val="28"/>
          <w:highlight w:val="none"/>
        </w:rPr>
      </w:pPr>
      <w:r>
        <w:rPr>
          <w:rFonts w:hint="eastAsia" w:ascii="仿宋" w:hAnsi="仿宋" w:eastAsia="仿宋" w:cs="仿宋"/>
          <w:sz w:val="28"/>
          <w:szCs w:val="28"/>
          <w:highlight w:val="none"/>
        </w:rPr>
        <w:t xml:space="preserve">8.</w:t>
      </w:r>
      <w:bookmarkStart w:id="1" w:name="OLE_LINK14"/>
      <w:r/>
      <w:bookmarkStart w:id="2" w:name="OLE_LINK13"/>
      <w:r>
        <w:rPr>
          <w:rFonts w:hint="eastAsia" w:ascii="仿宋" w:hAnsi="仿宋" w:eastAsia="仿宋" w:cs="仿宋"/>
          <w:spacing w:val="6"/>
          <w:sz w:val="28"/>
          <w:szCs w:val="28"/>
          <w:highlight w:val="none"/>
        </w:rPr>
        <w:t xml:space="preserve"> 残疾人福利性单位声明函</w:t>
      </w:r>
      <w:bookmarkEnd w:id="1"/>
      <w:r/>
      <w:bookmarkEnd w:id="2"/>
      <w:r/>
      <w:r/>
    </w:p>
    <w:p>
      <w:pPr>
        <w:rPr>
          <w:rFonts w:ascii="仿宋" w:hAnsi="仿宋" w:eastAsia="仿宋" w:cs="仿宋"/>
          <w:sz w:val="28"/>
          <w:szCs w:val="28"/>
          <w:highlight w:val="none"/>
        </w:rPr>
      </w:pPr>
      <w:r>
        <w:rPr>
          <w:rFonts w:ascii="仿宋" w:hAnsi="仿宋" w:eastAsia="仿宋" w:cs="仿宋"/>
          <w:sz w:val="28"/>
          <w:szCs w:val="28"/>
          <w:highlight w:val="none"/>
        </w:rPr>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rPr>
          <w:rFonts w:hint="eastAsia" w:ascii="仿宋" w:hAnsi="仿宋" w:eastAsia="仿宋" w:cs="仿宋"/>
          <w:sz w:val="24"/>
          <w:highlight w:val="none"/>
        </w:rPr>
        <w:t xml:space="preserve"> </w:t>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highlight w:val="none"/>
        </w:rPr>
        <w:t xml:space="preserve">〔2017〕 141</w:t>
      </w:r>
      <w:r>
        <w:rPr>
          <w:rFonts w:hint="eastAsia" w:ascii="仿宋" w:hAnsi="仿宋" w:eastAsia="仿宋" w:cs="仿宋"/>
          <w:spacing w:val="6"/>
          <w:sz w:val="24"/>
          <w:highlight w:val="none"/>
        </w:rPr>
        <w:t xml:space="preserve">号）的规定，本单位为符合条件的残疾人福利性单位，且本单位参加的</w:t>
      </w:r>
      <w:r>
        <w:rPr>
          <w:rFonts w:hint="eastAsia" w:ascii="仿宋" w:hAnsi="仿宋" w:eastAsia="仿宋" w:cs="仿宋"/>
          <w:spacing w:val="6"/>
          <w:sz w:val="24"/>
          <w:highlight w:val="none"/>
          <w:u w:val="single"/>
          <w:lang w:eastAsia="zh-CN"/>
        </w:rPr>
        <w:t xml:space="preserve">2024年度徐州市农产品质量安全监测项目</w:t>
      </w:r>
      <w:r>
        <w:rPr>
          <w:rFonts w:hint="eastAsia" w:ascii="仿宋" w:hAnsi="仿宋" w:eastAsia="仿宋" w:cs="仿宋"/>
          <w:spacing w:val="6"/>
          <w:sz w:val="24"/>
          <w:highlight w:val="none"/>
        </w:rPr>
        <w:t xml:space="preserve">采购活动提供服务，或者提供其他残疾人福利性单位制造的货物（不包括使用非残疾人福利性单位注册商标的货物）。</w:t>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本单位对上述声明的真实性负责。如有虚假，将依法承担相应责任。</w:t>
      </w:r>
      <w:r/>
    </w:p>
    <w:p>
      <w:pPr>
        <w:ind w:firstLine="584"/>
        <w:spacing w:line="588" w:lineRule="exact"/>
        <w:rPr>
          <w:rFonts w:ascii="仿宋" w:hAnsi="仿宋" w:eastAsia="仿宋" w:cs="仿宋"/>
          <w:spacing w:val="6"/>
          <w:sz w:val="24"/>
          <w:highlight w:val="none"/>
        </w:rPr>
      </w:pPr>
      <w:r>
        <w:rPr>
          <w:rFonts w:ascii="仿宋" w:hAnsi="仿宋" w:eastAsia="仿宋" w:cs="仿宋"/>
          <w:spacing w:val="6"/>
          <w:sz w:val="24"/>
          <w:highlight w:val="none"/>
        </w:rPr>
      </w:r>
      <w:r/>
    </w:p>
    <w:p>
      <w:pPr>
        <w:ind w:firstLine="584"/>
        <w:spacing w:line="588" w:lineRule="exact"/>
        <w:rPr>
          <w:rFonts w:ascii="仿宋" w:hAnsi="仿宋" w:eastAsia="仿宋" w:cs="仿宋"/>
          <w:spacing w:val="6"/>
          <w:sz w:val="24"/>
          <w:highlight w:val="none"/>
        </w:rPr>
      </w:pPr>
      <w:r>
        <w:rPr>
          <w:rFonts w:ascii="仿宋" w:hAnsi="仿宋" w:eastAsia="仿宋" w:cs="仿宋"/>
          <w:spacing w:val="6"/>
          <w:sz w:val="24"/>
          <w:highlight w:val="none"/>
        </w:rPr>
      </w:r>
      <w:r/>
    </w:p>
    <w:p>
      <w:pPr>
        <w:ind w:right="-58" w:firstLine="504"/>
        <w:jc w:val="center"/>
        <w:spacing w:line="588" w:lineRule="exact"/>
        <w:tabs>
          <w:tab w:val="left" w:pos="4860" w:leader="none"/>
        </w:tabs>
        <w:rPr>
          <w:rFonts w:ascii="仿宋" w:hAnsi="仿宋" w:eastAsia="仿宋" w:cs="仿宋"/>
          <w:spacing w:val="6"/>
          <w:sz w:val="24"/>
          <w:highlight w:val="none"/>
        </w:rPr>
      </w:pPr>
      <w:r>
        <w:rPr>
          <w:rFonts w:hint="eastAsia" w:ascii="仿宋" w:hAnsi="仿宋" w:eastAsia="仿宋" w:cs="仿宋"/>
          <w:spacing w:val="6"/>
          <w:sz w:val="24"/>
          <w:highlight w:val="none"/>
        </w:rPr>
        <w:t xml:space="preserve">                  单位名称</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（电子签章）：</w:t>
      </w:r>
      <w:r/>
    </w:p>
    <w:p>
      <w:pPr>
        <w:ind w:right="1560" w:firstLine="504"/>
        <w:jc w:val="center"/>
        <w:spacing w:line="588" w:lineRule="exact"/>
        <w:tabs>
          <w:tab w:val="left" w:pos="4860" w:leader="none"/>
        </w:tabs>
        <w:rPr>
          <w:rFonts w:ascii="仿宋" w:hAnsi="仿宋" w:eastAsia="仿宋" w:cs="仿宋"/>
          <w:spacing w:val="6"/>
          <w:sz w:val="24"/>
          <w:highlight w:val="none"/>
        </w:rPr>
      </w:pPr>
      <w:r>
        <w:rPr>
          <w:rFonts w:hint="eastAsia" w:ascii="仿宋" w:hAnsi="仿宋" w:eastAsia="仿宋" w:cs="仿宋"/>
          <w:spacing w:val="6"/>
          <w:sz w:val="24"/>
          <w:highlight w:val="none"/>
        </w:rPr>
        <w:t xml:space="preserve">       日  期：</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说明：</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供应商提供的《残疾人福利性单位声明函》与事实不符的，依照《政府采购法》第七十七条第一款的规定追究法律责任。</w:t>
      </w:r>
      <w:r/>
    </w:p>
    <w:p>
      <w:pPr>
        <w:ind w:firstLine="480"/>
        <w:rPr>
          <w:rFonts w:ascii="仿宋" w:hAnsi="仿宋" w:eastAsia="仿宋" w:cs="仿宋"/>
          <w:sz w:val="24"/>
          <w:highlight w:val="none"/>
        </w:rPr>
      </w:pPr>
      <w:r>
        <w:rPr>
          <w:rFonts w:hint="eastAsia" w:ascii="仿宋" w:hAnsi="仿宋" w:eastAsia="仿宋" w:cs="仿宋"/>
          <w:sz w:val="24"/>
          <w:highlight w:val="none"/>
        </w:rPr>
        <w:br w:type="page" w:clear="all"/>
      </w:r>
      <w:r/>
    </w:p>
    <w:p>
      <w:pPr>
        <w:ind w:firstLine="560"/>
        <w:jc w:val="center"/>
        <w:rPr>
          <w:rFonts w:ascii="仿宋" w:hAnsi="仿宋" w:eastAsia="仿宋" w:cs="仿宋"/>
          <w:bCs/>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bCs/>
          <w:sz w:val="28"/>
          <w:szCs w:val="28"/>
          <w:highlight w:val="none"/>
        </w:rPr>
        <w:t xml:space="preserve"> 具备履行合同所必需的设备和专业技术能力的书面声明</w:t>
      </w:r>
      <w:r/>
    </w:p>
    <w:p>
      <w:pPr>
        <w:ind w:firstLine="560"/>
        <w:jc w:val="center"/>
        <w:rPr>
          <w:rFonts w:ascii="仿宋" w:hAnsi="仿宋" w:eastAsia="仿宋" w:cs="仿宋"/>
          <w:sz w:val="28"/>
          <w:szCs w:val="28"/>
          <w:highlight w:val="none"/>
        </w:rPr>
      </w:pPr>
      <w:r>
        <w:rPr>
          <w:rFonts w:hint="eastAsia" w:ascii="仿宋" w:hAnsi="仿宋" w:eastAsia="仿宋" w:cs="仿宋"/>
          <w:bCs/>
          <w:sz w:val="28"/>
          <w:szCs w:val="28"/>
          <w:highlight w:val="none"/>
        </w:rPr>
        <w:t xml:space="preserve">（附证明材料</w:t>
      </w:r>
      <w:r>
        <w:rPr>
          <w:rFonts w:hint="eastAsia" w:ascii="仿宋" w:hAnsi="仿宋" w:eastAsia="仿宋" w:cs="仿宋"/>
          <w:sz w:val="28"/>
          <w:szCs w:val="28"/>
          <w:highlight w:val="none"/>
        </w:rPr>
        <w:t xml:space="preserve">原件的扫描件</w:t>
      </w:r>
      <w:r>
        <w:rPr>
          <w:rFonts w:hint="eastAsia" w:ascii="仿宋" w:hAnsi="仿宋" w:eastAsia="仿宋" w:cs="仿宋"/>
          <w:bCs/>
          <w:sz w:val="28"/>
          <w:szCs w:val="28"/>
          <w:highlight w:val="none"/>
        </w:rPr>
        <w:t xml:space="preserve">）</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rPr>
          <w:rFonts w:hint="eastAsia" w:ascii="仿宋" w:hAnsi="仿宋" w:eastAsia="仿宋" w:cs="仿宋"/>
          <w:sz w:val="24"/>
          <w:highlight w:val="none"/>
        </w:rPr>
        <w:t xml:space="preserve"> </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投标人郑重声明：投标人具备履行合同（项目名称：</w:t>
      </w:r>
      <w:r>
        <w:rPr>
          <w:rFonts w:hint="eastAsia" w:ascii="仿宋" w:hAnsi="仿宋" w:eastAsia="仿宋" w:cs="仿宋"/>
          <w:sz w:val="24"/>
          <w:highlight w:val="none"/>
          <w:lang w:eastAsia="zh-CN"/>
        </w:rPr>
        <w:t xml:space="preserve">2024年度徐州市农产品质量安全监测项目</w:t>
      </w:r>
      <w:r>
        <w:rPr>
          <w:rFonts w:hint="eastAsia" w:ascii="仿宋" w:hAnsi="仿宋" w:eastAsia="仿宋" w:cs="仿宋"/>
          <w:sz w:val="24"/>
          <w:highlight w:val="none"/>
        </w:rPr>
        <w:t xml:space="preserve">，项目编号：）所必需的设备和专业技术能力，具体为：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设备：</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专业技术能力：</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投标人对上述声明的真实性负责。如有虚假，将依法承担相应责任。</w:t>
      </w:r>
      <w:r/>
    </w:p>
    <w:p>
      <w:pPr>
        <w:rPr>
          <w:rFonts w:ascii="仿宋" w:hAnsi="仿宋" w:eastAsia="仿宋" w:cs="仿宋"/>
          <w:sz w:val="24"/>
          <w:highlight w:val="none"/>
        </w:rPr>
      </w:pPr>
      <w:r>
        <w:rPr>
          <w:rFonts w:ascii="仿宋" w:hAnsi="仿宋" w:eastAsia="仿宋" w:cs="仿宋"/>
          <w:sz w:val="24"/>
          <w:highlight w:val="none"/>
        </w:rPr>
      </w:r>
      <w:r/>
    </w:p>
    <w:p>
      <w:pPr>
        <w:ind w:firstLine="3000"/>
        <w:spacing w:line="300" w:lineRule="auto"/>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 </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pStyle w:val="1203"/>
        <w:rPr>
          <w:rFonts w:ascii="仿宋" w:hAnsi="仿宋" w:cs="仿宋"/>
          <w:sz w:val="30"/>
          <w:szCs w:val="30"/>
          <w:highlight w:val="none"/>
        </w:rPr>
      </w:pPr>
      <w:r>
        <w:rPr>
          <w:rFonts w:ascii="仿宋" w:hAnsi="仿宋" w:cs="仿宋"/>
          <w:sz w:val="30"/>
          <w:szCs w:val="30"/>
          <w:highlight w:val="none"/>
        </w:rPr>
      </w:r>
      <w:r/>
    </w:p>
    <w:p>
      <w:pPr>
        <w:pStyle w:val="1203"/>
        <w:rPr>
          <w:rFonts w:ascii="仿宋" w:hAnsi="仿宋" w:cs="仿宋"/>
          <w:sz w:val="30"/>
          <w:szCs w:val="30"/>
          <w:highlight w:val="none"/>
        </w:rPr>
      </w:pPr>
      <w:r>
        <w:rPr>
          <w:rFonts w:ascii="仿宋" w:hAnsi="仿宋" w:cs="仿宋"/>
          <w:sz w:val="30"/>
          <w:szCs w:val="30"/>
          <w:highlight w:val="none"/>
        </w:rPr>
      </w:r>
      <w:r/>
    </w:p>
    <w:p>
      <w:pPr>
        <w:pStyle w:val="1203"/>
        <w:rPr>
          <w:rFonts w:ascii="仿宋" w:hAnsi="仿宋" w:cs="仿宋"/>
          <w:sz w:val="30"/>
          <w:szCs w:val="30"/>
          <w:highlight w:val="none"/>
        </w:rPr>
      </w:pPr>
      <w:r>
        <w:rPr>
          <w:rFonts w:ascii="仿宋" w:hAnsi="仿宋" w:cs="仿宋"/>
          <w:sz w:val="30"/>
          <w:szCs w:val="30"/>
          <w:highlight w:val="none"/>
        </w:rPr>
      </w:r>
      <w:r/>
    </w:p>
    <w:p>
      <w:pPr>
        <w:pStyle w:val="1203"/>
        <w:rPr>
          <w:rFonts w:ascii="仿宋" w:hAnsi="仿宋" w:cs="仿宋"/>
          <w:sz w:val="30"/>
          <w:szCs w:val="30"/>
          <w:highlight w:val="none"/>
        </w:rPr>
      </w:pPr>
      <w:r>
        <w:rPr>
          <w:rFonts w:ascii="仿宋" w:hAnsi="仿宋" w:cs="仿宋"/>
          <w:sz w:val="30"/>
          <w:szCs w:val="30"/>
          <w:highlight w:val="none"/>
        </w:rPr>
      </w:r>
      <w:r/>
    </w:p>
    <w:p>
      <w:pPr>
        <w:pStyle w:val="1203"/>
        <w:rPr>
          <w:rFonts w:ascii="仿宋" w:hAnsi="仿宋" w:cs="仿宋"/>
          <w:sz w:val="30"/>
          <w:szCs w:val="30"/>
          <w:highlight w:val="none"/>
        </w:rPr>
      </w:pPr>
      <w:r>
        <w:rPr>
          <w:rFonts w:ascii="仿宋" w:hAnsi="仿宋" w:cs="仿宋"/>
          <w:sz w:val="30"/>
          <w:szCs w:val="30"/>
          <w:highlight w:val="none"/>
        </w:rPr>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br w:type="page" w:clear="all"/>
      </w:r>
      <w:r/>
    </w:p>
    <w:p>
      <w:pPr>
        <w:ind w:firstLine="560"/>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10.投标人相关承诺</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p>
    <w:p>
      <w:pPr>
        <w:spacing w:line="588" w:lineRule="exact"/>
        <w:rPr>
          <w:rFonts w:ascii="仿宋" w:hAnsi="仿宋" w:eastAsia="仿宋" w:cs="仿宋"/>
          <w:spacing w:val="6"/>
          <w:sz w:val="24"/>
          <w:highlight w:val="none"/>
        </w:rPr>
      </w:pPr>
      <w:r>
        <w:rPr>
          <w:rFonts w:ascii="仿宋" w:hAnsi="仿宋" w:eastAsia="仿宋" w:cs="仿宋"/>
          <w:spacing w:val="6"/>
          <w:sz w:val="24"/>
          <w:highlight w:val="none"/>
        </w:rPr>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我单位承诺：</w:t>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s="仿宋"/>
          <w:spacing w:val="6"/>
          <w:sz w:val="24"/>
          <w:highlight w:val="none"/>
        </w:rPr>
      </w:pPr>
      <w:r>
        <w:rPr>
          <w:rFonts w:ascii="仿宋" w:hAnsi="仿宋" w:eastAsia="仿宋" w:cs="仿宋"/>
          <w:spacing w:val="6"/>
          <w:sz w:val="24"/>
          <w:highlight w:val="none"/>
        </w:rPr>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我单位对上述承诺负责，并依法承担相应责任。</w:t>
      </w:r>
      <w:r/>
    </w:p>
    <w:p>
      <w:pPr>
        <w:rPr>
          <w:rFonts w:ascii="仿宋" w:hAnsi="仿宋" w:eastAsia="仿宋" w:cs="仿宋"/>
          <w:sz w:val="24"/>
          <w:highlight w:val="none"/>
        </w:rPr>
      </w:pPr>
      <w:r>
        <w:rPr>
          <w:rFonts w:ascii="仿宋" w:hAnsi="仿宋" w:eastAsia="仿宋" w:cs="仿宋"/>
          <w:sz w:val="24"/>
          <w:highlight w:val="none"/>
        </w:rPr>
      </w:r>
      <w:r/>
    </w:p>
    <w:p>
      <w:pPr>
        <w:ind w:firstLine="3000"/>
        <w:spacing w:line="300" w:lineRule="auto"/>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 </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ind w:firstLine="70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560"/>
        <w:jc w:val="center"/>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11.投标人书面声明</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2024年度徐州市农产品质量安全监测项目</w:t>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JSZC-320300-DXLD-G2024-0006</w:t>
      </w:r>
      <w:r/>
    </w:p>
    <w:p>
      <w:pPr>
        <w:ind w:firstLine="480"/>
        <w:jc w:val="left"/>
        <w:widowControl/>
        <w:rPr>
          <w:rFonts w:ascii="仿宋" w:hAnsi="仿宋" w:eastAsia="仿宋" w:cs="仿宋"/>
          <w:sz w:val="24"/>
          <w:highlight w:val="none"/>
        </w:rPr>
      </w:pPr>
      <w:r>
        <w:rPr>
          <w:rFonts w:ascii="仿宋" w:hAnsi="仿宋" w:eastAsia="仿宋" w:cs="仿宋"/>
          <w:sz w:val="24"/>
          <w:highlight w:val="none"/>
        </w:rPr>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我单位不是为本采购项目提供整体设计、规范编制或者项目管理、监理、检测等服务的供应商。</w:t>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特此声明。</w:t>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我单位对上述声明的真实性负责。如有虚假，将依法承担相应责任。</w:t>
      </w:r>
      <w:r/>
    </w:p>
    <w:p>
      <w:pPr>
        <w:rPr>
          <w:rFonts w:ascii="仿宋" w:hAnsi="仿宋" w:eastAsia="仿宋" w:cs="仿宋"/>
          <w:sz w:val="24"/>
          <w:highlight w:val="none"/>
        </w:rPr>
      </w:pPr>
      <w:r>
        <w:rPr>
          <w:rFonts w:ascii="仿宋" w:hAnsi="仿宋" w:eastAsia="仿宋" w:cs="仿宋"/>
          <w:sz w:val="24"/>
          <w:highlight w:val="none"/>
        </w:rPr>
      </w:r>
      <w:r/>
    </w:p>
    <w:p>
      <w:pPr>
        <w:ind w:firstLine="3000"/>
        <w:spacing w:line="300" w:lineRule="auto"/>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pStyle w:val="1212"/>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 </w:t>
      </w:r>
      <w:r/>
    </w:p>
    <w:p>
      <w:pPr>
        <w:pStyle w:val="1203"/>
        <w:ind w:firstLine="480"/>
        <w:rPr>
          <w:rFonts w:ascii="仿宋" w:hAnsi="仿宋" w:cs="仿宋"/>
          <w:sz w:val="24"/>
          <w:szCs w:val="24"/>
          <w:highlight w:val="none"/>
        </w:rPr>
      </w:pPr>
      <w:r>
        <w:rPr>
          <w:rFonts w:hint="eastAsia" w:ascii="仿宋" w:hAnsi="仿宋" w:cs="仿宋"/>
          <w:sz w:val="24"/>
          <w:szCs w:val="24"/>
          <w:highlight w:val="none"/>
        </w:rPr>
        <w:t xml:space="preserve">日期：   年  月  日</w:t>
      </w:r>
      <w:r/>
    </w:p>
    <w:p>
      <w:pPr>
        <w:pStyle w:val="1203"/>
        <w:rPr>
          <w:rFonts w:ascii="仿宋" w:hAnsi="仿宋" w:cs="仿宋"/>
          <w:sz w:val="24"/>
          <w:szCs w:val="24"/>
          <w:highlight w:val="none"/>
        </w:rPr>
      </w:pPr>
      <w:r>
        <w:rPr>
          <w:rFonts w:ascii="仿宋" w:hAnsi="仿宋" w:cs="仿宋"/>
          <w:sz w:val="24"/>
          <w:szCs w:val="24"/>
          <w:highlight w:val="none"/>
        </w:rPr>
      </w:r>
      <w:r/>
    </w:p>
    <w:p>
      <w:pPr>
        <w:pStyle w:val="1208"/>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ascii="仿宋" w:hAnsi="仿宋" w:eastAsia="仿宋" w:cs="仿宋"/>
          <w:highlight w:val="none"/>
        </w:rPr>
      </w:r>
      <w:r/>
    </w:p>
    <w:p>
      <w:pPr>
        <w:pStyle w:val="1201"/>
        <w:rPr>
          <w:rFonts w:ascii="仿宋" w:hAnsi="仿宋" w:eastAsia="仿宋" w:cs="仿宋"/>
          <w:highlight w:val="none"/>
        </w:rPr>
      </w:pPr>
      <w:r>
        <w:rPr>
          <w:rFonts w:ascii="仿宋" w:hAnsi="仿宋" w:eastAsia="仿宋" w:cs="仿宋"/>
          <w:highlight w:val="none"/>
        </w:rPr>
      </w:r>
      <w:r/>
    </w:p>
    <w:p>
      <w:pPr>
        <w:pStyle w:val="1209"/>
        <w:rPr>
          <w:rFonts w:ascii="仿宋" w:hAnsi="仿宋" w:eastAsia="仿宋" w:cs="仿宋"/>
          <w:highlight w:val="none"/>
        </w:rPr>
      </w:pPr>
      <w:r>
        <w:rPr>
          <w:rFonts w:ascii="仿宋" w:hAnsi="仿宋" w:eastAsia="仿宋" w:cs="仿宋"/>
          <w:highlight w:val="none"/>
        </w:rPr>
      </w:r>
      <w:r/>
    </w:p>
    <w:p>
      <w:pPr>
        <w:pStyle w:val="1201"/>
        <w:rPr>
          <w:rFonts w:ascii="仿宋" w:hAnsi="仿宋" w:eastAsia="仿宋" w:cs="仿宋"/>
          <w:highlight w:val="none"/>
        </w:rPr>
      </w:pPr>
      <w:r>
        <w:rPr>
          <w:rFonts w:ascii="仿宋" w:hAnsi="仿宋" w:eastAsia="仿宋" w:cs="仿宋"/>
          <w:highlight w:val="none"/>
        </w:rPr>
      </w:r>
      <w:r/>
    </w:p>
    <w:p>
      <w:pPr>
        <w:pStyle w:val="1209"/>
        <w:rPr>
          <w:rFonts w:ascii="仿宋" w:hAnsi="仿宋" w:eastAsia="仿宋" w:cs="仿宋"/>
          <w:highlight w:val="none"/>
        </w:rPr>
      </w:pPr>
      <w:r>
        <w:rPr>
          <w:rFonts w:ascii="仿宋" w:hAnsi="仿宋" w:eastAsia="仿宋" w:cs="仿宋"/>
          <w:highlight w:val="none"/>
        </w:rPr>
      </w:r>
      <w:r/>
    </w:p>
    <w:p>
      <w:pPr>
        <w:pStyle w:val="1201"/>
        <w:rPr>
          <w:rFonts w:ascii="仿宋" w:hAnsi="仿宋" w:eastAsia="仿宋" w:cs="仿宋"/>
          <w:highlight w:val="none"/>
        </w:rPr>
      </w:pPr>
      <w:r>
        <w:rPr>
          <w:rFonts w:ascii="仿宋" w:hAnsi="仿宋" w:eastAsia="仿宋" w:cs="仿宋"/>
          <w:highlight w:val="none"/>
        </w:rPr>
      </w:r>
      <w:r/>
    </w:p>
    <w:p>
      <w:pPr>
        <w:pStyle w:val="1209"/>
        <w:rPr>
          <w:rFonts w:ascii="仿宋" w:hAnsi="仿宋" w:eastAsia="仿宋" w:cs="仿宋"/>
          <w:highlight w:val="none"/>
        </w:rPr>
      </w:pPr>
      <w:r>
        <w:rPr>
          <w:rFonts w:ascii="仿宋" w:hAnsi="仿宋" w:eastAsia="仿宋" w:cs="仿宋"/>
          <w:highlight w:val="none"/>
        </w:rPr>
      </w:r>
      <w:r/>
    </w:p>
    <w:p>
      <w:pPr>
        <w:pStyle w:val="1223"/>
        <w:ind w:firstLine="480"/>
        <w:jc w:val="center"/>
        <w:spacing w:line="400" w:lineRule="exact"/>
        <w:rPr>
          <w:rFonts w:ascii="仿宋" w:hAnsi="仿宋" w:eastAsia="仿宋" w:cs="仿宋"/>
          <w:b/>
          <w:bCs/>
          <w:sz w:val="24"/>
          <w:highlight w:val="none"/>
        </w:rPr>
      </w:pPr>
      <w:r>
        <w:rPr>
          <w:rFonts w:hint="eastAsia" w:ascii="仿宋" w:hAnsi="仿宋" w:eastAsia="仿宋" w:cs="仿宋"/>
          <w:b/>
          <w:bCs/>
          <w:sz w:val="24"/>
          <w:highlight w:val="none"/>
        </w:rPr>
        <w:t xml:space="preserve">12.预付款保函支付条款模板</w:t>
      </w:r>
      <w:r/>
    </w:p>
    <w:p>
      <w:pPr>
        <w:pStyle w:val="1223"/>
        <w:ind w:firstLine="484"/>
        <w:spacing w:line="400" w:lineRule="exact"/>
        <w:rPr>
          <w:rFonts w:ascii="仿宋" w:hAnsi="仿宋" w:eastAsia="仿宋" w:cs="仿宋"/>
          <w:b/>
          <w:sz w:val="24"/>
          <w:highlight w:val="none"/>
        </w:rPr>
      </w:pPr>
      <w:r>
        <w:rPr>
          <w:rFonts w:ascii="仿宋" w:hAnsi="仿宋" w:eastAsia="仿宋" w:cs="仿宋"/>
          <w:b/>
          <w:sz w:val="24"/>
          <w:highlight w:val="none"/>
        </w:rPr>
      </w:r>
      <w:r/>
    </w:p>
    <w:p>
      <w:pPr>
        <w:pStyle w:val="1223"/>
        <w:ind w:firstLine="484"/>
        <w:spacing w:line="400" w:lineRule="exact"/>
        <w:rPr>
          <w:rFonts w:ascii="仿宋" w:hAnsi="仿宋" w:eastAsia="仿宋" w:cs="仿宋"/>
          <w:b/>
          <w:sz w:val="24"/>
          <w:highlight w:val="none"/>
        </w:rPr>
      </w:pPr>
      <w:r>
        <w:rPr>
          <w:rFonts w:ascii="仿宋" w:hAnsi="仿宋" w:eastAsia="仿宋" w:cs="仿宋"/>
          <w:b/>
          <w:sz w:val="24"/>
          <w:highlight w:val="none"/>
        </w:rPr>
      </w:r>
      <w:r/>
    </w:p>
    <w:p>
      <w:pPr>
        <w:pStyle w:val="1223"/>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符合条件一：提交预付款保函的</w:t>
      </w:r>
      <w:r/>
    </w:p>
    <w:p>
      <w:pPr>
        <w:pStyle w:val="1223"/>
        <w:ind w:firstLine="482"/>
        <w:spacing w:line="400" w:lineRule="exact"/>
        <w:rPr>
          <w:rFonts w:ascii="仿宋" w:hAnsi="仿宋" w:eastAsia="仿宋" w:cs="仿宋"/>
          <w:sz w:val="24"/>
          <w:highlight w:val="none"/>
          <w:u w:val="single"/>
        </w:rPr>
      </w:pPr>
      <w:r>
        <w:rPr>
          <w:rFonts w:hint="eastAsia" w:ascii="仿宋" w:hAnsi="仿宋" w:eastAsia="仿宋" w:cs="仿宋"/>
          <w:sz w:val="24"/>
          <w:highlight w:val="none"/>
        </w:rPr>
        <w:t xml:space="preserve">（1）合同签订且乙方向甲方出具预付款保函后个工作日内，甲方应支付合同价款的百分之</w:t>
      </w:r>
      <w:r>
        <w:rPr>
          <w:rFonts w:hint="eastAsia" w:ascii="仿宋" w:hAnsi="仿宋" w:eastAsia="仿宋" w:cs="仿宋"/>
          <w:sz w:val="24"/>
          <w:highlight w:val="none"/>
          <w:u w:val="single"/>
        </w:rPr>
        <w:t xml:space="preserve">        XX（    XX%），</w:t>
      </w:r>
      <w:r>
        <w:rPr>
          <w:rFonts w:hint="eastAsia" w:ascii="仿宋" w:hAnsi="仿宋" w:eastAsia="仿宋" w:cs="仿宋"/>
          <w:sz w:val="24"/>
          <w:highlight w:val="none"/>
        </w:rPr>
        <w:t xml:space="preserve">小写￥大写：人民币。</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乙方需提交的支付文件：乙方出具的全额正式发票。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（2）验收合格后个工作日内，甲方应支付合同价款的百分之</w:t>
      </w:r>
      <w:r>
        <w:rPr>
          <w:rFonts w:hint="eastAsia" w:ascii="仿宋" w:hAnsi="仿宋" w:eastAsia="仿宋" w:cs="仿宋"/>
          <w:sz w:val="24"/>
          <w:highlight w:val="none"/>
          <w:u w:val="single"/>
        </w:rPr>
        <w:t xml:space="preserve">XX（    XX%），</w:t>
      </w:r>
      <w:r>
        <w:rPr>
          <w:rFonts w:hint="eastAsia" w:ascii="仿宋" w:hAnsi="仿宋" w:eastAsia="仿宋" w:cs="仿宋"/>
          <w:sz w:val="24"/>
          <w:highlight w:val="none"/>
        </w:rPr>
        <w:t xml:space="preserve">小写￥大写：人民币。</w:t>
      </w:r>
      <w:r/>
    </w:p>
    <w:p>
      <w:pPr>
        <w:pStyle w:val="1223"/>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w:t>
      </w:r>
      <w:r/>
    </w:p>
    <w:p>
      <w:pPr>
        <w:pStyle w:val="1223"/>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符合条件二：不提交预付款保函的</w:t>
      </w:r>
      <w:r/>
    </w:p>
    <w:p>
      <w:pPr>
        <w:pStyle w:val="1223"/>
        <w:ind w:firstLine="482"/>
        <w:spacing w:line="400" w:lineRule="exact"/>
        <w:rPr>
          <w:rFonts w:ascii="仿宋" w:hAnsi="仿宋" w:eastAsia="仿宋" w:cs="仿宋"/>
          <w:sz w:val="24"/>
          <w:highlight w:val="none"/>
          <w:u w:val="single"/>
        </w:rPr>
      </w:pPr>
      <w:r>
        <w:rPr>
          <w:rFonts w:hint="eastAsia" w:ascii="仿宋" w:hAnsi="仿宋" w:eastAsia="仿宋" w:cs="仿宋"/>
          <w:sz w:val="24"/>
          <w:highlight w:val="none"/>
        </w:rPr>
        <w:t xml:space="preserve">（1）合同签订后个工作日内，甲方应支付合同价款的百分之</w:t>
      </w:r>
      <w:r>
        <w:rPr>
          <w:rFonts w:hint="eastAsia" w:ascii="仿宋" w:hAnsi="仿宋" w:eastAsia="仿宋" w:cs="仿宋"/>
          <w:sz w:val="24"/>
          <w:highlight w:val="none"/>
          <w:u w:val="single"/>
        </w:rPr>
        <w:t xml:space="preserve">XX（    XX%），</w:t>
      </w:r>
      <w:r>
        <w:rPr>
          <w:rFonts w:hint="eastAsia" w:ascii="仿宋" w:hAnsi="仿宋" w:eastAsia="仿宋" w:cs="仿宋"/>
          <w:sz w:val="24"/>
          <w:highlight w:val="none"/>
        </w:rPr>
        <w:t xml:space="preserve">小写￥大写：人民币。</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乙方需提交的支付文件：乙方出具的全额正式发票。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（2）验收合格后个工作日内，甲方应支付合同价款的百分之</w:t>
      </w:r>
      <w:r>
        <w:rPr>
          <w:rFonts w:hint="eastAsia" w:ascii="仿宋" w:hAnsi="仿宋" w:eastAsia="仿宋" w:cs="仿宋"/>
          <w:sz w:val="24"/>
          <w:highlight w:val="none"/>
          <w:u w:val="single"/>
        </w:rPr>
        <w:t xml:space="preserve">XX（    XX%），</w:t>
      </w:r>
      <w:r>
        <w:rPr>
          <w:rFonts w:hint="eastAsia" w:ascii="仿宋" w:hAnsi="仿宋" w:eastAsia="仿宋" w:cs="仿宋"/>
          <w:sz w:val="24"/>
          <w:highlight w:val="none"/>
        </w:rPr>
        <w:t xml:space="preserve">小写￥大写：人民币。</w:t>
      </w:r>
      <w:r/>
    </w:p>
    <w:p>
      <w:pPr>
        <w:pStyle w:val="1223"/>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w:t>
      </w:r>
      <w:r/>
    </w:p>
    <w:p>
      <w:pPr>
        <w:pStyle w:val="1223"/>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注:</w:t>
      </w:r>
      <w:r/>
    </w:p>
    <w:p>
      <w:pPr>
        <w:pStyle w:val="1223"/>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1、付款条件一中，出具预付款保函后支付的合同款应当与保函金额一致。</w:t>
      </w:r>
      <w:r/>
    </w:p>
    <w:p>
      <w:pPr>
        <w:pStyle w:val="1236"/>
        <w:ind w:left="0" w:firstLine="480"/>
        <w:spacing w:after="0" w:line="400" w:lineRule="exact"/>
        <w:rPr>
          <w:rFonts w:ascii="仿宋" w:hAnsi="仿宋" w:eastAsia="仿宋" w:cs="仿宋"/>
          <w:sz w:val="24"/>
          <w:highlight w:val="none"/>
        </w:rPr>
      </w:pPr>
      <w:r>
        <w:rPr>
          <w:rFonts w:hint="eastAsia" w:ascii="仿宋" w:hAnsi="仿宋" w:eastAsia="仿宋" w:cs="仿宋"/>
          <w:sz w:val="24"/>
          <w:highlight w:val="none"/>
        </w:rPr>
        <w:t xml:space="preserve">2、付款条件二中，预付款比例设定应符合《关于做好政府采购支持企业发展有关事项的通知》(苏财购〔2020〕52号)要求。</w:t>
      </w:r>
      <w:r/>
    </w:p>
    <w:p>
      <w:pPr>
        <w:pStyle w:val="1236"/>
        <w:ind w:left="0" w:firstLine="480"/>
        <w:spacing w:after="0" w:line="400" w:lineRule="exact"/>
        <w:rPr>
          <w:rFonts w:ascii="仿宋" w:hAnsi="仿宋" w:eastAsia="仿宋" w:cs="仿宋"/>
          <w:sz w:val="24"/>
          <w:highlight w:val="none"/>
        </w:rPr>
      </w:pPr>
      <w:r>
        <w:rPr>
          <w:rFonts w:ascii="仿宋" w:hAnsi="仿宋" w:eastAsia="仿宋" w:cs="仿宋"/>
          <w:sz w:val="24"/>
          <w:highlight w:val="none"/>
        </w:rPr>
      </w:r>
      <w:r/>
    </w:p>
    <w:p>
      <w:pPr>
        <w:pStyle w:val="1201"/>
        <w:rPr>
          <w:highlight w:val="none"/>
        </w:rPr>
      </w:pPr>
      <w:r>
        <w:rPr>
          <w:highlight w:val="none"/>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_GB2312">
    <w:panose1 w:val="02010609060101010101"/>
  </w:font>
  <w:font w:name="Tahoma">
    <w:panose1 w:val="020B0604030504040204"/>
  </w:font>
  <w:font w:name="Courier New">
    <w:panose1 w:val="02070309020205020404"/>
  </w:font>
  <w:font w:name="方正楷体_GBK">
    <w:panose1 w:val="020B0503020202020204"/>
  </w:font>
  <w:font w:name="仿宋">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right"/>
    </w:pPr>
    <w:r>
      <w:rPr>
        <w:rFonts w:ascii="隶书" w:eastAsia="隶书"/>
        <w:b/>
        <w:i/>
      </w:rPr>
      <w:t xml:space="preserve">江苏鼎信利达建设管理有限公司编制</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2569845</wp:posOffset>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8"/>
                            <w:tabs>
                              <w:tab w:val="clear" w:pos="4153" w:leader="none"/>
                              <w:tab w:val="clear" w:pos="8306" w:leader="none"/>
                            </w:tabs>
                          </w:pPr>
                          <w:r/>
                          <w:r/>
                        </w:p>
                        <w:p>
                          <w:pPr>
                            <w:pStyle w:val="1223"/>
                          </w:pPr>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argin-left:202.3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8"/>
                      <w:tabs>
                        <w:tab w:val="clear" w:pos="4153" w:leader="none"/>
                        <w:tab w:val="clear" w:pos="8306" w:leader="none"/>
                      </w:tabs>
                    </w:pPr>
                    <w:r/>
                    <w:r/>
                  </w:p>
                  <w:p>
                    <w:pPr>
                      <w:pStyle w:val="1223"/>
                    </w:pPr>
                    <w:r/>
                    <w:r/>
                  </w:p>
                </w:txbxContent>
              </v:textbox>
            </v:shape>
          </w:pict>
        </mc:Fallback>
      </mc:AlternateContent>
    </w:r>
    <w:r/>
  </w:p>
  <w:p>
    <w:pPr>
      <w:pStyle w:val="1228"/>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ascii="隶书" w:eastAsia="隶书"/>
        <w:b/>
        <w:i/>
      </w:rPr>
      <w:t xml:space="preserve">江苏鼎信利达建设管理有限公司编制</w: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2569845</wp:posOffset>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8"/>
                            <w:tabs>
                              <w:tab w:val="clear" w:pos="4153" w:leader="none"/>
                              <w:tab w:val="clear" w:pos="8306" w:leader="none"/>
                            </w:tabs>
                          </w:pPr>
                          <w:r/>
                          <w:r/>
                        </w:p>
                        <w:p>
                          <w:pPr>
                            <w:pStyle w:val="1223"/>
                          </w:pPr>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argin-left:202.3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8"/>
                      <w:tabs>
                        <w:tab w:val="clear" w:pos="4153" w:leader="none"/>
                        <w:tab w:val="clear" w:pos="8306" w:leader="none"/>
                      </w:tabs>
                    </w:pPr>
                    <w:r/>
                    <w:r/>
                  </w:p>
                  <w:p>
                    <w:pPr>
                      <w:pStyle w:val="1223"/>
                    </w:pPr>
                    <w:r/>
                    <w:r/>
                  </w:p>
                </w:txbxContent>
              </v:textbox>
            </v:shape>
          </w:pict>
        </mc:Fallback>
      </mc:AlternateContent>
    </w:r>
    <w:r/>
  </w:p>
  <w:p>
    <w:pPr>
      <w:pStyle w:val="1228"/>
      <w:jc w:val="right"/>
      <w:rPr>
        <w:rFonts w:ascii="隶书" w:eastAsia="隶书"/>
        <w:b/>
        <w:i/>
      </w:rPr>
    </w:pPr>
    <w:r>
      <w:rPr>
        <w:rFonts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ascii="隶书" w:eastAsia="隶书"/>
        <w:b/>
        <w:i/>
      </w:rPr>
      <w:t xml:space="preserve">江苏鼎信利达建设管理有限公司编制</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2569845</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8"/>
                            <w:tabs>
                              <w:tab w:val="clear" w:pos="4153" w:leader="none"/>
                              <w:tab w:val="clear" w:pos="8306" w:leader="none"/>
                            </w:tabs>
                          </w:pPr>
                          <w:r/>
                          <w:r/>
                        </w:p>
                        <w:p>
                          <w:pPr>
                            <w:pStyle w:val="1223"/>
                          </w:pPr>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argin-left:202.3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8"/>
                      <w:tabs>
                        <w:tab w:val="clear" w:pos="4153" w:leader="none"/>
                        <w:tab w:val="clear" w:pos="8306" w:leader="none"/>
                      </w:tabs>
                    </w:pPr>
                    <w:r/>
                    <w:r/>
                  </w:p>
                  <w:p>
                    <w:pPr>
                      <w:pStyle w:val="1223"/>
                    </w:pPr>
                    <w:r/>
                    <w:r/>
                  </w:p>
                </w:txbxContent>
              </v:textbox>
            </v:shape>
          </w:pict>
        </mc:Fallback>
      </mc:AlternateContent>
    </w:r>
    <w:r/>
  </w:p>
  <w:p>
    <w:pPr>
      <w:pStyle w:val="1228"/>
      <w:jc w:val="right"/>
      <w:rPr>
        <w:rFonts w:ascii="隶书" w:eastAsia="隶书"/>
        <w:b/>
        <w:i/>
      </w:rPr>
    </w:pPr>
    <w:r>
      <w:rPr>
        <w:rFonts w:ascii="隶书" w:eastAsia="隶书"/>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18</w:t>
                    </w:r>
                    <w:r>
                      <w:fldChar w:fldCharType="end"/>
                    </w:r>
                    <w:r/>
                  </w:p>
                </w:txbxContent>
              </v:textbox>
            </v:shape>
          </w:pict>
        </mc:Fallback>
      </mc:AlternateContent>
    </w:r>
    <w:r>
      <w:rPr>
        <w:rFonts w:ascii="隶书" w:eastAsia="隶书"/>
        <w:b/>
        <w:i/>
      </w:rPr>
      <w:t xml:space="preserve">江苏鼎信利达建设管理有限公司编制</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2569845</wp:posOffset>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8"/>
                            <w:tabs>
                              <w:tab w:val="clear" w:pos="4153" w:leader="none"/>
                              <w:tab w:val="clear" w:pos="8306" w:leader="none"/>
                            </w:tabs>
                          </w:pPr>
                          <w:r/>
                          <w:r/>
                        </w:p>
                        <w:p>
                          <w:pPr>
                            <w:pStyle w:val="1223"/>
                          </w:pPr>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argin-left:202.3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8"/>
                      <w:tabs>
                        <w:tab w:val="clear" w:pos="4153" w:leader="none"/>
                        <w:tab w:val="clear" w:pos="8306" w:leader="none"/>
                      </w:tabs>
                    </w:pPr>
                    <w:r/>
                    <w:r/>
                  </w:p>
                  <w:p>
                    <w:pPr>
                      <w:pStyle w:val="122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rFonts w:ascii="隶书" w:eastAsia="隶书"/>
        <w:b/>
        <w:i/>
      </w:rPr>
      <w:t xml:space="preserve">江苏鼎信利达建设管理有限公司编制</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2569845</wp:posOffset>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8"/>
                            <w:tabs>
                              <w:tab w:val="clear" w:pos="4153" w:leader="none"/>
                              <w:tab w:val="clear" w:pos="8306" w:leader="none"/>
                            </w:tabs>
                          </w:pPr>
                          <w:r/>
                          <w:r/>
                        </w:p>
                        <w:p>
                          <w:pPr>
                            <w:pStyle w:val="1223"/>
                          </w:pPr>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argin-left:202.3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8"/>
                      <w:tabs>
                        <w:tab w:val="clear" w:pos="4153" w:leader="none"/>
                        <w:tab w:val="clear" w:pos="8306" w:leader="none"/>
                      </w:tabs>
                    </w:pPr>
                    <w:r/>
                    <w:r/>
                  </w:p>
                  <w:p>
                    <w:pPr>
                      <w:pStyle w:val="1223"/>
                    </w:pPr>
                    <w:r/>
                    <w:r/>
                  </w:p>
                </w:txbxContent>
              </v:textbox>
            </v:shape>
          </w:pict>
        </mc:Fallback>
      </mc:AlternateContent>
    </w:r>
    <w:r/>
  </w:p>
  <w:p>
    <w:pPr>
      <w:pStyle w:val="1207"/>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right"/>
      <w:rPr>
        <w:rFonts w:hint="eastAsia" w:ascii="仿宋" w:hAnsi="仿宋" w:eastAsia="仿宋" w:cs="仿宋"/>
        <w:color w:val="000000" w:themeColor="text1"/>
        <w:sz w:val="21"/>
        <w:szCs w:val="21"/>
        <w:highlight w:val="none"/>
        <w:lang w:val="en-US" w:eastAsia="zh-CN"/>
        <w14:textFill>
          <w14:solidFill>
            <w14:schemeClr w14:val="tx1"/>
          </w14:solidFill>
        </w14:textFill>
      </w:rPr>
      <w:pBdr>
        <w:bottom w:val="single" w:color="auto" w:sz="4" w:space="0"/>
      </w:pBdr>
    </w:pPr>
    <w:r>
      <w:rPr>
        <w:rFonts w:hint="eastAsia" w:ascii="仿宋" w:hAnsi="仿宋" w:eastAsia="仿宋" w:cs="仿宋"/>
        <w:bCs/>
        <w:color w:val="000000" w:themeColor="text1"/>
        <w:sz w:val="21"/>
        <w:szCs w:val="21"/>
        <w:highlight w:val="none"/>
        <w14:textFill>
          <w14:solidFill>
            <w14:schemeClr w14:val="tx1"/>
          </w14:solidFill>
        </w14:textFill>
      </w:rPr>
      <w:t xml:space="preserve">2024年度徐州市农产品质量安全监测项目</w:t>
    </w:r>
    <w:r>
      <w:rPr>
        <w:rFonts w:hint="eastAsia" w:ascii="仿宋" w:hAnsi="仿宋" w:eastAsia="仿宋" w:cs="仿宋"/>
        <w:bCs/>
        <w:color w:val="000000" w:themeColor="text1"/>
        <w:sz w:val="21"/>
        <w:szCs w:val="21"/>
        <w:highlight w:val="none"/>
        <w:lang w:val="en-US" w:eastAsia="zh-CN"/>
        <w14:textFill>
          <w14:solidFill>
            <w14:schemeClr w14:val="tx1"/>
          </w14:solidFill>
        </w14:textFill>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right"/>
      <w:rPr>
        <w:rFonts w:hint="eastAsia" w:ascii="仿宋" w:hAnsi="仿宋" w:eastAsia="仿宋" w:cs="仿宋"/>
        <w:sz w:val="21"/>
        <w:szCs w:val="21"/>
        <w:highlight w:val="none"/>
        <w:lang w:val="en-US" w:eastAsia="zh-CN"/>
      </w:rPr>
      <w:pBdr>
        <w:bottom w:val="single" w:color="auto" w:sz="4" w:space="0"/>
      </w:pBdr>
    </w:pPr>
    <w:r>
      <w:rPr>
        <w:rFonts w:hint="eastAsia" w:ascii="仿宋" w:hAnsi="仿宋" w:eastAsia="仿宋" w:cs="仿宋"/>
        <w:bCs/>
        <w:sz w:val="21"/>
        <w:szCs w:val="21"/>
        <w:highlight w:val="none"/>
      </w:rPr>
      <w:t xml:space="preserve">2024年度徐州市农产品质量安全监测项目</w:t>
    </w:r>
    <w:r>
      <w:rPr>
        <w:rFonts w:hint="eastAsia" w:ascii="仿宋" w:hAnsi="仿宋" w:eastAsia="仿宋" w:cs="仿宋"/>
        <w:bCs/>
        <w:sz w:val="21"/>
        <w:szCs w:val="21"/>
        <w:highlight w:val="none"/>
        <w:lang w:val="en-US" w:eastAsia="zh-CN"/>
      </w:rPr>
      <w:t xml:space="preserve">招标文件</w:t>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right"/>
      <w:rPr>
        <w:rFonts w:hint="eastAsia" w:ascii="仿宋" w:hAnsi="仿宋" w:eastAsia="仿宋" w:cs="仿宋"/>
        <w:sz w:val="21"/>
        <w:szCs w:val="21"/>
        <w:highlight w:val="none"/>
        <w:lang w:val="en-US" w:eastAsia="zh-CN"/>
      </w:rPr>
      <w:pBdr>
        <w:bottom w:val="single" w:color="auto" w:sz="4" w:space="0"/>
      </w:pBdr>
    </w:pPr>
    <w:r>
      <w:rPr>
        <w:rFonts w:hint="eastAsia" w:ascii="仿宋" w:hAnsi="仿宋" w:eastAsia="仿宋" w:cs="仿宋"/>
        <w:bCs/>
        <w:sz w:val="21"/>
        <w:szCs w:val="21"/>
        <w:highlight w:val="none"/>
      </w:rPr>
      <w:t xml:space="preserve">2024年度徐州市农产品质量安全监测项目</w:t>
    </w:r>
    <w:r>
      <w:rPr>
        <w:rFonts w:hint="eastAsia" w:ascii="仿宋" w:hAnsi="仿宋" w:eastAsia="仿宋" w:cs="仿宋"/>
        <w:bCs/>
        <w:sz w:val="21"/>
        <w:szCs w:val="21"/>
        <w:highlight w:val="none"/>
        <w:lang w:val="en-US" w:eastAsia="zh-CN"/>
      </w:rPr>
      <w:t xml:space="preserve">招标文件</w:t>
    </w:r>
    <w:r/>
  </w:p>
  <w:p>
    <w:pPr>
      <w:pStyle w:val="1227"/>
      <w:jc w:val="right"/>
      <w:rPr>
        <w:i/>
        <w:iCs/>
      </w:rPr>
      <w:pBdr>
        <w:bottom w:val="none" w:color="000000" w:sz="0" w:space="1"/>
      </w:pBdr>
    </w:pPr>
    <w:r>
      <w:rPr>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2"/>
  </w:num>
  <w:num w:numId="3">
    <w:abstractNumId w:val="7"/>
  </w:num>
  <w:num w:numId="4">
    <w:abstractNumId w:val="1"/>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1">
    <w:name w:val="Heading 1"/>
    <w:basedOn w:val="1193"/>
    <w:next w:val="1193"/>
    <w:link w:val="1022"/>
    <w:uiPriority w:val="9"/>
    <w:qFormat/>
    <w:pPr>
      <w:keepLines/>
      <w:keepNext/>
      <w:spacing w:before="480" w:after="200"/>
      <w:outlineLvl w:val="0"/>
    </w:pPr>
    <w:rPr>
      <w:rFonts w:ascii="Arial" w:hAnsi="Arial" w:eastAsia="Arial" w:cs="Arial"/>
      <w:sz w:val="40"/>
      <w:szCs w:val="40"/>
    </w:rPr>
  </w:style>
  <w:style w:type="character" w:styleId="1022">
    <w:name w:val="Heading 1 Char"/>
    <w:basedOn w:val="1195"/>
    <w:link w:val="1021"/>
    <w:uiPriority w:val="9"/>
    <w:rPr>
      <w:rFonts w:ascii="Arial" w:hAnsi="Arial" w:eastAsia="Arial" w:cs="Arial"/>
      <w:sz w:val="40"/>
      <w:szCs w:val="40"/>
    </w:rPr>
  </w:style>
  <w:style w:type="character" w:styleId="1023">
    <w:name w:val="Heading 2 Char"/>
    <w:basedOn w:val="1195"/>
    <w:link w:val="1194"/>
    <w:uiPriority w:val="9"/>
    <w:rPr>
      <w:rFonts w:ascii="Arial" w:hAnsi="Arial" w:eastAsia="Arial" w:cs="Arial"/>
      <w:sz w:val="34"/>
    </w:rPr>
  </w:style>
  <w:style w:type="paragraph" w:styleId="1024">
    <w:name w:val="Heading 3"/>
    <w:basedOn w:val="1193"/>
    <w:next w:val="1193"/>
    <w:link w:val="1025"/>
    <w:uiPriority w:val="9"/>
    <w:unhideWhenUsed/>
    <w:qFormat/>
    <w:pPr>
      <w:keepLines/>
      <w:keepNext/>
      <w:spacing w:before="320" w:after="200"/>
      <w:outlineLvl w:val="2"/>
    </w:pPr>
    <w:rPr>
      <w:rFonts w:ascii="Arial" w:hAnsi="Arial" w:eastAsia="Arial" w:cs="Arial"/>
      <w:sz w:val="30"/>
      <w:szCs w:val="30"/>
    </w:rPr>
  </w:style>
  <w:style w:type="character" w:styleId="1025">
    <w:name w:val="Heading 3 Char"/>
    <w:basedOn w:val="1195"/>
    <w:link w:val="1024"/>
    <w:uiPriority w:val="9"/>
    <w:rPr>
      <w:rFonts w:ascii="Arial" w:hAnsi="Arial" w:eastAsia="Arial" w:cs="Arial"/>
      <w:sz w:val="30"/>
      <w:szCs w:val="30"/>
    </w:rPr>
  </w:style>
  <w:style w:type="paragraph" w:styleId="1026">
    <w:name w:val="Heading 4"/>
    <w:basedOn w:val="1193"/>
    <w:next w:val="1193"/>
    <w:link w:val="1027"/>
    <w:uiPriority w:val="9"/>
    <w:unhideWhenUsed/>
    <w:qFormat/>
    <w:pPr>
      <w:keepLines/>
      <w:keepNext/>
      <w:spacing w:before="320" w:after="200"/>
      <w:outlineLvl w:val="3"/>
    </w:pPr>
    <w:rPr>
      <w:rFonts w:ascii="Arial" w:hAnsi="Arial" w:eastAsia="Arial" w:cs="Arial"/>
      <w:b/>
      <w:bCs/>
      <w:sz w:val="26"/>
      <w:szCs w:val="26"/>
    </w:rPr>
  </w:style>
  <w:style w:type="character" w:styleId="1027">
    <w:name w:val="Heading 4 Char"/>
    <w:basedOn w:val="1195"/>
    <w:link w:val="1026"/>
    <w:uiPriority w:val="9"/>
    <w:rPr>
      <w:rFonts w:ascii="Arial" w:hAnsi="Arial" w:eastAsia="Arial" w:cs="Arial"/>
      <w:b/>
      <w:bCs/>
      <w:sz w:val="26"/>
      <w:szCs w:val="26"/>
    </w:rPr>
  </w:style>
  <w:style w:type="paragraph" w:styleId="1028">
    <w:name w:val="Heading 5"/>
    <w:basedOn w:val="1193"/>
    <w:next w:val="1193"/>
    <w:link w:val="1029"/>
    <w:uiPriority w:val="9"/>
    <w:unhideWhenUsed/>
    <w:qFormat/>
    <w:pPr>
      <w:keepLines/>
      <w:keepNext/>
      <w:spacing w:before="320" w:after="200"/>
      <w:outlineLvl w:val="4"/>
    </w:pPr>
    <w:rPr>
      <w:rFonts w:ascii="Arial" w:hAnsi="Arial" w:eastAsia="Arial" w:cs="Arial"/>
      <w:b/>
      <w:bCs/>
      <w:sz w:val="24"/>
      <w:szCs w:val="24"/>
    </w:rPr>
  </w:style>
  <w:style w:type="character" w:styleId="1029">
    <w:name w:val="Heading 5 Char"/>
    <w:basedOn w:val="1195"/>
    <w:link w:val="1028"/>
    <w:uiPriority w:val="9"/>
    <w:rPr>
      <w:rFonts w:ascii="Arial" w:hAnsi="Arial" w:eastAsia="Arial" w:cs="Arial"/>
      <w:b/>
      <w:bCs/>
      <w:sz w:val="24"/>
      <w:szCs w:val="24"/>
    </w:rPr>
  </w:style>
  <w:style w:type="paragraph" w:styleId="1030">
    <w:name w:val="Heading 6"/>
    <w:basedOn w:val="1193"/>
    <w:next w:val="1193"/>
    <w:link w:val="1031"/>
    <w:uiPriority w:val="9"/>
    <w:unhideWhenUsed/>
    <w:qFormat/>
    <w:pPr>
      <w:keepLines/>
      <w:keepNext/>
      <w:spacing w:before="320" w:after="200"/>
      <w:outlineLvl w:val="5"/>
    </w:pPr>
    <w:rPr>
      <w:rFonts w:ascii="Arial" w:hAnsi="Arial" w:eastAsia="Arial" w:cs="Arial"/>
      <w:b/>
      <w:bCs/>
      <w:sz w:val="22"/>
      <w:szCs w:val="22"/>
    </w:rPr>
  </w:style>
  <w:style w:type="character" w:styleId="1031">
    <w:name w:val="Heading 6 Char"/>
    <w:basedOn w:val="1195"/>
    <w:link w:val="1030"/>
    <w:uiPriority w:val="9"/>
    <w:rPr>
      <w:rFonts w:ascii="Arial" w:hAnsi="Arial" w:eastAsia="Arial" w:cs="Arial"/>
      <w:b/>
      <w:bCs/>
      <w:sz w:val="22"/>
      <w:szCs w:val="22"/>
    </w:rPr>
  </w:style>
  <w:style w:type="paragraph" w:styleId="1032">
    <w:name w:val="Heading 7"/>
    <w:basedOn w:val="1193"/>
    <w:next w:val="1193"/>
    <w:link w:val="1033"/>
    <w:uiPriority w:val="9"/>
    <w:unhideWhenUsed/>
    <w:qFormat/>
    <w:pPr>
      <w:keepLines/>
      <w:keepNext/>
      <w:spacing w:before="320" w:after="200"/>
      <w:outlineLvl w:val="6"/>
    </w:pPr>
    <w:rPr>
      <w:rFonts w:ascii="Arial" w:hAnsi="Arial" w:eastAsia="Arial" w:cs="Arial"/>
      <w:b/>
      <w:bCs/>
      <w:i/>
      <w:iCs/>
      <w:sz w:val="22"/>
      <w:szCs w:val="22"/>
    </w:rPr>
  </w:style>
  <w:style w:type="character" w:styleId="1033">
    <w:name w:val="Heading 7 Char"/>
    <w:basedOn w:val="1195"/>
    <w:link w:val="1032"/>
    <w:uiPriority w:val="9"/>
    <w:rPr>
      <w:rFonts w:ascii="Arial" w:hAnsi="Arial" w:eastAsia="Arial" w:cs="Arial"/>
      <w:b/>
      <w:bCs/>
      <w:i/>
      <w:iCs/>
      <w:sz w:val="22"/>
      <w:szCs w:val="22"/>
    </w:rPr>
  </w:style>
  <w:style w:type="paragraph" w:styleId="1034">
    <w:name w:val="Heading 8"/>
    <w:basedOn w:val="1193"/>
    <w:next w:val="1193"/>
    <w:link w:val="1035"/>
    <w:uiPriority w:val="9"/>
    <w:unhideWhenUsed/>
    <w:qFormat/>
    <w:pPr>
      <w:keepLines/>
      <w:keepNext/>
      <w:spacing w:before="320" w:after="200"/>
      <w:outlineLvl w:val="7"/>
    </w:pPr>
    <w:rPr>
      <w:rFonts w:ascii="Arial" w:hAnsi="Arial" w:eastAsia="Arial" w:cs="Arial"/>
      <w:i/>
      <w:iCs/>
      <w:sz w:val="22"/>
      <w:szCs w:val="22"/>
    </w:rPr>
  </w:style>
  <w:style w:type="character" w:styleId="1035">
    <w:name w:val="Heading 8 Char"/>
    <w:basedOn w:val="1195"/>
    <w:link w:val="1034"/>
    <w:uiPriority w:val="9"/>
    <w:rPr>
      <w:rFonts w:ascii="Arial" w:hAnsi="Arial" w:eastAsia="Arial" w:cs="Arial"/>
      <w:i/>
      <w:iCs/>
      <w:sz w:val="22"/>
      <w:szCs w:val="22"/>
    </w:rPr>
  </w:style>
  <w:style w:type="paragraph" w:styleId="1036">
    <w:name w:val="Heading 9"/>
    <w:basedOn w:val="1193"/>
    <w:next w:val="1193"/>
    <w:link w:val="1037"/>
    <w:uiPriority w:val="9"/>
    <w:unhideWhenUsed/>
    <w:qFormat/>
    <w:pPr>
      <w:keepLines/>
      <w:keepNext/>
      <w:spacing w:before="320" w:after="200"/>
      <w:outlineLvl w:val="8"/>
    </w:pPr>
    <w:rPr>
      <w:rFonts w:ascii="Arial" w:hAnsi="Arial" w:eastAsia="Arial" w:cs="Arial"/>
      <w:i/>
      <w:iCs/>
      <w:sz w:val="21"/>
      <w:szCs w:val="21"/>
    </w:rPr>
  </w:style>
  <w:style w:type="character" w:styleId="1037">
    <w:name w:val="Heading 9 Char"/>
    <w:basedOn w:val="1195"/>
    <w:link w:val="1036"/>
    <w:uiPriority w:val="9"/>
    <w:rPr>
      <w:rFonts w:ascii="Arial" w:hAnsi="Arial" w:eastAsia="Arial" w:cs="Arial"/>
      <w:i/>
      <w:iCs/>
      <w:sz w:val="21"/>
      <w:szCs w:val="21"/>
    </w:rPr>
  </w:style>
  <w:style w:type="paragraph" w:styleId="1038">
    <w:name w:val="No Spacing"/>
    <w:uiPriority w:val="1"/>
    <w:qFormat/>
    <w:pPr>
      <w:spacing w:before="0" w:after="0" w:line="240" w:lineRule="auto"/>
    </w:pPr>
  </w:style>
  <w:style w:type="character" w:styleId="1039">
    <w:name w:val="Title Char"/>
    <w:basedOn w:val="1195"/>
    <w:link w:val="1197"/>
    <w:uiPriority w:val="10"/>
    <w:rPr>
      <w:sz w:val="48"/>
      <w:szCs w:val="48"/>
    </w:rPr>
  </w:style>
  <w:style w:type="paragraph" w:styleId="1040">
    <w:name w:val="Subtitle"/>
    <w:basedOn w:val="1193"/>
    <w:next w:val="1193"/>
    <w:link w:val="1041"/>
    <w:uiPriority w:val="11"/>
    <w:qFormat/>
    <w:pPr>
      <w:spacing w:before="200" w:after="200"/>
    </w:pPr>
    <w:rPr>
      <w:sz w:val="24"/>
      <w:szCs w:val="24"/>
    </w:rPr>
  </w:style>
  <w:style w:type="character" w:styleId="1041">
    <w:name w:val="Subtitle Char"/>
    <w:basedOn w:val="1195"/>
    <w:link w:val="1040"/>
    <w:uiPriority w:val="11"/>
    <w:rPr>
      <w:sz w:val="24"/>
      <w:szCs w:val="24"/>
    </w:rPr>
  </w:style>
  <w:style w:type="paragraph" w:styleId="1042">
    <w:name w:val="Quote"/>
    <w:basedOn w:val="1193"/>
    <w:next w:val="1193"/>
    <w:link w:val="1043"/>
    <w:uiPriority w:val="29"/>
    <w:qFormat/>
    <w:pPr>
      <w:ind w:left="720" w:right="720"/>
    </w:pPr>
    <w:rPr>
      <w:i/>
    </w:rPr>
  </w:style>
  <w:style w:type="character" w:styleId="1043">
    <w:name w:val="Quote Char"/>
    <w:link w:val="1042"/>
    <w:uiPriority w:val="29"/>
    <w:rPr>
      <w:i/>
    </w:rPr>
  </w:style>
  <w:style w:type="paragraph" w:styleId="1044">
    <w:name w:val="Intense Quote"/>
    <w:basedOn w:val="1193"/>
    <w:next w:val="1193"/>
    <w:link w:val="10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5">
    <w:name w:val="Intense Quote Char"/>
    <w:link w:val="1044"/>
    <w:uiPriority w:val="30"/>
    <w:rPr>
      <w:i/>
    </w:rPr>
  </w:style>
  <w:style w:type="paragraph" w:styleId="1046">
    <w:name w:val="Header"/>
    <w:basedOn w:val="1193"/>
    <w:link w:val="1047"/>
    <w:uiPriority w:val="99"/>
    <w:unhideWhenUsed/>
    <w:pPr>
      <w:spacing w:after="0" w:line="240" w:lineRule="auto"/>
      <w:tabs>
        <w:tab w:val="center" w:pos="7143" w:leader="none"/>
        <w:tab w:val="right" w:pos="14287" w:leader="none"/>
      </w:tabs>
    </w:pPr>
  </w:style>
  <w:style w:type="character" w:styleId="1047">
    <w:name w:val="Header Char"/>
    <w:basedOn w:val="1195"/>
    <w:link w:val="1046"/>
    <w:uiPriority w:val="99"/>
  </w:style>
  <w:style w:type="character" w:styleId="1048">
    <w:name w:val="Footer Char"/>
    <w:basedOn w:val="1195"/>
    <w:link w:val="1207"/>
    <w:uiPriority w:val="99"/>
  </w:style>
  <w:style w:type="paragraph" w:styleId="1049">
    <w:name w:val="Caption"/>
    <w:basedOn w:val="1193"/>
    <w:next w:val="1193"/>
    <w:uiPriority w:val="35"/>
    <w:semiHidden/>
    <w:unhideWhenUsed/>
    <w:qFormat/>
    <w:pPr>
      <w:spacing w:line="276" w:lineRule="auto"/>
    </w:pPr>
    <w:rPr>
      <w:b/>
      <w:bCs/>
      <w:color w:val="4f81bd" w:themeColor="accent1"/>
      <w:sz w:val="18"/>
      <w:szCs w:val="18"/>
    </w:rPr>
  </w:style>
  <w:style w:type="character" w:styleId="1050">
    <w:name w:val="Caption Char"/>
    <w:basedOn w:val="1049"/>
    <w:link w:val="1207"/>
    <w:uiPriority w:val="99"/>
  </w:style>
  <w:style w:type="table" w:styleId="1051">
    <w:name w:val="Table Grid Light"/>
    <w:basedOn w:val="11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2">
    <w:name w:val="Plain Table 1"/>
    <w:basedOn w:val="11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3">
    <w:name w:val="Plain Table 2"/>
    <w:basedOn w:val="11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4">
    <w:name w:val="Plain Table 3"/>
    <w:basedOn w:val="11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5">
    <w:name w:val="Plain Table 4"/>
    <w:basedOn w:val="11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6">
    <w:name w:val="Plain Table 5"/>
    <w:basedOn w:val="11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7">
    <w:name w:val="Grid Table 1 Light"/>
    <w:basedOn w:val="11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8">
    <w:name w:val="Grid Table 1 Light - Accent 1"/>
    <w:basedOn w:val="11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9">
    <w:name w:val="Grid Table 1 Light - Accent 2"/>
    <w:basedOn w:val="11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0">
    <w:name w:val="Grid Table 1 Light - Accent 3"/>
    <w:basedOn w:val="11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1">
    <w:name w:val="Grid Table 1 Light - Accent 4"/>
    <w:basedOn w:val="11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2">
    <w:name w:val="Grid Table 1 Light - Accent 5"/>
    <w:basedOn w:val="11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3">
    <w:name w:val="Grid Table 1 Light - Accent 6"/>
    <w:basedOn w:val="11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4">
    <w:name w:val="Grid Table 2"/>
    <w:basedOn w:val="11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5">
    <w:name w:val="Grid Table 2 - Accent 1"/>
    <w:basedOn w:val="11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6">
    <w:name w:val="Grid Table 2 - Accent 2"/>
    <w:basedOn w:val="11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7">
    <w:name w:val="Grid Table 2 - Accent 3"/>
    <w:basedOn w:val="11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8">
    <w:name w:val="Grid Table 2 - Accent 4"/>
    <w:basedOn w:val="11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9">
    <w:name w:val="Grid Table 2 - Accent 5"/>
    <w:basedOn w:val="11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0">
    <w:name w:val="Grid Table 2 - Accent 6"/>
    <w:basedOn w:val="11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1">
    <w:name w:val="Grid Table 3"/>
    <w:basedOn w:val="11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1"/>
    <w:basedOn w:val="11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2"/>
    <w:basedOn w:val="11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3"/>
    <w:basedOn w:val="11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3 - Accent 4"/>
    <w:basedOn w:val="11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6">
    <w:name w:val="Grid Table 3 - Accent 5"/>
    <w:basedOn w:val="11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3 - Accent 6"/>
    <w:basedOn w:val="11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8">
    <w:name w:val="Grid Table 4"/>
    <w:basedOn w:val="11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9">
    <w:name w:val="Grid Table 4 - Accent 1"/>
    <w:basedOn w:val="11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0">
    <w:name w:val="Grid Table 4 - Accent 2"/>
    <w:basedOn w:val="11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1">
    <w:name w:val="Grid Table 4 - Accent 3"/>
    <w:basedOn w:val="11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2">
    <w:name w:val="Grid Table 4 - Accent 4"/>
    <w:basedOn w:val="11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3">
    <w:name w:val="Grid Table 4 - Accent 5"/>
    <w:basedOn w:val="11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4">
    <w:name w:val="Grid Table 4 - Accent 6"/>
    <w:basedOn w:val="11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5">
    <w:name w:val="Grid Table 5 Dark"/>
    <w:basedOn w:val="11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6">
    <w:name w:val="Grid Table 5 Dark- Accent 1"/>
    <w:basedOn w:val="11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87">
    <w:name w:val="Grid Table 5 Dark - Accent 2"/>
    <w:basedOn w:val="11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88">
    <w:name w:val="Grid Table 5 Dark - Accent 3"/>
    <w:basedOn w:val="11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89">
    <w:name w:val="Grid Table 5 Dark- Accent 4"/>
    <w:basedOn w:val="11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90">
    <w:name w:val="Grid Table 5 Dark - Accent 5"/>
    <w:basedOn w:val="11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91">
    <w:name w:val="Grid Table 5 Dark - Accent 6"/>
    <w:basedOn w:val="11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92">
    <w:name w:val="Grid Table 6 Colorful"/>
    <w:basedOn w:val="11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3">
    <w:name w:val="Grid Table 6 Colorful - Accent 1"/>
    <w:basedOn w:val="11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94">
    <w:name w:val="Grid Table 6 Colorful - Accent 2"/>
    <w:basedOn w:val="11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95">
    <w:name w:val="Grid Table 6 Colorful - Accent 3"/>
    <w:basedOn w:val="11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96">
    <w:name w:val="Grid Table 6 Colorful - Accent 4"/>
    <w:basedOn w:val="11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97">
    <w:name w:val="Grid Table 6 Colorful - Accent 5"/>
    <w:basedOn w:val="11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8">
    <w:name w:val="Grid Table 6 Colorful - Accent 6"/>
    <w:basedOn w:val="11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9">
    <w:name w:val="Grid Table 7 Colorful"/>
    <w:basedOn w:val="11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0">
    <w:name w:val="Grid Table 7 Colorful - Accent 1"/>
    <w:basedOn w:val="11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1">
    <w:name w:val="Grid Table 7 Colorful - Accent 2"/>
    <w:basedOn w:val="11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2">
    <w:name w:val="Grid Table 7 Colorful - Accent 3"/>
    <w:basedOn w:val="11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3">
    <w:name w:val="Grid Table 7 Colorful - Accent 4"/>
    <w:basedOn w:val="11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4">
    <w:name w:val="Grid Table 7 Colorful - Accent 5"/>
    <w:basedOn w:val="11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5">
    <w:name w:val="Grid Table 7 Colorful - Accent 6"/>
    <w:basedOn w:val="11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6">
    <w:name w:val="List Table 1 Light"/>
    <w:basedOn w:val="11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7">
    <w:name w:val="List Table 1 Light - Accent 1"/>
    <w:basedOn w:val="11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8">
    <w:name w:val="List Table 1 Light - Accent 2"/>
    <w:basedOn w:val="11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9">
    <w:name w:val="List Table 1 Light - Accent 3"/>
    <w:basedOn w:val="11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0">
    <w:name w:val="List Table 1 Light - Accent 4"/>
    <w:basedOn w:val="11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1">
    <w:name w:val="List Table 1 Light - Accent 5"/>
    <w:basedOn w:val="11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2">
    <w:name w:val="List Table 1 Light - Accent 6"/>
    <w:basedOn w:val="11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3">
    <w:name w:val="List Table 2"/>
    <w:basedOn w:val="11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4">
    <w:name w:val="List Table 2 - Accent 1"/>
    <w:basedOn w:val="11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5">
    <w:name w:val="List Table 2 - Accent 2"/>
    <w:basedOn w:val="11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6">
    <w:name w:val="List Table 2 - Accent 3"/>
    <w:basedOn w:val="11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7">
    <w:name w:val="List Table 2 - Accent 4"/>
    <w:basedOn w:val="11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8">
    <w:name w:val="List Table 2 - Accent 5"/>
    <w:basedOn w:val="11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9">
    <w:name w:val="List Table 2 - Accent 6"/>
    <w:basedOn w:val="11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0">
    <w:name w:val="List Table 3"/>
    <w:basedOn w:val="11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3 - Accent 1"/>
    <w:basedOn w:val="11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2">
    <w:name w:val="List Table 3 - Accent 2"/>
    <w:basedOn w:val="11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23">
    <w:name w:val="List Table 3 - Accent 3"/>
    <w:basedOn w:val="11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24">
    <w:name w:val="List Table 3 - Accent 4"/>
    <w:basedOn w:val="11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25">
    <w:name w:val="List Table 3 - Accent 5"/>
    <w:basedOn w:val="11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26">
    <w:name w:val="List Table 3 - Accent 6"/>
    <w:basedOn w:val="11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27">
    <w:name w:val="List Table 4"/>
    <w:basedOn w:val="11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8">
    <w:name w:val="List Table 4 - Accent 1"/>
    <w:basedOn w:val="11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9">
    <w:name w:val="List Table 4 - Accent 2"/>
    <w:basedOn w:val="11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30">
    <w:name w:val="List Table 4 - Accent 3"/>
    <w:basedOn w:val="11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31">
    <w:name w:val="List Table 4 - Accent 4"/>
    <w:basedOn w:val="11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32">
    <w:name w:val="List Table 4 - Accent 5"/>
    <w:basedOn w:val="11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33">
    <w:name w:val="List Table 4 - Accent 6"/>
    <w:basedOn w:val="11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34">
    <w:name w:val="List Table 5 Dark"/>
    <w:basedOn w:val="11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1"/>
    <w:basedOn w:val="11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2"/>
    <w:basedOn w:val="11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3"/>
    <w:basedOn w:val="11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5 Dark - Accent 4"/>
    <w:basedOn w:val="11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9">
    <w:name w:val="List Table 5 Dark - Accent 5"/>
    <w:basedOn w:val="11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5 Dark - Accent 6"/>
    <w:basedOn w:val="11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1">
    <w:name w:val="List Table 6 Colorful"/>
    <w:basedOn w:val="11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2">
    <w:name w:val="List Table 6 Colorful - Accent 1"/>
    <w:basedOn w:val="11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43">
    <w:name w:val="List Table 6 Colorful - Accent 2"/>
    <w:basedOn w:val="11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44">
    <w:name w:val="List Table 6 Colorful - Accent 3"/>
    <w:basedOn w:val="11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45">
    <w:name w:val="List Table 6 Colorful - Accent 4"/>
    <w:basedOn w:val="11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46">
    <w:name w:val="List Table 6 Colorful - Accent 5"/>
    <w:basedOn w:val="11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47">
    <w:name w:val="List Table 6 Colorful - Accent 6"/>
    <w:basedOn w:val="11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48">
    <w:name w:val="List Table 7 Colorful"/>
    <w:basedOn w:val="11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9">
    <w:name w:val="List Table 7 Colorful - Accent 1"/>
    <w:basedOn w:val="11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50">
    <w:name w:val="List Table 7 Colorful - Accent 2"/>
    <w:basedOn w:val="11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51">
    <w:name w:val="List Table 7 Colorful - Accent 3"/>
    <w:basedOn w:val="11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52">
    <w:name w:val="List Table 7 Colorful - Accent 4"/>
    <w:basedOn w:val="11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53">
    <w:name w:val="List Table 7 Colorful - Accent 5"/>
    <w:basedOn w:val="11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54">
    <w:name w:val="List Table 7 Colorful - Accent 6"/>
    <w:basedOn w:val="11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55">
    <w:name w:val="Lined - Accent"/>
    <w:basedOn w:val="11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6">
    <w:name w:val="Lined - Accent 1"/>
    <w:basedOn w:val="11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7">
    <w:name w:val="Lined - Accent 2"/>
    <w:basedOn w:val="11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8">
    <w:name w:val="Lined - Accent 3"/>
    <w:basedOn w:val="11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9">
    <w:name w:val="Lined - Accent 4"/>
    <w:basedOn w:val="11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0">
    <w:name w:val="Lined - Accent 5"/>
    <w:basedOn w:val="11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1">
    <w:name w:val="Lined - Accent 6"/>
    <w:basedOn w:val="11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2">
    <w:name w:val="Bordered &amp; Lined - Accent"/>
    <w:basedOn w:val="11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3">
    <w:name w:val="Bordered &amp; Lined - Accent 1"/>
    <w:basedOn w:val="11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4">
    <w:name w:val="Bordered &amp; Lined - Accent 2"/>
    <w:basedOn w:val="11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5">
    <w:name w:val="Bordered &amp; Lined - Accent 3"/>
    <w:basedOn w:val="11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6">
    <w:name w:val="Bordered &amp; Lined - Accent 4"/>
    <w:basedOn w:val="11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7">
    <w:name w:val="Bordered &amp; Lined - Accent 5"/>
    <w:basedOn w:val="11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8">
    <w:name w:val="Bordered &amp; Lined - Accent 6"/>
    <w:basedOn w:val="11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9">
    <w:name w:val="Bordered"/>
    <w:basedOn w:val="11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0">
    <w:name w:val="Bordered - Accent 1"/>
    <w:basedOn w:val="11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1">
    <w:name w:val="Bordered - Accent 2"/>
    <w:basedOn w:val="11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2">
    <w:name w:val="Bordered - Accent 3"/>
    <w:basedOn w:val="11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3">
    <w:name w:val="Bordered - Accent 4"/>
    <w:basedOn w:val="11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4">
    <w:name w:val="Bordered - Accent 5"/>
    <w:basedOn w:val="11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5">
    <w:name w:val="Bordered - Accent 6"/>
    <w:basedOn w:val="11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6">
    <w:name w:val="Hyperlink"/>
    <w:uiPriority w:val="99"/>
    <w:unhideWhenUsed/>
    <w:rPr>
      <w:color w:val="0000ff" w:themeColor="hyperlink"/>
      <w:u w:val="single"/>
    </w:rPr>
  </w:style>
  <w:style w:type="paragraph" w:styleId="1177">
    <w:name w:val="footnote text"/>
    <w:basedOn w:val="1193"/>
    <w:link w:val="1178"/>
    <w:uiPriority w:val="99"/>
    <w:semiHidden/>
    <w:unhideWhenUsed/>
    <w:pPr>
      <w:spacing w:after="40" w:line="240" w:lineRule="auto"/>
    </w:pPr>
    <w:rPr>
      <w:sz w:val="18"/>
    </w:rPr>
  </w:style>
  <w:style w:type="character" w:styleId="1178">
    <w:name w:val="Footnote Text Char"/>
    <w:link w:val="1177"/>
    <w:uiPriority w:val="99"/>
    <w:rPr>
      <w:sz w:val="18"/>
    </w:rPr>
  </w:style>
  <w:style w:type="character" w:styleId="1179">
    <w:name w:val="footnote reference"/>
    <w:basedOn w:val="1195"/>
    <w:uiPriority w:val="99"/>
    <w:unhideWhenUsed/>
    <w:rPr>
      <w:vertAlign w:val="superscript"/>
    </w:rPr>
  </w:style>
  <w:style w:type="paragraph" w:styleId="1180">
    <w:name w:val="endnote text"/>
    <w:basedOn w:val="1193"/>
    <w:link w:val="1181"/>
    <w:uiPriority w:val="99"/>
    <w:semiHidden/>
    <w:unhideWhenUsed/>
    <w:pPr>
      <w:spacing w:after="0" w:line="240" w:lineRule="auto"/>
    </w:pPr>
    <w:rPr>
      <w:sz w:val="20"/>
    </w:rPr>
  </w:style>
  <w:style w:type="character" w:styleId="1181">
    <w:name w:val="Endnote Text Char"/>
    <w:link w:val="1180"/>
    <w:uiPriority w:val="99"/>
    <w:rPr>
      <w:sz w:val="20"/>
    </w:rPr>
  </w:style>
  <w:style w:type="character" w:styleId="1182">
    <w:name w:val="endnote reference"/>
    <w:basedOn w:val="1195"/>
    <w:uiPriority w:val="99"/>
    <w:semiHidden/>
    <w:unhideWhenUsed/>
    <w:rPr>
      <w:vertAlign w:val="superscript"/>
    </w:rPr>
  </w:style>
  <w:style w:type="paragraph" w:styleId="1183">
    <w:name w:val="toc 2"/>
    <w:basedOn w:val="1193"/>
    <w:next w:val="1193"/>
    <w:uiPriority w:val="39"/>
    <w:unhideWhenUsed/>
    <w:pPr>
      <w:ind w:left="283" w:right="0" w:firstLine="0"/>
      <w:spacing w:after="57"/>
    </w:pPr>
  </w:style>
  <w:style w:type="paragraph" w:styleId="1184">
    <w:name w:val="toc 3"/>
    <w:basedOn w:val="1193"/>
    <w:next w:val="1193"/>
    <w:uiPriority w:val="39"/>
    <w:unhideWhenUsed/>
    <w:pPr>
      <w:ind w:left="567" w:right="0" w:firstLine="0"/>
      <w:spacing w:after="57"/>
    </w:pPr>
  </w:style>
  <w:style w:type="paragraph" w:styleId="1185">
    <w:name w:val="toc 4"/>
    <w:basedOn w:val="1193"/>
    <w:next w:val="1193"/>
    <w:uiPriority w:val="39"/>
    <w:unhideWhenUsed/>
    <w:pPr>
      <w:ind w:left="850" w:right="0" w:firstLine="0"/>
      <w:spacing w:after="57"/>
    </w:pPr>
  </w:style>
  <w:style w:type="paragraph" w:styleId="1186">
    <w:name w:val="toc 5"/>
    <w:basedOn w:val="1193"/>
    <w:next w:val="1193"/>
    <w:uiPriority w:val="39"/>
    <w:unhideWhenUsed/>
    <w:pPr>
      <w:ind w:left="1134" w:right="0" w:firstLine="0"/>
      <w:spacing w:after="57"/>
    </w:pPr>
  </w:style>
  <w:style w:type="paragraph" w:styleId="1187">
    <w:name w:val="toc 6"/>
    <w:basedOn w:val="1193"/>
    <w:next w:val="1193"/>
    <w:uiPriority w:val="39"/>
    <w:unhideWhenUsed/>
    <w:pPr>
      <w:ind w:left="1417" w:right="0" w:firstLine="0"/>
      <w:spacing w:after="57"/>
    </w:pPr>
  </w:style>
  <w:style w:type="paragraph" w:styleId="1188">
    <w:name w:val="toc 7"/>
    <w:basedOn w:val="1193"/>
    <w:next w:val="1193"/>
    <w:uiPriority w:val="39"/>
    <w:unhideWhenUsed/>
    <w:pPr>
      <w:ind w:left="1701" w:right="0" w:firstLine="0"/>
      <w:spacing w:after="57"/>
    </w:pPr>
  </w:style>
  <w:style w:type="paragraph" w:styleId="1189">
    <w:name w:val="toc 8"/>
    <w:basedOn w:val="1193"/>
    <w:next w:val="1193"/>
    <w:uiPriority w:val="39"/>
    <w:unhideWhenUsed/>
    <w:pPr>
      <w:ind w:left="1984" w:right="0" w:firstLine="0"/>
      <w:spacing w:after="57"/>
    </w:pPr>
  </w:style>
  <w:style w:type="paragraph" w:styleId="1190">
    <w:name w:val="toc 9"/>
    <w:basedOn w:val="1193"/>
    <w:next w:val="1193"/>
    <w:uiPriority w:val="39"/>
    <w:unhideWhenUsed/>
    <w:pPr>
      <w:ind w:left="2268" w:right="0" w:firstLine="0"/>
      <w:spacing w:after="57"/>
    </w:pPr>
  </w:style>
  <w:style w:type="paragraph" w:styleId="1191">
    <w:name w:val="TOC Heading"/>
    <w:uiPriority w:val="39"/>
    <w:unhideWhenUsed/>
  </w:style>
  <w:style w:type="paragraph" w:styleId="1192">
    <w:name w:val="table of figures"/>
    <w:basedOn w:val="1193"/>
    <w:next w:val="1193"/>
    <w:uiPriority w:val="99"/>
    <w:unhideWhenUsed/>
    <w:pPr>
      <w:spacing w:after="0" w:afterAutospacing="0"/>
    </w:pPr>
  </w:style>
  <w:style w:type="paragraph" w:styleId="1193" w:default="1">
    <w:name w:val="Normal"/>
    <w:next w:val="1197"/>
    <w:uiPriority w:val="0"/>
    <w:qFormat/>
    <w:pPr>
      <w:jc w:val="both"/>
      <w:widowControl w:val="off"/>
    </w:pPr>
    <w:rPr>
      <w:rFonts w:ascii="Times New Roman" w:hAnsi="Times New Roman" w:eastAsia="宋体" w:cs="Times New Roman"/>
      <w:sz w:val="21"/>
      <w:szCs w:val="24"/>
      <w:lang w:val="en-US" w:eastAsia="zh-CN" w:bidi="ar-SA"/>
    </w:rPr>
  </w:style>
  <w:style w:type="paragraph" w:styleId="1194">
    <w:name w:val="Heading 2"/>
    <w:basedOn w:val="1193"/>
    <w:next w:val="1193"/>
    <w:uiPriority w:val="0"/>
    <w:unhideWhenUsed/>
    <w:qFormat/>
    <w:pPr>
      <w:keepLines/>
      <w:keepNext/>
      <w:spacing w:before="360" w:after="200"/>
      <w:outlineLvl w:val="1"/>
    </w:pPr>
    <w:rPr>
      <w:rFonts w:ascii="Arial" w:hAnsi="Arial" w:eastAsia="Arial" w:cs="Arial"/>
      <w:sz w:val="34"/>
    </w:rPr>
  </w:style>
  <w:style w:type="character" w:styleId="1195" w:default="1">
    <w:name w:val="Default Paragraph Font"/>
    <w:uiPriority w:val="1"/>
    <w:semiHidden/>
    <w:unhideWhenUsed/>
    <w:qFormat/>
  </w:style>
  <w:style w:type="table" w:styleId="1196" w:default="1">
    <w:name w:val="Normal Table"/>
    <w:uiPriority w:val="99"/>
    <w:semiHidden/>
    <w:unhideWhenUsed/>
    <w:qFormat/>
    <w:tblPr>
      <w:tblCellMar>
        <w:left w:w="108" w:type="dxa"/>
        <w:top w:w="0" w:type="dxa"/>
        <w:right w:w="108" w:type="dxa"/>
        <w:bottom w:w="0" w:type="dxa"/>
      </w:tblCellMar>
    </w:tblPr>
  </w:style>
  <w:style w:type="paragraph" w:styleId="1197">
    <w:name w:val="Title"/>
    <w:basedOn w:val="1193"/>
    <w:next w:val="1193"/>
    <w:uiPriority w:val="10"/>
    <w:qFormat/>
    <w:pPr>
      <w:jc w:val="center"/>
      <w:spacing w:before="300" w:after="300"/>
      <w:outlineLvl w:val="0"/>
    </w:pPr>
    <w:rPr>
      <w:rFonts w:ascii="Cambria" w:hAnsi="Cambria"/>
      <w:b/>
      <w:bCs/>
      <w:sz w:val="36"/>
      <w:szCs w:val="32"/>
    </w:rPr>
  </w:style>
  <w:style w:type="paragraph" w:styleId="1198">
    <w:name w:val="Normal Indent"/>
    <w:basedOn w:val="1193"/>
    <w:uiPriority w:val="0"/>
    <w:qFormat/>
    <w:pPr>
      <w:ind w:firstLine="420"/>
    </w:pPr>
  </w:style>
  <w:style w:type="paragraph" w:styleId="1199">
    <w:name w:val="Document Map"/>
    <w:basedOn w:val="1193"/>
    <w:uiPriority w:val="0"/>
    <w:qFormat/>
    <w:rPr>
      <w:rFonts w:ascii="宋体" w:hAnsi="Calibri"/>
      <w:sz w:val="18"/>
      <w:szCs w:val="18"/>
    </w:rPr>
  </w:style>
  <w:style w:type="paragraph" w:styleId="1200">
    <w:name w:val="annotation text"/>
    <w:basedOn w:val="1193"/>
    <w:uiPriority w:val="0"/>
    <w:qFormat/>
    <w:pPr>
      <w:jc w:val="left"/>
    </w:pPr>
  </w:style>
  <w:style w:type="paragraph" w:styleId="1201">
    <w:name w:val="Body Text"/>
    <w:basedOn w:val="1193"/>
    <w:uiPriority w:val="0"/>
    <w:qFormat/>
    <w:pPr>
      <w:spacing w:after="120"/>
    </w:pPr>
  </w:style>
  <w:style w:type="paragraph" w:styleId="1202">
    <w:name w:val="Body Text Indent"/>
    <w:basedOn w:val="1193"/>
    <w:uiPriority w:val="0"/>
    <w:qFormat/>
    <w:pPr>
      <w:ind w:left="420"/>
      <w:spacing w:after="120"/>
    </w:pPr>
  </w:style>
  <w:style w:type="paragraph" w:styleId="1203">
    <w:name w:val="Block Text"/>
    <w:basedOn w:val="1193"/>
    <w:next w:val="1193"/>
    <w:uiPriority w:val="6"/>
    <w:qFormat/>
    <w:pPr>
      <w:ind w:left="256" w:right="6" w:firstLine="624"/>
    </w:pPr>
    <w:rPr>
      <w:rFonts w:eastAsia="仿宋"/>
      <w:sz w:val="28"/>
      <w:szCs w:val="20"/>
    </w:rPr>
  </w:style>
  <w:style w:type="paragraph" w:styleId="1204">
    <w:name w:val="index 4"/>
    <w:basedOn w:val="1193"/>
    <w:next w:val="1193"/>
    <w:uiPriority w:val="99"/>
    <w:qFormat/>
    <w:pPr>
      <w:ind w:left="600"/>
    </w:pPr>
  </w:style>
  <w:style w:type="paragraph" w:styleId="1205">
    <w:name w:val="Plain Text"/>
    <w:basedOn w:val="1193"/>
    <w:uiPriority w:val="99"/>
    <w:qFormat/>
    <w:rPr>
      <w:rFonts w:ascii="宋体" w:hAnsi="Courier New" w:cstheme="minorBidi"/>
      <w:szCs w:val="22"/>
    </w:rPr>
  </w:style>
  <w:style w:type="paragraph" w:styleId="1206">
    <w:name w:val="Balloon Text"/>
    <w:basedOn w:val="1193"/>
    <w:link w:val="1240"/>
    <w:uiPriority w:val="0"/>
    <w:qFormat/>
    <w:rPr>
      <w:sz w:val="18"/>
      <w:szCs w:val="18"/>
    </w:rPr>
  </w:style>
  <w:style w:type="paragraph" w:styleId="1207">
    <w:name w:val="Footer"/>
    <w:basedOn w:val="1193"/>
    <w:uiPriority w:val="0"/>
    <w:unhideWhenUsed/>
    <w:qFormat/>
    <w:pPr>
      <w:tabs>
        <w:tab w:val="center" w:pos="7143" w:leader="none"/>
        <w:tab w:val="right" w:pos="14287" w:leader="none"/>
      </w:tabs>
    </w:pPr>
  </w:style>
  <w:style w:type="paragraph" w:styleId="1208">
    <w:name w:val="toc 1"/>
    <w:basedOn w:val="1193"/>
    <w:next w:val="1193"/>
    <w:uiPriority w:val="39"/>
    <w:unhideWhenUsed/>
    <w:qFormat/>
    <w:pPr>
      <w:jc w:val="left"/>
      <w:spacing w:after="100" w:line="259" w:lineRule="auto"/>
      <w:widowControl/>
    </w:pPr>
    <w:rPr>
      <w:rFonts w:ascii="Calibri" w:hAnsi="Calibri"/>
      <w:sz w:val="22"/>
      <w:szCs w:val="22"/>
    </w:rPr>
  </w:style>
  <w:style w:type="paragraph" w:styleId="1209">
    <w:name w:val="Body Text 2"/>
    <w:basedOn w:val="1193"/>
    <w:next w:val="1201"/>
    <w:uiPriority w:val="0"/>
    <w:qFormat/>
    <w:pPr>
      <w:ind w:right="340"/>
      <w:spacing w:line="240" w:lineRule="atLeast"/>
      <w:tabs>
        <w:tab w:val="left" w:pos="705" w:leader="none"/>
        <w:tab w:val="left" w:pos="8280" w:leader="none"/>
      </w:tabs>
    </w:pPr>
    <w:rPr>
      <w:rFonts w:ascii="宋体"/>
      <w:sz w:val="28"/>
    </w:rPr>
  </w:style>
  <w:style w:type="paragraph" w:styleId="1210">
    <w:name w:val="Normal (Web)"/>
    <w:basedOn w:val="1193"/>
    <w:uiPriority w:val="0"/>
    <w:qFormat/>
    <w:pPr>
      <w:jc w:val="left"/>
      <w:spacing w:before="100" w:beforeAutospacing="1" w:after="100" w:afterAutospacing="1"/>
      <w:widowControl/>
    </w:pPr>
    <w:rPr>
      <w:rFonts w:ascii="宋体" w:hAnsi="宋体" w:cs="宋体"/>
      <w:sz w:val="24"/>
    </w:rPr>
  </w:style>
  <w:style w:type="paragraph" w:styleId="1211">
    <w:name w:val="Body Text First Indent"/>
    <w:basedOn w:val="1201"/>
    <w:uiPriority w:val="0"/>
    <w:qFormat/>
    <w:pPr>
      <w:ind w:firstLine="420"/>
    </w:pPr>
  </w:style>
  <w:style w:type="paragraph" w:styleId="1212">
    <w:name w:val="Body Text First Indent 2"/>
    <w:basedOn w:val="1202"/>
    <w:uiPriority w:val="0"/>
    <w:qFormat/>
    <w:pPr>
      <w:ind w:firstLine="420"/>
    </w:pPr>
  </w:style>
  <w:style w:type="table" w:styleId="1213">
    <w:name w:val="Table Grid"/>
    <w:basedOn w:val="11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14">
    <w:name w:val="Strong"/>
    <w:basedOn w:val="1195"/>
    <w:uiPriority w:val="0"/>
    <w:qFormat/>
    <w:rPr>
      <w:rFonts w:ascii="Tahoma" w:hAnsi="Tahoma"/>
      <w:b/>
      <w:bCs/>
      <w:sz w:val="24"/>
    </w:rPr>
  </w:style>
  <w:style w:type="character" w:styleId="1215">
    <w:name w:val="annotation reference"/>
    <w:basedOn w:val="1195"/>
    <w:uiPriority w:val="0"/>
    <w:qFormat/>
    <w:rPr>
      <w:sz w:val="21"/>
      <w:szCs w:val="21"/>
    </w:rPr>
  </w:style>
  <w:style w:type="paragraph" w:styleId="1216" w:customStyle="1">
    <w:name w:val="目录 11"/>
    <w:basedOn w:val="1217"/>
    <w:next w:val="1193"/>
    <w:uiPriority w:val="0"/>
    <w:qFormat/>
    <w:pPr>
      <w:jc w:val="left"/>
      <w:spacing w:after="100" w:line="259" w:lineRule="auto"/>
      <w:widowControl/>
    </w:pPr>
    <w:rPr>
      <w:rFonts w:ascii="Calibri" w:hAnsi="Calibri"/>
      <w:sz w:val="22"/>
      <w:szCs w:val="22"/>
    </w:rPr>
  </w:style>
  <w:style w:type="paragraph" w:styleId="1217" w:customStyle="1">
    <w:name w:val="正文12"/>
    <w:next w:val="1218"/>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脚注文本1"/>
    <w:basedOn w:val="1219"/>
    <w:next w:val="1222"/>
    <w:uiPriority w:val="0"/>
    <w:qFormat/>
    <w:pPr>
      <w:jc w:val="left"/>
    </w:pPr>
    <w:rPr>
      <w:rFonts w:ascii="宋体" w:eastAsia="Times New Roman"/>
      <w:sz w:val="18"/>
      <w:szCs w:val="18"/>
    </w:rPr>
  </w:style>
  <w:style w:type="paragraph" w:styleId="1219" w:customStyle="1">
    <w:name w:val="正文1"/>
    <w:basedOn w:val="1220"/>
    <w:next w:val="1218"/>
    <w:uiPriority w:val="0"/>
    <w:qFormat/>
    <w:pPr>
      <w:ind w:firstLine="200"/>
      <w:spacing w:line="500" w:lineRule="exact"/>
    </w:pPr>
    <w:rPr>
      <w:rFonts w:eastAsia="仿宋"/>
      <w:sz w:val="24"/>
    </w:rPr>
  </w:style>
  <w:style w:type="paragraph" w:styleId="1220" w:customStyle="1">
    <w:name w:val="正文111"/>
    <w:next w:val="1221"/>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目录 111"/>
    <w:basedOn w:val="1220"/>
    <w:next w:val="1220"/>
    <w:uiPriority w:val="0"/>
    <w:qFormat/>
    <w:pPr>
      <w:jc w:val="left"/>
      <w:spacing w:after="100" w:line="259" w:lineRule="auto"/>
      <w:widowControl/>
    </w:pPr>
    <w:rPr>
      <w:rFonts w:ascii="Calibri" w:hAnsi="Calibri"/>
      <w:sz w:val="22"/>
      <w:szCs w:val="22"/>
    </w:rPr>
  </w:style>
  <w:style w:type="paragraph" w:styleId="1222" w:customStyle="1">
    <w:name w:val="索引 51"/>
    <w:basedOn w:val="1223"/>
    <w:next w:val="1219"/>
    <w:uiPriority w:val="0"/>
    <w:qFormat/>
    <w:pPr>
      <w:ind w:left="798"/>
      <w:jc w:val="left"/>
    </w:pPr>
    <w:rPr>
      <w:rFonts w:ascii="Calibri" w:hAnsi="Calibri"/>
    </w:rPr>
  </w:style>
  <w:style w:type="paragraph" w:styleId="1223" w:customStyle="1">
    <w:name w:val="正文11"/>
    <w:next w:val="1224"/>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正文文本 21"/>
    <w:basedOn w:val="1223"/>
    <w:uiPriority w:val="0"/>
    <w:qFormat/>
    <w:pPr>
      <w:spacing w:after="120" w:line="480" w:lineRule="auto"/>
    </w:pPr>
  </w:style>
  <w:style w:type="paragraph" w:styleId="1225" w:customStyle="1">
    <w:name w:val="正文文本1"/>
    <w:basedOn w:val="1223"/>
    <w:next w:val="1219"/>
    <w:uiPriority w:val="0"/>
    <w:qFormat/>
    <w:pPr>
      <w:spacing w:after="120"/>
    </w:pPr>
  </w:style>
  <w:style w:type="paragraph" w:styleId="1226" w:customStyle="1">
    <w:name w:val="正文缩进1"/>
    <w:basedOn w:val="1223"/>
    <w:uiPriority w:val="0"/>
    <w:qFormat/>
    <w:pPr>
      <w:ind w:firstLine="420"/>
    </w:pPr>
  </w:style>
  <w:style w:type="paragraph" w:styleId="1227" w:customStyle="1">
    <w:name w:val="页眉1"/>
    <w:basedOn w:val="1223"/>
    <w:uiPriority w:val="0"/>
    <w:qFormat/>
    <w:pPr>
      <w:jc w:val="center"/>
      <w:tabs>
        <w:tab w:val="center" w:pos="4153" w:leader="none"/>
        <w:tab w:val="right" w:pos="8306" w:leader="none"/>
      </w:tabs>
      <w:pBdr>
        <w:bottom w:val="single" w:color="000000" w:sz="6" w:space="1"/>
      </w:pBdr>
    </w:pPr>
    <w:rPr>
      <w:sz w:val="18"/>
      <w:szCs w:val="18"/>
    </w:rPr>
  </w:style>
  <w:style w:type="paragraph" w:styleId="1228" w:customStyle="1">
    <w:name w:val="页脚1"/>
    <w:basedOn w:val="1223"/>
    <w:uiPriority w:val="0"/>
    <w:qFormat/>
    <w:pPr>
      <w:jc w:val="left"/>
      <w:tabs>
        <w:tab w:val="center" w:pos="4153" w:leader="none"/>
        <w:tab w:val="right" w:pos="8306" w:leader="none"/>
      </w:tabs>
    </w:pPr>
    <w:rPr>
      <w:sz w:val="18"/>
      <w:szCs w:val="18"/>
    </w:rPr>
  </w:style>
  <w:style w:type="paragraph" w:styleId="1229" w:customStyle="1">
    <w:name w:val="文本块11"/>
    <w:basedOn w:val="1193"/>
    <w:uiPriority w:val="6"/>
    <w:unhideWhenUsed/>
    <w:qFormat/>
    <w:pPr>
      <w:ind w:left="1440" w:right="1440"/>
      <w:spacing w:after="120"/>
    </w:pPr>
  </w:style>
  <w:style w:type="paragraph" w:styleId="1230" w:customStyle="1">
    <w:name w:val="日期1"/>
    <w:basedOn w:val="1223"/>
    <w:next w:val="1223"/>
    <w:uiPriority w:val="0"/>
    <w:qFormat/>
    <w:rPr>
      <w:rFonts w:eastAsia="仿宋_GB2312"/>
      <w:sz w:val="28"/>
      <w:szCs w:val="20"/>
    </w:rPr>
  </w:style>
  <w:style w:type="paragraph" w:styleId="1231" w:customStyle="1">
    <w:name w:val="Plain Text1"/>
    <w:basedOn w:val="1223"/>
    <w:uiPriority w:val="0"/>
    <w:qFormat/>
    <w:pPr>
      <w:jc w:val="left"/>
    </w:pPr>
    <w:rPr>
      <w:rFonts w:ascii="宋体" w:hAnsi="宋体" w:eastAsia="楷体_GB2312"/>
      <w:sz w:val="26"/>
      <w:szCs w:val="20"/>
    </w:rPr>
  </w:style>
  <w:style w:type="paragraph" w:styleId="1232" w:customStyle="1">
    <w:name w:val="标准"/>
    <w:basedOn w:val="1193"/>
    <w:uiPriority w:val="0"/>
    <w:qFormat/>
    <w:pPr>
      <w:ind w:firstLine="200"/>
      <w:spacing w:line="360" w:lineRule="auto"/>
    </w:pPr>
    <w:rPr>
      <w:rFonts w:cs="宋体"/>
      <w:sz w:val="20"/>
      <w:szCs w:val="20"/>
    </w:rPr>
  </w:style>
  <w:style w:type="character" w:styleId="1233" w:customStyle="1">
    <w:name w:val="NormalCharacter"/>
    <w:link w:val="1234"/>
    <w:uiPriority w:val="0"/>
    <w:semiHidden/>
    <w:qFormat/>
    <w:rPr>
      <w:rFonts w:hint="default" w:ascii="Times New Roman" w:hAnsi="Times New Roman" w:eastAsia="宋体" w:cs="Times New Roman"/>
      <w:color w:val="000000"/>
      <w:sz w:val="24"/>
      <w:szCs w:val="24"/>
      <w:lang w:val="en-US" w:eastAsia="zh-CN" w:bidi="ar-SA"/>
    </w:rPr>
  </w:style>
  <w:style w:type="paragraph" w:styleId="1234" w:customStyle="1">
    <w:name w:val="UserStyle_0"/>
    <w:link w:val="1233"/>
    <w:uiPriority w:val="0"/>
    <w:qFormat/>
    <w:rPr>
      <w:rFonts w:hint="default" w:ascii="Times New Roman" w:hAnsi="Times New Roman" w:eastAsia="宋体" w:cs="Times New Roman"/>
      <w:color w:val="000000"/>
      <w:sz w:val="24"/>
      <w:szCs w:val="24"/>
      <w:lang w:val="en-US" w:eastAsia="zh-CN" w:bidi="ar-SA"/>
    </w:rPr>
  </w:style>
  <w:style w:type="paragraph" w:styleId="1235" w:customStyle="1">
    <w:name w:val="普通(网站)1"/>
    <w:basedOn w:val="1223"/>
    <w:uiPriority w:val="0"/>
    <w:qFormat/>
    <w:pPr>
      <w:jc w:val="left"/>
      <w:spacing w:before="100" w:beforeAutospacing="1" w:after="100" w:afterAutospacing="1"/>
      <w:widowControl/>
    </w:pPr>
    <w:rPr>
      <w:rFonts w:ascii="宋体" w:hAnsi="宋体"/>
      <w:sz w:val="24"/>
    </w:rPr>
  </w:style>
  <w:style w:type="paragraph" w:styleId="1236" w:customStyle="1">
    <w:name w:val="正文文本缩进1"/>
    <w:basedOn w:val="1223"/>
    <w:next w:val="1237"/>
    <w:uiPriority w:val="0"/>
    <w:qFormat/>
    <w:pPr>
      <w:ind w:left="420"/>
      <w:spacing w:after="120"/>
    </w:pPr>
  </w:style>
  <w:style w:type="paragraph" w:styleId="1237" w:customStyle="1">
    <w:name w:val="寄信人地址1"/>
    <w:basedOn w:val="1223"/>
    <w:uiPriority w:val="0"/>
    <w:qFormat/>
    <w:pPr>
      <w:ind w:firstLine="200"/>
    </w:pPr>
    <w:rPr>
      <w:rFonts w:ascii="Arial" w:hAnsi="Arial" w:eastAsia="仿宋_GB2312"/>
    </w:rPr>
  </w:style>
  <w:style w:type="paragraph" w:styleId="123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9">
    <w:name w:val="List Paragraph"/>
    <w:basedOn w:val="1193"/>
    <w:uiPriority w:val="34"/>
    <w:qFormat/>
    <w:pPr>
      <w:ind w:firstLine="420"/>
    </w:pPr>
    <w:rPr>
      <w:rFonts w:ascii="Calibri" w:hAnsi="Calibri"/>
    </w:rPr>
  </w:style>
  <w:style w:type="character" w:styleId="1240" w:customStyle="1">
    <w:name w:val="批注框文本 字符"/>
    <w:basedOn w:val="1195"/>
    <w:link w:val="1206"/>
    <w:uiPriority w:val="0"/>
    <w:qFormat/>
    <w:rPr>
      <w:rFonts w:ascii="Times New Roman" w:hAnsi="Times New Roman" w:eastAsia="宋体" w:cs="Times New Roman"/>
      <w:sz w:val="18"/>
      <w:szCs w:val="18"/>
    </w:rPr>
  </w:style>
  <w:style w:type="paragraph" w:styleId="1241" w:customStyle="1">
    <w:name w:val="普通正文"/>
    <w:basedOn w:val="1193"/>
    <w:uiPriority w:val="0"/>
    <w:qFormat/>
    <w:pPr>
      <w:ind w:firstLine="480"/>
      <w:spacing w:before="120" w:after="120" w:line="360" w:lineRule="auto"/>
    </w:pPr>
    <w:rPr>
      <w:rFonts w:ascii="Arial" w:hAnsi="Arial"/>
      <w:sz w:val="24"/>
    </w:rPr>
  </w:style>
  <w:style w:type="paragraph" w:styleId="1242" w:customStyle="1">
    <w:name w:val="_HT_正文"/>
    <w:basedOn w:val="1193"/>
    <w:uiPriority w:val="0"/>
    <w:qFormat/>
    <w:pPr>
      <w:ind w:firstLine="200"/>
      <w:jc w:val="both"/>
      <w:spacing w:line="360" w:lineRule="auto"/>
    </w:pPr>
    <w:rPr>
      <w:sz w:val="24"/>
    </w:rPr>
  </w:style>
  <w:style w:type="paragraph" w:styleId="1243" w:customStyle="1">
    <w:name w:val="Table Text"/>
    <w:basedOn w:val="1193"/>
    <w:uiPriority w:val="0"/>
    <w:semiHidden/>
    <w:qFormat/>
    <w:rPr>
      <w:rFonts w:ascii="微软雅黑" w:hAnsi="微软雅黑" w:eastAsia="微软雅黑" w:cs="微软雅黑"/>
      <w:sz w:val="20"/>
      <w:szCs w:val="20"/>
    </w:rPr>
  </w:style>
  <w:style w:type="table" w:styleId="1244" w:customStyle="1">
    <w:name w:val="Table Normal"/>
    <w:uiPriority w:val="0"/>
    <w:unhideWhenUsed/>
    <w:qFormat/>
    <w:tblPr>
      <w:tblCellMar>
        <w:left w:w="0" w:type="dxa"/>
        <w:top w:w="0" w:type="dxa"/>
        <w:right w:w="0" w:type="dxa"/>
        <w:bottom w:w="0" w:type="dxa"/>
      </w:tblCellMar>
    </w:tblPr>
  </w:style>
  <w:style w:type="numbering" w:styleId="12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D7A203D-0451-4B77-A0D0-B7CBE3DC82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高珂</cp:lastModifiedBy>
  <cp:revision>26</cp:revision>
  <dcterms:created xsi:type="dcterms:W3CDTF">2023-03-20T01:43:00Z</dcterms:created>
  <dcterms:modified xsi:type="dcterms:W3CDTF">2024-07-02T08:51:27Z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4C5E33F6E68242A2A0A7D16D1A94C59F_13</vt:lpwstr>
  </property>
</Properties>
</file>