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7C4EEE">
      <w:pPr>
        <w:pStyle w:val="12"/>
        <w:rPr>
          <w:rFonts w:hint="eastAsia" w:ascii="宋体" w:hAnsi="宋体" w:eastAsia="宋体"/>
          <w:b/>
          <w:bCs/>
          <w:sz w:val="32"/>
          <w:szCs w:val="32"/>
        </w:rPr>
      </w:pPr>
    </w:p>
    <w:p w14:paraId="0AECBE0E">
      <w:pPr>
        <w:rPr>
          <w:rFonts w:hint="eastAsia" w:ascii="宋体" w:hAnsi="宋体" w:eastAsia="宋体"/>
          <w:b/>
          <w:bCs/>
          <w:sz w:val="32"/>
          <w:szCs w:val="32"/>
        </w:rPr>
      </w:pPr>
    </w:p>
    <w:p w14:paraId="3743DE67">
      <w:pPr>
        <w:widowControl/>
        <w:shd w:val="clear" w:color="auto" w:fill="FFFFFF"/>
        <w:wordWrap w:val="0"/>
        <w:spacing w:line="360" w:lineRule="auto"/>
        <w:rPr>
          <w:rFonts w:hint="eastAsia" w:ascii="宋体" w:hAnsi="宋体" w:eastAsia="宋体"/>
          <w:b/>
          <w:bCs/>
          <w:sz w:val="32"/>
          <w:szCs w:val="32"/>
        </w:rPr>
      </w:pPr>
    </w:p>
    <w:p w14:paraId="41B7DB8D">
      <w:pPr>
        <w:pStyle w:val="12"/>
        <w:rPr>
          <w:rFonts w:hint="eastAsia"/>
        </w:rPr>
      </w:pPr>
    </w:p>
    <w:p w14:paraId="456E8AA9">
      <w:pPr>
        <w:widowControl/>
        <w:shd w:val="clear" w:color="auto" w:fill="FFFFFF"/>
        <w:wordWrap w:val="0"/>
        <w:spacing w:line="360" w:lineRule="auto"/>
        <w:jc w:val="center"/>
        <w:rPr>
          <w:rFonts w:hint="eastAsia" w:ascii="宋体" w:hAnsi="宋体" w:eastAsia="宋体"/>
          <w:b/>
          <w:bCs/>
          <w:sz w:val="32"/>
          <w:szCs w:val="32"/>
        </w:rPr>
      </w:pPr>
      <w:r>
        <w:rPr>
          <w:rFonts w:hint="eastAsia" w:ascii="宋体" w:hAnsi="宋体" w:eastAsia="宋体"/>
          <w:b/>
          <w:bCs/>
          <w:sz w:val="32"/>
          <w:szCs w:val="32"/>
        </w:rPr>
        <w:t>政府采购合同</w:t>
      </w:r>
    </w:p>
    <w:p w14:paraId="3CCA5873">
      <w:pPr>
        <w:widowControl/>
        <w:shd w:val="clear" w:color="auto" w:fill="FFFFFF"/>
        <w:wordWrap w:val="0"/>
        <w:spacing w:line="360" w:lineRule="auto"/>
        <w:rPr>
          <w:rFonts w:hint="eastAsia" w:ascii="宋体" w:hAnsi="宋体"/>
          <w:b/>
          <w:bCs/>
          <w:sz w:val="36"/>
          <w:szCs w:val="36"/>
        </w:rPr>
      </w:pPr>
    </w:p>
    <w:p w14:paraId="39B01290">
      <w:pPr>
        <w:widowControl/>
        <w:shd w:val="clear" w:color="auto" w:fill="FFFFFF"/>
        <w:wordWrap w:val="0"/>
        <w:spacing w:line="360" w:lineRule="auto"/>
        <w:ind w:firstLine="315"/>
        <w:rPr>
          <w:rFonts w:ascii="宋体" w:hAnsi="宋体"/>
          <w:szCs w:val="21"/>
        </w:rPr>
      </w:pPr>
    </w:p>
    <w:p w14:paraId="32C4EF89">
      <w:pPr>
        <w:widowControl/>
        <w:shd w:val="clear" w:color="auto" w:fill="FFFFFF"/>
        <w:wordWrap w:val="0"/>
        <w:spacing w:line="360" w:lineRule="auto"/>
        <w:ind w:firstLine="315"/>
        <w:rPr>
          <w:rFonts w:ascii="宋体" w:hAnsi="宋体"/>
          <w:szCs w:val="21"/>
        </w:rPr>
      </w:pPr>
    </w:p>
    <w:p w14:paraId="482630B6">
      <w:pPr>
        <w:widowControl/>
        <w:shd w:val="clear" w:color="auto" w:fill="FFFFFF"/>
        <w:wordWrap w:val="0"/>
        <w:spacing w:line="360" w:lineRule="auto"/>
        <w:ind w:firstLine="315"/>
        <w:rPr>
          <w:rFonts w:ascii="宋体" w:hAnsi="宋体"/>
          <w:szCs w:val="21"/>
        </w:rPr>
      </w:pPr>
    </w:p>
    <w:p w14:paraId="7C279D11">
      <w:pPr>
        <w:widowControl/>
        <w:shd w:val="clear" w:color="auto" w:fill="FFFFFF"/>
        <w:wordWrap w:val="0"/>
        <w:spacing w:line="360" w:lineRule="auto"/>
        <w:ind w:firstLine="315"/>
        <w:rPr>
          <w:rFonts w:ascii="宋体" w:hAnsi="宋体"/>
          <w:szCs w:val="21"/>
        </w:rPr>
      </w:pPr>
    </w:p>
    <w:p w14:paraId="16C1850C">
      <w:pPr>
        <w:widowControl/>
        <w:shd w:val="clear" w:color="auto" w:fill="FFFFFF"/>
        <w:wordWrap w:val="0"/>
        <w:spacing w:line="360" w:lineRule="auto"/>
        <w:ind w:firstLine="315"/>
        <w:rPr>
          <w:rFonts w:ascii="宋体" w:hAnsi="宋体"/>
          <w:szCs w:val="21"/>
        </w:rPr>
      </w:pPr>
    </w:p>
    <w:p w14:paraId="1919D82E">
      <w:pPr>
        <w:widowControl/>
        <w:shd w:val="clear" w:color="auto" w:fill="FFFFFF"/>
        <w:wordWrap w:val="0"/>
        <w:spacing w:line="360" w:lineRule="auto"/>
        <w:rPr>
          <w:rFonts w:hint="eastAsia" w:ascii="宋体" w:hAnsi="宋体" w:eastAsia="等线"/>
          <w:szCs w:val="21"/>
        </w:rPr>
      </w:pPr>
    </w:p>
    <w:p w14:paraId="0F8726BE">
      <w:pPr>
        <w:widowControl/>
        <w:shd w:val="clear" w:color="auto" w:fill="FFFFFF"/>
        <w:wordWrap w:val="0"/>
        <w:spacing w:line="360" w:lineRule="auto"/>
        <w:rPr>
          <w:rFonts w:ascii="宋体" w:hAnsi="宋体"/>
          <w:szCs w:val="21"/>
        </w:rPr>
      </w:pPr>
    </w:p>
    <w:p w14:paraId="4EE60C2F">
      <w:pPr>
        <w:widowControl/>
        <w:shd w:val="clear" w:color="auto" w:fill="FFFFFF"/>
        <w:wordWrap w:val="0"/>
        <w:spacing w:line="360" w:lineRule="auto"/>
        <w:ind w:firstLine="602" w:firstLineChars="200"/>
        <w:rPr>
          <w:rFonts w:hint="eastAsia" w:ascii="宋体" w:hAnsi="宋体" w:eastAsia="宋体"/>
          <w:sz w:val="30"/>
          <w:szCs w:val="30"/>
        </w:rPr>
      </w:pPr>
      <w:r>
        <w:rPr>
          <w:rFonts w:hint="eastAsia" w:ascii="宋体" w:hAnsi="宋体" w:eastAsia="宋体"/>
          <w:b/>
          <w:bCs/>
          <w:sz w:val="30"/>
          <w:szCs w:val="30"/>
        </w:rPr>
        <w:t>合同编号 ：</w:t>
      </w:r>
      <w:r>
        <w:rPr>
          <w:rFonts w:hint="eastAsia" w:ascii="宋体" w:hAnsi="宋体" w:eastAsia="宋体"/>
          <w:b/>
          <w:bCs/>
          <w:sz w:val="30"/>
          <w:szCs w:val="30"/>
          <w:u w:val="single"/>
        </w:rPr>
        <w:t>JSZC-320100-JSCY-G2025-0037</w:t>
      </w:r>
    </w:p>
    <w:p w14:paraId="6A6E33A6">
      <w:pPr>
        <w:widowControl/>
        <w:shd w:val="clear" w:color="auto" w:fill="FFFFFF"/>
        <w:wordWrap w:val="0"/>
        <w:spacing w:line="360" w:lineRule="auto"/>
        <w:ind w:firstLine="602" w:firstLineChars="200"/>
        <w:rPr>
          <w:rFonts w:hint="eastAsia" w:ascii="宋体" w:hAnsi="宋体" w:eastAsia="宋体"/>
          <w:sz w:val="30"/>
          <w:szCs w:val="30"/>
        </w:rPr>
      </w:pPr>
      <w:r>
        <w:rPr>
          <w:rFonts w:hint="eastAsia" w:ascii="宋体" w:hAnsi="宋体" w:eastAsia="宋体"/>
          <w:b/>
          <w:bCs/>
          <w:sz w:val="30"/>
          <w:szCs w:val="30"/>
        </w:rPr>
        <w:t>项目名称 ：</w:t>
      </w:r>
      <w:r>
        <w:rPr>
          <w:rFonts w:ascii="宋体" w:hAnsi="宋体" w:eastAsia="宋体"/>
          <w:b/>
          <w:bCs/>
          <w:sz w:val="30"/>
          <w:szCs w:val="30"/>
          <w:u w:val="single"/>
        </w:rPr>
        <w:t>南京市体育运动学校2025年度训练器材采购</w:t>
      </w:r>
    </w:p>
    <w:p w14:paraId="20C05993">
      <w:pPr>
        <w:widowControl/>
        <w:shd w:val="clear" w:color="auto" w:fill="FFFFFF"/>
        <w:wordWrap w:val="0"/>
        <w:spacing w:line="360" w:lineRule="auto"/>
        <w:ind w:firstLine="602" w:firstLineChars="200"/>
        <w:rPr>
          <w:rFonts w:hint="eastAsia" w:ascii="宋体" w:hAnsi="宋体" w:eastAsia="宋体"/>
          <w:sz w:val="30"/>
          <w:szCs w:val="30"/>
        </w:rPr>
      </w:pPr>
      <w:r>
        <w:rPr>
          <w:rFonts w:hint="eastAsia" w:ascii="宋体" w:hAnsi="宋体" w:eastAsia="宋体"/>
          <w:b/>
          <w:bCs/>
          <w:sz w:val="30"/>
          <w:szCs w:val="30"/>
        </w:rPr>
        <w:t>采 购 人 ：</w:t>
      </w:r>
      <w:r>
        <w:rPr>
          <w:rFonts w:ascii="宋体" w:hAnsi="宋体" w:eastAsia="宋体"/>
          <w:b/>
          <w:bCs/>
          <w:sz w:val="30"/>
          <w:szCs w:val="30"/>
          <w:u w:val="single"/>
        </w:rPr>
        <w:t>南京市体育运动学校</w:t>
      </w:r>
    </w:p>
    <w:p w14:paraId="0E390FF5">
      <w:pPr>
        <w:widowControl/>
        <w:shd w:val="clear" w:color="auto" w:fill="FFFFFF"/>
        <w:wordWrap w:val="0"/>
        <w:spacing w:line="360" w:lineRule="auto"/>
        <w:ind w:firstLine="602" w:firstLineChars="200"/>
        <w:rPr>
          <w:rFonts w:hint="eastAsia" w:ascii="宋体" w:hAnsi="宋体" w:eastAsia="宋体"/>
          <w:sz w:val="30"/>
          <w:szCs w:val="30"/>
        </w:rPr>
      </w:pPr>
      <w:r>
        <w:rPr>
          <w:rFonts w:hint="eastAsia" w:ascii="宋体" w:hAnsi="宋体" w:eastAsia="宋体"/>
          <w:b/>
          <w:bCs/>
          <w:sz w:val="30"/>
          <w:szCs w:val="30"/>
        </w:rPr>
        <w:t>供 应 商 ：</w:t>
      </w:r>
      <w:r>
        <w:rPr>
          <w:rFonts w:hint="eastAsia" w:ascii="宋体" w:hAnsi="宋体" w:eastAsia="宋体"/>
          <w:b/>
          <w:bCs/>
          <w:sz w:val="30"/>
          <w:szCs w:val="30"/>
          <w:u w:val="single"/>
        </w:rPr>
        <w:t>徐州荣阳体育用品有限公司</w:t>
      </w:r>
    </w:p>
    <w:p w14:paraId="3E25DC48">
      <w:pPr>
        <w:widowControl/>
        <w:shd w:val="clear" w:color="auto" w:fill="FFFFFF"/>
        <w:wordWrap w:val="0"/>
        <w:spacing w:line="360" w:lineRule="auto"/>
        <w:ind w:firstLine="602" w:firstLineChars="200"/>
        <w:rPr>
          <w:rFonts w:hint="eastAsia" w:ascii="宋体" w:hAnsi="宋体" w:eastAsia="宋体"/>
          <w:sz w:val="30"/>
          <w:szCs w:val="30"/>
        </w:rPr>
      </w:pPr>
      <w:r>
        <w:rPr>
          <w:rFonts w:hint="eastAsia" w:ascii="宋体" w:hAnsi="宋体" w:eastAsia="宋体"/>
          <w:b/>
          <w:bCs/>
          <w:sz w:val="30"/>
          <w:szCs w:val="30"/>
        </w:rPr>
        <w:t>签订日期 ：</w:t>
      </w:r>
      <w:r>
        <w:rPr>
          <w:rFonts w:hint="eastAsia" w:ascii="宋体" w:hAnsi="宋体" w:eastAsia="宋体"/>
          <w:b/>
          <w:bCs/>
          <w:sz w:val="30"/>
          <w:szCs w:val="30"/>
          <w:u w:val="single"/>
        </w:rPr>
        <w:t>二零二五年   月   日</w:t>
      </w:r>
    </w:p>
    <w:p w14:paraId="4D808B6D">
      <w:pPr>
        <w:widowControl/>
        <w:shd w:val="clear" w:color="auto" w:fill="FFFFFF"/>
        <w:wordWrap w:val="0"/>
        <w:spacing w:line="360" w:lineRule="auto"/>
        <w:rPr>
          <w:rFonts w:ascii="宋体" w:hAnsi="宋体" w:eastAsia="等线"/>
          <w:sz w:val="30"/>
          <w:szCs w:val="30"/>
        </w:rPr>
      </w:pPr>
      <w:r>
        <w:rPr>
          <w:rFonts w:hint="eastAsia" w:ascii="宋体" w:hAnsi="宋体"/>
          <w:sz w:val="30"/>
          <w:szCs w:val="30"/>
        </w:rPr>
        <w:t>     </w:t>
      </w:r>
    </w:p>
    <w:p w14:paraId="5771A332">
      <w:pPr>
        <w:pStyle w:val="11"/>
        <w:rPr>
          <w:rFonts w:hint="eastAsia" w:eastAsia="等线"/>
        </w:rPr>
      </w:pPr>
    </w:p>
    <w:p w14:paraId="3D8EA3C2">
      <w:pPr>
        <w:pStyle w:val="16"/>
        <w:wordWrap w:val="0"/>
        <w:rPr>
          <w:rFonts w:ascii="宋体" w:hAnsi="宋体"/>
          <w:sz w:val="30"/>
          <w:szCs w:val="30"/>
        </w:rPr>
      </w:pPr>
    </w:p>
    <w:p w14:paraId="242D2737">
      <w:pPr>
        <w:rPr>
          <w:rFonts w:eastAsia="等线"/>
          <w:lang w:val="en-GB"/>
        </w:rPr>
      </w:pPr>
    </w:p>
    <w:p w14:paraId="7346255F">
      <w:pPr>
        <w:pStyle w:val="11"/>
        <w:rPr>
          <w:rFonts w:eastAsia="等线"/>
          <w:lang w:val="en-GB"/>
        </w:rPr>
      </w:pPr>
    </w:p>
    <w:p w14:paraId="651496C9">
      <w:pPr>
        <w:rPr>
          <w:rFonts w:eastAsia="等线"/>
          <w:lang w:val="en-GB"/>
        </w:rPr>
      </w:pPr>
    </w:p>
    <w:p w14:paraId="61E97ECD">
      <w:pPr>
        <w:rPr>
          <w:rFonts w:eastAsia="等线"/>
          <w:lang w:val="en-GB"/>
        </w:rPr>
      </w:pPr>
    </w:p>
    <w:p w14:paraId="4CA171D6">
      <w:pPr>
        <w:rPr>
          <w:rFonts w:eastAsia="等线"/>
          <w:lang w:val="en-GB"/>
        </w:rPr>
      </w:pPr>
    </w:p>
    <w:p w14:paraId="4DFE4F63">
      <w:pPr>
        <w:rPr>
          <w:rFonts w:eastAsia="等线"/>
          <w:lang w:val="en-GB"/>
        </w:rPr>
      </w:pPr>
    </w:p>
    <w:p w14:paraId="01A2E2F0">
      <w:pPr>
        <w:rPr>
          <w:rFonts w:eastAsia="等线"/>
          <w:lang w:val="en-GB"/>
        </w:rPr>
      </w:pPr>
    </w:p>
    <w:p w14:paraId="5D79F7AB">
      <w:pPr>
        <w:rPr>
          <w:rFonts w:eastAsia="等线"/>
          <w:lang w:val="en-GB"/>
        </w:rPr>
      </w:pPr>
    </w:p>
    <w:p w14:paraId="6C167B4C">
      <w:pPr>
        <w:rPr>
          <w:rFonts w:eastAsia="等线"/>
          <w:lang w:val="en-GB"/>
        </w:rPr>
      </w:pPr>
    </w:p>
    <w:p w14:paraId="4B667BCC">
      <w:pPr>
        <w:rPr>
          <w:rFonts w:eastAsia="等线"/>
          <w:lang w:val="en-GB"/>
        </w:rPr>
      </w:pPr>
    </w:p>
    <w:p w14:paraId="0D83496D">
      <w:pPr>
        <w:rPr>
          <w:rFonts w:eastAsia="等线"/>
          <w:lang w:val="en-GB"/>
        </w:rPr>
      </w:pPr>
    </w:p>
    <w:p w14:paraId="453B9171">
      <w:pPr>
        <w:rPr>
          <w:rFonts w:hint="eastAsia" w:eastAsia="等线"/>
          <w:lang w:val="en-GB"/>
        </w:rPr>
      </w:pPr>
    </w:p>
    <w:p w14:paraId="55B259E2">
      <w:pPr>
        <w:rPr>
          <w:rFonts w:hint="eastAsia" w:eastAsia="等线"/>
          <w:lang w:val="en-GB"/>
        </w:rPr>
      </w:pPr>
    </w:p>
    <w:p w14:paraId="362F2405">
      <w:pPr>
        <w:pStyle w:val="11"/>
        <w:rPr>
          <w:rFonts w:eastAsia="等线"/>
          <w:lang w:val="en-GB"/>
        </w:rPr>
      </w:pPr>
    </w:p>
    <w:p w14:paraId="4985A364">
      <w:pPr>
        <w:rPr>
          <w:rFonts w:hint="eastAsia" w:eastAsia="等线"/>
          <w:lang w:val="en-GB"/>
        </w:rPr>
      </w:pPr>
    </w:p>
    <w:p w14:paraId="26DA096C">
      <w:pPr>
        <w:wordWrap w:val="0"/>
        <w:spacing w:line="360" w:lineRule="auto"/>
        <w:rPr>
          <w:rFonts w:hint="eastAsia" w:ascii="宋体" w:hAnsi="宋体" w:eastAsia="宋体"/>
          <w:bCs/>
          <w:sz w:val="24"/>
          <w:szCs w:val="24"/>
        </w:rPr>
      </w:pPr>
      <w:r>
        <w:rPr>
          <w:rFonts w:hint="eastAsia" w:ascii="宋体" w:hAnsi="宋体" w:eastAsia="宋体"/>
          <w:sz w:val="24"/>
          <w:szCs w:val="24"/>
        </w:rPr>
        <w:t>合同编号：</w:t>
      </w:r>
      <w:r>
        <w:rPr>
          <w:rFonts w:hint="eastAsia" w:ascii="宋体" w:hAnsi="宋体" w:eastAsia="宋体"/>
          <w:bCs/>
          <w:sz w:val="24"/>
          <w:szCs w:val="24"/>
          <w:lang w:val="en-US"/>
        </w:rPr>
        <w:t>JSZC-320100-JSCY-G2025-0037</w:t>
      </w:r>
    </w:p>
    <w:p w14:paraId="15A842C3">
      <w:pPr>
        <w:wordWrap w:val="0"/>
        <w:spacing w:line="360" w:lineRule="auto"/>
        <w:rPr>
          <w:rFonts w:hint="eastAsia" w:ascii="宋体" w:hAnsi="宋体" w:eastAsia="宋体"/>
          <w:sz w:val="24"/>
          <w:szCs w:val="24"/>
        </w:rPr>
      </w:pPr>
      <w:r>
        <w:rPr>
          <w:rFonts w:hint="eastAsia" w:ascii="宋体" w:hAnsi="宋体" w:eastAsia="宋体"/>
          <w:sz w:val="24"/>
          <w:szCs w:val="24"/>
        </w:rPr>
        <w:t>政府采购计划号：</w:t>
      </w:r>
    </w:p>
    <w:tbl>
      <w:tblPr>
        <w:tblStyle w:val="17"/>
        <w:tblW w:w="5000" w:type="pct"/>
        <w:tblInd w:w="0" w:type="dxa"/>
        <w:tblLayout w:type="autofit"/>
        <w:tblCellMar>
          <w:top w:w="0" w:type="dxa"/>
          <w:left w:w="0" w:type="dxa"/>
          <w:bottom w:w="0" w:type="dxa"/>
          <w:right w:w="0" w:type="dxa"/>
        </w:tblCellMar>
      </w:tblPr>
      <w:tblGrid>
        <w:gridCol w:w="4816"/>
        <w:gridCol w:w="4930"/>
      </w:tblGrid>
      <w:tr w14:paraId="0B1B4B82">
        <w:tblPrEx>
          <w:tblCellMar>
            <w:top w:w="0" w:type="dxa"/>
            <w:left w:w="0" w:type="dxa"/>
            <w:bottom w:w="0" w:type="dxa"/>
            <w:right w:w="0" w:type="dxa"/>
          </w:tblCellMar>
        </w:tblPrEx>
        <w:tc>
          <w:tcPr>
            <w:tcW w:w="2471" w:type="pct"/>
            <w:tcBorders>
              <w:top w:val="nil"/>
              <w:left w:val="nil"/>
              <w:bottom w:val="nil"/>
              <w:right w:val="nil"/>
            </w:tcBorders>
          </w:tcPr>
          <w:p w14:paraId="609A31AF">
            <w:pPr>
              <w:wordWrap w:val="0"/>
              <w:autoSpaceDE w:val="0"/>
              <w:autoSpaceDN w:val="0"/>
              <w:adjustRightInd w:val="0"/>
              <w:spacing w:line="360" w:lineRule="auto"/>
              <w:jc w:val="left"/>
              <w:rPr>
                <w:rFonts w:ascii="宋体" w:hAnsi="宋体" w:eastAsia="宋体"/>
                <w:sz w:val="24"/>
                <w:szCs w:val="24"/>
              </w:rPr>
            </w:pPr>
            <w:r>
              <w:rPr>
                <w:rFonts w:hint="eastAsia" w:ascii="宋体" w:hAnsi="宋体" w:eastAsia="宋体"/>
                <w:sz w:val="24"/>
                <w:szCs w:val="24"/>
              </w:rPr>
              <w:t>采购人：</w:t>
            </w:r>
            <w:r>
              <w:rPr>
                <w:rFonts w:ascii="宋体" w:hAnsi="宋体" w:eastAsia="宋体"/>
                <w:sz w:val="24"/>
                <w:szCs w:val="24"/>
              </w:rPr>
              <w:t>南京市体育运动学校</w:t>
            </w:r>
          </w:p>
          <w:p w14:paraId="7315F419">
            <w:pPr>
              <w:wordWrap w:val="0"/>
              <w:autoSpaceDE w:val="0"/>
              <w:autoSpaceDN w:val="0"/>
              <w:adjustRightInd w:val="0"/>
              <w:spacing w:line="360" w:lineRule="auto"/>
              <w:jc w:val="left"/>
              <w:rPr>
                <w:rFonts w:hint="eastAsia" w:ascii="宋体" w:hAnsi="宋体" w:eastAsia="宋体"/>
                <w:sz w:val="24"/>
                <w:szCs w:val="24"/>
              </w:rPr>
            </w:pPr>
            <w:r>
              <w:rPr>
                <w:rFonts w:hint="eastAsia" w:ascii="宋体" w:hAnsi="宋体" w:eastAsia="宋体"/>
                <w:sz w:val="24"/>
                <w:szCs w:val="24"/>
              </w:rPr>
              <w:t>（以下称甲方）</w:t>
            </w:r>
          </w:p>
        </w:tc>
        <w:tc>
          <w:tcPr>
            <w:tcW w:w="2529" w:type="pct"/>
            <w:tcBorders>
              <w:top w:val="nil"/>
              <w:left w:val="nil"/>
              <w:bottom w:val="nil"/>
              <w:right w:val="nil"/>
            </w:tcBorders>
          </w:tcPr>
          <w:p w14:paraId="04AE650D">
            <w:pPr>
              <w:wordWrap w:val="0"/>
              <w:autoSpaceDE w:val="0"/>
              <w:autoSpaceDN w:val="0"/>
              <w:adjustRightInd w:val="0"/>
              <w:spacing w:line="360" w:lineRule="auto"/>
              <w:jc w:val="left"/>
              <w:rPr>
                <w:rFonts w:ascii="宋体" w:hAnsi="宋体" w:eastAsia="宋体"/>
                <w:sz w:val="24"/>
                <w:szCs w:val="24"/>
              </w:rPr>
            </w:pPr>
            <w:r>
              <w:rPr>
                <w:rFonts w:hint="eastAsia" w:ascii="宋体" w:hAnsi="宋体" w:eastAsia="宋体"/>
                <w:sz w:val="24"/>
                <w:szCs w:val="24"/>
              </w:rPr>
              <w:t>供应商：徐州荣阳体育用品有限公司</w:t>
            </w:r>
          </w:p>
          <w:p w14:paraId="2C426B4E">
            <w:pPr>
              <w:wordWrap w:val="0"/>
              <w:autoSpaceDE w:val="0"/>
              <w:autoSpaceDN w:val="0"/>
              <w:adjustRightInd w:val="0"/>
              <w:spacing w:line="360" w:lineRule="auto"/>
              <w:jc w:val="left"/>
              <w:rPr>
                <w:rFonts w:hint="eastAsia" w:ascii="宋体" w:hAnsi="宋体" w:eastAsia="宋体"/>
                <w:sz w:val="24"/>
                <w:szCs w:val="24"/>
              </w:rPr>
            </w:pPr>
            <w:r>
              <w:rPr>
                <w:rFonts w:hint="eastAsia" w:ascii="宋体" w:hAnsi="宋体" w:eastAsia="宋体"/>
                <w:sz w:val="24"/>
                <w:szCs w:val="24"/>
              </w:rPr>
              <w:t>（以下称乙方）</w:t>
            </w:r>
          </w:p>
        </w:tc>
      </w:tr>
      <w:tr w14:paraId="29EC612F">
        <w:tblPrEx>
          <w:tblCellMar>
            <w:top w:w="0" w:type="dxa"/>
            <w:left w:w="0" w:type="dxa"/>
            <w:bottom w:w="0" w:type="dxa"/>
            <w:right w:w="0" w:type="dxa"/>
          </w:tblCellMar>
        </w:tblPrEx>
        <w:tc>
          <w:tcPr>
            <w:tcW w:w="2471" w:type="pct"/>
            <w:tcBorders>
              <w:top w:val="nil"/>
              <w:left w:val="nil"/>
              <w:bottom w:val="nil"/>
              <w:right w:val="nil"/>
            </w:tcBorders>
          </w:tcPr>
          <w:p w14:paraId="312C683C">
            <w:pPr>
              <w:wordWrap w:val="0"/>
              <w:autoSpaceDE w:val="0"/>
              <w:autoSpaceDN w:val="0"/>
              <w:adjustRightInd w:val="0"/>
              <w:spacing w:line="360" w:lineRule="auto"/>
              <w:jc w:val="left"/>
              <w:rPr>
                <w:rFonts w:hint="eastAsia" w:ascii="宋体" w:hAnsi="宋体" w:eastAsia="宋体"/>
                <w:sz w:val="24"/>
                <w:szCs w:val="24"/>
              </w:rPr>
            </w:pPr>
            <w:r>
              <w:rPr>
                <w:rFonts w:hint="eastAsia" w:ascii="宋体" w:hAnsi="宋体" w:eastAsia="宋体"/>
                <w:sz w:val="24"/>
                <w:szCs w:val="24"/>
              </w:rPr>
              <w:t>住所地：南京市秦淮区公园路42号</w:t>
            </w:r>
          </w:p>
        </w:tc>
        <w:tc>
          <w:tcPr>
            <w:tcW w:w="2529" w:type="pct"/>
            <w:tcBorders>
              <w:top w:val="nil"/>
              <w:left w:val="nil"/>
              <w:bottom w:val="nil"/>
              <w:right w:val="nil"/>
            </w:tcBorders>
          </w:tcPr>
          <w:p w14:paraId="0FA78D82">
            <w:pPr>
              <w:wordWrap w:val="0"/>
              <w:autoSpaceDE w:val="0"/>
              <w:autoSpaceDN w:val="0"/>
              <w:adjustRightInd w:val="0"/>
              <w:spacing w:line="360" w:lineRule="auto"/>
              <w:jc w:val="left"/>
              <w:rPr>
                <w:rFonts w:hint="eastAsia" w:ascii="宋体" w:hAnsi="宋体" w:eastAsia="宋体"/>
                <w:sz w:val="24"/>
                <w:szCs w:val="24"/>
              </w:rPr>
            </w:pPr>
            <w:r>
              <w:rPr>
                <w:rFonts w:hint="eastAsia" w:ascii="宋体" w:hAnsi="宋体" w:eastAsia="宋体"/>
                <w:sz w:val="24"/>
                <w:szCs w:val="24"/>
              </w:rPr>
              <w:t>住所地：徐州市泉山区湖北路68号</w:t>
            </w:r>
          </w:p>
        </w:tc>
      </w:tr>
    </w:tbl>
    <w:p w14:paraId="6C592150">
      <w:pPr>
        <w:autoSpaceDE w:val="0"/>
        <w:autoSpaceDN w:val="0"/>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rPr>
        <w:t>根据《中华人民共和国政府采购法》《中华人民共和国民法典》等法律法规的规定，甲乙双方按照采购代理机构的招标结果签订本合同。</w:t>
      </w:r>
    </w:p>
    <w:p w14:paraId="325FE0B7">
      <w:pPr>
        <w:autoSpaceDE w:val="0"/>
        <w:autoSpaceDN w:val="0"/>
        <w:adjustRightInd w:val="0"/>
        <w:spacing w:line="360" w:lineRule="auto"/>
        <w:ind w:firstLine="482" w:firstLineChars="200"/>
        <w:rPr>
          <w:rFonts w:hint="eastAsia" w:ascii="宋体" w:hAnsi="宋体" w:eastAsia="宋体"/>
          <w:sz w:val="24"/>
          <w:szCs w:val="24"/>
        </w:rPr>
      </w:pPr>
      <w:r>
        <w:rPr>
          <w:rFonts w:hint="eastAsia" w:ascii="宋体" w:hAnsi="宋体" w:eastAsia="宋体"/>
          <w:b/>
          <w:bCs/>
          <w:sz w:val="24"/>
          <w:szCs w:val="24"/>
        </w:rPr>
        <w:t>第一条 合同标的</w:t>
      </w:r>
      <w:r>
        <w:rPr>
          <w:rFonts w:hint="eastAsia" w:ascii="宋体" w:hAnsi="宋体" w:eastAsia="宋体"/>
          <w:sz w:val="24"/>
          <w:szCs w:val="24"/>
        </w:rPr>
        <w:t xml:space="preserve">  </w:t>
      </w:r>
    </w:p>
    <w:p w14:paraId="233CA0A1">
      <w:pPr>
        <w:autoSpaceDE w:val="0"/>
        <w:autoSpaceDN w:val="0"/>
        <w:adjustRightInd w:val="0"/>
        <w:spacing w:line="360" w:lineRule="auto"/>
        <w:ind w:firstLine="480" w:firstLineChars="200"/>
        <w:rPr>
          <w:rFonts w:ascii="宋体" w:hAnsi="宋体" w:eastAsia="宋体"/>
          <w:color w:val="EE0000"/>
          <w:sz w:val="24"/>
          <w:szCs w:val="24"/>
        </w:rPr>
      </w:pPr>
      <w:r>
        <w:rPr>
          <w:rFonts w:hint="eastAsia" w:ascii="宋体" w:hAnsi="宋体" w:eastAsia="宋体"/>
          <w:color w:val="EE0000"/>
          <w:sz w:val="24"/>
          <w:szCs w:val="24"/>
        </w:rPr>
        <w:t>乙方根据甲方需求提供下列货物：</w:t>
      </w:r>
    </w:p>
    <w:tbl>
      <w:tblPr>
        <w:tblStyle w:val="17"/>
        <w:tblW w:w="5000" w:type="pct"/>
        <w:tblInd w:w="0" w:type="dxa"/>
        <w:tblLayout w:type="autofit"/>
        <w:tblCellMar>
          <w:top w:w="0" w:type="dxa"/>
          <w:left w:w="108" w:type="dxa"/>
          <w:bottom w:w="0" w:type="dxa"/>
          <w:right w:w="108" w:type="dxa"/>
        </w:tblCellMar>
      </w:tblPr>
      <w:tblGrid>
        <w:gridCol w:w="867"/>
        <w:gridCol w:w="1923"/>
        <w:gridCol w:w="3133"/>
        <w:gridCol w:w="1369"/>
        <w:gridCol w:w="1134"/>
        <w:gridCol w:w="1536"/>
      </w:tblGrid>
      <w:tr w14:paraId="779B89B7">
        <w:tblPrEx>
          <w:tblCellMar>
            <w:top w:w="0" w:type="dxa"/>
            <w:left w:w="108" w:type="dxa"/>
            <w:bottom w:w="0" w:type="dxa"/>
            <w:right w:w="108" w:type="dxa"/>
          </w:tblCellMar>
        </w:tblPrEx>
        <w:trPr>
          <w:trHeight w:val="567" w:hRule="atLeast"/>
        </w:trPr>
        <w:tc>
          <w:tcPr>
            <w:tcW w:w="435" w:type="pct"/>
            <w:tcBorders>
              <w:top w:val="single" w:color="auto" w:sz="4" w:space="0"/>
              <w:left w:val="single" w:color="auto" w:sz="4" w:space="0"/>
              <w:bottom w:val="single" w:color="auto" w:sz="4" w:space="0"/>
              <w:right w:val="single" w:color="auto" w:sz="4" w:space="0"/>
            </w:tcBorders>
            <w:vAlign w:val="center"/>
          </w:tcPr>
          <w:p w14:paraId="67EAF34A">
            <w:pPr>
              <w:spacing w:line="360" w:lineRule="auto"/>
              <w:jc w:val="center"/>
              <w:rPr>
                <w:rFonts w:hint="eastAsia" w:ascii="宋体" w:hAnsi="宋体" w:eastAsia="宋体"/>
                <w:color w:val="EE0000"/>
                <w:sz w:val="24"/>
                <w:szCs w:val="24"/>
              </w:rPr>
            </w:pPr>
            <w:r>
              <w:rPr>
                <w:rFonts w:ascii="宋体" w:hAnsi="宋体" w:eastAsia="宋体"/>
                <w:color w:val="EE0000"/>
                <w:sz w:val="24"/>
                <w:szCs w:val="24"/>
              </w:rPr>
              <w:t>序号</w:t>
            </w:r>
          </w:p>
        </w:tc>
        <w:tc>
          <w:tcPr>
            <w:tcW w:w="965" w:type="pct"/>
            <w:tcBorders>
              <w:top w:val="single" w:color="auto" w:sz="4" w:space="0"/>
              <w:left w:val="nil"/>
              <w:bottom w:val="single" w:color="auto" w:sz="4" w:space="0"/>
              <w:right w:val="single" w:color="auto" w:sz="4" w:space="0"/>
            </w:tcBorders>
            <w:vAlign w:val="center"/>
          </w:tcPr>
          <w:p w14:paraId="3B843D91">
            <w:pPr>
              <w:spacing w:line="360" w:lineRule="auto"/>
              <w:jc w:val="center"/>
              <w:rPr>
                <w:rFonts w:hint="eastAsia" w:ascii="宋体" w:hAnsi="宋体" w:eastAsia="宋体"/>
                <w:color w:val="EE0000"/>
                <w:sz w:val="24"/>
                <w:szCs w:val="24"/>
              </w:rPr>
            </w:pPr>
            <w:r>
              <w:rPr>
                <w:rFonts w:ascii="宋体" w:hAnsi="宋体" w:eastAsia="宋体"/>
                <w:color w:val="EE0000"/>
                <w:sz w:val="24"/>
                <w:szCs w:val="24"/>
              </w:rPr>
              <w:t>品   名</w:t>
            </w:r>
          </w:p>
        </w:tc>
        <w:tc>
          <w:tcPr>
            <w:tcW w:w="1572" w:type="pct"/>
            <w:tcBorders>
              <w:top w:val="single" w:color="auto" w:sz="4" w:space="0"/>
              <w:left w:val="nil"/>
              <w:bottom w:val="single" w:color="auto" w:sz="4" w:space="0"/>
              <w:right w:val="single" w:color="auto" w:sz="4" w:space="0"/>
            </w:tcBorders>
            <w:vAlign w:val="center"/>
          </w:tcPr>
          <w:p w14:paraId="5B3ABBCA">
            <w:pPr>
              <w:spacing w:line="360" w:lineRule="auto"/>
              <w:jc w:val="center"/>
              <w:rPr>
                <w:rFonts w:hint="eastAsia" w:ascii="宋体" w:hAnsi="宋体" w:eastAsia="宋体"/>
                <w:color w:val="EE0000"/>
                <w:sz w:val="24"/>
                <w:szCs w:val="24"/>
              </w:rPr>
            </w:pPr>
            <w:r>
              <w:rPr>
                <w:rFonts w:hint="eastAsia" w:ascii="宋体" w:hAnsi="宋体" w:eastAsia="宋体"/>
                <w:color w:val="EE0000"/>
                <w:sz w:val="24"/>
                <w:szCs w:val="24"/>
              </w:rPr>
              <w:t>品牌、</w:t>
            </w:r>
            <w:r>
              <w:rPr>
                <w:rFonts w:ascii="宋体" w:hAnsi="宋体" w:eastAsia="宋体"/>
                <w:color w:val="EE0000"/>
                <w:sz w:val="24"/>
                <w:szCs w:val="24"/>
              </w:rPr>
              <w:t>规格</w:t>
            </w:r>
            <w:r>
              <w:rPr>
                <w:rFonts w:hint="eastAsia" w:ascii="宋体" w:hAnsi="宋体" w:eastAsia="宋体"/>
                <w:color w:val="EE0000"/>
                <w:sz w:val="24"/>
                <w:szCs w:val="24"/>
              </w:rPr>
              <w:t>或</w:t>
            </w:r>
            <w:r>
              <w:rPr>
                <w:rFonts w:ascii="宋体" w:hAnsi="宋体" w:eastAsia="宋体"/>
                <w:color w:val="EE0000"/>
                <w:sz w:val="24"/>
                <w:szCs w:val="24"/>
              </w:rPr>
              <w:t>型号</w:t>
            </w:r>
          </w:p>
        </w:tc>
        <w:tc>
          <w:tcPr>
            <w:tcW w:w="687" w:type="pct"/>
            <w:tcBorders>
              <w:top w:val="single" w:color="auto" w:sz="4" w:space="0"/>
              <w:left w:val="nil"/>
              <w:bottom w:val="single" w:color="auto" w:sz="4" w:space="0"/>
              <w:right w:val="single" w:color="auto" w:sz="4" w:space="0"/>
            </w:tcBorders>
            <w:vAlign w:val="center"/>
          </w:tcPr>
          <w:p w14:paraId="77432599">
            <w:pPr>
              <w:spacing w:line="360" w:lineRule="auto"/>
              <w:jc w:val="center"/>
              <w:rPr>
                <w:rFonts w:hint="eastAsia" w:ascii="宋体" w:hAnsi="宋体" w:eastAsia="宋体"/>
                <w:color w:val="EE0000"/>
                <w:sz w:val="24"/>
                <w:szCs w:val="24"/>
              </w:rPr>
            </w:pPr>
            <w:r>
              <w:rPr>
                <w:rFonts w:ascii="宋体" w:hAnsi="宋体" w:eastAsia="宋体"/>
                <w:color w:val="EE0000"/>
                <w:sz w:val="24"/>
                <w:szCs w:val="24"/>
              </w:rPr>
              <w:t>数量</w:t>
            </w:r>
          </w:p>
        </w:tc>
        <w:tc>
          <w:tcPr>
            <w:tcW w:w="568" w:type="pct"/>
            <w:tcBorders>
              <w:top w:val="single" w:color="auto" w:sz="4" w:space="0"/>
              <w:left w:val="single" w:color="auto" w:sz="4" w:space="0"/>
              <w:bottom w:val="single" w:color="auto" w:sz="4" w:space="0"/>
              <w:right w:val="single" w:color="auto" w:sz="4" w:space="0"/>
            </w:tcBorders>
            <w:vAlign w:val="center"/>
          </w:tcPr>
          <w:p w14:paraId="66064A07">
            <w:pPr>
              <w:spacing w:line="360" w:lineRule="auto"/>
              <w:jc w:val="center"/>
              <w:rPr>
                <w:rFonts w:hint="eastAsia" w:ascii="宋体" w:hAnsi="宋体" w:eastAsia="宋体"/>
                <w:color w:val="EE0000"/>
                <w:sz w:val="24"/>
                <w:szCs w:val="24"/>
              </w:rPr>
            </w:pPr>
            <w:r>
              <w:rPr>
                <w:rFonts w:ascii="宋体" w:hAnsi="宋体" w:eastAsia="宋体"/>
                <w:color w:val="EE0000"/>
                <w:sz w:val="24"/>
                <w:szCs w:val="24"/>
              </w:rPr>
              <w:t>单价</w:t>
            </w:r>
            <w:r>
              <w:rPr>
                <w:rFonts w:hint="eastAsia" w:ascii="宋体" w:hAnsi="宋体" w:eastAsia="宋体"/>
                <w:color w:val="EE0000"/>
                <w:sz w:val="24"/>
                <w:szCs w:val="24"/>
              </w:rPr>
              <w:t>（元）</w:t>
            </w:r>
          </w:p>
        </w:tc>
        <w:tc>
          <w:tcPr>
            <w:tcW w:w="771" w:type="pct"/>
            <w:tcBorders>
              <w:top w:val="single" w:color="auto" w:sz="4" w:space="0"/>
              <w:left w:val="single" w:color="auto" w:sz="4" w:space="0"/>
              <w:bottom w:val="single" w:color="auto" w:sz="4" w:space="0"/>
              <w:right w:val="single" w:color="auto" w:sz="4" w:space="0"/>
            </w:tcBorders>
            <w:vAlign w:val="center"/>
          </w:tcPr>
          <w:p w14:paraId="1A52DAAB">
            <w:pPr>
              <w:spacing w:line="360" w:lineRule="auto"/>
              <w:jc w:val="center"/>
              <w:rPr>
                <w:rFonts w:hint="eastAsia" w:ascii="宋体" w:hAnsi="宋体" w:eastAsia="宋体"/>
                <w:color w:val="EE0000"/>
                <w:sz w:val="24"/>
                <w:szCs w:val="24"/>
              </w:rPr>
            </w:pPr>
            <w:r>
              <w:rPr>
                <w:rFonts w:hint="eastAsia" w:ascii="宋体" w:hAnsi="宋体" w:eastAsia="宋体"/>
                <w:color w:val="EE0000"/>
                <w:sz w:val="24"/>
                <w:szCs w:val="24"/>
              </w:rPr>
              <w:t>小计（元）</w:t>
            </w:r>
          </w:p>
        </w:tc>
      </w:tr>
      <w:tr w14:paraId="5E30C3A2">
        <w:tblPrEx>
          <w:tblCellMar>
            <w:top w:w="0" w:type="dxa"/>
            <w:left w:w="108" w:type="dxa"/>
            <w:bottom w:w="0" w:type="dxa"/>
            <w:right w:w="108" w:type="dxa"/>
          </w:tblCellMar>
        </w:tblPrEx>
        <w:trPr>
          <w:trHeight w:val="567" w:hRule="atLeast"/>
        </w:trPr>
        <w:tc>
          <w:tcPr>
            <w:tcW w:w="435" w:type="pct"/>
            <w:tcBorders>
              <w:top w:val="single" w:color="auto" w:sz="4" w:space="0"/>
              <w:left w:val="single" w:color="auto" w:sz="4" w:space="0"/>
              <w:bottom w:val="single" w:color="auto" w:sz="4" w:space="0"/>
              <w:right w:val="single" w:color="auto" w:sz="4" w:space="0"/>
            </w:tcBorders>
            <w:vAlign w:val="center"/>
          </w:tcPr>
          <w:p w14:paraId="24FF2925">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1</w:t>
            </w:r>
          </w:p>
        </w:tc>
        <w:tc>
          <w:tcPr>
            <w:tcW w:w="965" w:type="pct"/>
            <w:tcBorders>
              <w:top w:val="single" w:color="auto" w:sz="4" w:space="0"/>
              <w:left w:val="nil"/>
              <w:bottom w:val="single" w:color="auto" w:sz="4" w:space="0"/>
              <w:right w:val="single" w:color="auto" w:sz="4" w:space="0"/>
            </w:tcBorders>
            <w:vAlign w:val="center"/>
          </w:tcPr>
          <w:p w14:paraId="6BDA2710">
            <w:pPr>
              <w:keepNext w:val="0"/>
              <w:keepLines w:val="0"/>
              <w:widowControl/>
              <w:suppressLineNumbers w:val="0"/>
              <w:jc w:val="center"/>
              <w:textAlignment w:val="center"/>
              <w:rPr>
                <w:rFonts w:hint="eastAsia" w:ascii="宋体" w:hAnsi="宋体" w:eastAsia="宋体"/>
                <w:b/>
                <w:bCs/>
                <w:color w:val="EE0000"/>
                <w:sz w:val="24"/>
                <w:szCs w:val="24"/>
              </w:rPr>
            </w:pPr>
            <w:r>
              <w:rPr>
                <w:rFonts w:hint="eastAsia" w:ascii="宋体" w:hAnsi="宋体" w:eastAsia="宋体" w:cs="宋体"/>
                <w:b/>
                <w:bCs/>
                <w:i w:val="0"/>
                <w:iCs w:val="0"/>
                <w:color w:val="000000"/>
                <w:kern w:val="0"/>
                <w:sz w:val="20"/>
                <w:szCs w:val="20"/>
                <w:u w:val="none"/>
                <w:lang w:val="en-US" w:eastAsia="zh-CN" w:bidi="ar"/>
              </w:rPr>
              <w:t>电子护甲</w:t>
            </w:r>
          </w:p>
        </w:tc>
        <w:tc>
          <w:tcPr>
            <w:tcW w:w="1572" w:type="pct"/>
            <w:tcBorders>
              <w:top w:val="single" w:color="auto" w:sz="4" w:space="0"/>
              <w:left w:val="nil"/>
              <w:bottom w:val="single" w:color="auto" w:sz="4" w:space="0"/>
              <w:right w:val="single" w:color="auto" w:sz="4" w:space="0"/>
            </w:tcBorders>
            <w:vAlign w:val="center"/>
          </w:tcPr>
          <w:p w14:paraId="2B197A9D">
            <w:pPr>
              <w:widowControl/>
              <w:spacing w:line="360" w:lineRule="auto"/>
              <w:jc w:val="center"/>
              <w:rPr>
                <w:rFonts w:hint="eastAsia" w:ascii="宋体" w:hAnsi="宋体" w:eastAsia="宋体"/>
                <w:b/>
                <w:bCs/>
                <w:color w:val="EE0000"/>
                <w:sz w:val="24"/>
                <w:szCs w:val="24"/>
              </w:rPr>
            </w:pPr>
            <w:r>
              <w:rPr>
                <w:rFonts w:hint="eastAsia"/>
              </w:rPr>
              <w:t>WAYCHAMP(原“大满贯”)</w:t>
            </w:r>
          </w:p>
        </w:tc>
        <w:tc>
          <w:tcPr>
            <w:tcW w:w="687" w:type="pct"/>
            <w:tcBorders>
              <w:top w:val="single" w:color="auto" w:sz="4" w:space="0"/>
              <w:left w:val="nil"/>
              <w:bottom w:val="single" w:color="auto" w:sz="4" w:space="0"/>
              <w:right w:val="single" w:color="auto" w:sz="4" w:space="0"/>
            </w:tcBorders>
            <w:vAlign w:val="center"/>
          </w:tcPr>
          <w:p w14:paraId="0B819ECC">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4</w:t>
            </w:r>
          </w:p>
        </w:tc>
        <w:tc>
          <w:tcPr>
            <w:tcW w:w="568" w:type="pct"/>
            <w:tcBorders>
              <w:top w:val="single" w:color="auto" w:sz="4" w:space="0"/>
              <w:left w:val="single" w:color="auto" w:sz="4" w:space="0"/>
              <w:bottom w:val="single" w:color="auto" w:sz="4" w:space="0"/>
              <w:right w:val="single" w:color="auto" w:sz="4" w:space="0"/>
            </w:tcBorders>
            <w:vAlign w:val="center"/>
          </w:tcPr>
          <w:p w14:paraId="06B5AFB6">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套</w:t>
            </w:r>
          </w:p>
        </w:tc>
        <w:tc>
          <w:tcPr>
            <w:tcW w:w="771" w:type="pct"/>
            <w:tcBorders>
              <w:top w:val="single" w:color="auto" w:sz="4" w:space="0"/>
              <w:left w:val="single" w:color="auto" w:sz="4" w:space="0"/>
              <w:bottom w:val="single" w:color="auto" w:sz="4" w:space="0"/>
              <w:right w:val="single" w:color="auto" w:sz="4" w:space="0"/>
            </w:tcBorders>
            <w:vAlign w:val="center"/>
          </w:tcPr>
          <w:p w14:paraId="0322840E">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 xml:space="preserve">13,400 </w:t>
            </w:r>
          </w:p>
        </w:tc>
      </w:tr>
      <w:tr w14:paraId="4F815758">
        <w:tblPrEx>
          <w:tblCellMar>
            <w:top w:w="0" w:type="dxa"/>
            <w:left w:w="108" w:type="dxa"/>
            <w:bottom w:w="0" w:type="dxa"/>
            <w:right w:w="108" w:type="dxa"/>
          </w:tblCellMar>
        </w:tblPrEx>
        <w:trPr>
          <w:trHeight w:val="567" w:hRule="atLeast"/>
        </w:trPr>
        <w:tc>
          <w:tcPr>
            <w:tcW w:w="435" w:type="pct"/>
            <w:tcBorders>
              <w:top w:val="single" w:color="auto" w:sz="4" w:space="0"/>
              <w:left w:val="single" w:color="auto" w:sz="4" w:space="0"/>
              <w:bottom w:val="single" w:color="auto" w:sz="4" w:space="0"/>
              <w:right w:val="single" w:color="auto" w:sz="4" w:space="0"/>
            </w:tcBorders>
            <w:vAlign w:val="center"/>
          </w:tcPr>
          <w:p w14:paraId="0FCE00B0">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2</w:t>
            </w:r>
          </w:p>
        </w:tc>
        <w:tc>
          <w:tcPr>
            <w:tcW w:w="965" w:type="pct"/>
            <w:tcBorders>
              <w:top w:val="single" w:color="auto" w:sz="4" w:space="0"/>
              <w:left w:val="nil"/>
              <w:bottom w:val="single" w:color="auto" w:sz="4" w:space="0"/>
              <w:right w:val="single" w:color="auto" w:sz="4" w:space="0"/>
            </w:tcBorders>
            <w:vAlign w:val="center"/>
          </w:tcPr>
          <w:p w14:paraId="6CFD1A74">
            <w:pPr>
              <w:keepNext w:val="0"/>
              <w:keepLines w:val="0"/>
              <w:widowControl/>
              <w:suppressLineNumbers w:val="0"/>
              <w:jc w:val="center"/>
              <w:textAlignment w:val="center"/>
              <w:rPr>
                <w:rFonts w:hint="eastAsia" w:ascii="宋体" w:hAnsi="宋体" w:eastAsia="宋体"/>
                <w:b/>
                <w:bCs/>
                <w:color w:val="EE0000"/>
                <w:sz w:val="24"/>
                <w:szCs w:val="24"/>
              </w:rPr>
            </w:pPr>
            <w:r>
              <w:rPr>
                <w:rFonts w:hint="eastAsia" w:ascii="宋体" w:hAnsi="宋体" w:eastAsia="宋体" w:cs="宋体"/>
                <w:b/>
                <w:bCs/>
                <w:i w:val="0"/>
                <w:iCs w:val="0"/>
                <w:color w:val="000000"/>
                <w:kern w:val="0"/>
                <w:sz w:val="20"/>
                <w:szCs w:val="20"/>
                <w:u w:val="none"/>
                <w:lang w:val="en-US" w:eastAsia="zh-CN" w:bidi="ar"/>
              </w:rPr>
              <w:t>电子护头</w:t>
            </w:r>
          </w:p>
        </w:tc>
        <w:tc>
          <w:tcPr>
            <w:tcW w:w="1572" w:type="pct"/>
            <w:tcBorders>
              <w:top w:val="single" w:color="auto" w:sz="4" w:space="0"/>
              <w:left w:val="nil"/>
              <w:bottom w:val="single" w:color="auto" w:sz="4" w:space="0"/>
              <w:right w:val="single" w:color="auto" w:sz="4" w:space="0"/>
            </w:tcBorders>
            <w:vAlign w:val="center"/>
          </w:tcPr>
          <w:p w14:paraId="44ECCF06">
            <w:pPr>
              <w:widowControl/>
              <w:spacing w:line="360" w:lineRule="auto"/>
              <w:jc w:val="center"/>
              <w:rPr>
                <w:rFonts w:hint="eastAsia" w:ascii="宋体" w:hAnsi="宋体" w:eastAsia="宋体"/>
                <w:b/>
                <w:bCs/>
                <w:color w:val="EE0000"/>
                <w:sz w:val="24"/>
                <w:szCs w:val="24"/>
              </w:rPr>
            </w:pPr>
            <w:r>
              <w:rPr>
                <w:rFonts w:hint="eastAsia"/>
              </w:rPr>
              <w:t>WAYCHAMP(原“大满贯”)</w:t>
            </w:r>
          </w:p>
        </w:tc>
        <w:tc>
          <w:tcPr>
            <w:tcW w:w="687" w:type="pct"/>
            <w:tcBorders>
              <w:top w:val="single" w:color="auto" w:sz="4" w:space="0"/>
              <w:left w:val="nil"/>
              <w:bottom w:val="single" w:color="auto" w:sz="4" w:space="0"/>
              <w:right w:val="single" w:color="auto" w:sz="4" w:space="0"/>
            </w:tcBorders>
            <w:vAlign w:val="center"/>
          </w:tcPr>
          <w:p w14:paraId="4BCEEED3">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4</w:t>
            </w:r>
          </w:p>
        </w:tc>
        <w:tc>
          <w:tcPr>
            <w:tcW w:w="568" w:type="pct"/>
            <w:tcBorders>
              <w:top w:val="single" w:color="auto" w:sz="4" w:space="0"/>
              <w:left w:val="single" w:color="auto" w:sz="4" w:space="0"/>
              <w:bottom w:val="single" w:color="auto" w:sz="4" w:space="0"/>
              <w:right w:val="single" w:color="auto" w:sz="4" w:space="0"/>
            </w:tcBorders>
            <w:vAlign w:val="center"/>
          </w:tcPr>
          <w:p w14:paraId="5CACDFBB">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套</w:t>
            </w:r>
          </w:p>
        </w:tc>
        <w:tc>
          <w:tcPr>
            <w:tcW w:w="771" w:type="pct"/>
            <w:tcBorders>
              <w:top w:val="single" w:color="auto" w:sz="4" w:space="0"/>
              <w:left w:val="single" w:color="auto" w:sz="4" w:space="0"/>
              <w:bottom w:val="single" w:color="auto" w:sz="4" w:space="0"/>
              <w:right w:val="single" w:color="auto" w:sz="4" w:space="0"/>
            </w:tcBorders>
            <w:vAlign w:val="center"/>
          </w:tcPr>
          <w:p w14:paraId="6F0FE2EC">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 xml:space="preserve">11,000 </w:t>
            </w:r>
          </w:p>
        </w:tc>
      </w:tr>
      <w:tr w14:paraId="2FEF3EB2">
        <w:tblPrEx>
          <w:tblCellMar>
            <w:top w:w="0" w:type="dxa"/>
            <w:left w:w="108" w:type="dxa"/>
            <w:bottom w:w="0" w:type="dxa"/>
            <w:right w:w="108" w:type="dxa"/>
          </w:tblCellMar>
        </w:tblPrEx>
        <w:trPr>
          <w:trHeight w:val="567" w:hRule="atLeast"/>
        </w:trPr>
        <w:tc>
          <w:tcPr>
            <w:tcW w:w="435" w:type="pct"/>
            <w:tcBorders>
              <w:top w:val="single" w:color="auto" w:sz="4" w:space="0"/>
              <w:left w:val="single" w:color="auto" w:sz="4" w:space="0"/>
              <w:bottom w:val="single" w:color="auto" w:sz="4" w:space="0"/>
              <w:right w:val="single" w:color="auto" w:sz="4" w:space="0"/>
            </w:tcBorders>
            <w:vAlign w:val="center"/>
          </w:tcPr>
          <w:p w14:paraId="30009C1E">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3</w:t>
            </w:r>
          </w:p>
        </w:tc>
        <w:tc>
          <w:tcPr>
            <w:tcW w:w="965" w:type="pct"/>
            <w:tcBorders>
              <w:top w:val="single" w:color="auto" w:sz="4" w:space="0"/>
              <w:left w:val="nil"/>
              <w:bottom w:val="single" w:color="auto" w:sz="4" w:space="0"/>
              <w:right w:val="single" w:color="auto" w:sz="4" w:space="0"/>
            </w:tcBorders>
            <w:vAlign w:val="center"/>
          </w:tcPr>
          <w:p w14:paraId="2271F9E0">
            <w:pPr>
              <w:keepNext w:val="0"/>
              <w:keepLines w:val="0"/>
              <w:widowControl/>
              <w:suppressLineNumbers w:val="0"/>
              <w:jc w:val="center"/>
              <w:textAlignment w:val="center"/>
              <w:rPr>
                <w:rFonts w:hint="eastAsia" w:ascii="宋体" w:hAnsi="宋体" w:eastAsia="宋体"/>
                <w:b/>
                <w:bCs/>
                <w:color w:val="EE0000"/>
                <w:sz w:val="24"/>
                <w:szCs w:val="24"/>
              </w:rPr>
            </w:pPr>
            <w:r>
              <w:rPr>
                <w:rFonts w:hint="eastAsia" w:ascii="宋体" w:hAnsi="宋体" w:eastAsia="宋体" w:cs="宋体"/>
                <w:b/>
                <w:bCs/>
                <w:i w:val="0"/>
                <w:iCs w:val="0"/>
                <w:color w:val="000000"/>
                <w:kern w:val="0"/>
                <w:sz w:val="20"/>
                <w:szCs w:val="20"/>
                <w:u w:val="none"/>
                <w:lang w:val="en-US" w:eastAsia="zh-CN" w:bidi="ar"/>
              </w:rPr>
              <w:t>发射盒</w:t>
            </w:r>
          </w:p>
        </w:tc>
        <w:tc>
          <w:tcPr>
            <w:tcW w:w="1572" w:type="pct"/>
            <w:tcBorders>
              <w:top w:val="single" w:color="auto" w:sz="4" w:space="0"/>
              <w:left w:val="nil"/>
              <w:bottom w:val="single" w:color="auto" w:sz="4" w:space="0"/>
              <w:right w:val="single" w:color="auto" w:sz="4" w:space="0"/>
            </w:tcBorders>
            <w:vAlign w:val="center"/>
          </w:tcPr>
          <w:p w14:paraId="098BCB17">
            <w:pPr>
              <w:widowControl/>
              <w:spacing w:line="360" w:lineRule="auto"/>
              <w:jc w:val="center"/>
              <w:rPr>
                <w:rFonts w:hint="eastAsia" w:ascii="宋体" w:hAnsi="宋体" w:eastAsia="宋体"/>
                <w:b/>
                <w:bCs/>
                <w:color w:val="EE0000"/>
                <w:sz w:val="24"/>
                <w:szCs w:val="24"/>
              </w:rPr>
            </w:pPr>
            <w:r>
              <w:rPr>
                <w:rFonts w:hint="eastAsia"/>
              </w:rPr>
              <w:t>WAYCHAMP(原“大满贯”)</w:t>
            </w:r>
          </w:p>
        </w:tc>
        <w:tc>
          <w:tcPr>
            <w:tcW w:w="687" w:type="pct"/>
            <w:tcBorders>
              <w:top w:val="single" w:color="auto" w:sz="4" w:space="0"/>
              <w:left w:val="nil"/>
              <w:bottom w:val="single" w:color="auto" w:sz="4" w:space="0"/>
              <w:right w:val="single" w:color="auto" w:sz="4" w:space="0"/>
            </w:tcBorders>
            <w:vAlign w:val="center"/>
          </w:tcPr>
          <w:p w14:paraId="52FAD41F">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3</w:t>
            </w:r>
          </w:p>
        </w:tc>
        <w:tc>
          <w:tcPr>
            <w:tcW w:w="568" w:type="pct"/>
            <w:tcBorders>
              <w:top w:val="single" w:color="auto" w:sz="4" w:space="0"/>
              <w:left w:val="single" w:color="auto" w:sz="4" w:space="0"/>
              <w:bottom w:val="single" w:color="auto" w:sz="4" w:space="0"/>
              <w:right w:val="single" w:color="auto" w:sz="4" w:space="0"/>
            </w:tcBorders>
            <w:vAlign w:val="center"/>
          </w:tcPr>
          <w:p w14:paraId="7BA88DE3">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套</w:t>
            </w:r>
          </w:p>
        </w:tc>
        <w:tc>
          <w:tcPr>
            <w:tcW w:w="771" w:type="pct"/>
            <w:tcBorders>
              <w:top w:val="single" w:color="auto" w:sz="4" w:space="0"/>
              <w:left w:val="single" w:color="auto" w:sz="4" w:space="0"/>
              <w:bottom w:val="single" w:color="auto" w:sz="4" w:space="0"/>
              <w:right w:val="single" w:color="auto" w:sz="4" w:space="0"/>
            </w:tcBorders>
            <w:vAlign w:val="center"/>
          </w:tcPr>
          <w:p w14:paraId="0C583B7F">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 xml:space="preserve">2,800 </w:t>
            </w:r>
          </w:p>
        </w:tc>
      </w:tr>
      <w:tr w14:paraId="5F047662">
        <w:tblPrEx>
          <w:tblCellMar>
            <w:top w:w="0" w:type="dxa"/>
            <w:left w:w="108" w:type="dxa"/>
            <w:bottom w:w="0" w:type="dxa"/>
            <w:right w:w="108" w:type="dxa"/>
          </w:tblCellMar>
        </w:tblPrEx>
        <w:trPr>
          <w:trHeight w:val="567" w:hRule="atLeast"/>
        </w:trPr>
        <w:tc>
          <w:tcPr>
            <w:tcW w:w="435" w:type="pct"/>
            <w:tcBorders>
              <w:top w:val="single" w:color="auto" w:sz="4" w:space="0"/>
              <w:left w:val="single" w:color="auto" w:sz="4" w:space="0"/>
              <w:bottom w:val="single" w:color="auto" w:sz="4" w:space="0"/>
              <w:right w:val="single" w:color="auto" w:sz="4" w:space="0"/>
            </w:tcBorders>
            <w:vAlign w:val="center"/>
          </w:tcPr>
          <w:p w14:paraId="081DA8B7">
            <w:pPr>
              <w:widowControl/>
              <w:spacing w:line="360" w:lineRule="auto"/>
              <w:jc w:val="center"/>
              <w:rPr>
                <w:rFonts w:ascii="宋体" w:hAnsi="宋体" w:eastAsia="宋体"/>
                <w:b/>
                <w:bCs/>
                <w:color w:val="EE0000"/>
                <w:sz w:val="24"/>
                <w:szCs w:val="24"/>
              </w:rPr>
            </w:pPr>
            <w:r>
              <w:rPr>
                <w:rFonts w:hint="eastAsia" w:ascii="宋体" w:hAnsi="宋体" w:eastAsia="宋体"/>
                <w:sz w:val="24"/>
                <w:szCs w:val="24"/>
                <w:lang w:val="en-US" w:eastAsia="zh-CN"/>
              </w:rPr>
              <w:t>4</w:t>
            </w:r>
          </w:p>
        </w:tc>
        <w:tc>
          <w:tcPr>
            <w:tcW w:w="965" w:type="pct"/>
            <w:tcBorders>
              <w:top w:val="single" w:color="auto" w:sz="4" w:space="0"/>
              <w:left w:val="nil"/>
              <w:bottom w:val="single" w:color="auto" w:sz="4" w:space="0"/>
              <w:right w:val="single" w:color="auto" w:sz="4" w:space="0"/>
            </w:tcBorders>
            <w:vAlign w:val="center"/>
          </w:tcPr>
          <w:p w14:paraId="752CD238">
            <w:pPr>
              <w:keepNext w:val="0"/>
              <w:keepLines w:val="0"/>
              <w:widowControl/>
              <w:suppressLineNumbers w:val="0"/>
              <w:jc w:val="center"/>
              <w:textAlignment w:val="center"/>
              <w:rPr>
                <w:rFonts w:hint="eastAsia" w:ascii="宋体" w:hAnsi="宋体" w:eastAsia="宋体"/>
                <w:b/>
                <w:bCs/>
                <w:color w:val="EE0000"/>
                <w:sz w:val="24"/>
                <w:szCs w:val="24"/>
              </w:rPr>
            </w:pPr>
            <w:r>
              <w:rPr>
                <w:rFonts w:hint="eastAsia" w:ascii="宋体" w:hAnsi="宋体" w:eastAsia="宋体" w:cs="宋体"/>
                <w:b/>
                <w:bCs/>
                <w:i w:val="0"/>
                <w:iCs w:val="0"/>
                <w:color w:val="000000"/>
                <w:kern w:val="0"/>
                <w:sz w:val="20"/>
                <w:szCs w:val="20"/>
                <w:u w:val="none"/>
                <w:lang w:val="en-US" w:eastAsia="zh-CN" w:bidi="ar"/>
              </w:rPr>
              <w:t>智能解析仪</w:t>
            </w:r>
          </w:p>
        </w:tc>
        <w:tc>
          <w:tcPr>
            <w:tcW w:w="1572" w:type="pct"/>
            <w:tcBorders>
              <w:top w:val="single" w:color="auto" w:sz="4" w:space="0"/>
              <w:left w:val="nil"/>
              <w:bottom w:val="single" w:color="auto" w:sz="4" w:space="0"/>
              <w:right w:val="single" w:color="auto" w:sz="4" w:space="0"/>
            </w:tcBorders>
            <w:vAlign w:val="center"/>
          </w:tcPr>
          <w:p w14:paraId="2268C255">
            <w:pPr>
              <w:widowControl/>
              <w:spacing w:line="360" w:lineRule="auto"/>
              <w:jc w:val="center"/>
              <w:rPr>
                <w:rFonts w:hint="eastAsia" w:ascii="宋体" w:hAnsi="宋体" w:eastAsia="宋体"/>
                <w:b/>
                <w:bCs/>
                <w:color w:val="EE0000"/>
                <w:sz w:val="24"/>
                <w:szCs w:val="24"/>
              </w:rPr>
            </w:pPr>
            <w:r>
              <w:rPr>
                <w:rFonts w:hint="eastAsia"/>
              </w:rPr>
              <w:t>WAYCHAMP(原“大满贯”)</w:t>
            </w:r>
          </w:p>
        </w:tc>
        <w:tc>
          <w:tcPr>
            <w:tcW w:w="687" w:type="pct"/>
            <w:tcBorders>
              <w:top w:val="single" w:color="auto" w:sz="4" w:space="0"/>
              <w:left w:val="nil"/>
              <w:bottom w:val="single" w:color="auto" w:sz="4" w:space="0"/>
              <w:right w:val="single" w:color="auto" w:sz="4" w:space="0"/>
            </w:tcBorders>
            <w:vAlign w:val="center"/>
          </w:tcPr>
          <w:p w14:paraId="52EE9516">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3</w:t>
            </w:r>
          </w:p>
        </w:tc>
        <w:tc>
          <w:tcPr>
            <w:tcW w:w="568" w:type="pct"/>
            <w:tcBorders>
              <w:top w:val="single" w:color="auto" w:sz="4" w:space="0"/>
              <w:left w:val="single" w:color="auto" w:sz="4" w:space="0"/>
              <w:bottom w:val="single" w:color="auto" w:sz="4" w:space="0"/>
              <w:right w:val="single" w:color="auto" w:sz="4" w:space="0"/>
            </w:tcBorders>
            <w:vAlign w:val="center"/>
          </w:tcPr>
          <w:p w14:paraId="6A15B208">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个</w:t>
            </w:r>
          </w:p>
        </w:tc>
        <w:tc>
          <w:tcPr>
            <w:tcW w:w="771" w:type="pct"/>
            <w:tcBorders>
              <w:top w:val="single" w:color="auto" w:sz="4" w:space="0"/>
              <w:left w:val="single" w:color="auto" w:sz="4" w:space="0"/>
              <w:bottom w:val="single" w:color="auto" w:sz="4" w:space="0"/>
              <w:right w:val="single" w:color="auto" w:sz="4" w:space="0"/>
            </w:tcBorders>
            <w:vAlign w:val="center"/>
          </w:tcPr>
          <w:p w14:paraId="72F881C2">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 xml:space="preserve">2,200 </w:t>
            </w:r>
          </w:p>
        </w:tc>
      </w:tr>
      <w:tr w14:paraId="50A4B5C4">
        <w:tblPrEx>
          <w:tblCellMar>
            <w:top w:w="0" w:type="dxa"/>
            <w:left w:w="108" w:type="dxa"/>
            <w:bottom w:w="0" w:type="dxa"/>
            <w:right w:w="108" w:type="dxa"/>
          </w:tblCellMar>
        </w:tblPrEx>
        <w:trPr>
          <w:trHeight w:val="567" w:hRule="atLeast"/>
        </w:trPr>
        <w:tc>
          <w:tcPr>
            <w:tcW w:w="435" w:type="pct"/>
            <w:tcBorders>
              <w:top w:val="single" w:color="auto" w:sz="4" w:space="0"/>
              <w:left w:val="single" w:color="auto" w:sz="4" w:space="0"/>
              <w:bottom w:val="single" w:color="auto" w:sz="4" w:space="0"/>
              <w:right w:val="single" w:color="auto" w:sz="4" w:space="0"/>
            </w:tcBorders>
            <w:vAlign w:val="center"/>
          </w:tcPr>
          <w:p w14:paraId="5F926653">
            <w:pPr>
              <w:widowControl/>
              <w:spacing w:line="360" w:lineRule="auto"/>
              <w:jc w:val="center"/>
              <w:rPr>
                <w:rFonts w:ascii="宋体" w:hAnsi="宋体" w:eastAsia="宋体"/>
                <w:b/>
                <w:bCs/>
                <w:color w:val="EE0000"/>
                <w:sz w:val="24"/>
                <w:szCs w:val="24"/>
              </w:rPr>
            </w:pPr>
            <w:r>
              <w:rPr>
                <w:rFonts w:hint="eastAsia" w:ascii="宋体" w:hAnsi="宋体" w:eastAsia="宋体"/>
                <w:sz w:val="24"/>
                <w:szCs w:val="24"/>
                <w:lang w:val="en-US" w:eastAsia="zh-CN"/>
              </w:rPr>
              <w:t>5</w:t>
            </w:r>
          </w:p>
        </w:tc>
        <w:tc>
          <w:tcPr>
            <w:tcW w:w="965" w:type="pct"/>
            <w:tcBorders>
              <w:top w:val="single" w:color="auto" w:sz="4" w:space="0"/>
              <w:left w:val="nil"/>
              <w:bottom w:val="single" w:color="auto" w:sz="4" w:space="0"/>
              <w:right w:val="single" w:color="auto" w:sz="4" w:space="0"/>
            </w:tcBorders>
            <w:vAlign w:val="center"/>
          </w:tcPr>
          <w:p w14:paraId="1962955C">
            <w:pPr>
              <w:keepNext w:val="0"/>
              <w:keepLines w:val="0"/>
              <w:widowControl/>
              <w:suppressLineNumbers w:val="0"/>
              <w:jc w:val="center"/>
              <w:textAlignment w:val="center"/>
              <w:rPr>
                <w:rFonts w:hint="eastAsia" w:ascii="宋体" w:hAnsi="宋体" w:eastAsia="宋体"/>
                <w:b/>
                <w:bCs/>
                <w:color w:val="EE0000"/>
                <w:sz w:val="24"/>
                <w:szCs w:val="24"/>
              </w:rPr>
            </w:pPr>
            <w:r>
              <w:rPr>
                <w:rFonts w:hint="eastAsia" w:ascii="宋体" w:hAnsi="宋体" w:eastAsia="宋体" w:cs="宋体"/>
                <w:b/>
                <w:bCs/>
                <w:i w:val="0"/>
                <w:iCs w:val="0"/>
                <w:color w:val="000000"/>
                <w:kern w:val="0"/>
                <w:sz w:val="20"/>
                <w:szCs w:val="20"/>
                <w:u w:val="none"/>
                <w:lang w:val="en-US" w:eastAsia="zh-CN" w:bidi="ar"/>
              </w:rPr>
              <w:t>电子脚套</w:t>
            </w:r>
          </w:p>
        </w:tc>
        <w:tc>
          <w:tcPr>
            <w:tcW w:w="1572" w:type="pct"/>
            <w:tcBorders>
              <w:top w:val="single" w:color="auto" w:sz="4" w:space="0"/>
              <w:left w:val="nil"/>
              <w:bottom w:val="single" w:color="auto" w:sz="4" w:space="0"/>
              <w:right w:val="single" w:color="auto" w:sz="4" w:space="0"/>
            </w:tcBorders>
            <w:vAlign w:val="center"/>
          </w:tcPr>
          <w:p w14:paraId="3713F7BB">
            <w:pPr>
              <w:widowControl/>
              <w:spacing w:line="360" w:lineRule="auto"/>
              <w:jc w:val="center"/>
              <w:rPr>
                <w:rFonts w:hint="eastAsia" w:ascii="宋体" w:hAnsi="宋体" w:eastAsia="宋体"/>
                <w:b/>
                <w:bCs/>
                <w:color w:val="EE0000"/>
                <w:sz w:val="24"/>
                <w:szCs w:val="24"/>
              </w:rPr>
            </w:pPr>
            <w:r>
              <w:rPr>
                <w:rFonts w:hint="eastAsia"/>
              </w:rPr>
              <w:t>WAYCHAMP(原“大满贯”)</w:t>
            </w:r>
          </w:p>
        </w:tc>
        <w:tc>
          <w:tcPr>
            <w:tcW w:w="687" w:type="pct"/>
            <w:tcBorders>
              <w:top w:val="single" w:color="auto" w:sz="4" w:space="0"/>
              <w:left w:val="nil"/>
              <w:bottom w:val="single" w:color="auto" w:sz="4" w:space="0"/>
              <w:right w:val="single" w:color="auto" w:sz="4" w:space="0"/>
            </w:tcBorders>
            <w:vAlign w:val="center"/>
          </w:tcPr>
          <w:p w14:paraId="60276567">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40</w:t>
            </w:r>
          </w:p>
        </w:tc>
        <w:tc>
          <w:tcPr>
            <w:tcW w:w="568" w:type="pct"/>
            <w:tcBorders>
              <w:top w:val="single" w:color="auto" w:sz="4" w:space="0"/>
              <w:left w:val="single" w:color="auto" w:sz="4" w:space="0"/>
              <w:bottom w:val="single" w:color="auto" w:sz="4" w:space="0"/>
              <w:right w:val="single" w:color="auto" w:sz="4" w:space="0"/>
            </w:tcBorders>
            <w:vAlign w:val="center"/>
          </w:tcPr>
          <w:p w14:paraId="7D91AED8">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双</w:t>
            </w:r>
          </w:p>
        </w:tc>
        <w:tc>
          <w:tcPr>
            <w:tcW w:w="771" w:type="pct"/>
            <w:tcBorders>
              <w:top w:val="single" w:color="auto" w:sz="4" w:space="0"/>
              <w:left w:val="single" w:color="auto" w:sz="4" w:space="0"/>
              <w:bottom w:val="single" w:color="auto" w:sz="4" w:space="0"/>
              <w:right w:val="single" w:color="auto" w:sz="4" w:space="0"/>
            </w:tcBorders>
            <w:vAlign w:val="center"/>
          </w:tcPr>
          <w:p w14:paraId="5D462514">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 xml:space="preserve">1,000 </w:t>
            </w:r>
          </w:p>
        </w:tc>
      </w:tr>
      <w:tr w14:paraId="5696B2C0">
        <w:tblPrEx>
          <w:tblCellMar>
            <w:top w:w="0" w:type="dxa"/>
            <w:left w:w="108" w:type="dxa"/>
            <w:bottom w:w="0" w:type="dxa"/>
            <w:right w:w="108" w:type="dxa"/>
          </w:tblCellMar>
        </w:tblPrEx>
        <w:trPr>
          <w:trHeight w:val="567" w:hRule="atLeast"/>
        </w:trPr>
        <w:tc>
          <w:tcPr>
            <w:tcW w:w="435" w:type="pct"/>
            <w:tcBorders>
              <w:top w:val="single" w:color="auto" w:sz="4" w:space="0"/>
              <w:left w:val="single" w:color="auto" w:sz="4" w:space="0"/>
              <w:bottom w:val="single" w:color="auto" w:sz="4" w:space="0"/>
              <w:right w:val="single" w:color="auto" w:sz="4" w:space="0"/>
            </w:tcBorders>
            <w:vAlign w:val="center"/>
          </w:tcPr>
          <w:p w14:paraId="17A83F09">
            <w:pPr>
              <w:widowControl/>
              <w:spacing w:line="360" w:lineRule="auto"/>
              <w:jc w:val="center"/>
              <w:rPr>
                <w:rFonts w:ascii="宋体" w:hAnsi="宋体" w:eastAsia="宋体"/>
                <w:b/>
                <w:bCs/>
                <w:color w:val="EE0000"/>
                <w:sz w:val="24"/>
                <w:szCs w:val="24"/>
              </w:rPr>
            </w:pPr>
            <w:r>
              <w:rPr>
                <w:rFonts w:hint="eastAsia" w:ascii="宋体" w:hAnsi="宋体" w:eastAsia="宋体"/>
                <w:sz w:val="24"/>
                <w:szCs w:val="24"/>
                <w:lang w:val="en-US" w:eastAsia="zh-CN"/>
              </w:rPr>
              <w:t>6</w:t>
            </w:r>
          </w:p>
        </w:tc>
        <w:tc>
          <w:tcPr>
            <w:tcW w:w="965" w:type="pct"/>
            <w:tcBorders>
              <w:top w:val="single" w:color="auto" w:sz="4" w:space="0"/>
              <w:left w:val="nil"/>
              <w:bottom w:val="single" w:color="auto" w:sz="4" w:space="0"/>
              <w:right w:val="single" w:color="auto" w:sz="4" w:space="0"/>
            </w:tcBorders>
            <w:vAlign w:val="center"/>
          </w:tcPr>
          <w:p w14:paraId="067F79F4">
            <w:pPr>
              <w:keepNext w:val="0"/>
              <w:keepLines w:val="0"/>
              <w:widowControl/>
              <w:suppressLineNumbers w:val="0"/>
              <w:jc w:val="center"/>
              <w:textAlignment w:val="center"/>
              <w:rPr>
                <w:rFonts w:hint="eastAsia" w:ascii="宋体" w:hAnsi="宋体" w:eastAsia="宋体"/>
                <w:b/>
                <w:bCs/>
                <w:color w:val="EE0000"/>
                <w:sz w:val="24"/>
                <w:szCs w:val="24"/>
              </w:rPr>
            </w:pPr>
            <w:r>
              <w:rPr>
                <w:rFonts w:hint="eastAsia" w:ascii="宋体" w:hAnsi="宋体" w:eastAsia="宋体" w:cs="宋体"/>
                <w:b/>
                <w:bCs/>
                <w:i w:val="0"/>
                <w:iCs w:val="0"/>
                <w:color w:val="000000"/>
                <w:kern w:val="0"/>
                <w:sz w:val="20"/>
                <w:szCs w:val="20"/>
                <w:u w:val="none"/>
                <w:lang w:val="en-US" w:eastAsia="zh-CN" w:bidi="ar"/>
              </w:rPr>
              <w:t>跆拳道护腿</w:t>
            </w:r>
          </w:p>
        </w:tc>
        <w:tc>
          <w:tcPr>
            <w:tcW w:w="1572" w:type="pct"/>
            <w:tcBorders>
              <w:top w:val="single" w:color="auto" w:sz="4" w:space="0"/>
              <w:left w:val="nil"/>
              <w:bottom w:val="single" w:color="auto" w:sz="4" w:space="0"/>
              <w:right w:val="single" w:color="auto" w:sz="4" w:space="0"/>
            </w:tcBorders>
            <w:vAlign w:val="center"/>
          </w:tcPr>
          <w:p w14:paraId="7DF039AE">
            <w:pPr>
              <w:widowControl/>
              <w:spacing w:line="360" w:lineRule="auto"/>
              <w:jc w:val="center"/>
              <w:rPr>
                <w:rFonts w:hint="eastAsia" w:ascii="宋体" w:hAnsi="宋体" w:eastAsia="宋体"/>
                <w:b/>
                <w:bCs/>
                <w:color w:val="EE0000"/>
                <w:sz w:val="24"/>
                <w:szCs w:val="24"/>
              </w:rPr>
            </w:pPr>
            <w:r>
              <w:rPr>
                <w:rFonts w:hint="eastAsia"/>
              </w:rPr>
              <w:t>WAYCHAMP(原“大满贯”)</w:t>
            </w:r>
          </w:p>
        </w:tc>
        <w:tc>
          <w:tcPr>
            <w:tcW w:w="687" w:type="pct"/>
            <w:tcBorders>
              <w:top w:val="single" w:color="auto" w:sz="4" w:space="0"/>
              <w:left w:val="nil"/>
              <w:bottom w:val="single" w:color="auto" w:sz="4" w:space="0"/>
              <w:right w:val="single" w:color="auto" w:sz="4" w:space="0"/>
            </w:tcBorders>
            <w:vAlign w:val="center"/>
          </w:tcPr>
          <w:p w14:paraId="69DC3EAA">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40</w:t>
            </w:r>
          </w:p>
        </w:tc>
        <w:tc>
          <w:tcPr>
            <w:tcW w:w="568" w:type="pct"/>
            <w:tcBorders>
              <w:top w:val="single" w:color="auto" w:sz="4" w:space="0"/>
              <w:left w:val="single" w:color="auto" w:sz="4" w:space="0"/>
              <w:bottom w:val="single" w:color="auto" w:sz="4" w:space="0"/>
              <w:right w:val="single" w:color="auto" w:sz="4" w:space="0"/>
            </w:tcBorders>
            <w:vAlign w:val="center"/>
          </w:tcPr>
          <w:p w14:paraId="1D717E53">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副</w:t>
            </w:r>
          </w:p>
        </w:tc>
        <w:tc>
          <w:tcPr>
            <w:tcW w:w="771" w:type="pct"/>
            <w:tcBorders>
              <w:top w:val="single" w:color="auto" w:sz="4" w:space="0"/>
              <w:left w:val="single" w:color="auto" w:sz="4" w:space="0"/>
              <w:bottom w:val="single" w:color="auto" w:sz="4" w:space="0"/>
              <w:right w:val="single" w:color="auto" w:sz="4" w:space="0"/>
            </w:tcBorders>
            <w:vAlign w:val="center"/>
          </w:tcPr>
          <w:p w14:paraId="5ECE2C6F">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 xml:space="preserve">70 </w:t>
            </w:r>
          </w:p>
        </w:tc>
      </w:tr>
      <w:tr w14:paraId="5545AE44">
        <w:tblPrEx>
          <w:tblCellMar>
            <w:top w:w="0" w:type="dxa"/>
            <w:left w:w="108" w:type="dxa"/>
            <w:bottom w:w="0" w:type="dxa"/>
            <w:right w:w="108" w:type="dxa"/>
          </w:tblCellMar>
        </w:tblPrEx>
        <w:trPr>
          <w:trHeight w:val="567" w:hRule="atLeast"/>
        </w:trPr>
        <w:tc>
          <w:tcPr>
            <w:tcW w:w="435" w:type="pct"/>
            <w:tcBorders>
              <w:top w:val="single" w:color="auto" w:sz="4" w:space="0"/>
              <w:left w:val="single" w:color="auto" w:sz="4" w:space="0"/>
              <w:bottom w:val="single" w:color="auto" w:sz="4" w:space="0"/>
              <w:right w:val="single" w:color="auto" w:sz="4" w:space="0"/>
            </w:tcBorders>
            <w:vAlign w:val="center"/>
          </w:tcPr>
          <w:p w14:paraId="329E5A4D">
            <w:pPr>
              <w:widowControl/>
              <w:spacing w:line="360" w:lineRule="auto"/>
              <w:jc w:val="center"/>
              <w:rPr>
                <w:rFonts w:ascii="宋体" w:hAnsi="宋体" w:eastAsia="宋体"/>
                <w:b/>
                <w:bCs/>
                <w:color w:val="EE0000"/>
                <w:sz w:val="24"/>
                <w:szCs w:val="24"/>
              </w:rPr>
            </w:pPr>
            <w:r>
              <w:rPr>
                <w:rFonts w:hint="eastAsia" w:ascii="宋体" w:hAnsi="宋体" w:eastAsia="宋体"/>
                <w:sz w:val="24"/>
                <w:szCs w:val="24"/>
                <w:lang w:val="en-US" w:eastAsia="zh-CN"/>
              </w:rPr>
              <w:t>7</w:t>
            </w:r>
          </w:p>
        </w:tc>
        <w:tc>
          <w:tcPr>
            <w:tcW w:w="965" w:type="pct"/>
            <w:tcBorders>
              <w:top w:val="single" w:color="auto" w:sz="4" w:space="0"/>
              <w:left w:val="nil"/>
              <w:bottom w:val="single" w:color="auto" w:sz="4" w:space="0"/>
              <w:right w:val="single" w:color="auto" w:sz="4" w:space="0"/>
            </w:tcBorders>
            <w:vAlign w:val="center"/>
          </w:tcPr>
          <w:p w14:paraId="456DB703">
            <w:pPr>
              <w:keepNext w:val="0"/>
              <w:keepLines w:val="0"/>
              <w:widowControl/>
              <w:suppressLineNumbers w:val="0"/>
              <w:jc w:val="center"/>
              <w:textAlignment w:val="center"/>
              <w:rPr>
                <w:rFonts w:hint="eastAsia" w:ascii="宋体" w:hAnsi="宋体" w:eastAsia="宋体"/>
                <w:b/>
                <w:bCs/>
                <w:color w:val="EE0000"/>
                <w:sz w:val="24"/>
                <w:szCs w:val="24"/>
              </w:rPr>
            </w:pPr>
            <w:r>
              <w:rPr>
                <w:rFonts w:hint="eastAsia" w:ascii="宋体" w:hAnsi="宋体" w:eastAsia="宋体" w:cs="宋体"/>
                <w:b/>
                <w:bCs/>
                <w:i w:val="0"/>
                <w:iCs w:val="0"/>
                <w:color w:val="000000"/>
                <w:kern w:val="0"/>
                <w:sz w:val="20"/>
                <w:szCs w:val="20"/>
                <w:u w:val="none"/>
                <w:lang w:val="en-US" w:eastAsia="zh-CN" w:bidi="ar"/>
              </w:rPr>
              <w:t>跆拳道护手</w:t>
            </w:r>
          </w:p>
        </w:tc>
        <w:tc>
          <w:tcPr>
            <w:tcW w:w="1572" w:type="pct"/>
            <w:tcBorders>
              <w:top w:val="single" w:color="auto" w:sz="4" w:space="0"/>
              <w:left w:val="nil"/>
              <w:bottom w:val="single" w:color="auto" w:sz="4" w:space="0"/>
              <w:right w:val="single" w:color="auto" w:sz="4" w:space="0"/>
            </w:tcBorders>
            <w:vAlign w:val="center"/>
          </w:tcPr>
          <w:p w14:paraId="51846089">
            <w:pPr>
              <w:widowControl/>
              <w:spacing w:line="360" w:lineRule="auto"/>
              <w:jc w:val="center"/>
              <w:rPr>
                <w:rFonts w:hint="eastAsia" w:ascii="宋体" w:hAnsi="宋体" w:eastAsia="宋体"/>
                <w:b/>
                <w:bCs/>
                <w:color w:val="EE0000"/>
                <w:sz w:val="24"/>
                <w:szCs w:val="24"/>
              </w:rPr>
            </w:pPr>
            <w:r>
              <w:rPr>
                <w:rFonts w:hint="eastAsia"/>
              </w:rPr>
              <w:t>WAYCHAMP(原“大满贯”)</w:t>
            </w:r>
          </w:p>
        </w:tc>
        <w:tc>
          <w:tcPr>
            <w:tcW w:w="687" w:type="pct"/>
            <w:tcBorders>
              <w:top w:val="single" w:color="auto" w:sz="4" w:space="0"/>
              <w:left w:val="nil"/>
              <w:bottom w:val="single" w:color="auto" w:sz="4" w:space="0"/>
              <w:right w:val="single" w:color="auto" w:sz="4" w:space="0"/>
            </w:tcBorders>
            <w:vAlign w:val="center"/>
          </w:tcPr>
          <w:p w14:paraId="065AB38D">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40</w:t>
            </w:r>
          </w:p>
        </w:tc>
        <w:tc>
          <w:tcPr>
            <w:tcW w:w="568" w:type="pct"/>
            <w:tcBorders>
              <w:top w:val="single" w:color="auto" w:sz="4" w:space="0"/>
              <w:left w:val="single" w:color="auto" w:sz="4" w:space="0"/>
              <w:bottom w:val="single" w:color="auto" w:sz="4" w:space="0"/>
              <w:right w:val="single" w:color="auto" w:sz="4" w:space="0"/>
            </w:tcBorders>
            <w:vAlign w:val="center"/>
          </w:tcPr>
          <w:p w14:paraId="3B9B32E8">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副</w:t>
            </w:r>
          </w:p>
        </w:tc>
        <w:tc>
          <w:tcPr>
            <w:tcW w:w="771" w:type="pct"/>
            <w:tcBorders>
              <w:top w:val="single" w:color="auto" w:sz="4" w:space="0"/>
              <w:left w:val="single" w:color="auto" w:sz="4" w:space="0"/>
              <w:bottom w:val="single" w:color="auto" w:sz="4" w:space="0"/>
              <w:right w:val="single" w:color="auto" w:sz="4" w:space="0"/>
            </w:tcBorders>
            <w:vAlign w:val="center"/>
          </w:tcPr>
          <w:p w14:paraId="1425AD26">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 xml:space="preserve">70 </w:t>
            </w:r>
          </w:p>
        </w:tc>
      </w:tr>
      <w:tr w14:paraId="37A69547">
        <w:tblPrEx>
          <w:tblCellMar>
            <w:top w:w="0" w:type="dxa"/>
            <w:left w:w="108" w:type="dxa"/>
            <w:bottom w:w="0" w:type="dxa"/>
            <w:right w:w="108" w:type="dxa"/>
          </w:tblCellMar>
        </w:tblPrEx>
        <w:trPr>
          <w:trHeight w:val="567" w:hRule="atLeast"/>
        </w:trPr>
        <w:tc>
          <w:tcPr>
            <w:tcW w:w="435" w:type="pct"/>
            <w:tcBorders>
              <w:top w:val="single" w:color="auto" w:sz="4" w:space="0"/>
              <w:left w:val="single" w:color="auto" w:sz="4" w:space="0"/>
              <w:bottom w:val="single" w:color="auto" w:sz="4" w:space="0"/>
              <w:right w:val="single" w:color="auto" w:sz="4" w:space="0"/>
            </w:tcBorders>
            <w:vAlign w:val="center"/>
          </w:tcPr>
          <w:p w14:paraId="69CD14B8">
            <w:pPr>
              <w:widowControl/>
              <w:spacing w:line="360" w:lineRule="auto"/>
              <w:jc w:val="center"/>
              <w:rPr>
                <w:rFonts w:ascii="宋体" w:hAnsi="宋体" w:eastAsia="宋体"/>
                <w:b/>
                <w:bCs/>
                <w:color w:val="EE0000"/>
                <w:sz w:val="24"/>
                <w:szCs w:val="24"/>
              </w:rPr>
            </w:pPr>
            <w:r>
              <w:rPr>
                <w:rFonts w:hint="eastAsia" w:ascii="宋体" w:hAnsi="宋体" w:eastAsia="宋体"/>
                <w:sz w:val="24"/>
                <w:szCs w:val="24"/>
                <w:lang w:val="en-US" w:eastAsia="zh-CN"/>
              </w:rPr>
              <w:t>8</w:t>
            </w:r>
          </w:p>
        </w:tc>
        <w:tc>
          <w:tcPr>
            <w:tcW w:w="965" w:type="pct"/>
            <w:tcBorders>
              <w:top w:val="single" w:color="auto" w:sz="4" w:space="0"/>
              <w:left w:val="nil"/>
              <w:bottom w:val="single" w:color="auto" w:sz="4" w:space="0"/>
              <w:right w:val="single" w:color="auto" w:sz="4" w:space="0"/>
            </w:tcBorders>
            <w:vAlign w:val="center"/>
          </w:tcPr>
          <w:p w14:paraId="494DDA56">
            <w:pPr>
              <w:keepNext w:val="0"/>
              <w:keepLines w:val="0"/>
              <w:widowControl/>
              <w:suppressLineNumbers w:val="0"/>
              <w:jc w:val="center"/>
              <w:textAlignment w:val="center"/>
              <w:rPr>
                <w:rFonts w:hint="eastAsia" w:ascii="宋体" w:hAnsi="宋体" w:eastAsia="宋体"/>
                <w:b/>
                <w:bCs/>
                <w:color w:val="EE0000"/>
                <w:sz w:val="24"/>
                <w:szCs w:val="24"/>
              </w:rPr>
            </w:pPr>
            <w:r>
              <w:rPr>
                <w:rFonts w:hint="eastAsia" w:ascii="宋体" w:hAnsi="宋体" w:eastAsia="宋体" w:cs="宋体"/>
                <w:b/>
                <w:bCs/>
                <w:i w:val="0"/>
                <w:iCs w:val="0"/>
                <w:color w:val="000000"/>
                <w:kern w:val="0"/>
                <w:sz w:val="20"/>
                <w:szCs w:val="20"/>
                <w:u w:val="none"/>
                <w:lang w:val="en-US" w:eastAsia="zh-CN" w:bidi="ar"/>
              </w:rPr>
              <w:t>跆拳道护头</w:t>
            </w:r>
          </w:p>
        </w:tc>
        <w:tc>
          <w:tcPr>
            <w:tcW w:w="1572" w:type="pct"/>
            <w:tcBorders>
              <w:top w:val="single" w:color="auto" w:sz="4" w:space="0"/>
              <w:left w:val="nil"/>
              <w:bottom w:val="single" w:color="auto" w:sz="4" w:space="0"/>
              <w:right w:val="single" w:color="auto" w:sz="4" w:space="0"/>
            </w:tcBorders>
            <w:vAlign w:val="center"/>
          </w:tcPr>
          <w:p w14:paraId="6EBA8AEB">
            <w:pPr>
              <w:widowControl/>
              <w:spacing w:line="360" w:lineRule="auto"/>
              <w:jc w:val="center"/>
              <w:rPr>
                <w:rFonts w:hint="eastAsia" w:ascii="宋体" w:hAnsi="宋体" w:eastAsia="宋体"/>
                <w:b/>
                <w:bCs/>
                <w:color w:val="EE0000"/>
                <w:sz w:val="24"/>
                <w:szCs w:val="24"/>
              </w:rPr>
            </w:pPr>
            <w:r>
              <w:rPr>
                <w:rFonts w:hint="eastAsia"/>
              </w:rPr>
              <w:t>WAYCHAMP(原“大满贯”)</w:t>
            </w:r>
          </w:p>
        </w:tc>
        <w:tc>
          <w:tcPr>
            <w:tcW w:w="687" w:type="pct"/>
            <w:tcBorders>
              <w:top w:val="single" w:color="auto" w:sz="4" w:space="0"/>
              <w:left w:val="nil"/>
              <w:bottom w:val="single" w:color="auto" w:sz="4" w:space="0"/>
              <w:right w:val="single" w:color="auto" w:sz="4" w:space="0"/>
            </w:tcBorders>
            <w:vAlign w:val="center"/>
          </w:tcPr>
          <w:p w14:paraId="1E465529">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40</w:t>
            </w:r>
          </w:p>
        </w:tc>
        <w:tc>
          <w:tcPr>
            <w:tcW w:w="568" w:type="pct"/>
            <w:tcBorders>
              <w:top w:val="single" w:color="auto" w:sz="4" w:space="0"/>
              <w:left w:val="single" w:color="auto" w:sz="4" w:space="0"/>
              <w:bottom w:val="single" w:color="auto" w:sz="4" w:space="0"/>
              <w:right w:val="single" w:color="auto" w:sz="4" w:space="0"/>
            </w:tcBorders>
            <w:vAlign w:val="center"/>
          </w:tcPr>
          <w:p w14:paraId="24CAE533">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个</w:t>
            </w:r>
          </w:p>
        </w:tc>
        <w:tc>
          <w:tcPr>
            <w:tcW w:w="771" w:type="pct"/>
            <w:tcBorders>
              <w:top w:val="single" w:color="auto" w:sz="4" w:space="0"/>
              <w:left w:val="single" w:color="auto" w:sz="4" w:space="0"/>
              <w:bottom w:val="single" w:color="auto" w:sz="4" w:space="0"/>
              <w:right w:val="single" w:color="auto" w:sz="4" w:space="0"/>
            </w:tcBorders>
            <w:vAlign w:val="center"/>
          </w:tcPr>
          <w:p w14:paraId="581F5B04">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 xml:space="preserve">110 </w:t>
            </w:r>
          </w:p>
        </w:tc>
      </w:tr>
      <w:tr w14:paraId="4866113D">
        <w:tblPrEx>
          <w:tblCellMar>
            <w:top w:w="0" w:type="dxa"/>
            <w:left w:w="108" w:type="dxa"/>
            <w:bottom w:w="0" w:type="dxa"/>
            <w:right w:w="108" w:type="dxa"/>
          </w:tblCellMar>
        </w:tblPrEx>
        <w:trPr>
          <w:trHeight w:val="567" w:hRule="atLeast"/>
        </w:trPr>
        <w:tc>
          <w:tcPr>
            <w:tcW w:w="435" w:type="pct"/>
            <w:tcBorders>
              <w:top w:val="single" w:color="auto" w:sz="4" w:space="0"/>
              <w:left w:val="single" w:color="auto" w:sz="4" w:space="0"/>
              <w:bottom w:val="single" w:color="auto" w:sz="4" w:space="0"/>
              <w:right w:val="single" w:color="auto" w:sz="4" w:space="0"/>
            </w:tcBorders>
            <w:vAlign w:val="center"/>
          </w:tcPr>
          <w:p w14:paraId="2AC0F748">
            <w:pPr>
              <w:widowControl/>
              <w:spacing w:line="360" w:lineRule="auto"/>
              <w:jc w:val="center"/>
              <w:rPr>
                <w:rFonts w:ascii="宋体" w:hAnsi="宋体" w:eastAsia="宋体"/>
                <w:b/>
                <w:bCs/>
                <w:color w:val="EE0000"/>
                <w:sz w:val="24"/>
                <w:szCs w:val="24"/>
              </w:rPr>
            </w:pPr>
            <w:r>
              <w:rPr>
                <w:rFonts w:hint="eastAsia" w:ascii="宋体" w:hAnsi="宋体" w:eastAsia="宋体"/>
                <w:sz w:val="24"/>
                <w:szCs w:val="24"/>
                <w:lang w:val="en-US" w:eastAsia="zh-CN"/>
              </w:rPr>
              <w:t>9</w:t>
            </w:r>
          </w:p>
        </w:tc>
        <w:tc>
          <w:tcPr>
            <w:tcW w:w="965" w:type="pct"/>
            <w:tcBorders>
              <w:top w:val="single" w:color="auto" w:sz="4" w:space="0"/>
              <w:left w:val="nil"/>
              <w:bottom w:val="single" w:color="auto" w:sz="4" w:space="0"/>
              <w:right w:val="single" w:color="auto" w:sz="4" w:space="0"/>
            </w:tcBorders>
            <w:vAlign w:val="center"/>
          </w:tcPr>
          <w:p w14:paraId="579B7B9E">
            <w:pPr>
              <w:keepNext w:val="0"/>
              <w:keepLines w:val="0"/>
              <w:widowControl/>
              <w:suppressLineNumbers w:val="0"/>
              <w:jc w:val="center"/>
              <w:textAlignment w:val="center"/>
              <w:rPr>
                <w:rFonts w:hint="eastAsia" w:ascii="宋体" w:hAnsi="宋体" w:eastAsia="宋体"/>
                <w:b/>
                <w:bCs/>
                <w:color w:val="EE0000"/>
                <w:sz w:val="24"/>
                <w:szCs w:val="24"/>
              </w:rPr>
            </w:pPr>
            <w:r>
              <w:rPr>
                <w:rFonts w:hint="eastAsia" w:ascii="宋体" w:hAnsi="宋体" w:eastAsia="宋体" w:cs="宋体"/>
                <w:b/>
                <w:bCs/>
                <w:i w:val="0"/>
                <w:iCs w:val="0"/>
                <w:color w:val="000000"/>
                <w:kern w:val="0"/>
                <w:sz w:val="20"/>
                <w:szCs w:val="20"/>
                <w:u w:val="none"/>
                <w:lang w:val="en-US" w:eastAsia="zh-CN" w:bidi="ar"/>
              </w:rPr>
              <w:t>跆拳道脚靶</w:t>
            </w:r>
          </w:p>
        </w:tc>
        <w:tc>
          <w:tcPr>
            <w:tcW w:w="1572" w:type="pct"/>
            <w:tcBorders>
              <w:top w:val="single" w:color="auto" w:sz="4" w:space="0"/>
              <w:left w:val="nil"/>
              <w:bottom w:val="single" w:color="auto" w:sz="4" w:space="0"/>
              <w:right w:val="single" w:color="auto" w:sz="4" w:space="0"/>
            </w:tcBorders>
            <w:vAlign w:val="center"/>
          </w:tcPr>
          <w:p w14:paraId="3E15754B">
            <w:pPr>
              <w:widowControl/>
              <w:spacing w:line="360" w:lineRule="auto"/>
              <w:jc w:val="center"/>
              <w:rPr>
                <w:rFonts w:hint="eastAsia" w:ascii="宋体" w:hAnsi="宋体" w:eastAsia="宋体"/>
                <w:b/>
                <w:bCs/>
                <w:color w:val="EE0000"/>
                <w:sz w:val="24"/>
                <w:szCs w:val="24"/>
              </w:rPr>
            </w:pPr>
            <w:r>
              <w:rPr>
                <w:rFonts w:hint="eastAsia"/>
              </w:rPr>
              <w:t>WAYCHAMP(原“大满贯”)</w:t>
            </w:r>
          </w:p>
        </w:tc>
        <w:tc>
          <w:tcPr>
            <w:tcW w:w="687" w:type="pct"/>
            <w:tcBorders>
              <w:top w:val="single" w:color="auto" w:sz="4" w:space="0"/>
              <w:left w:val="nil"/>
              <w:bottom w:val="single" w:color="auto" w:sz="4" w:space="0"/>
              <w:right w:val="single" w:color="auto" w:sz="4" w:space="0"/>
            </w:tcBorders>
            <w:vAlign w:val="center"/>
          </w:tcPr>
          <w:p w14:paraId="06CCCFA0">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40</w:t>
            </w:r>
          </w:p>
        </w:tc>
        <w:tc>
          <w:tcPr>
            <w:tcW w:w="568" w:type="pct"/>
            <w:tcBorders>
              <w:top w:val="single" w:color="auto" w:sz="4" w:space="0"/>
              <w:left w:val="single" w:color="auto" w:sz="4" w:space="0"/>
              <w:bottom w:val="single" w:color="auto" w:sz="4" w:space="0"/>
              <w:right w:val="single" w:color="auto" w:sz="4" w:space="0"/>
            </w:tcBorders>
            <w:vAlign w:val="center"/>
          </w:tcPr>
          <w:p w14:paraId="582F0A1F">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个</w:t>
            </w:r>
          </w:p>
        </w:tc>
        <w:tc>
          <w:tcPr>
            <w:tcW w:w="771" w:type="pct"/>
            <w:tcBorders>
              <w:top w:val="single" w:color="auto" w:sz="4" w:space="0"/>
              <w:left w:val="single" w:color="auto" w:sz="4" w:space="0"/>
              <w:bottom w:val="single" w:color="auto" w:sz="4" w:space="0"/>
              <w:right w:val="single" w:color="auto" w:sz="4" w:space="0"/>
            </w:tcBorders>
            <w:vAlign w:val="center"/>
          </w:tcPr>
          <w:p w14:paraId="00CF8E72">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 xml:space="preserve">80 </w:t>
            </w:r>
          </w:p>
        </w:tc>
      </w:tr>
      <w:tr w14:paraId="2FF85F87">
        <w:tblPrEx>
          <w:tblCellMar>
            <w:top w:w="0" w:type="dxa"/>
            <w:left w:w="108" w:type="dxa"/>
            <w:bottom w:w="0" w:type="dxa"/>
            <w:right w:w="108" w:type="dxa"/>
          </w:tblCellMar>
        </w:tblPrEx>
        <w:trPr>
          <w:trHeight w:val="567" w:hRule="atLeast"/>
        </w:trPr>
        <w:tc>
          <w:tcPr>
            <w:tcW w:w="435" w:type="pct"/>
            <w:tcBorders>
              <w:top w:val="single" w:color="auto" w:sz="4" w:space="0"/>
              <w:left w:val="single" w:color="auto" w:sz="4" w:space="0"/>
              <w:bottom w:val="single" w:color="auto" w:sz="4" w:space="0"/>
              <w:right w:val="single" w:color="auto" w:sz="4" w:space="0"/>
            </w:tcBorders>
            <w:vAlign w:val="center"/>
          </w:tcPr>
          <w:p w14:paraId="3E67BE00">
            <w:pPr>
              <w:widowControl/>
              <w:spacing w:line="360" w:lineRule="auto"/>
              <w:jc w:val="center"/>
              <w:rPr>
                <w:rFonts w:ascii="宋体" w:hAnsi="宋体" w:eastAsia="宋体"/>
                <w:b/>
                <w:bCs/>
                <w:color w:val="EE0000"/>
                <w:sz w:val="24"/>
                <w:szCs w:val="24"/>
              </w:rPr>
            </w:pPr>
            <w:r>
              <w:rPr>
                <w:rFonts w:hint="eastAsia" w:ascii="宋体" w:hAnsi="宋体" w:eastAsia="宋体"/>
                <w:sz w:val="24"/>
                <w:szCs w:val="24"/>
                <w:lang w:val="en-US" w:eastAsia="zh-CN"/>
              </w:rPr>
              <w:t>10</w:t>
            </w:r>
          </w:p>
        </w:tc>
        <w:tc>
          <w:tcPr>
            <w:tcW w:w="965" w:type="pct"/>
            <w:tcBorders>
              <w:top w:val="single" w:color="auto" w:sz="4" w:space="0"/>
              <w:left w:val="nil"/>
              <w:bottom w:val="single" w:color="auto" w:sz="4" w:space="0"/>
              <w:right w:val="single" w:color="auto" w:sz="4" w:space="0"/>
            </w:tcBorders>
            <w:vAlign w:val="center"/>
          </w:tcPr>
          <w:p w14:paraId="02896BCB">
            <w:pPr>
              <w:keepNext w:val="0"/>
              <w:keepLines w:val="0"/>
              <w:widowControl/>
              <w:suppressLineNumbers w:val="0"/>
              <w:jc w:val="center"/>
              <w:textAlignment w:val="center"/>
              <w:rPr>
                <w:rFonts w:hint="eastAsia" w:ascii="宋体" w:hAnsi="宋体" w:eastAsia="宋体"/>
                <w:b/>
                <w:bCs/>
                <w:color w:val="EE0000"/>
                <w:sz w:val="24"/>
                <w:szCs w:val="24"/>
              </w:rPr>
            </w:pPr>
            <w:r>
              <w:rPr>
                <w:rFonts w:hint="eastAsia" w:ascii="宋体" w:hAnsi="宋体" w:eastAsia="宋体" w:cs="宋体"/>
                <w:b/>
                <w:bCs/>
                <w:i w:val="0"/>
                <w:iCs w:val="0"/>
                <w:color w:val="000000"/>
                <w:kern w:val="0"/>
                <w:sz w:val="20"/>
                <w:szCs w:val="20"/>
                <w:u w:val="none"/>
                <w:lang w:val="en-US" w:eastAsia="zh-CN" w:bidi="ar"/>
              </w:rPr>
              <w:t>跆拳道伊朗靶</w:t>
            </w:r>
          </w:p>
        </w:tc>
        <w:tc>
          <w:tcPr>
            <w:tcW w:w="1572" w:type="pct"/>
            <w:tcBorders>
              <w:top w:val="single" w:color="auto" w:sz="4" w:space="0"/>
              <w:left w:val="nil"/>
              <w:bottom w:val="single" w:color="auto" w:sz="4" w:space="0"/>
              <w:right w:val="single" w:color="auto" w:sz="4" w:space="0"/>
            </w:tcBorders>
            <w:vAlign w:val="center"/>
          </w:tcPr>
          <w:p w14:paraId="3B9EF77C">
            <w:pPr>
              <w:widowControl/>
              <w:spacing w:line="360" w:lineRule="auto"/>
              <w:jc w:val="center"/>
              <w:rPr>
                <w:rFonts w:hint="eastAsia" w:ascii="宋体" w:hAnsi="宋体" w:eastAsia="宋体"/>
                <w:b/>
                <w:bCs/>
                <w:color w:val="EE0000"/>
                <w:sz w:val="24"/>
                <w:szCs w:val="24"/>
              </w:rPr>
            </w:pPr>
            <w:r>
              <w:rPr>
                <w:rFonts w:hint="eastAsia"/>
              </w:rPr>
              <w:t>WAYCHAMP(原“大满贯”)</w:t>
            </w:r>
          </w:p>
        </w:tc>
        <w:tc>
          <w:tcPr>
            <w:tcW w:w="687" w:type="pct"/>
            <w:tcBorders>
              <w:top w:val="single" w:color="auto" w:sz="4" w:space="0"/>
              <w:left w:val="nil"/>
              <w:bottom w:val="single" w:color="auto" w:sz="4" w:space="0"/>
              <w:right w:val="single" w:color="auto" w:sz="4" w:space="0"/>
            </w:tcBorders>
            <w:vAlign w:val="center"/>
          </w:tcPr>
          <w:p w14:paraId="6F28754F">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20</w:t>
            </w:r>
          </w:p>
        </w:tc>
        <w:tc>
          <w:tcPr>
            <w:tcW w:w="568" w:type="pct"/>
            <w:tcBorders>
              <w:top w:val="single" w:color="auto" w:sz="4" w:space="0"/>
              <w:left w:val="single" w:color="auto" w:sz="4" w:space="0"/>
              <w:bottom w:val="single" w:color="auto" w:sz="4" w:space="0"/>
              <w:right w:val="single" w:color="auto" w:sz="4" w:space="0"/>
            </w:tcBorders>
            <w:vAlign w:val="center"/>
          </w:tcPr>
          <w:p w14:paraId="6D259941">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个</w:t>
            </w:r>
          </w:p>
        </w:tc>
        <w:tc>
          <w:tcPr>
            <w:tcW w:w="771" w:type="pct"/>
            <w:tcBorders>
              <w:top w:val="single" w:color="auto" w:sz="4" w:space="0"/>
              <w:left w:val="single" w:color="auto" w:sz="4" w:space="0"/>
              <w:bottom w:val="single" w:color="auto" w:sz="4" w:space="0"/>
              <w:right w:val="single" w:color="auto" w:sz="4" w:space="0"/>
            </w:tcBorders>
            <w:vAlign w:val="center"/>
          </w:tcPr>
          <w:p w14:paraId="61E44C1E">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 xml:space="preserve">202 </w:t>
            </w:r>
          </w:p>
        </w:tc>
      </w:tr>
      <w:tr w14:paraId="7DA7B9EF">
        <w:tblPrEx>
          <w:tblCellMar>
            <w:top w:w="0" w:type="dxa"/>
            <w:left w:w="108" w:type="dxa"/>
            <w:bottom w:w="0" w:type="dxa"/>
            <w:right w:w="108" w:type="dxa"/>
          </w:tblCellMar>
        </w:tblPrEx>
        <w:trPr>
          <w:trHeight w:val="567" w:hRule="atLeast"/>
        </w:trPr>
        <w:tc>
          <w:tcPr>
            <w:tcW w:w="435" w:type="pct"/>
            <w:tcBorders>
              <w:top w:val="single" w:color="auto" w:sz="4" w:space="0"/>
              <w:left w:val="single" w:color="auto" w:sz="4" w:space="0"/>
              <w:bottom w:val="single" w:color="auto" w:sz="4" w:space="0"/>
              <w:right w:val="single" w:color="auto" w:sz="4" w:space="0"/>
            </w:tcBorders>
            <w:vAlign w:val="center"/>
          </w:tcPr>
          <w:p w14:paraId="1D36588B">
            <w:pPr>
              <w:widowControl/>
              <w:spacing w:line="360" w:lineRule="auto"/>
              <w:jc w:val="center"/>
              <w:rPr>
                <w:rFonts w:ascii="宋体" w:hAnsi="宋体" w:eastAsia="宋体"/>
                <w:b/>
                <w:bCs/>
                <w:color w:val="EE0000"/>
                <w:sz w:val="24"/>
                <w:szCs w:val="24"/>
              </w:rPr>
            </w:pPr>
            <w:r>
              <w:rPr>
                <w:rFonts w:hint="eastAsia" w:ascii="宋体" w:hAnsi="宋体" w:eastAsia="宋体"/>
                <w:sz w:val="24"/>
                <w:szCs w:val="24"/>
                <w:lang w:val="en-US" w:eastAsia="zh-CN"/>
              </w:rPr>
              <w:t>11</w:t>
            </w:r>
          </w:p>
        </w:tc>
        <w:tc>
          <w:tcPr>
            <w:tcW w:w="965" w:type="pct"/>
            <w:tcBorders>
              <w:top w:val="single" w:color="auto" w:sz="4" w:space="0"/>
              <w:left w:val="nil"/>
              <w:bottom w:val="single" w:color="auto" w:sz="4" w:space="0"/>
              <w:right w:val="single" w:color="auto" w:sz="4" w:space="0"/>
            </w:tcBorders>
            <w:vAlign w:val="center"/>
          </w:tcPr>
          <w:p w14:paraId="7F8DB7FB">
            <w:pPr>
              <w:keepNext w:val="0"/>
              <w:keepLines w:val="0"/>
              <w:widowControl/>
              <w:suppressLineNumbers w:val="0"/>
              <w:jc w:val="center"/>
              <w:textAlignment w:val="center"/>
              <w:rPr>
                <w:rFonts w:hint="eastAsia" w:ascii="宋体" w:hAnsi="宋体" w:eastAsia="宋体"/>
                <w:b/>
                <w:bCs/>
                <w:color w:val="EE0000"/>
                <w:sz w:val="24"/>
                <w:szCs w:val="24"/>
              </w:rPr>
            </w:pPr>
            <w:r>
              <w:rPr>
                <w:rFonts w:hint="eastAsia" w:ascii="宋体" w:hAnsi="宋体" w:eastAsia="宋体" w:cs="宋体"/>
                <w:b/>
                <w:bCs/>
                <w:i w:val="0"/>
                <w:iCs w:val="0"/>
                <w:color w:val="000000"/>
                <w:kern w:val="0"/>
                <w:sz w:val="20"/>
                <w:szCs w:val="20"/>
                <w:u w:val="none"/>
                <w:lang w:val="en-US" w:eastAsia="zh-CN" w:bidi="ar"/>
              </w:rPr>
              <w:t>跆拳道护裆</w:t>
            </w:r>
          </w:p>
        </w:tc>
        <w:tc>
          <w:tcPr>
            <w:tcW w:w="1572" w:type="pct"/>
            <w:tcBorders>
              <w:top w:val="single" w:color="auto" w:sz="4" w:space="0"/>
              <w:left w:val="nil"/>
              <w:bottom w:val="single" w:color="auto" w:sz="4" w:space="0"/>
              <w:right w:val="single" w:color="auto" w:sz="4" w:space="0"/>
            </w:tcBorders>
            <w:vAlign w:val="center"/>
          </w:tcPr>
          <w:p w14:paraId="48B0B93C">
            <w:pPr>
              <w:widowControl/>
              <w:spacing w:line="360" w:lineRule="auto"/>
              <w:jc w:val="center"/>
              <w:rPr>
                <w:rFonts w:hint="eastAsia" w:ascii="宋体" w:hAnsi="宋体" w:eastAsia="宋体"/>
                <w:b/>
                <w:bCs/>
                <w:color w:val="EE0000"/>
                <w:sz w:val="24"/>
                <w:szCs w:val="24"/>
              </w:rPr>
            </w:pPr>
            <w:r>
              <w:rPr>
                <w:rFonts w:hint="eastAsia"/>
              </w:rPr>
              <w:t>WAYCHAMP(原“大满贯”)</w:t>
            </w:r>
          </w:p>
        </w:tc>
        <w:tc>
          <w:tcPr>
            <w:tcW w:w="687" w:type="pct"/>
            <w:tcBorders>
              <w:top w:val="single" w:color="auto" w:sz="4" w:space="0"/>
              <w:left w:val="nil"/>
              <w:bottom w:val="single" w:color="auto" w:sz="4" w:space="0"/>
              <w:right w:val="single" w:color="auto" w:sz="4" w:space="0"/>
            </w:tcBorders>
            <w:vAlign w:val="center"/>
          </w:tcPr>
          <w:p w14:paraId="77D1E1C6">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40</w:t>
            </w:r>
          </w:p>
        </w:tc>
        <w:tc>
          <w:tcPr>
            <w:tcW w:w="568" w:type="pct"/>
            <w:tcBorders>
              <w:top w:val="single" w:color="auto" w:sz="4" w:space="0"/>
              <w:left w:val="single" w:color="auto" w:sz="4" w:space="0"/>
              <w:bottom w:val="single" w:color="auto" w:sz="4" w:space="0"/>
              <w:right w:val="single" w:color="auto" w:sz="4" w:space="0"/>
            </w:tcBorders>
            <w:vAlign w:val="center"/>
          </w:tcPr>
          <w:p w14:paraId="52E466F7">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个</w:t>
            </w:r>
          </w:p>
        </w:tc>
        <w:tc>
          <w:tcPr>
            <w:tcW w:w="771" w:type="pct"/>
            <w:tcBorders>
              <w:top w:val="single" w:color="auto" w:sz="4" w:space="0"/>
              <w:left w:val="single" w:color="auto" w:sz="4" w:space="0"/>
              <w:bottom w:val="single" w:color="auto" w:sz="4" w:space="0"/>
              <w:right w:val="single" w:color="auto" w:sz="4" w:space="0"/>
            </w:tcBorders>
            <w:vAlign w:val="center"/>
          </w:tcPr>
          <w:p w14:paraId="154EDCE7">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 xml:space="preserve">30 </w:t>
            </w:r>
          </w:p>
        </w:tc>
      </w:tr>
      <w:tr w14:paraId="6927277A">
        <w:tblPrEx>
          <w:tblCellMar>
            <w:top w:w="0" w:type="dxa"/>
            <w:left w:w="108" w:type="dxa"/>
            <w:bottom w:w="0" w:type="dxa"/>
            <w:right w:w="108" w:type="dxa"/>
          </w:tblCellMar>
        </w:tblPrEx>
        <w:trPr>
          <w:trHeight w:val="567" w:hRule="atLeast"/>
        </w:trPr>
        <w:tc>
          <w:tcPr>
            <w:tcW w:w="435" w:type="pct"/>
            <w:tcBorders>
              <w:top w:val="single" w:color="auto" w:sz="4" w:space="0"/>
              <w:left w:val="single" w:color="auto" w:sz="4" w:space="0"/>
              <w:bottom w:val="single" w:color="auto" w:sz="4" w:space="0"/>
              <w:right w:val="single" w:color="auto" w:sz="4" w:space="0"/>
            </w:tcBorders>
            <w:vAlign w:val="center"/>
          </w:tcPr>
          <w:p w14:paraId="2BBF90E5">
            <w:pPr>
              <w:widowControl/>
              <w:spacing w:line="360" w:lineRule="auto"/>
              <w:jc w:val="center"/>
              <w:rPr>
                <w:rFonts w:ascii="宋体" w:hAnsi="宋体" w:eastAsia="宋体"/>
                <w:b/>
                <w:bCs/>
                <w:color w:val="EE0000"/>
                <w:sz w:val="24"/>
                <w:szCs w:val="24"/>
              </w:rPr>
            </w:pPr>
            <w:r>
              <w:rPr>
                <w:rFonts w:hint="eastAsia" w:ascii="宋体" w:hAnsi="宋体" w:eastAsia="宋体"/>
                <w:sz w:val="24"/>
                <w:szCs w:val="24"/>
                <w:lang w:val="en-US" w:eastAsia="zh-CN"/>
              </w:rPr>
              <w:t>12</w:t>
            </w:r>
          </w:p>
        </w:tc>
        <w:tc>
          <w:tcPr>
            <w:tcW w:w="965" w:type="pct"/>
            <w:tcBorders>
              <w:top w:val="single" w:color="auto" w:sz="4" w:space="0"/>
              <w:left w:val="nil"/>
              <w:bottom w:val="single" w:color="auto" w:sz="4" w:space="0"/>
              <w:right w:val="single" w:color="auto" w:sz="4" w:space="0"/>
            </w:tcBorders>
            <w:vAlign w:val="center"/>
          </w:tcPr>
          <w:p w14:paraId="58DA4D66">
            <w:pPr>
              <w:keepNext w:val="0"/>
              <w:keepLines w:val="0"/>
              <w:widowControl/>
              <w:suppressLineNumbers w:val="0"/>
              <w:jc w:val="center"/>
              <w:textAlignment w:val="center"/>
              <w:rPr>
                <w:rFonts w:hint="eastAsia" w:ascii="宋体" w:hAnsi="宋体" w:eastAsia="宋体"/>
                <w:b/>
                <w:bCs/>
                <w:color w:val="EE0000"/>
                <w:sz w:val="24"/>
                <w:szCs w:val="24"/>
              </w:rPr>
            </w:pPr>
            <w:r>
              <w:rPr>
                <w:rFonts w:hint="eastAsia" w:ascii="宋体" w:hAnsi="宋体" w:eastAsia="宋体" w:cs="宋体"/>
                <w:b/>
                <w:bCs/>
                <w:i w:val="0"/>
                <w:iCs w:val="0"/>
                <w:color w:val="000000"/>
                <w:kern w:val="0"/>
                <w:sz w:val="20"/>
                <w:szCs w:val="20"/>
                <w:u w:val="none"/>
                <w:lang w:val="en-US" w:eastAsia="zh-CN" w:bidi="ar"/>
              </w:rPr>
              <w:t>跆拳道格挡靶</w:t>
            </w:r>
          </w:p>
        </w:tc>
        <w:tc>
          <w:tcPr>
            <w:tcW w:w="1572" w:type="pct"/>
            <w:tcBorders>
              <w:top w:val="single" w:color="auto" w:sz="4" w:space="0"/>
              <w:left w:val="nil"/>
              <w:bottom w:val="single" w:color="auto" w:sz="4" w:space="0"/>
              <w:right w:val="single" w:color="auto" w:sz="4" w:space="0"/>
            </w:tcBorders>
            <w:vAlign w:val="center"/>
          </w:tcPr>
          <w:p w14:paraId="6B5707D7">
            <w:pPr>
              <w:widowControl/>
              <w:spacing w:line="360" w:lineRule="auto"/>
              <w:jc w:val="center"/>
              <w:rPr>
                <w:rFonts w:hint="eastAsia" w:ascii="宋体" w:hAnsi="宋体" w:eastAsia="宋体"/>
                <w:b/>
                <w:bCs/>
                <w:color w:val="EE0000"/>
                <w:sz w:val="24"/>
                <w:szCs w:val="24"/>
              </w:rPr>
            </w:pPr>
            <w:r>
              <w:rPr>
                <w:rFonts w:hint="eastAsia"/>
              </w:rPr>
              <w:t>WAYCHAMP(原“大满贯”)</w:t>
            </w:r>
          </w:p>
        </w:tc>
        <w:tc>
          <w:tcPr>
            <w:tcW w:w="687" w:type="pct"/>
            <w:tcBorders>
              <w:top w:val="single" w:color="auto" w:sz="4" w:space="0"/>
              <w:left w:val="nil"/>
              <w:bottom w:val="single" w:color="auto" w:sz="4" w:space="0"/>
              <w:right w:val="single" w:color="auto" w:sz="4" w:space="0"/>
            </w:tcBorders>
            <w:vAlign w:val="center"/>
          </w:tcPr>
          <w:p w14:paraId="205DFDD3">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40</w:t>
            </w:r>
          </w:p>
        </w:tc>
        <w:tc>
          <w:tcPr>
            <w:tcW w:w="568" w:type="pct"/>
            <w:tcBorders>
              <w:top w:val="single" w:color="auto" w:sz="4" w:space="0"/>
              <w:left w:val="single" w:color="auto" w:sz="4" w:space="0"/>
              <w:bottom w:val="single" w:color="auto" w:sz="4" w:space="0"/>
              <w:right w:val="single" w:color="auto" w:sz="4" w:space="0"/>
            </w:tcBorders>
            <w:vAlign w:val="center"/>
          </w:tcPr>
          <w:p w14:paraId="064D1727">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个</w:t>
            </w:r>
          </w:p>
        </w:tc>
        <w:tc>
          <w:tcPr>
            <w:tcW w:w="771" w:type="pct"/>
            <w:tcBorders>
              <w:top w:val="single" w:color="auto" w:sz="4" w:space="0"/>
              <w:left w:val="single" w:color="auto" w:sz="4" w:space="0"/>
              <w:bottom w:val="single" w:color="auto" w:sz="4" w:space="0"/>
              <w:right w:val="single" w:color="auto" w:sz="4" w:space="0"/>
            </w:tcBorders>
            <w:vAlign w:val="center"/>
          </w:tcPr>
          <w:p w14:paraId="55FCFA23">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 xml:space="preserve">70 </w:t>
            </w:r>
          </w:p>
        </w:tc>
      </w:tr>
      <w:tr w14:paraId="74D97817">
        <w:tblPrEx>
          <w:tblCellMar>
            <w:top w:w="0" w:type="dxa"/>
            <w:left w:w="108" w:type="dxa"/>
            <w:bottom w:w="0" w:type="dxa"/>
            <w:right w:w="108" w:type="dxa"/>
          </w:tblCellMar>
        </w:tblPrEx>
        <w:trPr>
          <w:trHeight w:val="567" w:hRule="atLeast"/>
        </w:trPr>
        <w:tc>
          <w:tcPr>
            <w:tcW w:w="435" w:type="pct"/>
            <w:tcBorders>
              <w:top w:val="single" w:color="auto" w:sz="4" w:space="0"/>
              <w:left w:val="single" w:color="auto" w:sz="4" w:space="0"/>
              <w:bottom w:val="single" w:color="auto" w:sz="4" w:space="0"/>
              <w:right w:val="single" w:color="auto" w:sz="4" w:space="0"/>
            </w:tcBorders>
            <w:vAlign w:val="center"/>
          </w:tcPr>
          <w:p w14:paraId="2AB86BCE">
            <w:pPr>
              <w:widowControl/>
              <w:spacing w:line="360" w:lineRule="auto"/>
              <w:jc w:val="center"/>
              <w:rPr>
                <w:rFonts w:ascii="宋体" w:hAnsi="宋体" w:eastAsia="宋体"/>
                <w:b/>
                <w:bCs/>
                <w:color w:val="EE0000"/>
                <w:sz w:val="24"/>
                <w:szCs w:val="24"/>
              </w:rPr>
            </w:pPr>
            <w:r>
              <w:rPr>
                <w:rFonts w:hint="eastAsia" w:ascii="宋体" w:hAnsi="宋体" w:eastAsia="宋体"/>
                <w:sz w:val="24"/>
                <w:szCs w:val="24"/>
                <w:lang w:val="en-US" w:eastAsia="zh-CN"/>
              </w:rPr>
              <w:t>13</w:t>
            </w:r>
          </w:p>
        </w:tc>
        <w:tc>
          <w:tcPr>
            <w:tcW w:w="965" w:type="pct"/>
            <w:tcBorders>
              <w:top w:val="single" w:color="auto" w:sz="4" w:space="0"/>
              <w:left w:val="nil"/>
              <w:bottom w:val="single" w:color="auto" w:sz="4" w:space="0"/>
              <w:right w:val="single" w:color="auto" w:sz="4" w:space="0"/>
            </w:tcBorders>
            <w:vAlign w:val="center"/>
          </w:tcPr>
          <w:p w14:paraId="1EB99223">
            <w:pPr>
              <w:keepNext w:val="0"/>
              <w:keepLines w:val="0"/>
              <w:widowControl/>
              <w:suppressLineNumbers w:val="0"/>
              <w:jc w:val="center"/>
              <w:textAlignment w:val="center"/>
              <w:rPr>
                <w:rFonts w:hint="eastAsia" w:ascii="宋体" w:hAnsi="宋体" w:eastAsia="宋体"/>
                <w:b/>
                <w:bCs/>
                <w:color w:val="EE0000"/>
                <w:sz w:val="24"/>
                <w:szCs w:val="24"/>
              </w:rPr>
            </w:pPr>
            <w:r>
              <w:rPr>
                <w:rFonts w:hint="eastAsia" w:ascii="宋体" w:hAnsi="宋体" w:eastAsia="宋体" w:cs="宋体"/>
                <w:b/>
                <w:bCs/>
                <w:i w:val="0"/>
                <w:iCs w:val="0"/>
                <w:color w:val="000000"/>
                <w:kern w:val="0"/>
                <w:sz w:val="20"/>
                <w:szCs w:val="20"/>
                <w:u w:val="none"/>
                <w:lang w:val="en-US" w:eastAsia="zh-CN" w:bidi="ar"/>
              </w:rPr>
              <w:t>负重水袋</w:t>
            </w:r>
          </w:p>
        </w:tc>
        <w:tc>
          <w:tcPr>
            <w:tcW w:w="1572" w:type="pct"/>
            <w:tcBorders>
              <w:top w:val="single" w:color="auto" w:sz="4" w:space="0"/>
              <w:left w:val="nil"/>
              <w:bottom w:val="single" w:color="auto" w:sz="4" w:space="0"/>
              <w:right w:val="single" w:color="auto" w:sz="4" w:space="0"/>
            </w:tcBorders>
            <w:vAlign w:val="center"/>
          </w:tcPr>
          <w:p w14:paraId="7FE9081C">
            <w:pPr>
              <w:widowControl/>
              <w:spacing w:line="360" w:lineRule="auto"/>
              <w:jc w:val="center"/>
              <w:rPr>
                <w:rFonts w:hint="eastAsia" w:ascii="宋体" w:hAnsi="宋体" w:eastAsia="宋体"/>
                <w:b/>
                <w:bCs/>
                <w:color w:val="EE0000"/>
                <w:sz w:val="24"/>
                <w:szCs w:val="24"/>
              </w:rPr>
            </w:pPr>
            <w:r>
              <w:rPr>
                <w:rFonts w:hint="eastAsia"/>
              </w:rPr>
              <w:t>WAYCHAMP(原“大满贯”)</w:t>
            </w:r>
          </w:p>
        </w:tc>
        <w:tc>
          <w:tcPr>
            <w:tcW w:w="687" w:type="pct"/>
            <w:tcBorders>
              <w:top w:val="single" w:color="auto" w:sz="4" w:space="0"/>
              <w:left w:val="nil"/>
              <w:bottom w:val="single" w:color="auto" w:sz="4" w:space="0"/>
              <w:right w:val="single" w:color="auto" w:sz="4" w:space="0"/>
            </w:tcBorders>
            <w:vAlign w:val="center"/>
          </w:tcPr>
          <w:p w14:paraId="3077F551">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10</w:t>
            </w:r>
          </w:p>
        </w:tc>
        <w:tc>
          <w:tcPr>
            <w:tcW w:w="568" w:type="pct"/>
            <w:tcBorders>
              <w:top w:val="single" w:color="auto" w:sz="4" w:space="0"/>
              <w:left w:val="single" w:color="auto" w:sz="4" w:space="0"/>
              <w:bottom w:val="single" w:color="auto" w:sz="4" w:space="0"/>
              <w:right w:val="single" w:color="auto" w:sz="4" w:space="0"/>
            </w:tcBorders>
            <w:vAlign w:val="center"/>
          </w:tcPr>
          <w:p w14:paraId="62B9839C">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个</w:t>
            </w:r>
          </w:p>
        </w:tc>
        <w:tc>
          <w:tcPr>
            <w:tcW w:w="771" w:type="pct"/>
            <w:tcBorders>
              <w:top w:val="single" w:color="auto" w:sz="4" w:space="0"/>
              <w:left w:val="single" w:color="auto" w:sz="4" w:space="0"/>
              <w:bottom w:val="single" w:color="auto" w:sz="4" w:space="0"/>
              <w:right w:val="single" w:color="auto" w:sz="4" w:space="0"/>
            </w:tcBorders>
            <w:vAlign w:val="center"/>
          </w:tcPr>
          <w:p w14:paraId="3C66B4D0">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 xml:space="preserve">88 </w:t>
            </w:r>
          </w:p>
        </w:tc>
      </w:tr>
      <w:tr w14:paraId="25AA53DA">
        <w:tblPrEx>
          <w:tblCellMar>
            <w:top w:w="0" w:type="dxa"/>
            <w:left w:w="108" w:type="dxa"/>
            <w:bottom w:w="0" w:type="dxa"/>
            <w:right w:w="108" w:type="dxa"/>
          </w:tblCellMar>
        </w:tblPrEx>
        <w:trPr>
          <w:trHeight w:val="567" w:hRule="atLeast"/>
        </w:trPr>
        <w:tc>
          <w:tcPr>
            <w:tcW w:w="435" w:type="pct"/>
            <w:tcBorders>
              <w:top w:val="single" w:color="auto" w:sz="4" w:space="0"/>
              <w:left w:val="single" w:color="auto" w:sz="4" w:space="0"/>
              <w:bottom w:val="single" w:color="auto" w:sz="4" w:space="0"/>
              <w:right w:val="single" w:color="auto" w:sz="4" w:space="0"/>
            </w:tcBorders>
            <w:vAlign w:val="center"/>
          </w:tcPr>
          <w:p w14:paraId="1DE549F5">
            <w:pPr>
              <w:widowControl/>
              <w:spacing w:line="360" w:lineRule="auto"/>
              <w:jc w:val="center"/>
              <w:rPr>
                <w:rFonts w:ascii="宋体" w:hAnsi="宋体" w:eastAsia="宋体"/>
                <w:b/>
                <w:bCs/>
                <w:color w:val="EE0000"/>
                <w:sz w:val="24"/>
                <w:szCs w:val="24"/>
              </w:rPr>
            </w:pPr>
            <w:r>
              <w:rPr>
                <w:rFonts w:hint="eastAsia" w:ascii="宋体" w:hAnsi="宋体" w:eastAsia="宋体"/>
                <w:sz w:val="24"/>
                <w:szCs w:val="24"/>
                <w:lang w:val="en-US" w:eastAsia="zh-CN"/>
              </w:rPr>
              <w:t>14</w:t>
            </w:r>
          </w:p>
        </w:tc>
        <w:tc>
          <w:tcPr>
            <w:tcW w:w="965" w:type="pct"/>
            <w:tcBorders>
              <w:top w:val="single" w:color="auto" w:sz="4" w:space="0"/>
              <w:left w:val="nil"/>
              <w:bottom w:val="single" w:color="auto" w:sz="4" w:space="0"/>
              <w:right w:val="single" w:color="auto" w:sz="4" w:space="0"/>
            </w:tcBorders>
            <w:vAlign w:val="center"/>
          </w:tcPr>
          <w:p w14:paraId="18A363DB">
            <w:pPr>
              <w:keepNext w:val="0"/>
              <w:keepLines w:val="0"/>
              <w:widowControl/>
              <w:suppressLineNumbers w:val="0"/>
              <w:jc w:val="center"/>
              <w:textAlignment w:val="center"/>
              <w:rPr>
                <w:rFonts w:hint="eastAsia" w:ascii="宋体" w:hAnsi="宋体" w:eastAsia="宋体"/>
                <w:b/>
                <w:bCs/>
                <w:color w:val="EE0000"/>
                <w:sz w:val="24"/>
                <w:szCs w:val="24"/>
              </w:rPr>
            </w:pPr>
            <w:r>
              <w:rPr>
                <w:rFonts w:hint="eastAsia" w:ascii="宋体" w:hAnsi="宋体" w:eastAsia="宋体" w:cs="宋体"/>
                <w:b/>
                <w:bCs/>
                <w:i w:val="0"/>
                <w:iCs w:val="0"/>
                <w:color w:val="000000"/>
                <w:kern w:val="0"/>
                <w:sz w:val="20"/>
                <w:szCs w:val="20"/>
                <w:u w:val="none"/>
                <w:lang w:val="en-US" w:eastAsia="zh-CN" w:bidi="ar"/>
              </w:rPr>
              <w:t>踏板运动台阶</w:t>
            </w:r>
          </w:p>
        </w:tc>
        <w:tc>
          <w:tcPr>
            <w:tcW w:w="1572" w:type="pct"/>
            <w:tcBorders>
              <w:top w:val="single" w:color="auto" w:sz="4" w:space="0"/>
              <w:left w:val="nil"/>
              <w:bottom w:val="single" w:color="auto" w:sz="4" w:space="0"/>
              <w:right w:val="single" w:color="auto" w:sz="4" w:space="0"/>
            </w:tcBorders>
            <w:vAlign w:val="center"/>
          </w:tcPr>
          <w:p w14:paraId="76C8DF7F">
            <w:pPr>
              <w:widowControl/>
              <w:spacing w:line="360" w:lineRule="auto"/>
              <w:jc w:val="center"/>
              <w:rPr>
                <w:rFonts w:hint="eastAsia" w:ascii="宋体" w:hAnsi="宋体" w:eastAsia="宋体"/>
                <w:b/>
                <w:bCs/>
                <w:color w:val="EE0000"/>
                <w:sz w:val="24"/>
                <w:szCs w:val="24"/>
              </w:rPr>
            </w:pPr>
            <w:r>
              <w:rPr>
                <w:rFonts w:hint="eastAsia"/>
              </w:rPr>
              <w:t>WAYCHAMP(原“大满贯”)</w:t>
            </w:r>
          </w:p>
        </w:tc>
        <w:tc>
          <w:tcPr>
            <w:tcW w:w="687" w:type="pct"/>
            <w:tcBorders>
              <w:top w:val="single" w:color="auto" w:sz="4" w:space="0"/>
              <w:left w:val="nil"/>
              <w:bottom w:val="single" w:color="auto" w:sz="4" w:space="0"/>
              <w:right w:val="single" w:color="auto" w:sz="4" w:space="0"/>
            </w:tcBorders>
            <w:vAlign w:val="center"/>
          </w:tcPr>
          <w:p w14:paraId="5F4E8F7E">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20</w:t>
            </w:r>
          </w:p>
        </w:tc>
        <w:tc>
          <w:tcPr>
            <w:tcW w:w="568" w:type="pct"/>
            <w:tcBorders>
              <w:top w:val="single" w:color="auto" w:sz="4" w:space="0"/>
              <w:left w:val="single" w:color="auto" w:sz="4" w:space="0"/>
              <w:bottom w:val="single" w:color="auto" w:sz="4" w:space="0"/>
              <w:right w:val="single" w:color="auto" w:sz="4" w:space="0"/>
            </w:tcBorders>
            <w:vAlign w:val="center"/>
          </w:tcPr>
          <w:p w14:paraId="13F7EF36">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个</w:t>
            </w:r>
          </w:p>
        </w:tc>
        <w:tc>
          <w:tcPr>
            <w:tcW w:w="771" w:type="pct"/>
            <w:tcBorders>
              <w:top w:val="single" w:color="auto" w:sz="4" w:space="0"/>
              <w:left w:val="single" w:color="auto" w:sz="4" w:space="0"/>
              <w:bottom w:val="single" w:color="auto" w:sz="4" w:space="0"/>
              <w:right w:val="single" w:color="auto" w:sz="4" w:space="0"/>
            </w:tcBorders>
            <w:vAlign w:val="center"/>
          </w:tcPr>
          <w:p w14:paraId="5AF9B790">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 xml:space="preserve">295 </w:t>
            </w:r>
          </w:p>
        </w:tc>
      </w:tr>
      <w:tr w14:paraId="07F70B23">
        <w:tblPrEx>
          <w:tblCellMar>
            <w:top w:w="0" w:type="dxa"/>
            <w:left w:w="108" w:type="dxa"/>
            <w:bottom w:w="0" w:type="dxa"/>
            <w:right w:w="108" w:type="dxa"/>
          </w:tblCellMar>
        </w:tblPrEx>
        <w:trPr>
          <w:trHeight w:val="567" w:hRule="atLeast"/>
        </w:trPr>
        <w:tc>
          <w:tcPr>
            <w:tcW w:w="435" w:type="pct"/>
            <w:tcBorders>
              <w:top w:val="single" w:color="auto" w:sz="4" w:space="0"/>
              <w:left w:val="single" w:color="auto" w:sz="4" w:space="0"/>
              <w:bottom w:val="single" w:color="auto" w:sz="4" w:space="0"/>
              <w:right w:val="single" w:color="auto" w:sz="4" w:space="0"/>
            </w:tcBorders>
            <w:vAlign w:val="center"/>
          </w:tcPr>
          <w:p w14:paraId="6FD41CB3">
            <w:pPr>
              <w:widowControl/>
              <w:spacing w:line="360" w:lineRule="auto"/>
              <w:jc w:val="center"/>
              <w:rPr>
                <w:rFonts w:ascii="宋体" w:hAnsi="宋体" w:eastAsia="宋体"/>
                <w:b/>
                <w:bCs/>
                <w:color w:val="EE0000"/>
                <w:sz w:val="24"/>
                <w:szCs w:val="24"/>
              </w:rPr>
            </w:pPr>
            <w:r>
              <w:rPr>
                <w:rFonts w:hint="eastAsia" w:ascii="宋体" w:hAnsi="宋体" w:eastAsia="宋体"/>
                <w:sz w:val="24"/>
                <w:szCs w:val="24"/>
                <w:lang w:val="en-US" w:eastAsia="zh-CN"/>
              </w:rPr>
              <w:t>15</w:t>
            </w:r>
          </w:p>
        </w:tc>
        <w:tc>
          <w:tcPr>
            <w:tcW w:w="965" w:type="pct"/>
            <w:tcBorders>
              <w:top w:val="single" w:color="auto" w:sz="4" w:space="0"/>
              <w:left w:val="nil"/>
              <w:bottom w:val="single" w:color="auto" w:sz="4" w:space="0"/>
              <w:right w:val="single" w:color="auto" w:sz="4" w:space="0"/>
            </w:tcBorders>
            <w:vAlign w:val="center"/>
          </w:tcPr>
          <w:p w14:paraId="09320C9E">
            <w:pPr>
              <w:keepNext w:val="0"/>
              <w:keepLines w:val="0"/>
              <w:widowControl/>
              <w:suppressLineNumbers w:val="0"/>
              <w:jc w:val="center"/>
              <w:textAlignment w:val="center"/>
              <w:rPr>
                <w:rFonts w:hint="eastAsia" w:ascii="宋体" w:hAnsi="宋体" w:eastAsia="宋体"/>
                <w:b/>
                <w:bCs/>
                <w:color w:val="EE0000"/>
                <w:sz w:val="24"/>
                <w:szCs w:val="24"/>
              </w:rPr>
            </w:pPr>
            <w:r>
              <w:rPr>
                <w:rFonts w:hint="eastAsia" w:ascii="宋体" w:hAnsi="宋体" w:eastAsia="宋体" w:cs="宋体"/>
                <w:b/>
                <w:bCs/>
                <w:i w:val="0"/>
                <w:iCs w:val="0"/>
                <w:color w:val="000000"/>
                <w:kern w:val="0"/>
                <w:sz w:val="20"/>
                <w:szCs w:val="20"/>
                <w:u w:val="none"/>
                <w:lang w:val="en-US" w:eastAsia="zh-CN" w:bidi="ar"/>
              </w:rPr>
              <w:t>蝴蝶敏捷梯</w:t>
            </w:r>
          </w:p>
        </w:tc>
        <w:tc>
          <w:tcPr>
            <w:tcW w:w="1572" w:type="pct"/>
            <w:tcBorders>
              <w:top w:val="single" w:color="auto" w:sz="4" w:space="0"/>
              <w:left w:val="nil"/>
              <w:bottom w:val="single" w:color="auto" w:sz="4" w:space="0"/>
              <w:right w:val="single" w:color="auto" w:sz="4" w:space="0"/>
            </w:tcBorders>
            <w:vAlign w:val="center"/>
          </w:tcPr>
          <w:p w14:paraId="3896D4FE">
            <w:pPr>
              <w:widowControl/>
              <w:spacing w:line="360" w:lineRule="auto"/>
              <w:jc w:val="center"/>
              <w:rPr>
                <w:rFonts w:hint="eastAsia" w:ascii="宋体" w:hAnsi="宋体" w:eastAsia="宋体"/>
                <w:b/>
                <w:bCs/>
                <w:color w:val="EE0000"/>
                <w:sz w:val="24"/>
                <w:szCs w:val="24"/>
              </w:rPr>
            </w:pPr>
            <w:r>
              <w:rPr>
                <w:rFonts w:hint="eastAsia"/>
              </w:rPr>
              <w:t>WAYCHAMP(原“大满贯”)</w:t>
            </w:r>
          </w:p>
        </w:tc>
        <w:tc>
          <w:tcPr>
            <w:tcW w:w="687" w:type="pct"/>
            <w:tcBorders>
              <w:top w:val="single" w:color="auto" w:sz="4" w:space="0"/>
              <w:left w:val="nil"/>
              <w:bottom w:val="single" w:color="auto" w:sz="4" w:space="0"/>
              <w:right w:val="single" w:color="auto" w:sz="4" w:space="0"/>
            </w:tcBorders>
            <w:vAlign w:val="center"/>
          </w:tcPr>
          <w:p w14:paraId="39C1F9D8">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20</w:t>
            </w:r>
          </w:p>
        </w:tc>
        <w:tc>
          <w:tcPr>
            <w:tcW w:w="568" w:type="pct"/>
            <w:tcBorders>
              <w:top w:val="single" w:color="auto" w:sz="4" w:space="0"/>
              <w:left w:val="single" w:color="auto" w:sz="4" w:space="0"/>
              <w:bottom w:val="single" w:color="auto" w:sz="4" w:space="0"/>
              <w:right w:val="single" w:color="auto" w:sz="4" w:space="0"/>
            </w:tcBorders>
            <w:vAlign w:val="center"/>
          </w:tcPr>
          <w:p w14:paraId="10C579C7">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eastAsia="zh-CN"/>
              </w:rPr>
              <w:t>副</w:t>
            </w:r>
          </w:p>
        </w:tc>
        <w:tc>
          <w:tcPr>
            <w:tcW w:w="771" w:type="pct"/>
            <w:tcBorders>
              <w:top w:val="single" w:color="auto" w:sz="4" w:space="0"/>
              <w:left w:val="single" w:color="auto" w:sz="4" w:space="0"/>
              <w:bottom w:val="single" w:color="auto" w:sz="4" w:space="0"/>
              <w:right w:val="single" w:color="auto" w:sz="4" w:space="0"/>
            </w:tcBorders>
            <w:vAlign w:val="center"/>
          </w:tcPr>
          <w:p w14:paraId="44E659C0">
            <w:pPr>
              <w:widowControl/>
              <w:spacing w:line="360" w:lineRule="auto"/>
              <w:jc w:val="center"/>
              <w:rPr>
                <w:rFonts w:hint="eastAsia" w:ascii="宋体" w:hAnsi="宋体" w:eastAsia="宋体"/>
                <w:b/>
                <w:bCs/>
                <w:color w:val="EE0000"/>
                <w:sz w:val="24"/>
                <w:szCs w:val="24"/>
              </w:rPr>
            </w:pPr>
            <w:r>
              <w:rPr>
                <w:rFonts w:hint="eastAsia" w:ascii="宋体" w:hAnsi="宋体" w:eastAsia="宋体"/>
                <w:sz w:val="24"/>
                <w:szCs w:val="24"/>
                <w:lang w:val="en-US" w:eastAsia="zh-CN"/>
              </w:rPr>
              <w:t xml:space="preserve">31 </w:t>
            </w:r>
          </w:p>
        </w:tc>
      </w:tr>
      <w:tr w14:paraId="27EA20D9">
        <w:tblPrEx>
          <w:tblCellMar>
            <w:top w:w="0" w:type="dxa"/>
            <w:left w:w="108" w:type="dxa"/>
            <w:bottom w:w="0" w:type="dxa"/>
            <w:right w:w="108" w:type="dxa"/>
          </w:tblCellMar>
        </w:tblPrEx>
        <w:trPr>
          <w:trHeight w:val="567" w:hRule="atLeast"/>
        </w:trPr>
        <w:tc>
          <w:tcPr>
            <w:tcW w:w="435" w:type="pct"/>
            <w:tcBorders>
              <w:top w:val="single" w:color="auto" w:sz="4" w:space="0"/>
              <w:left w:val="single" w:color="auto" w:sz="4" w:space="0"/>
              <w:bottom w:val="single" w:color="auto" w:sz="4" w:space="0"/>
              <w:right w:val="single" w:color="auto" w:sz="4" w:space="0"/>
            </w:tcBorders>
            <w:vAlign w:val="center"/>
          </w:tcPr>
          <w:p w14:paraId="257A1F2C">
            <w:pPr>
              <w:widowControl/>
              <w:spacing w:line="360" w:lineRule="auto"/>
              <w:jc w:val="center"/>
              <w:rPr>
                <w:rFonts w:ascii="宋体" w:hAnsi="宋体" w:eastAsia="宋体"/>
                <w:color w:val="EE0000"/>
                <w:sz w:val="24"/>
                <w:szCs w:val="24"/>
              </w:rPr>
            </w:pPr>
            <w:r>
              <w:rPr>
                <w:rFonts w:hint="eastAsia" w:ascii="宋体" w:hAnsi="宋体" w:eastAsia="宋体"/>
                <w:sz w:val="24"/>
                <w:szCs w:val="24"/>
                <w:lang w:val="en-US" w:eastAsia="zh-CN"/>
              </w:rPr>
              <w:t>16</w:t>
            </w:r>
          </w:p>
        </w:tc>
        <w:tc>
          <w:tcPr>
            <w:tcW w:w="965" w:type="pct"/>
            <w:tcBorders>
              <w:top w:val="single" w:color="auto" w:sz="4" w:space="0"/>
              <w:left w:val="nil"/>
              <w:bottom w:val="single" w:color="auto" w:sz="4" w:space="0"/>
              <w:right w:val="single" w:color="auto" w:sz="4" w:space="0"/>
            </w:tcBorders>
            <w:vAlign w:val="center"/>
          </w:tcPr>
          <w:p w14:paraId="0404A0C8">
            <w:pPr>
              <w:keepNext w:val="0"/>
              <w:keepLines w:val="0"/>
              <w:widowControl/>
              <w:suppressLineNumbers w:val="0"/>
              <w:jc w:val="center"/>
              <w:textAlignment w:val="center"/>
              <w:rPr>
                <w:rFonts w:hint="eastAsia" w:ascii="宋体" w:hAnsi="宋体" w:eastAsia="宋体"/>
                <w:color w:val="EE0000"/>
                <w:sz w:val="24"/>
                <w:szCs w:val="24"/>
              </w:rPr>
            </w:pPr>
            <w:r>
              <w:rPr>
                <w:rFonts w:hint="eastAsia" w:ascii="宋体" w:hAnsi="宋体" w:eastAsia="宋体" w:cs="宋体"/>
                <w:b/>
                <w:bCs/>
                <w:i w:val="0"/>
                <w:iCs w:val="0"/>
                <w:color w:val="000000"/>
                <w:kern w:val="0"/>
                <w:sz w:val="20"/>
                <w:szCs w:val="20"/>
                <w:u w:val="none"/>
                <w:lang w:val="en-US" w:eastAsia="zh-CN" w:bidi="ar"/>
              </w:rPr>
              <w:t>超级训练带</w:t>
            </w:r>
          </w:p>
        </w:tc>
        <w:tc>
          <w:tcPr>
            <w:tcW w:w="1572" w:type="pct"/>
            <w:tcBorders>
              <w:top w:val="single" w:color="auto" w:sz="4" w:space="0"/>
              <w:left w:val="nil"/>
              <w:bottom w:val="single" w:color="auto" w:sz="4" w:space="0"/>
              <w:right w:val="single" w:color="auto" w:sz="4" w:space="0"/>
            </w:tcBorders>
            <w:vAlign w:val="center"/>
          </w:tcPr>
          <w:p w14:paraId="3702CDEF">
            <w:pPr>
              <w:widowControl/>
              <w:spacing w:line="360" w:lineRule="auto"/>
              <w:jc w:val="center"/>
              <w:rPr>
                <w:rFonts w:hint="eastAsia" w:ascii="宋体" w:hAnsi="宋体" w:eastAsia="宋体"/>
                <w:color w:val="EE0000"/>
                <w:sz w:val="24"/>
                <w:szCs w:val="24"/>
              </w:rPr>
            </w:pPr>
            <w:r>
              <w:rPr>
                <w:rFonts w:hint="eastAsia"/>
              </w:rPr>
              <w:t>WAYCHAMP(原“大满贯”)</w:t>
            </w:r>
          </w:p>
        </w:tc>
        <w:tc>
          <w:tcPr>
            <w:tcW w:w="687" w:type="pct"/>
            <w:tcBorders>
              <w:top w:val="single" w:color="auto" w:sz="4" w:space="0"/>
              <w:left w:val="nil"/>
              <w:bottom w:val="single" w:color="auto" w:sz="4" w:space="0"/>
              <w:right w:val="single" w:color="auto" w:sz="4" w:space="0"/>
            </w:tcBorders>
            <w:vAlign w:val="center"/>
          </w:tcPr>
          <w:p w14:paraId="77626214">
            <w:pPr>
              <w:widowControl/>
              <w:spacing w:line="360" w:lineRule="auto"/>
              <w:jc w:val="center"/>
              <w:rPr>
                <w:rFonts w:hint="eastAsia" w:ascii="宋体" w:hAnsi="宋体" w:eastAsia="宋体"/>
                <w:color w:val="EE0000"/>
                <w:sz w:val="24"/>
                <w:szCs w:val="24"/>
              </w:rPr>
            </w:pPr>
            <w:r>
              <w:rPr>
                <w:rFonts w:hint="eastAsia" w:ascii="宋体" w:hAnsi="宋体" w:eastAsia="宋体"/>
                <w:sz w:val="24"/>
                <w:szCs w:val="24"/>
                <w:lang w:val="en-US" w:eastAsia="zh-CN"/>
              </w:rPr>
              <w:t>60</w:t>
            </w:r>
          </w:p>
        </w:tc>
        <w:tc>
          <w:tcPr>
            <w:tcW w:w="568" w:type="pct"/>
            <w:tcBorders>
              <w:top w:val="single" w:color="auto" w:sz="4" w:space="0"/>
              <w:left w:val="single" w:color="auto" w:sz="4" w:space="0"/>
              <w:bottom w:val="single" w:color="auto" w:sz="4" w:space="0"/>
              <w:right w:val="single" w:color="auto" w:sz="4" w:space="0"/>
            </w:tcBorders>
            <w:vAlign w:val="center"/>
          </w:tcPr>
          <w:p w14:paraId="07F3D2FA">
            <w:pPr>
              <w:widowControl/>
              <w:spacing w:line="360" w:lineRule="auto"/>
              <w:jc w:val="center"/>
              <w:rPr>
                <w:rFonts w:hint="eastAsia" w:ascii="宋体" w:hAnsi="宋体" w:eastAsia="宋体"/>
                <w:color w:val="EE0000"/>
                <w:sz w:val="24"/>
                <w:szCs w:val="24"/>
              </w:rPr>
            </w:pPr>
            <w:r>
              <w:rPr>
                <w:rFonts w:hint="eastAsia" w:ascii="宋体" w:hAnsi="宋体" w:eastAsia="宋体"/>
                <w:sz w:val="24"/>
                <w:szCs w:val="24"/>
                <w:lang w:eastAsia="zh-CN"/>
              </w:rPr>
              <w:t>根</w:t>
            </w:r>
          </w:p>
        </w:tc>
        <w:tc>
          <w:tcPr>
            <w:tcW w:w="771" w:type="pct"/>
            <w:tcBorders>
              <w:top w:val="single" w:color="auto" w:sz="4" w:space="0"/>
              <w:left w:val="single" w:color="auto" w:sz="4" w:space="0"/>
              <w:bottom w:val="single" w:color="auto" w:sz="4" w:space="0"/>
              <w:right w:val="single" w:color="auto" w:sz="4" w:space="0"/>
            </w:tcBorders>
            <w:vAlign w:val="center"/>
          </w:tcPr>
          <w:p w14:paraId="6651BD8B">
            <w:pPr>
              <w:widowControl/>
              <w:spacing w:line="360" w:lineRule="auto"/>
              <w:jc w:val="center"/>
              <w:rPr>
                <w:rFonts w:hint="eastAsia" w:ascii="宋体" w:hAnsi="宋体" w:eastAsia="宋体"/>
                <w:color w:val="EE0000"/>
                <w:sz w:val="24"/>
                <w:szCs w:val="24"/>
              </w:rPr>
            </w:pPr>
            <w:r>
              <w:rPr>
                <w:rFonts w:hint="eastAsia" w:ascii="宋体" w:hAnsi="宋体" w:eastAsia="宋体"/>
                <w:sz w:val="24"/>
                <w:szCs w:val="24"/>
                <w:lang w:val="en-US" w:eastAsia="zh-CN"/>
              </w:rPr>
              <w:t xml:space="preserve">120 </w:t>
            </w:r>
          </w:p>
        </w:tc>
      </w:tr>
      <w:tr w14:paraId="738F0FFB">
        <w:tblPrEx>
          <w:tblCellMar>
            <w:top w:w="0" w:type="dxa"/>
            <w:left w:w="108" w:type="dxa"/>
            <w:bottom w:w="0" w:type="dxa"/>
            <w:right w:w="108" w:type="dxa"/>
          </w:tblCellMar>
        </w:tblPrEx>
        <w:trPr>
          <w:trHeight w:val="567" w:hRule="atLeast"/>
        </w:trPr>
        <w:tc>
          <w:tcPr>
            <w:tcW w:w="435" w:type="pct"/>
            <w:tcBorders>
              <w:top w:val="single" w:color="auto" w:sz="4" w:space="0"/>
              <w:left w:val="single" w:color="auto" w:sz="4" w:space="0"/>
              <w:bottom w:val="single" w:color="auto" w:sz="4" w:space="0"/>
              <w:right w:val="single" w:color="auto" w:sz="4" w:space="0"/>
            </w:tcBorders>
            <w:vAlign w:val="center"/>
          </w:tcPr>
          <w:p w14:paraId="0886E278">
            <w:pPr>
              <w:widowControl/>
              <w:spacing w:line="360" w:lineRule="auto"/>
              <w:jc w:val="center"/>
              <w:rPr>
                <w:rFonts w:ascii="宋体" w:hAnsi="宋体" w:eastAsia="宋体"/>
                <w:color w:val="EE0000"/>
                <w:sz w:val="24"/>
                <w:szCs w:val="24"/>
              </w:rPr>
            </w:pPr>
            <w:r>
              <w:rPr>
                <w:rFonts w:hint="eastAsia" w:ascii="宋体" w:hAnsi="宋体" w:eastAsia="宋体"/>
                <w:sz w:val="24"/>
                <w:szCs w:val="24"/>
                <w:lang w:val="en-US" w:eastAsia="zh-CN"/>
              </w:rPr>
              <w:t>17</w:t>
            </w:r>
          </w:p>
        </w:tc>
        <w:tc>
          <w:tcPr>
            <w:tcW w:w="965" w:type="pct"/>
            <w:tcBorders>
              <w:top w:val="single" w:color="auto" w:sz="4" w:space="0"/>
              <w:left w:val="nil"/>
              <w:bottom w:val="single" w:color="auto" w:sz="4" w:space="0"/>
              <w:right w:val="single" w:color="auto" w:sz="4" w:space="0"/>
            </w:tcBorders>
            <w:vAlign w:val="center"/>
          </w:tcPr>
          <w:p w14:paraId="5895B631">
            <w:pPr>
              <w:keepNext w:val="0"/>
              <w:keepLines w:val="0"/>
              <w:widowControl/>
              <w:suppressLineNumbers w:val="0"/>
              <w:jc w:val="center"/>
              <w:textAlignment w:val="center"/>
              <w:rPr>
                <w:rFonts w:hint="eastAsia" w:ascii="宋体" w:hAnsi="宋体" w:eastAsia="宋体"/>
                <w:color w:val="EE0000"/>
                <w:sz w:val="24"/>
                <w:szCs w:val="24"/>
              </w:rPr>
            </w:pPr>
            <w:r>
              <w:rPr>
                <w:rFonts w:hint="eastAsia" w:ascii="宋体" w:hAnsi="宋体" w:eastAsia="宋体" w:cs="宋体"/>
                <w:b/>
                <w:bCs/>
                <w:i w:val="0"/>
                <w:iCs w:val="0"/>
                <w:color w:val="000000"/>
                <w:kern w:val="0"/>
                <w:sz w:val="20"/>
                <w:szCs w:val="20"/>
                <w:u w:val="none"/>
                <w:lang w:val="en-US" w:eastAsia="zh-CN" w:bidi="ar"/>
              </w:rPr>
              <w:t>紧身道服</w:t>
            </w:r>
          </w:p>
        </w:tc>
        <w:tc>
          <w:tcPr>
            <w:tcW w:w="1572" w:type="pct"/>
            <w:tcBorders>
              <w:top w:val="single" w:color="auto" w:sz="4" w:space="0"/>
              <w:left w:val="nil"/>
              <w:bottom w:val="single" w:color="auto" w:sz="4" w:space="0"/>
              <w:right w:val="single" w:color="auto" w:sz="4" w:space="0"/>
            </w:tcBorders>
            <w:vAlign w:val="center"/>
          </w:tcPr>
          <w:p w14:paraId="14315B80">
            <w:pPr>
              <w:widowControl/>
              <w:spacing w:line="360" w:lineRule="auto"/>
              <w:jc w:val="center"/>
              <w:rPr>
                <w:rFonts w:hint="eastAsia" w:ascii="宋体" w:hAnsi="宋体" w:eastAsia="宋体"/>
                <w:color w:val="EE0000"/>
                <w:sz w:val="24"/>
                <w:szCs w:val="24"/>
              </w:rPr>
            </w:pPr>
            <w:r>
              <w:rPr>
                <w:rFonts w:hint="eastAsia" w:ascii="宋体" w:hAnsi="宋体" w:eastAsia="宋体"/>
                <w:sz w:val="24"/>
                <w:szCs w:val="24"/>
                <w:lang w:eastAsia="zh-CN"/>
              </w:rPr>
              <w:t>安踏</w:t>
            </w:r>
          </w:p>
        </w:tc>
        <w:tc>
          <w:tcPr>
            <w:tcW w:w="687" w:type="pct"/>
            <w:tcBorders>
              <w:top w:val="single" w:color="auto" w:sz="4" w:space="0"/>
              <w:left w:val="nil"/>
              <w:bottom w:val="single" w:color="auto" w:sz="4" w:space="0"/>
              <w:right w:val="single" w:color="auto" w:sz="4" w:space="0"/>
            </w:tcBorders>
            <w:vAlign w:val="center"/>
          </w:tcPr>
          <w:p w14:paraId="5B79DF5F">
            <w:pPr>
              <w:widowControl/>
              <w:spacing w:line="360" w:lineRule="auto"/>
              <w:jc w:val="center"/>
              <w:rPr>
                <w:rFonts w:hint="eastAsia" w:ascii="宋体" w:hAnsi="宋体" w:eastAsia="宋体"/>
                <w:color w:val="EE0000"/>
                <w:sz w:val="24"/>
                <w:szCs w:val="24"/>
              </w:rPr>
            </w:pPr>
            <w:r>
              <w:rPr>
                <w:rFonts w:hint="eastAsia" w:ascii="宋体" w:hAnsi="宋体" w:eastAsia="宋体"/>
                <w:sz w:val="24"/>
                <w:szCs w:val="24"/>
                <w:lang w:val="en-US" w:eastAsia="zh-CN"/>
              </w:rPr>
              <w:t>30</w:t>
            </w:r>
          </w:p>
        </w:tc>
        <w:tc>
          <w:tcPr>
            <w:tcW w:w="568" w:type="pct"/>
            <w:tcBorders>
              <w:top w:val="single" w:color="auto" w:sz="4" w:space="0"/>
              <w:left w:val="single" w:color="auto" w:sz="4" w:space="0"/>
              <w:bottom w:val="single" w:color="auto" w:sz="4" w:space="0"/>
              <w:right w:val="single" w:color="auto" w:sz="4" w:space="0"/>
            </w:tcBorders>
            <w:vAlign w:val="center"/>
          </w:tcPr>
          <w:p w14:paraId="532A8138">
            <w:pPr>
              <w:widowControl/>
              <w:spacing w:line="360" w:lineRule="auto"/>
              <w:jc w:val="center"/>
              <w:rPr>
                <w:rFonts w:hint="eastAsia" w:ascii="宋体" w:hAnsi="宋体" w:eastAsia="宋体"/>
                <w:color w:val="EE0000"/>
                <w:sz w:val="24"/>
                <w:szCs w:val="24"/>
              </w:rPr>
            </w:pPr>
            <w:r>
              <w:rPr>
                <w:rFonts w:hint="eastAsia" w:ascii="宋体" w:hAnsi="宋体" w:eastAsia="宋体"/>
                <w:sz w:val="24"/>
                <w:szCs w:val="24"/>
                <w:lang w:eastAsia="zh-CN"/>
              </w:rPr>
              <w:t>套</w:t>
            </w:r>
          </w:p>
        </w:tc>
        <w:tc>
          <w:tcPr>
            <w:tcW w:w="771" w:type="pct"/>
            <w:tcBorders>
              <w:top w:val="single" w:color="auto" w:sz="4" w:space="0"/>
              <w:left w:val="single" w:color="auto" w:sz="4" w:space="0"/>
              <w:bottom w:val="single" w:color="auto" w:sz="4" w:space="0"/>
              <w:right w:val="single" w:color="auto" w:sz="4" w:space="0"/>
            </w:tcBorders>
            <w:vAlign w:val="center"/>
          </w:tcPr>
          <w:p w14:paraId="4F79939F">
            <w:pPr>
              <w:widowControl/>
              <w:spacing w:line="360" w:lineRule="auto"/>
              <w:jc w:val="center"/>
              <w:rPr>
                <w:rFonts w:hint="eastAsia" w:ascii="宋体" w:hAnsi="宋体" w:eastAsia="宋体"/>
                <w:color w:val="EE0000"/>
                <w:sz w:val="24"/>
                <w:szCs w:val="24"/>
              </w:rPr>
            </w:pPr>
            <w:r>
              <w:rPr>
                <w:rFonts w:hint="eastAsia" w:ascii="宋体" w:hAnsi="宋体" w:eastAsia="宋体"/>
                <w:sz w:val="24"/>
                <w:szCs w:val="24"/>
                <w:lang w:val="en-US" w:eastAsia="zh-CN"/>
              </w:rPr>
              <w:t xml:space="preserve">710 </w:t>
            </w:r>
          </w:p>
        </w:tc>
      </w:tr>
      <w:tr w14:paraId="473CBAC4">
        <w:tblPrEx>
          <w:tblCellMar>
            <w:top w:w="0" w:type="dxa"/>
            <w:left w:w="108" w:type="dxa"/>
            <w:bottom w:w="0" w:type="dxa"/>
            <w:right w:w="108" w:type="dxa"/>
          </w:tblCellMar>
        </w:tblPrEx>
        <w:trPr>
          <w:trHeight w:val="454" w:hRule="atLeast"/>
        </w:trPr>
        <w:tc>
          <w:tcPr>
            <w:tcW w:w="435" w:type="pct"/>
            <w:tcBorders>
              <w:top w:val="single" w:color="auto" w:sz="4" w:space="0"/>
              <w:left w:val="single" w:color="auto" w:sz="4" w:space="0"/>
              <w:bottom w:val="single" w:color="auto" w:sz="4" w:space="0"/>
              <w:right w:val="single" w:color="auto" w:sz="4" w:space="0"/>
            </w:tcBorders>
          </w:tcPr>
          <w:p w14:paraId="21F28635">
            <w:pPr>
              <w:spacing w:line="360" w:lineRule="auto"/>
              <w:ind w:firstLine="480" w:firstLineChars="200"/>
              <w:rPr>
                <w:rFonts w:hint="eastAsia" w:ascii="宋体" w:hAnsi="宋体" w:eastAsia="宋体"/>
                <w:sz w:val="24"/>
                <w:szCs w:val="24"/>
              </w:rPr>
            </w:pPr>
          </w:p>
        </w:tc>
        <w:tc>
          <w:tcPr>
            <w:tcW w:w="3793" w:type="pct"/>
            <w:gridSpan w:val="4"/>
            <w:tcBorders>
              <w:top w:val="single" w:color="auto" w:sz="4" w:space="0"/>
              <w:left w:val="single" w:color="auto" w:sz="4" w:space="0"/>
              <w:bottom w:val="single" w:color="auto" w:sz="4" w:space="0"/>
              <w:right w:val="single" w:color="auto" w:sz="4" w:space="0"/>
            </w:tcBorders>
            <w:vAlign w:val="center"/>
          </w:tcPr>
          <w:p w14:paraId="58ECC5D7">
            <w:pPr>
              <w:spacing w:line="360" w:lineRule="auto"/>
              <w:ind w:firstLine="480" w:firstLineChars="200"/>
              <w:rPr>
                <w:rFonts w:hint="eastAsia" w:ascii="宋体" w:hAnsi="宋体" w:eastAsia="宋体"/>
                <w:sz w:val="24"/>
                <w:szCs w:val="24"/>
              </w:rPr>
            </w:pPr>
            <w:r>
              <w:rPr>
                <w:rFonts w:ascii="宋体" w:hAnsi="宋体" w:eastAsia="宋体"/>
                <w:sz w:val="24"/>
                <w:szCs w:val="24"/>
              </w:rPr>
              <w:t>合计（大写）：</w:t>
            </w:r>
            <w:r>
              <w:rPr>
                <w:rFonts w:hint="eastAsia" w:ascii="宋体" w:hAnsi="宋体" w:eastAsia="宋体"/>
                <w:sz w:val="24"/>
                <w:szCs w:val="24"/>
              </w:rPr>
              <w:t>贰拾万零玖仟柒佰肆拾元整</w:t>
            </w:r>
          </w:p>
        </w:tc>
        <w:tc>
          <w:tcPr>
            <w:tcW w:w="771" w:type="pct"/>
            <w:tcBorders>
              <w:top w:val="single" w:color="auto" w:sz="4" w:space="0"/>
              <w:left w:val="single" w:color="auto" w:sz="4" w:space="0"/>
              <w:bottom w:val="single" w:color="auto" w:sz="4" w:space="0"/>
              <w:right w:val="single" w:color="auto" w:sz="4" w:space="0"/>
            </w:tcBorders>
            <w:vAlign w:val="center"/>
          </w:tcPr>
          <w:p w14:paraId="0E6EAF03">
            <w:pPr>
              <w:spacing w:line="360" w:lineRule="auto"/>
              <w:rPr>
                <w:rFonts w:hint="default" w:ascii="宋体" w:hAnsi="宋体" w:eastAsia="宋体"/>
                <w:sz w:val="24"/>
                <w:szCs w:val="24"/>
                <w:lang w:val="en-US" w:eastAsia="zh-CN"/>
              </w:rPr>
            </w:pPr>
            <w:r>
              <w:rPr>
                <w:rFonts w:hint="eastAsia" w:ascii="宋体" w:hAnsi="宋体" w:eastAsia="宋体"/>
                <w:sz w:val="24"/>
                <w:szCs w:val="24"/>
                <w:lang w:val="en-US" w:eastAsia="zh-CN"/>
              </w:rPr>
              <w:t>209740元整</w:t>
            </w:r>
            <w:bookmarkStart w:id="0" w:name="_GoBack"/>
            <w:bookmarkEnd w:id="0"/>
          </w:p>
        </w:tc>
      </w:tr>
    </w:tbl>
    <w:p w14:paraId="7FD5BF46">
      <w:pPr>
        <w:autoSpaceDE w:val="0"/>
        <w:autoSpaceDN w:val="0"/>
        <w:adjustRightInd w:val="0"/>
        <w:spacing w:line="360" w:lineRule="auto"/>
        <w:ind w:firstLine="420"/>
        <w:jc w:val="left"/>
        <w:rPr>
          <w:rFonts w:hint="eastAsia" w:ascii="宋体" w:hAnsi="宋体" w:eastAsia="宋体"/>
          <w:b/>
          <w:bCs/>
          <w:sz w:val="24"/>
          <w:szCs w:val="24"/>
        </w:rPr>
      </w:pPr>
      <w:r>
        <w:rPr>
          <w:rFonts w:hint="eastAsia" w:ascii="宋体" w:hAnsi="宋体" w:eastAsia="宋体"/>
          <w:b/>
          <w:bCs/>
          <w:sz w:val="24"/>
          <w:szCs w:val="24"/>
        </w:rPr>
        <w:t>第二条 合同总价款</w:t>
      </w:r>
    </w:p>
    <w:p w14:paraId="4617EAF9">
      <w:pPr>
        <w:autoSpaceDE w:val="0"/>
        <w:autoSpaceDN w:val="0"/>
        <w:adjustRightInd w:val="0"/>
        <w:spacing w:line="360" w:lineRule="auto"/>
        <w:ind w:firstLine="480" w:firstLineChars="200"/>
        <w:jc w:val="left"/>
        <w:rPr>
          <w:rFonts w:hint="eastAsia" w:ascii="宋体" w:hAnsi="宋体" w:eastAsia="宋体"/>
          <w:color w:val="000000"/>
          <w:sz w:val="24"/>
          <w:szCs w:val="24"/>
        </w:rPr>
      </w:pPr>
      <w:r>
        <w:rPr>
          <w:rFonts w:hint="eastAsia" w:ascii="宋体" w:hAnsi="宋体" w:eastAsia="宋体"/>
          <w:color w:val="000000"/>
          <w:sz w:val="24"/>
          <w:szCs w:val="24"/>
          <w:lang w:val="en-US"/>
        </w:rPr>
        <w:t>1、</w:t>
      </w:r>
      <w:r>
        <w:rPr>
          <w:rFonts w:hint="eastAsia" w:ascii="宋体" w:hAnsi="宋体" w:eastAsia="宋体"/>
          <w:color w:val="000000"/>
          <w:sz w:val="24"/>
          <w:szCs w:val="24"/>
        </w:rPr>
        <w:t>本合同项下货物总价款为</w:t>
      </w:r>
      <w:r>
        <w:rPr>
          <w:rFonts w:hint="eastAsia" w:ascii="宋体" w:hAnsi="宋体" w:eastAsia="宋体"/>
          <w:color w:val="000000"/>
          <w:sz w:val="24"/>
          <w:szCs w:val="24"/>
          <w:u w:val="single"/>
        </w:rPr>
        <w:t xml:space="preserve">__贰拾万零玖仟柒佰肆拾元整_ </w:t>
      </w:r>
      <w:r>
        <w:rPr>
          <w:rFonts w:hint="eastAsia" w:ascii="宋体" w:hAnsi="宋体" w:eastAsia="宋体"/>
          <w:color w:val="000000"/>
          <w:sz w:val="24"/>
          <w:szCs w:val="24"/>
        </w:rPr>
        <w:t>（大写）人民币。</w:t>
      </w:r>
    </w:p>
    <w:p w14:paraId="1E9E26C1">
      <w:pPr>
        <w:spacing w:line="360" w:lineRule="auto"/>
        <w:ind w:firstLine="480" w:firstLineChars="200"/>
        <w:rPr>
          <w:rFonts w:hint="eastAsia" w:ascii="宋体" w:hAnsi="宋体" w:eastAsia="宋体"/>
          <w:b/>
          <w:color w:val="000000"/>
          <w:sz w:val="24"/>
          <w:szCs w:val="24"/>
        </w:rPr>
      </w:pPr>
      <w:r>
        <w:rPr>
          <w:rFonts w:hint="eastAsia" w:ascii="宋体" w:hAnsi="宋体" w:eastAsia="宋体"/>
          <w:color w:val="000000"/>
          <w:sz w:val="24"/>
          <w:szCs w:val="24"/>
          <w:lang w:val="en-US"/>
        </w:rPr>
        <w:t>2、</w:t>
      </w:r>
      <w:r>
        <w:rPr>
          <w:rFonts w:hint="eastAsia" w:ascii="宋体" w:hAnsi="宋体" w:eastAsia="宋体"/>
          <w:color w:val="000000"/>
          <w:sz w:val="24"/>
          <w:szCs w:val="24"/>
        </w:rPr>
        <w:t>本合同总价款是货物设计、制造、包装、仓储、运输装缷、保险、安装、调试及其材料及验收合格之前保管及保修期内备品备件、专用工具、伴随服务、技术图纸资料、人员培训发生的所有含税费用、支付给员工的工资和国家强制缴纳的各种社会保障资金</w:t>
      </w:r>
      <w:r>
        <w:rPr>
          <w:rFonts w:hint="eastAsia" w:ascii="宋体" w:hAnsi="宋体" w:eastAsia="宋体"/>
          <w:bCs/>
          <w:color w:val="000000"/>
          <w:sz w:val="24"/>
          <w:szCs w:val="24"/>
        </w:rPr>
        <w:t>，以</w:t>
      </w:r>
      <w:r>
        <w:rPr>
          <w:rFonts w:hint="eastAsia" w:ascii="宋体" w:hAnsi="宋体" w:eastAsia="宋体"/>
          <w:color w:val="000000"/>
          <w:sz w:val="24"/>
          <w:szCs w:val="24"/>
        </w:rPr>
        <w:t>及乙方认为需要的其他费用等</w:t>
      </w:r>
      <w:r>
        <w:rPr>
          <w:rFonts w:ascii="宋体" w:hAnsi="宋体" w:eastAsia="宋体"/>
          <w:color w:val="000000"/>
          <w:sz w:val="24"/>
          <w:szCs w:val="24"/>
        </w:rPr>
        <w:t>，</w:t>
      </w:r>
      <w:r>
        <w:rPr>
          <w:rFonts w:hint="eastAsia" w:ascii="宋体" w:hAnsi="宋体" w:eastAsia="宋体"/>
          <w:color w:val="000000"/>
          <w:sz w:val="24"/>
          <w:szCs w:val="24"/>
          <w:lang w:val="en-US"/>
        </w:rPr>
        <w:t>因乙方漏算、错算产生的额外费用由乙方自行承担，</w:t>
      </w:r>
      <w:r>
        <w:rPr>
          <w:rFonts w:ascii="宋体" w:hAnsi="宋体" w:eastAsia="宋体"/>
          <w:color w:val="000000"/>
          <w:sz w:val="24"/>
          <w:szCs w:val="24"/>
        </w:rPr>
        <w:t>除此之外，甲方就本合同不再向乙方支付任何其他款项</w:t>
      </w:r>
      <w:r>
        <w:rPr>
          <w:rFonts w:hint="eastAsia" w:ascii="宋体" w:hAnsi="宋体" w:eastAsia="宋体"/>
          <w:color w:val="000000"/>
          <w:sz w:val="24"/>
          <w:szCs w:val="24"/>
        </w:rPr>
        <w:t>。</w:t>
      </w:r>
    </w:p>
    <w:p w14:paraId="34417ADA">
      <w:pPr>
        <w:widowControl/>
        <w:adjustRightInd w:val="0"/>
        <w:spacing w:line="360" w:lineRule="auto"/>
        <w:ind w:firstLine="480" w:firstLineChars="200"/>
        <w:jc w:val="left"/>
        <w:rPr>
          <w:rFonts w:hint="eastAsia" w:ascii="宋体" w:hAnsi="宋体" w:eastAsia="宋体"/>
          <w:color w:val="000000"/>
          <w:sz w:val="24"/>
          <w:szCs w:val="24"/>
        </w:rPr>
      </w:pPr>
      <w:r>
        <w:rPr>
          <w:rFonts w:hint="eastAsia" w:ascii="宋体" w:hAnsi="宋体" w:eastAsia="宋体"/>
          <w:color w:val="000000"/>
          <w:sz w:val="24"/>
          <w:szCs w:val="24"/>
          <w:lang w:val="en-US"/>
        </w:rPr>
        <w:t>3、</w:t>
      </w:r>
      <w:r>
        <w:rPr>
          <w:rFonts w:hint="eastAsia" w:ascii="宋体" w:hAnsi="宋体" w:eastAsia="宋体"/>
          <w:color w:val="000000"/>
          <w:sz w:val="24"/>
          <w:szCs w:val="24"/>
        </w:rPr>
        <w:t>本合同总价款还包含乙方应当提供的伴随服务/售后服务费用。</w:t>
      </w:r>
    </w:p>
    <w:p w14:paraId="4F12D4A3">
      <w:pPr>
        <w:autoSpaceDE w:val="0"/>
        <w:autoSpaceDN w:val="0"/>
        <w:adjustRightInd w:val="0"/>
        <w:spacing w:line="360" w:lineRule="auto"/>
        <w:ind w:firstLine="480" w:firstLineChars="200"/>
        <w:jc w:val="left"/>
        <w:rPr>
          <w:rFonts w:hint="eastAsia" w:ascii="宋体" w:hAnsi="宋体" w:eastAsia="宋体"/>
          <w:color w:val="000000"/>
          <w:sz w:val="24"/>
          <w:szCs w:val="24"/>
        </w:rPr>
      </w:pPr>
      <w:r>
        <w:rPr>
          <w:rFonts w:hint="eastAsia" w:ascii="宋体" w:hAnsi="宋体" w:eastAsia="宋体"/>
          <w:color w:val="000000"/>
          <w:sz w:val="24"/>
          <w:szCs w:val="24"/>
          <w:lang w:val="en-US"/>
        </w:rPr>
        <w:t>4、</w:t>
      </w:r>
      <w:r>
        <w:rPr>
          <w:rFonts w:hint="eastAsia" w:ascii="宋体" w:hAnsi="宋体" w:eastAsia="宋体"/>
          <w:color w:val="000000"/>
          <w:sz w:val="24"/>
          <w:szCs w:val="24"/>
        </w:rPr>
        <w:t>本合同执行期间合同总价款不变。</w:t>
      </w:r>
    </w:p>
    <w:p w14:paraId="20744A15">
      <w:pPr>
        <w:autoSpaceDE w:val="0"/>
        <w:autoSpaceDN w:val="0"/>
        <w:adjustRightInd w:val="0"/>
        <w:spacing w:line="360" w:lineRule="auto"/>
        <w:ind w:firstLine="482" w:firstLineChars="200"/>
        <w:rPr>
          <w:rFonts w:hint="eastAsia" w:ascii="宋体" w:hAnsi="宋体" w:eastAsia="宋体"/>
          <w:b/>
          <w:bCs/>
          <w:sz w:val="24"/>
          <w:szCs w:val="24"/>
        </w:rPr>
      </w:pPr>
      <w:r>
        <w:rPr>
          <w:rFonts w:hint="eastAsia" w:ascii="宋体" w:hAnsi="宋体" w:eastAsia="宋体"/>
          <w:b/>
          <w:bCs/>
          <w:sz w:val="24"/>
          <w:szCs w:val="24"/>
        </w:rPr>
        <w:t>第三条 组成本合同的有关文件</w:t>
      </w:r>
    </w:p>
    <w:p w14:paraId="284ACB71">
      <w:pPr>
        <w:autoSpaceDE w:val="0"/>
        <w:autoSpaceDN w:val="0"/>
        <w:adjustRightInd w:val="0"/>
        <w:spacing w:line="360" w:lineRule="auto"/>
        <w:ind w:firstLine="480" w:firstLineChars="200"/>
        <w:rPr>
          <w:rFonts w:hint="eastAsia" w:ascii="宋体" w:hAnsi="宋体" w:eastAsia="宋体"/>
          <w:sz w:val="24"/>
          <w:szCs w:val="24"/>
        </w:rPr>
      </w:pPr>
      <w:r>
        <w:rPr>
          <w:rFonts w:hint="eastAsia" w:ascii="宋体" w:hAnsi="宋体" w:eastAsia="宋体"/>
          <w:sz w:val="24"/>
          <w:szCs w:val="24"/>
        </w:rPr>
        <w:t>下列关于</w:t>
      </w:r>
      <w:r>
        <w:rPr>
          <w:rFonts w:hint="eastAsia" w:ascii="宋体" w:hAnsi="宋体" w:eastAsia="宋体"/>
          <w:bCs/>
          <w:sz w:val="24"/>
          <w:szCs w:val="24"/>
          <w:u w:val="single"/>
          <w:lang w:val="en-US"/>
        </w:rPr>
        <w:t>JSZC-320100-JSCY-G2025-0037</w:t>
      </w:r>
      <w:r>
        <w:rPr>
          <w:rFonts w:hint="eastAsia" w:ascii="宋体" w:hAnsi="宋体" w:eastAsia="宋体"/>
          <w:sz w:val="24"/>
          <w:szCs w:val="24"/>
          <w:u w:val="single"/>
        </w:rPr>
        <w:t>号</w:t>
      </w:r>
      <w:r>
        <w:rPr>
          <w:rFonts w:hint="eastAsia" w:ascii="宋体" w:hAnsi="宋体" w:eastAsia="宋体"/>
          <w:sz w:val="24"/>
          <w:szCs w:val="24"/>
        </w:rPr>
        <w:t>标的招投标文件或与本次采购活动方式相适应的文件及有关附件是本合同不可分割的组成部分，与本合同具有同等法律效力，</w:t>
      </w:r>
      <w:r>
        <w:rPr>
          <w:rFonts w:hint="eastAsia" w:ascii="宋体" w:hAnsi="宋体" w:eastAsia="宋体"/>
          <w:sz w:val="24"/>
          <w:szCs w:val="24"/>
          <w:lang w:val="en-US"/>
        </w:rPr>
        <w:t>若各文件内容存在冲突，以甲方最终确认的版本或有利于甲方的解释为准，</w:t>
      </w:r>
      <w:r>
        <w:rPr>
          <w:rFonts w:hint="eastAsia" w:ascii="宋体" w:hAnsi="宋体" w:eastAsia="宋体"/>
          <w:sz w:val="24"/>
          <w:szCs w:val="24"/>
        </w:rPr>
        <w:t>这些文件包括但不限于：</w:t>
      </w:r>
    </w:p>
    <w:p w14:paraId="586B7049">
      <w:pPr>
        <w:autoSpaceDE w:val="0"/>
        <w:autoSpaceDN w:val="0"/>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lang w:val="en-US"/>
        </w:rPr>
        <w:t>1、</w:t>
      </w:r>
      <w:r>
        <w:rPr>
          <w:rFonts w:hint="eastAsia" w:ascii="宋体" w:hAnsi="宋体" w:eastAsia="宋体"/>
          <w:sz w:val="24"/>
          <w:szCs w:val="24"/>
        </w:rPr>
        <w:t>乙方提供的投标文件和投标文件价格部分；</w:t>
      </w:r>
    </w:p>
    <w:p w14:paraId="2CBF903D">
      <w:pPr>
        <w:autoSpaceDE w:val="0"/>
        <w:autoSpaceDN w:val="0"/>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lang w:val="en-US"/>
        </w:rPr>
        <w:t>2、</w:t>
      </w:r>
      <w:r>
        <w:rPr>
          <w:rFonts w:hint="eastAsia" w:ascii="宋体" w:hAnsi="宋体" w:eastAsia="宋体"/>
          <w:sz w:val="24"/>
          <w:szCs w:val="24"/>
        </w:rPr>
        <w:t>技术条款偏离表；</w:t>
      </w:r>
    </w:p>
    <w:p w14:paraId="4C0D4755">
      <w:pPr>
        <w:autoSpaceDE w:val="0"/>
        <w:autoSpaceDN w:val="0"/>
        <w:adjustRightInd w:val="0"/>
        <w:spacing w:line="360" w:lineRule="auto"/>
        <w:ind w:firstLine="480" w:firstLineChars="200"/>
        <w:jc w:val="left"/>
        <w:rPr>
          <w:rFonts w:hint="eastAsia" w:ascii="宋体" w:hAnsi="宋体" w:eastAsia="宋体"/>
          <w:sz w:val="24"/>
          <w:szCs w:val="24"/>
          <w:lang w:val="en-US"/>
        </w:rPr>
      </w:pPr>
      <w:r>
        <w:rPr>
          <w:rFonts w:hint="eastAsia" w:ascii="宋体" w:hAnsi="宋体" w:eastAsia="宋体"/>
          <w:sz w:val="24"/>
          <w:szCs w:val="24"/>
          <w:lang w:val="en-US"/>
        </w:rPr>
        <w:t>3、供货一览表；</w:t>
      </w:r>
    </w:p>
    <w:p w14:paraId="3476532F">
      <w:pPr>
        <w:autoSpaceDE w:val="0"/>
        <w:autoSpaceDN w:val="0"/>
        <w:adjustRightInd w:val="0"/>
        <w:spacing w:line="360" w:lineRule="auto"/>
        <w:ind w:firstLine="480" w:firstLineChars="200"/>
        <w:jc w:val="left"/>
        <w:rPr>
          <w:rFonts w:hint="eastAsia" w:ascii="宋体" w:hAnsi="宋体" w:eastAsia="宋体"/>
          <w:sz w:val="24"/>
          <w:szCs w:val="24"/>
          <w:lang w:val="en-US"/>
        </w:rPr>
      </w:pPr>
      <w:r>
        <w:rPr>
          <w:rFonts w:hint="eastAsia" w:ascii="宋体" w:hAnsi="宋体" w:eastAsia="宋体"/>
          <w:sz w:val="24"/>
          <w:szCs w:val="24"/>
          <w:lang w:val="en-US"/>
        </w:rPr>
        <w:t>4、交货一览表；</w:t>
      </w:r>
    </w:p>
    <w:p w14:paraId="3A61FA9B">
      <w:pPr>
        <w:autoSpaceDE w:val="0"/>
        <w:autoSpaceDN w:val="0"/>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lang w:val="en-US"/>
        </w:rPr>
        <w:t>5、</w:t>
      </w:r>
      <w:r>
        <w:rPr>
          <w:rFonts w:hint="eastAsia" w:ascii="宋体" w:hAnsi="宋体" w:eastAsia="宋体"/>
          <w:sz w:val="24"/>
          <w:szCs w:val="24"/>
        </w:rPr>
        <w:t>投标承诺/服务承诺；</w:t>
      </w:r>
    </w:p>
    <w:p w14:paraId="5BD7DF8D">
      <w:pPr>
        <w:autoSpaceDE w:val="0"/>
        <w:autoSpaceDN w:val="0"/>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lang w:val="en-US"/>
        </w:rPr>
        <w:t>6、</w:t>
      </w:r>
      <w:r>
        <w:rPr>
          <w:rFonts w:hint="eastAsia" w:ascii="宋体" w:hAnsi="宋体" w:eastAsia="宋体"/>
          <w:sz w:val="24"/>
          <w:szCs w:val="24"/>
        </w:rPr>
        <w:t>中标通知书；</w:t>
      </w:r>
    </w:p>
    <w:p w14:paraId="03A81CDC">
      <w:pPr>
        <w:autoSpaceDE w:val="0"/>
        <w:autoSpaceDN w:val="0"/>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lang w:val="en-US"/>
        </w:rPr>
        <w:t>7、</w:t>
      </w:r>
      <w:r>
        <w:rPr>
          <w:rFonts w:hint="eastAsia" w:ascii="宋体" w:hAnsi="宋体" w:eastAsia="宋体"/>
          <w:sz w:val="24"/>
          <w:szCs w:val="24"/>
        </w:rPr>
        <w:t>甲乙双方商定的其他文件等。</w:t>
      </w:r>
    </w:p>
    <w:p w14:paraId="6367E854">
      <w:pPr>
        <w:autoSpaceDE w:val="0"/>
        <w:autoSpaceDN w:val="0"/>
        <w:adjustRightInd w:val="0"/>
        <w:spacing w:line="360" w:lineRule="auto"/>
        <w:ind w:firstLine="482" w:firstLineChars="200"/>
        <w:jc w:val="left"/>
        <w:rPr>
          <w:rFonts w:hint="eastAsia" w:ascii="宋体" w:hAnsi="宋体" w:eastAsia="宋体"/>
          <w:b/>
          <w:bCs/>
          <w:sz w:val="24"/>
          <w:szCs w:val="24"/>
        </w:rPr>
      </w:pPr>
      <w:r>
        <w:rPr>
          <w:rFonts w:hint="eastAsia" w:ascii="宋体" w:hAnsi="宋体" w:eastAsia="宋体"/>
          <w:b/>
          <w:bCs/>
          <w:sz w:val="24"/>
          <w:szCs w:val="24"/>
        </w:rPr>
        <w:t>第四条 权利保证</w:t>
      </w:r>
    </w:p>
    <w:p w14:paraId="2448D880">
      <w:pPr>
        <w:autoSpaceDE w:val="0"/>
        <w:autoSpaceDN w:val="0"/>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rPr>
        <w:t>乙方应保证甲方在使用该货物或其任何一部分时不受第三方提出侵犯其专利权、版权、商标权或其他权利的起诉。一旦出现侵权，乙方应承担全部责任并负责消除对甲方的不利影响，如甲方因此承担了任何责任，有权向乙方全额追偿（包括但不限于第三方索赔金额、律师费、诉讼费、保全费、</w:t>
      </w:r>
      <w:r>
        <w:rPr>
          <w:rFonts w:hint="eastAsia" w:ascii="宋体" w:hAnsi="宋体" w:eastAsia="宋体"/>
          <w:sz w:val="24"/>
          <w:szCs w:val="24"/>
          <w:lang w:val="en-US"/>
        </w:rPr>
        <w:t>保全保险费等</w:t>
      </w:r>
      <w:r>
        <w:rPr>
          <w:rFonts w:hint="eastAsia" w:ascii="宋体" w:hAnsi="宋体" w:eastAsia="宋体"/>
          <w:sz w:val="24"/>
          <w:szCs w:val="24"/>
        </w:rPr>
        <w:t>）。</w:t>
      </w:r>
    </w:p>
    <w:p w14:paraId="19A67541">
      <w:pPr>
        <w:autoSpaceDE w:val="0"/>
        <w:autoSpaceDN w:val="0"/>
        <w:adjustRightInd w:val="0"/>
        <w:spacing w:line="360" w:lineRule="auto"/>
        <w:ind w:firstLine="482" w:firstLineChars="200"/>
        <w:jc w:val="left"/>
        <w:rPr>
          <w:rFonts w:hint="eastAsia" w:ascii="宋体" w:hAnsi="宋体" w:eastAsia="宋体"/>
          <w:b/>
          <w:bCs/>
          <w:sz w:val="24"/>
          <w:szCs w:val="24"/>
        </w:rPr>
      </w:pPr>
      <w:r>
        <w:rPr>
          <w:rFonts w:hint="eastAsia" w:ascii="宋体" w:hAnsi="宋体" w:eastAsia="宋体"/>
          <w:b/>
          <w:bCs/>
          <w:sz w:val="24"/>
          <w:szCs w:val="24"/>
        </w:rPr>
        <w:t>第五条 质量保证</w:t>
      </w:r>
    </w:p>
    <w:p w14:paraId="21ECEE6B">
      <w:pPr>
        <w:autoSpaceDE w:val="0"/>
        <w:autoSpaceDN w:val="0"/>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rPr>
        <w:t>1、乙方所提供的货物的技术规格应与招标文件规定的技术规格及投标文件所附的“技术条款偏离表”相一致；若技术性能无特殊说明，则按国家有关部门最新颁布的标准及规范为准。</w:t>
      </w:r>
    </w:p>
    <w:p w14:paraId="1983545E">
      <w:pPr>
        <w:autoSpaceDE w:val="0"/>
        <w:autoSpaceDN w:val="0"/>
        <w:adjustRightInd w:val="0"/>
        <w:spacing w:line="360" w:lineRule="auto"/>
        <w:ind w:firstLine="480" w:firstLineChars="200"/>
        <w:jc w:val="left"/>
        <w:rPr>
          <w:rFonts w:ascii="宋体" w:hAnsi="宋体" w:eastAsia="宋体"/>
          <w:sz w:val="24"/>
          <w:szCs w:val="24"/>
        </w:rPr>
      </w:pPr>
      <w:r>
        <w:rPr>
          <w:rFonts w:hint="eastAsia" w:ascii="宋体" w:hAnsi="宋体" w:eastAsia="宋体"/>
          <w:sz w:val="24"/>
          <w:szCs w:val="24"/>
        </w:rPr>
        <w:t>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含人工、材料、运输）乙方承担。</w:t>
      </w:r>
    </w:p>
    <w:p w14:paraId="5E48574A">
      <w:pPr>
        <w:autoSpaceDE w:val="0"/>
        <w:autoSpaceDN w:val="0"/>
        <w:adjustRightInd w:val="0"/>
        <w:spacing w:line="360" w:lineRule="auto"/>
        <w:ind w:firstLine="480" w:firstLineChars="200"/>
        <w:jc w:val="left"/>
        <w:rPr>
          <w:rFonts w:hint="eastAsia" w:ascii="宋体" w:hAnsi="宋体" w:eastAsia="宋体"/>
          <w:sz w:val="24"/>
          <w:szCs w:val="24"/>
          <w:lang w:val="en-US"/>
        </w:rPr>
      </w:pPr>
      <w:r>
        <w:rPr>
          <w:rFonts w:hint="eastAsia" w:ascii="宋体" w:hAnsi="宋体" w:eastAsia="宋体"/>
          <w:sz w:val="24"/>
          <w:szCs w:val="24"/>
          <w:lang w:val="en-US"/>
        </w:rPr>
        <w:t>3、</w:t>
      </w:r>
      <w:r>
        <w:rPr>
          <w:rFonts w:ascii="宋体" w:hAnsi="宋体" w:eastAsia="宋体"/>
          <w:sz w:val="24"/>
          <w:szCs w:val="24"/>
          <w:lang w:val="en-US"/>
        </w:rPr>
        <w:t>交付使用前发生的货物损坏或不合格，</w:t>
      </w:r>
      <w:r>
        <w:rPr>
          <w:rFonts w:hint="eastAsia" w:ascii="宋体" w:hAnsi="宋体" w:eastAsia="宋体"/>
          <w:sz w:val="24"/>
          <w:szCs w:val="24"/>
          <w:lang w:val="en-US"/>
        </w:rPr>
        <w:t>乙方须在3个工作日内</w:t>
      </w:r>
      <w:r>
        <w:rPr>
          <w:rFonts w:ascii="宋体" w:hAnsi="宋体" w:eastAsia="宋体"/>
          <w:sz w:val="24"/>
          <w:szCs w:val="24"/>
          <w:lang w:val="en-US"/>
        </w:rPr>
        <w:t>退换新品</w:t>
      </w:r>
      <w:r>
        <w:rPr>
          <w:rFonts w:hint="eastAsia" w:ascii="宋体" w:hAnsi="宋体" w:eastAsia="宋体"/>
          <w:sz w:val="24"/>
          <w:szCs w:val="24"/>
          <w:lang w:val="en-US"/>
        </w:rPr>
        <w:t>并送达指定地点</w:t>
      </w:r>
      <w:r>
        <w:rPr>
          <w:rFonts w:ascii="宋体" w:hAnsi="宋体" w:eastAsia="宋体"/>
          <w:sz w:val="24"/>
          <w:szCs w:val="24"/>
          <w:lang w:val="en-US"/>
        </w:rPr>
        <w:t>。在保修期内发生的设备损坏或性能不合格（非使用不当原因造成），除甲方书面同意修理外，</w:t>
      </w:r>
      <w:r>
        <w:rPr>
          <w:rFonts w:hint="eastAsia" w:ascii="宋体" w:hAnsi="宋体" w:eastAsia="宋体"/>
          <w:sz w:val="24"/>
          <w:szCs w:val="24"/>
          <w:lang w:val="en-US"/>
        </w:rPr>
        <w:t>乙方须在3个工作日内免费</w:t>
      </w:r>
      <w:r>
        <w:rPr>
          <w:rFonts w:ascii="宋体" w:hAnsi="宋体" w:eastAsia="宋体"/>
          <w:sz w:val="24"/>
          <w:szCs w:val="24"/>
          <w:lang w:val="en-US"/>
        </w:rPr>
        <w:t>退换新品。</w:t>
      </w:r>
    </w:p>
    <w:p w14:paraId="1849941E">
      <w:pPr>
        <w:autoSpaceDE w:val="0"/>
        <w:autoSpaceDN w:val="0"/>
        <w:adjustRightInd w:val="0"/>
        <w:spacing w:line="360" w:lineRule="auto"/>
        <w:ind w:firstLine="482" w:firstLineChars="200"/>
        <w:jc w:val="left"/>
        <w:rPr>
          <w:rFonts w:hint="eastAsia" w:ascii="宋体" w:hAnsi="宋体" w:eastAsia="宋体"/>
          <w:b/>
          <w:bCs/>
          <w:sz w:val="24"/>
          <w:szCs w:val="24"/>
        </w:rPr>
      </w:pPr>
      <w:r>
        <w:rPr>
          <w:rFonts w:hint="eastAsia" w:ascii="宋体" w:hAnsi="宋体" w:eastAsia="宋体"/>
          <w:b/>
          <w:bCs/>
          <w:sz w:val="24"/>
          <w:szCs w:val="24"/>
        </w:rPr>
        <w:t>第六条 包装要求</w:t>
      </w:r>
    </w:p>
    <w:p w14:paraId="59C3FB65">
      <w:pPr>
        <w:autoSpaceDE w:val="0"/>
        <w:autoSpaceDN w:val="0"/>
        <w:adjustRightInd w:val="0"/>
        <w:spacing w:line="360" w:lineRule="auto"/>
        <w:ind w:firstLine="480" w:firstLineChars="200"/>
        <w:jc w:val="left"/>
        <w:rPr>
          <w:rFonts w:ascii="宋体" w:hAnsi="宋体" w:eastAsia="宋体"/>
          <w:sz w:val="24"/>
          <w:szCs w:val="24"/>
          <w:lang w:val="en-US"/>
        </w:rPr>
      </w:pPr>
      <w:r>
        <w:rPr>
          <w:rFonts w:ascii="宋体" w:hAnsi="宋体" w:eastAsia="宋体"/>
          <w:sz w:val="24"/>
          <w:szCs w:val="24"/>
          <w:lang w:val="en-US"/>
        </w:rPr>
        <w:t>1</w:t>
      </w:r>
      <w:r>
        <w:rPr>
          <w:rFonts w:hint="eastAsia" w:ascii="宋体" w:hAnsi="宋体" w:eastAsia="宋体"/>
          <w:sz w:val="24"/>
          <w:szCs w:val="24"/>
          <w:lang w:val="en-US"/>
        </w:rPr>
        <w:t>、</w:t>
      </w:r>
      <w:r>
        <w:rPr>
          <w:rFonts w:ascii="宋体" w:hAnsi="宋体" w:eastAsia="宋体"/>
          <w:sz w:val="24"/>
          <w:szCs w:val="24"/>
          <w:lang w:val="en-US"/>
        </w:rPr>
        <w:t>除合同另有规定外，乙方提供的全部货物均应按标准保护措施进行包装。该包装应适应于远距离运输、防潮、防震、防锈和防野蛮装卸，以确保货物安全无损运抵指定地点。由于包装不善所引起的货物损失均由乙方承担，乙方应当负责</w:t>
      </w:r>
      <w:r>
        <w:rPr>
          <w:rFonts w:hint="eastAsia" w:ascii="宋体" w:hAnsi="宋体" w:eastAsia="宋体"/>
          <w:sz w:val="24"/>
          <w:szCs w:val="24"/>
          <w:lang w:val="en-US"/>
        </w:rPr>
        <w:t>在3个工作日内</w:t>
      </w:r>
      <w:r>
        <w:rPr>
          <w:rFonts w:ascii="宋体" w:hAnsi="宋体" w:eastAsia="宋体"/>
          <w:sz w:val="24"/>
          <w:szCs w:val="24"/>
          <w:lang w:val="en-US"/>
        </w:rPr>
        <w:t>补发到位。</w:t>
      </w:r>
    </w:p>
    <w:p w14:paraId="4E9029E2">
      <w:pPr>
        <w:autoSpaceDE w:val="0"/>
        <w:autoSpaceDN w:val="0"/>
        <w:adjustRightInd w:val="0"/>
        <w:spacing w:line="360" w:lineRule="auto"/>
        <w:ind w:firstLine="480" w:firstLineChars="200"/>
        <w:jc w:val="left"/>
        <w:rPr>
          <w:rFonts w:ascii="宋体" w:hAnsi="宋体" w:eastAsia="宋体"/>
          <w:sz w:val="24"/>
          <w:szCs w:val="24"/>
          <w:lang w:val="en-US"/>
        </w:rPr>
      </w:pPr>
      <w:r>
        <w:rPr>
          <w:rFonts w:ascii="宋体" w:hAnsi="宋体" w:eastAsia="宋体"/>
          <w:sz w:val="24"/>
          <w:szCs w:val="24"/>
          <w:lang w:val="en-US"/>
        </w:rPr>
        <w:t>2</w:t>
      </w:r>
      <w:r>
        <w:rPr>
          <w:rFonts w:hint="eastAsia" w:ascii="宋体" w:hAnsi="宋体" w:eastAsia="宋体"/>
          <w:sz w:val="24"/>
          <w:szCs w:val="24"/>
          <w:lang w:val="en-US"/>
        </w:rPr>
        <w:t>、</w:t>
      </w:r>
      <w:r>
        <w:rPr>
          <w:rFonts w:ascii="宋体" w:hAnsi="宋体" w:eastAsia="宋体"/>
          <w:sz w:val="24"/>
          <w:szCs w:val="24"/>
          <w:lang w:val="en-US"/>
        </w:rPr>
        <w:t>每一包装单元内应附详细的装箱单和质量合格凭证，否则视为货物不合格，甲方有权拒收</w:t>
      </w:r>
      <w:r>
        <w:rPr>
          <w:rFonts w:hint="eastAsia" w:ascii="宋体" w:hAnsi="宋体" w:eastAsia="宋体"/>
          <w:sz w:val="24"/>
          <w:szCs w:val="24"/>
          <w:lang w:val="en-US"/>
        </w:rPr>
        <w:t>，且乙方需在2个工作日内补齐文件或重新送货</w:t>
      </w:r>
      <w:r>
        <w:rPr>
          <w:rFonts w:ascii="宋体" w:hAnsi="宋体" w:eastAsia="宋体"/>
          <w:sz w:val="24"/>
          <w:szCs w:val="24"/>
          <w:lang w:val="en-US"/>
        </w:rPr>
        <w:t>。</w:t>
      </w:r>
    </w:p>
    <w:p w14:paraId="0BA394ED">
      <w:pPr>
        <w:autoSpaceDE w:val="0"/>
        <w:autoSpaceDN w:val="0"/>
        <w:adjustRightInd w:val="0"/>
        <w:spacing w:line="360" w:lineRule="auto"/>
        <w:ind w:firstLine="480" w:firstLineChars="200"/>
        <w:jc w:val="left"/>
        <w:rPr>
          <w:rFonts w:ascii="宋体" w:hAnsi="宋体" w:eastAsia="宋体"/>
          <w:sz w:val="24"/>
          <w:szCs w:val="24"/>
          <w:lang w:val="en-US"/>
        </w:rPr>
      </w:pPr>
      <w:r>
        <w:rPr>
          <w:rFonts w:ascii="宋体" w:hAnsi="宋体" w:eastAsia="宋体"/>
          <w:sz w:val="24"/>
          <w:szCs w:val="24"/>
          <w:lang w:val="en-US"/>
        </w:rPr>
        <w:t>3</w:t>
      </w:r>
      <w:r>
        <w:rPr>
          <w:rFonts w:hint="eastAsia" w:ascii="宋体" w:hAnsi="宋体" w:eastAsia="宋体"/>
          <w:sz w:val="24"/>
          <w:szCs w:val="24"/>
          <w:lang w:val="en-US"/>
        </w:rPr>
        <w:t>、</w:t>
      </w:r>
      <w:r>
        <w:rPr>
          <w:rFonts w:ascii="宋体" w:hAnsi="宋体" w:eastAsia="宋体"/>
          <w:sz w:val="24"/>
          <w:szCs w:val="24"/>
          <w:lang w:val="en-US"/>
        </w:rPr>
        <w:t>货物在交付甲方安装、验收合格正常使用前发生的风险均由乙方负责。</w:t>
      </w:r>
    </w:p>
    <w:p w14:paraId="1D950910">
      <w:pPr>
        <w:autoSpaceDE w:val="0"/>
        <w:autoSpaceDN w:val="0"/>
        <w:adjustRightInd w:val="0"/>
        <w:spacing w:line="360" w:lineRule="auto"/>
        <w:ind w:firstLine="480" w:firstLineChars="200"/>
        <w:jc w:val="left"/>
        <w:rPr>
          <w:rFonts w:ascii="宋体" w:hAnsi="宋体" w:eastAsia="宋体"/>
          <w:sz w:val="24"/>
          <w:szCs w:val="24"/>
          <w:lang w:val="en-US"/>
        </w:rPr>
      </w:pPr>
      <w:r>
        <w:rPr>
          <w:rFonts w:ascii="宋体" w:hAnsi="宋体" w:eastAsia="宋体"/>
          <w:sz w:val="24"/>
          <w:szCs w:val="24"/>
          <w:lang w:val="en-US"/>
        </w:rPr>
        <w:t>4</w:t>
      </w:r>
      <w:r>
        <w:rPr>
          <w:rFonts w:hint="eastAsia" w:ascii="宋体" w:hAnsi="宋体" w:eastAsia="宋体"/>
          <w:sz w:val="24"/>
          <w:szCs w:val="24"/>
          <w:lang w:val="en-US"/>
        </w:rPr>
        <w:t>、</w:t>
      </w:r>
      <w:r>
        <w:rPr>
          <w:rFonts w:ascii="宋体" w:hAnsi="宋体" w:eastAsia="宋体"/>
          <w:sz w:val="24"/>
          <w:szCs w:val="24"/>
          <w:lang w:val="en-US"/>
        </w:rPr>
        <w:t>货物在规定的交付期限内由乙方送达甲方指定的地点、安装完毕，待甲方验收合格可正常使用后视为交付，乙方同时需书面通知甲方货物已送达。</w:t>
      </w:r>
    </w:p>
    <w:p w14:paraId="798970CB">
      <w:pPr>
        <w:autoSpaceDE w:val="0"/>
        <w:autoSpaceDN w:val="0"/>
        <w:adjustRightInd w:val="0"/>
        <w:spacing w:line="360" w:lineRule="auto"/>
        <w:ind w:firstLine="482" w:firstLineChars="200"/>
        <w:jc w:val="left"/>
        <w:rPr>
          <w:rFonts w:hint="eastAsia" w:ascii="宋体" w:hAnsi="宋体" w:eastAsia="宋体"/>
          <w:b/>
          <w:bCs/>
          <w:sz w:val="24"/>
          <w:szCs w:val="24"/>
        </w:rPr>
      </w:pPr>
      <w:r>
        <w:rPr>
          <w:rFonts w:hint="eastAsia" w:ascii="宋体" w:hAnsi="宋体" w:eastAsia="宋体"/>
          <w:b/>
          <w:bCs/>
          <w:sz w:val="24"/>
          <w:szCs w:val="24"/>
        </w:rPr>
        <w:t>第七条 交货和验收</w:t>
      </w:r>
    </w:p>
    <w:p w14:paraId="28B90E9D">
      <w:pPr>
        <w:autoSpaceDE w:val="0"/>
        <w:autoSpaceDN w:val="0"/>
        <w:adjustRightInd w:val="0"/>
        <w:spacing w:line="360" w:lineRule="auto"/>
        <w:ind w:firstLine="480" w:firstLineChars="200"/>
        <w:jc w:val="left"/>
        <w:rPr>
          <w:rFonts w:hint="eastAsia" w:ascii="宋体" w:hAnsi="宋体" w:eastAsia="宋体"/>
          <w:sz w:val="24"/>
          <w:szCs w:val="24"/>
          <w:u w:val="single"/>
        </w:rPr>
      </w:pPr>
      <w:r>
        <w:rPr>
          <w:rFonts w:hint="eastAsia" w:ascii="宋体" w:hAnsi="宋体" w:eastAsia="宋体"/>
          <w:sz w:val="24"/>
          <w:szCs w:val="24"/>
        </w:rPr>
        <w:t>1、</w:t>
      </w:r>
      <w:r>
        <w:rPr>
          <w:rFonts w:hint="eastAsia" w:ascii="宋体" w:hAnsi="宋体" w:eastAsia="宋体"/>
          <w:bCs/>
          <w:sz w:val="24"/>
          <w:szCs w:val="24"/>
        </w:rPr>
        <w:t>合同签订之日起20天内完成送货并交付甲方</w:t>
      </w:r>
      <w:r>
        <w:rPr>
          <w:rFonts w:hint="eastAsia" w:ascii="宋体" w:hAnsi="宋体" w:eastAsia="宋体"/>
          <w:bCs/>
          <w:sz w:val="24"/>
          <w:szCs w:val="24"/>
          <w:lang w:val="en-US"/>
        </w:rPr>
        <w:t>验收合格后可正常</w:t>
      </w:r>
      <w:r>
        <w:rPr>
          <w:rFonts w:hint="eastAsia" w:ascii="宋体" w:hAnsi="宋体" w:eastAsia="宋体"/>
          <w:bCs/>
          <w:sz w:val="24"/>
          <w:szCs w:val="24"/>
        </w:rPr>
        <w:t>使用</w:t>
      </w:r>
      <w:r>
        <w:rPr>
          <w:rFonts w:hint="eastAsia" w:ascii="宋体" w:hAnsi="宋体" w:eastAsia="宋体"/>
          <w:sz w:val="24"/>
          <w:szCs w:val="24"/>
        </w:rPr>
        <w:t>，地点由甲方指定。</w:t>
      </w:r>
    </w:p>
    <w:p w14:paraId="5E72620B">
      <w:pPr>
        <w:autoSpaceDE w:val="0"/>
        <w:autoSpaceDN w:val="0"/>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rPr>
        <w:t>2、乙方交付的货物应当完全符合本合同或者招投标文件所规定的货物、数量和规格要求。乙方提供的货物不符合招投标文件和合同规定的，甲方有权拒收货物，乙方需在</w:t>
      </w:r>
      <w:r>
        <w:rPr>
          <w:rFonts w:hint="eastAsia" w:ascii="宋体" w:hAnsi="宋体" w:eastAsia="宋体"/>
          <w:sz w:val="24"/>
          <w:szCs w:val="24"/>
          <w:lang w:val="en-US"/>
        </w:rPr>
        <w:t>3</w:t>
      </w:r>
      <w:r>
        <w:rPr>
          <w:rFonts w:hint="eastAsia" w:ascii="宋体" w:hAnsi="宋体" w:eastAsia="宋体"/>
          <w:sz w:val="24"/>
          <w:szCs w:val="24"/>
        </w:rPr>
        <w:t>个工作日内重新送货，由此引起的风险，由乙方承担。</w:t>
      </w:r>
    </w:p>
    <w:p w14:paraId="652824FF">
      <w:pPr>
        <w:autoSpaceDE w:val="0"/>
        <w:autoSpaceDN w:val="0"/>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rPr>
        <w:t>3、货物的到货验收包括：型号、规格、数量、外观质量、</w:t>
      </w:r>
      <w:r>
        <w:rPr>
          <w:rFonts w:hint="eastAsia" w:ascii="宋体" w:hAnsi="宋体" w:eastAsia="宋体"/>
          <w:sz w:val="24"/>
          <w:szCs w:val="24"/>
          <w:lang w:val="en-US"/>
        </w:rPr>
        <w:t>配件</w:t>
      </w:r>
      <w:r>
        <w:rPr>
          <w:rFonts w:hint="eastAsia" w:ascii="宋体" w:hAnsi="宋体" w:eastAsia="宋体"/>
          <w:sz w:val="24"/>
          <w:szCs w:val="24"/>
        </w:rPr>
        <w:t>及货物包装是否完好，任一项目不合格均视为</w:t>
      </w:r>
      <w:r>
        <w:rPr>
          <w:rFonts w:hint="eastAsia" w:ascii="宋体" w:hAnsi="宋体" w:eastAsia="宋体"/>
          <w:sz w:val="24"/>
          <w:szCs w:val="24"/>
          <w:lang w:val="en-US"/>
        </w:rPr>
        <w:t>到货</w:t>
      </w:r>
      <w:r>
        <w:rPr>
          <w:rFonts w:hint="eastAsia" w:ascii="宋体" w:hAnsi="宋体" w:eastAsia="宋体"/>
          <w:sz w:val="24"/>
          <w:szCs w:val="24"/>
        </w:rPr>
        <w:t>验收不合格。</w:t>
      </w:r>
    </w:p>
    <w:p w14:paraId="50204525">
      <w:pPr>
        <w:autoSpaceDE w:val="0"/>
        <w:autoSpaceDN w:val="0"/>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rPr>
        <w:t>4、乙方应将所提供货物的装箱清单、用户手册、原厂保修卡、随机资料及配件、随机工具等交付给甲方；乙方不能完整交付货物及本款规定的单证和工具的，视为未按合同约定交货，乙方负责</w:t>
      </w:r>
      <w:r>
        <w:rPr>
          <w:rFonts w:hint="eastAsia" w:ascii="宋体" w:hAnsi="宋体" w:eastAsia="宋体"/>
          <w:sz w:val="24"/>
          <w:szCs w:val="24"/>
          <w:lang w:val="en-US"/>
        </w:rPr>
        <w:t>在2个工作日内</w:t>
      </w:r>
      <w:r>
        <w:rPr>
          <w:rFonts w:hint="eastAsia" w:ascii="宋体" w:hAnsi="宋体" w:eastAsia="宋体"/>
          <w:sz w:val="24"/>
          <w:szCs w:val="24"/>
        </w:rPr>
        <w:t>补齐，因此导致逾期交付的，由乙方承担相关的违约责任。</w:t>
      </w:r>
    </w:p>
    <w:p w14:paraId="0109759C">
      <w:pPr>
        <w:autoSpaceDE w:val="0"/>
        <w:autoSpaceDN w:val="0"/>
        <w:adjustRightInd w:val="0"/>
        <w:spacing w:line="360" w:lineRule="auto"/>
        <w:ind w:firstLine="480" w:firstLineChars="200"/>
        <w:jc w:val="left"/>
        <w:rPr>
          <w:rFonts w:ascii="宋体" w:hAnsi="宋体" w:eastAsia="宋体"/>
          <w:sz w:val="24"/>
          <w:szCs w:val="24"/>
        </w:rPr>
      </w:pPr>
      <w:r>
        <w:rPr>
          <w:rFonts w:hint="eastAsia" w:ascii="宋体" w:hAnsi="宋体" w:eastAsia="宋体"/>
          <w:sz w:val="24"/>
          <w:szCs w:val="24"/>
        </w:rPr>
        <w:t>5、货物和调试验收标准：按行业通行标准、厂方出厂标准和乙方投标文件的承诺（不低于国家相关标准）。</w:t>
      </w:r>
    </w:p>
    <w:p w14:paraId="62F19AFD">
      <w:pPr>
        <w:autoSpaceDE w:val="0"/>
        <w:autoSpaceDN w:val="0"/>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rPr>
        <w:t>（1）</w:t>
      </w:r>
      <w:r>
        <w:rPr>
          <w:rFonts w:ascii="宋体" w:hAnsi="宋体" w:eastAsia="宋体"/>
          <w:sz w:val="24"/>
          <w:szCs w:val="24"/>
        </w:rPr>
        <w:t>乙方交货前应对产品做出全面检查和对验收文件进行整理，并列出清单，作为甲方收货验收和使用的技术条件依据。</w:t>
      </w:r>
    </w:p>
    <w:p w14:paraId="69D3DA63">
      <w:pPr>
        <w:autoSpaceDE w:val="0"/>
        <w:autoSpaceDN w:val="0"/>
        <w:adjustRightInd w:val="0"/>
        <w:spacing w:line="360" w:lineRule="auto"/>
        <w:ind w:firstLine="480" w:firstLineChars="200"/>
        <w:jc w:val="left"/>
        <w:rPr>
          <w:rFonts w:ascii="宋体" w:hAnsi="宋体" w:eastAsia="宋体"/>
          <w:sz w:val="24"/>
          <w:szCs w:val="24"/>
        </w:rPr>
      </w:pPr>
      <w:r>
        <w:rPr>
          <w:rFonts w:hint="eastAsia" w:ascii="宋体" w:hAnsi="宋体" w:eastAsia="宋体"/>
          <w:sz w:val="24"/>
          <w:szCs w:val="24"/>
        </w:rPr>
        <w:t>（2）由甲方或其委托的专业检测机构进行验收，检验不合格或不符合质量要求，乙方除无条件退货、返工外，还应承担甲方的一切损失（包括但不限于第三方检测费、</w:t>
      </w:r>
      <w:r>
        <w:rPr>
          <w:rFonts w:hint="eastAsia" w:ascii="宋体" w:hAnsi="宋体" w:eastAsia="宋体"/>
          <w:sz w:val="24"/>
          <w:szCs w:val="24"/>
          <w:lang w:val="en-US"/>
        </w:rPr>
        <w:t>货物</w:t>
      </w:r>
      <w:r>
        <w:rPr>
          <w:rFonts w:hint="eastAsia" w:ascii="宋体" w:hAnsi="宋体" w:eastAsia="宋体"/>
          <w:sz w:val="24"/>
          <w:szCs w:val="24"/>
        </w:rPr>
        <w:t>延误损失</w:t>
      </w:r>
      <w:r>
        <w:rPr>
          <w:rFonts w:hint="eastAsia" w:ascii="宋体" w:hAnsi="宋体" w:eastAsia="宋体"/>
          <w:sz w:val="24"/>
          <w:szCs w:val="24"/>
          <w:lang w:val="en-US"/>
        </w:rPr>
        <w:t>等</w:t>
      </w:r>
      <w:r>
        <w:rPr>
          <w:rFonts w:hint="eastAsia" w:ascii="宋体" w:hAnsi="宋体" w:eastAsia="宋体"/>
          <w:sz w:val="24"/>
          <w:szCs w:val="24"/>
        </w:rPr>
        <w:t>）。</w:t>
      </w:r>
      <w:r>
        <w:rPr>
          <w:rFonts w:ascii="宋体" w:hAnsi="宋体" w:eastAsia="宋体"/>
          <w:sz w:val="24"/>
          <w:szCs w:val="24"/>
        </w:rPr>
        <w:t>验收合格不免除</w:t>
      </w:r>
      <w:r>
        <w:rPr>
          <w:rFonts w:hint="eastAsia" w:ascii="宋体" w:hAnsi="宋体" w:eastAsia="宋体"/>
          <w:sz w:val="24"/>
          <w:szCs w:val="24"/>
        </w:rPr>
        <w:t>乙方</w:t>
      </w:r>
      <w:r>
        <w:rPr>
          <w:rFonts w:ascii="宋体" w:hAnsi="宋体" w:eastAsia="宋体"/>
          <w:sz w:val="24"/>
          <w:szCs w:val="24"/>
        </w:rPr>
        <w:t>承担在使用期间发现的质量问题</w:t>
      </w:r>
      <w:r>
        <w:rPr>
          <w:rFonts w:hint="eastAsia" w:ascii="宋体" w:hAnsi="宋体" w:eastAsia="宋体"/>
          <w:sz w:val="24"/>
          <w:szCs w:val="24"/>
        </w:rPr>
        <w:t>（包括但不限于交货不符合招标要求以及投标响应、产品质量缺陷）</w:t>
      </w:r>
      <w:r>
        <w:rPr>
          <w:rFonts w:ascii="宋体" w:hAnsi="宋体" w:eastAsia="宋体"/>
          <w:sz w:val="24"/>
          <w:szCs w:val="24"/>
        </w:rPr>
        <w:t>的责任</w:t>
      </w:r>
      <w:r>
        <w:rPr>
          <w:rFonts w:hint="eastAsia" w:ascii="宋体" w:hAnsi="宋体" w:eastAsia="宋体"/>
          <w:sz w:val="24"/>
          <w:szCs w:val="24"/>
        </w:rPr>
        <w:t>。</w:t>
      </w:r>
    </w:p>
    <w:p w14:paraId="7F6E04A4">
      <w:pPr>
        <w:autoSpaceDE w:val="0"/>
        <w:autoSpaceDN w:val="0"/>
        <w:adjustRightInd w:val="0"/>
        <w:spacing w:line="360" w:lineRule="auto"/>
        <w:ind w:firstLine="480" w:firstLineChars="200"/>
        <w:jc w:val="left"/>
        <w:rPr>
          <w:rFonts w:hint="eastAsia" w:ascii="宋体" w:hAnsi="宋体" w:eastAsia="宋体"/>
          <w:sz w:val="24"/>
          <w:szCs w:val="24"/>
          <w:lang w:val="en-US"/>
        </w:rPr>
      </w:pPr>
      <w:r>
        <w:rPr>
          <w:rFonts w:ascii="宋体" w:hAnsi="宋体" w:eastAsia="宋体"/>
          <w:sz w:val="24"/>
          <w:szCs w:val="24"/>
          <w:lang w:val="en-US"/>
        </w:rPr>
        <w:t>（</w:t>
      </w:r>
      <w:r>
        <w:rPr>
          <w:rFonts w:hint="eastAsia" w:ascii="宋体" w:hAnsi="宋体" w:eastAsia="宋体"/>
          <w:sz w:val="24"/>
          <w:szCs w:val="24"/>
          <w:lang w:val="en-US"/>
        </w:rPr>
        <w:t>3</w:t>
      </w:r>
      <w:r>
        <w:rPr>
          <w:rFonts w:ascii="宋体" w:hAnsi="宋体" w:eastAsia="宋体"/>
          <w:sz w:val="24"/>
          <w:szCs w:val="24"/>
          <w:lang w:val="en-US"/>
        </w:rPr>
        <w:t>）验收时乙方必须在现场，并向甲方提供产品合格证、质量保证文件等相关证明材料，验收完毕后做出验收结果报告。</w:t>
      </w:r>
    </w:p>
    <w:p w14:paraId="3AB5115F">
      <w:pPr>
        <w:autoSpaceDE w:val="0"/>
        <w:autoSpaceDN w:val="0"/>
        <w:adjustRightInd w:val="0"/>
        <w:spacing w:line="360" w:lineRule="auto"/>
        <w:ind w:firstLine="482" w:firstLineChars="200"/>
        <w:jc w:val="left"/>
        <w:rPr>
          <w:rFonts w:ascii="宋体" w:hAnsi="宋体" w:eastAsia="宋体"/>
          <w:b/>
          <w:bCs/>
          <w:sz w:val="24"/>
          <w:szCs w:val="24"/>
        </w:rPr>
      </w:pPr>
      <w:r>
        <w:rPr>
          <w:rFonts w:hint="eastAsia" w:ascii="宋体" w:hAnsi="宋体" w:eastAsia="宋体"/>
          <w:b/>
          <w:bCs/>
          <w:sz w:val="24"/>
          <w:szCs w:val="24"/>
        </w:rPr>
        <w:t>第八条 伴随服务／售后服务</w:t>
      </w:r>
    </w:p>
    <w:p w14:paraId="4F6844D9">
      <w:pPr>
        <w:autoSpaceDE w:val="0"/>
        <w:autoSpaceDN w:val="0"/>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rPr>
        <w:t>1、质保期：</w:t>
      </w:r>
      <w:r>
        <w:rPr>
          <w:rFonts w:hint="eastAsia" w:ascii="宋体" w:hAnsi="宋体" w:eastAsia="宋体" w:cs="微软雅黑"/>
          <w:sz w:val="24"/>
          <w:szCs w:val="24"/>
        </w:rPr>
        <w:t>本项目整体质保期不低于</w:t>
      </w:r>
      <w:r>
        <w:rPr>
          <w:rFonts w:hint="eastAsia" w:ascii="宋体" w:hAnsi="宋体" w:eastAsia="宋体" w:cs="微软雅黑"/>
          <w:sz w:val="24"/>
          <w:szCs w:val="24"/>
          <w:u w:val="single"/>
        </w:rPr>
        <w:t xml:space="preserve">  1  </w:t>
      </w:r>
      <w:r>
        <w:rPr>
          <w:rFonts w:hint="eastAsia" w:ascii="宋体" w:hAnsi="宋体" w:eastAsia="宋体" w:cs="微软雅黑"/>
          <w:sz w:val="24"/>
          <w:szCs w:val="24"/>
        </w:rPr>
        <w:t>年，自</w:t>
      </w:r>
      <w:r>
        <w:rPr>
          <w:rFonts w:hint="eastAsia" w:ascii="宋体" w:hAnsi="宋体" w:eastAsia="宋体" w:cs="微软雅黑"/>
          <w:sz w:val="24"/>
          <w:szCs w:val="24"/>
          <w:lang w:val="en-US"/>
        </w:rPr>
        <w:t>甲方出具</w:t>
      </w:r>
      <w:r>
        <w:rPr>
          <w:rFonts w:hint="eastAsia" w:ascii="宋体" w:hAnsi="宋体" w:eastAsia="宋体" w:cs="微软雅黑"/>
          <w:sz w:val="24"/>
          <w:szCs w:val="24"/>
        </w:rPr>
        <w:t>验收合格</w:t>
      </w:r>
      <w:r>
        <w:rPr>
          <w:rFonts w:hint="eastAsia" w:ascii="宋体" w:hAnsi="宋体" w:eastAsia="宋体" w:cs="微软雅黑"/>
          <w:sz w:val="24"/>
          <w:szCs w:val="24"/>
          <w:lang w:val="en-US"/>
        </w:rPr>
        <w:t>证明</w:t>
      </w:r>
      <w:r>
        <w:rPr>
          <w:rFonts w:hint="eastAsia" w:ascii="宋体" w:hAnsi="宋体" w:eastAsia="宋体" w:cs="微软雅黑"/>
          <w:sz w:val="24"/>
          <w:szCs w:val="24"/>
        </w:rPr>
        <w:t>之日起计算，乙方投标承诺质保期长于</w:t>
      </w:r>
      <w:r>
        <w:rPr>
          <w:rFonts w:hint="eastAsia" w:ascii="宋体" w:hAnsi="宋体" w:eastAsia="宋体" w:cs="微软雅黑"/>
          <w:sz w:val="24"/>
          <w:szCs w:val="24"/>
          <w:lang w:val="en-US"/>
        </w:rPr>
        <w:t>1</w:t>
      </w:r>
      <w:r>
        <w:rPr>
          <w:rFonts w:hint="eastAsia" w:ascii="宋体" w:hAnsi="宋体" w:eastAsia="宋体" w:cs="微软雅黑"/>
          <w:sz w:val="24"/>
          <w:szCs w:val="24"/>
        </w:rPr>
        <w:t>年的，按投标承诺执行。</w:t>
      </w:r>
    </w:p>
    <w:p w14:paraId="6E2622C7">
      <w:pPr>
        <w:tabs>
          <w:tab w:val="left" w:pos="1620"/>
        </w:tabs>
        <w:autoSpaceDE w:val="0"/>
        <w:autoSpaceDN w:val="0"/>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rPr>
        <w:t>2、乙方应按照国家有关法律法规规章和“三包”规定以及招投标文件所规定的“服务承诺”提供服务。</w:t>
      </w:r>
    </w:p>
    <w:p w14:paraId="4811265A">
      <w:pPr>
        <w:autoSpaceDE w:val="0"/>
        <w:autoSpaceDN w:val="0"/>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rPr>
        <w:t>3、除前款规定外，乙方还应提供下列服务：</w:t>
      </w:r>
    </w:p>
    <w:p w14:paraId="54F9207D">
      <w:pPr>
        <w:autoSpaceDE w:val="0"/>
        <w:autoSpaceDN w:val="0"/>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rPr>
        <w:t>（1）货物的现场安装、调试和/或启动监督；</w:t>
      </w:r>
    </w:p>
    <w:p w14:paraId="7460346C">
      <w:pPr>
        <w:autoSpaceDE w:val="0"/>
        <w:autoSpaceDN w:val="0"/>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rPr>
        <w:t>（2）就货物的安装、启动、运行及维护等对甲方人员进行免费培训。</w:t>
      </w:r>
    </w:p>
    <w:p w14:paraId="29C80B59">
      <w:pPr>
        <w:autoSpaceDE w:val="0"/>
        <w:autoSpaceDN w:val="0"/>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rPr>
        <w:t>4、若招标文件中不包含有关伴随服务或售后服务的承诺，双方作如下约定：</w:t>
      </w:r>
    </w:p>
    <w:p w14:paraId="7A680F66">
      <w:pPr>
        <w:autoSpaceDE w:val="0"/>
        <w:autoSpaceDN w:val="0"/>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rPr>
        <w:t>4.1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w:t>
      </w:r>
    </w:p>
    <w:p w14:paraId="0523B37F">
      <w:pPr>
        <w:autoSpaceDE w:val="0"/>
        <w:autoSpaceDN w:val="0"/>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rPr>
        <w:t>4.2所购货物按乙方投标承诺提供免费维护和质量保证，保修费用计入总价。</w:t>
      </w:r>
    </w:p>
    <w:p w14:paraId="45A9B0EE">
      <w:pPr>
        <w:autoSpaceDE w:val="0"/>
        <w:autoSpaceDN w:val="0"/>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rPr>
        <w:t>4.3保修期内，乙方负责对其提供的货物整机进行维修和系统维护，不再收取任何费用，但不可抗力（如火灾、雷击等）造成的故障除外。</w:t>
      </w:r>
    </w:p>
    <w:p w14:paraId="19F5713B">
      <w:pPr>
        <w:autoSpaceDE w:val="0"/>
        <w:autoSpaceDN w:val="0"/>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rPr>
        <w:t>4.4货物故障报修的响应时间按乙方投标承诺执行。</w:t>
      </w:r>
    </w:p>
    <w:p w14:paraId="7805A4F2">
      <w:pPr>
        <w:autoSpaceDE w:val="0"/>
        <w:autoSpaceDN w:val="0"/>
        <w:adjustRightInd w:val="0"/>
        <w:spacing w:line="360" w:lineRule="auto"/>
        <w:ind w:firstLine="480" w:firstLineChars="200"/>
        <w:jc w:val="left"/>
        <w:rPr>
          <w:rFonts w:ascii="宋体" w:hAnsi="宋体" w:eastAsia="宋体"/>
          <w:sz w:val="24"/>
          <w:szCs w:val="24"/>
        </w:rPr>
      </w:pPr>
      <w:r>
        <w:rPr>
          <w:rFonts w:hint="eastAsia" w:ascii="宋体" w:hAnsi="宋体" w:eastAsia="宋体"/>
          <w:sz w:val="24"/>
          <w:szCs w:val="24"/>
        </w:rPr>
        <w:t>4.5若货物故障在检修8小时后仍无法排除，乙方应在48小时内免费提供不低于故障货物规格型号档次的备用货物供甲方使用，直至故障货物修复。</w:t>
      </w:r>
    </w:p>
    <w:p w14:paraId="0B95C0D1">
      <w:pPr>
        <w:autoSpaceDE w:val="0"/>
        <w:autoSpaceDN w:val="0"/>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rPr>
        <w:t>4.6所有货物保修服务方式均为乙方上门保修，即由乙方派员到货物使用现场维修，由此产生的一切费用均由乙方承担。</w:t>
      </w:r>
    </w:p>
    <w:p w14:paraId="0B12D0CB">
      <w:pPr>
        <w:autoSpaceDE w:val="0"/>
        <w:autoSpaceDN w:val="0"/>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rPr>
        <w:t>4.7保修期后的货物维护由双方协商再定。属于《产品质量法》规定的生产者的责任（包括但不限于产品缺陷责任）以及因此导致的损害赔偿等责任，不受保修期约定时限限制，双方依据《产品质量法》相关规定处理。</w:t>
      </w:r>
    </w:p>
    <w:p w14:paraId="6BE0BE6E">
      <w:pPr>
        <w:autoSpaceDE w:val="0"/>
        <w:autoSpaceDN w:val="0"/>
        <w:adjustRightInd w:val="0"/>
        <w:spacing w:line="360" w:lineRule="auto"/>
        <w:ind w:firstLine="482" w:firstLineChars="200"/>
        <w:jc w:val="left"/>
        <w:rPr>
          <w:rFonts w:hint="eastAsia" w:ascii="宋体" w:hAnsi="宋体" w:eastAsia="宋体"/>
          <w:b/>
          <w:bCs/>
          <w:sz w:val="24"/>
          <w:szCs w:val="24"/>
        </w:rPr>
      </w:pPr>
      <w:r>
        <w:rPr>
          <w:rFonts w:hint="eastAsia" w:ascii="宋体" w:hAnsi="宋体" w:eastAsia="宋体"/>
          <w:b/>
          <w:bCs/>
          <w:sz w:val="24"/>
          <w:szCs w:val="24"/>
        </w:rPr>
        <w:t>第九条 履约保证金：</w:t>
      </w:r>
      <w:r>
        <w:rPr>
          <w:rFonts w:hint="eastAsia" w:ascii="宋体" w:hAnsi="宋体" w:eastAsia="宋体" w:cs="仿宋"/>
          <w:sz w:val="24"/>
          <w:szCs w:val="24"/>
        </w:rPr>
        <w:t>无。</w:t>
      </w:r>
    </w:p>
    <w:p w14:paraId="27F67521">
      <w:pPr>
        <w:autoSpaceDE w:val="0"/>
        <w:autoSpaceDN w:val="0"/>
        <w:adjustRightInd w:val="0"/>
        <w:spacing w:line="360" w:lineRule="auto"/>
        <w:ind w:firstLine="482" w:firstLineChars="200"/>
        <w:jc w:val="left"/>
        <w:rPr>
          <w:rFonts w:hint="eastAsia" w:ascii="宋体" w:hAnsi="宋体" w:eastAsia="宋体"/>
          <w:b/>
          <w:bCs/>
          <w:i/>
          <w:iCs/>
          <w:sz w:val="24"/>
          <w:szCs w:val="24"/>
        </w:rPr>
      </w:pPr>
      <w:r>
        <w:rPr>
          <w:rFonts w:hint="eastAsia" w:ascii="宋体" w:hAnsi="宋体" w:eastAsia="宋体"/>
          <w:b/>
          <w:bCs/>
          <w:sz w:val="24"/>
          <w:szCs w:val="24"/>
        </w:rPr>
        <w:t>第十条 合同款支付</w:t>
      </w:r>
    </w:p>
    <w:p w14:paraId="34F82D82">
      <w:pPr>
        <w:autoSpaceDE w:val="0"/>
        <w:autoSpaceDN w:val="0"/>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rPr>
        <w:t>1、本合同项下所有款项均以人民币支付。</w:t>
      </w:r>
    </w:p>
    <w:p w14:paraId="2FF6A8BF">
      <w:pPr>
        <w:autoSpaceDE w:val="0"/>
        <w:autoSpaceDN w:val="0"/>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color w:val="000000"/>
          <w:sz w:val="24"/>
          <w:szCs w:val="24"/>
        </w:rPr>
        <w:t>2、</w:t>
      </w:r>
      <w:r>
        <w:rPr>
          <w:rFonts w:hint="eastAsia" w:ascii="宋体" w:hAnsi="宋体" w:eastAsia="宋体"/>
          <w:sz w:val="24"/>
          <w:szCs w:val="24"/>
        </w:rPr>
        <w:t>本合同项下的采购资金由甲方自行支付，在付款前，乙方应向甲方开具合格发票，否则甲方有权顺延付款期限且无息、无需承担任何违约责任。</w:t>
      </w:r>
    </w:p>
    <w:p w14:paraId="24B47D08">
      <w:pPr>
        <w:spacing w:line="360" w:lineRule="auto"/>
        <w:ind w:firstLine="480" w:firstLineChars="200"/>
        <w:jc w:val="left"/>
        <w:rPr>
          <w:rFonts w:hint="eastAsia" w:ascii="宋体" w:hAnsi="宋体" w:eastAsia="宋体"/>
          <w:b/>
          <w:sz w:val="24"/>
          <w:szCs w:val="24"/>
        </w:rPr>
      </w:pPr>
      <w:r>
        <w:rPr>
          <w:rFonts w:hint="eastAsia" w:ascii="宋体" w:hAnsi="宋体" w:eastAsia="宋体"/>
          <w:bCs/>
          <w:color w:val="000000"/>
          <w:sz w:val="24"/>
          <w:szCs w:val="24"/>
        </w:rPr>
        <w:t>3、付款条件：</w:t>
      </w:r>
      <w:r>
        <w:rPr>
          <w:rFonts w:hint="eastAsia" w:ascii="宋体" w:hAnsi="宋体" w:eastAsia="宋体"/>
          <w:sz w:val="24"/>
          <w:szCs w:val="24"/>
        </w:rPr>
        <w:t>合同签订付合同总价款的</w:t>
      </w:r>
      <w:r>
        <w:rPr>
          <w:rFonts w:hint="eastAsia" w:ascii="宋体" w:hAnsi="宋体" w:eastAsia="宋体"/>
          <w:sz w:val="24"/>
          <w:szCs w:val="24"/>
          <w:lang w:val="en-US"/>
        </w:rPr>
        <w:t>50</w:t>
      </w:r>
      <w:r>
        <w:rPr>
          <w:rFonts w:hint="eastAsia" w:ascii="宋体" w:hAnsi="宋体" w:eastAsia="宋体"/>
          <w:sz w:val="24"/>
          <w:szCs w:val="24"/>
        </w:rPr>
        <w:t>％；供货完成</w:t>
      </w:r>
      <w:r>
        <w:rPr>
          <w:rFonts w:ascii="宋体" w:hAnsi="宋体" w:eastAsia="宋体"/>
          <w:sz w:val="24"/>
          <w:szCs w:val="24"/>
        </w:rPr>
        <w:t>经</w:t>
      </w:r>
      <w:r>
        <w:rPr>
          <w:rFonts w:hint="eastAsia" w:ascii="宋体" w:hAnsi="宋体" w:eastAsia="宋体"/>
          <w:sz w:val="24"/>
          <w:szCs w:val="24"/>
        </w:rPr>
        <w:t>甲方</w:t>
      </w:r>
      <w:r>
        <w:rPr>
          <w:rFonts w:hint="eastAsia" w:ascii="宋体" w:hAnsi="宋体" w:eastAsia="宋体"/>
          <w:sz w:val="24"/>
          <w:szCs w:val="24"/>
          <w:lang w:val="en-US"/>
        </w:rPr>
        <w:t>整体</w:t>
      </w:r>
      <w:r>
        <w:rPr>
          <w:rFonts w:ascii="宋体" w:hAnsi="宋体" w:eastAsia="宋体"/>
          <w:sz w:val="24"/>
          <w:szCs w:val="24"/>
        </w:rPr>
        <w:t>验收合格后</w:t>
      </w:r>
      <w:r>
        <w:rPr>
          <w:rFonts w:hint="eastAsia" w:ascii="宋体" w:hAnsi="宋体" w:eastAsia="宋体"/>
          <w:sz w:val="24"/>
          <w:szCs w:val="24"/>
        </w:rPr>
        <w:t>，支付至合同总价款的</w:t>
      </w:r>
      <w:r>
        <w:rPr>
          <w:rFonts w:ascii="宋体" w:hAnsi="宋体" w:eastAsia="宋体"/>
          <w:sz w:val="24"/>
          <w:szCs w:val="24"/>
          <w:lang w:val="en-US"/>
        </w:rPr>
        <w:t>100</w:t>
      </w:r>
      <w:r>
        <w:rPr>
          <w:rFonts w:ascii="宋体" w:hAnsi="宋体" w:eastAsia="宋体"/>
          <w:sz w:val="24"/>
          <w:szCs w:val="24"/>
        </w:rPr>
        <w:t>%</w:t>
      </w:r>
      <w:r>
        <w:rPr>
          <w:rFonts w:hint="eastAsia" w:ascii="宋体" w:hAnsi="宋体" w:eastAsia="宋体"/>
          <w:sz w:val="24"/>
          <w:szCs w:val="24"/>
        </w:rPr>
        <w:t>。</w:t>
      </w:r>
      <w:r>
        <w:rPr>
          <w:rFonts w:hint="eastAsia" w:ascii="宋体" w:hAnsi="宋体" w:eastAsia="宋体" w:cs="仿宋_GB2312"/>
          <w:bCs/>
          <w:sz w:val="24"/>
          <w:szCs w:val="24"/>
        </w:rPr>
        <w:t>因财政审批导致的迟延支付，甲方不承担迟延支付的违约责任，付款进度以财政资金下款时间为准。</w:t>
      </w:r>
    </w:p>
    <w:p w14:paraId="3B2D66FC">
      <w:pPr>
        <w:autoSpaceDE w:val="0"/>
        <w:autoSpaceDN w:val="0"/>
        <w:adjustRightInd w:val="0"/>
        <w:spacing w:line="360" w:lineRule="auto"/>
        <w:ind w:firstLine="482" w:firstLineChars="200"/>
        <w:jc w:val="left"/>
        <w:rPr>
          <w:rFonts w:hint="eastAsia" w:ascii="宋体" w:hAnsi="宋体" w:eastAsia="宋体"/>
          <w:b/>
          <w:bCs/>
          <w:sz w:val="24"/>
          <w:szCs w:val="24"/>
        </w:rPr>
      </w:pPr>
      <w:r>
        <w:rPr>
          <w:rFonts w:hint="eastAsia" w:ascii="宋体" w:hAnsi="宋体" w:eastAsia="宋体"/>
          <w:b/>
          <w:bCs/>
          <w:sz w:val="24"/>
          <w:szCs w:val="24"/>
        </w:rPr>
        <w:t xml:space="preserve">第十一条 违约责任 </w:t>
      </w:r>
    </w:p>
    <w:p w14:paraId="57D4AB89">
      <w:pPr>
        <w:wordWrap w:val="0"/>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lang w:val="en-US"/>
        </w:rPr>
        <w:t>1、因</w:t>
      </w:r>
      <w:r>
        <w:rPr>
          <w:rFonts w:hint="eastAsia" w:ascii="宋体" w:hAnsi="宋体" w:eastAsia="宋体"/>
          <w:sz w:val="24"/>
          <w:szCs w:val="24"/>
        </w:rPr>
        <w:t>甲方原因未按合同规定的期限向乙方支付货款的，每逾期1天甲方向乙方偿付欠款总额的</w:t>
      </w:r>
      <w:r>
        <w:rPr>
          <w:rFonts w:hint="eastAsia" w:ascii="宋体" w:hAnsi="宋体" w:eastAsia="宋体"/>
          <w:sz w:val="24"/>
          <w:szCs w:val="24"/>
          <w:lang w:val="en-US"/>
        </w:rPr>
        <w:t>3</w:t>
      </w:r>
      <w:r>
        <w:rPr>
          <w:rFonts w:hint="eastAsia" w:ascii="宋体" w:hAnsi="宋体" w:eastAsia="宋体"/>
          <w:sz w:val="24"/>
          <w:szCs w:val="24"/>
        </w:rPr>
        <w:t>‰滞纳金，但累计滞纳金总额不超过欠款总额的5%。非因甲方原因未及时付款，包括但不仅限于乙方货物不合格、未提供发票，甲方不承担违约责任。</w:t>
      </w:r>
    </w:p>
    <w:p w14:paraId="14C58662">
      <w:pPr>
        <w:wordWrap w:val="0"/>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lang w:val="en-US"/>
        </w:rPr>
        <w:t>2、</w:t>
      </w:r>
      <w:r>
        <w:rPr>
          <w:rFonts w:hint="eastAsia" w:ascii="宋体" w:hAnsi="宋体" w:eastAsia="宋体"/>
          <w:sz w:val="24"/>
          <w:szCs w:val="24"/>
        </w:rPr>
        <w:t>如乙方不能交付货物</w:t>
      </w:r>
      <w:r>
        <w:rPr>
          <w:rFonts w:hint="eastAsia" w:ascii="宋体" w:hAnsi="宋体" w:eastAsia="宋体"/>
          <w:sz w:val="24"/>
          <w:szCs w:val="24"/>
          <w:lang w:val="en-US"/>
        </w:rPr>
        <w:t>或</w:t>
      </w:r>
      <w:r>
        <w:rPr>
          <w:rFonts w:hint="eastAsia" w:ascii="宋体" w:hAnsi="宋体" w:eastAsia="宋体"/>
          <w:sz w:val="24"/>
          <w:szCs w:val="24"/>
        </w:rPr>
        <w:t>完成安装调试的，甲方有权解除合同，解除合同的通知自到达乙方时生效，乙方除应返还甲方已付款项外还应向甲方支付合同总价5%的违约金，违约金不足以弥补甲方损失的，乙方需补足差额（包括但不限于重新采购差价、</w:t>
      </w:r>
      <w:r>
        <w:rPr>
          <w:rFonts w:hint="eastAsia" w:ascii="宋体" w:hAnsi="宋体" w:eastAsia="宋体"/>
          <w:sz w:val="24"/>
          <w:szCs w:val="24"/>
          <w:lang w:val="en-US"/>
        </w:rPr>
        <w:t>供货</w:t>
      </w:r>
      <w:r>
        <w:rPr>
          <w:rFonts w:hint="eastAsia" w:ascii="宋体" w:hAnsi="宋体" w:eastAsia="宋体"/>
          <w:sz w:val="24"/>
          <w:szCs w:val="24"/>
        </w:rPr>
        <w:t>延误损失）。</w:t>
      </w:r>
    </w:p>
    <w:p w14:paraId="78C10862">
      <w:pPr>
        <w:widowControl/>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lang w:val="en-US"/>
        </w:rPr>
        <w:t>3、</w:t>
      </w:r>
      <w:r>
        <w:rPr>
          <w:rFonts w:hint="eastAsia" w:ascii="宋体" w:hAnsi="宋体" w:eastAsia="宋体"/>
          <w:sz w:val="24"/>
          <w:szCs w:val="24"/>
        </w:rPr>
        <w:t>乙方逾期交付的，每逾期1天，乙方向甲方偿付合同总额的5‰的滞纳金。如乙方逾期交付达10天，甲方有权解除合同，解除合同的通知自到达乙方时生效，并有权要求乙方退还已收款项，赔偿因此给甲方造成的损失，包括但不限于紧急采购支出。</w:t>
      </w:r>
    </w:p>
    <w:p w14:paraId="206B8CF1">
      <w:pPr>
        <w:widowControl/>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lang w:val="en-US"/>
        </w:rPr>
        <w:t>4、</w:t>
      </w:r>
      <w:r>
        <w:rPr>
          <w:rFonts w:hint="eastAsia" w:ascii="宋体" w:hAnsi="宋体" w:eastAsia="宋体"/>
          <w:sz w:val="24"/>
          <w:szCs w:val="24"/>
        </w:rPr>
        <w:t>乙方所交付的货物品种、型号、规格不符合合同规定的，甲方有权拒收、解除合同。甲方拒收、解除合同的，乙方除应返还甲方已付款项外还应向甲方支付货款总额5%的违约金。甲方未拒收的，采购代理机构发现后将向有关部门反映，并责成乙方按照采购结果提供货物和服务。</w:t>
      </w:r>
    </w:p>
    <w:p w14:paraId="590ABE69">
      <w:pPr>
        <w:widowControl/>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lang w:val="en-US"/>
        </w:rPr>
        <w:t>5、</w:t>
      </w:r>
      <w:r>
        <w:rPr>
          <w:rFonts w:hint="eastAsia" w:ascii="宋体" w:hAnsi="宋体" w:eastAsia="宋体"/>
          <w:sz w:val="24"/>
          <w:szCs w:val="24"/>
        </w:rPr>
        <w:t>在乙方承诺的或国家规定的质量保证期内（取两者中最长的期限），如经乙方两次维修或更换，货物仍不能达到合同约定的质量标准，甲方有权退货，乙方应退回全部货款，并按第</w:t>
      </w:r>
      <w:r>
        <w:rPr>
          <w:rFonts w:ascii="宋体" w:hAnsi="宋体" w:eastAsia="宋体"/>
          <w:sz w:val="24"/>
          <w:szCs w:val="24"/>
        </w:rPr>
        <w:t>2</w:t>
      </w:r>
      <w:r>
        <w:rPr>
          <w:rFonts w:hint="eastAsia" w:ascii="宋体" w:hAnsi="宋体" w:eastAsia="宋体"/>
          <w:sz w:val="24"/>
          <w:szCs w:val="24"/>
        </w:rPr>
        <w:t>款处理，同时，乙方还须赔偿甲方因此遭受的损失。</w:t>
      </w:r>
    </w:p>
    <w:p w14:paraId="0C379937">
      <w:pPr>
        <w:widowControl/>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lang w:val="en-US"/>
        </w:rPr>
        <w:t>6</w:t>
      </w:r>
      <w:r>
        <w:rPr>
          <w:rFonts w:hint="eastAsia" w:ascii="宋体" w:hAnsi="宋体" w:eastAsia="宋体"/>
          <w:sz w:val="24"/>
          <w:szCs w:val="24"/>
        </w:rPr>
        <w:t>、乙方未按本合同的规定和“服务承诺”提供伴随服务/售后服务的，应按合同总价款的5%向甲方承担违约责任。</w:t>
      </w:r>
    </w:p>
    <w:p w14:paraId="4BFD8901">
      <w:pPr>
        <w:widowControl/>
        <w:wordWrap w:val="0"/>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lang w:val="en-US"/>
        </w:rPr>
        <w:t>7</w:t>
      </w:r>
      <w:r>
        <w:rPr>
          <w:rFonts w:hint="eastAsia" w:ascii="宋体" w:hAnsi="宋体" w:eastAsia="宋体"/>
          <w:sz w:val="24"/>
          <w:szCs w:val="24"/>
        </w:rPr>
        <w:t>、乙方在承担上述</w:t>
      </w:r>
      <w:r>
        <w:rPr>
          <w:rFonts w:ascii="宋体" w:hAnsi="宋体" w:eastAsia="宋体"/>
          <w:sz w:val="24"/>
          <w:szCs w:val="24"/>
        </w:rPr>
        <w:t>3</w:t>
      </w:r>
      <w:r>
        <w:rPr>
          <w:rFonts w:hint="eastAsia" w:ascii="宋体" w:hAnsi="宋体" w:eastAsia="宋体"/>
          <w:sz w:val="24"/>
          <w:szCs w:val="24"/>
        </w:rPr>
        <w:t>-</w:t>
      </w:r>
      <w:r>
        <w:rPr>
          <w:rFonts w:hint="eastAsia" w:ascii="宋体" w:hAnsi="宋体" w:eastAsia="宋体"/>
          <w:sz w:val="24"/>
          <w:szCs w:val="24"/>
          <w:lang w:val="en-US"/>
        </w:rPr>
        <w:t>6</w:t>
      </w:r>
      <w:r>
        <w:rPr>
          <w:rFonts w:hint="eastAsia" w:ascii="宋体" w:hAnsi="宋体" w:eastAsia="宋体"/>
          <w:sz w:val="24"/>
          <w:szCs w:val="24"/>
        </w:rPr>
        <w:t>款一项或多项违约责任后，仍应继续履行合同规定的义务（甲方解除合同的除外）。甲方未能及时追究乙方的任何一项违约责任并不表明甲方放弃追究乙方该项或其他违约责任。</w:t>
      </w:r>
    </w:p>
    <w:p w14:paraId="587DC3C7">
      <w:pPr>
        <w:widowControl/>
        <w:wordWrap w:val="0"/>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lang w:val="en-US"/>
        </w:rPr>
        <w:t>8、</w:t>
      </w:r>
      <w:r>
        <w:rPr>
          <w:rFonts w:hint="eastAsia" w:ascii="宋体" w:hAnsi="宋体" w:eastAsia="宋体"/>
          <w:sz w:val="24"/>
          <w:szCs w:val="24"/>
        </w:rPr>
        <w:t>乙方投标属虚假承诺，或经权威部门监测提供的货物不能满足招标文件要求，或是由于乙方的过错造成合同无法继续履行的，乙方应向甲方支付合同总价</w:t>
      </w:r>
      <w:r>
        <w:rPr>
          <w:rFonts w:hint="eastAsia" w:ascii="宋体" w:hAnsi="宋体" w:eastAsia="宋体"/>
          <w:sz w:val="24"/>
          <w:szCs w:val="24"/>
          <w:lang w:val="en-US"/>
        </w:rPr>
        <w:t>50</w:t>
      </w:r>
      <w:r>
        <w:rPr>
          <w:rFonts w:hint="eastAsia" w:ascii="宋体" w:hAnsi="宋体" w:eastAsia="宋体"/>
          <w:sz w:val="24"/>
          <w:szCs w:val="24"/>
        </w:rPr>
        <w:t>%赔偿金，赔偿金不足以弥补甲方损失的，需补足差额。</w:t>
      </w:r>
    </w:p>
    <w:p w14:paraId="6BCC9004">
      <w:pPr>
        <w:widowControl/>
        <w:adjustRightInd w:val="0"/>
        <w:spacing w:line="360" w:lineRule="auto"/>
        <w:ind w:firstLine="482" w:firstLineChars="200"/>
        <w:jc w:val="left"/>
        <w:rPr>
          <w:rFonts w:hint="eastAsia" w:ascii="宋体" w:hAnsi="宋体" w:eastAsia="宋体"/>
          <w:b/>
          <w:bCs/>
          <w:sz w:val="24"/>
          <w:szCs w:val="24"/>
          <w:lang w:val="en-US"/>
        </w:rPr>
      </w:pPr>
      <w:r>
        <w:rPr>
          <w:rFonts w:hint="eastAsia" w:ascii="宋体" w:hAnsi="宋体" w:eastAsia="宋体"/>
          <w:b/>
          <w:bCs/>
          <w:sz w:val="24"/>
          <w:szCs w:val="24"/>
        </w:rPr>
        <w:t>第十二条</w:t>
      </w:r>
      <w:r>
        <w:rPr>
          <w:rFonts w:hint="eastAsia" w:ascii="宋体" w:hAnsi="宋体" w:eastAsia="宋体"/>
          <w:b/>
          <w:bCs/>
          <w:sz w:val="24"/>
          <w:szCs w:val="24"/>
          <w:lang w:val="en-US"/>
        </w:rPr>
        <w:t xml:space="preserve"> 项目履约验收</w:t>
      </w:r>
    </w:p>
    <w:p w14:paraId="21BDEAC8">
      <w:pPr>
        <w:widowControl/>
        <w:adjustRightInd w:val="0"/>
        <w:spacing w:line="360" w:lineRule="auto"/>
        <w:ind w:firstLine="480" w:firstLineChars="200"/>
        <w:jc w:val="left"/>
        <w:rPr>
          <w:rFonts w:hint="eastAsia" w:ascii="宋体" w:hAnsi="宋体" w:eastAsia="宋体"/>
          <w:sz w:val="24"/>
          <w:szCs w:val="24"/>
          <w:lang w:val="en-US"/>
        </w:rPr>
      </w:pPr>
      <w:r>
        <w:rPr>
          <w:rFonts w:hint="eastAsia" w:ascii="宋体" w:hAnsi="宋体" w:eastAsia="宋体"/>
          <w:sz w:val="24"/>
          <w:szCs w:val="24"/>
          <w:lang w:val="en-US"/>
        </w:rPr>
        <w:t>1、甲方有权对乙方项目实施执行过程及完成结果进行履约验收；</w:t>
      </w:r>
    </w:p>
    <w:p w14:paraId="0DE4C1EB">
      <w:pPr>
        <w:widowControl/>
        <w:adjustRightInd w:val="0"/>
        <w:spacing w:line="360" w:lineRule="auto"/>
        <w:ind w:firstLine="480" w:firstLineChars="200"/>
        <w:jc w:val="left"/>
        <w:rPr>
          <w:rFonts w:hint="eastAsia" w:ascii="宋体" w:hAnsi="宋体" w:eastAsia="宋体"/>
          <w:sz w:val="24"/>
          <w:szCs w:val="24"/>
          <w:lang w:val="en-US"/>
        </w:rPr>
      </w:pPr>
      <w:r>
        <w:rPr>
          <w:rFonts w:hint="eastAsia" w:ascii="宋体" w:hAnsi="宋体" w:eastAsia="宋体"/>
          <w:sz w:val="24"/>
          <w:szCs w:val="24"/>
          <w:lang w:val="en-US"/>
        </w:rPr>
        <w:t>2、甲方可以邀请参加本项目的其他供应商或者第三方机构参与验收，乙方应积极配合并响应；</w:t>
      </w:r>
    </w:p>
    <w:p w14:paraId="1BEFFDE2">
      <w:pPr>
        <w:widowControl/>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lang w:val="en-US"/>
        </w:rPr>
        <w:t>3、参与验收的供应商或者第三方机构的意见作为验收书的参考资料一并存档。</w:t>
      </w:r>
    </w:p>
    <w:p w14:paraId="60EB92B4">
      <w:pPr>
        <w:widowControl/>
        <w:adjustRightInd w:val="0"/>
        <w:spacing w:line="360" w:lineRule="auto"/>
        <w:ind w:firstLine="482" w:firstLineChars="200"/>
        <w:jc w:val="left"/>
        <w:rPr>
          <w:rFonts w:hint="eastAsia" w:ascii="宋体" w:hAnsi="宋体" w:eastAsia="宋体"/>
          <w:b/>
          <w:bCs/>
          <w:sz w:val="24"/>
          <w:szCs w:val="24"/>
        </w:rPr>
      </w:pPr>
      <w:r>
        <w:rPr>
          <w:rFonts w:hint="eastAsia" w:ascii="宋体" w:hAnsi="宋体" w:eastAsia="宋体"/>
          <w:b/>
          <w:bCs/>
          <w:sz w:val="24"/>
          <w:szCs w:val="24"/>
        </w:rPr>
        <w:t>第十三条 合同的变更和终止</w:t>
      </w:r>
    </w:p>
    <w:p w14:paraId="4867E7CB">
      <w:pPr>
        <w:widowControl/>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rPr>
        <w:t>1、除《政府采购法》第50条规定的情形外，本合同一经签订，甲乙双方不得擅自变更、中止或终止合同，若乙方存在严重违约（如逾期交付超10天、货物质量不合格拒不更换）导致合同目的无法实现的，甲方有权单方面变更或终止合同，无需经乙方同意，且不承担任何责任。</w:t>
      </w:r>
    </w:p>
    <w:p w14:paraId="55343FDF">
      <w:pPr>
        <w:widowControl/>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rPr>
        <w:t>2、除发生法律规定的不能预见、不能避免并不能克服的客观情况外，甲乙双方不得放弃或拒绝履行合同。</w:t>
      </w:r>
    </w:p>
    <w:p w14:paraId="508321C8">
      <w:pPr>
        <w:widowControl/>
        <w:adjustRightInd w:val="0"/>
        <w:spacing w:line="360" w:lineRule="auto"/>
        <w:ind w:firstLine="482" w:firstLineChars="200"/>
        <w:jc w:val="left"/>
        <w:rPr>
          <w:rFonts w:hint="eastAsia" w:ascii="宋体" w:hAnsi="宋体" w:eastAsia="宋体"/>
          <w:b/>
          <w:bCs/>
          <w:sz w:val="24"/>
          <w:szCs w:val="24"/>
        </w:rPr>
      </w:pPr>
      <w:r>
        <w:rPr>
          <w:rFonts w:hint="eastAsia" w:ascii="宋体" w:hAnsi="宋体" w:eastAsia="宋体"/>
          <w:b/>
          <w:bCs/>
          <w:sz w:val="24"/>
          <w:szCs w:val="24"/>
        </w:rPr>
        <w:t>第十四条 合同的转让</w:t>
      </w:r>
    </w:p>
    <w:p w14:paraId="51B3D257">
      <w:pPr>
        <w:widowControl/>
        <w:adjustRightInd w:val="0"/>
        <w:spacing w:line="360" w:lineRule="auto"/>
        <w:ind w:firstLine="480" w:firstLineChars="200"/>
        <w:jc w:val="left"/>
        <w:rPr>
          <w:rFonts w:hint="eastAsia" w:ascii="宋体" w:hAnsi="宋体" w:eastAsia="宋体"/>
          <w:color w:val="000000"/>
          <w:sz w:val="24"/>
          <w:szCs w:val="24"/>
        </w:rPr>
      </w:pPr>
      <w:r>
        <w:rPr>
          <w:rFonts w:hint="eastAsia" w:ascii="宋体" w:hAnsi="宋体" w:eastAsia="宋体"/>
          <w:color w:val="000000"/>
          <w:sz w:val="24"/>
          <w:szCs w:val="24"/>
        </w:rPr>
        <w:t>乙方不得擅自部分或全部转让其应履行的合同义务</w:t>
      </w:r>
      <w:r>
        <w:rPr>
          <w:rFonts w:ascii="宋体" w:hAnsi="宋体" w:eastAsia="宋体"/>
          <w:color w:val="000000"/>
          <w:sz w:val="24"/>
          <w:szCs w:val="24"/>
        </w:rPr>
        <w:t>，否则一切后果由乙方承担，甲方有权解除合同，解除合同的通知自到达乙方时生效，乙方除应返还甲方已付款项外还应当赔偿合同总价20%的违约金</w:t>
      </w:r>
      <w:r>
        <w:rPr>
          <w:rFonts w:hint="eastAsia" w:ascii="宋体" w:hAnsi="宋体" w:eastAsia="宋体"/>
          <w:color w:val="000000"/>
          <w:sz w:val="24"/>
          <w:szCs w:val="24"/>
        </w:rPr>
        <w:t>。</w:t>
      </w:r>
    </w:p>
    <w:p w14:paraId="7A9947E4">
      <w:pPr>
        <w:widowControl/>
        <w:adjustRightInd w:val="0"/>
        <w:spacing w:line="360" w:lineRule="auto"/>
        <w:ind w:firstLine="482" w:firstLineChars="200"/>
        <w:jc w:val="left"/>
        <w:rPr>
          <w:rFonts w:hint="eastAsia" w:ascii="宋体" w:hAnsi="宋体" w:eastAsia="宋体"/>
          <w:b/>
          <w:bCs/>
          <w:sz w:val="24"/>
          <w:szCs w:val="24"/>
        </w:rPr>
      </w:pPr>
      <w:r>
        <w:rPr>
          <w:rFonts w:hint="eastAsia" w:ascii="宋体" w:hAnsi="宋体" w:eastAsia="宋体"/>
          <w:b/>
          <w:bCs/>
          <w:sz w:val="24"/>
          <w:szCs w:val="24"/>
        </w:rPr>
        <w:t>第十五条 争议的解决</w:t>
      </w:r>
    </w:p>
    <w:p w14:paraId="6567F26F">
      <w:pPr>
        <w:widowControl/>
        <w:adjustRightInd w:val="0"/>
        <w:spacing w:line="360" w:lineRule="auto"/>
        <w:ind w:firstLine="480" w:firstLineChars="200"/>
        <w:jc w:val="left"/>
        <w:rPr>
          <w:rFonts w:hint="eastAsia" w:ascii="宋体" w:hAnsi="宋体" w:eastAsia="宋体"/>
          <w:color w:val="000000"/>
          <w:sz w:val="24"/>
          <w:szCs w:val="24"/>
        </w:rPr>
      </w:pPr>
      <w:r>
        <w:rPr>
          <w:rFonts w:hint="eastAsia" w:ascii="宋体" w:hAnsi="宋体" w:eastAsia="宋体"/>
          <w:color w:val="000000"/>
          <w:sz w:val="24"/>
          <w:szCs w:val="24"/>
        </w:rPr>
        <w:t>1、因产品的质量问题发生争议的，应当邀请国家认可的质量检测机构对服务质量进行鉴定。符合标准的，鉴定费由甲方承担；不符合质量标准的，鉴定费由乙方承担。</w:t>
      </w:r>
    </w:p>
    <w:p w14:paraId="5FCC68DC">
      <w:pPr>
        <w:widowControl/>
        <w:adjustRightInd w:val="0"/>
        <w:spacing w:line="360" w:lineRule="auto"/>
        <w:ind w:firstLine="480" w:firstLineChars="200"/>
        <w:jc w:val="left"/>
        <w:rPr>
          <w:rFonts w:hint="eastAsia" w:ascii="宋体" w:hAnsi="宋体" w:eastAsia="宋体"/>
          <w:color w:val="000000"/>
          <w:sz w:val="24"/>
          <w:szCs w:val="24"/>
        </w:rPr>
      </w:pPr>
      <w:r>
        <w:rPr>
          <w:rFonts w:hint="eastAsia" w:ascii="宋体" w:hAnsi="宋体" w:eastAsia="宋体"/>
          <w:color w:val="000000"/>
          <w:sz w:val="24"/>
          <w:szCs w:val="24"/>
        </w:rPr>
        <w:t>2、因履行本合同引起的或与本合同有关的争议，甲、乙双方应首先通过友好协商解决，如果协商不能解决争议，则采取以下第（1）种方式解决争议：</w:t>
      </w:r>
    </w:p>
    <w:p w14:paraId="3FDFA646">
      <w:pPr>
        <w:widowControl/>
        <w:adjustRightInd w:val="0"/>
        <w:spacing w:line="360" w:lineRule="auto"/>
        <w:ind w:firstLine="480" w:firstLineChars="200"/>
        <w:jc w:val="left"/>
        <w:rPr>
          <w:rFonts w:hint="eastAsia" w:ascii="宋体" w:hAnsi="宋体" w:eastAsia="宋体"/>
          <w:color w:val="000000"/>
          <w:sz w:val="24"/>
          <w:szCs w:val="24"/>
        </w:rPr>
      </w:pPr>
      <w:r>
        <w:rPr>
          <w:rFonts w:hint="eastAsia" w:ascii="宋体" w:hAnsi="宋体" w:eastAsia="宋体"/>
          <w:color w:val="000000"/>
          <w:sz w:val="24"/>
          <w:szCs w:val="24"/>
        </w:rPr>
        <w:t>（1）向甲方所在地有管辖权的人民法院提起诉讼；</w:t>
      </w:r>
    </w:p>
    <w:p w14:paraId="01FAA9EB">
      <w:pPr>
        <w:widowControl/>
        <w:adjustRightInd w:val="0"/>
        <w:spacing w:line="360" w:lineRule="auto"/>
        <w:ind w:firstLine="480" w:firstLineChars="200"/>
        <w:jc w:val="left"/>
        <w:rPr>
          <w:rFonts w:hint="eastAsia" w:ascii="宋体" w:hAnsi="宋体" w:eastAsia="宋体"/>
          <w:color w:val="000000"/>
          <w:sz w:val="24"/>
          <w:szCs w:val="24"/>
        </w:rPr>
      </w:pPr>
      <w:r>
        <w:rPr>
          <w:rFonts w:hint="eastAsia" w:ascii="宋体" w:hAnsi="宋体" w:eastAsia="宋体"/>
          <w:color w:val="000000"/>
          <w:sz w:val="24"/>
          <w:szCs w:val="24"/>
        </w:rPr>
        <w:t>（2）向南京仲裁委员会按其仲裁规则申请仲裁。</w:t>
      </w:r>
    </w:p>
    <w:p w14:paraId="085551B9">
      <w:pPr>
        <w:widowControl/>
        <w:adjustRightInd w:val="0"/>
        <w:spacing w:line="360" w:lineRule="auto"/>
        <w:ind w:firstLine="480" w:firstLineChars="200"/>
        <w:jc w:val="left"/>
        <w:rPr>
          <w:rFonts w:hint="eastAsia" w:ascii="宋体" w:hAnsi="宋体" w:eastAsia="宋体"/>
          <w:color w:val="000000"/>
          <w:sz w:val="24"/>
          <w:szCs w:val="24"/>
        </w:rPr>
      </w:pPr>
      <w:r>
        <w:rPr>
          <w:rFonts w:hint="eastAsia" w:ascii="宋体" w:hAnsi="宋体" w:eastAsia="宋体"/>
          <w:color w:val="000000"/>
          <w:sz w:val="24"/>
          <w:szCs w:val="24"/>
        </w:rPr>
        <w:t>如没有约定，默认采取第2种方式解决争议。</w:t>
      </w:r>
    </w:p>
    <w:p w14:paraId="4C2CE646">
      <w:pPr>
        <w:widowControl/>
        <w:adjustRightInd w:val="0"/>
        <w:spacing w:line="360" w:lineRule="auto"/>
        <w:ind w:firstLine="480" w:firstLineChars="200"/>
        <w:jc w:val="left"/>
        <w:rPr>
          <w:rFonts w:hint="eastAsia" w:ascii="宋体" w:hAnsi="宋体" w:eastAsia="宋体"/>
          <w:color w:val="000000"/>
          <w:sz w:val="24"/>
          <w:szCs w:val="24"/>
        </w:rPr>
      </w:pPr>
      <w:r>
        <w:rPr>
          <w:rFonts w:hint="eastAsia" w:ascii="宋体" w:hAnsi="宋体" w:eastAsia="宋体"/>
          <w:color w:val="000000"/>
          <w:sz w:val="24"/>
          <w:szCs w:val="24"/>
        </w:rPr>
        <w:t>3、在仲裁期间，本合同应继续履行。</w:t>
      </w:r>
    </w:p>
    <w:p w14:paraId="718AE183">
      <w:pPr>
        <w:widowControl/>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rPr>
        <w:t>4、因诉讼产生的相关费用及开支（包括但不限于公证费、诉讼费、保全担保费、鉴定费、律师费、交通费用）均由败诉方承担。</w:t>
      </w:r>
    </w:p>
    <w:p w14:paraId="77FA4431">
      <w:pPr>
        <w:widowControl/>
        <w:adjustRightInd w:val="0"/>
        <w:spacing w:line="360" w:lineRule="auto"/>
        <w:ind w:firstLine="482" w:firstLineChars="200"/>
        <w:jc w:val="left"/>
        <w:rPr>
          <w:rFonts w:hint="eastAsia" w:ascii="宋体" w:hAnsi="宋体" w:eastAsia="宋体"/>
          <w:b/>
          <w:bCs/>
          <w:sz w:val="24"/>
          <w:szCs w:val="24"/>
        </w:rPr>
      </w:pPr>
      <w:r>
        <w:rPr>
          <w:rFonts w:hint="eastAsia" w:ascii="宋体" w:hAnsi="宋体" w:eastAsia="宋体"/>
          <w:b/>
          <w:bCs/>
          <w:sz w:val="24"/>
          <w:szCs w:val="24"/>
        </w:rPr>
        <w:t xml:space="preserve">第十六条 诚实信用 </w:t>
      </w:r>
    </w:p>
    <w:p w14:paraId="5716F154">
      <w:pPr>
        <w:widowControl/>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rPr>
        <w:t>乙方应诚实信用，严格按照招标文件要求和投标承诺履行合同，不向甲方进行商业贿赂或者提供不正当利益。</w:t>
      </w:r>
    </w:p>
    <w:p w14:paraId="26350227">
      <w:pPr>
        <w:widowControl/>
        <w:adjustRightInd w:val="0"/>
        <w:spacing w:line="360" w:lineRule="auto"/>
        <w:ind w:firstLine="482" w:firstLineChars="200"/>
        <w:jc w:val="left"/>
        <w:rPr>
          <w:rFonts w:hint="eastAsia" w:ascii="宋体" w:hAnsi="宋体" w:eastAsia="宋体"/>
          <w:b/>
          <w:bCs/>
          <w:sz w:val="24"/>
          <w:szCs w:val="24"/>
        </w:rPr>
      </w:pPr>
      <w:r>
        <w:rPr>
          <w:rFonts w:hint="eastAsia" w:ascii="宋体" w:hAnsi="宋体" w:eastAsia="宋体"/>
          <w:b/>
          <w:bCs/>
          <w:sz w:val="24"/>
          <w:szCs w:val="24"/>
        </w:rPr>
        <w:t>第十七条 合同生效及其他</w:t>
      </w:r>
    </w:p>
    <w:p w14:paraId="5AA05574">
      <w:pPr>
        <w:widowControl/>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rPr>
        <w:t>1、本合同自签订之日起生效。</w:t>
      </w:r>
    </w:p>
    <w:p w14:paraId="53FB2153">
      <w:pPr>
        <w:widowControl/>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rPr>
        <w:t>2、本合同一式四份，甲乙双方各执二份。</w:t>
      </w:r>
    </w:p>
    <w:p w14:paraId="643A535A">
      <w:pPr>
        <w:widowControl/>
        <w:adjustRightIn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rPr>
        <w:t>3、本合同应按照中华人民共和国的现行法律进行解释。</w:t>
      </w:r>
    </w:p>
    <w:tbl>
      <w:tblPr>
        <w:tblStyle w:val="17"/>
        <w:tblW w:w="9178" w:type="dxa"/>
        <w:tblInd w:w="0" w:type="dxa"/>
        <w:tblLayout w:type="fixed"/>
        <w:tblCellMar>
          <w:top w:w="0" w:type="dxa"/>
          <w:left w:w="0" w:type="dxa"/>
          <w:bottom w:w="0" w:type="dxa"/>
          <w:right w:w="0" w:type="dxa"/>
        </w:tblCellMar>
      </w:tblPr>
      <w:tblGrid>
        <w:gridCol w:w="4535"/>
        <w:gridCol w:w="4643"/>
      </w:tblGrid>
      <w:tr w14:paraId="5E50C004">
        <w:tblPrEx>
          <w:tblCellMar>
            <w:top w:w="0" w:type="dxa"/>
            <w:left w:w="0" w:type="dxa"/>
            <w:bottom w:w="0" w:type="dxa"/>
            <w:right w:w="0" w:type="dxa"/>
          </w:tblCellMar>
        </w:tblPrEx>
        <w:tc>
          <w:tcPr>
            <w:tcW w:w="4535" w:type="dxa"/>
            <w:tcBorders>
              <w:top w:val="nil"/>
              <w:left w:val="nil"/>
              <w:bottom w:val="nil"/>
              <w:right w:val="nil"/>
            </w:tcBorders>
          </w:tcPr>
          <w:p w14:paraId="2C9C9A9C">
            <w:pPr>
              <w:widowControl/>
              <w:adjustRightInd w:val="0"/>
              <w:spacing w:line="360" w:lineRule="auto"/>
              <w:jc w:val="left"/>
              <w:rPr>
                <w:rFonts w:hint="eastAsia" w:ascii="宋体" w:hAnsi="宋体" w:eastAsia="宋体"/>
                <w:sz w:val="24"/>
                <w:szCs w:val="24"/>
              </w:rPr>
            </w:pPr>
            <w:r>
              <w:rPr>
                <w:rFonts w:hint="eastAsia" w:ascii="宋体" w:hAnsi="宋体" w:eastAsia="宋体"/>
                <w:sz w:val="24"/>
                <w:szCs w:val="24"/>
              </w:rPr>
              <w:t>甲方（采购人）：（盖章）</w:t>
            </w:r>
          </w:p>
        </w:tc>
        <w:tc>
          <w:tcPr>
            <w:tcW w:w="4643" w:type="dxa"/>
            <w:tcBorders>
              <w:top w:val="nil"/>
              <w:left w:val="nil"/>
              <w:bottom w:val="nil"/>
              <w:right w:val="nil"/>
            </w:tcBorders>
          </w:tcPr>
          <w:p w14:paraId="0EE41044">
            <w:pPr>
              <w:widowControl/>
              <w:adjustRightInd w:val="0"/>
              <w:spacing w:line="360" w:lineRule="auto"/>
              <w:jc w:val="left"/>
              <w:rPr>
                <w:rFonts w:hint="eastAsia" w:ascii="宋体" w:hAnsi="宋体" w:eastAsia="宋体"/>
                <w:sz w:val="24"/>
                <w:szCs w:val="24"/>
              </w:rPr>
            </w:pPr>
            <w:r>
              <w:rPr>
                <w:rFonts w:hint="eastAsia" w:ascii="宋体" w:hAnsi="宋体" w:eastAsia="宋体"/>
                <w:sz w:val="24"/>
                <w:szCs w:val="24"/>
              </w:rPr>
              <w:t>乙方（供应商）：（盖章）</w:t>
            </w:r>
          </w:p>
        </w:tc>
      </w:tr>
      <w:tr w14:paraId="6D883089">
        <w:tblPrEx>
          <w:tblCellMar>
            <w:top w:w="0" w:type="dxa"/>
            <w:left w:w="0" w:type="dxa"/>
            <w:bottom w:w="0" w:type="dxa"/>
            <w:right w:w="0" w:type="dxa"/>
          </w:tblCellMar>
        </w:tblPrEx>
        <w:tc>
          <w:tcPr>
            <w:tcW w:w="4535" w:type="dxa"/>
            <w:tcBorders>
              <w:top w:val="nil"/>
              <w:left w:val="nil"/>
              <w:bottom w:val="nil"/>
              <w:right w:val="nil"/>
            </w:tcBorders>
          </w:tcPr>
          <w:p w14:paraId="5AE345F3">
            <w:pPr>
              <w:widowControl/>
              <w:adjustRightInd w:val="0"/>
              <w:spacing w:line="360" w:lineRule="auto"/>
              <w:jc w:val="left"/>
              <w:rPr>
                <w:rFonts w:hint="eastAsia" w:ascii="宋体" w:hAnsi="宋体" w:eastAsia="宋体"/>
                <w:sz w:val="24"/>
                <w:szCs w:val="24"/>
              </w:rPr>
            </w:pPr>
            <w:r>
              <w:rPr>
                <w:rFonts w:hint="eastAsia" w:ascii="宋体" w:hAnsi="宋体" w:eastAsia="宋体"/>
                <w:sz w:val="24"/>
                <w:szCs w:val="24"/>
              </w:rPr>
              <w:t>代表人：</w:t>
            </w:r>
          </w:p>
        </w:tc>
        <w:tc>
          <w:tcPr>
            <w:tcW w:w="4643" w:type="dxa"/>
            <w:tcBorders>
              <w:top w:val="nil"/>
              <w:left w:val="nil"/>
              <w:bottom w:val="nil"/>
              <w:right w:val="nil"/>
            </w:tcBorders>
          </w:tcPr>
          <w:p w14:paraId="5BFF55B7">
            <w:pPr>
              <w:widowControl/>
              <w:adjustRightInd w:val="0"/>
              <w:spacing w:line="360" w:lineRule="auto"/>
              <w:jc w:val="left"/>
              <w:rPr>
                <w:rFonts w:hint="eastAsia" w:ascii="宋体" w:hAnsi="宋体" w:eastAsia="宋体"/>
                <w:sz w:val="24"/>
                <w:szCs w:val="24"/>
              </w:rPr>
            </w:pPr>
            <w:r>
              <w:rPr>
                <w:rFonts w:hint="eastAsia" w:ascii="宋体" w:hAnsi="宋体" w:eastAsia="宋体"/>
                <w:sz w:val="24"/>
                <w:szCs w:val="24"/>
              </w:rPr>
              <w:t>代表人：</w:t>
            </w:r>
          </w:p>
        </w:tc>
      </w:tr>
      <w:tr w14:paraId="2ED17904">
        <w:tblPrEx>
          <w:tblCellMar>
            <w:top w:w="0" w:type="dxa"/>
            <w:left w:w="0" w:type="dxa"/>
            <w:bottom w:w="0" w:type="dxa"/>
            <w:right w:w="0" w:type="dxa"/>
          </w:tblCellMar>
        </w:tblPrEx>
        <w:tc>
          <w:tcPr>
            <w:tcW w:w="4535" w:type="dxa"/>
            <w:tcBorders>
              <w:top w:val="nil"/>
              <w:left w:val="nil"/>
              <w:bottom w:val="nil"/>
              <w:right w:val="nil"/>
            </w:tcBorders>
          </w:tcPr>
          <w:p w14:paraId="1CBAD68E">
            <w:pPr>
              <w:widowControl/>
              <w:adjustRightInd w:val="0"/>
              <w:spacing w:line="360" w:lineRule="auto"/>
              <w:jc w:val="left"/>
              <w:rPr>
                <w:rFonts w:hint="eastAsia" w:ascii="宋体" w:hAnsi="宋体" w:eastAsia="宋体"/>
                <w:sz w:val="24"/>
                <w:szCs w:val="24"/>
              </w:rPr>
            </w:pPr>
            <w:r>
              <w:rPr>
                <w:rFonts w:hint="eastAsia" w:ascii="宋体" w:hAnsi="宋体" w:eastAsia="宋体"/>
                <w:sz w:val="24"/>
                <w:szCs w:val="24"/>
              </w:rPr>
              <w:t>电    话：</w:t>
            </w:r>
          </w:p>
        </w:tc>
        <w:tc>
          <w:tcPr>
            <w:tcW w:w="4643" w:type="dxa"/>
            <w:tcBorders>
              <w:top w:val="nil"/>
              <w:left w:val="nil"/>
              <w:bottom w:val="nil"/>
              <w:right w:val="nil"/>
            </w:tcBorders>
          </w:tcPr>
          <w:p w14:paraId="46C5D6E2">
            <w:pPr>
              <w:widowControl/>
              <w:adjustRightInd w:val="0"/>
              <w:spacing w:line="360" w:lineRule="auto"/>
              <w:jc w:val="left"/>
              <w:rPr>
                <w:rFonts w:hint="eastAsia" w:ascii="宋体" w:hAnsi="宋体" w:eastAsia="宋体"/>
                <w:sz w:val="24"/>
                <w:szCs w:val="24"/>
              </w:rPr>
            </w:pPr>
            <w:r>
              <w:rPr>
                <w:rFonts w:hint="eastAsia" w:ascii="宋体" w:hAnsi="宋体" w:eastAsia="宋体"/>
                <w:sz w:val="24"/>
                <w:szCs w:val="24"/>
              </w:rPr>
              <w:t>电    话：</w:t>
            </w:r>
          </w:p>
        </w:tc>
      </w:tr>
      <w:tr w14:paraId="6D44A99E">
        <w:tblPrEx>
          <w:tblCellMar>
            <w:top w:w="0" w:type="dxa"/>
            <w:left w:w="0" w:type="dxa"/>
            <w:bottom w:w="0" w:type="dxa"/>
            <w:right w:w="0" w:type="dxa"/>
          </w:tblCellMar>
        </w:tblPrEx>
        <w:tc>
          <w:tcPr>
            <w:tcW w:w="4535" w:type="dxa"/>
            <w:tcBorders>
              <w:top w:val="nil"/>
              <w:left w:val="nil"/>
              <w:bottom w:val="nil"/>
              <w:right w:val="nil"/>
            </w:tcBorders>
          </w:tcPr>
          <w:p w14:paraId="351C4AEC">
            <w:pPr>
              <w:widowControl/>
              <w:adjustRightInd w:val="0"/>
              <w:spacing w:line="360" w:lineRule="auto"/>
              <w:jc w:val="left"/>
              <w:rPr>
                <w:rFonts w:hint="eastAsia" w:ascii="宋体" w:hAnsi="宋体" w:eastAsia="宋体"/>
                <w:sz w:val="24"/>
                <w:szCs w:val="24"/>
              </w:rPr>
            </w:pPr>
            <w:r>
              <w:rPr>
                <w:rFonts w:hint="eastAsia" w:ascii="宋体" w:hAnsi="宋体" w:eastAsia="宋体"/>
                <w:sz w:val="24"/>
                <w:szCs w:val="24"/>
              </w:rPr>
              <w:t>开户银行：</w:t>
            </w:r>
          </w:p>
        </w:tc>
        <w:tc>
          <w:tcPr>
            <w:tcW w:w="4643" w:type="dxa"/>
            <w:tcBorders>
              <w:top w:val="nil"/>
              <w:left w:val="nil"/>
              <w:bottom w:val="nil"/>
              <w:right w:val="nil"/>
            </w:tcBorders>
          </w:tcPr>
          <w:p w14:paraId="1973099E">
            <w:pPr>
              <w:widowControl/>
              <w:adjustRightInd w:val="0"/>
              <w:spacing w:line="360" w:lineRule="auto"/>
              <w:jc w:val="left"/>
              <w:rPr>
                <w:rFonts w:hint="eastAsia" w:ascii="宋体" w:hAnsi="宋体" w:eastAsia="宋体"/>
                <w:sz w:val="24"/>
                <w:szCs w:val="24"/>
              </w:rPr>
            </w:pPr>
            <w:r>
              <w:rPr>
                <w:rFonts w:hint="eastAsia" w:ascii="宋体" w:hAnsi="宋体" w:eastAsia="宋体"/>
                <w:sz w:val="24"/>
                <w:szCs w:val="24"/>
              </w:rPr>
              <w:t>开户银行：</w:t>
            </w:r>
          </w:p>
        </w:tc>
      </w:tr>
      <w:tr w14:paraId="76A3232F">
        <w:tblPrEx>
          <w:tblCellMar>
            <w:top w:w="0" w:type="dxa"/>
            <w:left w:w="0" w:type="dxa"/>
            <w:bottom w:w="0" w:type="dxa"/>
            <w:right w:w="0" w:type="dxa"/>
          </w:tblCellMar>
        </w:tblPrEx>
        <w:tc>
          <w:tcPr>
            <w:tcW w:w="4535" w:type="dxa"/>
            <w:tcBorders>
              <w:top w:val="nil"/>
              <w:left w:val="nil"/>
              <w:bottom w:val="nil"/>
              <w:right w:val="nil"/>
            </w:tcBorders>
          </w:tcPr>
          <w:p w14:paraId="7E2C0D94">
            <w:pPr>
              <w:widowControl/>
              <w:adjustRightInd w:val="0"/>
              <w:spacing w:line="360" w:lineRule="auto"/>
              <w:jc w:val="left"/>
              <w:rPr>
                <w:rFonts w:hint="eastAsia" w:ascii="宋体" w:hAnsi="宋体" w:eastAsia="宋体"/>
                <w:sz w:val="24"/>
                <w:szCs w:val="24"/>
              </w:rPr>
            </w:pPr>
            <w:r>
              <w:rPr>
                <w:rFonts w:hint="eastAsia" w:ascii="宋体" w:hAnsi="宋体" w:eastAsia="宋体"/>
                <w:sz w:val="24"/>
                <w:szCs w:val="24"/>
              </w:rPr>
              <w:t>账    号：</w:t>
            </w:r>
          </w:p>
        </w:tc>
        <w:tc>
          <w:tcPr>
            <w:tcW w:w="4643" w:type="dxa"/>
            <w:tcBorders>
              <w:top w:val="nil"/>
              <w:left w:val="nil"/>
              <w:bottom w:val="nil"/>
              <w:right w:val="nil"/>
            </w:tcBorders>
          </w:tcPr>
          <w:p w14:paraId="7B11D847">
            <w:pPr>
              <w:widowControl/>
              <w:adjustRightInd w:val="0"/>
              <w:spacing w:line="360" w:lineRule="auto"/>
              <w:jc w:val="left"/>
              <w:rPr>
                <w:rFonts w:hint="eastAsia" w:ascii="宋体" w:hAnsi="宋体" w:eastAsia="宋体"/>
                <w:sz w:val="24"/>
                <w:szCs w:val="24"/>
              </w:rPr>
            </w:pPr>
            <w:r>
              <w:rPr>
                <w:rFonts w:hint="eastAsia" w:ascii="宋体" w:hAnsi="宋体" w:eastAsia="宋体"/>
                <w:sz w:val="24"/>
                <w:szCs w:val="24"/>
              </w:rPr>
              <w:t>账    号：</w:t>
            </w:r>
          </w:p>
        </w:tc>
      </w:tr>
    </w:tbl>
    <w:p w14:paraId="6B89CAF7">
      <w:pPr>
        <w:rPr>
          <w:rFonts w:hint="eastAsia"/>
          <w:lang w:val="en-US"/>
        </w:rPr>
      </w:pPr>
    </w:p>
    <w:sectPr>
      <w:pgSz w:w="11906" w:h="16838"/>
      <w:pgMar w:top="1440" w:right="1080" w:bottom="1440" w:left="1080" w:header="1021" w:footer="680" w:gutter="0"/>
      <w:cols w:space="425" w:num="1"/>
      <w:docGrid w:linePitch="29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DengXian">
    <w:altName w:val="Segoe Print"/>
    <w:panose1 w:val="00000000000000000000"/>
    <w:charset w:val="00"/>
    <w:family w:val="auto"/>
    <w:pitch w:val="default"/>
    <w:sig w:usb0="00000000" w:usb1="00000000" w:usb2="00000000" w:usb3="00000000" w:csb0="00000000"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楷体_GB2312">
    <w:altName w:val="楷体"/>
    <w:panose1 w:val="00000000000000000000"/>
    <w:charset w:val="00"/>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0"/>
  <w:drawingGridVerticalSpacing w:val="14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301"/>
    <w:rsid w:val="000A6127"/>
    <w:rsid w:val="000F1301"/>
    <w:rsid w:val="00263623"/>
    <w:rsid w:val="00433CBC"/>
    <w:rsid w:val="00510712"/>
    <w:rsid w:val="00845D17"/>
    <w:rsid w:val="009D1FAF"/>
    <w:rsid w:val="00F83270"/>
    <w:rsid w:val="550E2A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Calibri" w:cs="Times New Roman"/>
      <w:kern w:val="0"/>
      <w:sz w:val="20"/>
      <w:szCs w:val="20"/>
      <w:lang w:val="zh-CN" w:eastAsia="zh-CN" w:bidi="ar-SA"/>
      <w14:ligatures w14:val="none"/>
    </w:rPr>
  </w:style>
  <w:style w:type="paragraph" w:styleId="2">
    <w:name w:val="heading 1"/>
    <w:basedOn w:val="1"/>
    <w:next w:val="1"/>
    <w:link w:val="20"/>
    <w:qFormat/>
    <w:uiPriority w:val="9"/>
    <w:pPr>
      <w:keepNext/>
      <w:keepLines/>
      <w:widowControl/>
      <w:spacing w:before="340" w:after="330" w:line="578" w:lineRule="auto"/>
      <w:jc w:val="left"/>
      <w:outlineLvl w:val="0"/>
    </w:pPr>
    <w:rPr>
      <w:rFonts w:asciiTheme="minorHAnsi" w:hAnsiTheme="minorHAnsi" w:eastAsiaTheme="minorEastAsia" w:cstheme="majorBidi"/>
      <w:b/>
      <w:bCs/>
      <w:kern w:val="44"/>
      <w:sz w:val="44"/>
      <w:szCs w:val="44"/>
      <w:lang w:val="en-US"/>
      <w14:ligatures w14:val="standardContextual"/>
    </w:rPr>
  </w:style>
  <w:style w:type="paragraph" w:styleId="3">
    <w:name w:val="heading 2"/>
    <w:basedOn w:val="1"/>
    <w:next w:val="1"/>
    <w:link w:val="21"/>
    <w:semiHidden/>
    <w:unhideWhenUsed/>
    <w:qFormat/>
    <w:uiPriority w:val="9"/>
    <w:pPr>
      <w:keepNext/>
      <w:keepLines/>
      <w:widowControl/>
      <w:spacing w:before="260" w:after="260" w:line="416" w:lineRule="auto"/>
      <w:jc w:val="left"/>
      <w:outlineLvl w:val="1"/>
    </w:pPr>
    <w:rPr>
      <w:rFonts w:asciiTheme="majorHAnsi" w:hAnsiTheme="majorHAnsi" w:eastAsiaTheme="majorEastAsia" w:cstheme="majorBidi"/>
      <w:b/>
      <w:bCs/>
      <w:kern w:val="2"/>
      <w:sz w:val="32"/>
      <w:szCs w:val="32"/>
      <w:lang w:val="en-US"/>
      <w14:ligatures w14:val="standardContextual"/>
    </w:rPr>
  </w:style>
  <w:style w:type="paragraph" w:styleId="4">
    <w:name w:val="heading 3"/>
    <w:basedOn w:val="1"/>
    <w:next w:val="1"/>
    <w:link w:val="22"/>
    <w:semiHidden/>
    <w:unhideWhenUsed/>
    <w:qFormat/>
    <w:uiPriority w:val="9"/>
    <w:pPr>
      <w:keepNext/>
      <w:keepLines/>
      <w:widowControl/>
      <w:spacing w:before="260" w:after="260" w:line="416" w:lineRule="auto"/>
      <w:jc w:val="left"/>
      <w:outlineLvl w:val="2"/>
    </w:pPr>
    <w:rPr>
      <w:rFonts w:asciiTheme="minorHAnsi" w:hAnsiTheme="minorHAnsi" w:eastAsiaTheme="minorEastAsia" w:cstheme="majorBidi"/>
      <w:b/>
      <w:bCs/>
      <w:kern w:val="2"/>
      <w:sz w:val="32"/>
      <w:szCs w:val="32"/>
      <w:lang w:val="en-US"/>
      <w14:ligatures w14:val="standardContextual"/>
    </w:rPr>
  </w:style>
  <w:style w:type="paragraph" w:styleId="5">
    <w:name w:val="heading 4"/>
    <w:basedOn w:val="1"/>
    <w:next w:val="1"/>
    <w:link w:val="23"/>
    <w:semiHidden/>
    <w:unhideWhenUsed/>
    <w:qFormat/>
    <w:uiPriority w:val="9"/>
    <w:pPr>
      <w:keepNext/>
      <w:keepLines/>
      <w:widowControl/>
      <w:spacing w:before="280" w:after="290" w:line="376" w:lineRule="auto"/>
      <w:jc w:val="left"/>
      <w:outlineLvl w:val="3"/>
    </w:pPr>
    <w:rPr>
      <w:rFonts w:asciiTheme="majorHAnsi" w:hAnsiTheme="majorHAnsi" w:eastAsiaTheme="majorEastAsia" w:cstheme="majorBidi"/>
      <w:b/>
      <w:bCs/>
      <w:kern w:val="2"/>
      <w:sz w:val="28"/>
      <w:szCs w:val="28"/>
      <w:lang w:val="en-US"/>
      <w14:ligatures w14:val="standardContextual"/>
    </w:rPr>
  </w:style>
  <w:style w:type="paragraph" w:styleId="6">
    <w:name w:val="heading 5"/>
    <w:basedOn w:val="1"/>
    <w:next w:val="1"/>
    <w:link w:val="24"/>
    <w:semiHidden/>
    <w:unhideWhenUsed/>
    <w:qFormat/>
    <w:uiPriority w:val="9"/>
    <w:pPr>
      <w:keepNext/>
      <w:keepLines/>
      <w:widowControl/>
      <w:spacing w:before="280" w:after="290" w:line="376" w:lineRule="auto"/>
      <w:jc w:val="left"/>
      <w:outlineLvl w:val="4"/>
    </w:pPr>
    <w:rPr>
      <w:rFonts w:asciiTheme="minorHAnsi" w:hAnsiTheme="minorHAnsi" w:eastAsiaTheme="minorEastAsia" w:cstheme="majorBidi"/>
      <w:b/>
      <w:bCs/>
      <w:kern w:val="2"/>
      <w:sz w:val="28"/>
      <w:szCs w:val="28"/>
      <w:lang w:val="en-US"/>
      <w14:ligatures w14:val="standardContextual"/>
    </w:rPr>
  </w:style>
  <w:style w:type="paragraph" w:styleId="7">
    <w:name w:val="heading 6"/>
    <w:basedOn w:val="1"/>
    <w:next w:val="1"/>
    <w:link w:val="25"/>
    <w:semiHidden/>
    <w:unhideWhenUsed/>
    <w:qFormat/>
    <w:uiPriority w:val="9"/>
    <w:pPr>
      <w:keepNext/>
      <w:keepLines/>
      <w:widowControl/>
      <w:spacing w:before="240" w:after="64" w:line="320" w:lineRule="auto"/>
      <w:jc w:val="left"/>
      <w:outlineLvl w:val="5"/>
    </w:pPr>
    <w:rPr>
      <w:rFonts w:asciiTheme="majorHAnsi" w:hAnsiTheme="majorHAnsi" w:eastAsiaTheme="majorEastAsia" w:cstheme="majorBidi"/>
      <w:b/>
      <w:bCs/>
      <w:kern w:val="2"/>
      <w:sz w:val="24"/>
      <w:szCs w:val="24"/>
      <w:lang w:val="en-US"/>
      <w14:ligatures w14:val="standardContextual"/>
    </w:rPr>
  </w:style>
  <w:style w:type="paragraph" w:styleId="8">
    <w:name w:val="heading 7"/>
    <w:basedOn w:val="1"/>
    <w:next w:val="1"/>
    <w:link w:val="26"/>
    <w:semiHidden/>
    <w:unhideWhenUsed/>
    <w:qFormat/>
    <w:uiPriority w:val="9"/>
    <w:pPr>
      <w:keepNext/>
      <w:keepLines/>
      <w:widowControl/>
      <w:spacing w:before="240" w:after="64" w:line="320" w:lineRule="auto"/>
      <w:jc w:val="left"/>
      <w:outlineLvl w:val="6"/>
    </w:pPr>
    <w:rPr>
      <w:rFonts w:asciiTheme="minorHAnsi" w:hAnsiTheme="minorHAnsi" w:eastAsiaTheme="minorEastAsia" w:cstheme="majorBidi"/>
      <w:b/>
      <w:bCs/>
      <w:kern w:val="2"/>
      <w:sz w:val="24"/>
      <w:szCs w:val="24"/>
      <w:lang w:val="en-US"/>
      <w14:ligatures w14:val="standardContextual"/>
    </w:rPr>
  </w:style>
  <w:style w:type="paragraph" w:styleId="9">
    <w:name w:val="heading 8"/>
    <w:basedOn w:val="1"/>
    <w:next w:val="1"/>
    <w:link w:val="27"/>
    <w:semiHidden/>
    <w:unhideWhenUsed/>
    <w:qFormat/>
    <w:uiPriority w:val="9"/>
    <w:pPr>
      <w:keepNext/>
      <w:keepLines/>
      <w:widowControl/>
      <w:spacing w:before="240" w:after="64" w:line="320" w:lineRule="auto"/>
      <w:jc w:val="left"/>
      <w:outlineLvl w:val="7"/>
    </w:pPr>
    <w:rPr>
      <w:rFonts w:asciiTheme="majorHAnsi" w:hAnsiTheme="majorHAnsi" w:eastAsiaTheme="majorEastAsia" w:cstheme="majorBidi"/>
      <w:kern w:val="2"/>
      <w:sz w:val="24"/>
      <w:szCs w:val="24"/>
      <w:lang w:val="en-US"/>
      <w14:ligatures w14:val="standardContextual"/>
    </w:rPr>
  </w:style>
  <w:style w:type="paragraph" w:styleId="10">
    <w:name w:val="heading 9"/>
    <w:basedOn w:val="1"/>
    <w:next w:val="1"/>
    <w:link w:val="28"/>
    <w:semiHidden/>
    <w:unhideWhenUsed/>
    <w:qFormat/>
    <w:uiPriority w:val="9"/>
    <w:pPr>
      <w:keepNext/>
      <w:keepLines/>
      <w:widowControl/>
      <w:spacing w:before="240" w:after="64" w:line="320" w:lineRule="auto"/>
      <w:jc w:val="left"/>
      <w:outlineLvl w:val="8"/>
    </w:pPr>
    <w:rPr>
      <w:rFonts w:asciiTheme="majorHAnsi" w:hAnsiTheme="majorHAnsi" w:eastAsiaTheme="majorEastAsia" w:cstheme="majorBidi"/>
      <w:kern w:val="2"/>
      <w:sz w:val="21"/>
      <w:szCs w:val="21"/>
      <w:lang w:val="en-US"/>
      <w14:ligatures w14:val="standardContextual"/>
    </w:rPr>
  </w:style>
  <w:style w:type="character" w:default="1" w:styleId="19">
    <w:name w:val="Default Paragraph Font"/>
    <w:unhideWhenUsed/>
    <w:qFormat/>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11">
    <w:name w:val="Normal Indent"/>
    <w:basedOn w:val="1"/>
    <w:next w:val="1"/>
    <w:qFormat/>
    <w:uiPriority w:val="0"/>
    <w:pPr>
      <w:ind w:firstLine="420"/>
    </w:pPr>
  </w:style>
  <w:style w:type="paragraph" w:styleId="12">
    <w:name w:val="Body Text"/>
    <w:basedOn w:val="1"/>
    <w:next w:val="1"/>
    <w:link w:val="41"/>
    <w:qFormat/>
    <w:uiPriority w:val="99"/>
    <w:rPr>
      <w:rFonts w:ascii="楷体_GB2312" w:hAnsi="Arial" w:eastAsia="楷体_GB2312"/>
      <w:sz w:val="28"/>
    </w:rPr>
  </w:style>
  <w:style w:type="paragraph" w:styleId="13">
    <w:name w:val="footer"/>
    <w:basedOn w:val="1"/>
    <w:link w:val="39"/>
    <w:unhideWhenUsed/>
    <w:qFormat/>
    <w:uiPriority w:val="99"/>
    <w:pPr>
      <w:widowControl/>
      <w:tabs>
        <w:tab w:val="center" w:pos="4153"/>
        <w:tab w:val="right" w:pos="8306"/>
      </w:tabs>
      <w:snapToGrid w:val="0"/>
      <w:jc w:val="left"/>
    </w:pPr>
    <w:rPr>
      <w:rFonts w:asciiTheme="minorHAnsi" w:hAnsiTheme="minorHAnsi" w:eastAsiaTheme="minorEastAsia" w:cstheme="minorBidi"/>
      <w:kern w:val="2"/>
      <w:sz w:val="18"/>
      <w:szCs w:val="18"/>
      <w:lang w:val="en-US"/>
      <w14:ligatures w14:val="standardContextual"/>
    </w:rPr>
  </w:style>
  <w:style w:type="paragraph" w:styleId="14">
    <w:name w:val="header"/>
    <w:basedOn w:val="1"/>
    <w:link w:val="38"/>
    <w:unhideWhenUsed/>
    <w:qFormat/>
    <w:uiPriority w:val="99"/>
    <w:pPr>
      <w:widowControl/>
      <w:tabs>
        <w:tab w:val="center" w:pos="4153"/>
        <w:tab w:val="right" w:pos="8306"/>
      </w:tabs>
      <w:snapToGrid w:val="0"/>
      <w:jc w:val="center"/>
    </w:pPr>
    <w:rPr>
      <w:rFonts w:asciiTheme="minorHAnsi" w:hAnsiTheme="minorHAnsi" w:eastAsiaTheme="minorEastAsia" w:cstheme="minorBidi"/>
      <w:kern w:val="2"/>
      <w:sz w:val="18"/>
      <w:szCs w:val="18"/>
      <w:lang w:val="en-US"/>
      <w14:ligatures w14:val="standardContextual"/>
    </w:rPr>
  </w:style>
  <w:style w:type="paragraph" w:styleId="15">
    <w:name w:val="Subtitle"/>
    <w:basedOn w:val="1"/>
    <w:next w:val="1"/>
    <w:link w:val="30"/>
    <w:qFormat/>
    <w:uiPriority w:val="11"/>
    <w:pPr>
      <w:widowControl/>
      <w:spacing w:before="240" w:after="60" w:line="312" w:lineRule="auto"/>
      <w:jc w:val="center"/>
      <w:outlineLvl w:val="1"/>
    </w:pPr>
    <w:rPr>
      <w:rFonts w:asciiTheme="minorHAnsi" w:hAnsiTheme="minorHAnsi" w:eastAsiaTheme="minorEastAsia" w:cstheme="minorBidi"/>
      <w:b/>
      <w:bCs/>
      <w:kern w:val="28"/>
      <w:sz w:val="32"/>
      <w:szCs w:val="32"/>
      <w:lang w:val="en-US"/>
      <w14:ligatures w14:val="standardContextual"/>
    </w:rPr>
  </w:style>
  <w:style w:type="paragraph" w:styleId="16">
    <w:name w:val="Title"/>
    <w:basedOn w:val="1"/>
    <w:next w:val="1"/>
    <w:link w:val="29"/>
    <w:qFormat/>
    <w:uiPriority w:val="10"/>
    <w:pPr>
      <w:widowControl/>
      <w:spacing w:before="240" w:after="60"/>
      <w:jc w:val="center"/>
      <w:outlineLvl w:val="0"/>
    </w:pPr>
    <w:rPr>
      <w:rFonts w:asciiTheme="majorHAnsi" w:hAnsiTheme="majorHAnsi" w:eastAsiaTheme="majorEastAsia" w:cstheme="majorBidi"/>
      <w:b/>
      <w:bCs/>
      <w:kern w:val="2"/>
      <w:sz w:val="32"/>
      <w:szCs w:val="32"/>
      <w:lang w:val="en-US"/>
      <w14:ligatures w14:val="standardContextual"/>
    </w:rPr>
  </w:style>
  <w:style w:type="table" w:styleId="18">
    <w:name w:val="Table Grid"/>
    <w:basedOn w:val="17"/>
    <w:autoRedefine/>
    <w:qFormat/>
    <w:uiPriority w:val="0"/>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0">
    <w:name w:val="标题 1 字符"/>
    <w:basedOn w:val="19"/>
    <w:link w:val="2"/>
    <w:uiPriority w:val="9"/>
    <w:rPr>
      <w:rFonts w:ascii="Times New Roman" w:hAnsi="Times New Roman" w:eastAsia="宋体" w:cstheme="majorBidi"/>
      <w:b/>
      <w:bCs/>
      <w:kern w:val="44"/>
      <w:sz w:val="44"/>
      <w:szCs w:val="44"/>
      <w14:ligatures w14:val="none"/>
    </w:rPr>
  </w:style>
  <w:style w:type="character" w:customStyle="1" w:styleId="21">
    <w:name w:val="标题 2 字符"/>
    <w:basedOn w:val="19"/>
    <w:link w:val="3"/>
    <w:semiHidden/>
    <w:qFormat/>
    <w:uiPriority w:val="9"/>
    <w:rPr>
      <w:rFonts w:asciiTheme="majorHAnsi" w:hAnsiTheme="majorHAnsi" w:eastAsiaTheme="majorEastAsia" w:cstheme="majorBidi"/>
      <w:b/>
      <w:bCs/>
      <w:sz w:val="32"/>
      <w:szCs w:val="32"/>
      <w14:ligatures w14:val="none"/>
    </w:rPr>
  </w:style>
  <w:style w:type="character" w:customStyle="1" w:styleId="22">
    <w:name w:val="标题 3 字符"/>
    <w:basedOn w:val="19"/>
    <w:link w:val="4"/>
    <w:semiHidden/>
    <w:uiPriority w:val="9"/>
    <w:rPr>
      <w:rFonts w:ascii="Times New Roman" w:hAnsi="Times New Roman" w:eastAsia="宋体" w:cstheme="majorBidi"/>
      <w:b/>
      <w:bCs/>
      <w:sz w:val="32"/>
      <w:szCs w:val="32"/>
      <w14:ligatures w14:val="none"/>
    </w:rPr>
  </w:style>
  <w:style w:type="character" w:customStyle="1" w:styleId="23">
    <w:name w:val="标题 4 字符"/>
    <w:basedOn w:val="19"/>
    <w:link w:val="5"/>
    <w:semiHidden/>
    <w:qFormat/>
    <w:uiPriority w:val="9"/>
    <w:rPr>
      <w:rFonts w:asciiTheme="majorHAnsi" w:hAnsiTheme="majorHAnsi" w:eastAsiaTheme="majorEastAsia" w:cstheme="majorBidi"/>
      <w:b/>
      <w:bCs/>
      <w:sz w:val="28"/>
      <w:szCs w:val="28"/>
      <w14:ligatures w14:val="none"/>
    </w:rPr>
  </w:style>
  <w:style w:type="character" w:customStyle="1" w:styleId="24">
    <w:name w:val="标题 5 字符"/>
    <w:basedOn w:val="19"/>
    <w:link w:val="6"/>
    <w:semiHidden/>
    <w:uiPriority w:val="9"/>
    <w:rPr>
      <w:rFonts w:ascii="Times New Roman" w:hAnsi="Times New Roman" w:eastAsia="宋体" w:cstheme="majorBidi"/>
      <w:b/>
      <w:bCs/>
      <w:sz w:val="28"/>
      <w:szCs w:val="28"/>
      <w14:ligatures w14:val="none"/>
    </w:rPr>
  </w:style>
  <w:style w:type="character" w:customStyle="1" w:styleId="25">
    <w:name w:val="标题 6 字符"/>
    <w:basedOn w:val="19"/>
    <w:link w:val="7"/>
    <w:semiHidden/>
    <w:qFormat/>
    <w:uiPriority w:val="9"/>
    <w:rPr>
      <w:rFonts w:asciiTheme="majorHAnsi" w:hAnsiTheme="majorHAnsi" w:eastAsiaTheme="majorEastAsia" w:cstheme="majorBidi"/>
      <w:b/>
      <w:bCs/>
      <w:sz w:val="24"/>
      <w:szCs w:val="24"/>
      <w14:ligatures w14:val="none"/>
    </w:rPr>
  </w:style>
  <w:style w:type="character" w:customStyle="1" w:styleId="26">
    <w:name w:val="标题 7 字符"/>
    <w:basedOn w:val="19"/>
    <w:link w:val="8"/>
    <w:semiHidden/>
    <w:uiPriority w:val="9"/>
    <w:rPr>
      <w:rFonts w:ascii="Times New Roman" w:hAnsi="Times New Roman" w:eastAsia="宋体" w:cstheme="majorBidi"/>
      <w:b/>
      <w:bCs/>
      <w:sz w:val="24"/>
      <w:szCs w:val="24"/>
      <w14:ligatures w14:val="none"/>
    </w:rPr>
  </w:style>
  <w:style w:type="character" w:customStyle="1" w:styleId="27">
    <w:name w:val="标题 8 字符"/>
    <w:basedOn w:val="19"/>
    <w:link w:val="9"/>
    <w:semiHidden/>
    <w:qFormat/>
    <w:uiPriority w:val="9"/>
    <w:rPr>
      <w:rFonts w:asciiTheme="majorHAnsi" w:hAnsiTheme="majorHAnsi" w:eastAsiaTheme="majorEastAsia" w:cstheme="majorBidi"/>
      <w:sz w:val="24"/>
      <w:szCs w:val="24"/>
      <w14:ligatures w14:val="none"/>
    </w:rPr>
  </w:style>
  <w:style w:type="character" w:customStyle="1" w:styleId="28">
    <w:name w:val="标题 9 字符"/>
    <w:basedOn w:val="19"/>
    <w:link w:val="10"/>
    <w:semiHidden/>
    <w:uiPriority w:val="9"/>
    <w:rPr>
      <w:rFonts w:asciiTheme="majorHAnsi" w:hAnsiTheme="majorHAnsi" w:eastAsiaTheme="majorEastAsia" w:cstheme="majorBidi"/>
      <w:sz w:val="21"/>
      <w:szCs w:val="21"/>
      <w14:ligatures w14:val="none"/>
    </w:rPr>
  </w:style>
  <w:style w:type="character" w:customStyle="1" w:styleId="29">
    <w:name w:val="标题 字符"/>
    <w:basedOn w:val="19"/>
    <w:link w:val="16"/>
    <w:uiPriority w:val="10"/>
    <w:rPr>
      <w:rFonts w:asciiTheme="majorHAnsi" w:hAnsiTheme="majorHAnsi" w:eastAsiaTheme="majorEastAsia" w:cstheme="majorBidi"/>
      <w:b/>
      <w:bCs/>
      <w:sz w:val="32"/>
      <w:szCs w:val="32"/>
      <w14:ligatures w14:val="none"/>
    </w:rPr>
  </w:style>
  <w:style w:type="character" w:customStyle="1" w:styleId="30">
    <w:name w:val="副标题 字符"/>
    <w:basedOn w:val="19"/>
    <w:link w:val="15"/>
    <w:uiPriority w:val="11"/>
    <w:rPr>
      <w:b/>
      <w:bCs/>
      <w:kern w:val="28"/>
      <w:sz w:val="32"/>
      <w:szCs w:val="32"/>
      <w14:ligatures w14:val="none"/>
    </w:rPr>
  </w:style>
  <w:style w:type="paragraph" w:styleId="31">
    <w:name w:val="List Paragraph"/>
    <w:basedOn w:val="1"/>
    <w:qFormat/>
    <w:uiPriority w:val="34"/>
    <w:pPr>
      <w:widowControl/>
      <w:ind w:firstLine="420" w:firstLineChars="200"/>
      <w:jc w:val="left"/>
    </w:pPr>
    <w:rPr>
      <w:rFonts w:asciiTheme="minorHAnsi" w:hAnsiTheme="minorHAnsi" w:eastAsiaTheme="minorEastAsia" w:cstheme="minorBidi"/>
      <w:kern w:val="2"/>
      <w:sz w:val="21"/>
      <w:szCs w:val="21"/>
      <w:lang w:val="en-US"/>
      <w14:ligatures w14:val="standardContextual"/>
    </w:rPr>
  </w:style>
  <w:style w:type="paragraph" w:styleId="32">
    <w:name w:val="Quote"/>
    <w:basedOn w:val="1"/>
    <w:next w:val="1"/>
    <w:link w:val="33"/>
    <w:qFormat/>
    <w:uiPriority w:val="29"/>
    <w:pPr>
      <w:widowControl/>
      <w:spacing w:before="200" w:after="160"/>
      <w:ind w:left="864" w:right="864"/>
      <w:jc w:val="center"/>
    </w:pPr>
    <w:rPr>
      <w:rFonts w:asciiTheme="minorHAnsi" w:hAnsiTheme="minorHAnsi" w:eastAsiaTheme="minorEastAsia" w:cstheme="minorBidi"/>
      <w:i/>
      <w:iCs/>
      <w:color w:val="404040" w:themeColor="text1" w:themeTint="BF"/>
      <w:kern w:val="2"/>
      <w:sz w:val="21"/>
      <w:szCs w:val="21"/>
      <w:lang w:val="en-US"/>
      <w14:textFill>
        <w14:solidFill>
          <w14:schemeClr w14:val="tx1">
            <w14:lumMod w14:val="75000"/>
            <w14:lumOff w14:val="25000"/>
          </w14:schemeClr>
        </w14:solidFill>
      </w14:textFill>
      <w14:ligatures w14:val="standardContextual"/>
    </w:rPr>
  </w:style>
  <w:style w:type="character" w:customStyle="1" w:styleId="33">
    <w:name w:val="引用 字符"/>
    <w:basedOn w:val="19"/>
    <w:link w:val="32"/>
    <w:uiPriority w:val="29"/>
    <w:rPr>
      <w:rFonts w:ascii="Times New Roman" w:hAnsi="Times New Roman" w:eastAsia="宋体"/>
      <w:i/>
      <w:iCs/>
      <w:color w:val="404040" w:themeColor="text1" w:themeTint="BF"/>
      <w:sz w:val="21"/>
      <w:szCs w:val="21"/>
      <w14:textFill>
        <w14:solidFill>
          <w14:schemeClr w14:val="tx1">
            <w14:lumMod w14:val="75000"/>
            <w14:lumOff w14:val="25000"/>
          </w14:schemeClr>
        </w14:solidFill>
      </w14:textFill>
      <w14:ligatures w14:val="none"/>
    </w:rPr>
  </w:style>
  <w:style w:type="paragraph" w:styleId="34">
    <w:name w:val="Intense Quote"/>
    <w:basedOn w:val="1"/>
    <w:next w:val="1"/>
    <w:link w:val="35"/>
    <w:qFormat/>
    <w:uiPriority w:val="30"/>
    <w:pPr>
      <w:widowControl/>
      <w:pBdr>
        <w:top w:val="single" w:color="4472C4" w:themeColor="accent1" w:sz="4" w:space="10"/>
        <w:bottom w:val="single" w:color="4472C4" w:themeColor="accent1" w:sz="4" w:space="10"/>
      </w:pBdr>
      <w:spacing w:before="360" w:after="360"/>
      <w:ind w:left="864" w:right="864"/>
      <w:jc w:val="center"/>
    </w:pPr>
    <w:rPr>
      <w:rFonts w:asciiTheme="minorHAnsi" w:hAnsiTheme="minorHAnsi" w:eastAsiaTheme="minorEastAsia" w:cstheme="minorBidi"/>
      <w:i/>
      <w:iCs/>
      <w:color w:val="4472C4" w:themeColor="accent1"/>
      <w:kern w:val="2"/>
      <w:sz w:val="21"/>
      <w:szCs w:val="21"/>
      <w:lang w:val="en-US"/>
      <w14:textFill>
        <w14:solidFill>
          <w14:schemeClr w14:val="accent1"/>
        </w14:solidFill>
      </w14:textFill>
      <w14:ligatures w14:val="standardContextual"/>
    </w:rPr>
  </w:style>
  <w:style w:type="character" w:customStyle="1" w:styleId="35">
    <w:name w:val="明显引用 字符"/>
    <w:basedOn w:val="19"/>
    <w:link w:val="34"/>
    <w:uiPriority w:val="30"/>
    <w:rPr>
      <w:rFonts w:ascii="Times New Roman" w:hAnsi="Times New Roman" w:eastAsia="宋体"/>
      <w:i/>
      <w:iCs/>
      <w:color w:val="4472C4" w:themeColor="accent1"/>
      <w:sz w:val="21"/>
      <w:szCs w:val="21"/>
      <w14:textFill>
        <w14:solidFill>
          <w14:schemeClr w14:val="accent1"/>
        </w14:solidFill>
      </w14:textFill>
      <w14:ligatures w14:val="none"/>
    </w:rPr>
  </w:style>
  <w:style w:type="character" w:customStyle="1" w:styleId="36">
    <w:name w:val="Intense Emphasis"/>
    <w:basedOn w:val="19"/>
    <w:qFormat/>
    <w:uiPriority w:val="21"/>
    <w:rPr>
      <w:i/>
      <w:iCs/>
      <w:color w:val="4472C4" w:themeColor="accent1"/>
      <w14:textFill>
        <w14:solidFill>
          <w14:schemeClr w14:val="accent1"/>
        </w14:solidFill>
      </w14:textFill>
    </w:rPr>
  </w:style>
  <w:style w:type="character" w:customStyle="1" w:styleId="37">
    <w:name w:val="Intense Reference"/>
    <w:basedOn w:val="19"/>
    <w:qFormat/>
    <w:uiPriority w:val="32"/>
    <w:rPr>
      <w:b/>
      <w:bCs/>
      <w:smallCaps/>
      <w:color w:val="4472C4" w:themeColor="accent1"/>
      <w:spacing w:val="5"/>
      <w14:textFill>
        <w14:solidFill>
          <w14:schemeClr w14:val="accent1"/>
        </w14:solidFill>
      </w14:textFill>
    </w:rPr>
  </w:style>
  <w:style w:type="character" w:customStyle="1" w:styleId="38">
    <w:name w:val="页眉 字符"/>
    <w:basedOn w:val="19"/>
    <w:link w:val="14"/>
    <w:qFormat/>
    <w:uiPriority w:val="99"/>
    <w:rPr>
      <w:rFonts w:ascii="Times New Roman" w:hAnsi="Times New Roman" w:eastAsia="宋体" w:cs="Times New Roman"/>
      <w:sz w:val="18"/>
      <w:szCs w:val="18"/>
      <w14:ligatures w14:val="none"/>
    </w:rPr>
  </w:style>
  <w:style w:type="character" w:customStyle="1" w:styleId="39">
    <w:name w:val="页脚 字符"/>
    <w:basedOn w:val="19"/>
    <w:link w:val="13"/>
    <w:qFormat/>
    <w:uiPriority w:val="99"/>
    <w:rPr>
      <w:rFonts w:ascii="Times New Roman" w:hAnsi="Times New Roman" w:eastAsia="宋体" w:cs="Times New Roman"/>
      <w:sz w:val="18"/>
      <w:szCs w:val="18"/>
      <w14:ligatures w14:val="none"/>
    </w:rPr>
  </w:style>
  <w:style w:type="character" w:customStyle="1" w:styleId="40">
    <w:name w:val="正文文本 字符"/>
    <w:basedOn w:val="19"/>
    <w:semiHidden/>
    <w:qFormat/>
    <w:uiPriority w:val="99"/>
    <w:rPr>
      <w:rFonts w:ascii="Times New Roman" w:hAnsi="Times New Roman" w:eastAsia="Calibri" w:cs="Times New Roman"/>
      <w:kern w:val="0"/>
      <w:sz w:val="20"/>
      <w:szCs w:val="20"/>
      <w:lang w:val="zh-CN"/>
      <w14:ligatures w14:val="none"/>
    </w:rPr>
  </w:style>
  <w:style w:type="character" w:customStyle="1" w:styleId="41">
    <w:name w:val="正文文本 字符1"/>
    <w:link w:val="12"/>
    <w:qFormat/>
    <w:locked/>
    <w:uiPriority w:val="99"/>
    <w:rPr>
      <w:rFonts w:ascii="楷体_GB2312" w:hAnsi="Arial" w:eastAsia="楷体_GB2312" w:cs="Times New Roman"/>
      <w:kern w:val="0"/>
      <w:sz w:val="28"/>
      <w:szCs w:val="20"/>
      <w:lang w:val="zh-CN"/>
      <w14:ligatures w14: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4715</Words>
  <Characters>4832</Characters>
  <Lines>174</Lines>
  <Paragraphs>153</Paragraphs>
  <TotalTime>0</TotalTime>
  <ScaleCrop>false</ScaleCrop>
  <LinksUpToDate>false</LinksUpToDate>
  <CharactersWithSpaces>4897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2025-12-17T05:09:00Z</dcterms:created>
  <dc:creator>驰驿</dc:creator>
  <cp:lastModifiedBy>徐州荣成体育-苏阳13305215100</cp:lastModifiedBy>
  <dcterms:modified xsi:type="dcterms:W3CDTF">2025-12-17T05:31:44Z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eyJoZGlkIjoiY2U5OWMwM2Y0NTRhYzEzMGMzZTY2N2NkNWYzNjFiZDEiLCJ1c2VySWQiOiI2MzY1NzUzODUifQ==</vt:lpwstr>
  </property>
  <property fmtid="{D5CDD505-2E9C-101B-9397-08002B2CF9AE}" pid="3" name="KSOProductBuildVer">
    <vt:lpwstr>2052-12.1.0.24034</vt:lpwstr>
  </property>
  <property fmtid="{D5CDD505-2E9C-101B-9397-08002B2CF9AE}" pid="4" name="ICV">
    <vt:lpwstr>C8096B382D9A4DA8B7E65DBF3E9EF97F_13</vt:lpwstr>
  </property>
</Properties>
</file>