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rPr>
          <w:rFonts w:eastAsia="黑体"/>
          <w:b/>
          <w:bCs/>
          <w:sz w:val="84"/>
          <w:lang w:val="en-US" w:eastAsia="zh-CN"/>
        </w:rPr>
      </w:pPr>
      <w:r>
        <w:rPr>
          <w:rFonts w:hint="eastAsia" w:eastAsia="黑体"/>
          <w:b/>
          <w:bCs/>
          <w:sz w:val="84"/>
          <w:lang w:val="en-US" w:eastAsia="zh-CN"/>
        </w:rPr>
        <w:t xml:space="preserve">                    </w:t>
      </w:r>
      <w:r/>
    </w:p>
    <w:p>
      <w:pPr>
        <w:pStyle w:val="994"/>
        <w:ind w:firstLine="0"/>
        <w:jc w:val="center"/>
        <w:rPr>
          <w:rFonts w:hint="eastAsia" w:eastAsia="黑体"/>
          <w:b/>
          <w:bCs/>
          <w:sz w:val="84"/>
        </w:rPr>
      </w:pPr>
      <w:r>
        <w:rPr>
          <w:rFonts w:hint="eastAsia" w:eastAsia="黑体"/>
          <w:b/>
          <w:bCs/>
          <w:sz w:val="84"/>
        </w:rPr>
        <w:t xml:space="preserve">招　标　文　件</w:t>
      </w:r>
      <w:r/>
    </w:p>
    <w:p>
      <w:pPr>
        <w:pStyle w:val="994"/>
        <w:ind w:firstLine="2249"/>
        <w:rPr>
          <w:rFonts w:hint="eastAsia"/>
          <w:b/>
          <w:bCs/>
          <w:sz w:val="32"/>
        </w:rPr>
      </w:pPr>
      <w:r>
        <w:rPr>
          <w:rFonts w:hint="eastAsia"/>
          <w:b/>
          <w:bCs/>
          <w:sz w:val="32"/>
        </w:rPr>
      </w:r>
      <w:r/>
    </w:p>
    <w:p>
      <w:pPr>
        <w:pStyle w:val="994"/>
        <w:ind w:firstLine="2249"/>
        <w:rPr>
          <w:rFonts w:hint="eastAsia"/>
          <w:b/>
          <w:bCs/>
          <w:sz w:val="32"/>
        </w:rPr>
      </w:pPr>
      <w:r>
        <w:rPr>
          <w:rFonts w:hint="eastAsia"/>
          <w:b/>
          <w:bCs/>
          <w:sz w:val="32"/>
        </w:rPr>
      </w:r>
      <w:r/>
    </w:p>
    <w:p>
      <w:pPr>
        <w:pStyle w:val="994"/>
        <w:ind w:firstLine="2249"/>
        <w:rPr>
          <w:rFonts w:hint="eastAsia"/>
          <w:b/>
          <w:bCs/>
          <w:sz w:val="32"/>
        </w:rPr>
      </w:pPr>
      <w:r>
        <w:rPr>
          <w:rFonts w:hint="eastAsia"/>
          <w:b/>
          <w:bCs/>
          <w:sz w:val="32"/>
        </w:rPr>
      </w:r>
      <w:r/>
    </w:p>
    <w:p>
      <w:pPr>
        <w:pStyle w:val="994"/>
        <w:ind w:firstLine="2249"/>
        <w:rPr>
          <w:rFonts w:hint="eastAsia"/>
          <w:b/>
          <w:bCs/>
          <w:sz w:val="32"/>
        </w:rPr>
      </w:pPr>
      <w:r>
        <w:rPr>
          <w:rFonts w:hint="eastAsia"/>
          <w:b/>
          <w:bCs/>
          <w:sz w:val="32"/>
        </w:rPr>
      </w:r>
      <w:r/>
    </w:p>
    <w:p>
      <w:pPr>
        <w:pStyle w:val="994"/>
        <w:ind w:firstLine="2249"/>
        <w:rPr>
          <w:b/>
          <w:bCs/>
          <w:sz w:val="32"/>
        </w:rPr>
      </w:pPr>
      <w:r>
        <w:rPr>
          <w:b/>
          <w:bCs/>
          <w:sz w:val="32"/>
        </w:rPr>
      </w:r>
      <w:r/>
    </w:p>
    <w:p>
      <w:pPr>
        <w:pStyle w:val="994"/>
        <w:rPr>
          <w:rFonts w:hint="eastAsia" w:ascii="Arial" w:hAnsi="Arial"/>
          <w:b/>
          <w:bCs/>
          <w:color w:val="auto"/>
          <w:sz w:val="32"/>
        </w:rPr>
      </w:pPr>
      <w:r>
        <w:rPr>
          <w:rFonts w:hint="eastAsia" w:ascii="Arial" w:hAnsi="Arial"/>
          <w:b/>
          <w:bCs/>
          <w:color w:val="auto"/>
          <w:sz w:val="32"/>
        </w:rPr>
        <w:t xml:space="preserve">项目名称：扬州市机关事务管理局数字机关大院信息化项目</w:t>
      </w:r>
      <w:r/>
    </w:p>
    <w:p>
      <w:pPr>
        <w:pStyle w:val="994"/>
        <w:spacing w:before="0" w:after="0"/>
        <w:rPr>
          <w:rFonts w:hint="eastAsia" w:ascii="宋体" w:hAnsi="宋体"/>
        </w:rPr>
      </w:pPr>
      <w:r>
        <w:rPr>
          <w:rFonts w:hint="eastAsia"/>
          <w:b/>
          <w:bCs/>
          <w:color w:val="auto"/>
          <w:sz w:val="32"/>
        </w:rPr>
        <w:t xml:space="preserve">项目编号：JSZC-321000-JZCG-G2024-0076</w:t>
      </w:r>
      <w:r>
        <w:rPr>
          <w:rFonts w:hint="eastAsia"/>
          <w:color w:val="auto"/>
        </w:rPr>
        <w:t xml:space="preserve">   </w:t>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spacing w:before="0" w:after="0"/>
        <w:rPr>
          <w:rFonts w:hint="eastAsia" w:ascii="宋体" w:hAnsi="宋体"/>
        </w:rPr>
      </w:pPr>
      <w:r>
        <w:rPr>
          <w:rFonts w:hint="eastAsia" w:ascii="宋体" w:hAnsi="宋体"/>
        </w:rPr>
      </w:r>
      <w:r/>
    </w:p>
    <w:p>
      <w:pPr>
        <w:pStyle w:val="994"/>
        <w:ind w:firstLine="0"/>
        <w:jc w:val="center"/>
        <w:rPr>
          <w:rFonts w:hint="eastAsia" w:eastAsia="宋体"/>
          <w:b/>
          <w:bCs/>
          <w:sz w:val="32"/>
          <w:lang w:eastAsia="zh-CN"/>
        </w:rPr>
      </w:pPr>
      <w:r>
        <w:rPr>
          <w:rFonts w:hint="eastAsia"/>
          <w:b/>
          <w:bCs/>
          <w:sz w:val="32"/>
          <w:lang w:val="en-US" w:eastAsia="zh-CN"/>
        </w:rPr>
        <w:t xml:space="preserve">扬州市公共资源</w:t>
      </w:r>
      <w:r>
        <w:rPr>
          <w:rFonts w:hint="eastAsia"/>
          <w:b/>
          <w:bCs/>
          <w:sz w:val="32"/>
          <w:lang w:eastAsia="zh-CN"/>
        </w:rPr>
        <w:t xml:space="preserve">交易中心</w:t>
      </w:r>
      <w:r/>
    </w:p>
    <w:p>
      <w:pPr>
        <w:pStyle w:val="994"/>
        <w:ind w:firstLine="0"/>
        <w:jc w:val="center"/>
        <w:rPr>
          <w:rFonts w:hint="eastAsia"/>
          <w:b/>
          <w:bCs/>
          <w:sz w:val="32"/>
          <w:highlight w:val="none"/>
        </w:rPr>
      </w:pPr>
      <w:r>
        <w:rPr>
          <w:rFonts w:hint="eastAsia"/>
          <w:b/>
          <w:bCs/>
          <w:sz w:val="32"/>
          <w:highlight w:val="none"/>
          <w:lang w:val="en-US" w:eastAsia="zh-CN"/>
        </w:rPr>
        <w:t xml:space="preserve">2024</w:t>
      </w:r>
      <w:r>
        <w:rPr>
          <w:rFonts w:hint="eastAsia"/>
          <w:b/>
          <w:bCs/>
          <w:sz w:val="32"/>
          <w:highlight w:val="none"/>
        </w:rPr>
        <w:t xml:space="preserve">年</w:t>
      </w:r>
      <w:r>
        <w:rPr>
          <w:rFonts w:hint="eastAsia"/>
          <w:b/>
          <w:bCs/>
          <w:sz w:val="32"/>
          <w:highlight w:val="none"/>
          <w:lang w:val="en-US" w:eastAsia="zh-CN"/>
        </w:rPr>
        <w:t xml:space="preserve">5</w:t>
      </w:r>
      <w:r>
        <w:rPr>
          <w:rFonts w:hint="eastAsia"/>
          <w:b/>
          <w:bCs/>
          <w:sz w:val="32"/>
          <w:highlight w:val="none"/>
        </w:rPr>
        <w:t xml:space="preserve">月</w:t>
      </w:r>
      <w:r/>
    </w:p>
    <w:p>
      <w:pPr>
        <w:pStyle w:val="994"/>
        <w:ind w:firstLine="0"/>
        <w:jc w:val="center"/>
        <w:rPr>
          <w:rFonts w:hint="eastAsia"/>
          <w:b/>
          <w:bCs/>
          <w:sz w:val="40"/>
          <w:szCs w:val="40"/>
        </w:rPr>
      </w:pPr>
      <w:r/>
      <w:bookmarkStart w:id="0" w:name="_Toc120614210"/>
      <w:r/>
      <w:bookmarkStart w:id="1" w:name="_Toc513029200"/>
      <w:r/>
      <w:bookmarkStart w:id="2" w:name="_Toc523127445"/>
      <w:r/>
      <w:bookmarkStart w:id="3" w:name="_Toc16938516"/>
      <w:r/>
      <w:bookmarkStart w:id="4" w:name="_Toc20823272"/>
      <w:r/>
      <w:bookmarkStart w:id="5" w:name="_Toc479757206"/>
      <w:r/>
      <w:r/>
    </w:p>
    <w:p>
      <w:pPr>
        <w:pStyle w:val="994"/>
        <w:ind w:firstLine="0"/>
        <w:jc w:val="center"/>
        <w:rPr>
          <w:rFonts w:hint="eastAsia" w:ascii="仿宋_GB2312" w:hAnsi="Arial" w:eastAsia="仿宋_GB2312"/>
          <w:b/>
          <w:sz w:val="28"/>
        </w:rPr>
      </w:pPr>
      <w:r>
        <w:rPr>
          <w:rFonts w:hint="eastAsia"/>
          <w:b/>
          <w:bCs/>
          <w:sz w:val="40"/>
          <w:szCs w:val="40"/>
        </w:rPr>
        <w:t xml:space="preserve">总  目  录</w:t>
      </w:r>
      <w:r/>
    </w:p>
    <w:p>
      <w:pPr>
        <w:pStyle w:val="989"/>
        <w:tabs>
          <w:tab w:val="right" w:pos="8953" w:leader="dot"/>
        </w:tabs>
      </w:pPr>
      <w:r>
        <w:rPr>
          <w:rFonts w:hint="eastAsia"/>
        </w:rPr>
        <w:fldChar w:fldCharType="begin"/>
      </w:r>
      <w:r>
        <w:rPr>
          <w:rFonts w:hint="eastAsia"/>
        </w:rPr>
        <w:instrText xml:space="preserve">TOC \o "1-1" \h \u </w:instrText>
      </w:r>
      <w:r>
        <w:rPr>
          <w:rFonts w:hint="eastAsia"/>
        </w:rPr>
        <w:fldChar w:fldCharType="separate"/>
      </w:r>
      <w:r>
        <w:rPr>
          <w:rFonts w:hint="eastAsia"/>
        </w:rPr>
        <w:fldChar w:fldCharType="begin"/>
      </w:r>
      <w:r>
        <w:rPr>
          <w:rFonts w:hint="eastAsia"/>
        </w:rPr>
        <w:instrText xml:space="preserve"> HYPERLINK \l _Toc22326 </w:instrText>
      </w:r>
      <w:r>
        <w:rPr>
          <w:rFonts w:hint="eastAsia"/>
        </w:rPr>
        <w:fldChar w:fldCharType="separate"/>
      </w:r>
      <w:r>
        <w:rPr>
          <w:rFonts w:hint="eastAsia"/>
          <w:bCs/>
        </w:rPr>
        <w:t xml:space="preserve">第一章  投标邀请</w:t>
      </w:r>
      <w:r>
        <w:tab/>
      </w:r>
      <w:r>
        <w:fldChar w:fldCharType="begin"/>
      </w:r>
      <w:r>
        <w:instrText xml:space="preserve"> PAGEREF _Toc22326 </w:instrText>
      </w:r>
      <w:r>
        <w:fldChar w:fldCharType="separate"/>
      </w:r>
      <w:r>
        <w:t xml:space="preserve">3</w:t>
      </w:r>
      <w:r>
        <w:fldChar w:fldCharType="end"/>
      </w:r>
      <w:r>
        <w:rPr>
          <w:rFonts w:hint="eastAsia"/>
        </w:rPr>
        <w:fldChar w:fldCharType="end"/>
      </w:r>
      <w:r/>
    </w:p>
    <w:p>
      <w:pPr>
        <w:pStyle w:val="989"/>
        <w:tabs>
          <w:tab w:val="right" w:pos="8953" w:leader="dot"/>
        </w:tabs>
      </w:pPr>
      <w:r>
        <w:rPr>
          <w:rFonts w:hint="eastAsia"/>
        </w:rPr>
        <w:fldChar w:fldCharType="begin"/>
      </w:r>
      <w:r>
        <w:rPr>
          <w:rFonts w:hint="eastAsia"/>
        </w:rPr>
        <w:instrText xml:space="preserve"> HYPERLINK \l _Toc20518 </w:instrText>
      </w:r>
      <w:r>
        <w:rPr>
          <w:rFonts w:hint="eastAsia"/>
        </w:rPr>
        <w:fldChar w:fldCharType="separate"/>
      </w:r>
      <w:r>
        <w:rPr>
          <w:rFonts w:hint="eastAsia"/>
          <w:bCs/>
        </w:rPr>
        <w:t xml:space="preserve">第二章  投标人须知</w:t>
      </w:r>
      <w:r>
        <w:tab/>
      </w:r>
      <w:r>
        <w:fldChar w:fldCharType="begin"/>
      </w:r>
      <w:r>
        <w:instrText xml:space="preserve"> PAGEREF _Toc20518 </w:instrText>
      </w:r>
      <w:r>
        <w:fldChar w:fldCharType="separate"/>
      </w:r>
      <w:r>
        <w:t xml:space="preserve">6</w:t>
      </w:r>
      <w:r>
        <w:fldChar w:fldCharType="end"/>
      </w:r>
      <w:r>
        <w:rPr>
          <w:rFonts w:hint="eastAsia"/>
        </w:rPr>
        <w:fldChar w:fldCharType="end"/>
      </w:r>
      <w:r/>
    </w:p>
    <w:p>
      <w:pPr>
        <w:pStyle w:val="989"/>
        <w:tabs>
          <w:tab w:val="right" w:pos="8953" w:leader="dot"/>
        </w:tabs>
      </w:pPr>
      <w:r>
        <w:rPr>
          <w:rFonts w:hint="eastAsia"/>
        </w:rPr>
        <w:fldChar w:fldCharType="begin"/>
      </w:r>
      <w:r>
        <w:rPr>
          <w:rFonts w:hint="eastAsia"/>
        </w:rPr>
        <w:instrText xml:space="preserve"> HYPERLINK \l _Toc5617 </w:instrText>
      </w:r>
      <w:r>
        <w:rPr>
          <w:rFonts w:hint="eastAsia"/>
        </w:rPr>
        <w:fldChar w:fldCharType="separate"/>
      </w:r>
      <w:r>
        <w:rPr>
          <w:rFonts w:hint="eastAsia"/>
          <w:bCs/>
          <w:lang w:val="en-US" w:eastAsia="zh-CN"/>
        </w:rPr>
        <w:t xml:space="preserve">第三章  合同文本</w:t>
      </w:r>
      <w:r>
        <w:tab/>
      </w:r>
      <w:r>
        <w:fldChar w:fldCharType="begin"/>
      </w:r>
      <w:r>
        <w:instrText xml:space="preserve"> PAGEREF _Toc5617 </w:instrText>
      </w:r>
      <w:r>
        <w:fldChar w:fldCharType="separate"/>
      </w:r>
      <w:r>
        <w:t xml:space="preserve">16</w:t>
      </w:r>
      <w:r>
        <w:fldChar w:fldCharType="end"/>
      </w:r>
      <w:r>
        <w:rPr>
          <w:rFonts w:hint="eastAsia"/>
        </w:rPr>
        <w:fldChar w:fldCharType="end"/>
      </w:r>
      <w:r/>
    </w:p>
    <w:p>
      <w:pPr>
        <w:pStyle w:val="989"/>
        <w:tabs>
          <w:tab w:val="right" w:pos="8953" w:leader="dot"/>
        </w:tabs>
      </w:pPr>
      <w:r>
        <w:rPr>
          <w:rFonts w:hint="eastAsia"/>
        </w:rPr>
        <w:fldChar w:fldCharType="begin"/>
      </w:r>
      <w:r>
        <w:rPr>
          <w:rFonts w:hint="eastAsia"/>
        </w:rPr>
        <w:instrText xml:space="preserve"> HYPERLINK \l _Toc14893 </w:instrText>
      </w:r>
      <w:r>
        <w:rPr>
          <w:rFonts w:hint="eastAsia"/>
        </w:rPr>
        <w:fldChar w:fldCharType="separate"/>
      </w:r>
      <w:r>
        <w:rPr>
          <w:rFonts w:hint="eastAsia"/>
          <w:bCs/>
        </w:rPr>
        <w:t xml:space="preserve">第四章 </w:t>
      </w:r>
      <w:r>
        <w:rPr>
          <w:rFonts w:hint="eastAsia"/>
          <w:bCs/>
          <w:lang w:val="en-US" w:eastAsia="zh-CN"/>
        </w:rPr>
        <w:t xml:space="preserve"> </w:t>
      </w:r>
      <w:r>
        <w:rPr>
          <w:rFonts w:hint="eastAsia"/>
          <w:bCs/>
        </w:rPr>
        <w:t xml:space="preserve">采购需求</w:t>
      </w:r>
      <w:r>
        <w:tab/>
      </w:r>
      <w:r>
        <w:fldChar w:fldCharType="begin"/>
      </w:r>
      <w:r>
        <w:instrText xml:space="preserve"> PAGEREF _Toc14893 </w:instrText>
      </w:r>
      <w:r>
        <w:fldChar w:fldCharType="separate"/>
      </w:r>
      <w:r>
        <w:t xml:space="preserve">19</w:t>
      </w:r>
      <w:r>
        <w:fldChar w:fldCharType="end"/>
      </w:r>
      <w:r>
        <w:rPr>
          <w:rFonts w:hint="eastAsia"/>
        </w:rPr>
        <w:fldChar w:fldCharType="end"/>
      </w:r>
      <w:r/>
    </w:p>
    <w:p>
      <w:pPr>
        <w:pStyle w:val="989"/>
        <w:tabs>
          <w:tab w:val="right" w:pos="8953" w:leader="dot"/>
        </w:tabs>
      </w:pPr>
      <w:r>
        <w:rPr>
          <w:rFonts w:hint="eastAsia"/>
        </w:rPr>
        <w:fldChar w:fldCharType="begin"/>
      </w:r>
      <w:r>
        <w:rPr>
          <w:rFonts w:hint="eastAsia"/>
        </w:rPr>
        <w:instrText xml:space="preserve"> HYPERLINK \l _Toc5710 </w:instrText>
      </w:r>
      <w:r>
        <w:rPr>
          <w:rFonts w:hint="eastAsia"/>
        </w:rPr>
        <w:fldChar w:fldCharType="separate"/>
      </w:r>
      <w:r>
        <w:rPr>
          <w:rFonts w:hint="eastAsia"/>
          <w:bCs/>
        </w:rPr>
        <w:t xml:space="preserve">第五章  评标方法与评标标准</w:t>
      </w:r>
      <w:r>
        <w:tab/>
      </w:r>
      <w:r>
        <w:fldChar w:fldCharType="begin"/>
      </w:r>
      <w:r>
        <w:instrText xml:space="preserve"> PAGEREF _Toc5710 </w:instrText>
      </w:r>
      <w:r>
        <w:fldChar w:fldCharType="separate"/>
      </w:r>
      <w:r>
        <w:t xml:space="preserve">44</w:t>
      </w:r>
      <w:r>
        <w:fldChar w:fldCharType="end"/>
      </w:r>
      <w:r>
        <w:rPr>
          <w:rFonts w:hint="eastAsia"/>
        </w:rPr>
        <w:fldChar w:fldCharType="end"/>
      </w:r>
      <w:r/>
    </w:p>
    <w:p>
      <w:pPr>
        <w:pStyle w:val="989"/>
        <w:tabs>
          <w:tab w:val="right" w:pos="8953" w:leader="dot"/>
        </w:tabs>
      </w:pPr>
      <w:r>
        <w:rPr>
          <w:rFonts w:hint="eastAsia"/>
        </w:rPr>
        <w:fldChar w:fldCharType="begin"/>
      </w:r>
      <w:r>
        <w:rPr>
          <w:rFonts w:hint="eastAsia"/>
        </w:rPr>
        <w:instrText xml:space="preserve"> HYPERLINK \l _Toc27232 </w:instrText>
      </w:r>
      <w:r>
        <w:rPr>
          <w:rFonts w:hint="eastAsia"/>
        </w:rPr>
        <w:fldChar w:fldCharType="separate"/>
      </w:r>
      <w:r>
        <w:rPr>
          <w:rFonts w:hint="eastAsia"/>
          <w:bCs/>
        </w:rPr>
        <w:t xml:space="preserve">第六章  投标文件格式</w:t>
      </w:r>
      <w:r>
        <w:tab/>
      </w:r>
      <w:r>
        <w:fldChar w:fldCharType="begin"/>
      </w:r>
      <w:r>
        <w:instrText xml:space="preserve"> PAGEREF _Toc27232 </w:instrText>
      </w:r>
      <w:r>
        <w:fldChar w:fldCharType="separate"/>
      </w:r>
      <w:r>
        <w:t xml:space="preserve">49</w:t>
      </w:r>
      <w:r>
        <w:fldChar w:fldCharType="end"/>
      </w:r>
      <w:r>
        <w:rPr>
          <w:rFonts w:hint="eastAsia"/>
        </w:rPr>
        <w:fldChar w:fldCharType="end"/>
      </w:r>
      <w:r/>
    </w:p>
    <w:p>
      <w:pPr>
        <w:jc w:val="left"/>
        <w:rPr>
          <w:rFonts w:hint="eastAsia"/>
        </w:rPr>
      </w:pPr>
      <w:r>
        <w:rPr>
          <w:rFonts w:hint="eastAsia"/>
        </w:rPr>
        <w:fldChar w:fldCharType="end"/>
      </w:r>
      <w:r/>
    </w:p>
    <w:p>
      <w:pPr>
        <w:jc w:val="left"/>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96"/>
        <w:rPr>
          <w:rFonts w:hint="eastAsia"/>
          <w:b/>
          <w:bCs/>
        </w:rPr>
      </w:pPr>
      <w:r>
        <w:rPr>
          <w:rFonts w:hint="eastAsia"/>
        </w:rPr>
        <w:br w:type="page" w:clear="all"/>
      </w:r>
      <w:bookmarkStart w:id="6" w:name="_Toc22326"/>
      <w:r/>
      <w:bookmarkStart w:id="7" w:name="_Toc669"/>
      <w:r>
        <w:rPr>
          <w:rFonts w:hint="eastAsia"/>
          <w:b/>
          <w:bCs/>
        </w:rPr>
        <w:t xml:space="preserve">第一章  </w:t>
      </w:r>
      <w:bookmarkEnd w:id="0"/>
      <w:r>
        <w:rPr>
          <w:rFonts w:hint="eastAsia"/>
          <w:b/>
          <w:bCs/>
        </w:rPr>
        <w:t xml:space="preserve">投标邀请</w:t>
      </w:r>
      <w:bookmarkEnd w:id="6"/>
      <w:r/>
      <w:bookmarkEnd w:id="7"/>
      <w:r/>
      <w:r/>
    </w:p>
    <w:p>
      <w:pPr>
        <w:ind w:firstLine="480"/>
        <w:rPr>
          <w:rFonts w:hint="eastAsia" w:ascii="宋体" w:hAnsi="宋体"/>
          <w:sz w:val="24"/>
          <w:szCs w:val="24"/>
        </w:rPr>
      </w:pPr>
      <w:r>
        <w:rPr>
          <w:rFonts w:hint="eastAsia" w:ascii="宋体" w:hAnsi="宋体"/>
          <w:sz w:val="24"/>
          <w:szCs w:val="24"/>
        </w:rPr>
      </w:r>
      <w:r/>
    </w:p>
    <w:p>
      <w:pPr>
        <w:ind w:firstLine="480"/>
        <w:rPr>
          <w:rFonts w:ascii="宋体" w:hAnsi="宋体"/>
          <w:color w:val="auto"/>
          <w:sz w:val="24"/>
          <w:szCs w:val="24"/>
          <w:highlight w:val="none"/>
        </w:rPr>
      </w:pPr>
      <w:r/>
      <w:bookmarkStart w:id="8" w:name="_Toc28359002"/>
      <w:r/>
      <w:bookmarkStart w:id="9" w:name="_Toc28359079"/>
      <w:r/>
      <w:bookmarkStart w:id="10" w:name="_Toc35393621"/>
      <w:r/>
      <w:bookmarkStart w:id="11" w:name="_Toc38985263"/>
      <w:r/>
      <w:bookmarkStart w:id="12" w:name="_Toc35393790"/>
      <w:r/>
      <w:bookmarkStart w:id="13" w:name="_Hlk24379207"/>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受[扬州市机关事务管理局]的委托，扬州市公共资源交易中心就[扬州市机关事务管理局数字机关大院信息化项目](JSZC-321000-JZCG-G2024-00</w:t>
      </w:r>
      <w:r>
        <w:rPr>
          <w:rFonts w:hint="eastAsia" w:ascii="宋体" w:hAnsi="宋体"/>
          <w:color w:val="auto"/>
          <w:sz w:val="24"/>
          <w:szCs w:val="24"/>
          <w:highlight w:val="none"/>
          <w:lang w:val="en-US" w:eastAsia="zh-CN"/>
        </w:rPr>
        <w:t xml:space="preserve">76</w:t>
      </w:r>
      <w:r>
        <w:rPr>
          <w:rFonts w:hint="eastAsia" w:ascii="宋体" w:hAnsi="宋体"/>
          <w:color w:val="auto"/>
          <w:sz w:val="24"/>
          <w:szCs w:val="24"/>
          <w:highlight w:val="none"/>
        </w:rPr>
        <w:t xml:space="preserve">)项目进行公开招标采购，欢迎符合条件的供应商投标。</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扬州市机关事务管理局数字机关大院信息化项目的潜在投标人可在</w:t>
      </w:r>
      <w:r>
        <w:rPr>
          <w:rFonts w:hint="eastAsia" w:ascii="宋体" w:hAnsi="宋体"/>
          <w:color w:val="auto"/>
          <w:sz w:val="24"/>
          <w:szCs w:val="24"/>
          <w:highlight w:val="none"/>
          <w:u w:val="single"/>
        </w:rPr>
        <w:t xml:space="preserve">“江苏政府采购网” “扬州市政府采购网”自行免费下载</w:t>
      </w:r>
      <w:r>
        <w:rPr>
          <w:rFonts w:hint="eastAsia" w:ascii="宋体" w:hAnsi="宋体"/>
          <w:color w:val="auto"/>
          <w:sz w:val="24"/>
          <w:szCs w:val="24"/>
          <w:highlight w:val="none"/>
        </w:rPr>
        <w:t xml:space="preserve">招标文件，并于</w:t>
      </w:r>
      <w:r>
        <w:rPr>
          <w:rFonts w:ascii="宋体" w:hAnsi="宋体"/>
          <w:color w:val="auto"/>
          <w:sz w:val="24"/>
          <w:szCs w:val="24"/>
          <w:highlight w:val="none"/>
          <w:u w:val="single"/>
        </w:rPr>
        <w:t xml:space="preserve">2024</w:t>
      </w:r>
      <w:r>
        <w:rPr>
          <w:rFonts w:hint="eastAsia" w:ascii="宋体" w:hAnsi="宋体"/>
          <w:color w:val="auto"/>
          <w:sz w:val="24"/>
          <w:szCs w:val="24"/>
          <w:highlight w:val="none"/>
          <w:u w:val="single"/>
        </w:rPr>
        <w:t xml:space="preserve">年</w:t>
      </w:r>
      <w:r>
        <w:rPr>
          <w:rFonts w:ascii="宋体" w:hAnsi="宋体"/>
          <w:color w:val="auto"/>
          <w:sz w:val="24"/>
          <w:szCs w:val="24"/>
          <w:highlight w:val="none"/>
          <w:u w:val="single"/>
        </w:rPr>
        <w:t xml:space="preserve">6</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19</w:t>
      </w:r>
      <w:r>
        <w:rPr>
          <w:rFonts w:hint="eastAsia" w:ascii="宋体" w:hAnsi="宋体"/>
          <w:color w:val="auto"/>
          <w:sz w:val="24"/>
          <w:szCs w:val="24"/>
          <w:highlight w:val="none"/>
          <w:u w:val="single"/>
        </w:rPr>
        <w:t xml:space="preserve">日</w:t>
      </w:r>
      <w:r>
        <w:rPr>
          <w:rFonts w:ascii="宋体" w:hAnsi="宋体"/>
          <w:bCs/>
          <w:color w:val="auto"/>
          <w:sz w:val="24"/>
          <w:szCs w:val="24"/>
          <w:highlight w:val="none"/>
          <w:u w:val="single"/>
        </w:rPr>
        <w:t xml:space="preserve">09</w:t>
      </w:r>
      <w:r>
        <w:rPr>
          <w:rFonts w:hint="eastAsia" w:ascii="宋体" w:hAnsi="宋体"/>
          <w:bCs/>
          <w:color w:val="auto"/>
          <w:sz w:val="24"/>
          <w:szCs w:val="24"/>
          <w:highlight w:val="none"/>
          <w:u w:val="single"/>
        </w:rPr>
        <w:t xml:space="preserve">点</w:t>
      </w:r>
      <w:r>
        <w:rPr>
          <w:rFonts w:ascii="宋体" w:hAnsi="宋体"/>
          <w:bCs/>
          <w:color w:val="auto"/>
          <w:sz w:val="24"/>
          <w:szCs w:val="24"/>
          <w:highlight w:val="none"/>
          <w:u w:val="single"/>
        </w:rPr>
        <w:t xml:space="preserve">30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899"/>
        <w:rPr>
          <w:rFonts w:hint="eastAsia"/>
          <w:color w:val="auto"/>
          <w:highlight w:val="none"/>
          <w:lang w:val="en-US" w:eastAsia="zh-CN"/>
        </w:rPr>
      </w:pPr>
      <w:r>
        <w:rPr>
          <w:rFonts w:hint="eastAsia"/>
          <w:color w:val="auto"/>
          <w:highlight w:val="none"/>
          <w:lang w:val="en-US" w:eastAsia="zh-CN"/>
        </w:rPr>
        <w:t xml:space="preserve">一、项目基本情况</w:t>
      </w:r>
      <w:bookmarkEnd w:id="8"/>
      <w:r/>
      <w:bookmarkEnd w:id="9"/>
      <w:r/>
      <w:bookmarkEnd w:id="10"/>
      <w:r/>
      <w:bookmarkEnd w:id="11"/>
      <w:r/>
      <w:bookmarkEnd w:id="12"/>
      <w:r/>
      <w:bookmarkEnd w:id="13"/>
      <w:r/>
      <w:r/>
    </w:p>
    <w:p>
      <w:pPr>
        <w:ind w:firstLine="480"/>
        <w:rPr>
          <w:rFonts w:hint="default" w:ascii="宋体" w:hAnsi="宋体" w:eastAsia="宋体"/>
          <w:color w:val="auto"/>
          <w:sz w:val="24"/>
          <w:szCs w:val="24"/>
          <w:highlight w:val="none"/>
          <w:lang w:val="en-US" w:eastAsia="zh-CN"/>
        </w:rPr>
      </w:pPr>
      <w:r/>
      <w:bookmarkStart w:id="14" w:name="_Toc35393791"/>
      <w:r/>
      <w:bookmarkStart w:id="15" w:name="_Toc28359003"/>
      <w:r/>
      <w:bookmarkStart w:id="16" w:name="_Toc38985264"/>
      <w:r/>
      <w:bookmarkStart w:id="17" w:name="_Toc28359080"/>
      <w:r/>
      <w:bookmarkStart w:id="18" w:name="_Toc35393622"/>
      <w:r>
        <w:rPr>
          <w:rFonts w:hint="eastAsia" w:ascii="宋体" w:hAnsi="宋体"/>
          <w:color w:val="auto"/>
          <w:sz w:val="24"/>
          <w:szCs w:val="24"/>
          <w:highlight w:val="none"/>
        </w:rPr>
        <w:t xml:space="preserve">1.项目编号：JSZC-321000-JZCG-G2024-00</w:t>
      </w:r>
      <w:r>
        <w:rPr>
          <w:rFonts w:hint="eastAsia" w:ascii="宋体" w:hAnsi="宋体"/>
          <w:color w:val="auto"/>
          <w:sz w:val="24"/>
          <w:szCs w:val="24"/>
          <w:highlight w:val="none"/>
          <w:lang w:val="en-US" w:eastAsia="zh-CN"/>
        </w:rPr>
        <w:t xml:space="preserve">76</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2.项目名称：扬州市机关事务管理局数字机关大院信息化项目</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万元</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4.本项目设定最高限价，最高限价为</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万元。</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5.采购需求（简介）：</w:t>
      </w:r>
      <w:r>
        <w:rPr>
          <w:rFonts w:hint="eastAsia"/>
          <w:bCs/>
          <w:iCs/>
          <w:color w:val="auto"/>
          <w:sz w:val="24"/>
          <w:szCs w:val="24"/>
          <w:highlight w:val="none"/>
          <w:lang w:val="zh-CN"/>
        </w:rPr>
        <w:t xml:space="preserve">依托互联网、云计算、大数据等新一代信息技术，建设“数字机关大院”信息系统。实现服务保障“四院一体”，即机关西大院、机关东大院、市人大机关、市政协机关等四个大院服务保障一体化，打通不同办公区服务边界；促进机关事务管理“三网合一”，将现有公务用车、办公用房、公共机构节能三个信息系统充分整合，统筹信息化建设，机关事务高效运行；打造智慧后勤、一网通办，全面提升管理服务保障效能，让机关工作人员“吃喝用行、一屏搞定”、“不出大院、事事方便”。</w:t>
      </w:r>
      <w:r>
        <w:rPr>
          <w:rFonts w:hint="eastAsia" w:ascii="宋体" w:hAnsi="宋体"/>
          <w:color w:val="auto"/>
          <w:sz w:val="24"/>
          <w:szCs w:val="24"/>
          <w:highlight w:val="none"/>
        </w:rPr>
        <w:t xml:space="preserve">详见采购文件第四章。</w:t>
      </w:r>
      <w:r/>
    </w:p>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项目实施周期（</w:t>
      </w:r>
      <w:r>
        <w:rPr>
          <w:rFonts w:hint="eastAsia" w:ascii="宋体" w:hAnsi="宋体" w:cs="宋体"/>
          <w:color w:val="auto"/>
          <w:sz w:val="24"/>
          <w:szCs w:val="24"/>
          <w:highlight w:val="none"/>
          <w:lang w:eastAsia="zh-CN"/>
        </w:rPr>
        <w:t xml:space="preserve">合同签订之日起</w:t>
      </w:r>
      <w:r>
        <w:rPr>
          <w:rFonts w:hint="eastAsia" w:ascii="宋体" w:hAnsi="宋体" w:cs="宋体"/>
          <w:color w:val="auto"/>
          <w:sz w:val="24"/>
          <w:szCs w:val="24"/>
          <w:highlight w:val="none"/>
        </w:rPr>
        <w:t xml:space="preserve">）约4个月内完成，免费运维期为 3 年。</w:t>
      </w:r>
      <w:r/>
    </w:p>
    <w:p>
      <w:pPr>
        <w:pStyle w:val="899"/>
        <w:ind w:firstLine="498"/>
        <w:spacing w:before="145" w:after="145" w:line="360" w:lineRule="auto"/>
        <w:rPr>
          <w:color w:val="auto"/>
          <w:highlight w:val="none"/>
        </w:rPr>
      </w:pPr>
      <w:r>
        <w:rPr>
          <w:rFonts w:hint="eastAsia"/>
          <w:color w:val="auto"/>
          <w:highlight w:val="none"/>
        </w:rPr>
        <w:t xml:space="preserve">二、申请人的资格要求：</w:t>
      </w:r>
      <w:bookmarkEnd w:id="14"/>
      <w:r/>
      <w:bookmarkEnd w:id="15"/>
      <w:r/>
      <w:bookmarkEnd w:id="16"/>
      <w:r/>
      <w:bookmarkEnd w:id="17"/>
      <w:r/>
      <w:bookmarkEnd w:id="18"/>
      <w:r/>
      <w:r/>
    </w:p>
    <w:p>
      <w:pPr>
        <w:ind w:firstLine="480"/>
        <w:rPr>
          <w:rFonts w:hint="eastAsia" w:ascii="宋体" w:hAnsi="宋体"/>
          <w:color w:val="auto"/>
          <w:sz w:val="24"/>
          <w:szCs w:val="24"/>
          <w:highlight w:val="none"/>
        </w:rPr>
      </w:pPr>
      <w:r/>
      <w:bookmarkStart w:id="19" w:name="_Toc38985265"/>
      <w:r/>
      <w:bookmarkStart w:id="20" w:name="_Toc28359004"/>
      <w:r/>
      <w:bookmarkStart w:id="21" w:name="_Toc28359081"/>
      <w:r/>
      <w:bookmarkStart w:id="22" w:name="_Toc35393623"/>
      <w:r/>
      <w:bookmarkStart w:id="23" w:name="_Toc35393792"/>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1.2上一年度的财务状况报告（成立不满一年无需提供）；</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1.6供应商信用承诺函。</w:t>
      </w:r>
      <w:r/>
    </w:p>
    <w:p>
      <w:pPr>
        <w:ind w:firstLine="480"/>
        <w:rPr>
          <w:rFonts w:ascii="宋体" w:hAnsi="宋体" w:eastAsia="宋体"/>
          <w:color w:val="auto"/>
          <w:sz w:val="24"/>
          <w:szCs w:val="24"/>
          <w:highlight w:val="none"/>
        </w:rPr>
      </w:pPr>
      <w:r>
        <w:rPr>
          <w:rFonts w:hint="eastAsia" w:ascii="宋体" w:hAnsi="宋体"/>
          <w:color w:val="auto"/>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olor w:val="auto"/>
          <w:sz w:val="24"/>
          <w:szCs w:val="24"/>
          <w:highlight w:val="none"/>
          <w:lang w:val="en-US" w:eastAsia="zh-CN"/>
        </w:rPr>
        <w:t xml:space="preserve">及其他不符合</w:t>
      </w:r>
      <w:r>
        <w:rPr>
          <w:rFonts w:hint="eastAsia" w:ascii="宋体" w:hAnsi="宋体"/>
          <w:color w:val="auto"/>
          <w:sz w:val="24"/>
          <w:szCs w:val="24"/>
          <w:highlight w:val="none"/>
        </w:rPr>
        <w:t xml:space="preserve">《中华人民共和国政府采购法》第二十二条规定条件的信用记录。（投标文件中无需提供证明材料）。</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3.落实政府采购政策需满足的资格要求：无</w:t>
      </w:r>
      <w:r>
        <w:rPr>
          <w:rFonts w:hint="eastAsia" w:ascii="宋体" w:hAnsi="宋体" w:cs="Calibri"/>
          <w:iCs/>
          <w:color w:val="auto"/>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联合体投标</w:t>
      </w:r>
      <w:r/>
    </w:p>
    <w:p>
      <w:pPr>
        <w:ind w:firstLine="480"/>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olor w:val="auto"/>
          <w:sz w:val="24"/>
          <w:szCs w:val="24"/>
          <w:highlight w:val="none"/>
        </w:rPr>
        <w:t xml:space="preserve">本项目</w:t>
      </w:r>
      <w:r>
        <w:rPr>
          <w:rFonts w:hint="eastAsia" w:ascii="宋体" w:hAnsi="宋体"/>
          <w:color w:val="auto"/>
          <w:sz w:val="24"/>
          <w:szCs w:val="24"/>
          <w:highlight w:val="none"/>
          <w:u w:val="single"/>
        </w:rPr>
        <w:t xml:space="preserve">不接受</w:t>
      </w:r>
      <w:r>
        <w:rPr>
          <w:rFonts w:hint="eastAsia" w:ascii="宋体" w:hAnsi="宋体"/>
          <w:color w:val="auto"/>
          <w:sz w:val="24"/>
          <w:szCs w:val="24"/>
          <w:highlight w:val="none"/>
        </w:rPr>
        <w:t xml:space="preserve">进口产品投标</w:t>
      </w:r>
      <w:r/>
    </w:p>
    <w:p>
      <w:pPr>
        <w:ind w:firstLine="480"/>
        <w:rPr>
          <w:rFonts w:ascii="宋体" w:hAnsi="宋体" w:cs="宋体"/>
          <w:color w:val="auto"/>
          <w:sz w:val="24"/>
          <w:szCs w:val="24"/>
          <w:highlight w:val="none"/>
        </w:rPr>
      </w:pPr>
      <w:r>
        <w:rPr>
          <w:rFonts w:hint="eastAsia" w:ascii="宋体" w:hAnsi="宋体"/>
          <w:color w:val="auto"/>
          <w:sz w:val="24"/>
          <w:szCs w:val="24"/>
          <w:highlight w:val="none"/>
        </w:rPr>
        <w:t xml:space="preserve">（二）本项目的特定资格要求：无</w:t>
      </w:r>
      <w:r/>
    </w:p>
    <w:p>
      <w:pPr>
        <w:pStyle w:val="899"/>
        <w:ind w:firstLine="498"/>
        <w:spacing w:before="145" w:after="145" w:line="360" w:lineRule="auto"/>
        <w:rPr>
          <w:color w:val="auto"/>
          <w:highlight w:val="none"/>
        </w:rPr>
      </w:pPr>
      <w:r>
        <w:rPr>
          <w:rFonts w:hint="eastAsia"/>
          <w:color w:val="auto"/>
          <w:highlight w:val="none"/>
        </w:rPr>
        <w:t xml:space="preserve">三、获取招标文件</w:t>
      </w:r>
      <w:bookmarkEnd w:id="19"/>
      <w:r/>
      <w:bookmarkEnd w:id="20"/>
      <w:r/>
      <w:bookmarkEnd w:id="21"/>
      <w:r/>
      <w:bookmarkEnd w:id="22"/>
      <w:r/>
      <w:bookmarkEnd w:id="23"/>
      <w:r/>
      <w:r/>
    </w:p>
    <w:p>
      <w:pPr>
        <w:ind w:firstLine="540"/>
        <w:spacing w:line="360" w:lineRule="auto"/>
        <w:rPr>
          <w:color w:val="auto"/>
          <w:highlight w:val="none"/>
        </w:rPr>
      </w:pPr>
      <w:r>
        <w:rPr>
          <w:rFonts w:hint="eastAsia" w:ascii="宋体" w:hAnsi="宋体" w:cs="宋体"/>
          <w:color w:val="auto"/>
          <w:sz w:val="24"/>
          <w:szCs w:val="24"/>
          <w:highlight w:val="none"/>
        </w:rPr>
        <w:t xml:space="preserve">1.时间：2024年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rPr>
        <w:t xml:space="preserve">日至2024年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日，每日上午00:00-12:00，下午12:00-23.59（北京时间，法定节假日除外）</w:t>
      </w:r>
      <w:r/>
    </w:p>
    <w:p>
      <w:pPr>
        <w:ind w:firstLine="540"/>
        <w:spacing w:line="360" w:lineRule="auto"/>
        <w:rPr>
          <w:color w:val="auto"/>
          <w:highlight w:val="none"/>
        </w:rPr>
      </w:pPr>
      <w:r>
        <w:rPr>
          <w:rFonts w:hint="eastAsia" w:ascii="宋体" w:hAnsi="宋体" w:cs="宋体"/>
          <w:color w:val="auto"/>
          <w:sz w:val="24"/>
          <w:szCs w:val="24"/>
          <w:highlight w:val="none"/>
        </w:rPr>
        <w:t xml:space="preserve">2.地点：扬州市政府采购网，江苏省政府采购网</w:t>
      </w:r>
      <w:r/>
    </w:p>
    <w:p>
      <w:pPr>
        <w:ind w:firstLine="540"/>
        <w:spacing w:line="360" w:lineRule="auto"/>
        <w:rPr>
          <w:color w:val="auto"/>
          <w:highlight w:val="none"/>
        </w:rPr>
      </w:pPr>
      <w:r>
        <w:rPr>
          <w:rFonts w:hint="eastAsia" w:ascii="宋体" w:hAnsi="宋体" w:cs="宋体"/>
          <w:color w:val="auto"/>
          <w:sz w:val="24"/>
          <w:szCs w:val="24"/>
          <w:highlight w:val="none"/>
        </w:rPr>
        <w:t xml:space="preserve">3:方式：网上获取</w:t>
      </w:r>
      <w:r/>
    </w:p>
    <w:p>
      <w:pPr>
        <w:ind w:firstLine="540"/>
        <w:spacing w:line="360" w:lineRule="auto"/>
        <w:rPr>
          <w:rFonts w:hint="eastAsia" w:ascii="宋体" w:hAnsi="宋体" w:cs="宋体"/>
          <w:color w:val="auto"/>
          <w:highlight w:val="none"/>
        </w:rPr>
      </w:pPr>
      <w:r>
        <w:rPr>
          <w:rFonts w:hint="eastAsia" w:ascii="宋体" w:hAnsi="宋体" w:cs="宋体"/>
          <w:color w:val="auto"/>
          <w:sz w:val="24"/>
          <w:szCs w:val="24"/>
          <w:highlight w:val="none"/>
        </w:rPr>
        <w:t xml:space="preserve">4:售价：0.00元</w:t>
      </w:r>
      <w:r/>
    </w:p>
    <w:p>
      <w:pPr>
        <w:pStyle w:val="899"/>
        <w:ind w:firstLine="498"/>
        <w:spacing w:before="145" w:after="145" w:line="360" w:lineRule="auto"/>
        <w:rPr>
          <w:color w:val="auto"/>
          <w:highlight w:val="none"/>
        </w:rPr>
      </w:pPr>
      <w:r>
        <w:rPr>
          <w:rFonts w:hint="eastAsia"/>
          <w:color w:val="auto"/>
          <w:highlight w:val="none"/>
        </w:rPr>
        <w:t xml:space="preserve">四、提交投标文件截止时间、开标时间和地点</w:t>
      </w:r>
      <w:r/>
    </w:p>
    <w:p>
      <w:pPr>
        <w:ind w:firstLine="540"/>
        <w:spacing w:line="360" w:lineRule="auto"/>
        <w:rPr>
          <w:rFonts w:ascii="宋体" w:hAnsi="宋体"/>
          <w:bCs/>
          <w:color w:val="auto"/>
          <w:sz w:val="24"/>
          <w:szCs w:val="24"/>
          <w:highlight w:val="none"/>
          <w:u w:val="none"/>
        </w:rPr>
      </w:pPr>
      <w:r>
        <w:rPr>
          <w:rFonts w:hint="eastAsia" w:ascii="宋体" w:hAnsi="宋体"/>
          <w:bCs/>
          <w:color w:val="auto"/>
          <w:sz w:val="24"/>
          <w:szCs w:val="24"/>
          <w:highlight w:val="none"/>
          <w:u w:val="none"/>
        </w:rPr>
        <w:t xml:space="preserve">1. </w:t>
      </w:r>
      <w:r>
        <w:rPr>
          <w:rFonts w:ascii="宋体" w:hAnsi="宋体" w:cs="宋体"/>
          <w:color w:val="auto"/>
          <w:sz w:val="24"/>
          <w:szCs w:val="24"/>
          <w:highlight w:val="none"/>
          <w:u w:val="none"/>
        </w:rPr>
        <w:t xml:space="preserve">2024</w:t>
      </w:r>
      <w:r>
        <w:rPr>
          <w:rFonts w:hint="eastAsia" w:ascii="宋体" w:hAnsi="宋体" w:cs="宋体"/>
          <w:color w:val="auto"/>
          <w:sz w:val="24"/>
          <w:szCs w:val="24"/>
          <w:highlight w:val="none"/>
          <w:u w:val="none"/>
        </w:rPr>
        <w:t xml:space="preserve">年</w:t>
      </w:r>
      <w:r>
        <w:rPr>
          <w:rFonts w:ascii="宋体" w:hAnsi="宋体" w:cs="宋体"/>
          <w:color w:val="auto"/>
          <w:sz w:val="24"/>
          <w:szCs w:val="24"/>
          <w:highlight w:val="none"/>
          <w:u w:val="none"/>
        </w:rPr>
        <w:t xml:space="preserve">6</w:t>
      </w:r>
      <w:r>
        <w:rPr>
          <w:rFonts w:hint="eastAsia" w:ascii="宋体" w:hAnsi="宋体" w:cs="宋体"/>
          <w:color w:val="auto"/>
          <w:sz w:val="24"/>
          <w:szCs w:val="24"/>
          <w:highlight w:val="none"/>
          <w:u w:val="none"/>
        </w:rPr>
        <w:t xml:space="preserve">月</w:t>
      </w:r>
      <w:r>
        <w:rPr>
          <w:rFonts w:hint="eastAsia" w:ascii="宋体" w:hAnsi="宋体" w:cs="宋体"/>
          <w:color w:val="auto"/>
          <w:sz w:val="24"/>
          <w:szCs w:val="24"/>
          <w:highlight w:val="none"/>
          <w:u w:val="none"/>
          <w:lang w:val="en-US" w:eastAsia="zh-CN"/>
        </w:rPr>
        <w:t xml:space="preserve">19</w:t>
      </w:r>
      <w:r>
        <w:rPr>
          <w:rFonts w:hint="eastAsia" w:ascii="宋体" w:hAnsi="宋体" w:cs="宋体"/>
          <w:color w:val="auto"/>
          <w:sz w:val="24"/>
          <w:szCs w:val="24"/>
          <w:highlight w:val="none"/>
          <w:u w:val="none"/>
        </w:rPr>
        <w:t xml:space="preserve">日</w:t>
      </w:r>
      <w:r>
        <w:rPr>
          <w:rFonts w:ascii="宋体" w:hAnsi="宋体" w:cs="宋体"/>
          <w:color w:val="auto"/>
          <w:sz w:val="24"/>
          <w:szCs w:val="24"/>
          <w:highlight w:val="none"/>
          <w:u w:val="none"/>
        </w:rPr>
        <w:t xml:space="preserve">09</w:t>
      </w:r>
      <w:r>
        <w:rPr>
          <w:rFonts w:hint="eastAsia" w:ascii="宋体" w:hAnsi="宋体" w:cs="宋体"/>
          <w:color w:val="auto"/>
          <w:sz w:val="24"/>
          <w:szCs w:val="24"/>
          <w:highlight w:val="none"/>
          <w:u w:val="none"/>
        </w:rPr>
        <w:t xml:space="preserve">点</w:t>
      </w:r>
      <w:r>
        <w:rPr>
          <w:rFonts w:ascii="宋体" w:hAnsi="宋体" w:cs="宋体"/>
          <w:color w:val="auto"/>
          <w:sz w:val="24"/>
          <w:szCs w:val="24"/>
          <w:highlight w:val="none"/>
          <w:u w:val="none"/>
        </w:rPr>
        <w:t xml:space="preserve">30</w:t>
      </w:r>
      <w:r>
        <w:rPr>
          <w:rFonts w:hint="eastAsia" w:ascii="宋体" w:hAnsi="宋体" w:cs="宋体"/>
          <w:color w:val="auto"/>
          <w:sz w:val="24"/>
          <w:szCs w:val="24"/>
          <w:highlight w:val="none"/>
          <w:u w:val="none"/>
        </w:rPr>
        <w:t xml:space="preserve">分（北京时间）</w:t>
      </w:r>
      <w:r/>
    </w:p>
    <w:p>
      <w:pPr>
        <w:ind w:firstLine="480"/>
        <w:rPr>
          <w:rFonts w:hint="eastAsia" w:ascii="宋体" w:hAnsi="宋体"/>
          <w:bCs/>
          <w:color w:val="auto"/>
          <w:sz w:val="24"/>
          <w:szCs w:val="24"/>
          <w:u w:val="single"/>
        </w:rPr>
      </w:pPr>
      <w:r>
        <w:rPr>
          <w:rFonts w:hint="eastAsia" w:ascii="宋体" w:hAnsi="宋体"/>
          <w:color w:val="auto"/>
          <w:sz w:val="24"/>
          <w:szCs w:val="24"/>
        </w:rPr>
        <w:t xml:space="preserve">2.地点：“苏采云”平台。</w:t>
      </w:r>
      <w:r/>
    </w:p>
    <w:p>
      <w:pPr>
        <w:pStyle w:val="899"/>
        <w:ind w:firstLine="498"/>
        <w:spacing w:before="145" w:after="145" w:line="360" w:lineRule="auto"/>
        <w:rPr>
          <w:color w:val="auto"/>
        </w:rPr>
      </w:pPr>
      <w:r/>
      <w:bookmarkStart w:id="24" w:name="_Toc35393625"/>
      <w:r/>
      <w:bookmarkStart w:id="25" w:name="_Toc28359084"/>
      <w:r/>
      <w:bookmarkStart w:id="26" w:name="_Toc38985267"/>
      <w:r/>
      <w:bookmarkStart w:id="27" w:name="_Toc35393794"/>
      <w:r/>
      <w:bookmarkStart w:id="28" w:name="_Toc28359007"/>
      <w:r>
        <w:rPr>
          <w:rFonts w:hint="eastAsia"/>
          <w:color w:val="auto"/>
        </w:rPr>
        <w:t xml:space="preserve">五、公告期限</w:t>
      </w:r>
      <w:bookmarkEnd w:id="24"/>
      <w:r/>
      <w:bookmarkEnd w:id="25"/>
      <w:r/>
      <w:bookmarkEnd w:id="26"/>
      <w:r/>
      <w:bookmarkEnd w:id="27"/>
      <w:r/>
      <w:bookmarkEnd w:id="28"/>
      <w:r/>
      <w:r/>
    </w:p>
    <w:p>
      <w:pPr>
        <w:ind w:firstLine="480"/>
        <w:rPr>
          <w:rFonts w:ascii="宋体" w:hAnsi="宋体" w:cs="宋体"/>
          <w:sz w:val="24"/>
          <w:szCs w:val="24"/>
        </w:rPr>
      </w:pPr>
      <w:r/>
      <w:bookmarkStart w:id="29" w:name="_Toc35393795"/>
      <w:r/>
      <w:bookmarkStart w:id="30" w:name="_Toc35393626"/>
      <w:r/>
      <w:bookmarkStart w:id="31" w:name="_Toc38985268"/>
      <w:r>
        <w:rPr>
          <w:rFonts w:hint="eastAsia" w:ascii="宋体" w:hAnsi="宋体" w:cs="宋体"/>
          <w:sz w:val="24"/>
          <w:szCs w:val="24"/>
        </w:rPr>
        <w:t xml:space="preserve">自本公告发布之日起5个工作日。</w:t>
      </w:r>
      <w:r/>
    </w:p>
    <w:p>
      <w:pPr>
        <w:pStyle w:val="899"/>
        <w:ind w:firstLine="498"/>
        <w:spacing w:before="145" w:after="145" w:line="360" w:lineRule="auto"/>
      </w:pPr>
      <w:r>
        <w:rPr>
          <w:rFonts w:hint="eastAsia"/>
        </w:rPr>
        <w:t xml:space="preserve">六、其他补充事宜</w:t>
      </w:r>
      <w:bookmarkEnd w:id="29"/>
      <w:r/>
      <w:bookmarkEnd w:id="30"/>
      <w:r/>
      <w:bookmarkEnd w:id="31"/>
      <w:r/>
      <w:r/>
    </w:p>
    <w:p>
      <w:pPr>
        <w:ind w:firstLine="480"/>
        <w:rPr>
          <w:rFonts w:ascii="宋体" w:hAnsi="宋体" w:cs="宋体"/>
          <w:sz w:val="24"/>
          <w:szCs w:val="24"/>
        </w:rPr>
      </w:pPr>
      <w:r>
        <w:rPr>
          <w:rFonts w:hint="eastAsia" w:ascii="宋体" w:hAnsi="宋体" w:cs="宋体"/>
          <w:sz w:val="24"/>
          <w:szCs w:val="24"/>
        </w:rPr>
        <w:t xml:space="preserve">无</w:t>
      </w:r>
      <w:r/>
    </w:p>
    <w:p>
      <w:pPr>
        <w:pStyle w:val="899"/>
        <w:ind w:firstLine="498"/>
        <w:spacing w:before="145" w:after="145" w:line="360" w:lineRule="auto"/>
      </w:pPr>
      <w:r/>
      <w:bookmarkStart w:id="32" w:name="_Toc28359008"/>
      <w:r/>
      <w:bookmarkStart w:id="33" w:name="_Toc38985269"/>
      <w:r/>
      <w:bookmarkStart w:id="34" w:name="_Toc35393627"/>
      <w:r/>
      <w:bookmarkStart w:id="35" w:name="_Toc35393796"/>
      <w:r/>
      <w:bookmarkStart w:id="36" w:name="_Toc28359085"/>
      <w:r>
        <w:rPr>
          <w:rFonts w:hint="eastAsia"/>
        </w:rPr>
        <w:t xml:space="preserve">七、本次招标联系方式</w:t>
      </w:r>
      <w:bookmarkEnd w:id="32"/>
      <w:r/>
      <w:bookmarkEnd w:id="33"/>
      <w:r/>
      <w:bookmarkEnd w:id="34"/>
      <w:r/>
      <w:bookmarkEnd w:id="35"/>
      <w:r/>
      <w:bookmarkEnd w:id="36"/>
      <w:r/>
      <w:r/>
    </w:p>
    <w:p>
      <w:pPr>
        <w:ind w:left="1079" w:hanging="300"/>
        <w:jc w:val="left"/>
        <w:spacing w:line="360" w:lineRule="auto"/>
        <w:rPr>
          <w:rFonts w:hint="eastAsia" w:ascii="宋体" w:hAnsi="宋体"/>
          <w:color w:val="000000" w:themeColor="text1"/>
          <w:sz w:val="24"/>
          <w:szCs w:val="24"/>
          <w:highlight w:val="none"/>
          <w14:textFill>
            <w14:solidFill>
              <w14:schemeClr w14:val="tx1"/>
            </w14:solidFill>
          </w14:textFill>
        </w:rPr>
      </w:pPr>
      <w:r/>
      <w:bookmarkStart w:id="37" w:name="_Toc28359010"/>
      <w:r/>
      <w:bookmarkStart w:id="38" w:name="_Toc28359087"/>
      <w:r>
        <w:rPr>
          <w:rFonts w:hint="eastAsia" w:ascii="宋体" w:hAnsi="宋体"/>
          <w:color w:val="000000" w:themeColor="text1"/>
          <w:sz w:val="24"/>
          <w:szCs w:val="24"/>
          <w:highlight w:val="none"/>
          <w14:textFill>
            <w14:solidFill>
              <w14:schemeClr w14:val="tx1"/>
            </w14:solidFill>
          </w14:textFill>
        </w:rPr>
        <w:t xml:space="preserve">1.采购人信息</w:t>
      </w:r>
      <w:r/>
    </w:p>
    <w:p>
      <w:pPr>
        <w:ind w:left="1079" w:hanging="30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 </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称：扬州市市级机关事务管理局</w:t>
      </w:r>
      <w:r/>
    </w:p>
    <w:p>
      <w:pPr>
        <w:ind w:left="1079" w:hanging="30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w:t>
      </w:r>
      <w:r>
        <w:rPr>
          <w:rFonts w:hint="eastAsia" w:ascii="宋体" w:hAnsi="宋体"/>
          <w:color w:val="000000" w:themeColor="text1"/>
          <w:sz w:val="24"/>
          <w:szCs w:val="24"/>
          <w:highlight w:val="non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址：扬州市文昌西路8号</w:t>
      </w:r>
      <w:r/>
    </w:p>
    <w:p>
      <w:pPr>
        <w:ind w:left="1079" w:hanging="30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联系人：何主任</w:t>
      </w:r>
      <w:r/>
    </w:p>
    <w:p>
      <w:pPr>
        <w:ind w:left="1079" w:hanging="30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bookmarkStart w:id="39" w:name="_Toc28359009"/>
      <w:r/>
      <w:bookmarkStart w:id="40" w:name="_Toc28359086"/>
      <w:r>
        <w:rPr>
          <w:rFonts w:hint="eastAsia" w:ascii="宋体" w:hAnsi="宋体"/>
          <w:color w:val="000000" w:themeColor="text1"/>
          <w:sz w:val="24"/>
          <w:szCs w:val="24"/>
          <w:highlight w:val="none"/>
          <w14:textFill>
            <w14:solidFill>
              <w14:schemeClr w14:val="tx1"/>
            </w14:solidFill>
          </w14:textFill>
        </w:rPr>
        <w:t xml:space="preserve">19975000810</w:t>
      </w:r>
      <w:r/>
    </w:p>
    <w:p>
      <w:pPr>
        <w:ind w:left="1079" w:hanging="30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2.扬州市公共资源交易中心信息</w:t>
      </w:r>
      <w:bookmarkEnd w:id="39"/>
      <w:r/>
      <w:bookmarkEnd w:id="40"/>
      <w:r/>
      <w:r/>
    </w:p>
    <w:p>
      <w:pPr>
        <w:ind w:left="1079" w:hanging="300"/>
        <w:jc w:val="left"/>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　址：扬州市文昌东路9号市民中心1号楼5楼15</w:t>
      </w:r>
      <w:r>
        <w:rPr>
          <w:rFonts w:hint="eastAsia" w:ascii="宋体" w:hAnsi="宋体"/>
          <w:color w:val="000000" w:themeColor="text1"/>
          <w:sz w:val="24"/>
          <w:szCs w:val="24"/>
          <w:highlight w:val="none"/>
          <w:lang w:val="en-US" w:eastAsia="zh-CN"/>
          <w14:textFill>
            <w14:solidFill>
              <w14:schemeClr w14:val="tx1"/>
            </w14:solidFill>
          </w14:textFill>
        </w:rPr>
        <w:t xml:space="preserve">29室</w:t>
      </w:r>
      <w:r/>
    </w:p>
    <w:p>
      <w:pPr>
        <w:ind w:left="1079" w:hanging="300"/>
        <w:jc w:val="left"/>
        <w:spacing w:line="360" w:lineRule="auto"/>
        <w:rPr>
          <w:rFonts w:hint="eastAsia" w:ascii="宋体" w:hAnsi="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舒畅</w:t>
      </w:r>
      <w:r/>
    </w:p>
    <w:p>
      <w:pPr>
        <w:ind w:left="1079" w:hanging="300"/>
        <w:jc w:val="left"/>
        <w:spacing w:line="360" w:lineRule="auto"/>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联系方式：0514-820871</w:t>
      </w:r>
      <w:r>
        <w:rPr>
          <w:rFonts w:hint="eastAsia" w:ascii="宋体" w:hAnsi="宋体"/>
          <w:color w:val="000000" w:themeColor="text1"/>
          <w:sz w:val="24"/>
          <w:szCs w:val="24"/>
          <w:highlight w:val="none"/>
          <w:lang w:val="en-US" w:eastAsia="zh-CN"/>
          <w14:textFill>
            <w14:solidFill>
              <w14:schemeClr w14:val="tx1"/>
            </w14:solidFill>
          </w14:textFill>
        </w:rPr>
        <w:t xml:space="preserve">95</w:t>
      </w:r>
      <w:r/>
    </w:p>
    <w:p>
      <w:pPr>
        <w:ind w:firstLine="720"/>
        <w:spacing w:line="360" w:lineRule="auto"/>
        <w:rPr>
          <w:rFonts w:ascii="宋体" w:hAnsi="宋体"/>
          <w:sz w:val="24"/>
          <w:szCs w:val="24"/>
        </w:rPr>
      </w:pPr>
      <w:r>
        <w:rPr>
          <w:rFonts w:ascii="宋体" w:hAnsi="宋体"/>
          <w:sz w:val="24"/>
          <w:szCs w:val="24"/>
        </w:rPr>
      </w:r>
      <w:bookmarkEnd w:id="37"/>
      <w:r/>
      <w:bookmarkEnd w:id="38"/>
      <w:r/>
      <w:r/>
    </w:p>
    <w:p>
      <w:pPr>
        <w:pStyle w:val="899"/>
        <w:ind w:firstLine="498"/>
        <w:spacing w:before="145" w:after="145" w:line="360" w:lineRule="auto"/>
      </w:pPr>
      <w:r>
        <w:rPr>
          <w:rFonts w:hint="eastAsia"/>
        </w:rPr>
        <w:t xml:space="preserve">八、其他</w:t>
      </w:r>
      <w:r/>
    </w:p>
    <w:p>
      <w:pPr>
        <w:ind w:firstLine="480"/>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w:t>
      </w:r>
      <w:r>
        <w:rPr>
          <w:rFonts w:ascii="宋体" w:hAnsi="宋体" w:eastAsia="宋体" w:cs="宋体"/>
          <w:color w:val="0000ff"/>
          <w:sz w:val="24"/>
        </w:rPr>
        <w:t xml:space="preserve">http://zfcg.yangzhou.gov.cn/zfcg/xzzx/202309/4d7de1f7865f4a2894fc22bc452f94d8.shtml</w:t>
      </w:r>
      <w:r>
        <w:rPr>
          <w:rFonts w:hint="eastAsia" w:ascii="宋体" w:hAnsi="宋体" w:eastAsia="宋体" w:cs="宋体"/>
          <w:color w:val="0000ff"/>
          <w:sz w:val="24"/>
          <w:lang w:eastAsia="zh-CN"/>
        </w:rPr>
        <w:t xml:space="preserve">，</w:t>
      </w:r>
      <w:r>
        <w:rPr>
          <w:rFonts w:ascii="宋体" w:hAnsi="宋体" w:eastAsia="宋体" w:cs="宋体"/>
          <w:color w:val="0000ff"/>
          <w:sz w:val="24"/>
        </w:rPr>
        <w:t xml:space="preserve">请按《操作手册》要求制作、上传电子投标文件。</w:t>
      </w:r>
      <w:r/>
    </w:p>
    <w:p>
      <w:pPr>
        <w:ind w:firstLine="480"/>
        <w:spacing w:line="560" w:lineRule="exact"/>
        <w:tabs>
          <w:tab w:val="left" w:pos="900" w:leader="none"/>
        </w:tabs>
        <w:rPr>
          <w:rFonts w:hint="eastAsia" w:ascii="宋体" w:hAnsi="宋体"/>
          <w:color w:val="0000ff"/>
          <w:sz w:val="24"/>
          <w:szCs w:val="24"/>
        </w:rPr>
      </w:pPr>
      <w:r>
        <w:rPr>
          <w:rFonts w:hint="eastAsia" w:ascii="宋体" w:hAnsi="宋体"/>
          <w:bCs/>
          <w:color w:val="ff0000"/>
          <w:sz w:val="24"/>
          <w:szCs w:val="24"/>
        </w:rPr>
        <w:t xml:space="preserve">领取CA和办理电子签章</w:t>
      </w:r>
      <w:r>
        <w:rPr>
          <w:rFonts w:ascii="宋体" w:hAnsi="宋体" w:eastAsia="宋体" w:cs="宋体"/>
          <w:color w:val="0000ff"/>
          <w:sz w:val="24"/>
        </w:rPr>
        <w:t xml:space="preserve">（请至扬州市文昌东路9号广陵新城市民中心1号楼5楼办理，具体联系方式：18952716110）</w:t>
      </w:r>
      <w:r>
        <w:rPr>
          <w:rFonts w:hint="eastAsia" w:ascii="宋体" w:hAnsi="宋体"/>
          <w:bCs/>
          <w:color w:val="0000ff"/>
          <w:sz w:val="24"/>
          <w:szCs w:val="24"/>
        </w:rPr>
        <w:t xml:space="preserve">。</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lang w:val="en-US" w:eastAsia="zh-CN"/>
        </w:rPr>
        <w:t xml:space="preserve">扬州市公共资源</w:t>
      </w:r>
      <w:r>
        <w:rPr>
          <w:rFonts w:hint="eastAsia" w:ascii="宋体" w:hAnsi="宋体"/>
          <w:bCs/>
          <w:sz w:val="24"/>
          <w:szCs w:val="24"/>
          <w:lang w:eastAsia="zh-CN"/>
        </w:rPr>
        <w:t xml:space="preserve">交易中心</w:t>
      </w:r>
      <w:r>
        <w:rPr>
          <w:rFonts w:hint="eastAsia" w:ascii="宋体" w:hAnsi="宋体"/>
          <w:bCs/>
          <w:sz w:val="24"/>
          <w:szCs w:val="24"/>
        </w:rPr>
        <w:t xml:space="preserve">在“江苏政府采购网”</w:t>
      </w:r>
      <w:r>
        <w:rPr>
          <w:rFonts w:hint="eastAsia" w:ascii="宋体" w:hAnsi="宋体"/>
          <w:bCs/>
          <w:color w:val="0000ff"/>
          <w:sz w:val="24"/>
          <w:szCs w:val="24"/>
          <w:lang w:eastAsia="zh-CN"/>
        </w:rPr>
        <w:t xml:space="preserve">“</w:t>
      </w:r>
      <w:r>
        <w:rPr>
          <w:rFonts w:hint="eastAsia" w:ascii="宋体" w:hAnsi="宋体"/>
          <w:bCs/>
          <w:color w:val="0000ff"/>
          <w:sz w:val="24"/>
          <w:szCs w:val="24"/>
          <w:lang w:val="en-US" w:eastAsia="zh-CN"/>
        </w:rPr>
        <w:t xml:space="preserve">扬州市政府采购网</w:t>
      </w:r>
      <w:r>
        <w:rPr>
          <w:rFonts w:hint="eastAsia" w:ascii="宋体" w:hAnsi="宋体"/>
          <w:bCs/>
          <w:color w:val="0000ff"/>
          <w:sz w:val="24"/>
          <w:szCs w:val="24"/>
          <w:lang w:eastAsia="zh-CN"/>
        </w:rPr>
        <w:t xml:space="preserve">”</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896"/>
        <w:rPr>
          <w:rFonts w:hint="eastAsia"/>
        </w:rPr>
      </w:pPr>
      <w:r/>
      <w:bookmarkStart w:id="41" w:name="_Toc120614211"/>
      <w:r/>
      <w:bookmarkStart w:id="42" w:name="_Toc13339"/>
      <w:r/>
      <w:bookmarkStart w:id="43" w:name="_Toc20518"/>
      <w:r>
        <w:rPr>
          <w:rFonts w:hint="eastAsia"/>
          <w:b/>
          <w:bCs/>
        </w:rPr>
        <w:t xml:space="preserve">第二章  </w:t>
      </w:r>
      <w:bookmarkEnd w:id="1"/>
      <w:r/>
      <w:bookmarkEnd w:id="2"/>
      <w:r/>
      <w:bookmarkEnd w:id="3"/>
      <w:r/>
      <w:bookmarkEnd w:id="4"/>
      <w:r/>
      <w:bookmarkEnd w:id="5"/>
      <w:r/>
      <w:bookmarkEnd w:id="41"/>
      <w:r/>
      <w:bookmarkStart w:id="44" w:name="_Toc120614213"/>
      <w:r/>
      <w:bookmarkStart w:id="45" w:name="_Toc513029202"/>
      <w:r/>
      <w:bookmarkStart w:id="46" w:name="_Toc20823274"/>
      <w:r/>
      <w:bookmarkStart w:id="47" w:name="_Toc16938518"/>
      <w:r>
        <w:rPr>
          <w:rFonts w:hint="eastAsia"/>
          <w:b/>
          <w:bCs/>
        </w:rPr>
        <w:t xml:space="preserve">投标人须知</w:t>
      </w:r>
      <w:bookmarkEnd w:id="42"/>
      <w:r/>
      <w:bookmarkEnd w:id="43"/>
      <w:r/>
      <w:bookmarkEnd w:id="44"/>
      <w:r/>
      <w:bookmarkEnd w:id="45"/>
      <w:r/>
      <w:bookmarkEnd w:id="46"/>
      <w:r/>
      <w:bookmarkEnd w:id="47"/>
      <w:r/>
      <w:r/>
    </w:p>
    <w:p>
      <w:pPr>
        <w:pStyle w:val="899"/>
        <w:ind w:firstLine="498"/>
        <w:spacing w:before="145" w:after="145" w:line="360" w:lineRule="auto"/>
        <w:rPr>
          <w:rFonts w:hint="eastAsia"/>
        </w:rPr>
      </w:pPr>
      <w:r/>
      <w:bookmarkStart w:id="48" w:name="_Toc20823275"/>
      <w:r/>
      <w:bookmarkStart w:id="49" w:name="_Toc120614214"/>
      <w:r/>
      <w:bookmarkStart w:id="50" w:name="_Toc513029203"/>
      <w:r/>
      <w:bookmarkStart w:id="51" w:name="_Toc16938519"/>
      <w:r>
        <w:rPr>
          <w:rFonts w:hint="eastAsia"/>
        </w:rPr>
        <w:t xml:space="preserve">一、总则</w:t>
      </w:r>
      <w:bookmarkEnd w:id="48"/>
      <w:r/>
      <w:bookmarkEnd w:id="49"/>
      <w:r/>
      <w:bookmarkEnd w:id="50"/>
      <w:r/>
      <w:bookmarkEnd w:id="51"/>
      <w:r/>
      <w:r/>
    </w:p>
    <w:p>
      <w:pPr>
        <w:pStyle w:val="900"/>
        <w:ind w:firstLine="420"/>
        <w:spacing w:before="0" w:after="0" w:line="240" w:lineRule="auto"/>
        <w:rPr>
          <w:rFonts w:hint="eastAsia"/>
          <w:b w:val="0"/>
          <w:bCs w:val="0"/>
        </w:rPr>
      </w:pPr>
      <w:r/>
      <w:bookmarkStart w:id="52" w:name="_Hlt16619475"/>
      <w:r/>
      <w:bookmarkEnd w:id="52"/>
      <w:r/>
      <w:bookmarkStart w:id="53" w:name="_Toc458694821"/>
      <w:r/>
      <w:bookmarkStart w:id="54" w:name="_Toc513029204"/>
      <w:r/>
      <w:bookmarkStart w:id="55" w:name="_Toc16938520"/>
      <w:r/>
      <w:bookmarkStart w:id="56" w:name="_Toc20823276"/>
      <w:r>
        <w:rPr>
          <w:rFonts w:hint="eastAsia"/>
          <w:b w:val="0"/>
          <w:bCs w:val="0"/>
        </w:rPr>
        <w:t xml:space="preserve">1</w:t>
      </w:r>
      <w:bookmarkEnd w:id="53"/>
      <w:r>
        <w:rPr>
          <w:rFonts w:hint="eastAsia"/>
          <w:b w:val="0"/>
          <w:bCs w:val="0"/>
        </w:rPr>
        <w:t xml:space="preserve">、招标方式</w:t>
      </w:r>
      <w:bookmarkEnd w:id="54"/>
      <w:r/>
      <w:bookmarkEnd w:id="55"/>
      <w:r/>
      <w:bookmarkEnd w:id="56"/>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00"/>
        <w:ind w:firstLine="420"/>
        <w:spacing w:before="0" w:after="0" w:line="240" w:lineRule="auto"/>
        <w:rPr>
          <w:rFonts w:hint="eastAsia"/>
          <w:b w:val="0"/>
          <w:bCs w:val="0"/>
        </w:rPr>
      </w:pPr>
      <w:r/>
      <w:bookmarkStart w:id="57" w:name="_Toc20823277"/>
      <w:r/>
      <w:bookmarkStart w:id="58" w:name="_Toc513029205"/>
      <w:r/>
      <w:bookmarkStart w:id="59" w:name="_Toc16938521"/>
      <w:r>
        <w:rPr>
          <w:rFonts w:hint="eastAsia"/>
          <w:b w:val="0"/>
          <w:bCs w:val="0"/>
        </w:rPr>
        <w:t xml:space="preserve">2、合格的投标人</w:t>
      </w:r>
      <w:bookmarkEnd w:id="57"/>
      <w:r/>
      <w:bookmarkEnd w:id="58"/>
      <w:r/>
      <w:bookmarkEnd w:id="59"/>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00"/>
        <w:ind w:firstLine="420"/>
        <w:spacing w:before="0" w:after="0" w:line="240" w:lineRule="auto"/>
        <w:rPr>
          <w:rFonts w:hint="eastAsia"/>
          <w:b w:val="0"/>
          <w:bCs w:val="0"/>
        </w:rPr>
      </w:pPr>
      <w:r/>
      <w:bookmarkStart w:id="60" w:name="_Toc20823278"/>
      <w:r/>
      <w:bookmarkStart w:id="61" w:name="_Toc16938522"/>
      <w:r/>
      <w:bookmarkStart w:id="62" w:name="_Toc513029206"/>
      <w:r>
        <w:rPr>
          <w:rFonts w:hint="eastAsia"/>
          <w:b w:val="0"/>
          <w:bCs w:val="0"/>
        </w:rPr>
        <w:t xml:space="preserve">3、适用法律</w:t>
      </w:r>
      <w:bookmarkEnd w:id="60"/>
      <w:r/>
      <w:bookmarkEnd w:id="61"/>
      <w:r/>
      <w:bookmarkEnd w:id="62"/>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00"/>
        <w:ind w:firstLine="420"/>
        <w:spacing w:before="0" w:after="0" w:line="240" w:lineRule="auto"/>
        <w:rPr>
          <w:rFonts w:hint="eastAsia"/>
          <w:b w:val="0"/>
          <w:bCs w:val="0"/>
        </w:rPr>
      </w:pPr>
      <w:r/>
      <w:bookmarkStart w:id="63" w:name="_Toc16938523"/>
      <w:r/>
      <w:bookmarkStart w:id="64" w:name="_Toc513029207"/>
      <w:r/>
      <w:bookmarkStart w:id="65" w:name="_Toc20823279"/>
      <w:r/>
      <w:bookmarkStart w:id="66" w:name="_Toc462564067"/>
      <w:r>
        <w:rPr>
          <w:rFonts w:hint="eastAsia"/>
          <w:b w:val="0"/>
          <w:bCs w:val="0"/>
        </w:rPr>
        <w:t xml:space="preserve">4、投标费用</w:t>
      </w:r>
      <w:bookmarkEnd w:id="63"/>
      <w:r/>
      <w:bookmarkEnd w:id="64"/>
      <w:r/>
      <w:bookmarkEnd w:id="65"/>
      <w:r/>
      <w:bookmarkEnd w:id="66"/>
      <w:r/>
      <w:r/>
    </w:p>
    <w:p>
      <w:pPr>
        <w:ind w:firstLine="480"/>
        <w:spacing w:line="500" w:lineRule="exact"/>
        <w:rPr>
          <w:rFonts w:hint="eastAsia" w:ascii="宋体" w:hAnsi="宋体"/>
          <w:color w:val="000000" w:themeColor="text1"/>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color w:val="000000" w:themeColor="text1"/>
          <w:sz w:val="24"/>
          <w:lang w:val="en-US" w:eastAsia="zh-CN"/>
        </w:rPr>
        <w:t xml:space="preserve">扬州市公共资源交易中心</w:t>
      </w:r>
      <w:r>
        <w:rPr>
          <w:rFonts w:hint="eastAsia" w:ascii="宋体" w:hAnsi="宋体"/>
          <w:color w:val="000000" w:themeColor="text1"/>
          <w:sz w:val="24"/>
        </w:rPr>
        <w:t xml:space="preserve">（以下简称</w:t>
      </w:r>
      <w:r>
        <w:rPr>
          <w:rFonts w:hint="eastAsia" w:ascii="宋体" w:hAnsi="宋体"/>
          <w:color w:val="000000" w:themeColor="text1"/>
          <w:sz w:val="24"/>
          <w:lang w:val="en-US" w:eastAsia="zh-CN"/>
        </w:rPr>
        <w:t xml:space="preserve">交易</w:t>
      </w:r>
      <w:r>
        <w:rPr>
          <w:rFonts w:hint="eastAsia" w:ascii="宋体" w:hAnsi="宋体"/>
          <w:color w:val="000000" w:themeColor="text1"/>
          <w:sz w:val="24"/>
        </w:rPr>
        <w:t xml:space="preserve">中心）</w:t>
      </w:r>
      <w:r>
        <w:rPr>
          <w:rFonts w:hint="eastAsia" w:ascii="宋体" w:hAnsi="宋体"/>
          <w:color w:val="000000" w:themeColor="text1"/>
          <w:sz w:val="24"/>
        </w:rPr>
        <w:t xml:space="preserve">在任何情况下均无义务和责任承担这些费用。</w:t>
      </w:r>
      <w:r>
        <w:rPr>
          <w:color w:val="000000" w:themeColor="text1"/>
        </w:rPr>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4.2本次招标</w:t>
      </w:r>
      <w:r>
        <w:rPr>
          <w:rFonts w:hint="eastAsia" w:ascii="宋体" w:hAnsi="宋体"/>
          <w:color w:val="000000" w:themeColor="text1"/>
          <w:sz w:val="24"/>
          <w:lang w:val="en-US" w:eastAsia="zh-CN"/>
        </w:rPr>
        <w:t xml:space="preserve">交易</w:t>
      </w:r>
      <w:r>
        <w:rPr>
          <w:rFonts w:hint="eastAsia" w:ascii="宋体" w:hAnsi="宋体"/>
          <w:color w:val="000000" w:themeColor="text1"/>
          <w:sz w:val="24"/>
        </w:rPr>
        <w:t xml:space="preserve">中心</w:t>
      </w:r>
      <w:r>
        <w:rPr>
          <w:rFonts w:hint="eastAsia" w:ascii="宋体" w:hAnsi="宋体"/>
          <w:color w:val="000000" w:themeColor="text1"/>
          <w:sz w:val="24"/>
        </w:rPr>
        <w:t xml:space="preserve">和采购人不收取标书工本费与中标服务费。</w:t>
      </w:r>
      <w:r>
        <w:rPr>
          <w:color w:val="000000" w:themeColor="text1"/>
        </w:rPr>
      </w:r>
      <w:r/>
    </w:p>
    <w:p>
      <w:pPr>
        <w:pStyle w:val="900"/>
        <w:ind w:firstLine="602"/>
        <w:spacing w:before="0" w:after="0" w:line="480" w:lineRule="exact"/>
        <w:rPr>
          <w:rFonts w:hint="eastAsia" w:ascii="黑体" w:hAnsi="宋体"/>
          <w:b w:val="0"/>
          <w:bCs w:val="0"/>
          <w:color w:val="000000" w:themeColor="text1"/>
        </w:rPr>
      </w:pPr>
      <w:r>
        <w:rPr>
          <w:rFonts w:hint="eastAsia" w:ascii="宋体" w:hAnsi="宋体"/>
          <w:color w:val="000000" w:themeColor="text1"/>
          <w:sz w:val="30"/>
        </w:rPr>
        <w:t xml:space="preserve">5、</w:t>
      </w:r>
      <w:r>
        <w:rPr>
          <w:rFonts w:hint="eastAsia" w:ascii="黑体" w:hAnsi="宋体"/>
          <w:b w:val="0"/>
          <w:bCs w:val="0"/>
          <w:color w:val="000000" w:themeColor="text1"/>
        </w:rPr>
        <w:t xml:space="preserve">招标文件的约束力</w:t>
      </w:r>
      <w:r>
        <w:rPr>
          <w:color w:val="000000" w:themeColor="text1"/>
        </w:rPr>
      </w:r>
      <w:r/>
    </w:p>
    <w:p>
      <w:pPr>
        <w:ind w:firstLine="480"/>
        <w:spacing w:line="480" w:lineRule="exact"/>
        <w:rPr>
          <w:rFonts w:hint="eastAsia" w:ascii="宋体" w:hAnsi="宋体"/>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投标人一旦参加本项目</w:t>
      </w:r>
      <w:r>
        <w:rPr>
          <w:rFonts w:hint="eastAsia" w:ascii="宋体" w:hAnsi="宋体"/>
          <w:sz w:val="24"/>
          <w:szCs w:val="24"/>
        </w:rPr>
        <w:t xml:space="preserve">采购活动，即被认为接受了本招标文件的规定和约束。</w:t>
      </w:r>
      <w:r/>
    </w:p>
    <w:p>
      <w:pPr>
        <w:pStyle w:val="899"/>
        <w:ind w:firstLine="321"/>
        <w:spacing w:before="145" w:after="145" w:line="360" w:lineRule="auto"/>
        <w:rPr>
          <w:rFonts w:hint="eastAsia"/>
        </w:rPr>
      </w:pPr>
      <w:r/>
      <w:bookmarkStart w:id="67" w:name="_Toc120614215"/>
      <w:r/>
      <w:bookmarkStart w:id="68" w:name="_Toc513029209"/>
      <w:r/>
      <w:bookmarkStart w:id="69" w:name="_Toc16938525"/>
      <w:r/>
      <w:bookmarkStart w:id="70" w:name="_Toc20823281"/>
      <w:r>
        <w:rPr>
          <w:rFonts w:hint="eastAsia"/>
        </w:rPr>
        <w:t xml:space="preserve">二、招标文件</w:t>
      </w:r>
      <w:bookmarkEnd w:id="67"/>
      <w:r/>
      <w:bookmarkEnd w:id="68"/>
      <w:r/>
      <w:bookmarkEnd w:id="69"/>
      <w:r/>
      <w:bookmarkEnd w:id="70"/>
      <w:r/>
      <w:r/>
    </w:p>
    <w:p>
      <w:pPr>
        <w:pStyle w:val="900"/>
        <w:ind w:firstLine="420"/>
        <w:spacing w:before="0" w:after="0" w:line="240" w:lineRule="auto"/>
        <w:rPr>
          <w:rFonts w:hint="eastAsia"/>
          <w:b w:val="0"/>
          <w:bCs w:val="0"/>
        </w:rPr>
      </w:pPr>
      <w:r/>
      <w:bookmarkStart w:id="71" w:name="_Toc16938526"/>
      <w:r/>
      <w:bookmarkStart w:id="72" w:name="_Toc513029210"/>
      <w:r/>
      <w:bookmarkStart w:id="73" w:name="_Toc20823282"/>
      <w:r>
        <w:rPr>
          <w:rFonts w:hint="eastAsia"/>
          <w:b w:val="0"/>
          <w:bCs w:val="0"/>
        </w:rPr>
        <w:t xml:space="preserve">6、招标文件构成</w:t>
      </w:r>
      <w:bookmarkEnd w:id="71"/>
      <w:r/>
      <w:bookmarkEnd w:id="72"/>
      <w:r/>
      <w:bookmarkEnd w:id="73"/>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w:t>
      </w:r>
      <w:r>
        <w:rPr>
          <w:rFonts w:hint="eastAsia" w:ascii="宋体" w:hAnsi="宋体"/>
          <w:sz w:val="24"/>
          <w:lang w:eastAsia="zh-CN"/>
        </w:rPr>
        <w:t xml:space="preserve">交易中心</w:t>
      </w:r>
      <w:r>
        <w:rPr>
          <w:rFonts w:hint="eastAsia" w:ascii="宋体" w:hAnsi="宋体"/>
          <w:sz w:val="24"/>
        </w:rPr>
        <w:t xml:space="preserve">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0"/>
        <w:ind w:firstLine="560"/>
        <w:spacing w:before="0" w:after="0" w:line="240" w:lineRule="auto"/>
        <w:rPr>
          <w:rFonts w:hint="eastAsia"/>
          <w:b w:val="0"/>
          <w:bCs w:val="0"/>
        </w:rPr>
      </w:pPr>
      <w:r/>
      <w:bookmarkStart w:id="74" w:name="_Toc20823283"/>
      <w:r/>
      <w:bookmarkStart w:id="75" w:name="_Toc16938527"/>
      <w:r/>
      <w:bookmarkStart w:id="76" w:name="_Toc513029211"/>
      <w:r/>
      <w:bookmarkStart w:id="77" w:name="_Toc462564070"/>
      <w:r>
        <w:rPr>
          <w:rFonts w:hint="eastAsia"/>
          <w:b w:val="0"/>
          <w:bCs w:val="0"/>
        </w:rPr>
        <w:t xml:space="preserve">7、招标文件的澄清</w:t>
      </w:r>
      <w:bookmarkEnd w:id="74"/>
      <w:r/>
      <w:bookmarkEnd w:id="75"/>
      <w:r/>
      <w:bookmarkEnd w:id="76"/>
      <w:r/>
      <w:bookmarkEnd w:id="77"/>
      <w:r/>
      <w:r/>
    </w:p>
    <w:p>
      <w:pPr>
        <w:ind w:firstLine="480"/>
        <w:spacing w:line="480" w:lineRule="exact"/>
        <w:rPr>
          <w:rFonts w:hint="eastAsia" w:ascii="宋体" w:hAnsi="宋体"/>
          <w:color w:val="000000" w:themeColor="text1"/>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w:t>
      </w:r>
      <w:r>
        <w:rPr>
          <w:rFonts w:hint="eastAsia" w:ascii="宋体" w:hAnsi="宋体"/>
          <w:color w:val="000000" w:themeColor="text1"/>
          <w:sz w:val="24"/>
        </w:rPr>
        <w:t xml:space="preserve">式通知</w:t>
      </w:r>
      <w:r>
        <w:rPr>
          <w:rFonts w:hint="eastAsia" w:ascii="宋体" w:hAnsi="宋体"/>
          <w:color w:val="000000" w:themeColor="text1"/>
          <w:sz w:val="24"/>
          <w:lang w:val="en-US" w:eastAsia="zh-CN"/>
        </w:rPr>
        <w:t xml:space="preserve">交易</w:t>
      </w:r>
      <w:r>
        <w:rPr>
          <w:rFonts w:hint="eastAsia" w:ascii="宋体" w:hAnsi="宋体"/>
          <w:color w:val="000000" w:themeColor="text1"/>
          <w:sz w:val="24"/>
        </w:rPr>
        <w:t xml:space="preserve">中心。</w:t>
      </w:r>
      <w:r>
        <w:rPr>
          <w:color w:val="000000" w:themeColor="text1"/>
        </w:rPr>
      </w:r>
      <w:r/>
    </w:p>
    <w:p>
      <w:pPr>
        <w:pStyle w:val="900"/>
        <w:ind w:firstLine="560"/>
        <w:spacing w:before="0" w:after="0" w:line="240" w:lineRule="auto"/>
        <w:rPr>
          <w:rFonts w:hint="eastAsia"/>
          <w:b w:val="0"/>
          <w:bCs w:val="0"/>
          <w:color w:val="000000" w:themeColor="text1"/>
        </w:rPr>
      </w:pPr>
      <w:r>
        <w:rPr>
          <w:color w:val="000000" w:themeColor="text1"/>
        </w:rPr>
      </w:r>
      <w:bookmarkStart w:id="78" w:name="_Toc462564071"/>
      <w:r>
        <w:rPr>
          <w:color w:val="000000" w:themeColor="text1"/>
        </w:rPr>
      </w:r>
      <w:bookmarkStart w:id="79" w:name="_Toc20823284"/>
      <w:r>
        <w:rPr>
          <w:color w:val="000000" w:themeColor="text1"/>
        </w:rPr>
      </w:r>
      <w:bookmarkStart w:id="80" w:name="_Toc16938528"/>
      <w:r>
        <w:rPr>
          <w:color w:val="000000" w:themeColor="text1"/>
        </w:rPr>
      </w:r>
      <w:bookmarkStart w:id="81" w:name="_Toc513029212"/>
      <w:r>
        <w:rPr>
          <w:rFonts w:hint="eastAsia"/>
          <w:b w:val="0"/>
          <w:bCs w:val="0"/>
          <w:color w:val="000000" w:themeColor="text1"/>
        </w:rPr>
        <w:t xml:space="preserve">8、招标文件的修改</w:t>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8.1</w:t>
      </w:r>
      <w:r>
        <w:rPr>
          <w:rFonts w:hint="eastAsia" w:ascii="宋体" w:hAnsi="宋体"/>
          <w:color w:val="000000" w:themeColor="text1"/>
          <w:sz w:val="24"/>
        </w:rPr>
        <w:t xml:space="preserve"> 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w:t>
      </w:r>
      <w:r>
        <w:rPr>
          <w:rFonts w:hint="eastAsia" w:ascii="宋体" w:hAnsi="宋体"/>
          <w:color w:val="000000" w:themeColor="text1"/>
          <w:sz w:val="24"/>
          <w:lang w:eastAsia="zh-CN"/>
        </w:rPr>
        <w:t xml:space="preserve">交易中心</w:t>
      </w:r>
      <w:r>
        <w:rPr>
          <w:rFonts w:hint="eastAsia" w:ascii="宋体" w:hAnsi="宋体"/>
          <w:color w:val="000000" w:themeColor="text1"/>
          <w:sz w:val="24"/>
        </w:rPr>
        <w:t xml:space="preserve">可以对招标文件进行修改。</w:t>
      </w:r>
      <w:r>
        <w:rPr>
          <w:color w:val="000000" w:themeColor="text1"/>
        </w:rPr>
      </w:r>
      <w:r/>
    </w:p>
    <w:p>
      <w:pPr>
        <w:ind w:firstLine="480"/>
        <w:spacing w:line="500" w:lineRule="exact"/>
        <w:rPr>
          <w:rFonts w:hint="eastAsia" w:ascii="宋体" w:hAnsi="Arial"/>
          <w:color w:val="000000" w:themeColor="text1"/>
          <w:sz w:val="28"/>
        </w:rPr>
      </w:pPr>
      <w:r>
        <w:rPr>
          <w:rFonts w:hint="eastAsia" w:ascii="宋体" w:hAnsi="宋体"/>
          <w:bCs/>
          <w:color w:val="000000" w:themeColor="text1"/>
          <w:sz w:val="24"/>
        </w:rPr>
        <w:t xml:space="preserve">8.2 </w:t>
      </w:r>
      <w:r>
        <w:rPr>
          <w:rFonts w:hint="eastAsia" w:ascii="宋体" w:hAnsi="宋体"/>
          <w:color w:val="000000" w:themeColor="text1"/>
          <w:sz w:val="24"/>
          <w:lang w:eastAsia="zh-CN"/>
        </w:rPr>
        <w:t xml:space="preserve">交易中心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rPr>
          <w:color w:val="000000" w:themeColor="text1"/>
        </w:rPr>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8.3 </w:t>
      </w:r>
      <w:r>
        <w:rPr>
          <w:rFonts w:hint="eastAsia" w:ascii="宋体" w:hAnsi="宋体"/>
          <w:color w:val="000000" w:themeColor="text1"/>
          <w:sz w:val="24"/>
        </w:rPr>
        <w:t xml:space="preserve">招标文件的修改将在江苏政府采购网</w:t>
      </w:r>
      <w:r>
        <w:rPr>
          <w:rFonts w:hint="eastAsia" w:ascii="宋体" w:hAnsi="宋体"/>
          <w:color w:val="000000" w:themeColor="text1"/>
          <w:sz w:val="24"/>
          <w:lang w:eastAsia="zh-CN"/>
        </w:rPr>
        <w:t xml:space="preserve">、</w:t>
      </w:r>
      <w:r>
        <w:rPr>
          <w:rFonts w:hint="eastAsia" w:ascii="宋体" w:hAnsi="宋体"/>
          <w:color w:val="000000" w:themeColor="text1"/>
          <w:sz w:val="24"/>
          <w:lang w:val="en-US" w:eastAsia="zh-CN"/>
        </w:rPr>
        <w:t xml:space="preserve">扬州市政府采购网</w:t>
      </w:r>
      <w:r>
        <w:rPr>
          <w:rFonts w:hint="eastAsia" w:ascii="宋体" w:hAnsi="宋体"/>
          <w:color w:val="000000" w:themeColor="text1"/>
          <w:sz w:val="24"/>
        </w:rPr>
        <w:t xml:space="preserve">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rPr>
        <w:t xml:space="preserve">并对投标人具有约束力。</w:t>
      </w:r>
      <w:r>
        <w:rPr>
          <w:color w:val="000000" w:themeColor="text1"/>
        </w:rPr>
      </w:r>
      <w:r/>
    </w:p>
    <w:p>
      <w:pPr>
        <w:pStyle w:val="899"/>
        <w:ind w:firstLine="482"/>
        <w:spacing w:before="145" w:after="145" w:line="360" w:lineRule="auto"/>
        <w:rPr>
          <w:rFonts w:hint="eastAsia"/>
        </w:rPr>
      </w:pPr>
      <w:r/>
      <w:bookmarkStart w:id="82" w:name="_Toc462564072"/>
      <w:r/>
      <w:bookmarkStart w:id="83" w:name="_Toc20823285"/>
      <w:r/>
      <w:bookmarkStart w:id="84" w:name="_Toc513029213"/>
      <w:r/>
      <w:bookmarkStart w:id="85" w:name="_Toc120614216"/>
      <w:r/>
      <w:bookmarkStart w:id="86" w:name="_Toc16938529"/>
      <w:r>
        <w:rPr>
          <w:rFonts w:hint="eastAsia"/>
        </w:rPr>
        <w:t xml:space="preserve">三、投标文件的编制</w:t>
      </w:r>
      <w:bookmarkEnd w:id="82"/>
      <w:r/>
      <w:bookmarkEnd w:id="83"/>
      <w:r/>
      <w:bookmarkEnd w:id="84"/>
      <w:r/>
      <w:bookmarkEnd w:id="85"/>
      <w:r/>
      <w:bookmarkEnd w:id="86"/>
      <w:r/>
      <w:r/>
    </w:p>
    <w:p>
      <w:pPr>
        <w:pStyle w:val="900"/>
        <w:ind w:firstLine="560"/>
        <w:spacing w:before="0" w:after="0" w:line="240" w:lineRule="auto"/>
        <w:rPr>
          <w:rFonts w:hint="eastAsia"/>
          <w:bCs w:val="0"/>
        </w:rPr>
      </w:pPr>
      <w:r/>
      <w:bookmarkStart w:id="87" w:name="_Toc462564073"/>
      <w:r/>
      <w:bookmarkStart w:id="88" w:name="_Toc16938530"/>
      <w:r/>
      <w:bookmarkStart w:id="89" w:name="_Toc20823286"/>
      <w:r/>
      <w:bookmarkStart w:id="90" w:name="_Toc513029214"/>
      <w:r>
        <w:rPr>
          <w:rFonts w:hint="eastAsia"/>
          <w:b w:val="0"/>
          <w:bCs w:val="0"/>
        </w:rPr>
        <w:t xml:space="preserve">9、投标文件的语言及度量衡单位</w:t>
      </w:r>
      <w:bookmarkEnd w:id="87"/>
      <w:r/>
      <w:bookmarkEnd w:id="88"/>
      <w:r/>
      <w:bookmarkEnd w:id="89"/>
      <w:r/>
      <w:bookmarkEnd w:id="90"/>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w:t>
      </w:r>
      <w:r>
        <w:rPr>
          <w:rFonts w:hint="eastAsia" w:ascii="宋体" w:hAnsi="宋体"/>
          <w:sz w:val="24"/>
          <w:lang w:eastAsia="zh-CN"/>
        </w:rPr>
        <w:t xml:space="preserve">交易中心</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00"/>
        <w:ind w:firstLine="420"/>
        <w:spacing w:before="0" w:after="0" w:line="240" w:lineRule="auto"/>
        <w:rPr>
          <w:rFonts w:hint="eastAsia"/>
          <w:b w:val="0"/>
          <w:bCs w:val="0"/>
        </w:rPr>
      </w:pPr>
      <w:r/>
      <w:bookmarkStart w:id="91" w:name="_Toc16938531"/>
      <w:r/>
      <w:bookmarkStart w:id="92" w:name="_Toc462564074"/>
      <w:r/>
      <w:bookmarkStart w:id="93" w:name="_Toc513029215"/>
      <w:r/>
      <w:bookmarkStart w:id="94" w:name="_Toc20823287"/>
      <w:r>
        <w:rPr>
          <w:rFonts w:hint="eastAsia"/>
          <w:b w:val="0"/>
          <w:bCs w:val="0"/>
        </w:rPr>
        <w:t xml:space="preserve">10、投标文件构成</w:t>
      </w:r>
      <w:bookmarkEnd w:id="91"/>
      <w:r/>
      <w:bookmarkEnd w:id="92"/>
      <w:r/>
      <w:bookmarkEnd w:id="93"/>
      <w:r/>
      <w:bookmarkEnd w:id="94"/>
      <w:r/>
      <w:r/>
    </w:p>
    <w:p>
      <w:pPr>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900"/>
        <w:ind w:firstLine="420"/>
        <w:spacing w:before="0" w:after="0" w:line="240" w:lineRule="auto"/>
        <w:rPr>
          <w:rFonts w:hint="eastAsia"/>
          <w:b w:val="0"/>
          <w:bCs w:val="0"/>
        </w:rPr>
      </w:pPr>
      <w:r/>
      <w:bookmarkStart w:id="95" w:name="_Hlt26670360"/>
      <w:r/>
      <w:bookmarkEnd w:id="95"/>
      <w:r/>
      <w:bookmarkStart w:id="96" w:name="_Hlt26954838"/>
      <w:r/>
      <w:bookmarkEnd w:id="96"/>
      <w:r/>
      <w:bookmarkStart w:id="97" w:name="_Hlt26668975"/>
      <w:r/>
      <w:bookmarkEnd w:id="97"/>
      <w:r/>
      <w:bookmarkStart w:id="98" w:name="_Toc513029219"/>
      <w:r/>
      <w:bookmarkStart w:id="99" w:name="_Toc14577357"/>
      <w:r/>
      <w:bookmarkStart w:id="100" w:name="_Toc49090509"/>
      <w:r/>
      <w:bookmarkStart w:id="101" w:name="_Toc14577354"/>
      <w:r/>
      <w:bookmarkStart w:id="102" w:name="_Toc513029216"/>
      <w:r/>
      <w:bookmarkStart w:id="103" w:name="_Toc49090507"/>
      <w:r>
        <w:rPr>
          <w:rFonts w:hint="eastAsia"/>
          <w:b w:val="0"/>
          <w:bCs w:val="0"/>
        </w:rPr>
        <w:t xml:space="preserve">11、证明投标人及投标标的符合招标文件规定的文件</w:t>
      </w:r>
      <w:bookmarkEnd w:id="98"/>
      <w:r/>
      <w:bookmarkEnd w:id="99"/>
      <w:r/>
      <w:bookmarkEnd w:id="100"/>
      <w:r/>
      <w:bookmarkEnd w:id="101"/>
      <w:r/>
      <w:bookmarkEnd w:id="102"/>
      <w:r/>
      <w:bookmarkEnd w:id="103"/>
      <w:r/>
      <w:r/>
    </w:p>
    <w:p>
      <w:pPr>
        <w:spacing w:line="480" w:lineRule="exact"/>
        <w:rPr>
          <w:rFonts w:hint="eastAsia" w:ascii="宋体" w:hAnsi="宋体"/>
          <w:sz w:val="24"/>
          <w:szCs w:val="24"/>
        </w:rPr>
      </w:pPr>
      <w:r/>
      <w:bookmarkStart w:id="104" w:name="_Toc14577355"/>
      <w:r/>
      <w:bookmarkStart w:id="10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00"/>
        <w:ind w:firstLine="420"/>
        <w:spacing w:before="0" w:after="0" w:line="240" w:lineRule="auto"/>
        <w:rPr>
          <w:rFonts w:hint="eastAsia"/>
          <w:b w:val="0"/>
          <w:bCs w:val="0"/>
        </w:rPr>
      </w:pPr>
      <w:r>
        <w:rPr>
          <w:rFonts w:hint="eastAsia"/>
          <w:b w:val="0"/>
          <w:bCs w:val="0"/>
        </w:rPr>
        <w:t xml:space="preserve">12、投标分项报价</w:t>
      </w:r>
      <w:bookmarkEnd w:id="104"/>
      <w:r/>
      <w:bookmarkStart w:id="106" w:name="_Hlt26670373"/>
      <w:r/>
      <w:bookmarkEnd w:id="106"/>
      <w:r>
        <w:rPr>
          <w:rFonts w:hint="eastAsia"/>
          <w:b w:val="0"/>
          <w:bCs w:val="0"/>
        </w:rPr>
        <w:t xml:space="preserve">表</w:t>
      </w:r>
      <w:bookmarkEnd w:id="105"/>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7" w:name="_Hlt26954840"/>
      <w:r/>
      <w:bookmarkEnd w:id="107"/>
      <w:r>
        <w:rPr>
          <w:rFonts w:hint="eastAsia" w:ascii="宋体" w:hAnsi="宋体"/>
          <w:sz w:val="24"/>
        </w:rPr>
        <w:t xml:space="preserve">标人应按照招标文件规定格式填报投标分项报价表</w:t>
      </w:r>
      <w:bookmarkStart w:id="108" w:name="_Hlt26670399"/>
      <w:r/>
      <w:bookmarkEnd w:id="108"/>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00"/>
        <w:ind w:firstLine="420"/>
        <w:spacing w:before="0" w:after="0" w:line="240" w:lineRule="auto"/>
        <w:rPr>
          <w:rFonts w:hint="eastAsia"/>
          <w:b w:val="0"/>
          <w:bCs w:val="0"/>
        </w:rPr>
      </w:pPr>
      <w:r/>
      <w:bookmarkStart w:id="109" w:name="_Hlt26954844"/>
      <w:r/>
      <w:bookmarkEnd w:id="109"/>
      <w:r/>
      <w:bookmarkStart w:id="110" w:name="_Hlt26954848"/>
      <w:r/>
      <w:bookmarkEnd w:id="110"/>
      <w:r/>
      <w:bookmarkStart w:id="111" w:name="_Hlt26954846"/>
      <w:r/>
      <w:bookmarkEnd w:id="111"/>
      <w:r/>
      <w:bookmarkStart w:id="112" w:name="_Hlt26670403"/>
      <w:r/>
      <w:bookmarkEnd w:id="112"/>
      <w:r/>
      <w:bookmarkStart w:id="113" w:name="_Hlt26670425"/>
      <w:r/>
      <w:bookmarkEnd w:id="113"/>
      <w:r/>
      <w:bookmarkStart w:id="114" w:name="_Hlt26670482"/>
      <w:r/>
      <w:bookmarkEnd w:id="114"/>
      <w:r/>
      <w:bookmarkStart w:id="115" w:name="_Hlt26954731"/>
      <w:r/>
      <w:bookmarkEnd w:id="115"/>
      <w:r/>
      <w:bookmarkStart w:id="116" w:name="_Hlt26670486"/>
      <w:r/>
      <w:bookmarkEnd w:id="116"/>
      <w:r/>
      <w:bookmarkStart w:id="117" w:name="_Hlt26954842"/>
      <w:r/>
      <w:bookmarkEnd w:id="117"/>
      <w:r/>
      <w:bookmarkStart w:id="118" w:name="_Hlt26668983"/>
      <w:r/>
      <w:bookmarkEnd w:id="118"/>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900"/>
        <w:ind w:firstLine="420"/>
        <w:spacing w:before="0" w:after="0" w:line="240" w:lineRule="auto"/>
        <w:rPr>
          <w:rFonts w:hint="eastAsia"/>
          <w:b w:val="0"/>
          <w:bCs w:val="0"/>
        </w:rPr>
      </w:pPr>
      <w:r/>
      <w:bookmarkStart w:id="119" w:name="_Toc49090510"/>
      <w:r/>
      <w:bookmarkStart w:id="120"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9"/>
      <w:r/>
      <w:bookmarkEnd w:id="120"/>
      <w:r/>
      <w:r/>
    </w:p>
    <w:p>
      <w:pPr>
        <w:pStyle w:val="900"/>
        <w:ind w:firstLine="420"/>
        <w:spacing w:before="0" w:after="0" w:line="240" w:lineRule="auto"/>
        <w:rPr>
          <w:rFonts w:hint="eastAsia"/>
          <w:b w:val="0"/>
          <w:bCs w:val="0"/>
        </w:rPr>
      </w:pPr>
      <w:r/>
      <w:bookmarkStart w:id="121" w:name="_Hlt26954734"/>
      <w:r/>
      <w:bookmarkEnd w:id="121"/>
      <w:r/>
      <w:bookmarkStart w:id="122" w:name="_Hlt26954850"/>
      <w:r/>
      <w:bookmarkEnd w:id="122"/>
      <w:r/>
      <w:bookmarkStart w:id="123" w:name="_Hlt26670489"/>
      <w:r/>
      <w:bookmarkEnd w:id="123"/>
      <w:r/>
      <w:bookmarkStart w:id="124" w:name="_Toc14577360"/>
      <w:r/>
      <w:bookmarkStart w:id="125" w:name="_Toc49090511"/>
      <w:r>
        <w:rPr>
          <w:rFonts w:hint="eastAsia"/>
          <w:b w:val="0"/>
          <w:bCs w:val="0"/>
        </w:rPr>
        <w:t xml:space="preserve">15、投标有效期</w:t>
      </w:r>
      <w:bookmarkEnd w:id="124"/>
      <w:r/>
      <w:bookmarkEnd w:id="125"/>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w:t>
      </w:r>
      <w:r>
        <w:rPr>
          <w:rFonts w:hint="eastAsia" w:ascii="宋体" w:hAnsi="宋体"/>
          <w:bCs/>
          <w:sz w:val="24"/>
          <w:lang w:eastAsia="zh-CN"/>
        </w:rPr>
        <w:t xml:space="preserve">交易中心</w:t>
      </w:r>
      <w:r>
        <w:rPr>
          <w:rFonts w:hint="eastAsia" w:ascii="宋体" w:hAnsi="宋体"/>
          <w:bCs/>
          <w:sz w:val="24"/>
        </w:rPr>
        <w:t xml:space="preserve">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00"/>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w:t>
      </w:r>
      <w:r>
        <w:rPr>
          <w:rFonts w:hint="eastAsia" w:ascii="宋体" w:hAnsi="宋体"/>
          <w:bCs/>
          <w:sz w:val="24"/>
          <w:lang w:eastAsia="zh-CN"/>
        </w:rPr>
        <w:t xml:space="preserve">交易中心</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lang w:eastAsia="zh-CN"/>
        </w:rPr>
        <w:t xml:space="preserve">交易中心</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99"/>
        <w:ind w:firstLine="482"/>
        <w:spacing w:before="145" w:after="145" w:line="360" w:lineRule="auto"/>
        <w:rPr>
          <w:rFonts w:hint="eastAsia"/>
        </w:rPr>
      </w:pPr>
      <w:r/>
      <w:bookmarkStart w:id="126" w:name="_Hlt26954739"/>
      <w:r/>
      <w:bookmarkEnd w:id="126"/>
      <w:r/>
      <w:bookmarkStart w:id="127" w:name="_Hlt26954852"/>
      <w:r/>
      <w:bookmarkEnd w:id="127"/>
      <w:r/>
      <w:bookmarkStart w:id="128" w:name="_Toc16938540"/>
      <w:r/>
      <w:bookmarkStart w:id="129" w:name="_Toc20823296"/>
      <w:r/>
      <w:bookmarkStart w:id="130" w:name="_Toc513029224"/>
      <w:r/>
      <w:bookmarkStart w:id="131" w:name="_Toc120614217"/>
      <w:r>
        <w:rPr>
          <w:rFonts w:hint="eastAsia"/>
        </w:rPr>
        <w:t xml:space="preserve">四、投标文件的递交</w:t>
      </w:r>
      <w:bookmarkEnd w:id="128"/>
      <w:r/>
      <w:bookmarkEnd w:id="129"/>
      <w:r/>
      <w:bookmarkEnd w:id="130"/>
      <w:r/>
      <w:bookmarkEnd w:id="131"/>
      <w:r/>
      <w:r/>
    </w:p>
    <w:p>
      <w:pPr>
        <w:pStyle w:val="900"/>
        <w:ind w:firstLine="560"/>
        <w:spacing w:before="0" w:after="0" w:line="240" w:lineRule="auto"/>
        <w:rPr>
          <w:rFonts w:hint="eastAsia" w:ascii="黑体"/>
          <w:b w:val="0"/>
          <w:bCs w:val="0"/>
        </w:rPr>
      </w:pPr>
      <w:r/>
      <w:bookmarkStart w:id="132" w:name="_Toc513029225"/>
      <w:r/>
      <w:bookmarkStart w:id="133" w:name="_Toc20823297"/>
      <w:r/>
      <w:bookmarkStart w:id="134" w:name="_Toc462564084"/>
      <w:r/>
      <w:bookmarkStart w:id="135" w:name="_Toc16938541"/>
      <w:r>
        <w:rPr>
          <w:rFonts w:hint="eastAsia"/>
          <w:b w:val="0"/>
          <w:bCs w:val="0"/>
        </w:rPr>
        <w:t xml:space="preserve">17、</w:t>
      </w:r>
      <w:r>
        <w:rPr>
          <w:rFonts w:hint="eastAsia" w:ascii="黑体"/>
          <w:b w:val="0"/>
          <w:bCs w:val="0"/>
        </w:rPr>
        <w:t xml:space="preserve">投标文件</w:t>
      </w:r>
      <w:bookmarkEnd w:id="132"/>
      <w:r/>
      <w:bookmarkEnd w:id="133"/>
      <w:r/>
      <w:bookmarkEnd w:id="134"/>
      <w:r/>
      <w:bookmarkEnd w:id="135"/>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5"/>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6" w:name="_Toc20823298"/>
      <w:r/>
      <w:bookmarkStart w:id="137" w:name="_Toc513029226"/>
      <w:r/>
      <w:bookmarkStart w:id="138" w:name="_Toc16938542"/>
      <w:r/>
      <w:r/>
    </w:p>
    <w:p>
      <w:pPr>
        <w:pStyle w:val="900"/>
        <w:ind w:firstLine="420"/>
        <w:rPr>
          <w:rFonts w:hint="eastAsia"/>
          <w:b w:val="0"/>
        </w:rPr>
      </w:pPr>
      <w:r>
        <w:rPr>
          <w:rFonts w:hint="eastAsia"/>
          <w:b w:val="0"/>
        </w:rPr>
        <w:t xml:space="preserve">18、投标截止</w:t>
      </w:r>
      <w:bookmarkEnd w:id="136"/>
      <w:r/>
      <w:bookmarkEnd w:id="137"/>
      <w:r/>
      <w:bookmarkEnd w:id="138"/>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color w:val="000000" w:themeColor="text1"/>
          <w:sz w:val="24"/>
          <w:lang w:eastAsia="zh-CN"/>
        </w:rPr>
        <w:t xml:space="preserve">交易中心</w:t>
      </w:r>
      <w:r>
        <w:rPr>
          <w:rFonts w:hint="eastAsia" w:ascii="宋体" w:hAnsi="宋体"/>
          <w:bCs/>
          <w:color w:val="000000" w:themeColor="text1"/>
          <w:sz w:val="24"/>
        </w:rPr>
        <w:t xml:space="preserve">可以按照规定，通过修改招标文件酌情延长投标截止时间，在此情况下，投标人的所有权利和义务</w:t>
      </w:r>
      <w:r>
        <w:rPr>
          <w:rFonts w:hint="eastAsia" w:ascii="宋体" w:hAnsi="宋体"/>
          <w:bCs/>
          <w:sz w:val="24"/>
        </w:rPr>
        <w:t xml:space="preserve">以及投标人受制的截止时间均应以延长后新的截止时间为准。</w:t>
      </w:r>
      <w:r/>
    </w:p>
    <w:p>
      <w:pPr>
        <w:pStyle w:val="900"/>
        <w:ind w:firstLine="420"/>
        <w:spacing w:before="0" w:after="0" w:line="240" w:lineRule="auto"/>
        <w:rPr>
          <w:rFonts w:hint="eastAsia"/>
          <w:b w:val="0"/>
          <w:bCs w:val="0"/>
        </w:rPr>
      </w:pPr>
      <w:r/>
      <w:bookmarkStart w:id="139" w:name="_Toc16938543"/>
      <w:r/>
      <w:bookmarkStart w:id="140" w:name="_Toc20823299"/>
      <w:r/>
      <w:bookmarkStart w:id="141" w:name="_Toc513029227"/>
      <w:r>
        <w:rPr>
          <w:rFonts w:hint="eastAsia"/>
          <w:b w:val="0"/>
          <w:bCs w:val="0"/>
        </w:rPr>
        <w:t xml:space="preserve">19、投标文件</w:t>
      </w:r>
      <w:bookmarkEnd w:id="139"/>
      <w:r/>
      <w:bookmarkEnd w:id="140"/>
      <w:r/>
      <w:bookmarkEnd w:id="141"/>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lang w:eastAsia="zh-CN"/>
        </w:rPr>
        <w:t xml:space="preserve">交易中心</w:t>
      </w:r>
      <w:r>
        <w:rPr>
          <w:rFonts w:hint="eastAsia" w:ascii="宋体" w:hAnsi="宋体"/>
          <w:bCs/>
          <w:sz w:val="24"/>
        </w:rPr>
        <w:t xml:space="preserve">拒绝接收在其规定的投标截止时间后上传的任何投标文件。</w:t>
      </w:r>
      <w:r/>
    </w:p>
    <w:p>
      <w:pPr>
        <w:pStyle w:val="900"/>
        <w:ind w:firstLine="420"/>
        <w:spacing w:before="0" w:after="0" w:line="240" w:lineRule="auto"/>
        <w:rPr>
          <w:rFonts w:hint="eastAsia"/>
          <w:b w:val="0"/>
          <w:bCs w:val="0"/>
        </w:rPr>
      </w:pPr>
      <w:r/>
      <w:bookmarkStart w:id="142" w:name="_Toc16938544"/>
      <w:r/>
      <w:bookmarkStart w:id="143" w:name="_Toc20823300"/>
      <w:r/>
      <w:bookmarkStart w:id="144" w:name="_Toc513029228"/>
      <w:r>
        <w:rPr>
          <w:rFonts w:hint="eastAsia"/>
          <w:b w:val="0"/>
          <w:bCs w:val="0"/>
        </w:rPr>
        <w:t xml:space="preserve">20、投标文件的撤回和修改</w:t>
      </w:r>
      <w:bookmarkEnd w:id="142"/>
      <w:r/>
      <w:bookmarkEnd w:id="143"/>
      <w:r/>
      <w:bookmarkEnd w:id="144"/>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99"/>
        <w:ind w:firstLine="482"/>
        <w:spacing w:before="145" w:after="145" w:line="360" w:lineRule="auto"/>
        <w:rPr>
          <w:rFonts w:hint="eastAsia"/>
        </w:rPr>
      </w:pPr>
      <w:r/>
      <w:bookmarkStart w:id="145" w:name="_Toc120614218"/>
      <w:r/>
      <w:bookmarkStart w:id="146" w:name="_Toc16938545"/>
      <w:r/>
      <w:bookmarkStart w:id="147" w:name="_Toc20823301"/>
      <w:r/>
      <w:bookmarkStart w:id="148" w:name="_Toc513029229"/>
      <w:r>
        <w:rPr>
          <w:rFonts w:hint="eastAsia"/>
        </w:rPr>
        <w:t xml:space="preserve">五、开标与评标</w:t>
      </w:r>
      <w:bookmarkEnd w:id="145"/>
      <w:r/>
      <w:bookmarkEnd w:id="146"/>
      <w:r/>
      <w:bookmarkEnd w:id="147"/>
      <w:r/>
      <w:bookmarkEnd w:id="148"/>
      <w:r/>
      <w:r/>
    </w:p>
    <w:p>
      <w:pPr>
        <w:pStyle w:val="900"/>
        <w:ind w:firstLine="420"/>
        <w:spacing w:before="0" w:after="0" w:line="240" w:lineRule="auto"/>
        <w:rPr>
          <w:rFonts w:hint="eastAsia"/>
          <w:b w:val="0"/>
          <w:bCs w:val="0"/>
        </w:rPr>
      </w:pPr>
      <w:r/>
      <w:bookmarkStart w:id="149" w:name="_Toc16938546"/>
      <w:r/>
      <w:bookmarkStart w:id="150" w:name="_Toc513029230"/>
      <w:r/>
      <w:bookmarkStart w:id="151" w:name="_Toc20823302"/>
      <w:r>
        <w:rPr>
          <w:rFonts w:hint="eastAsia"/>
          <w:b w:val="0"/>
          <w:bCs w:val="0"/>
        </w:rPr>
        <w:t xml:space="preserve">21、开标</w:t>
      </w:r>
      <w:bookmarkEnd w:id="149"/>
      <w:r/>
      <w:bookmarkEnd w:id="150"/>
      <w:r/>
      <w:bookmarkEnd w:id="151"/>
      <w:r/>
      <w:r/>
    </w:p>
    <w:p>
      <w:pPr>
        <w:ind w:firstLine="360"/>
        <w:rPr>
          <w:rFonts w:hint="eastAsia"/>
        </w:rPr>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lang w:eastAsia="zh-CN"/>
        </w:rPr>
        <w:t xml:space="preserve">交易中心</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sz w:val="24"/>
          <w:szCs w:val="24"/>
          <w:lang w:eastAsia="zh-CN"/>
        </w:rPr>
        <w:t xml:space="preserve">交易中心</w:t>
      </w:r>
      <w:r>
        <w:rPr>
          <w:rFonts w:hint="eastAsia" w:ascii="宋体" w:hAnsi="宋体"/>
          <w:sz w:val="24"/>
          <w:szCs w:val="24"/>
        </w:rPr>
        <w:t xml:space="preserve">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00"/>
        <w:ind w:firstLine="420"/>
        <w:spacing w:before="0" w:after="0" w:line="240" w:lineRule="auto"/>
        <w:rPr>
          <w:rFonts w:hint="eastAsia"/>
          <w:b w:val="0"/>
          <w:bCs w:val="0"/>
        </w:rPr>
      </w:pPr>
      <w:r/>
      <w:bookmarkStart w:id="152" w:name="_Toc16938547"/>
      <w:r/>
      <w:bookmarkStart w:id="153" w:name="_Toc513029231"/>
      <w:r/>
      <w:bookmarkStart w:id="154" w:name="_Toc20823303"/>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sz w:val="24"/>
          <w:szCs w:val="24"/>
          <w:lang w:eastAsia="zh-CN"/>
        </w:rPr>
        <w:t xml:space="preserve">交易中心</w:t>
      </w:r>
      <w:r>
        <w:rPr>
          <w:rFonts w:hint="eastAsia" w:ascii="宋体" w:hAnsi="宋体"/>
          <w:sz w:val="24"/>
          <w:szCs w:val="24"/>
        </w:rPr>
        <w:t xml:space="preserve">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00"/>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2"/>
      <w:r/>
      <w:bookmarkEnd w:id="153"/>
      <w:r/>
      <w:bookmarkEnd w:id="154"/>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lang w:eastAsia="zh-CN"/>
        </w:rPr>
        <w:t xml:space="preserve">交易中心</w:t>
      </w:r>
      <w:r>
        <w:rPr>
          <w:rFonts w:hint="eastAsia" w:ascii="宋体" w:hAnsi="宋体"/>
          <w:bCs/>
          <w:sz w:val="24"/>
        </w:rPr>
        <w:t xml:space="preserve">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lang w:eastAsia="zh-CN"/>
        </w:rPr>
        <w:t xml:space="preserve">交易中心</w:t>
      </w:r>
      <w:r>
        <w:rPr>
          <w:rFonts w:hint="eastAsia" w:ascii="宋体" w:hAnsi="宋体"/>
          <w:sz w:val="24"/>
          <w:szCs w:val="24"/>
        </w:rPr>
        <w:t xml:space="preserve">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900"/>
        <w:ind w:firstLine="420"/>
        <w:spacing w:before="0" w:after="0" w:line="240" w:lineRule="auto"/>
        <w:rPr>
          <w:rFonts w:hint="eastAsia"/>
          <w:b w:val="0"/>
          <w:bCs w:val="0"/>
        </w:rPr>
      </w:pPr>
      <w:r/>
      <w:bookmarkStart w:id="155" w:name="_Toc513029232"/>
      <w:r/>
      <w:bookmarkStart w:id="156" w:name="_Toc20823304"/>
      <w:r/>
      <w:bookmarkStart w:id="157" w:name="_Toc16938548"/>
      <w:r>
        <w:rPr>
          <w:rFonts w:hint="eastAsia"/>
          <w:b w:val="0"/>
          <w:bCs w:val="0"/>
        </w:rPr>
        <w:t xml:space="preserve">24、投标文件的澄清</w:t>
      </w:r>
      <w:bookmarkEnd w:id="155"/>
      <w:r/>
      <w:bookmarkEnd w:id="156"/>
      <w:r/>
      <w:bookmarkEnd w:id="157"/>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00"/>
        <w:ind w:firstLine="420"/>
        <w:spacing w:before="0" w:after="0" w:line="240" w:lineRule="auto"/>
        <w:rPr>
          <w:rFonts w:hint="eastAsia"/>
          <w:b w:val="0"/>
          <w:bCs w:val="0"/>
        </w:rPr>
      </w:pPr>
      <w:r/>
      <w:bookmarkStart w:id="158" w:name="_Toc513029233"/>
      <w:r/>
      <w:bookmarkStart w:id="159" w:name="_Toc16938549"/>
      <w:r/>
      <w:bookmarkStart w:id="160" w:name="_Toc20823305"/>
      <w:r>
        <w:rPr>
          <w:rFonts w:hint="eastAsia"/>
          <w:b w:val="0"/>
          <w:bCs w:val="0"/>
        </w:rPr>
        <w:t xml:space="preserve">25、对投标文件的初审</w:t>
      </w:r>
      <w:bookmarkEnd w:id="158"/>
      <w:r/>
      <w:bookmarkEnd w:id="159"/>
      <w:r/>
      <w:bookmarkEnd w:id="160"/>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w:t>
      </w:r>
      <w:r>
        <w:rPr>
          <w:rFonts w:hint="eastAsia" w:ascii="宋体" w:hAnsi="宋体"/>
          <w:bCs/>
          <w:color w:val="0000ff"/>
          <w:sz w:val="24"/>
          <w:lang w:val="en-US" w:eastAsia="zh-CN"/>
        </w:rPr>
        <w:t xml:space="preserve">和</w:t>
      </w:r>
      <w:r>
        <w:rPr>
          <w:rFonts w:hint="eastAsia" w:ascii="宋体" w:hAnsi="宋体"/>
          <w:color w:val="0000ff"/>
          <w:sz w:val="24"/>
          <w:szCs w:val="24"/>
        </w:rPr>
        <w:t xml:space="preserve">“中国政府采购网"(www.ccgp.gov.cn)</w:t>
      </w:r>
      <w:r>
        <w:rPr>
          <w:rFonts w:hint="eastAsia" w:ascii="宋体" w:hAnsi="宋体"/>
          <w:bCs/>
          <w:sz w:val="24"/>
        </w:rPr>
        <w:t xml:space="preserve">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bCs/>
          <w:sz w:val="24"/>
          <w:lang w:eastAsia="zh-CN"/>
        </w:rPr>
        <w:t xml:space="preserve">交易中心</w:t>
      </w:r>
      <w:r>
        <w:rPr>
          <w:rFonts w:hint="eastAsia" w:ascii="宋体" w:hAnsi="宋体"/>
          <w:bCs/>
          <w:sz w:val="24"/>
        </w:rPr>
        <w:t xml:space="preserve">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lang w:eastAsia="zh-CN"/>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lang w:eastAsia="zh-CN"/>
        </w:rPr>
        <w:t xml:space="preserve">交易中心</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bCs/>
          <w:color w:val="000000" w:themeColor="text1"/>
          <w:sz w:val="24"/>
        </w:rPr>
        <w:t xml:space="preserve">评委会将按上述修正错误的方法调整投标文件中的投标报价，并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调整后的价格应对投标人具有约束力。如果投标人不接受修正后的价格，则其投标将被拒绝。</w:t>
      </w:r>
      <w:r>
        <w:rPr>
          <w:color w:val="000000" w:themeColor="text1"/>
        </w:rPr>
      </w:r>
      <w:r/>
    </w:p>
    <w:p>
      <w:pPr>
        <w:ind w:firstLine="420"/>
        <w:spacing w:line="460" w:lineRule="exact"/>
        <w:rPr>
          <w:rFonts w:hint="eastAsia" w:ascii="宋体" w:hAnsi="宋体"/>
          <w:color w:val="000000" w:themeColor="text1"/>
          <w:sz w:val="24"/>
        </w:rPr>
      </w:pPr>
      <w:r>
        <w:rPr>
          <w:color w:val="000000" w:themeColor="text1"/>
        </w:rPr>
      </w:r>
      <w:bookmarkStart w:id="161" w:name="_Toc16938550"/>
      <w:r>
        <w:rPr>
          <w:color w:val="000000" w:themeColor="text1"/>
        </w:rPr>
      </w:r>
      <w:bookmarkStart w:id="162" w:name="_Toc513029234"/>
      <w:r>
        <w:rPr>
          <w:color w:val="000000" w:themeColor="text1"/>
        </w:rPr>
      </w:r>
      <w:bookmarkStart w:id="163" w:name="_Toc20823306"/>
      <w:r>
        <w:rPr>
          <w:rFonts w:hint="eastAsia" w:ascii="宋体" w:hAnsi="宋体"/>
          <w:color w:val="000000" w:themeColor="text1"/>
          <w:sz w:val="24"/>
        </w:rPr>
        <w:t xml:space="preserve">25.6投标人在开、评标全过程中应保持通讯畅通，及时登录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w:t>
      </w:r>
      <w:r>
        <w:rPr>
          <w:rFonts w:hint="eastAsia" w:ascii="宋体" w:hAnsi="宋体"/>
          <w:color w:val="000000" w:themeColor="text1"/>
          <w:sz w:val="24"/>
          <w:lang w:eastAsia="zh-CN"/>
        </w:rPr>
        <w:t xml:space="preserve">交易中心</w:t>
      </w:r>
      <w:r>
        <w:rPr>
          <w:rFonts w:hint="eastAsia" w:ascii="宋体" w:hAnsi="宋体"/>
          <w:color w:val="000000" w:themeColor="text1"/>
          <w:sz w:val="24"/>
        </w:rPr>
        <w:t xml:space="preserve">及评标委员会联系。</w:t>
      </w:r>
      <w:r>
        <w:rPr>
          <w:color w:val="000000" w:themeColor="text1"/>
        </w:rPr>
      </w:r>
      <w:r/>
    </w:p>
    <w:p>
      <w:pPr>
        <w:pStyle w:val="900"/>
        <w:ind w:firstLine="420"/>
        <w:spacing w:before="0" w:after="0" w:line="240" w:lineRule="auto"/>
        <w:rPr>
          <w:rFonts w:hint="eastAsia"/>
          <w:b w:val="0"/>
          <w:bCs w:val="0"/>
          <w:color w:val="000000" w:themeColor="text1"/>
        </w:rPr>
      </w:pPr>
      <w:r>
        <w:rPr>
          <w:rFonts w:hint="eastAsia"/>
          <w:b w:val="0"/>
          <w:bCs w:val="0"/>
          <w:color w:val="000000" w:themeColor="text1"/>
        </w:rPr>
        <w:t xml:space="preserve">26、</w:t>
      </w:r>
      <w:bookmarkEnd w:id="161"/>
      <w:r>
        <w:rPr>
          <w:color w:val="000000" w:themeColor="text1"/>
        </w:rPr>
      </w:r>
      <w:bookmarkEnd w:id="162"/>
      <w:r>
        <w:rPr>
          <w:color w:val="000000" w:themeColor="text1"/>
        </w:rPr>
      </w:r>
      <w:bookmarkEnd w:id="163"/>
      <w:r>
        <w:rPr>
          <w:rFonts w:hint="eastAsia"/>
          <w:b w:val="0"/>
          <w:bCs w:val="0"/>
          <w:color w:val="000000" w:themeColor="text1"/>
        </w:rPr>
        <w:t xml:space="preserve">无效投标条款和废标条款</w:t>
      </w:r>
      <w:r>
        <w:rPr>
          <w:color w:val="000000" w:themeColor="text1"/>
        </w:rPr>
      </w:r>
      <w:r/>
    </w:p>
    <w:p>
      <w:pPr>
        <w:ind w:left="479"/>
        <w:spacing w:line="440" w:lineRule="exact"/>
        <w:rPr>
          <w:rFonts w:hint="eastAsia" w:ascii="宋体" w:hAnsi="宋体"/>
          <w:bCs/>
          <w:color w:val="000000" w:themeColor="text1"/>
          <w:sz w:val="24"/>
        </w:rPr>
      </w:pPr>
      <w:r>
        <w:rPr>
          <w:color w:val="000000" w:themeColor="text1"/>
        </w:rPr>
      </w:r>
      <w:bookmarkStart w:id="164" w:name="_Toc16938551"/>
      <w:r>
        <w:rPr>
          <w:color w:val="000000" w:themeColor="text1"/>
        </w:rPr>
      </w:r>
      <w:bookmarkStart w:id="165" w:name="_Toc513029235"/>
      <w:r>
        <w:rPr>
          <w:color w:val="000000" w:themeColor="text1"/>
        </w:rPr>
      </w:r>
      <w:bookmarkStart w:id="166" w:name="_Toc20823307"/>
      <w:r>
        <w:rPr>
          <w:rFonts w:hint="eastAsia" w:ascii="宋体" w:hAnsi="宋体"/>
          <w:bCs/>
          <w:color w:val="000000" w:themeColor="text1"/>
          <w:sz w:val="24"/>
        </w:rPr>
        <w:t xml:space="preserve">26.1无效投标条款</w:t>
      </w:r>
      <w:r>
        <w:rPr>
          <w:color w:val="000000" w:themeColor="text1"/>
        </w:rPr>
      </w:r>
      <w:r/>
    </w:p>
    <w:p>
      <w:pPr>
        <w:ind w:firstLine="480"/>
        <w:spacing w:line="440" w:lineRule="exact"/>
        <w:rPr>
          <w:rFonts w:hint="eastAsia" w:ascii="宋体" w:hAnsi="宋体"/>
          <w:bCs/>
          <w:color w:val="000000" w:themeColor="text1"/>
          <w:sz w:val="24"/>
          <w:szCs w:val="24"/>
        </w:rPr>
      </w:pPr>
      <w:r>
        <w:rPr>
          <w:rFonts w:hint="eastAsia" w:ascii="宋体" w:hAnsi="宋体"/>
          <w:bCs/>
          <w:color w:val="000000" w:themeColor="text1"/>
          <w:sz w:val="24"/>
        </w:rPr>
        <w:t xml:space="preserve">26</w:t>
      </w:r>
      <w:r>
        <w:rPr>
          <w:rFonts w:hint="eastAsia" w:ascii="宋体" w:hAnsi="宋体"/>
          <w:bCs/>
          <w:color w:val="000000" w:themeColor="text1"/>
          <w:sz w:val="24"/>
          <w:szCs w:val="24"/>
        </w:rPr>
        <w:t xml:space="preserve">.1.1 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规定的时间内未成功解密电子投标文件的。</w:t>
      </w:r>
      <w:r>
        <w:rPr>
          <w:color w:val="000000" w:themeColor="text1"/>
        </w:rPr>
      </w:r>
      <w:r/>
    </w:p>
    <w:p>
      <w:pPr>
        <w:ind w:firstLine="480"/>
        <w:spacing w:line="440" w:lineRule="exact"/>
        <w:rPr>
          <w:rFonts w:hint="eastAsia" w:ascii="宋体" w:hAnsi="宋体"/>
          <w:bCs/>
          <w:sz w:val="24"/>
        </w:rPr>
      </w:pPr>
      <w:r>
        <w:rPr>
          <w:rFonts w:hint="eastAsia" w:ascii="宋体" w:hAnsi="宋体"/>
          <w:bCs/>
          <w:color w:val="000000" w:themeColor="text1"/>
          <w:sz w:val="24"/>
        </w:rPr>
        <w:t xml:space="preserve">26.1.2 投标人未按照招标文件要求上传电子投标文</w:t>
      </w:r>
      <w:r>
        <w:rPr>
          <w:rFonts w:hint="eastAsia" w:ascii="宋体" w:hAnsi="宋体"/>
          <w:bCs/>
          <w:sz w:val="24"/>
        </w:rPr>
        <w:t xml:space="preserve">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p>
    <w:p>
      <w:pPr>
        <w:ind w:firstLine="480"/>
        <w:spacing w:line="440" w:lineRule="exact"/>
        <w:rPr>
          <w:rFonts w:hint="eastAsia" w:ascii="宋体" w:hAnsi="宋体"/>
          <w:bCs/>
          <w:color w:val="000000" w:themeColor="text1"/>
          <w:sz w:val="24"/>
        </w:rPr>
      </w:pPr>
      <w:r>
        <w:rPr>
          <w:rFonts w:hint="eastAsia" w:ascii="宋体" w:hAnsi="宋体"/>
          <w:bCs/>
          <w:sz w:val="24"/>
        </w:rPr>
        <w:t xml:space="preserve">26.1.8 投标人被 “信用中国”网站（www.creditchina.gov.cn）列入失信被执行人或重大税收违</w:t>
      </w:r>
      <w:r>
        <w:rPr>
          <w:rFonts w:hint="eastAsia" w:ascii="宋体" w:hAnsi="宋体"/>
          <w:bCs/>
          <w:color w:val="000000" w:themeColor="text1"/>
          <w:sz w:val="24"/>
        </w:rPr>
        <w:t xml:space="preserve">法案件当事人名单或政府采购严重失信行为记录名单</w:t>
      </w:r>
      <w:r>
        <w:rPr>
          <w:rFonts w:hint="eastAsia" w:ascii="宋体" w:hAnsi="宋体"/>
          <w:bCs/>
          <w:color w:val="000000" w:themeColor="text1"/>
          <w:sz w:val="24"/>
          <w:lang w:eastAsia="zh-CN"/>
        </w:rPr>
        <w:t xml:space="preserve">，</w:t>
      </w:r>
      <w:r>
        <w:rPr>
          <w:rFonts w:hint="eastAsia" w:ascii="宋体" w:hAnsi="宋体"/>
          <w:bCs/>
          <w:color w:val="000000" w:themeColor="text1"/>
          <w:sz w:val="24"/>
          <w:lang w:val="en-US" w:eastAsia="zh-CN"/>
        </w:rPr>
        <w:t xml:space="preserve">被</w:t>
      </w:r>
      <w:r>
        <w:rPr>
          <w:rFonts w:hint="eastAsia" w:ascii="宋体" w:hAnsi="宋体"/>
          <w:color w:val="000000" w:themeColor="text1"/>
          <w:sz w:val="24"/>
          <w:szCs w:val="24"/>
        </w:rPr>
        <w:t xml:space="preserve">“中国政府采购网"(www.ccgp.gov.cn)</w:t>
      </w:r>
      <w:r>
        <w:rPr>
          <w:rFonts w:hint="eastAsia" w:ascii="宋体" w:hAnsi="宋体"/>
          <w:color w:val="000000" w:themeColor="text1"/>
          <w:sz w:val="24"/>
          <w:szCs w:val="24"/>
          <w:lang w:val="en-US" w:eastAsia="zh-CN"/>
        </w:rPr>
        <w:t xml:space="preserve">列入政府采购严重失信行为记录名单，</w:t>
      </w:r>
      <w:r>
        <w:rPr>
          <w:rFonts w:hint="eastAsia" w:ascii="宋体" w:hAnsi="宋体"/>
          <w:bCs/>
          <w:color w:val="000000" w:themeColor="text1"/>
          <w:sz w:val="24"/>
        </w:rPr>
        <w:t xml:space="preserve">或查询“信用中国”网站后发现投标人存在其他不符合《中华人民共和国政府采购法》第二十二条规定条件的信用记录。</w:t>
      </w:r>
      <w:r>
        <w:rPr>
          <w:color w:val="000000" w:themeColor="text1"/>
        </w:rPr>
      </w:r>
      <w:r/>
    </w:p>
    <w:p>
      <w:pPr>
        <w:ind w:firstLine="480"/>
        <w:spacing w:line="440" w:lineRule="exact"/>
        <w:rPr>
          <w:rFonts w:hint="eastAsia" w:ascii="宋体" w:hAnsi="宋体"/>
          <w:bCs/>
          <w:sz w:val="24"/>
        </w:rPr>
      </w:pPr>
      <w:r>
        <w:rPr>
          <w:rFonts w:hint="eastAsia" w:ascii="宋体" w:hAnsi="宋体"/>
          <w:bCs/>
          <w:color w:val="000000" w:themeColor="text1"/>
          <w:sz w:val="24"/>
        </w:rPr>
        <w:t xml:space="preserve">26.1.9 投标文件含有采购人不能接受的附</w:t>
      </w:r>
      <w:r>
        <w:rPr>
          <w:rFonts w:hint="eastAsia" w:ascii="宋体" w:hAnsi="宋体"/>
          <w:bCs/>
          <w:sz w:val="24"/>
        </w:rPr>
        <w:t xml:space="preserve">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color w:val="000000" w:themeColor="text1"/>
          <w:sz w:val="24"/>
        </w:rPr>
      </w:pPr>
      <w:r>
        <w:rPr>
          <w:rFonts w:hint="eastAsia" w:ascii="宋体" w:hAnsi="宋体"/>
          <w:bCs/>
          <w:sz w:val="24"/>
        </w:rPr>
        <w:t xml:space="preserve">26.3 投标截止时间结束后参</w:t>
      </w:r>
      <w:r>
        <w:rPr>
          <w:rFonts w:hint="eastAsia" w:ascii="宋体" w:hAnsi="宋体"/>
          <w:bCs/>
          <w:color w:val="000000" w:themeColor="text1"/>
          <w:sz w:val="24"/>
        </w:rPr>
        <w:t xml:space="preserve">加投标的供应商不足三家的处理：</w:t>
      </w:r>
      <w:r>
        <w:rPr>
          <w:color w:val="000000" w:themeColor="text1"/>
        </w:rPr>
      </w:r>
      <w:r/>
    </w:p>
    <w:p>
      <w:pPr>
        <w:ind w:firstLine="48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26.3.1如出现投标截止时间结束后参加投标的供应商或者在评标期间对招标文件做出实质响应的供应商不足三家情况，按政府采购相关规定执行。</w:t>
      </w:r>
      <w:r>
        <w:rPr>
          <w:color w:val="000000" w:themeColor="text1"/>
        </w:rPr>
      </w:r>
      <w:r/>
    </w:p>
    <w:p>
      <w:pPr>
        <w:pStyle w:val="899"/>
        <w:ind w:firstLine="482"/>
        <w:spacing w:before="145" w:after="145" w:line="360" w:lineRule="auto"/>
        <w:rPr>
          <w:rFonts w:hint="eastAsia"/>
          <w:color w:val="000000" w:themeColor="text1"/>
        </w:rPr>
      </w:pPr>
      <w:r>
        <w:rPr>
          <w:color w:val="000000" w:themeColor="text1"/>
        </w:rPr>
      </w:r>
      <w:bookmarkStart w:id="167" w:name="_Toc120614219"/>
      <w:r>
        <w:rPr>
          <w:rFonts w:hint="eastAsia"/>
          <w:color w:val="000000" w:themeColor="text1"/>
        </w:rPr>
        <w:t xml:space="preserve">六、</w:t>
      </w:r>
      <w:bookmarkEnd w:id="164"/>
      <w:r>
        <w:rPr>
          <w:color w:val="000000" w:themeColor="text1"/>
        </w:rPr>
      </w:r>
      <w:bookmarkEnd w:id="165"/>
      <w:r>
        <w:rPr>
          <w:color w:val="000000" w:themeColor="text1"/>
        </w:rPr>
      </w:r>
      <w:bookmarkEnd w:id="166"/>
      <w:r>
        <w:rPr>
          <w:rFonts w:hint="eastAsia"/>
          <w:color w:val="000000" w:themeColor="text1"/>
        </w:rPr>
        <w:t xml:space="preserve">定标</w:t>
      </w:r>
      <w:bookmarkEnd w:id="167"/>
      <w:r>
        <w:rPr>
          <w:color w:val="000000" w:themeColor="text1"/>
        </w:rPr>
      </w:r>
      <w:r/>
    </w:p>
    <w:p>
      <w:pPr>
        <w:pStyle w:val="900"/>
        <w:ind w:firstLine="600"/>
        <w:spacing w:before="0" w:after="0" w:line="240" w:lineRule="auto"/>
        <w:rPr>
          <w:rFonts w:hint="eastAsia" w:ascii="黑体" w:hAnsi="宋体" w:cs="Times New Roman"/>
          <w:b w:val="0"/>
          <w:color w:val="000000" w:themeColor="text1"/>
          <w:sz w:val="30"/>
          <w:szCs w:val="30"/>
        </w:rPr>
      </w:pPr>
      <w:r>
        <w:rPr>
          <w:color w:val="000000" w:themeColor="text1"/>
        </w:rPr>
      </w:r>
      <w:bookmarkStart w:id="168" w:name="_Toc513029238"/>
      <w:r>
        <w:rPr>
          <w:color w:val="000000" w:themeColor="text1"/>
        </w:rPr>
      </w:r>
      <w:bookmarkStart w:id="169" w:name="_Toc20823310"/>
      <w:r>
        <w:rPr>
          <w:color w:val="000000" w:themeColor="text1"/>
        </w:rPr>
      </w:r>
      <w:bookmarkStart w:id="170" w:name="_Toc16938554"/>
      <w:r>
        <w:rPr>
          <w:rFonts w:hint="eastAsia" w:ascii="黑体" w:hAnsi="宋体" w:cs="Times New Roman"/>
          <w:b w:val="0"/>
          <w:color w:val="000000" w:themeColor="text1"/>
          <w:sz w:val="30"/>
          <w:szCs w:val="30"/>
        </w:rPr>
        <w:t xml:space="preserve">27、</w:t>
      </w:r>
      <w:bookmarkEnd w:id="168"/>
      <w:r>
        <w:rPr>
          <w:rFonts w:hint="eastAsia" w:ascii="黑体" w:hAnsi="宋体" w:cs="Times New Roman"/>
          <w:b w:val="0"/>
          <w:color w:val="000000" w:themeColor="text1"/>
          <w:sz w:val="30"/>
          <w:szCs w:val="30"/>
        </w:rPr>
        <w:t xml:space="preserve">确定</w:t>
      </w:r>
      <w:bookmarkEnd w:id="169"/>
      <w:r>
        <w:rPr>
          <w:color w:val="000000" w:themeColor="text1"/>
        </w:rPr>
      </w:r>
      <w:bookmarkEnd w:id="170"/>
      <w:r>
        <w:rPr>
          <w:rFonts w:hint="eastAsia" w:ascii="黑体" w:hAnsi="宋体" w:cs="Times New Roman"/>
          <w:b w:val="0"/>
          <w:color w:val="000000" w:themeColor="text1"/>
          <w:sz w:val="30"/>
          <w:szCs w:val="30"/>
        </w:rPr>
        <w:t xml:space="preserve">中标单位</w:t>
      </w:r>
      <w:r>
        <w:rPr>
          <w:color w:val="000000" w:themeColor="text1"/>
        </w:rPr>
      </w:r>
      <w:r/>
    </w:p>
    <w:p>
      <w:pPr>
        <w:ind w:firstLine="48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27.1中标候选人的选取原则和数量见招标文件第五章规定。 </w:t>
      </w:r>
      <w:r>
        <w:rPr>
          <w:color w:val="000000" w:themeColor="text1"/>
        </w:rPr>
      </w:r>
      <w:r/>
    </w:p>
    <w:p>
      <w:pPr>
        <w:ind w:firstLine="480"/>
        <w:spacing w:line="440" w:lineRule="exact"/>
        <w:rPr>
          <w:rFonts w:hint="eastAsia" w:ascii="宋体" w:hAnsi="宋体"/>
          <w:bCs/>
          <w:color w:val="000000" w:themeColor="text1"/>
          <w:sz w:val="24"/>
        </w:rPr>
      </w:pPr>
      <w:r>
        <w:rPr>
          <w:rFonts w:hint="eastAsia" w:ascii="宋体" w:hAnsi="宋体"/>
          <w:bCs/>
          <w:color w:val="000000" w:themeColor="text1"/>
          <w:sz w:val="24"/>
        </w:rPr>
        <w:t xml:space="preserve">27.2 采购人应根据评委会推荐的中标候选人确定中标人。</w:t>
      </w:r>
      <w:r>
        <w:rPr>
          <w:color w:val="000000" w:themeColor="text1"/>
        </w:rPr>
      </w:r>
      <w:r/>
    </w:p>
    <w:p>
      <w:pPr>
        <w:ind w:firstLine="480"/>
        <w:spacing w:line="480" w:lineRule="exact"/>
        <w:rPr>
          <w:rFonts w:hint="eastAsia" w:ascii="宋体" w:hAnsi="宋体"/>
          <w:sz w:val="24"/>
          <w:szCs w:val="24"/>
        </w:rPr>
      </w:pPr>
      <w:r>
        <w:rPr>
          <w:rFonts w:hint="eastAsia" w:ascii="宋体" w:hAnsi="宋体"/>
          <w:bCs/>
          <w:color w:val="000000" w:themeColor="text1"/>
          <w:sz w:val="24"/>
          <w:szCs w:val="24"/>
        </w:rPr>
        <w:t xml:space="preserve">27.3 </w:t>
      </w:r>
      <w:r>
        <w:rPr>
          <w:rFonts w:hint="eastAsia" w:ascii="宋体" w:hAnsi="宋体"/>
          <w:color w:val="000000" w:themeColor="text1"/>
          <w:sz w:val="24"/>
          <w:szCs w:val="24"/>
          <w:lang w:eastAsia="zh-CN"/>
        </w:rPr>
        <w:t xml:space="preserve">交易中心</w:t>
      </w:r>
      <w:r>
        <w:rPr>
          <w:rFonts w:hint="eastAsia" w:ascii="宋体" w:hAnsi="宋体"/>
          <w:color w:val="000000" w:themeColor="text1"/>
          <w:sz w:val="24"/>
          <w:szCs w:val="24"/>
        </w:rPr>
        <w:t xml:space="preserve">将在“江苏政府采购网”</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lang w:val="en-US" w:eastAsia="zh-CN"/>
        </w:rPr>
        <w:t xml:space="preserve">扬州市政府采购网</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发布中标</w:t>
      </w:r>
      <w:r>
        <w:rPr>
          <w:rFonts w:hint="eastAsia" w:ascii="宋体" w:hAnsi="宋体"/>
          <w:sz w:val="24"/>
          <w:szCs w:val="24"/>
        </w:rPr>
        <w:t xml:space="preserve">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szCs w:val="24"/>
          <w:lang w:eastAsia="zh-CN"/>
        </w:rPr>
        <w:t xml:space="preserve">交易中心</w:t>
      </w:r>
      <w:r>
        <w:rPr>
          <w:rFonts w:hint="eastAsia" w:ascii="宋体" w:hAnsi="宋体"/>
          <w:sz w:val="24"/>
          <w:szCs w:val="24"/>
        </w:rPr>
        <w:t xml:space="preserve">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0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1"/>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sz w:val="24"/>
          <w:szCs w:val="24"/>
          <w:lang w:eastAsia="zh-CN"/>
        </w:rPr>
        <w:t xml:space="preserve">交易中心</w:t>
      </w:r>
      <w:r>
        <w:rPr>
          <w:rFonts w:hint="eastAsia" w:ascii="宋体" w:hAnsi="宋体"/>
          <w:sz w:val="24"/>
          <w:szCs w:val="24"/>
        </w:rPr>
        <w:t xml:space="preserve">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hAnsi="宋体" w:cs="宋体"/>
          <w:sz w:val="24"/>
          <w:szCs w:val="24"/>
          <w:lang w:eastAsia="zh-CN"/>
        </w:rPr>
        <w:t xml:space="preserve">交易中心</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highlight w:val="yellow"/>
        </w:rPr>
      </w:pPr>
      <w:r>
        <w:rPr>
          <w:rFonts w:hint="eastAsia" w:ascii="宋体" w:hAnsi="宋体"/>
          <w:sz w:val="24"/>
          <w:szCs w:val="24"/>
        </w:rPr>
        <w:t xml:space="preserve">28.4</w:t>
      </w:r>
      <w:r>
        <w:rPr>
          <w:rFonts w:hint="eastAsia" w:ascii="宋体" w:hAnsi="宋体"/>
          <w:sz w:val="24"/>
          <w:szCs w:val="24"/>
          <w:highlight w:val="none"/>
        </w:rPr>
        <w:t xml:space="preserve">供应商（含</w:t>
      </w:r>
      <w:r>
        <w:rPr>
          <w:rFonts w:ascii="宋体" w:hAnsi="宋体"/>
          <w:sz w:val="24"/>
          <w:szCs w:val="24"/>
          <w:highlight w:val="none"/>
        </w:rPr>
        <w:t xml:space="preserve">潜在供应商）</w:t>
      </w:r>
      <w:r>
        <w:rPr>
          <w:rFonts w:hint="eastAsia" w:ascii="宋体" w:hAnsi="宋体"/>
          <w:sz w:val="24"/>
          <w:szCs w:val="24"/>
          <w:highlight w:val="none"/>
        </w:rPr>
        <w:t xml:space="preserve">对</w:t>
      </w:r>
      <w:r>
        <w:rPr>
          <w:rFonts w:ascii="宋体" w:hAnsi="宋体"/>
          <w:sz w:val="24"/>
          <w:szCs w:val="24"/>
          <w:highlight w:val="none"/>
        </w:rPr>
        <w:t xml:space="preserve">采购方式、</w:t>
      </w:r>
      <w:r>
        <w:rPr>
          <w:rFonts w:hint="eastAsia" w:ascii="宋体" w:hAnsi="宋体"/>
          <w:sz w:val="24"/>
          <w:szCs w:val="24"/>
          <w:highlight w:val="none"/>
        </w:rPr>
        <w:t xml:space="preserve">采购</w:t>
      </w:r>
      <w:r>
        <w:rPr>
          <w:rFonts w:ascii="宋体" w:hAnsi="宋体"/>
          <w:sz w:val="24"/>
          <w:szCs w:val="24"/>
          <w:highlight w:val="none"/>
        </w:rPr>
        <w:t xml:space="preserve">需求、</w:t>
      </w:r>
      <w:r>
        <w:rPr>
          <w:rFonts w:hint="eastAsia" w:ascii="宋体" w:hAnsi="宋体"/>
          <w:sz w:val="24"/>
          <w:szCs w:val="24"/>
          <w:highlight w:val="none"/>
        </w:rPr>
        <w:t xml:space="preserve">供应商</w:t>
      </w:r>
      <w:r>
        <w:rPr>
          <w:rFonts w:ascii="宋体" w:hAnsi="宋体"/>
          <w:sz w:val="24"/>
          <w:szCs w:val="24"/>
          <w:highlight w:val="none"/>
        </w:rPr>
        <w:t xml:space="preserve">资格条件</w:t>
      </w:r>
      <w:r>
        <w:rPr>
          <w:rFonts w:hint="eastAsia" w:ascii="宋体" w:hAnsi="宋体"/>
          <w:sz w:val="24"/>
          <w:szCs w:val="24"/>
          <w:highlight w:val="none"/>
        </w:rPr>
        <w:t xml:space="preserve">及</w:t>
      </w:r>
      <w:r>
        <w:rPr>
          <w:rFonts w:ascii="宋体" w:hAnsi="宋体"/>
          <w:sz w:val="24"/>
          <w:szCs w:val="24"/>
          <w:highlight w:val="none"/>
        </w:rPr>
        <w:t xml:space="preserve">审查结果、</w:t>
      </w:r>
      <w:r>
        <w:rPr>
          <w:rFonts w:hint="eastAsia" w:ascii="宋体" w:hAnsi="宋体"/>
          <w:sz w:val="24"/>
          <w:szCs w:val="24"/>
          <w:highlight w:val="none"/>
        </w:rPr>
        <w:t xml:space="preserve">评标方法</w:t>
      </w:r>
      <w:r>
        <w:rPr>
          <w:rFonts w:ascii="宋体" w:hAnsi="宋体"/>
          <w:sz w:val="24"/>
          <w:szCs w:val="24"/>
          <w:highlight w:val="none"/>
        </w:rPr>
        <w:t xml:space="preserve">和评标标准、合同文本</w:t>
      </w:r>
      <w:r>
        <w:rPr>
          <w:rFonts w:hint="eastAsia" w:ascii="宋体" w:hAnsi="宋体"/>
          <w:sz w:val="24"/>
          <w:szCs w:val="24"/>
          <w:highlight w:val="none"/>
        </w:rPr>
        <w:t xml:space="preserve">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供应商对除</w:t>
      </w:r>
      <w:r>
        <w:rPr>
          <w:rFonts w:ascii="宋体" w:hAnsi="宋体"/>
          <w:sz w:val="24"/>
          <w:szCs w:val="24"/>
          <w:highlight w:val="none"/>
        </w:rPr>
        <w:t xml:space="preserve">上述事项以外其他事项</w:t>
      </w:r>
      <w:r>
        <w:rPr>
          <w:rFonts w:hint="eastAsia" w:ascii="宋体" w:hAnsi="宋体"/>
          <w:sz w:val="24"/>
          <w:szCs w:val="24"/>
          <w:highlight w:val="none"/>
        </w:rPr>
        <w:t xml:space="preserve">的询问</w:t>
      </w:r>
      <w:r>
        <w:rPr>
          <w:rFonts w:ascii="宋体" w:hAnsi="宋体"/>
          <w:sz w:val="24"/>
          <w:szCs w:val="24"/>
          <w:highlight w:val="none"/>
        </w:rPr>
        <w:t xml:space="preserve">、质疑请向</w:t>
      </w:r>
      <w:r>
        <w:rPr>
          <w:rFonts w:hint="eastAsia" w:ascii="宋体" w:hAnsi="宋体"/>
          <w:sz w:val="24"/>
          <w:szCs w:val="24"/>
          <w:highlight w:val="none"/>
          <w:lang w:eastAsia="zh-CN"/>
        </w:rPr>
        <w:t xml:space="preserve">交易中心</w:t>
      </w:r>
      <w:r>
        <w:rPr>
          <w:rFonts w:ascii="宋体" w:hAnsi="宋体"/>
          <w:sz w:val="24"/>
          <w:szCs w:val="24"/>
          <w:highlight w:val="none"/>
        </w:rPr>
        <w:t xml:space="preserve">提出，由</w:t>
      </w:r>
      <w:r>
        <w:rPr>
          <w:rFonts w:hint="eastAsia" w:ascii="宋体" w:hAnsi="宋体"/>
          <w:sz w:val="24"/>
          <w:szCs w:val="24"/>
          <w:highlight w:val="none"/>
          <w:lang w:eastAsia="zh-CN"/>
        </w:rPr>
        <w:t xml:space="preserve">交易中心</w:t>
      </w:r>
      <w:r>
        <w:rPr>
          <w:rFonts w:hint="eastAsia" w:ascii="宋体" w:hAnsi="宋体"/>
          <w:sz w:val="24"/>
          <w:szCs w:val="24"/>
          <w:highlight w:val="none"/>
        </w:rPr>
        <w:t xml:space="preserve">负责</w:t>
      </w:r>
      <w:r>
        <w:rPr>
          <w:rFonts w:ascii="宋体" w:hAnsi="宋体"/>
          <w:sz w:val="24"/>
          <w:szCs w:val="24"/>
          <w:highlight w:val="none"/>
        </w:rPr>
        <w:t xml:space="preserve">答复。</w:t>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lang w:eastAsia="zh-CN"/>
        </w:rPr>
        <w:t xml:space="preserve">交易中心</w:t>
      </w:r>
      <w:r>
        <w:rPr>
          <w:rFonts w:hint="eastAsia" w:ascii="宋体" w:hAnsi="宋体"/>
          <w:color w:val="000000" w:themeColor="text1"/>
          <w:sz w:val="24"/>
          <w:szCs w:val="24"/>
        </w:rPr>
        <w:t xml:space="preserve">及采购人只接收以纸质原件形式送达的质疑,建议供应商尽量通过邮寄方式提交质疑</w:t>
      </w:r>
      <w:r>
        <w:rPr>
          <w:rFonts w:hint="eastAsia" w:ascii="宋体" w:hAnsi="宋体"/>
          <w:color w:val="000000" w:themeColor="text1"/>
          <w:sz w:val="24"/>
          <w:szCs w:val="24"/>
        </w:rPr>
        <w:t xml:space="preserve">（采购人和</w:t>
      </w:r>
      <w:r>
        <w:rPr>
          <w:rFonts w:hint="eastAsia" w:ascii="宋体" w:hAnsi="宋体"/>
          <w:color w:val="000000" w:themeColor="text1"/>
          <w:sz w:val="24"/>
          <w:szCs w:val="24"/>
          <w:lang w:eastAsia="zh-CN"/>
        </w:rPr>
        <w:t xml:space="preserve">交易中心</w:t>
      </w:r>
      <w:r>
        <w:rPr>
          <w:rFonts w:hint="eastAsia" w:ascii="宋体" w:hAnsi="宋体"/>
          <w:color w:val="000000" w:themeColor="text1"/>
          <w:sz w:val="24"/>
          <w:szCs w:val="24"/>
        </w:rPr>
        <w:t xml:space="preserve">不接受未填写快递运单的快件）。</w:t>
      </w:r>
      <w:r>
        <w:rPr>
          <w:color w:val="000000" w:themeColor="text1"/>
        </w:rPr>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lang w:val="en-US" w:eastAsia="zh-CN"/>
        </w:rPr>
        <w:t xml:space="preserve">交易中心质疑接受人及联系方式详见招标文件第一章。</w:t>
      </w:r>
      <w:r>
        <w:rPr>
          <w:color w:val="000000" w:themeColor="text1"/>
        </w:rPr>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rPr>
          <w:color w:val="000000" w:themeColor="text1"/>
        </w:rPr>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 以下情形的质疑不予受理</w:t>
      </w:r>
      <w:r>
        <w:rPr>
          <w:color w:val="000000" w:themeColor="text1"/>
        </w:rPr>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28.5.1 内容不符合《政府采购质疑和投诉办法》第十二条规定的质疑。</w:t>
      </w:r>
      <w:r>
        <w:rPr>
          <w:color w:val="000000" w:themeColor="text1"/>
        </w:rPr>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28.5.2 超出政府采购法定期限的质疑。</w:t>
      </w:r>
      <w:r>
        <w:rPr>
          <w:color w:val="000000" w:themeColor="text1"/>
        </w:rPr>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28.5.3 以传真、电子邮件等方式递交的非原件形式的质疑。</w:t>
      </w:r>
      <w:r>
        <w:rPr>
          <w:color w:val="000000" w:themeColor="text1"/>
        </w:rPr>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28.5.4 未参加投标活动的供应商或在投标活动中自身权益未受到损害的供应商所提出的质疑。</w:t>
      </w:r>
      <w:r>
        <w:rPr>
          <w:color w:val="000000" w:themeColor="text1"/>
        </w:rPr>
      </w:r>
      <w:r/>
    </w:p>
    <w:p>
      <w:pPr>
        <w:ind w:firstLine="48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28.5.5供应商组成联合体参加投标，联合体中任何一方或多方未按要求签字、盖章、加盖公章的质疑。</w:t>
      </w:r>
      <w:r>
        <w:rPr>
          <w:color w:val="000000" w:themeColor="text1"/>
        </w:rPr>
      </w:r>
      <w:r/>
    </w:p>
    <w:p>
      <w:pPr>
        <w:ind w:firstLine="468"/>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28.6  供应商提出书面质疑必须有理、有据，不得捏造事实、提供虚假材料进行恶意质疑。否则，一经查实，</w:t>
      </w:r>
      <w:r>
        <w:rPr>
          <w:rFonts w:hint="eastAsia" w:ascii="宋体" w:hAnsi="宋体"/>
          <w:color w:val="000000" w:themeColor="text1"/>
          <w:sz w:val="24"/>
          <w:szCs w:val="24"/>
          <w:lang w:eastAsia="zh-CN"/>
        </w:rPr>
        <w:t xml:space="preserve">交易中心</w:t>
      </w:r>
      <w:r>
        <w:rPr>
          <w:rFonts w:hint="eastAsia" w:ascii="宋体" w:hAnsi="宋体"/>
          <w:color w:val="000000" w:themeColor="text1"/>
          <w:sz w:val="24"/>
          <w:szCs w:val="24"/>
        </w:rPr>
        <w:t xml:space="preserve">有权依据政府采购的有关规定，报请政府采购监管部门对该供应商进行相应的行政处罚和记录该供应商的失信信息。</w:t>
      </w:r>
      <w:r>
        <w:rPr>
          <w:color w:val="000000" w:themeColor="text1"/>
        </w:rPr>
      </w:r>
      <w:r/>
    </w:p>
    <w:p>
      <w:pPr>
        <w:pStyle w:val="900"/>
        <w:ind w:firstLine="600"/>
        <w:spacing w:before="0" w:after="0" w:line="240" w:lineRule="auto"/>
        <w:rPr>
          <w:rFonts w:hint="eastAsia"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29、中标通知书</w:t>
      </w:r>
      <w:r>
        <w:rPr>
          <w:color w:val="000000" w:themeColor="text1"/>
        </w:rPr>
      </w:r>
      <w:r/>
    </w:p>
    <w:p>
      <w:pPr>
        <w:ind w:firstLine="60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29.l</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中标结果确定后，</w:t>
      </w:r>
      <w:r>
        <w:rPr>
          <w:rFonts w:hint="eastAsia" w:ascii="宋体" w:hAnsi="宋体"/>
          <w:color w:val="000000" w:themeColor="text1"/>
          <w:sz w:val="24"/>
          <w:szCs w:val="24"/>
          <w:lang w:eastAsia="zh-CN"/>
        </w:rPr>
        <w:t xml:space="preserve">交易中心</w:t>
      </w:r>
      <w:r>
        <w:rPr>
          <w:rFonts w:hint="eastAsia" w:ascii="宋体" w:hAnsi="宋体"/>
          <w:color w:val="000000" w:themeColor="text1"/>
          <w:sz w:val="24"/>
          <w:szCs w:val="24"/>
        </w:rPr>
        <w:t xml:space="preserve">将向中标人发出中标通知书。请中标人在中标</w:t>
      </w:r>
      <w:r>
        <w:rPr>
          <w:rFonts w:hint="eastAsia" w:ascii="宋体" w:hAnsi="宋体"/>
          <w:color w:val="000000" w:themeColor="text1"/>
          <w:sz w:val="24"/>
          <w:szCs w:val="24"/>
        </w:rPr>
        <w:t xml:space="preserve">结果公告届满之日起30日内,使用CA数字证书登录</w:t>
      </w:r>
      <w:r>
        <w:rPr>
          <w:rFonts w:hint="eastAsia" w:ascii="宋体" w:hAnsi="宋体"/>
          <w:color w:val="000000" w:themeColor="text1"/>
          <w:sz w:val="24"/>
          <w:szCs w:val="24"/>
        </w:rPr>
        <w:t xml:space="preserve">苏采云系统</w:t>
      </w:r>
      <w:r>
        <w:rPr>
          <w:rFonts w:hint="eastAsia" w:ascii="宋体" w:hAnsi="宋体"/>
          <w:color w:val="000000" w:themeColor="text1"/>
          <w:sz w:val="24"/>
          <w:szCs w:val="24"/>
        </w:rPr>
        <w:t xml:space="preserve">及时下载中标通知书。因系统存储空间有限，自中标结果公告届满之日起30日后，</w:t>
      </w:r>
      <w:r>
        <w:rPr>
          <w:rFonts w:hint="eastAsia" w:ascii="宋体" w:hAnsi="宋体"/>
          <w:color w:val="000000" w:themeColor="text1"/>
          <w:sz w:val="24"/>
          <w:szCs w:val="24"/>
        </w:rPr>
        <w:t xml:space="preserve">苏采云系统</w:t>
      </w:r>
      <w:r>
        <w:rPr>
          <w:rFonts w:hint="eastAsia" w:ascii="宋体" w:hAnsi="宋体"/>
          <w:color w:val="000000" w:themeColor="text1"/>
          <w:sz w:val="24"/>
          <w:szCs w:val="24"/>
        </w:rPr>
        <w:t xml:space="preserve">不再保证提供下载中标通知书服务,因未及时下载而造成的不利后果由中标人自行承担。</w:t>
      </w:r>
      <w:r>
        <w:rPr>
          <w:color w:val="000000" w:themeColor="text1"/>
        </w:rPr>
      </w:r>
      <w:r/>
    </w:p>
    <w:p>
      <w:pPr>
        <w:ind w:firstLine="600"/>
        <w:spacing w:line="480" w:lineRule="exact"/>
        <w:rPr>
          <w:rFonts w:hint="eastAsia" w:ascii="宋体" w:hAnsi="宋体"/>
          <w:color w:val="000000" w:themeColor="text1"/>
          <w:sz w:val="24"/>
          <w:szCs w:val="24"/>
        </w:rPr>
      </w:pPr>
      <w:r>
        <w:rPr>
          <w:rFonts w:hint="eastAsia" w:ascii="宋体" w:hAnsi="宋体"/>
          <w:color w:val="000000" w:themeColor="text1"/>
          <w:sz w:val="24"/>
          <w:szCs w:val="24"/>
        </w:rPr>
        <w:t xml:space="preserve">29.</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中标通知书将是合同的一个组成部分。对采购人和中标人均具有法律效力。中标通知书发出后，采购人改变中标结果的，或者中标人放弃中标项目的，应当依法承担法律责任。</w:t>
      </w:r>
      <w:r>
        <w:rPr>
          <w:color w:val="000000" w:themeColor="text1"/>
        </w:rPr>
      </w:r>
      <w:r/>
    </w:p>
    <w:p>
      <w:pPr>
        <w:pStyle w:val="899"/>
        <w:spacing w:before="145" w:after="145" w:line="360" w:lineRule="auto"/>
        <w:rPr>
          <w:rFonts w:hint="eastAsia"/>
          <w:color w:val="000000" w:themeColor="text1"/>
        </w:rPr>
      </w:pPr>
      <w:r>
        <w:rPr>
          <w:color w:val="000000" w:themeColor="text1"/>
        </w:rPr>
      </w:r>
      <w:bookmarkStart w:id="172" w:name="_Toc120614220"/>
      <w:r>
        <w:rPr>
          <w:color w:val="000000" w:themeColor="text1"/>
        </w:rPr>
      </w:r>
      <w:bookmarkStart w:id="173" w:name="_Toc20823308"/>
      <w:r>
        <w:rPr>
          <w:color w:val="000000" w:themeColor="text1"/>
        </w:rPr>
      </w:r>
      <w:bookmarkStart w:id="174" w:name="_Toc513029236"/>
      <w:r>
        <w:rPr>
          <w:color w:val="000000" w:themeColor="text1"/>
        </w:rPr>
      </w:r>
      <w:bookmarkStart w:id="175" w:name="_Toc16938552"/>
      <w:r>
        <w:rPr>
          <w:rFonts w:hint="eastAsia"/>
          <w:color w:val="000000" w:themeColor="text1"/>
        </w:rPr>
        <w:t xml:space="preserve">七、授予合同</w:t>
      </w:r>
      <w:bookmarkEnd w:id="172"/>
      <w:r>
        <w:rPr>
          <w:color w:val="000000" w:themeColor="text1"/>
        </w:rPr>
      </w:r>
      <w:bookmarkEnd w:id="173"/>
      <w:r/>
      <w:bookmarkEnd w:id="174"/>
      <w:r/>
      <w:bookmarkEnd w:id="175"/>
      <w:r>
        <w:rPr>
          <w:color w:val="000000" w:themeColor="text1"/>
        </w:rPr>
      </w:r>
      <w:r/>
    </w:p>
    <w:p>
      <w:pPr>
        <w:pStyle w:val="900"/>
        <w:ind w:firstLine="600"/>
        <w:spacing w:before="0" w:after="0" w:line="240" w:lineRule="auto"/>
        <w:rPr>
          <w:rFonts w:hint="eastAsia" w:ascii="黑体" w:hAnsi="宋体" w:cs="Times New Roman"/>
          <w:b w:val="0"/>
          <w:color w:val="000000" w:themeColor="text1"/>
          <w:sz w:val="30"/>
          <w:szCs w:val="30"/>
        </w:rPr>
      </w:pPr>
      <w:r>
        <w:rPr>
          <w:color w:val="000000" w:themeColor="text1"/>
        </w:rPr>
      </w:r>
      <w:bookmarkStart w:id="176" w:name="_Toc20823309"/>
      <w:r>
        <w:rPr>
          <w:color w:val="000000" w:themeColor="text1"/>
        </w:rPr>
      </w:r>
      <w:bookmarkStart w:id="177" w:name="_Toc513029237"/>
      <w:r>
        <w:rPr>
          <w:color w:val="000000" w:themeColor="text1"/>
        </w:rPr>
      </w:r>
      <w:bookmarkStart w:id="178" w:name="_Toc16938553"/>
      <w:r>
        <w:rPr>
          <w:rFonts w:hint="eastAsia" w:ascii="黑体" w:hAnsi="宋体" w:cs="Times New Roman"/>
          <w:b w:val="0"/>
          <w:color w:val="000000" w:themeColor="text1"/>
          <w:sz w:val="30"/>
          <w:szCs w:val="30"/>
        </w:rPr>
        <w:t xml:space="preserve">30. 签订合同</w:t>
      </w:r>
      <w:r>
        <w:rPr>
          <w:color w:val="000000" w:themeColor="text1"/>
        </w:rPr>
      </w:r>
      <w:r/>
    </w:p>
    <w:p>
      <w:pPr>
        <w:ind w:firstLine="600"/>
        <w:spacing w:line="48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30</w:t>
      </w:r>
      <w:r>
        <w:rPr>
          <w:rFonts w:hint="eastAsia" w:ascii="宋体" w:hAnsi="宋体"/>
          <w:color w:val="000000" w:themeColor="text1"/>
          <w:sz w:val="24"/>
          <w:szCs w:val="24"/>
        </w:rPr>
        <w:t xml:space="preserve">.l中标人应当在中标通知书发出之日起</w:t>
      </w:r>
      <w:r>
        <w:rPr>
          <w:rFonts w:hint="eastAsia" w:ascii="宋体" w:hAnsi="宋体"/>
          <w:color w:val="000000" w:themeColor="text1"/>
          <w:sz w:val="24"/>
          <w:szCs w:val="24"/>
          <w:lang w:val="en-US" w:eastAsia="zh-CN"/>
        </w:rPr>
        <w:t xml:space="preserve">十五</w:t>
      </w:r>
      <w:r>
        <w:rPr>
          <w:rFonts w:hint="eastAsia" w:ascii="宋体" w:hAnsi="宋体"/>
          <w:color w:val="000000" w:themeColor="text1"/>
          <w:sz w:val="24"/>
          <w:szCs w:val="24"/>
        </w:rPr>
        <w:t xml:space="preserve">日</w:t>
      </w:r>
      <w:r>
        <w:rPr>
          <w:rFonts w:hint="eastAsia" w:ascii="宋体" w:hAnsi="宋体"/>
          <w:color w:val="000000" w:themeColor="text1"/>
          <w:sz w:val="24"/>
          <w:szCs w:val="24"/>
        </w:rPr>
        <w:t xml:space="preserve">内，按照招标文件确定的事项与采购人签订政府采购合同。</w:t>
      </w:r>
      <w:r>
        <w:rPr>
          <w:color w:val="000000" w:themeColor="text1"/>
        </w:rPr>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bookmarkEnd w:id="176"/>
      <w:r/>
      <w:bookmarkEnd w:id="177"/>
      <w:r/>
      <w:bookmarkEnd w:id="178"/>
      <w:r/>
      <w:r/>
    </w:p>
    <w:p>
      <w:pPr>
        <w:pStyle w:val="900"/>
        <w:ind w:firstLine="600"/>
        <w:spacing w:before="0" w:after="0" w:line="240" w:lineRule="auto"/>
        <w:rPr>
          <w:rFonts w:ascii="黑体" w:hAnsi="宋体" w:cs="Times New Roman"/>
          <w:b w:val="0"/>
          <w:sz w:val="30"/>
          <w:szCs w:val="30"/>
        </w:rPr>
      </w:pPr>
      <w:r/>
      <w:bookmarkStart w:id="179" w:name="_Toc16938558"/>
      <w:r/>
      <w:bookmarkStart w:id="180" w:name="_Toc20823314"/>
      <w:r/>
      <w:bookmarkStart w:id="181" w:name="_Toc120614221"/>
      <w:r/>
      <w:bookmarkStart w:id="182" w:name="_Toc479757207"/>
      <w:r/>
      <w:bookmarkStart w:id="183" w:name="_Toc513029242"/>
      <w:r>
        <w:rPr>
          <w:rFonts w:hint="eastAsia" w:ascii="黑体" w:hAnsi="宋体" w:cs="Times New Roman"/>
          <w:b w:val="0"/>
          <w:color w:val="000000" w:themeColor="text1"/>
          <w:sz w:val="30"/>
          <w:szCs w:val="30"/>
        </w:rPr>
        <w:t xml:space="preserve">3</w:t>
      </w:r>
      <w:r>
        <w:rPr>
          <w:rFonts w:hint="eastAsia" w:ascii="黑体" w:hAnsi="宋体" w:cs="Times New Roman"/>
          <w:b w:val="0"/>
          <w:color w:val="000000" w:themeColor="text1"/>
          <w:sz w:val="30"/>
          <w:szCs w:val="30"/>
          <w:lang w:val="en-US" w:eastAsia="zh-CN"/>
        </w:rPr>
        <w:t xml:space="preserve">1</w:t>
      </w:r>
      <w:r>
        <w:rPr>
          <w:rFonts w:hint="eastAsia" w:ascii="黑体" w:hAnsi="宋体" w:cs="Times New Roman"/>
          <w:b w:val="0"/>
          <w:color w:val="000000" w:themeColor="text1"/>
          <w:sz w:val="30"/>
          <w:szCs w:val="30"/>
        </w:rPr>
        <w:t xml:space="preserve">、政府采购</w:t>
      </w:r>
      <w:r>
        <w:rPr>
          <w:rFonts w:hint="eastAsia" w:ascii="黑体" w:hAnsi="宋体" w:cs="Times New Roman"/>
          <w:b w:val="0"/>
          <w:sz w:val="30"/>
          <w:szCs w:val="30"/>
        </w:rPr>
        <w:t xml:space="preserve">履约资金扶持政策</w:t>
      </w:r>
      <w:r/>
    </w:p>
    <w:p>
      <w:pPr>
        <w:pStyle w:val="898"/>
        <w:rPr>
          <w:rFonts w:hint="eastAsia"/>
        </w:rPr>
      </w:pPr>
      <w:r>
        <w:rPr>
          <w:rFonts w:hint="eastAsia" w:ascii="宋体" w:hAnsi="宋体"/>
          <w:bCs/>
          <w:sz w:val="24"/>
        </w:rPr>
        <w:t xml:space="preserve">中标人可凭政府采购合同办理融资贷款，详情请见江苏政府采购网“政采贷”专栏。</w:t>
      </w:r>
      <w:r/>
    </w:p>
    <w:p>
      <w:pPr>
        <w:pStyle w:val="898"/>
        <w:rPr>
          <w:rFonts w:hint="eastAsia"/>
        </w:rPr>
      </w:pPr>
      <w:r>
        <w:rPr>
          <w:rFonts w:hint="eastAsia"/>
        </w:rPr>
      </w:r>
      <w:r/>
    </w:p>
    <w:p>
      <w:pPr>
        <w:rPr>
          <w:rFonts w:hint="eastAsia"/>
        </w:rPr>
      </w:pPr>
      <w:r>
        <w:rPr>
          <w:rFonts w:hint="eastAsia"/>
        </w:rPr>
      </w:r>
      <w:r/>
    </w:p>
    <w:p>
      <w:pPr>
        <w:rPr>
          <w:rFonts w:ascii="黑体" w:eastAsia="黑体"/>
          <w:bCs/>
          <w:sz w:val="44"/>
        </w:rPr>
      </w:pPr>
      <w:r>
        <w:rPr>
          <w:rFonts w:ascii="黑体" w:eastAsia="黑体"/>
          <w:bCs/>
          <w:sz w:val="44"/>
        </w:rPr>
      </w:r>
      <w:r/>
    </w:p>
    <w:p>
      <w:pPr>
        <w:pStyle w:val="896"/>
        <w:rPr>
          <w:rStyle w:val="931"/>
          <w:rFonts w:hint="eastAsia"/>
          <w:lang w:val="en-US" w:eastAsia="zh-CN"/>
        </w:rPr>
      </w:pPr>
      <w:r/>
      <w:bookmarkStart w:id="184" w:name="_Toc11104"/>
      <w:r/>
      <w:bookmarkStart w:id="185" w:name="_Toc5617"/>
      <w:r>
        <w:rPr>
          <w:rStyle w:val="931"/>
          <w:rFonts w:hint="eastAsia"/>
          <w:b/>
          <w:bCs/>
          <w:lang w:val="en-US" w:eastAsia="zh-CN"/>
        </w:rPr>
        <w:t xml:space="preserve">第三章  合同</w:t>
      </w:r>
      <w:bookmarkEnd w:id="179"/>
      <w:r/>
      <w:bookmarkEnd w:id="180"/>
      <w:r/>
      <w:bookmarkEnd w:id="181"/>
      <w:r/>
      <w:bookmarkEnd w:id="182"/>
      <w:r/>
      <w:bookmarkEnd w:id="183"/>
      <w:r>
        <w:rPr>
          <w:rStyle w:val="931"/>
          <w:rFonts w:hint="eastAsia"/>
          <w:b/>
          <w:bCs/>
          <w:lang w:val="en-US" w:eastAsia="zh-CN"/>
        </w:rPr>
        <w:t xml:space="preserve">文本</w:t>
      </w:r>
      <w:bookmarkEnd w:id="184"/>
      <w:r/>
      <w:bookmarkEnd w:id="185"/>
      <w:r/>
      <w:r/>
    </w:p>
    <w:p>
      <w:pPr>
        <w:ind w:firstLine="480"/>
        <w:spacing w:line="500" w:lineRule="exact"/>
        <w:rPr>
          <w:rFonts w:hint="eastAsia" w:ascii="宋体" w:hAnsi="宋体"/>
          <w:bCs/>
          <w:sz w:val="24"/>
        </w:rPr>
      </w:pPr>
      <w:r/>
      <w:bookmarkStart w:id="186" w:name="_Toc20823315"/>
      <w:r/>
      <w:bookmarkStart w:id="187" w:name="_Toc513029243"/>
      <w:r/>
      <w:bookmarkStart w:id="188" w:name="_Toc16938559"/>
      <w:r>
        <w:rPr>
          <w:rFonts w:hint="eastAsia" w:ascii="宋体" w:hAnsi="宋体"/>
          <w:bCs/>
          <w:sz w:val="24"/>
        </w:rPr>
        <w:t xml:space="preserve">以下为中标后签定本项目合同的通用条款，中标人不得提出实质性的修改。</w:t>
      </w:r>
      <w:r/>
    </w:p>
    <w:p>
      <w:pPr>
        <w:ind w:firstLine="640"/>
        <w:spacing w:line="500" w:lineRule="exact"/>
        <w:rPr>
          <w:rFonts w:hint="eastAsia" w:ascii="宋体" w:hAnsi="宋体"/>
          <w:bCs/>
          <w:sz w:val="32"/>
          <w:szCs w:val="32"/>
          <w:highlight w:val="yellow"/>
        </w:rPr>
      </w:pPr>
      <w:r>
        <w:rPr>
          <w:rFonts w:hint="eastAsia" w:ascii="宋体" w:hAnsi="宋体"/>
          <w:bCs/>
          <w:sz w:val="32"/>
          <w:szCs w:val="32"/>
          <w:highlight w:val="yellow"/>
        </w:rPr>
      </w:r>
      <w:r/>
    </w:p>
    <w:p>
      <w:pPr>
        <w:jc w:val="center"/>
        <w:rPr>
          <w:b/>
          <w:bCs/>
          <w:sz w:val="30"/>
          <w:szCs w:val="30"/>
        </w:rPr>
      </w:pPr>
      <w:r>
        <w:rPr>
          <w:rFonts w:hint="eastAsia"/>
          <w:b/>
          <w:bCs/>
          <w:sz w:val="30"/>
          <w:szCs w:val="30"/>
        </w:rPr>
        <w:t xml:space="preserve">江苏省政府采购合同（服务）（合同编号）</w:t>
      </w:r>
      <w:r/>
    </w:p>
    <w:p>
      <w:pPr>
        <w:pStyle w:val="912"/>
        <w:spacing w:before="120" w:after="120"/>
        <w:rPr>
          <w:rFonts w:hAnsi="宋体"/>
          <w:sz w:val="24"/>
          <w:szCs w:val="24"/>
        </w:rPr>
      </w:pPr>
      <w:r>
        <w:rPr>
          <w:rFonts w:hAnsi="宋体"/>
          <w:sz w:val="24"/>
          <w:szCs w:val="24"/>
        </w:rPr>
        <w:t xml:space="preserve">项目名称：                                       项目编号：</w:t>
      </w:r>
      <w:r/>
    </w:p>
    <w:p>
      <w:pPr>
        <w:pStyle w:val="912"/>
        <w:spacing w:before="120" w:after="120"/>
        <w:rPr>
          <w:rFonts w:hAnsi="宋体"/>
          <w:sz w:val="24"/>
          <w:szCs w:val="24"/>
        </w:rPr>
      </w:pPr>
      <w:r>
        <w:rPr>
          <w:rFonts w:hAnsi="宋体"/>
          <w:sz w:val="24"/>
          <w:szCs w:val="24"/>
        </w:rPr>
        <w:t xml:space="preserve">甲方：（买方）_________</w:t>
      </w:r>
      <w:r/>
    </w:p>
    <w:p>
      <w:pPr>
        <w:pStyle w:val="912"/>
        <w:spacing w:before="120" w:after="120"/>
        <w:rPr>
          <w:rFonts w:hint="eastAsia" w:hAnsi="宋体"/>
          <w:sz w:val="24"/>
          <w:szCs w:val="24"/>
        </w:rPr>
      </w:pPr>
      <w:r>
        <w:rPr>
          <w:rFonts w:hAnsi="宋体"/>
          <w:sz w:val="24"/>
          <w:szCs w:val="24"/>
        </w:rPr>
        <w:t xml:space="preserve">乙方：（卖方）_________</w:t>
      </w:r>
      <w:r/>
    </w:p>
    <w:p>
      <w:pPr>
        <w:pStyle w:val="91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lang w:val="en-US" w:eastAsia="zh-CN"/>
        </w:rPr>
        <w:t xml:space="preserve">扬州市公共资源</w:t>
      </w:r>
      <w:r>
        <w:rPr>
          <w:rFonts w:hint="eastAsia" w:hAnsi="宋体"/>
          <w:sz w:val="24"/>
          <w:szCs w:val="24"/>
          <w:lang w:eastAsia="zh-CN"/>
        </w:rPr>
        <w:t xml:space="preserve">交易中心</w:t>
      </w:r>
      <w:r>
        <w:rPr>
          <w:rFonts w:hint="eastAsia" w:hAnsi="宋体"/>
          <w:sz w:val="24"/>
          <w:szCs w:val="24"/>
          <w:u w:val="single"/>
        </w:rPr>
        <w:t xml:space="preserve">         </w:t>
      </w:r>
      <w:r>
        <w:rPr>
          <w:rFonts w:hAnsi="宋体"/>
          <w:sz w:val="24"/>
          <w:szCs w:val="24"/>
        </w:rPr>
        <w:t xml:space="preserve">项目公开招标的结果，签署本合同。</w:t>
      </w:r>
      <w:r/>
    </w:p>
    <w:p>
      <w:pPr>
        <w:pStyle w:val="91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12"/>
        <w:spacing w:before="120" w:after="120"/>
        <w:rPr>
          <w:rFonts w:hint="eastAsia" w:hAnsi="宋体"/>
          <w:sz w:val="24"/>
          <w:szCs w:val="24"/>
        </w:rPr>
      </w:pPr>
      <w:r>
        <w:rPr>
          <w:rFonts w:hint="eastAsia" w:hAnsi="宋体"/>
          <w:sz w:val="24"/>
          <w:szCs w:val="24"/>
        </w:rPr>
        <w:t xml:space="preserve">1.3 标的数量（规模）：</w:t>
      </w:r>
      <w:r/>
    </w:p>
    <w:p>
      <w:pPr>
        <w:pStyle w:val="912"/>
        <w:spacing w:before="120" w:after="120"/>
        <w:rPr>
          <w:rFonts w:hint="eastAsia" w:hAnsi="宋体"/>
          <w:sz w:val="24"/>
          <w:szCs w:val="24"/>
        </w:rPr>
      </w:pPr>
      <w:r>
        <w:rPr>
          <w:rFonts w:hint="eastAsia" w:hAnsi="宋体"/>
          <w:sz w:val="24"/>
          <w:szCs w:val="24"/>
        </w:rPr>
        <w:t xml:space="preserve">1.4 履行时间（期限）：</w:t>
      </w:r>
      <w:r/>
    </w:p>
    <w:p>
      <w:pPr>
        <w:pStyle w:val="912"/>
        <w:spacing w:before="120" w:after="120"/>
        <w:rPr>
          <w:rFonts w:hAnsi="宋体"/>
          <w:sz w:val="24"/>
          <w:szCs w:val="24"/>
        </w:rPr>
      </w:pPr>
      <w:r>
        <w:rPr>
          <w:rFonts w:hint="eastAsia" w:hAnsi="宋体"/>
          <w:sz w:val="24"/>
          <w:szCs w:val="24"/>
        </w:rPr>
        <w:t xml:space="preserve">1.5 履行地点：</w:t>
      </w:r>
      <w:r/>
    </w:p>
    <w:p>
      <w:pPr>
        <w:pStyle w:val="91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12"/>
        <w:spacing w:before="120" w:after="120"/>
        <w:rPr>
          <w:rFonts w:hAnsi="宋体"/>
          <w:b/>
          <w:sz w:val="24"/>
          <w:szCs w:val="24"/>
        </w:rPr>
      </w:pPr>
      <w:r>
        <w:rPr>
          <w:rFonts w:hAnsi="宋体"/>
          <w:b/>
          <w:sz w:val="24"/>
          <w:szCs w:val="24"/>
        </w:rPr>
        <w:t xml:space="preserve">二、合同金额</w:t>
      </w:r>
      <w:r/>
    </w:p>
    <w:p>
      <w:pPr>
        <w:pStyle w:val="91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12"/>
        <w:spacing w:before="120" w:after="120"/>
        <w:rPr>
          <w:rFonts w:hAnsi="宋体"/>
          <w:b/>
          <w:sz w:val="24"/>
          <w:szCs w:val="24"/>
        </w:rPr>
      </w:pPr>
      <w:r>
        <w:rPr>
          <w:rFonts w:hAnsi="宋体"/>
          <w:b/>
          <w:sz w:val="24"/>
          <w:szCs w:val="24"/>
        </w:rPr>
        <w:t xml:space="preserve">三、技术资料</w:t>
      </w:r>
      <w:r/>
    </w:p>
    <w:p>
      <w:pPr>
        <w:pStyle w:val="91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1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2"/>
        <w:ind w:left="412" w:hanging="412"/>
        <w:spacing w:before="120" w:after="120"/>
        <w:rPr>
          <w:rFonts w:hAnsi="宋体"/>
          <w:b/>
          <w:sz w:val="24"/>
          <w:szCs w:val="24"/>
        </w:rPr>
      </w:pPr>
      <w:r>
        <w:rPr>
          <w:rFonts w:hAnsi="宋体"/>
          <w:b/>
          <w:sz w:val="24"/>
          <w:szCs w:val="24"/>
        </w:rPr>
        <w:t xml:space="preserve">四、知识产权</w:t>
      </w:r>
      <w:r/>
    </w:p>
    <w:p>
      <w:pPr>
        <w:pStyle w:val="91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2"/>
        <w:spacing w:before="120" w:after="120"/>
        <w:rPr>
          <w:rFonts w:hAnsi="宋体"/>
          <w:sz w:val="24"/>
          <w:szCs w:val="24"/>
          <w:u w:val="single"/>
        </w:rPr>
      </w:pPr>
      <w:r>
        <w:rPr>
          <w:rFonts w:hAnsi="宋体"/>
          <w:b/>
          <w:sz w:val="24"/>
          <w:szCs w:val="24"/>
        </w:rPr>
        <w:t xml:space="preserve">五、产权担保</w:t>
      </w:r>
      <w:r/>
    </w:p>
    <w:p>
      <w:pPr>
        <w:pStyle w:val="91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12"/>
        <w:ind w:left="410" w:hanging="410"/>
        <w:spacing w:before="120" w:after="120"/>
        <w:rPr>
          <w:rFonts w:hint="eastAsia" w:hAnsi="宋体" w:eastAsia="宋体"/>
          <w:b/>
          <w:color w:val="000000" w:themeColor="text1"/>
          <w:sz w:val="24"/>
          <w:szCs w:val="24"/>
        </w:rPr>
      </w:pPr>
      <w:r>
        <w:rPr>
          <w:rFonts w:hAnsi="宋体"/>
          <w:b/>
          <w:sz w:val="24"/>
          <w:szCs w:val="24"/>
        </w:rPr>
        <w:t xml:space="preserve">六、履</w:t>
      </w:r>
      <w:r>
        <w:rPr>
          <w:rFonts w:hAnsi="宋体"/>
          <w:b/>
          <w:color w:val="000000" w:themeColor="text1"/>
          <w:sz w:val="24"/>
          <w:szCs w:val="24"/>
        </w:rPr>
        <w:t xml:space="preserve">约保证金</w:t>
      </w:r>
      <w:r>
        <w:rPr>
          <w:color w:val="000000" w:themeColor="text1"/>
        </w:rPr>
      </w:r>
      <w:r/>
    </w:p>
    <w:p>
      <w:pPr>
        <w:pStyle w:val="912"/>
        <w:ind w:left="408" w:hanging="408"/>
        <w:spacing w:before="120" w:after="120"/>
        <w:rPr>
          <w:rFonts w:hint="eastAsia" w:hAnsi="宋体"/>
          <w:color w:val="000000" w:themeColor="text1"/>
          <w:sz w:val="24"/>
          <w:szCs w:val="24"/>
        </w:rPr>
      </w:pPr>
      <w:r>
        <w:rPr>
          <w:rFonts w:hAnsi="宋体"/>
          <w:color w:val="000000" w:themeColor="text1"/>
          <w:sz w:val="24"/>
          <w:szCs w:val="24"/>
        </w:rPr>
        <w:t xml:space="preserve">6.1 乙方交纳人民币_</w:t>
      </w:r>
      <w:r>
        <w:rPr>
          <w:rFonts w:hAnsi="宋体"/>
          <w:color w:val="000000" w:themeColor="text1"/>
          <w:sz w:val="24"/>
          <w:szCs w:val="24"/>
          <w:u w:val="none"/>
        </w:rPr>
        <w:t xml:space="preserve">__</w:t>
      </w:r>
      <w:r>
        <w:rPr>
          <w:rFonts w:hint="eastAsia" w:hAnsi="宋体"/>
          <w:color w:val="000000" w:themeColor="text1"/>
          <w:sz w:val="24"/>
          <w:szCs w:val="24"/>
          <w:u w:val="single"/>
          <w:lang w:val="en-US" w:eastAsia="zh-CN"/>
        </w:rPr>
        <w:t xml:space="preserve">零</w:t>
      </w:r>
      <w:r>
        <w:rPr>
          <w:rFonts w:hAnsi="宋体"/>
          <w:color w:val="000000" w:themeColor="text1"/>
          <w:sz w:val="24"/>
          <w:szCs w:val="24"/>
          <w:u w:val="none"/>
        </w:rPr>
        <w:t xml:space="preserve">___</w:t>
      </w:r>
      <w:r>
        <w:rPr>
          <w:rFonts w:hAnsi="宋体"/>
          <w:color w:val="000000" w:themeColor="text1"/>
          <w:sz w:val="24"/>
          <w:szCs w:val="24"/>
        </w:rPr>
        <w:t xml:space="preserve">元作为本合同的履约保证金。</w:t>
      </w:r>
      <w:r>
        <w:rPr>
          <w:rFonts w:hint="eastAsia" w:hAnsi="宋体"/>
          <w:color w:val="000000" w:themeColor="text1"/>
          <w:sz w:val="24"/>
          <w:szCs w:val="24"/>
        </w:rPr>
        <w:t xml:space="preserve">（不得超过合同金额的10%）</w:t>
      </w:r>
      <w:r>
        <w:rPr>
          <w:color w:val="000000" w:themeColor="text1"/>
        </w:rPr>
      </w:r>
      <w:r/>
    </w:p>
    <w:p>
      <w:pPr>
        <w:pStyle w:val="912"/>
        <w:ind w:left="408" w:hanging="408"/>
        <w:spacing w:before="120" w:after="120"/>
        <w:rPr>
          <w:rFonts w:hint="eastAsia" w:hAnsi="宋体"/>
          <w:color w:val="000000" w:themeColor="text1"/>
          <w:sz w:val="24"/>
          <w:szCs w:val="24"/>
        </w:rPr>
      </w:pPr>
      <w:r>
        <w:rPr>
          <w:rFonts w:hint="eastAsia" w:hAnsi="宋体"/>
          <w:color w:val="000000" w:themeColor="text1"/>
          <w:sz w:val="24"/>
          <w:szCs w:val="24"/>
        </w:rPr>
        <w:t xml:space="preserve">6.2合同履行结束后，甲方应及时退还交纳的履约保证金。</w:t>
      </w:r>
      <w:r>
        <w:rPr>
          <w:color w:val="000000" w:themeColor="text1"/>
        </w:rPr>
      </w:r>
      <w:r/>
    </w:p>
    <w:p>
      <w:pPr>
        <w:pStyle w:val="912"/>
        <w:ind w:left="408" w:hanging="408"/>
        <w:spacing w:before="120" w:after="120"/>
        <w:rPr>
          <w:rFonts w:hint="eastAsia" w:hAnsi="宋体" w:eastAsia="宋体"/>
          <w:color w:val="000000" w:themeColor="text1"/>
          <w:sz w:val="24"/>
          <w:szCs w:val="24"/>
        </w:rPr>
      </w:pPr>
      <w:r>
        <w:rPr>
          <w:rFonts w:hint="eastAsia" w:hAnsi="宋体"/>
          <w:color w:val="000000" w:themeColor="text1"/>
          <w:sz w:val="24"/>
          <w:szCs w:val="24"/>
        </w:rPr>
        <w:t xml:space="preserve">6.2.1履约保证金退还方式：</w:t>
      </w:r>
      <w:r>
        <w:rPr>
          <w:rFonts w:hint="eastAsia" w:hAnsi="宋体"/>
          <w:color w:val="000000" w:themeColor="text1"/>
          <w:sz w:val="24"/>
          <w:szCs w:val="24"/>
          <w:lang w:val="en-US" w:eastAsia="zh-CN"/>
        </w:rPr>
        <w:t xml:space="preserve">无</w:t>
      </w:r>
      <w:r>
        <w:rPr>
          <w:color w:val="000000" w:themeColor="text1"/>
        </w:rPr>
      </w:r>
      <w:r/>
    </w:p>
    <w:p>
      <w:pPr>
        <w:pStyle w:val="912"/>
        <w:ind w:left="408" w:hanging="408"/>
        <w:spacing w:before="120" w:after="120"/>
        <w:rPr>
          <w:rFonts w:hint="eastAsia" w:hAnsi="宋体" w:eastAsia="宋体"/>
          <w:color w:val="000000" w:themeColor="text1"/>
          <w:sz w:val="24"/>
          <w:szCs w:val="24"/>
        </w:rPr>
      </w:pPr>
      <w:r>
        <w:rPr>
          <w:rFonts w:hint="eastAsia" w:hAnsi="宋体"/>
          <w:color w:val="000000" w:themeColor="text1"/>
          <w:sz w:val="24"/>
          <w:szCs w:val="24"/>
        </w:rPr>
        <w:t xml:space="preserve">6.2.2履约保证金退还时间：</w:t>
      </w:r>
      <w:r>
        <w:rPr>
          <w:rFonts w:hint="eastAsia" w:hAnsi="宋体"/>
          <w:color w:val="000000" w:themeColor="text1"/>
          <w:sz w:val="24"/>
          <w:szCs w:val="24"/>
          <w:lang w:val="en-US" w:eastAsia="zh-CN"/>
        </w:rPr>
        <w:t xml:space="preserve">无</w:t>
      </w:r>
      <w:r>
        <w:rPr>
          <w:color w:val="000000" w:themeColor="text1"/>
        </w:rPr>
      </w:r>
      <w:r/>
    </w:p>
    <w:p>
      <w:pPr>
        <w:pStyle w:val="912"/>
        <w:ind w:left="408" w:hanging="408"/>
        <w:spacing w:before="120" w:after="120"/>
        <w:rPr>
          <w:rFonts w:hint="eastAsia" w:hAnsi="宋体" w:eastAsia="宋体"/>
          <w:color w:val="000000" w:themeColor="text1"/>
          <w:sz w:val="24"/>
          <w:szCs w:val="24"/>
        </w:rPr>
      </w:pPr>
      <w:r>
        <w:rPr>
          <w:rFonts w:hint="eastAsia" w:hAnsi="宋体"/>
          <w:color w:val="000000" w:themeColor="text1"/>
          <w:sz w:val="24"/>
          <w:szCs w:val="24"/>
        </w:rPr>
        <w:t xml:space="preserve">6.2.3履约保证金退还条件：</w:t>
      </w:r>
      <w:r>
        <w:rPr>
          <w:rFonts w:hint="eastAsia" w:hAnsi="宋体"/>
          <w:color w:val="000000" w:themeColor="text1"/>
          <w:sz w:val="24"/>
          <w:szCs w:val="24"/>
          <w:lang w:val="en-US" w:eastAsia="zh-CN"/>
        </w:rPr>
        <w:t xml:space="preserve">无</w:t>
      </w:r>
      <w:r>
        <w:rPr>
          <w:color w:val="000000" w:themeColor="text1"/>
        </w:rPr>
      </w:r>
      <w:r/>
    </w:p>
    <w:p>
      <w:pPr>
        <w:pStyle w:val="912"/>
        <w:ind w:left="408" w:hanging="408"/>
        <w:spacing w:before="120" w:after="120"/>
        <w:rPr>
          <w:rFonts w:hint="eastAsia" w:hAnsi="宋体" w:eastAsia="宋体"/>
          <w:color w:val="000000" w:themeColor="text1"/>
          <w:sz w:val="24"/>
          <w:szCs w:val="24"/>
        </w:rPr>
      </w:pPr>
      <w:r>
        <w:rPr>
          <w:rFonts w:hint="eastAsia" w:hAnsi="宋体"/>
          <w:color w:val="000000" w:themeColor="text1"/>
          <w:sz w:val="24"/>
          <w:szCs w:val="24"/>
        </w:rPr>
        <w:t xml:space="preserve">6.2.4履约保证金不予退还的情形：</w:t>
      </w:r>
      <w:r>
        <w:rPr>
          <w:rFonts w:hint="eastAsia" w:hAnsi="宋体"/>
          <w:color w:val="000000" w:themeColor="text1"/>
          <w:sz w:val="24"/>
          <w:szCs w:val="24"/>
          <w:lang w:val="en-US" w:eastAsia="zh-CN"/>
        </w:rPr>
        <w:t xml:space="preserve">无</w:t>
      </w:r>
      <w:r>
        <w:rPr>
          <w:color w:val="000000" w:themeColor="text1"/>
        </w:rPr>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1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29"/>
        <w:ind w:firstLine="480"/>
        <w:spacing w:before="120" w:after="120"/>
        <w:rPr>
          <w:rFonts w:hint="eastAsia" w:hAnsi="宋体"/>
          <w:b w:val="0"/>
          <w:bCs/>
          <w:sz w:val="24"/>
          <w:szCs w:val="24"/>
          <w:highlight w:val="none"/>
        </w:rPr>
      </w:pPr>
      <w:r>
        <w:rPr>
          <w:rFonts w:hint="eastAsia" w:hAnsi="宋体"/>
          <w:b w:val="0"/>
          <w:bCs/>
          <w:sz w:val="24"/>
          <w:szCs w:val="24"/>
          <w:highlight w:val="none"/>
        </w:rPr>
        <w:t xml:space="preserve">合同签订后，甲方自收到发票之日起10个工作日内支付合同总价40%的预付款；上线试运行后，甲方自收到发票之日起10个工作日内</w:t>
      </w:r>
      <w:r>
        <w:rPr>
          <w:rFonts w:hint="eastAsia" w:hAnsi="宋体"/>
          <w:b w:val="0"/>
          <w:bCs/>
          <w:sz w:val="24"/>
          <w:szCs w:val="24"/>
          <w:highlight w:val="none"/>
          <w:lang w:eastAsia="zh-CN"/>
        </w:rPr>
        <w:t xml:space="preserve">支付合同总价</w:t>
      </w:r>
      <w:r>
        <w:rPr>
          <w:rFonts w:hint="eastAsia" w:hAnsi="宋体"/>
          <w:b w:val="0"/>
          <w:bCs/>
          <w:sz w:val="24"/>
          <w:szCs w:val="24"/>
          <w:highlight w:val="none"/>
          <w:lang w:val="en-US" w:eastAsia="zh-CN"/>
        </w:rPr>
        <w:t xml:space="preserve">的</w:t>
      </w:r>
      <w:r>
        <w:rPr>
          <w:rFonts w:hint="eastAsia" w:hAnsi="宋体"/>
          <w:b w:val="0"/>
          <w:bCs/>
          <w:sz w:val="24"/>
          <w:szCs w:val="24"/>
          <w:highlight w:val="none"/>
        </w:rPr>
        <w:t xml:space="preserve">50%；项目验收通过后，甲方自收到发票之日起10个工作日内</w:t>
      </w:r>
      <w:r>
        <w:rPr>
          <w:rFonts w:hint="eastAsia" w:hAnsi="宋体"/>
          <w:b w:val="0"/>
          <w:bCs/>
          <w:sz w:val="24"/>
          <w:szCs w:val="24"/>
          <w:highlight w:val="none"/>
          <w:lang w:eastAsia="zh-CN"/>
        </w:rPr>
        <w:t xml:space="preserve">付清余款</w:t>
      </w:r>
      <w:r>
        <w:rPr>
          <w:rFonts w:hint="eastAsia" w:hAnsi="宋体"/>
          <w:b w:val="0"/>
          <w:bCs/>
          <w:sz w:val="24"/>
          <w:szCs w:val="24"/>
          <w:highlight w:val="none"/>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1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2"/>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12"/>
        <w:ind w:left="480" w:hanging="480"/>
        <w:spacing w:before="120" w:after="120"/>
        <w:rPr>
          <w:rFonts w:hint="eastAsia" w:hAnsi="宋体"/>
          <w:sz w:val="24"/>
          <w:szCs w:val="24"/>
        </w:rPr>
      </w:pPr>
      <w:r>
        <w:rPr>
          <w:rFonts w:hint="eastAsia" w:hAnsi="宋体"/>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12"/>
        <w:ind w:left="480" w:hanging="480"/>
        <w:spacing w:before="120" w:after="120"/>
        <w:rPr>
          <w:rFonts w:hint="eastAsia" w:hAnsi="宋体"/>
          <w:sz w:val="24"/>
          <w:szCs w:val="24"/>
        </w:rPr>
      </w:pPr>
      <w:r>
        <w:rPr>
          <w:rFonts w:hint="eastAsia" w:hAnsi="宋体"/>
          <w:sz w:val="24"/>
          <w:szCs w:val="24"/>
        </w:rPr>
        <w:t xml:space="preserve">10.4如有必要，甲方邀请参加本项目的其他供应商或第三方专业机构及专家参与验收，相关意见将作为验收书的参考资料。</w:t>
      </w:r>
      <w:r/>
    </w:p>
    <w:p>
      <w:pPr>
        <w:pStyle w:val="912"/>
        <w:ind w:left="480" w:hanging="480"/>
        <w:spacing w:before="120" w:after="120"/>
        <w:rPr>
          <w:rFonts w:hint="eastAsia" w:hAnsi="宋体"/>
          <w:sz w:val="24"/>
          <w:szCs w:val="24"/>
        </w:rPr>
      </w:pPr>
      <w:r>
        <w:rPr>
          <w:rFonts w:hint="eastAsia" w:hAnsi="宋体"/>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1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1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1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12"/>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1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2"/>
        <w:ind w:left="480" w:hanging="480"/>
        <w:spacing w:before="120" w:after="120" w:line="0" w:lineRule="atLeast"/>
        <w:rPr>
          <w:rFonts w:hAnsi="宋体"/>
          <w:sz w:val="24"/>
          <w:szCs w:val="24"/>
        </w:rPr>
      </w:pPr>
      <w:r>
        <w:rPr>
          <w:rFonts w:hAnsi="宋体"/>
          <w:sz w:val="24"/>
          <w:szCs w:val="24"/>
        </w:rPr>
        <w:t xml:space="preserve">  甲方：                        乙方： </w:t>
      </w:r>
      <w:r/>
    </w:p>
    <w:p>
      <w:pPr>
        <w:pStyle w:val="91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2"/>
        <w:ind w:firstLine="240"/>
        <w:spacing w:before="120" w:after="120" w:line="0" w:lineRule="atLeast"/>
        <w:rPr>
          <w:rFonts w:hint="eastAsia"/>
        </w:rPr>
      </w:pPr>
      <w:r>
        <w:rPr>
          <w:rFonts w:hint="eastAsia" w:hAnsi="宋体"/>
          <w:sz w:val="24"/>
          <w:szCs w:val="24"/>
        </w:rPr>
        <w:t xml:space="preserve">联系电话：                    联系电话：          </w:t>
      </w:r>
      <w:r/>
    </w:p>
    <w:p>
      <w:pPr>
        <w:pStyle w:val="912"/>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6"/>
      <w:r/>
      <w:bookmarkEnd w:id="187"/>
      <w:r/>
      <w:bookmarkEnd w:id="188"/>
      <w:r/>
      <w:bookmarkStart w:id="189" w:name="_Hlt16619369"/>
      <w:r/>
      <w:bookmarkEnd w:id="189"/>
      <w:r/>
      <w:bookmarkStart w:id="190" w:name="_Hlt16619350"/>
      <w:r/>
      <w:bookmarkStart w:id="191" w:name="_Toc20823346"/>
      <w:r/>
      <w:bookmarkStart w:id="192" w:name="_Toc16938590"/>
      <w:r/>
      <w:bookmarkStart w:id="193" w:name="_Toc120614244"/>
      <w:r/>
      <w:bookmarkStart w:id="194" w:name="_Toc462564139"/>
      <w:r/>
      <w:bookmarkStart w:id="195" w:name="_Toc479757211"/>
      <w:r/>
      <w:r/>
    </w:p>
    <w:p>
      <w:pPr>
        <w:pStyle w:val="896"/>
        <w:rPr>
          <w:rFonts w:hint="eastAsia" w:hAnsi="宋体"/>
          <w:sz w:val="24"/>
          <w:szCs w:val="24"/>
        </w:rPr>
      </w:pPr>
      <w:r>
        <w:br w:type="page" w:clear="all"/>
      </w:r>
      <w:bookmarkStart w:id="196" w:name="_Toc6785"/>
      <w:r/>
      <w:bookmarkStart w:id="197" w:name="_Toc14893"/>
      <w:r>
        <w:rPr>
          <w:rStyle w:val="931"/>
          <w:rFonts w:hint="eastAsia"/>
          <w:b/>
          <w:bCs/>
        </w:rPr>
        <w:t xml:space="preserve">第</w:t>
      </w:r>
      <w:bookmarkEnd w:id="190"/>
      <w:r>
        <w:rPr>
          <w:rStyle w:val="931"/>
          <w:rFonts w:hint="eastAsia"/>
          <w:b/>
          <w:bCs/>
        </w:rPr>
        <w:t xml:space="preserve">四章 采购需求</w:t>
      </w:r>
      <w:bookmarkEnd w:id="191"/>
      <w:r/>
      <w:bookmarkEnd w:id="192"/>
      <w:r/>
      <w:bookmarkEnd w:id="193"/>
      <w:r/>
      <w:bookmarkEnd w:id="196"/>
      <w:r/>
      <w:bookmarkEnd w:id="197"/>
      <w:r/>
      <w:r/>
    </w:p>
    <w:p>
      <w:pPr>
        <w:spacing w:line="0" w:lineRule="atLeast"/>
        <w:rPr>
          <w:rFonts w:hint="eastAsia" w:ascii="宋体" w:hAnsi="宋体"/>
          <w:color w:val="000000"/>
          <w:sz w:val="24"/>
          <w:szCs w:val="24"/>
        </w:rPr>
      </w:pPr>
      <w:r/>
      <w:bookmarkStart w:id="198" w:name="_Toc26554093"/>
      <w:r/>
      <w:bookmarkStart w:id="199" w:name="_Toc49090575"/>
      <w:r/>
      <w:r/>
    </w:p>
    <w:p>
      <w:pPr>
        <w:spacing w:line="0" w:lineRule="atLeast"/>
        <w:rPr>
          <w:rFonts w:hint="eastAsia" w:ascii="宋体" w:hAnsi="宋体"/>
          <w:color w:val="000000"/>
          <w:sz w:val="24"/>
          <w:szCs w:val="24"/>
          <w:highlight w:val="yellow"/>
        </w:rPr>
      </w:pPr>
      <w:r>
        <w:rPr>
          <w:rFonts w:hint="eastAsia" w:ascii="宋体" w:hAnsi="宋体"/>
          <w:color w:val="000000"/>
          <w:sz w:val="24"/>
          <w:szCs w:val="24"/>
        </w:rPr>
        <w:t xml:space="preserve">项目属性:服务类项目。</w:t>
      </w:r>
      <w:r/>
    </w:p>
    <w:p>
      <w:pPr>
        <w:ind w:firstLine="480"/>
        <w:spacing w:line="360" w:lineRule="auto"/>
        <w:rPr>
          <w:bCs/>
          <w:iCs/>
          <w:color w:val="auto"/>
          <w:sz w:val="24"/>
          <w:szCs w:val="24"/>
        </w:rPr>
      </w:pPr>
      <w:r>
        <w:rPr>
          <w:rFonts w:hint="eastAsia"/>
          <w:bCs/>
          <w:iCs/>
          <w:color w:val="auto"/>
          <w:sz w:val="24"/>
          <w:szCs w:val="24"/>
        </w:rPr>
        <w:t xml:space="preserve">其他要求</w:t>
      </w:r>
      <w:r/>
    </w:p>
    <w:p>
      <w:pPr>
        <w:ind w:firstLine="480"/>
        <w:spacing w:line="360" w:lineRule="auto"/>
        <w:rPr>
          <w:bCs/>
          <w:iCs/>
          <w:color w:val="auto"/>
          <w:sz w:val="24"/>
          <w:szCs w:val="24"/>
        </w:rPr>
      </w:pPr>
      <w:r>
        <w:rPr>
          <w:rFonts w:hint="eastAsia"/>
          <w:bCs/>
          <w:iCs/>
          <w:color w:val="auto"/>
          <w:sz w:val="24"/>
          <w:szCs w:val="24"/>
        </w:rPr>
        <w:t xml:space="preserve">1.严格执行政府采购关于支持</w:t>
      </w:r>
      <w:r>
        <w:rPr>
          <w:rFonts w:hint="eastAsia"/>
          <w:bCs/>
          <w:iCs/>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bCs/>
          <w:iCs/>
          <w:color w:val="auto"/>
          <w:sz w:val="24"/>
          <w:szCs w:val="24"/>
        </w:rPr>
      </w:pPr>
      <w:r>
        <w:rPr>
          <w:rFonts w:hint="eastAsia"/>
          <w:bCs/>
          <w:iCs/>
          <w:color w:val="auto"/>
          <w:sz w:val="24"/>
          <w:szCs w:val="24"/>
          <w:lang w:val="en-US" w:eastAsia="zh-CN"/>
        </w:rPr>
        <w:t xml:space="preserve">供应商</w:t>
      </w:r>
      <w:r>
        <w:rPr>
          <w:rFonts w:hint="eastAsia"/>
          <w:bCs/>
          <w:iCs/>
          <w:color w:val="auto"/>
          <w:sz w:val="24"/>
          <w:szCs w:val="24"/>
        </w:rPr>
        <w:t xml:space="preserve">对于投标产品的包装应按照“财办库〔2020〕123号《关于印发《商品包装政府采购需求标准（试行）》、《快递包装政府采购需求标准（试行）》的通知》”执行。</w:t>
      </w:r>
      <w:r/>
    </w:p>
    <w:tbl>
      <w:tblPr>
        <w:tblStyle w:val="747"/>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jc w:val="center"/>
              <w:spacing w:after="0" w:line="360" w:lineRule="auto"/>
              <w:rPr>
                <w:bCs/>
                <w:iCs/>
                <w:color w:val="auto"/>
                <w:sz w:val="24"/>
                <w:szCs w:val="24"/>
              </w:rPr>
            </w:pPr>
            <w:r>
              <w:rPr>
                <w:rFonts w:hint="eastAsia"/>
                <w:bCs/>
                <w:iCs/>
                <w:color w:val="auto"/>
                <w:sz w:val="24"/>
                <w:szCs w:val="24"/>
              </w:rPr>
              <w:t xml:space="preserve">采购标的</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jc w:val="center"/>
              <w:spacing w:after="0" w:line="360" w:lineRule="auto"/>
              <w:rPr>
                <w:bCs/>
                <w:iCs/>
                <w:color w:val="auto"/>
                <w:sz w:val="24"/>
                <w:szCs w:val="24"/>
              </w:rPr>
            </w:pPr>
            <w:r>
              <w:rPr>
                <w:rFonts w:hint="eastAsia"/>
                <w:bCs/>
                <w:iCs/>
                <w:color w:val="auto"/>
                <w:sz w:val="24"/>
                <w:szCs w:val="24"/>
              </w:rPr>
              <w:t xml:space="preserve">对应中小企业划分标准所属行业</w:t>
            </w:r>
            <w:r/>
          </w:p>
        </w:tc>
      </w:tr>
      <w:tr>
        <w:trPr/>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spacing w:after="0" w:line="360" w:lineRule="auto"/>
              <w:rPr>
                <w:bCs/>
                <w:iCs/>
                <w:color w:val="auto"/>
                <w:sz w:val="24"/>
                <w:szCs w:val="24"/>
              </w:rPr>
            </w:pPr>
            <w:r>
              <w:rPr>
                <w:rFonts w:ascii="Segoe UI" w:hAnsi="Segoe UI" w:eastAsia="Segoe UI" w:cs="Segoe UI"/>
                <w:i w:val="0"/>
                <w:caps w:val="0"/>
                <w:color w:val="auto"/>
                <w:spacing w:val="0"/>
                <w:sz w:val="21"/>
                <w:szCs w:val="21"/>
                <w:shd w:val="clear" w:color="auto" w:fill="ffffff"/>
              </w:rPr>
              <w:t xml:space="preserve">扬州市机关事务管理局数字机关大院信息化项目</w:t>
            </w:r>
            <w:r/>
          </w:p>
        </w:tc>
        <w:tc>
          <w:tcPr>
            <w:tcBorders>
              <w:top w:val="single" w:color="auto" w:sz="4" w:space="0"/>
              <w:left w:val="single" w:color="auto" w:sz="4" w:space="0"/>
              <w:bottom w:val="single" w:color="auto" w:sz="4" w:space="0"/>
              <w:right w:val="single" w:color="auto" w:sz="4" w:space="0"/>
            </w:tcBorders>
            <w:tcW w:w="4261" w:type="dxa"/>
            <w:textDirection w:val="lrTb"/>
            <w:noWrap w:val="false"/>
          </w:tcPr>
          <w:p>
            <w:pPr>
              <w:ind w:firstLine="480"/>
              <w:jc w:val="center"/>
              <w:spacing w:after="0" w:line="360" w:lineRule="auto"/>
              <w:rPr>
                <w:bCs/>
                <w:iCs/>
                <w:color w:val="auto"/>
                <w:sz w:val="24"/>
                <w:szCs w:val="24"/>
              </w:rPr>
            </w:pPr>
            <w:r>
              <w:rPr>
                <w:rFonts w:hint="eastAsia"/>
                <w:bCs/>
                <w:iCs/>
                <w:color w:val="auto"/>
                <w:sz w:val="24"/>
                <w:szCs w:val="24"/>
              </w:rPr>
              <w:t xml:space="preserve">软件和信息技术服务业</w:t>
            </w:r>
            <w:r/>
          </w:p>
        </w:tc>
      </w:tr>
    </w:tbl>
    <w:p>
      <w:pPr>
        <w:spacing w:line="0" w:lineRule="atLeast"/>
        <w:rPr>
          <w:rFonts w:ascii="宋体" w:hAnsi="宋体"/>
          <w:bCs/>
          <w:sz w:val="24"/>
          <w:szCs w:val="24"/>
        </w:rPr>
      </w:pPr>
      <w:r>
        <w:rPr>
          <w:rFonts w:ascii="宋体" w:hAnsi="宋体"/>
          <w:bCs/>
          <w:sz w:val="24"/>
          <w:szCs w:val="24"/>
        </w:rPr>
      </w:r>
      <w:r/>
    </w:p>
    <w:p>
      <w:pPr>
        <w:pStyle w:val="712"/>
        <w:jc w:val="both"/>
        <w:spacing w:before="0" w:after="0" w:line="72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1、项目概述</w:t>
      </w:r>
      <w:r/>
    </w:p>
    <w:p>
      <w:pPr>
        <w:ind w:firstLine="480"/>
        <w:spacing w:line="360" w:lineRule="auto"/>
        <w:rPr>
          <w:bCs/>
          <w:iCs/>
          <w:color w:val="000000"/>
          <w:sz w:val="24"/>
          <w:szCs w:val="24"/>
          <w:highlight w:val="none"/>
        </w:rPr>
      </w:pPr>
      <w:r>
        <w:rPr>
          <w:rFonts w:hint="eastAsia"/>
          <w:bCs/>
          <w:iCs/>
          <w:color w:val="000000"/>
          <w:sz w:val="24"/>
          <w:szCs w:val="24"/>
          <w:highlight w:val="none"/>
          <w:lang w:val="zh-CN"/>
        </w:rPr>
        <w:t xml:space="preserve">新建扬州市数字机关大院。依托互联网、云计算、大数据等新一代信息技术，建设“数字机关大院”信息系统。实现服务保障“四院一体”，即机关西大院、机关东大院、市人大机关、市政协机关等四个大院服务保障一体化，打通不同办公区服务边界；促进机关事务管理“三网合一”，将现有公务用车、办公用房、公共机构节能三个信息系统充分整合，统筹信息化建设，机关事务高效运行；打造智慧后勤、一网通办，全面提升管理服务保障效能，让机关工作人员“吃喝用行、一屏搞定”、“不出大院、事事方便”。</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1.1项目背景</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信息技术水平的不断提升对政府治理工作提出了新的要求，传统的政府管理模式已经不适应信息化社会的发展，转变政府服务新模式成为了必然的方向。机关事务治理现代化是国家治理现代化的重要组成部分，在新时代提高机关事务治理效能，推进机关事务信息化转型发展，已成为党和政府的重要任务。2018 年，国家机关事务管理局印发《关于推进新时代机关事务工作的指导意见》，明确提出要“增强运用互联网、大数据、云计算、人工智能等新技术能力，推进‘互联网+’ 深度融入机关事务工作，</w:t>
      </w:r>
      <w:r>
        <w:rPr>
          <w:rFonts w:hint="eastAsia" w:ascii="宋体" w:hAnsi="宋体"/>
          <w:color w:val="000000"/>
          <w:sz w:val="24"/>
          <w:szCs w:val="24"/>
          <w:highlight w:val="none"/>
        </w:rPr>
        <w:t xml:space="preserve">理顺优化职责体系和业务流程”。2021 年，国管局印发《机关事务工作“十四五”规划》（国管办〔2021〕259 号），将“建设集中统一的机关事务管理与服务数字化平台”纳入机关事务工作“十四五”主要指标。随着信息技术的发展，机关事务外部管理和内部服务、保障发生变化，如何推动机关事务信息化发展成为一个具有重大意义和重要价值的研究课题。结合扬州市工作实际，探讨机关事务信息化发展在地方机关事务工作中的实践路径，规划“数字机关大院” 建设思路、总体架构、技术路线等具体内容，推动信息化赋能扬州市机关事务工作高质量发展。</w:t>
      </w:r>
      <w:r/>
    </w:p>
    <w:p>
      <w:pPr>
        <w:pStyle w:val="712"/>
        <w:jc w:val="both"/>
        <w:spacing w:before="0" w:after="0" w:line="480" w:lineRule="auto"/>
        <w:widowControl/>
        <w:rPr>
          <w:rFonts w:ascii="宋体" w:hAnsi="宋体" w:eastAsia="宋体"/>
          <w:b w:val="0"/>
          <w:color w:val="000000"/>
          <w:sz w:val="24"/>
          <w:szCs w:val="24"/>
          <w:highlight w:val="none"/>
        </w:rPr>
      </w:pPr>
      <w:r>
        <w:rPr>
          <w:rFonts w:hint="eastAsia" w:ascii="宋体" w:hAnsi="宋体" w:eastAsia="宋体"/>
          <w:color w:val="000000"/>
          <w:sz w:val="24"/>
          <w:szCs w:val="24"/>
          <w:highlight w:val="none"/>
        </w:rPr>
        <w:t xml:space="preserve">1.2项目建设依据</w:t>
      </w:r>
      <w:r/>
    </w:p>
    <w:p>
      <w:p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2018 年，国管局出台《关于推进新时代机关事务工作的指导意见》，要求积极搭建机关事务管理与服务平台。2021 年 6 月，国管局印发《机关事务工作“十四五”规划》（国管办〔2021〕259 号），将“建</w:t>
      </w:r>
      <w:r>
        <w:rPr>
          <w:rFonts w:hint="eastAsia" w:ascii="宋体" w:hAnsi="宋体"/>
          <w:color w:val="000000"/>
          <w:sz w:val="24"/>
          <w:szCs w:val="24"/>
          <w:highlight w:val="none"/>
        </w:rPr>
        <w:t xml:space="preserve">设集中统一的机关事务管理与服务数字化平台”纳入机关事务工作“十四五”主要指标。随着信息技术的发展，机关事务外部管理和内部服务、保障发生变化。推动机关事务数字化转型，一是有助于规范机关运行保障，通过信息化手段与大数据技术实现机关运行保障资源高效调配、公平调配、节约调配，推进机关运行保障规范化、标准化；二是有助于提升管理服务保障效能，使机关事务管理更加高效，后勤服务更加人性化，信息传达更加精准及时，有效提高管理服务质量；三是有助于避免资源重复浪费，高效整合多项后勤服务，避免在信息化建设、资源调配等方面造成浪费。</w:t>
      </w:r>
      <w:r/>
    </w:p>
    <w:p>
      <w:pPr>
        <w:pStyle w:val="711"/>
        <w:jc w:val="both"/>
        <w:keepLines/>
        <w:spacing w:line="720" w:lineRule="auto"/>
        <w:widowControl/>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2、需求分析</w:t>
      </w:r>
      <w:r/>
    </w:p>
    <w:p>
      <w:pPr>
        <w:keepLines/>
        <w:keepNext/>
        <w:spacing w:line="480" w:lineRule="auto"/>
        <w:widowControl/>
        <w:rPr>
          <w:rFonts w:ascii="宋体" w:hAnsi="宋体" w:cs="Arial"/>
          <w:b/>
          <w:color w:val="000000"/>
          <w:sz w:val="24"/>
          <w:szCs w:val="24"/>
          <w:highlight w:val="none"/>
          <w:lang w:val="en"/>
        </w:rPr>
        <w:outlineLvl w:val="1"/>
      </w:pPr>
      <w:r>
        <w:rPr>
          <w:rFonts w:hint="eastAsia" w:ascii="宋体" w:hAnsi="宋体" w:cs="Arial"/>
          <w:b/>
          <w:color w:val="000000"/>
          <w:sz w:val="24"/>
          <w:szCs w:val="24"/>
          <w:highlight w:val="none"/>
        </w:rPr>
        <w:t xml:space="preserve">2.1</w:t>
      </w:r>
      <w:r>
        <w:rPr>
          <w:rFonts w:ascii="宋体" w:hAnsi="宋体" w:cs="Arial"/>
          <w:b/>
          <w:color w:val="000000"/>
          <w:sz w:val="24"/>
          <w:szCs w:val="24"/>
          <w:highlight w:val="none"/>
          <w:lang w:val="en"/>
        </w:rPr>
        <w:t xml:space="preserve"> 运行环境</w:t>
      </w:r>
      <w:r/>
    </w:p>
    <w:p>
      <w:pPr>
        <w:pStyle w:val="723"/>
        <w:ind w:firstLine="0"/>
        <w:spacing w:line="480" w:lineRule="auto"/>
        <w:rPr>
          <w:rFonts w:ascii="宋体" w:hAnsi="宋体"/>
          <w:b/>
          <w:bCs/>
          <w:color w:val="000000"/>
          <w:sz w:val="24"/>
          <w:szCs w:val="24"/>
          <w:highlight w:val="none"/>
          <w:lang w:val="en"/>
        </w:rPr>
      </w:pPr>
      <w:r>
        <w:rPr>
          <w:rFonts w:ascii="宋体" w:hAnsi="宋体"/>
          <w:b/>
          <w:bCs/>
          <w:color w:val="000000"/>
          <w:sz w:val="24"/>
          <w:szCs w:val="24"/>
          <w:highlight w:val="none"/>
          <w:lang w:val="en"/>
        </w:rPr>
        <w:t xml:space="preserve">2.1.</w:t>
      </w:r>
      <w:r>
        <w:rPr>
          <w:rFonts w:hint="eastAsia" w:ascii="宋体" w:hAnsi="宋体"/>
          <w:b/>
          <w:bCs/>
          <w:color w:val="000000"/>
          <w:sz w:val="24"/>
          <w:szCs w:val="24"/>
          <w:highlight w:val="none"/>
        </w:rPr>
        <w:t xml:space="preserve">1</w:t>
      </w:r>
      <w:r>
        <w:rPr>
          <w:rFonts w:ascii="宋体" w:hAnsi="宋体"/>
          <w:b/>
          <w:bCs/>
          <w:color w:val="000000"/>
          <w:sz w:val="24"/>
          <w:szCs w:val="24"/>
          <w:highlight w:val="none"/>
          <w:lang w:val="en"/>
        </w:rPr>
        <w:t xml:space="preserve"> 环境要求</w:t>
      </w:r>
      <w:r/>
    </w:p>
    <w:p>
      <w:pPr>
        <w:pStyle w:val="723"/>
        <w:ind w:firstLine="480"/>
        <w:spacing w:line="360" w:lineRule="auto"/>
        <w:rPr>
          <w:rFonts w:ascii="宋体" w:hAnsi="宋体"/>
          <w:color w:val="000000"/>
          <w:sz w:val="24"/>
          <w:szCs w:val="24"/>
          <w:highlight w:val="none"/>
          <w:lang w:val="en"/>
        </w:rPr>
      </w:pPr>
      <w:r>
        <w:rPr>
          <w:rFonts w:ascii="宋体" w:hAnsi="宋体"/>
          <w:color w:val="000000"/>
          <w:sz w:val="24"/>
          <w:szCs w:val="24"/>
          <w:highlight w:val="none"/>
          <w:lang w:val="en"/>
        </w:rPr>
        <w:t xml:space="preserve">要求</w:t>
      </w:r>
      <w:r>
        <w:rPr>
          <w:rFonts w:hint="eastAsia" w:ascii="宋体" w:hAnsi="宋体"/>
          <w:color w:val="000000"/>
          <w:sz w:val="24"/>
          <w:szCs w:val="24"/>
          <w:highlight w:val="none"/>
          <w:lang w:val="en"/>
        </w:rPr>
        <w:t xml:space="preserve">开发独立</w:t>
      </w:r>
      <w:r>
        <w:rPr>
          <w:rFonts w:hint="eastAsia" w:ascii="宋体" w:hAnsi="宋体"/>
          <w:color w:val="000000"/>
          <w:sz w:val="24"/>
          <w:szCs w:val="24"/>
          <w:highlight w:val="none"/>
        </w:rPr>
        <w:t xml:space="preserve">APP，支持手机端跨平台使用及PC端，并</w:t>
      </w:r>
      <w:r>
        <w:rPr>
          <w:rFonts w:ascii="宋体" w:hAnsi="宋体"/>
          <w:color w:val="000000"/>
          <w:sz w:val="24"/>
          <w:szCs w:val="24"/>
          <w:highlight w:val="none"/>
          <w:lang w:val="en"/>
        </w:rPr>
        <w:t xml:space="preserve">能够嵌入党政工作平台手机端（仅支持安卓系统）及PC端运行。</w:t>
      </w:r>
      <w:r/>
    </w:p>
    <w:p>
      <w:pPr>
        <w:pStyle w:val="723"/>
        <w:ind w:firstLine="482"/>
        <w:spacing w:line="360" w:lineRule="auto"/>
        <w:rPr>
          <w:rFonts w:hint="eastAsia" w:ascii="宋体" w:hAnsi="宋体" w:eastAsia="宋体"/>
          <w:color w:val="auto"/>
          <w:sz w:val="24"/>
          <w:szCs w:val="24"/>
          <w:highlight w:val="none"/>
          <w:lang w:val="en" w:eastAsia="zh-CN"/>
        </w:rPr>
      </w:pPr>
      <w:r>
        <w:rPr>
          <w:rFonts w:hint="eastAsia" w:ascii="宋体" w:hAnsi="宋体"/>
          <w:b/>
          <w:bCs/>
          <w:color w:val="auto"/>
          <w:sz w:val="24"/>
          <w:szCs w:val="24"/>
          <w:highlight w:val="none"/>
          <w:lang w:val="en" w:eastAsia="zh-CN"/>
        </w:rPr>
        <w:t xml:space="preserve">整体界面</w:t>
      </w:r>
      <w:r>
        <w:rPr>
          <w:rFonts w:hint="eastAsia" w:ascii="宋体" w:hAnsi="宋体"/>
          <w:b/>
          <w:bCs/>
          <w:color w:val="auto"/>
          <w:sz w:val="24"/>
          <w:szCs w:val="24"/>
          <w:highlight w:val="none"/>
          <w:lang w:val="en"/>
        </w:rPr>
        <w:t xml:space="preserve">要求</w:t>
      </w:r>
      <w:r>
        <w:rPr>
          <w:rFonts w:hint="eastAsia" w:ascii="宋体" w:hAnsi="宋体"/>
          <w:b/>
          <w:bCs/>
          <w:color w:val="auto"/>
          <w:sz w:val="24"/>
          <w:szCs w:val="24"/>
          <w:highlight w:val="none"/>
          <w:lang w:val="en" w:eastAsia="zh-CN"/>
        </w:rPr>
        <w:t xml:space="preserve">：</w:t>
      </w:r>
      <w:r>
        <w:rPr>
          <w:rFonts w:hint="eastAsia" w:ascii="宋体" w:hAnsi="宋体"/>
          <w:color w:val="auto"/>
          <w:sz w:val="24"/>
          <w:szCs w:val="24"/>
          <w:highlight w:val="none"/>
          <w:lang w:val="en"/>
        </w:rPr>
        <w:t xml:space="preserve">稳定兼容</w:t>
      </w:r>
      <w:r>
        <w:rPr>
          <w:rFonts w:hint="eastAsia" w:ascii="宋体" w:hAnsi="宋体"/>
          <w:color w:val="auto"/>
          <w:sz w:val="24"/>
          <w:szCs w:val="24"/>
          <w:highlight w:val="none"/>
          <w:lang w:val="en" w:eastAsia="zh-CN"/>
        </w:rPr>
        <w:t xml:space="preserve">，保证在不同屏幕尺寸和分辨率的设备上的可用性和兼容性，确保在不同平台上的稳定运行，使用户能够无障碍地使用软件并获得一致的用户体验，以适应用户多样化的设备选择；要求整体</w:t>
      </w:r>
      <w:r>
        <w:rPr>
          <w:rFonts w:hint="eastAsia" w:ascii="宋体" w:hAnsi="宋体"/>
          <w:color w:val="auto"/>
          <w:sz w:val="24"/>
          <w:szCs w:val="24"/>
          <w:highlight w:val="none"/>
          <w:lang w:val="en"/>
        </w:rPr>
        <w:t xml:space="preserve">界面美观</w:t>
      </w:r>
      <w:r>
        <w:rPr>
          <w:rFonts w:hint="eastAsia" w:ascii="宋体" w:hAnsi="宋体"/>
          <w:color w:val="auto"/>
          <w:sz w:val="24"/>
          <w:szCs w:val="24"/>
          <w:highlight w:val="none"/>
          <w:lang w:val="en" w:eastAsia="zh-CN"/>
        </w:rPr>
        <w:t xml:space="preserve">，风格简洁大方，重要信息和功能突出显示，设计直观生动的模块图标，避免过多的视觉干扰；要求整体界面</w:t>
      </w:r>
      <w:r>
        <w:rPr>
          <w:rFonts w:hint="eastAsia" w:ascii="宋体" w:hAnsi="宋体"/>
          <w:color w:val="auto"/>
          <w:sz w:val="24"/>
          <w:szCs w:val="24"/>
          <w:highlight w:val="none"/>
          <w:lang w:val="en"/>
        </w:rPr>
        <w:t xml:space="preserve">使用方便</w:t>
      </w:r>
      <w:r>
        <w:rPr>
          <w:rFonts w:hint="eastAsia" w:ascii="宋体" w:hAnsi="宋体"/>
          <w:color w:val="auto"/>
          <w:sz w:val="24"/>
          <w:szCs w:val="24"/>
          <w:highlight w:val="none"/>
          <w:lang w:val="en" w:eastAsia="zh-CN"/>
        </w:rPr>
        <w:t xml:space="preserve">，不同功能模块之间切换流畅，功能选择和使用简单易懂，引导语描述清晰。</w:t>
      </w:r>
      <w:r/>
    </w:p>
    <w:p>
      <w:pPr>
        <w:keepLines/>
        <w:keepNext/>
        <w:spacing w:line="480" w:lineRule="auto"/>
        <w:widowControl/>
        <w:rPr>
          <w:rFonts w:ascii="宋体" w:hAnsi="宋体" w:cs="Arial"/>
          <w:b/>
          <w:color w:val="auto"/>
          <w:sz w:val="24"/>
          <w:szCs w:val="24"/>
          <w:highlight w:val="none"/>
          <w:lang w:val="en"/>
        </w:rPr>
        <w:outlineLvl w:val="1"/>
      </w:pPr>
      <w:r>
        <w:rPr>
          <w:rFonts w:hint="eastAsia" w:ascii="宋体" w:hAnsi="宋体" w:cs="Arial"/>
          <w:b/>
          <w:color w:val="auto"/>
          <w:sz w:val="24"/>
          <w:szCs w:val="24"/>
          <w:highlight w:val="none"/>
          <w:lang w:val="en-US" w:eastAsia="zh-CN"/>
        </w:rPr>
        <w:t xml:space="preserve">2.2</w:t>
      </w:r>
      <w:r>
        <w:rPr>
          <w:rFonts w:ascii="宋体" w:hAnsi="宋体" w:cs="Arial"/>
          <w:b/>
          <w:color w:val="auto"/>
          <w:sz w:val="24"/>
          <w:szCs w:val="24"/>
          <w:highlight w:val="none"/>
          <w:lang w:val="en"/>
        </w:rPr>
        <w:t xml:space="preserve"> 系统整合</w:t>
      </w:r>
      <w:r/>
    </w:p>
    <w:p>
      <w:pPr>
        <w:keepLines/>
        <w:keepNext/>
        <w:spacing w:line="480" w:lineRule="auto"/>
        <w:widowControl/>
        <w:rPr>
          <w:rFonts w:ascii="宋体" w:hAnsi="宋体" w:cs="Arial"/>
          <w:b/>
          <w:color w:val="auto"/>
          <w:sz w:val="24"/>
          <w:szCs w:val="24"/>
          <w:highlight w:val="none"/>
        </w:rPr>
        <w:outlineLvl w:val="1"/>
      </w:pPr>
      <w:r>
        <w:rPr>
          <w:rFonts w:hint="eastAsia" w:ascii="宋体" w:hAnsi="宋体" w:cs="Arial"/>
          <w:b/>
          <w:color w:val="auto"/>
          <w:sz w:val="24"/>
          <w:szCs w:val="24"/>
          <w:highlight w:val="none"/>
          <w:lang w:val="en-US" w:eastAsia="zh-CN"/>
        </w:rPr>
        <w:t xml:space="preserve">2.2.1</w:t>
      </w:r>
      <w:r>
        <w:rPr>
          <w:rFonts w:hint="eastAsia" w:ascii="宋体" w:hAnsi="宋体" w:cs="Arial"/>
          <w:b/>
          <w:color w:val="auto"/>
          <w:sz w:val="24"/>
          <w:szCs w:val="24"/>
          <w:highlight w:val="none"/>
        </w:rPr>
        <w:t xml:space="preserve"> 嵌入党政工作平台</w:t>
      </w:r>
      <w:r/>
    </w:p>
    <w:p>
      <w:pPr>
        <w:pStyle w:val="723"/>
        <w:ind w:firstLine="480"/>
        <w:spacing w:line="360" w:lineRule="auto"/>
        <w:rPr>
          <w:rFonts w:ascii="宋体" w:hAnsi="宋体"/>
          <w:color w:val="auto"/>
          <w:sz w:val="24"/>
          <w:szCs w:val="24"/>
          <w:highlight w:val="none"/>
        </w:rPr>
      </w:pPr>
      <w:r>
        <w:rPr>
          <w:rFonts w:ascii="宋体" w:hAnsi="宋体"/>
          <w:color w:val="000000"/>
          <w:sz w:val="24"/>
          <w:szCs w:val="24"/>
          <w:highlight w:val="none"/>
        </w:rPr>
        <w:t xml:space="preserve">数字机关大院平台</w:t>
      </w:r>
      <w:r>
        <w:rPr>
          <w:rFonts w:hint="eastAsia" w:ascii="宋体" w:hAnsi="宋体"/>
          <w:color w:val="000000"/>
          <w:sz w:val="24"/>
          <w:szCs w:val="24"/>
          <w:highlight w:val="none"/>
        </w:rPr>
        <w:t xml:space="preserve">将</w:t>
      </w:r>
      <w:r>
        <w:rPr>
          <w:rFonts w:ascii="宋体" w:hAnsi="宋体"/>
          <w:color w:val="000000"/>
          <w:sz w:val="24"/>
          <w:szCs w:val="24"/>
          <w:highlight w:val="none"/>
        </w:rPr>
        <w:t xml:space="preserve">嵌入在党政工作平台APP模块中，融入党政工作平台中作为一个业务功能模块操作使用。在安全方面，集成了党政工作平台 APP 移动端的有效登录方式，更好的继承和运用了党政工作平台 APP 安全防护体系，融合机关数字大院的业务使用场景，便于机关人员便捷操作，同时避免了多系统多平台的业务使用场景，真正有效减少资源和人员使用的过度消耗，提升数字化政府协同办公的实际效</w:t>
      </w:r>
      <w:r>
        <w:rPr>
          <w:rFonts w:ascii="宋体" w:hAnsi="宋体"/>
          <w:color w:val="auto"/>
          <w:sz w:val="24"/>
          <w:szCs w:val="24"/>
          <w:highlight w:val="none"/>
        </w:rPr>
        <w:t xml:space="preserve">能。</w:t>
      </w:r>
      <w:r/>
    </w:p>
    <w:p>
      <w:pPr>
        <w:pStyle w:val="712"/>
        <w:jc w:val="both"/>
        <w:spacing w:before="0" w:after="0" w:line="480" w:lineRule="auto"/>
        <w:widowControl/>
        <w:rPr>
          <w:rFonts w:hint="eastAsia" w:ascii="宋体" w:hAnsi="宋体" w:eastAsia="宋体"/>
          <w:color w:val="auto"/>
          <w:sz w:val="24"/>
          <w:szCs w:val="24"/>
          <w:highlight w:val="none"/>
          <w:lang w:eastAsia="zh-CN"/>
        </w:rPr>
      </w:pPr>
      <w:r>
        <w:rPr>
          <w:rFonts w:hint="eastAsia" w:ascii="宋体" w:hAnsi="宋体" w:eastAsia="宋体"/>
          <w:b/>
          <w:bCs/>
          <w:color w:val="auto"/>
          <w:sz w:val="24"/>
          <w:szCs w:val="24"/>
          <w:highlight w:val="none"/>
          <w:lang w:val="en-US" w:eastAsia="zh-CN"/>
        </w:rPr>
        <w:t xml:space="preserve">2.2.2</w:t>
      </w:r>
      <w:r>
        <w:rPr>
          <w:rFonts w:hint="eastAsia" w:ascii="宋体" w:hAnsi="宋体"/>
          <w:color w:val="auto"/>
          <w:sz w:val="24"/>
          <w:szCs w:val="24"/>
          <w:highlight w:val="none"/>
        </w:rPr>
        <w:t xml:space="preserve"> </w:t>
      </w:r>
      <w:r>
        <w:rPr>
          <w:rFonts w:hint="eastAsia" w:ascii="宋体" w:hAnsi="宋体" w:eastAsia="宋体"/>
          <w:b/>
          <w:bCs/>
          <w:color w:val="auto"/>
          <w:sz w:val="24"/>
          <w:szCs w:val="24"/>
          <w:highlight w:val="none"/>
        </w:rPr>
        <w:t xml:space="preserve">对接江苏省政务服务统一身份认证体系</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数字机关大院平台计划接入江苏省政务服务统一身份认证体系，为机关人员的有效身份认证提供统一有效的认证通道。集成到数字机关大院登录认证、操作权限认证，以及鉴权操作认证等实际权限认证业务体系中，平台不保留不记录任何使用人的有效信息，更有效保护使用人员身份隐私</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以江苏省政务服务统一身份认证体系为统一认证接口</w:t>
      </w:r>
      <w:r>
        <w:rPr>
          <w:rFonts w:hint="eastAsia" w:ascii="宋体" w:hAnsi="宋体"/>
          <w:color w:val="auto"/>
          <w:sz w:val="24"/>
          <w:szCs w:val="24"/>
          <w:highlight w:val="none"/>
          <w:lang w:eastAsia="zh-CN"/>
        </w:rPr>
        <w:t xml:space="preserve">统一登陆</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跳转至其他系统时</w:t>
      </w:r>
      <w:r>
        <w:rPr>
          <w:rFonts w:hint="eastAsia" w:ascii="宋体" w:hAnsi="宋体"/>
          <w:color w:val="auto"/>
          <w:sz w:val="24"/>
          <w:szCs w:val="24"/>
          <w:highlight w:val="none"/>
        </w:rPr>
        <w:t xml:space="preserve">不需要多次登录，由统一的系统集成模块跳转，只需登录一个首页，就能跳转到各自独立运行的系统，根据分配的不同权限使用各模块功能</w:t>
      </w:r>
      <w:r>
        <w:rPr>
          <w:rFonts w:ascii="宋体" w:hAnsi="宋体"/>
          <w:color w:val="auto"/>
          <w:sz w:val="24"/>
          <w:szCs w:val="24"/>
          <w:highlight w:val="none"/>
        </w:rPr>
        <w:t xml:space="preserve">。</w:t>
      </w:r>
      <w:r/>
    </w:p>
    <w:p>
      <w:pPr>
        <w:keepLines/>
        <w:keepNext/>
        <w:spacing w:line="480" w:lineRule="auto"/>
        <w:widowControl/>
        <w:rPr>
          <w:rFonts w:ascii="宋体" w:hAnsi="宋体" w:cs="Arial"/>
          <w:b/>
          <w:color w:val="auto"/>
          <w:sz w:val="24"/>
          <w:szCs w:val="24"/>
          <w:highlight w:val="none"/>
          <w:lang w:val="en"/>
        </w:rPr>
        <w:outlineLvl w:val="1"/>
      </w:pPr>
      <w:r>
        <w:rPr>
          <w:rFonts w:hint="eastAsia" w:ascii="宋体" w:hAnsi="宋体" w:cs="Arial"/>
          <w:b/>
          <w:color w:val="auto"/>
          <w:sz w:val="24"/>
          <w:szCs w:val="24"/>
          <w:highlight w:val="none"/>
          <w:lang w:val="en-US" w:eastAsia="zh-CN"/>
        </w:rPr>
        <w:t xml:space="preserve">2.2.3</w:t>
      </w:r>
      <w:r>
        <w:rPr>
          <w:rFonts w:ascii="宋体" w:hAnsi="宋体" w:cs="Arial"/>
          <w:b/>
          <w:color w:val="auto"/>
          <w:sz w:val="24"/>
          <w:szCs w:val="24"/>
          <w:highlight w:val="none"/>
          <w:lang w:val="en"/>
        </w:rPr>
        <w:t xml:space="preserve"> 功能数据整合</w:t>
      </w:r>
      <w:r/>
    </w:p>
    <w:p>
      <w:pPr>
        <w:keepLines/>
        <w:keepNext/>
        <w:spacing w:line="480" w:lineRule="auto"/>
        <w:widowControl/>
        <w:rPr>
          <w:rFonts w:ascii="宋体" w:hAnsi="宋体" w:cs="Arial"/>
          <w:b/>
          <w:color w:val="auto"/>
          <w:sz w:val="24"/>
          <w:szCs w:val="24"/>
          <w:highlight w:val="none"/>
          <w:lang w:val="en"/>
        </w:rPr>
        <w:outlineLvl w:val="1"/>
      </w:pPr>
      <w:r>
        <w:rPr>
          <w:rFonts w:hint="eastAsia" w:ascii="宋体" w:hAnsi="宋体" w:cs="Arial"/>
          <w:b/>
          <w:color w:val="auto"/>
          <w:sz w:val="24"/>
          <w:szCs w:val="24"/>
          <w:highlight w:val="none"/>
          <w:lang w:val="en-US" w:eastAsia="zh-CN"/>
        </w:rPr>
        <w:t xml:space="preserve">2.2.3.1</w:t>
      </w:r>
      <w:r>
        <w:rPr>
          <w:rFonts w:ascii="宋体" w:hAnsi="宋体" w:cs="Arial"/>
          <w:b/>
          <w:color w:val="auto"/>
          <w:sz w:val="24"/>
          <w:szCs w:val="24"/>
          <w:highlight w:val="none"/>
          <w:lang w:val="en"/>
        </w:rPr>
        <w:t xml:space="preserve"> “三张网”信息系统数据整合</w:t>
      </w:r>
      <w:r/>
    </w:p>
    <w:p>
      <w:pPr>
        <w:ind w:firstLine="480"/>
        <w:spacing w:line="360" w:lineRule="auto"/>
        <w:widowControl/>
        <w:rPr>
          <w:rFonts w:hint="eastAsia" w:ascii="宋体" w:hAnsi="宋体"/>
          <w:color w:val="auto"/>
          <w:sz w:val="24"/>
          <w:szCs w:val="24"/>
          <w:highlight w:val="none"/>
          <w:lang w:val="en"/>
        </w:rPr>
      </w:pPr>
      <w:r>
        <w:rPr>
          <w:rFonts w:hint="eastAsia" w:ascii="宋体" w:hAnsi="宋体"/>
          <w:color w:val="auto"/>
          <w:sz w:val="24"/>
          <w:szCs w:val="24"/>
          <w:highlight w:val="none"/>
        </w:rPr>
        <w:t xml:space="preserve">新建各类统计数据集中动态展示页面</w:t>
      </w:r>
      <w:r>
        <w:rPr>
          <w:rFonts w:ascii="宋体" w:hAnsi="宋体"/>
          <w:color w:val="auto"/>
          <w:sz w:val="24"/>
          <w:szCs w:val="24"/>
          <w:highlight w:val="none"/>
          <w:lang w:val="en"/>
        </w:rPr>
        <w:t xml:space="preserve">，数据从“三张网”信息系统中导出汇集，</w:t>
      </w:r>
      <w:r>
        <w:rPr>
          <w:rFonts w:hint="eastAsia" w:ascii="宋体" w:hAnsi="宋体"/>
          <w:color w:val="auto"/>
          <w:sz w:val="24"/>
          <w:szCs w:val="24"/>
          <w:highlight w:val="none"/>
          <w:lang w:val="en"/>
        </w:rPr>
        <w:t xml:space="preserve">实现数据可视化。</w:t>
      </w:r>
      <w:r/>
    </w:p>
    <w:p>
      <w:pPr>
        <w:ind w:firstLine="480"/>
        <w:spacing w:line="360" w:lineRule="auto"/>
        <w:widowControl/>
        <w:rPr>
          <w:rFonts w:hint="eastAsia" w:ascii="宋体" w:hAnsi="宋体" w:eastAsia="宋体"/>
          <w:color w:val="auto"/>
          <w:sz w:val="24"/>
          <w:szCs w:val="24"/>
          <w:highlight w:val="none"/>
          <w:lang w:val="en" w:eastAsia="zh-CN"/>
        </w:rPr>
      </w:pPr>
      <w:r>
        <w:rPr>
          <w:rFonts w:hint="eastAsia" w:ascii="宋体" w:hAnsi="宋体"/>
          <w:color w:val="auto"/>
          <w:sz w:val="24"/>
          <w:szCs w:val="24"/>
          <w:highlight w:val="none"/>
          <w:lang w:val="en" w:eastAsia="zh-CN"/>
        </w:rPr>
        <w:t xml:space="preserve">要求整合“三张网”信息系统接口，能够从中提取相应数据并作展示。</w:t>
      </w:r>
      <w:r/>
    </w:p>
    <w:p>
      <w:pPr>
        <w:ind w:firstLine="480"/>
        <w:spacing w:line="360" w:lineRule="auto"/>
        <w:widowControl/>
        <w:rPr>
          <w:rFonts w:ascii="宋体" w:hAnsi="宋体"/>
          <w:color w:val="auto"/>
          <w:sz w:val="24"/>
          <w:szCs w:val="24"/>
          <w:highlight w:val="none"/>
        </w:rPr>
      </w:pPr>
      <w:r>
        <w:rPr>
          <w:rFonts w:hint="eastAsia" w:ascii="宋体" w:hAnsi="宋体"/>
          <w:color w:val="auto"/>
          <w:sz w:val="24"/>
          <w:szCs w:val="24"/>
          <w:highlight w:val="none"/>
          <w:lang w:val="en"/>
        </w:rPr>
        <w:t xml:space="preserve">“三张网”包括</w:t>
      </w:r>
      <w:r>
        <w:rPr>
          <w:rFonts w:ascii="宋体" w:hAnsi="宋体"/>
          <w:color w:val="auto"/>
          <w:sz w:val="24"/>
          <w:szCs w:val="24"/>
          <w:highlight w:val="none"/>
          <w:lang w:val="en"/>
        </w:rPr>
        <w:t xml:space="preserve">：</w:t>
      </w:r>
      <w:r>
        <w:rPr>
          <w:rFonts w:hint="eastAsia" w:ascii="宋体" w:hAnsi="宋体"/>
          <w:color w:val="auto"/>
          <w:sz w:val="24"/>
          <w:szCs w:val="24"/>
          <w:highlight w:val="none"/>
        </w:rPr>
        <w:t xml:space="preserve">江苏省党政机关办公用房管理信息系统（使用政务外网</w:t>
      </w:r>
      <w:r>
        <w:rPr>
          <w:rFonts w:ascii="宋体" w:hAnsi="宋体"/>
          <w:color w:val="auto"/>
          <w:sz w:val="24"/>
          <w:szCs w:val="24"/>
          <w:highlight w:val="none"/>
          <w:lang w:val="en"/>
        </w:rPr>
        <w:t xml:space="preserve">，网页运行</w:t>
      </w:r>
      <w:r>
        <w:rPr>
          <w:rFonts w:hint="eastAsia" w:ascii="宋体" w:hAnsi="宋体"/>
          <w:color w:val="auto"/>
          <w:sz w:val="24"/>
          <w:szCs w:val="24"/>
          <w:highlight w:val="none"/>
        </w:rPr>
        <w:t xml:space="preserve">）、全国公务用车管理平台（使用政务外网</w:t>
      </w:r>
      <w:r>
        <w:rPr>
          <w:rFonts w:ascii="宋体" w:hAnsi="宋体"/>
          <w:color w:val="auto"/>
          <w:sz w:val="24"/>
          <w:szCs w:val="24"/>
          <w:highlight w:val="none"/>
          <w:lang w:val="en"/>
        </w:rPr>
        <w:t xml:space="preserve">，网页运行</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江苏省</w:t>
      </w:r>
      <w:r>
        <w:rPr>
          <w:rFonts w:hint="eastAsia" w:ascii="宋体" w:hAnsi="宋体"/>
          <w:color w:val="auto"/>
          <w:sz w:val="24"/>
          <w:szCs w:val="24"/>
          <w:highlight w:val="none"/>
        </w:rPr>
        <w:t xml:space="preserve">公共机构节能管理系统（使用互联网</w:t>
      </w:r>
      <w:r>
        <w:rPr>
          <w:rFonts w:ascii="宋体" w:hAnsi="宋体"/>
          <w:color w:val="auto"/>
          <w:sz w:val="24"/>
          <w:szCs w:val="24"/>
          <w:highlight w:val="none"/>
          <w:lang w:val="en"/>
        </w:rPr>
        <w:t xml:space="preserve">，网页运行</w:t>
      </w:r>
      <w:r>
        <w:rPr>
          <w:rFonts w:hint="eastAsia" w:ascii="宋体" w:hAnsi="宋体"/>
          <w:color w:val="auto"/>
          <w:sz w:val="24"/>
          <w:szCs w:val="24"/>
          <w:highlight w:val="none"/>
        </w:rPr>
        <w:t xml:space="preserve">）。</w:t>
      </w:r>
      <w:r>
        <w:rPr>
          <w:rFonts w:ascii="宋体" w:hAnsi="宋体"/>
          <w:color w:val="auto"/>
          <w:sz w:val="24"/>
          <w:szCs w:val="24"/>
          <w:highlight w:val="none"/>
          <w:lang w:val="en"/>
        </w:rPr>
        <w:t xml:space="preserve">上述系统</w:t>
      </w:r>
      <w:r>
        <w:rPr>
          <w:rFonts w:hint="eastAsia" w:ascii="宋体" w:hAnsi="宋体"/>
          <w:color w:val="auto"/>
          <w:sz w:val="24"/>
          <w:szCs w:val="24"/>
          <w:highlight w:val="none"/>
        </w:rPr>
        <w:t xml:space="preserve">由国家机关事务管理局和省机关事务管理局等上级部门统一建设，</w:t>
      </w:r>
      <w:r>
        <w:rPr>
          <w:rFonts w:hint="eastAsia" w:ascii="宋体" w:hAnsi="宋体"/>
          <w:color w:val="auto"/>
          <w:sz w:val="24"/>
          <w:szCs w:val="24"/>
          <w:highlight w:val="none"/>
          <w:lang w:eastAsia="zh-CN"/>
        </w:rPr>
        <w:t xml:space="preserve">采购人</w:t>
      </w:r>
      <w:r>
        <w:rPr>
          <w:rFonts w:hint="eastAsia" w:ascii="宋体" w:hAnsi="宋体"/>
          <w:color w:val="auto"/>
          <w:sz w:val="24"/>
          <w:szCs w:val="24"/>
          <w:highlight w:val="none"/>
        </w:rPr>
        <w:t xml:space="preserve">主要使用信息填报统计等功能，用于管理全市办公用房、公务用车和公共机构节能工作。</w:t>
      </w:r>
      <w:r/>
    </w:p>
    <w:p>
      <w:pPr>
        <w:spacing w:line="480" w:lineRule="auto"/>
        <w:widowControl/>
        <w:rPr>
          <w:rFonts w:ascii="宋体" w:hAnsi="宋体"/>
          <w:b/>
          <w:bCs/>
          <w:color w:val="auto"/>
          <w:sz w:val="24"/>
          <w:szCs w:val="24"/>
          <w:highlight w:val="none"/>
          <w:lang w:val="en"/>
        </w:rPr>
      </w:pPr>
      <w:r>
        <w:rPr>
          <w:rFonts w:hint="eastAsia" w:ascii="宋体" w:hAnsi="宋体"/>
          <w:b/>
          <w:bCs/>
          <w:color w:val="auto"/>
          <w:sz w:val="24"/>
          <w:szCs w:val="24"/>
          <w:highlight w:val="none"/>
          <w:lang w:val="en-US" w:eastAsia="zh-CN"/>
        </w:rPr>
        <w:t xml:space="preserve">2.2.3.2</w:t>
      </w:r>
      <w:r>
        <w:rPr>
          <w:rFonts w:hint="eastAsia" w:ascii="宋体" w:hAnsi="宋体"/>
          <w:b/>
          <w:bCs/>
          <w:color w:val="auto"/>
          <w:sz w:val="24"/>
          <w:szCs w:val="24"/>
          <w:highlight w:val="none"/>
        </w:rPr>
        <w:t xml:space="preserve">自建系统</w:t>
      </w:r>
      <w:r>
        <w:rPr>
          <w:rFonts w:ascii="宋体" w:hAnsi="宋体"/>
          <w:b/>
          <w:bCs/>
          <w:color w:val="auto"/>
          <w:sz w:val="24"/>
          <w:szCs w:val="24"/>
          <w:highlight w:val="none"/>
          <w:lang w:val="en"/>
        </w:rPr>
        <w:t xml:space="preserve">功能整合</w:t>
      </w:r>
      <w:r/>
    </w:p>
    <w:p>
      <w:pPr>
        <w:spacing w:line="480" w:lineRule="auto"/>
        <w:widowControl/>
        <w:rPr>
          <w:rFonts w:hint="eastAsia" w:ascii="宋体" w:hAnsi="宋体" w:eastAsia="宋体"/>
          <w:b/>
          <w:bCs/>
          <w:color w:val="auto"/>
          <w:sz w:val="24"/>
          <w:szCs w:val="24"/>
          <w:highlight w:val="none"/>
          <w:lang w:eastAsia="zh-CN"/>
        </w:rPr>
      </w:pPr>
      <w:r>
        <w:rPr>
          <w:rFonts w:hint="eastAsia" w:ascii="宋体" w:hAnsi="宋体"/>
          <w:color w:val="auto"/>
          <w:sz w:val="24"/>
          <w:szCs w:val="24"/>
          <w:highlight w:val="none"/>
          <w:lang w:eastAsia="zh-CN"/>
        </w:rPr>
        <w:t xml:space="preserve">要求整合自建系统，实现点击进入或跳转功能，整合后运行流畅、数据互通。</w:t>
      </w:r>
      <w:r>
        <w:rPr>
          <w:rFonts w:hint="eastAsia" w:ascii="宋体" w:hAnsi="宋体"/>
          <w:color w:val="auto"/>
          <w:sz w:val="24"/>
          <w:szCs w:val="24"/>
          <w:highlight w:val="none"/>
        </w:rPr>
        <w:t xml:space="preserve">将现有</w:t>
      </w:r>
      <w:r>
        <w:rPr>
          <w:rFonts w:ascii="宋体" w:hAnsi="宋体"/>
          <w:color w:val="auto"/>
          <w:sz w:val="24"/>
          <w:szCs w:val="24"/>
          <w:highlight w:val="none"/>
          <w:lang w:val="en"/>
        </w:rPr>
        <w:t xml:space="preserve">自建</w:t>
      </w:r>
      <w:r>
        <w:rPr>
          <w:rFonts w:hint="eastAsia" w:ascii="宋体" w:hAnsi="宋体"/>
          <w:color w:val="auto"/>
          <w:sz w:val="24"/>
          <w:szCs w:val="24"/>
          <w:highlight w:val="none"/>
        </w:rPr>
        <w:t xml:space="preserve">信息系统整合接入数字机关大院，与待开发服务集成为统一跳转页面。</w:t>
      </w:r>
      <w:r>
        <w:rPr>
          <w:rFonts w:hint="eastAsia" w:ascii="宋体" w:hAnsi="宋体"/>
          <w:b w:val="0"/>
          <w:bCs w:val="0"/>
          <w:color w:val="auto"/>
          <w:sz w:val="24"/>
          <w:szCs w:val="24"/>
          <w:highlight w:val="none"/>
        </w:rPr>
        <w:t xml:space="preserve">现有自建系统详细功能</w:t>
      </w:r>
      <w:r>
        <w:rPr>
          <w:rFonts w:hint="eastAsia" w:ascii="宋体" w:hAnsi="宋体"/>
          <w:b w:val="0"/>
          <w:bCs w:val="0"/>
          <w:color w:val="auto"/>
          <w:sz w:val="24"/>
          <w:szCs w:val="24"/>
          <w:highlight w:val="none"/>
          <w:lang w:eastAsia="zh-CN"/>
        </w:rPr>
        <w:t xml:space="preserve">如下：</w:t>
      </w:r>
      <w:r/>
    </w:p>
    <w:p>
      <w:pPr>
        <w:spacing w:line="480" w:lineRule="auto"/>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扬州市公务用车综合管理平台</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由中国移动通信集团江苏有限公司扬州分公司建设运维，使用互联网</w:t>
      </w:r>
      <w:r>
        <w:rPr>
          <w:rFonts w:ascii="宋体" w:hAnsi="宋体"/>
          <w:color w:val="auto"/>
          <w:sz w:val="24"/>
          <w:szCs w:val="24"/>
          <w:highlight w:val="none"/>
          <w:lang w:val="en"/>
        </w:rPr>
        <w:t xml:space="preserve">，网页、APP运行</w:t>
      </w:r>
      <w:r>
        <w:rPr>
          <w:rFonts w:hint="eastAsia" w:ascii="宋体" w:hAnsi="宋体"/>
          <w:color w:val="auto"/>
          <w:sz w:val="24"/>
          <w:szCs w:val="24"/>
          <w:highlight w:val="none"/>
          <w:lang w:val="en"/>
        </w:rPr>
        <w:t xml:space="preserve">，</w:t>
      </w:r>
      <w:r>
        <w:rPr>
          <w:rFonts w:ascii="宋体" w:hAnsi="宋体"/>
          <w:color w:val="auto"/>
          <w:sz w:val="24"/>
          <w:szCs w:val="24"/>
          <w:highlight w:val="none"/>
        </w:rPr>
        <w:t xml:space="preserve">具备公务用车车辆定位、轨迹回放、车辆里程、油耗统计、用车申请、审批、调度、保险、年检等功能</w:t>
      </w:r>
      <w:r>
        <w:rPr>
          <w:rFonts w:hint="eastAsia" w:ascii="宋体" w:hAnsi="宋体"/>
          <w:color w:val="auto"/>
          <w:sz w:val="24"/>
          <w:szCs w:val="24"/>
          <w:highlight w:val="none"/>
        </w:rPr>
        <w:t xml:space="preserve">，具体包括：</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 用车申请</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用车人登录app,填写出发点、目的地、出发时间、用车人基础信息，进行申请。</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2）后台调度</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后台查看申请的用车详情，选择车辆、驾驶员，完成调度，此单变为待接单，若不同意，可点击驳回，此单变为调度驳回。</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3）驾驶员</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驾驶员通过“待接单”页面接收派车单，通过“待出车”和“待回车”页面开始和结束行程，通过“已回车”，查询自己出车记录，出车记录含时长、里程、油耗及费用。</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4）维修管理</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维修申请，填写需要维修的车辆车牌号、车辆型号等基础信息，申请完成后，表单状态为待审批。</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5）加油管理</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在后台中，增加车辆的加油记录，输入车辆基础信息，和加油的信息，完成加油统计。</w:t>
      </w:r>
      <w:r/>
    </w:p>
    <w:p>
      <w:pPr>
        <w:pStyle w:val="712"/>
        <w:jc w:val="both"/>
        <w:spacing w:before="120" w:after="0" w:line="480" w:lineRule="auto"/>
        <w:widowControl/>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市政安防系统</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由江苏有线数据网络有限责任公司建设运维，使用政务外网，PC端运行。主要用于大院车辆无感进出、人员刷脸进出、监控等，新建的访客管理模块将嵌入使用，具体包括：</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1）人员车辆管理</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机关大门部署人脸识别系统以及车辆识别系统，管控外部人员和车辆，协助大院管控外来车辆以及人员，减轻门卫值班人员安保压力，提高通行效率，保障大院内通行顺畅。</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2）人脸识别系统</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主楼入口出安装人脸识别系统，通过主楼安装的高清智能人脸相机，抓拍各方向进入的人员并进行人员信息比对，无感通行，同时在机关人员电脑终端标明</w:t>
      </w:r>
      <w:r>
        <w:rPr>
          <w:rFonts w:hint="eastAsia" w:ascii="宋体" w:hAnsi="宋体"/>
          <w:color w:val="auto"/>
          <w:sz w:val="24"/>
          <w:szCs w:val="24"/>
          <w:highlight w:val="none"/>
        </w:rPr>
        <w:t xml:space="preserve">人员属性信息，协助值班人员判断人员是否具有进入主楼权限，保障现场安全。</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3）访客系统</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需要新建开发并接入安防系统</w:t>
      </w:r>
      <w:r>
        <w:rPr>
          <w:rFonts w:hint="eastAsia" w:ascii="宋体" w:hAnsi="宋体"/>
          <w:color w:val="auto"/>
          <w:sz w:val="24"/>
          <w:szCs w:val="24"/>
          <w:highlight w:val="none"/>
        </w:rPr>
        <w:t xml:space="preserve">）</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lang w:eastAsia="zh-CN"/>
        </w:rPr>
        <w:t xml:space="preserve">各机关部门</w:t>
      </w:r>
      <w:r>
        <w:rPr>
          <w:rFonts w:ascii="宋体" w:hAnsi="宋体"/>
          <w:color w:val="auto"/>
          <w:sz w:val="24"/>
          <w:szCs w:val="24"/>
          <w:highlight w:val="none"/>
        </w:rPr>
        <w:t xml:space="preserve">通过</w:t>
      </w:r>
      <w:r>
        <w:rPr>
          <w:rFonts w:hint="eastAsia" w:ascii="宋体" w:hAnsi="宋体"/>
          <w:color w:val="auto"/>
          <w:sz w:val="24"/>
          <w:szCs w:val="24"/>
          <w:highlight w:val="none"/>
          <w:lang w:eastAsia="zh-CN"/>
        </w:rPr>
        <w:t xml:space="preserve">访客功能</w:t>
      </w:r>
      <w:r>
        <w:rPr>
          <w:rFonts w:ascii="宋体" w:hAnsi="宋体"/>
          <w:color w:val="auto"/>
          <w:sz w:val="24"/>
          <w:szCs w:val="24"/>
          <w:highlight w:val="none"/>
        </w:rPr>
        <w:t xml:space="preserve">自助预约</w:t>
      </w:r>
      <w:r>
        <w:rPr>
          <w:rFonts w:hint="eastAsia" w:ascii="宋体" w:hAnsi="宋体"/>
          <w:color w:val="auto"/>
          <w:sz w:val="24"/>
          <w:szCs w:val="24"/>
          <w:highlight w:val="none"/>
          <w:lang w:eastAsia="zh-CN"/>
        </w:rPr>
        <w:t xml:space="preserve">访客申请</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采购人审核通过后生成访客二维码</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访客将二维码出示给大院安保人员</w:t>
      </w:r>
      <w:r>
        <w:rPr>
          <w:rFonts w:ascii="宋体" w:hAnsi="宋体"/>
          <w:color w:val="auto"/>
          <w:sz w:val="24"/>
          <w:szCs w:val="24"/>
          <w:highlight w:val="none"/>
        </w:rPr>
        <w:t xml:space="preserve">方可进入。</w:t>
      </w:r>
      <w:r/>
    </w:p>
    <w:p>
      <w:pPr>
        <w:pStyle w:val="712"/>
        <w:jc w:val="both"/>
        <w:spacing w:before="120" w:after="0" w:line="480" w:lineRule="auto"/>
        <w:widowControl/>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微商城平台</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由扬城网络中心建设运维，使用互联网</w:t>
      </w:r>
      <w:r>
        <w:rPr>
          <w:rFonts w:ascii="宋体" w:hAnsi="宋体"/>
          <w:color w:val="auto"/>
          <w:sz w:val="24"/>
          <w:szCs w:val="24"/>
          <w:highlight w:val="none"/>
          <w:lang w:val="en"/>
        </w:rPr>
        <w:t xml:space="preserve">，微信小程序运行</w:t>
      </w:r>
      <w:r>
        <w:rPr>
          <w:rFonts w:hint="eastAsia" w:ascii="宋体" w:hAnsi="宋体"/>
          <w:color w:val="auto"/>
          <w:sz w:val="24"/>
          <w:szCs w:val="24"/>
          <w:highlight w:val="none"/>
        </w:rPr>
        <w:t xml:space="preserve">，机关干部</w:t>
      </w:r>
      <w:r>
        <w:rPr>
          <w:rFonts w:ascii="宋体" w:hAnsi="宋体"/>
          <w:color w:val="auto"/>
          <w:sz w:val="24"/>
          <w:szCs w:val="24"/>
          <w:highlight w:val="none"/>
        </w:rPr>
        <w:t xml:space="preserve">可在微商城订购包子、特产等商品，</w:t>
      </w:r>
      <w:r>
        <w:rPr>
          <w:rFonts w:hint="eastAsia" w:ascii="宋体" w:hAnsi="宋体"/>
          <w:color w:val="auto"/>
          <w:sz w:val="24"/>
          <w:szCs w:val="24"/>
          <w:highlight w:val="none"/>
        </w:rPr>
        <w:t xml:space="preserve">具体包括：</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1）商品订购</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机关人员在微商城订购商品，商家在后台获取订单，为客户提供服务。</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2）商品管理</w:t>
      </w:r>
      <w:r/>
    </w:p>
    <w:p>
      <w:pPr>
        <w:pStyle w:val="723"/>
        <w:ind w:firstLine="480"/>
        <w:spacing w:line="360" w:lineRule="auto"/>
        <w:rPr>
          <w:rFonts w:ascii="宋体" w:hAnsi="宋体"/>
          <w:b/>
          <w:bCs/>
          <w:color w:val="auto"/>
          <w:sz w:val="24"/>
          <w:szCs w:val="24"/>
          <w:highlight w:val="none"/>
        </w:rPr>
      </w:pPr>
      <w:r>
        <w:rPr>
          <w:rFonts w:ascii="宋体" w:hAnsi="宋体"/>
          <w:color w:val="auto"/>
          <w:sz w:val="24"/>
          <w:szCs w:val="24"/>
          <w:highlight w:val="none"/>
        </w:rPr>
        <w:t xml:space="preserve">商品批量上架,批量上架是上架线下的商品，上架后的线上商品类型只能是非组合商品；首先点击图中的查询按钮在查询结果里选择要上架的线上商品并填入线上编号及默认的价格策略</w:t>
      </w:r>
      <w:r>
        <w:rPr>
          <w:rFonts w:hint="eastAsia" w:ascii="宋体" w:hAnsi="宋体"/>
          <w:color w:val="auto"/>
          <w:sz w:val="24"/>
          <w:szCs w:val="24"/>
          <w:highlight w:val="none"/>
        </w:rPr>
        <w:t xml:space="preserve">，</w:t>
      </w:r>
      <w:r>
        <w:rPr>
          <w:rFonts w:ascii="宋体" w:hAnsi="宋体"/>
          <w:color w:val="auto"/>
          <w:sz w:val="24"/>
          <w:szCs w:val="24"/>
          <w:highlight w:val="none"/>
        </w:rPr>
        <w:t xml:space="preserve">然后点击上架按钮操作进行上架。</w:t>
      </w:r>
      <w:r/>
    </w:p>
    <w:p>
      <w:pPr>
        <w:spacing w:line="480" w:lineRule="auto"/>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spacing w:line="480" w:lineRule="auto"/>
        <w:widowControl/>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2.2.3.3</w:t>
      </w:r>
      <w:r>
        <w:rPr>
          <w:rFonts w:hint="eastAsia" w:ascii="宋体" w:hAnsi="宋体"/>
          <w:b/>
          <w:bCs/>
          <w:color w:val="auto"/>
          <w:sz w:val="24"/>
          <w:szCs w:val="24"/>
          <w:highlight w:val="none"/>
        </w:rPr>
        <w:t xml:space="preserve"> 功能数据整合需求</w:t>
      </w:r>
      <w:r/>
    </w:p>
    <w:tbl>
      <w:tblPr>
        <w:tblStyle w:val="747"/>
        <w:tblW w:w="89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17"/>
        <w:gridCol w:w="3650"/>
        <w:gridCol w:w="3277"/>
      </w:tblGrid>
      <w:tr>
        <w:trPr>
          <w:trHeight w:val="430"/>
        </w:trPr>
        <w:tc>
          <w:tcPr>
            <w:tcW w:w="201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需求</w:t>
            </w:r>
            <w:r/>
          </w:p>
        </w:tc>
        <w:tc>
          <w:tcPr>
            <w:tcW w:w="3650"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系统名称</w:t>
            </w:r>
            <w:r/>
          </w:p>
        </w:tc>
        <w:tc>
          <w:tcPr>
            <w:tcW w:w="327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数据需求/功能需求</w:t>
            </w:r>
            <w:r/>
          </w:p>
        </w:tc>
      </w:tr>
      <w:tr>
        <w:trPr/>
        <w:tc>
          <w:tcPr>
            <w:tcW w:w="2017" w:type="dxa"/>
            <w:vAlign w:val="center"/>
            <w:vMerge w:val="restart"/>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新建数据集中展示页面</w:t>
            </w:r>
            <w:r/>
          </w:p>
        </w:tc>
        <w:tc>
          <w:tcPr>
            <w:tcW w:w="3650" w:type="dxa"/>
            <w:vAlign w:val="center"/>
            <w:vMerge w:val="restart"/>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江苏省党政机关办公用房管理信息系统</w:t>
            </w:r>
            <w:r/>
          </w:p>
        </w:tc>
        <w:tc>
          <w:tcPr>
            <w:tcW w:w="327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办公用房数量统计</w:t>
            </w:r>
            <w:r/>
          </w:p>
        </w:tc>
      </w:tr>
      <w:tr>
        <w:trPr/>
        <w:tc>
          <w:tcPr>
            <w:tcW w:w="2017" w:type="dxa"/>
            <w:vAlign w:val="center"/>
            <w:vMerge w:val="continue"/>
            <w:textDirection w:val="lrTb"/>
            <w:noWrap w:val="false"/>
          </w:tcPr>
          <w:p>
            <w:pPr>
              <w:jc w:val="center"/>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W w:w="3650" w:type="dxa"/>
            <w:vAlign w:val="center"/>
            <w:vMerge w:val="continue"/>
            <w:textDirection w:val="lrTb"/>
            <w:noWrap w:val="false"/>
          </w:tcPr>
          <w:p>
            <w:pPr>
              <w:jc w:val="center"/>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W w:w="3277" w:type="dxa"/>
            <w:vAlign w:val="center"/>
            <w:textDirection w:val="lrTb"/>
            <w:noWrap w:val="false"/>
          </w:tcPr>
          <w:p>
            <w:pPr>
              <w:jc w:val="center"/>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t xml:space="preserve">办公用房区域分布</w:t>
            </w:r>
            <w:r/>
          </w:p>
        </w:tc>
      </w:tr>
      <w:tr>
        <w:trPr/>
        <w:tc>
          <w:tcPr>
            <w:tcW w:w="2017"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650"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277" w:type="dxa"/>
            <w:vAlign w:val="center"/>
            <w:textDirection w:val="lrTb"/>
            <w:noWrap w:val="false"/>
          </w:tcPr>
          <w:p>
            <w:pPr>
              <w:jc w:val="center"/>
              <w:spacing w:after="0"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办公用房</w:t>
            </w:r>
            <w:r>
              <w:rPr>
                <w:rFonts w:hint="eastAsia" w:ascii="宋体" w:hAnsi="宋体"/>
                <w:color w:val="auto"/>
                <w:sz w:val="24"/>
                <w:szCs w:val="24"/>
                <w:highlight w:val="none"/>
                <w:lang w:eastAsia="zh-CN"/>
              </w:rPr>
              <w:t xml:space="preserve">面积统计</w:t>
            </w:r>
            <w:r/>
          </w:p>
        </w:tc>
      </w:tr>
      <w:tr>
        <w:trPr/>
        <w:tc>
          <w:tcPr>
            <w:tcW w:w="2017"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650" w:type="dxa"/>
            <w:vAlign w:val="center"/>
            <w:vMerge w:val="restart"/>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全国公务用车管理平台</w:t>
            </w:r>
            <w:r/>
          </w:p>
        </w:tc>
        <w:tc>
          <w:tcPr>
            <w:tcW w:w="327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公务用车总量</w:t>
            </w:r>
            <w:r/>
          </w:p>
        </w:tc>
      </w:tr>
      <w:tr>
        <w:trPr/>
        <w:tc>
          <w:tcPr>
            <w:tcW w:w="2017"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650"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27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公务用车分布情况</w:t>
            </w:r>
            <w:r/>
          </w:p>
        </w:tc>
      </w:tr>
      <w:tr>
        <w:trPr/>
        <w:tc>
          <w:tcPr>
            <w:tcW w:w="2017"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650"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27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公务用车维修费用统计</w:t>
            </w:r>
            <w:r/>
          </w:p>
        </w:tc>
      </w:tr>
      <w:tr>
        <w:trPr/>
        <w:tc>
          <w:tcPr>
            <w:tcW w:w="2017"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650"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27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公务用车油耗情况统计</w:t>
            </w:r>
            <w:r/>
          </w:p>
        </w:tc>
      </w:tr>
      <w:tr>
        <w:trPr/>
        <w:tc>
          <w:tcPr>
            <w:tcW w:w="2017"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650"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公共机构节能管理系统</w:t>
            </w:r>
            <w:r/>
          </w:p>
        </w:tc>
        <w:tc>
          <w:tcPr>
            <w:tcW w:w="327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能耗统计</w:t>
            </w:r>
            <w:r/>
          </w:p>
        </w:tc>
      </w:tr>
      <w:tr>
        <w:trPr/>
        <w:tc>
          <w:tcPr>
            <w:tcW w:w="2017" w:type="dxa"/>
            <w:vAlign w:val="center"/>
            <w:vMerge w:val="continue"/>
            <w:textDirection w:val="lrTb"/>
            <w:noWrap w:val="false"/>
          </w:tcPr>
          <w:p>
            <w:pPr>
              <w:jc w:val="center"/>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W w:w="3650" w:type="dxa"/>
            <w:vAlign w:val="center"/>
            <w:vMerge w:val="restart"/>
            <w:textDirection w:val="lrTb"/>
            <w:noWrap w:val="false"/>
          </w:tcPr>
          <w:p>
            <w:pPr>
              <w:jc w:val="center"/>
              <w:spacing w:after="0"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公物仓管理</w:t>
            </w:r>
            <w:r/>
          </w:p>
        </w:tc>
        <w:tc>
          <w:tcPr>
            <w:tcW w:w="3277" w:type="dxa"/>
            <w:vAlign w:val="center"/>
            <w:textDirection w:val="lrTb"/>
            <w:noWrap w:val="false"/>
          </w:tcPr>
          <w:p>
            <w:pPr>
              <w:jc w:val="center"/>
              <w:spacing w:after="0"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库存物品数量</w:t>
            </w:r>
            <w:r/>
          </w:p>
        </w:tc>
      </w:tr>
      <w:tr>
        <w:trPr/>
        <w:tc>
          <w:tcPr>
            <w:tcW w:w="2017" w:type="dxa"/>
            <w:vAlign w:val="center"/>
            <w:vMerge w:val="continue"/>
            <w:textDirection w:val="lrTb"/>
            <w:noWrap w:val="false"/>
          </w:tcPr>
          <w:p>
            <w:pPr>
              <w:jc w:val="center"/>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W w:w="3650" w:type="dxa"/>
            <w:vAlign w:val="center"/>
            <w:vMerge w:val="continue"/>
            <w:textDirection w:val="lrTb"/>
            <w:noWrap w:val="false"/>
          </w:tcPr>
          <w:p>
            <w:pPr>
              <w:jc w:val="center"/>
              <w:spacing w:after="0" w:line="360" w:lineRule="auto"/>
              <w:widowControl/>
              <w:rPr>
                <w:rFonts w:hint="eastAsia" w:ascii="宋体" w:hAnsi="宋体"/>
                <w:color w:val="auto"/>
                <w:sz w:val="24"/>
                <w:szCs w:val="24"/>
                <w:highlight w:val="none"/>
              </w:rPr>
            </w:pPr>
            <w:r>
              <w:rPr>
                <w:rFonts w:hint="eastAsia" w:ascii="宋体" w:hAnsi="宋体"/>
                <w:color w:val="auto"/>
                <w:sz w:val="24"/>
                <w:szCs w:val="24"/>
                <w:highlight w:val="none"/>
              </w:rPr>
            </w:r>
            <w:r/>
          </w:p>
        </w:tc>
        <w:tc>
          <w:tcPr>
            <w:tcW w:w="3277" w:type="dxa"/>
            <w:vAlign w:val="center"/>
            <w:textDirection w:val="lrTb"/>
            <w:noWrap w:val="false"/>
          </w:tcPr>
          <w:p>
            <w:pPr>
              <w:jc w:val="center"/>
              <w:spacing w:after="0" w:line="360" w:lineRule="auto"/>
              <w:widowControl/>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调剂使用情况</w:t>
            </w:r>
            <w:r/>
          </w:p>
        </w:tc>
      </w:tr>
      <w:tr>
        <w:trPr/>
        <w:tc>
          <w:tcPr>
            <w:tcW w:w="2017" w:type="dxa"/>
            <w:vAlign w:val="center"/>
            <w:vMerge w:val="restart"/>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整合使用功能</w:t>
            </w:r>
            <w:r/>
          </w:p>
        </w:tc>
        <w:tc>
          <w:tcPr>
            <w:tcW w:w="3650"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扬州市公务用车综合管理平台</w:t>
            </w:r>
            <w:r/>
          </w:p>
        </w:tc>
        <w:tc>
          <w:tcPr>
            <w:tcW w:w="327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点击跳转</w:t>
            </w:r>
            <w:r/>
          </w:p>
        </w:tc>
      </w:tr>
      <w:tr>
        <w:trPr/>
        <w:tc>
          <w:tcPr>
            <w:tcW w:w="2017"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650"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市政安防系统</w:t>
            </w:r>
            <w:r/>
          </w:p>
        </w:tc>
        <w:tc>
          <w:tcPr>
            <w:tcW w:w="3277" w:type="dxa"/>
            <w:vAlign w:val="center"/>
            <w:textDirection w:val="lrTb"/>
            <w:noWrap w:val="false"/>
          </w:tcPr>
          <w:p>
            <w:pPr>
              <w:jc w:val="center"/>
              <w:spacing w:after="0" w:line="24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将新开发“访客管理”接入安防系统</w:t>
            </w:r>
            <w:r/>
          </w:p>
        </w:tc>
      </w:tr>
      <w:tr>
        <w:trPr/>
        <w:tc>
          <w:tcPr>
            <w:tcW w:w="2017" w:type="dxa"/>
            <w:vAlign w:val="center"/>
            <w:vMerge w:val="continue"/>
            <w:textDirection w:val="lrTb"/>
            <w:noWrap w:val="false"/>
          </w:tcPr>
          <w:p>
            <w:pPr>
              <w:jc w:val="center"/>
              <w:spacing w:after="0" w:line="360" w:lineRule="auto"/>
              <w:widowControl/>
              <w:rPr>
                <w:rFonts w:ascii="宋体" w:hAnsi="宋体"/>
                <w:color w:val="auto"/>
                <w:sz w:val="24"/>
                <w:szCs w:val="24"/>
                <w:highlight w:val="none"/>
              </w:rPr>
            </w:pPr>
            <w:r>
              <w:rPr>
                <w:rFonts w:ascii="宋体" w:hAnsi="宋体"/>
                <w:color w:val="auto"/>
                <w:sz w:val="24"/>
                <w:szCs w:val="24"/>
                <w:highlight w:val="none"/>
              </w:rPr>
            </w:r>
            <w:r/>
          </w:p>
        </w:tc>
        <w:tc>
          <w:tcPr>
            <w:tcW w:w="3650"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微商城平台</w:t>
            </w:r>
            <w:r/>
          </w:p>
        </w:tc>
        <w:tc>
          <w:tcPr>
            <w:tcW w:w="3277" w:type="dxa"/>
            <w:vAlign w:val="center"/>
            <w:textDirection w:val="lrTb"/>
            <w:noWrap w:val="false"/>
          </w:tcPr>
          <w:p>
            <w:pPr>
              <w:jc w:val="center"/>
              <w:spacing w:after="0"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点击跳转</w:t>
            </w:r>
            <w:r/>
          </w:p>
        </w:tc>
      </w:tr>
    </w:tbl>
    <w:p>
      <w:pPr>
        <w:pStyle w:val="712"/>
        <w:jc w:val="both"/>
        <w:spacing w:before="0" w:after="0" w:line="48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pStyle w:val="712"/>
        <w:jc w:val="both"/>
        <w:spacing w:before="0" w:after="0" w:line="48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2.3新建功能</w:t>
      </w:r>
      <w:r/>
    </w:p>
    <w:p>
      <w:pPr>
        <w:pStyle w:val="712"/>
        <w:jc w:val="both"/>
        <w:spacing w:before="0" w:after="0" w:line="48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2.3.1业务领域定义</w:t>
      </w:r>
      <w:r/>
    </w:p>
    <w:tbl>
      <w:tblPr>
        <w:tblStyle w:val="721"/>
        <w:tblW w:w="89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54"/>
        <w:gridCol w:w="2834"/>
        <w:gridCol w:w="3241"/>
      </w:tblGrid>
      <w:tr>
        <w:trPr/>
        <w:tc>
          <w:tcPr>
            <w:tcW w:w="285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统一登录</w:t>
            </w:r>
            <w:r/>
          </w:p>
        </w:tc>
        <w:tc>
          <w:tcPr>
            <w:tcW w:w="283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权限登录</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机关人员管理</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各模块菜单权限管理</w:t>
            </w:r>
            <w:r/>
          </w:p>
        </w:tc>
      </w:tr>
      <w:tr>
        <w:trPr/>
        <w:tc>
          <w:tcPr>
            <w:tcW w:w="285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食堂订餐</w:t>
            </w:r>
            <w:r/>
          </w:p>
        </w:tc>
        <w:tc>
          <w:tcPr>
            <w:tcW w:w="283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食堂菜单</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当日菜单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订餐</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订单记录</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历史订单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食堂管理</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菜品管理</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当日菜单管理</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订单管理</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统计报表</w:t>
            </w:r>
            <w:r/>
          </w:p>
        </w:tc>
      </w:tr>
      <w:tr>
        <w:trPr/>
        <w:tc>
          <w:tcPr>
            <w:tcW w:w="285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会议服务</w:t>
            </w:r>
            <w:r/>
          </w:p>
        </w:tc>
        <w:tc>
          <w:tcPr>
            <w:tcW w:w="2834"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会议室菜单</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会议室预约申请</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预约记录</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历史预约</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会议室预约管理</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会议室管理</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预约时间段管理</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预约审批管理</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统计报表</w:t>
            </w:r>
            <w:r/>
          </w:p>
        </w:tc>
      </w:tr>
      <w:tr>
        <w:trPr/>
        <w:tc>
          <w:tcPr>
            <w:tcW w:w="285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设备维修报修</w:t>
            </w:r>
            <w:r/>
          </w:p>
        </w:tc>
        <w:tc>
          <w:tcPr>
            <w:tcW w:w="2834"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上报申请</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维修报修申请</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上报记录</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历史报修记录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报修工单</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工单处理</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处理记录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报修管理</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报修工单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工单分配</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统计报表</w:t>
            </w:r>
            <w:r/>
          </w:p>
        </w:tc>
      </w:tr>
      <w:tr>
        <w:trPr/>
        <w:tc>
          <w:tcPr>
            <w:tcW w:w="285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医疗门诊预约</w:t>
            </w:r>
            <w:r/>
          </w:p>
        </w:tc>
        <w:tc>
          <w:tcPr>
            <w:tcW w:w="2834"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预约菜单</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在线预约</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预约记录</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历史预约记录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体检报告</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报告记录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auto"/>
                <w:sz w:val="24"/>
                <w:szCs w:val="24"/>
                <w:highlight w:val="none"/>
              </w:rPr>
            </w:pPr>
            <w:r>
              <w:rPr>
                <w:rFonts w:ascii="宋体" w:hAnsi="宋体"/>
                <w:color w:val="auto"/>
                <w:sz w:val="24"/>
                <w:szCs w:val="24"/>
                <w:highlight w:val="none"/>
              </w:rPr>
            </w:r>
            <w:r/>
          </w:p>
        </w:tc>
        <w:tc>
          <w:tcPr>
            <w:tcW w:w="2834" w:type="dxa"/>
            <w:vAlign w:val="center"/>
            <w:vMerge w:val="restart"/>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门诊预约管理</w:t>
            </w:r>
            <w:r/>
          </w:p>
        </w:tc>
        <w:tc>
          <w:tcPr>
            <w:tcW w:w="3241" w:type="dxa"/>
            <w:vAlign w:val="center"/>
            <w:textDirection w:val="lrTb"/>
            <w:noWrap w:val="false"/>
          </w:tcPr>
          <w:p>
            <w:pPr>
              <w:pStyle w:val="723"/>
              <w:ind w:firstLine="0"/>
              <w:jc w:val="center"/>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预约时间段设置</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预约人次设置</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预约记录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体检报告统计</w:t>
            </w:r>
            <w:r/>
          </w:p>
        </w:tc>
      </w:tr>
      <w:tr>
        <w:trPr/>
        <w:tc>
          <w:tcPr>
            <w:tcW w:w="2854"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公物仓管理</w:t>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申请菜单</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公物申请</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申请记录</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历史申请记录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公物管理</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公物入库</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公物出库</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公物类别菜单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公物列表</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申请列表</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申请审批</w:t>
            </w:r>
            <w:r/>
          </w:p>
        </w:tc>
      </w:tr>
      <w:tr>
        <w:trPr>
          <w:trHeight w:val="480"/>
        </w:trPr>
        <w:tc>
          <w:tcPr>
            <w:tcW w:w="2854" w:type="dxa"/>
            <w:vAlign w:val="center"/>
            <w:textDirection w:val="lrTb"/>
            <w:noWrap w:val="false"/>
          </w:tcPr>
          <w:p>
            <w:pPr>
              <w:pStyle w:val="723"/>
              <w:ind w:firstLine="0"/>
              <w:jc w:val="center"/>
              <w:spacing w:line="3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幼儿园报名</w:t>
            </w:r>
            <w:r/>
          </w:p>
        </w:tc>
        <w:tc>
          <w:tcPr>
            <w:tcW w:w="2834" w:type="dxa"/>
            <w:vAlign w:val="center"/>
            <w:textDirection w:val="lrTb"/>
            <w:noWrap w:val="false"/>
          </w:tcPr>
          <w:p>
            <w:pPr>
              <w:pStyle w:val="723"/>
              <w:ind w:firstLine="0"/>
              <w:jc w:val="center"/>
              <w:spacing w:line="3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报名登记</w:t>
            </w:r>
            <w:r/>
          </w:p>
        </w:tc>
        <w:tc>
          <w:tcPr>
            <w:tcW w:w="3241" w:type="dxa"/>
            <w:vAlign w:val="center"/>
            <w:textDirection w:val="lrTb"/>
            <w:noWrap w:val="false"/>
          </w:tcPr>
          <w:p>
            <w:pPr>
              <w:pStyle w:val="723"/>
              <w:ind w:firstLine="0"/>
              <w:jc w:val="center"/>
              <w:spacing w:line="36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报名审核</w:t>
            </w:r>
            <w:r/>
          </w:p>
        </w:tc>
      </w:tr>
      <w:tr>
        <w:trPr/>
        <w:tc>
          <w:tcPr>
            <w:tcW w:w="2854"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意见征集与信息发布</w:t>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意见菜单</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意见上报</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公告列表</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查看公告</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意见管理</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意见列表</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公告管理</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发布公告</w:t>
            </w:r>
            <w:r/>
          </w:p>
        </w:tc>
      </w:tr>
      <w:tr>
        <w:trPr/>
        <w:tc>
          <w:tcPr>
            <w:tcW w:w="2854"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访客管理</w:t>
            </w:r>
            <w:r/>
          </w:p>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（接入市政安防系统）</w:t>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访客菜单</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访客预约</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访问记录</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历史访问记录</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访客审核</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访客审核</w:t>
            </w:r>
            <w:r/>
          </w:p>
        </w:tc>
      </w:tr>
      <w:tr>
        <w:trPr/>
        <w:tc>
          <w:tcPr>
            <w:tcW w:w="285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834"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访客管理</w:t>
            </w:r>
            <w:r/>
          </w:p>
        </w:tc>
        <w:tc>
          <w:tcPr>
            <w:tcW w:w="324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访客记录</w:t>
            </w:r>
            <w:r/>
          </w:p>
        </w:tc>
      </w:tr>
    </w:tbl>
    <w:p>
      <w:pPr>
        <w:pStyle w:val="712"/>
        <w:jc w:val="both"/>
        <w:spacing w:before="12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2.3.2业务需求分析</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2.3.2.1食堂订餐</w:t>
      </w:r>
      <w:r/>
    </w:p>
    <w:p>
      <w:pPr>
        <w:ind w:firstLine="480"/>
        <w:spacing w:line="360" w:lineRule="auto"/>
        <w:widowControl/>
        <w:rPr>
          <w:rFonts w:ascii="宋体" w:hAnsi="宋体"/>
          <w:color w:val="000000"/>
          <w:sz w:val="24"/>
          <w:szCs w:val="24"/>
          <w:highlight w:val="none"/>
        </w:rPr>
      </w:pPr>
      <w:r>
        <w:rPr>
          <w:rFonts w:ascii="宋体" w:hAnsi="宋体"/>
          <w:color w:val="000000"/>
          <w:sz w:val="24"/>
          <w:szCs w:val="24"/>
          <w:highlight w:val="none"/>
        </w:rPr>
        <w:t xml:space="preserve">现有电话订餐，手动记录，对饭菜需求不确定，需要打造一个更适合于机关大院的订餐服务系统，实现单位对每日用餐</w:t>
      </w:r>
      <w:r>
        <w:rPr>
          <w:rFonts w:hint="eastAsia" w:ascii="宋体" w:hAnsi="宋体"/>
          <w:color w:val="000000"/>
          <w:sz w:val="24"/>
          <w:szCs w:val="24"/>
          <w:highlight w:val="none"/>
        </w:rPr>
        <w:t xml:space="preserve">人员数量</w:t>
      </w:r>
      <w:r>
        <w:rPr>
          <w:rFonts w:ascii="宋体" w:hAnsi="宋体"/>
          <w:color w:val="000000"/>
          <w:sz w:val="24"/>
          <w:szCs w:val="24"/>
          <w:highlight w:val="none"/>
        </w:rPr>
        <w:t xml:space="preserve">的统计，做到及时送餐，提高单位食堂的服务水平，管理水平。</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2.3.2.2会议服务</w:t>
      </w:r>
      <w:r/>
    </w:p>
    <w:p>
      <w:pPr>
        <w:pStyle w:val="72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现有会议室主要采取传统管理方式，需要设置手机端预约的会议室功能，可视化当前会议室的使用情况及可预订情况，通过线上统一智能管理，实现会议室资源集中管理，搜集会议室使用情况，当会议室使用不均匀时，可以及时优化。</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2.3.2.3设备维修报修</w:t>
      </w:r>
      <w:r/>
    </w:p>
    <w:p>
      <w:pPr>
        <w:pStyle w:val="72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各单位当发现办公设施设备损坏时，可以通过系统上报，由系统派单至机关事务局相关维修部门，维修部门快速处理反馈，减少因信息延误导致的各种问题。</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2.3.2.4医疗门诊预约</w:t>
      </w:r>
      <w:r/>
    </w:p>
    <w:p>
      <w:pPr>
        <w:pStyle w:val="72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通过门诊线上体检预约的建设，门诊部不仅可以更大程度地提高服务质量及工作效率，更可以体现门诊以人为本的特色，全面提高就医者的满意度，同时可以降低医疗工作者的服务成本，减少高峰期的压力。</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2.3.2.5公物仓管理</w:t>
      </w:r>
      <w:r/>
    </w:p>
    <w:p>
      <w:pPr>
        <w:pStyle w:val="72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市级机关公物仓于2023年正式投入使用，需要制定一套科学的线上管理系统，提供物品调剂、管理等功能，规范公物仓的使用流程、提高物品的利用率、减少损耗和浪费，以实现高效的公物仓管理。</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2.3.2.6意见征集与信息发布</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打造通知公告及意见征集系统，能</w:t>
      </w:r>
      <w:r>
        <w:rPr>
          <w:rFonts w:hint="eastAsia" w:ascii="宋体" w:hAnsi="宋体"/>
          <w:color w:val="000000"/>
          <w:sz w:val="24"/>
          <w:szCs w:val="24"/>
          <w:highlight w:val="none"/>
        </w:rPr>
        <w:t xml:space="preserve">够方便机关干部更快速了解到单位的信息，同时方便征集机关干部各类意见建议。</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2.3.2.7访客系统</w:t>
      </w:r>
      <w:r/>
    </w:p>
    <w:p>
      <w:pPr>
        <w:pStyle w:val="72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结合现有市政安防系统，提供访客预约功能</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帮助</w:t>
      </w:r>
      <w:r>
        <w:rPr>
          <w:rFonts w:ascii="宋体" w:hAnsi="宋体"/>
          <w:color w:val="000000"/>
          <w:sz w:val="24"/>
          <w:szCs w:val="24"/>
          <w:highlight w:val="none"/>
        </w:rPr>
        <w:t xml:space="preserve">访客提前快速认证通过，也能筛选掉不符合访问条件的人员，减轻安保人员的负担，让访问有迹可循，更安全，便捷。</w:t>
      </w:r>
      <w:r/>
    </w:p>
    <w:p>
      <w:pPr>
        <w:pStyle w:val="711"/>
        <w:jc w:val="both"/>
        <w:keepLines/>
        <w:spacing w:line="720" w:lineRule="auto"/>
        <w:widowControl/>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3、建设内容和技术方案</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3.1项目建设思路及总体架构</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3.1.1新建功能详细说明</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3.1.1.1食堂订餐</w:t>
      </w:r>
      <w:r/>
    </w:p>
    <w:p>
      <w:pPr>
        <w:pStyle w:val="723"/>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采购人</w:t>
      </w:r>
      <w:r>
        <w:rPr>
          <w:rFonts w:ascii="宋体" w:hAnsi="宋体"/>
          <w:color w:val="000000" w:themeColor="text1"/>
          <w:sz w:val="24"/>
          <w:szCs w:val="24"/>
          <w:highlight w:val="none"/>
        </w:rPr>
        <w:t xml:space="preserve">目前采用电话联系方式订餐，人力成本较高，订餐流程不够高效便捷。在系统中设置食堂订餐功能模块，展示每日菜单食谱，机关人员可在系统中提前预订午餐和晚餐，填写取餐地址、取餐时间、联系方式等，同时进行个性化需求定制，如备注忌口菜品、所需餐具份数、是否需要酸奶或咖啡等。食堂根据预约的订单分批次送餐，机关人员可实时查看出餐进度。</w:t>
      </w:r>
      <w:r>
        <w:rPr>
          <w:color w:val="000000" w:themeColor="text1"/>
        </w:rPr>
      </w:r>
      <w:r/>
    </w:p>
    <w:p>
      <w:pPr>
        <w:pStyle w:val="723"/>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1）餐品预约</w:t>
      </w:r>
      <w:r>
        <w:rPr>
          <w:color w:val="000000" w:themeColor="text1"/>
        </w:rPr>
      </w:r>
      <w:r/>
    </w:p>
    <w:p>
      <w:pPr>
        <w:pStyle w:val="723"/>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机关人员在</w:t>
      </w:r>
      <w:r>
        <w:rPr>
          <w:rFonts w:hint="eastAsia" w:ascii="宋体" w:hAnsi="宋体"/>
          <w:color w:val="000000" w:themeColor="text1"/>
          <w:sz w:val="24"/>
          <w:szCs w:val="24"/>
          <w:highlight w:val="none"/>
        </w:rPr>
        <w:t xml:space="preserve">app</w:t>
      </w:r>
      <w:r>
        <w:rPr>
          <w:rFonts w:ascii="宋体" w:hAnsi="宋体"/>
          <w:color w:val="000000" w:themeColor="text1"/>
          <w:sz w:val="24"/>
          <w:szCs w:val="24"/>
          <w:highlight w:val="none"/>
        </w:rPr>
        <w:t xml:space="preserve">点击预定，选择想要预定的餐品，食堂根据预定情况，送餐至指定的位置后，点击送达。</w:t>
      </w:r>
      <w:r>
        <w:rPr>
          <w:color w:val="000000" w:themeColor="text1"/>
        </w:rPr>
      </w:r>
      <w:r/>
    </w:p>
    <w:p>
      <w:pPr>
        <w:pStyle w:val="723"/>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2）菜品管理</w:t>
      </w:r>
      <w:r>
        <w:rPr>
          <w:color w:val="000000" w:themeColor="text1"/>
        </w:rPr>
      </w:r>
      <w:r/>
    </w:p>
    <w:p>
      <w:pPr>
        <w:pStyle w:val="723"/>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后台增加所有菜品，再往每日菜品中选择当日菜品，名称及份数，由订餐人订餐。</w:t>
      </w:r>
      <w:r>
        <w:rPr>
          <w:color w:val="000000" w:themeColor="text1"/>
        </w:rPr>
      </w:r>
      <w:r/>
    </w:p>
    <w:p>
      <w:pPr>
        <w:pStyle w:val="723"/>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3）订餐管理</w:t>
      </w:r>
      <w:r>
        <w:rPr>
          <w:color w:val="000000" w:themeColor="text1"/>
        </w:rPr>
      </w:r>
      <w:r/>
    </w:p>
    <w:p>
      <w:pPr>
        <w:pStyle w:val="723"/>
        <w:ind w:firstLine="480"/>
        <w:spacing w:line="360" w:lineRule="auto"/>
        <w:rPr>
          <w:rFonts w:ascii="宋体" w:hAnsi="宋体"/>
          <w:color w:val="000000"/>
          <w:sz w:val="24"/>
          <w:szCs w:val="24"/>
          <w:highlight w:val="none"/>
        </w:rPr>
      </w:pPr>
      <w:r>
        <w:rPr>
          <w:rFonts w:hint="eastAsia" w:ascii="宋体" w:hAnsi="宋体"/>
          <w:color w:val="000000" w:themeColor="text1"/>
          <w:sz w:val="24"/>
          <w:szCs w:val="24"/>
          <w:highlight w:val="none"/>
        </w:rPr>
        <w:t xml:space="preserve">后台由食堂上传每日菜品，</w:t>
      </w:r>
      <w:r>
        <w:rPr>
          <w:rFonts w:hint="eastAsia" w:ascii="宋体" w:hAnsi="宋体"/>
          <w:color w:val="000000"/>
          <w:sz w:val="24"/>
          <w:szCs w:val="24"/>
          <w:highlight w:val="none"/>
        </w:rPr>
        <w:t xml:space="preserve">供机关人员选择，此外查看预约订单，和预约单的送达情况。食堂后台统计订单情况，月底开票统一结算。</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3.1.1.2会议服务</w:t>
      </w:r>
      <w:r/>
    </w:p>
    <w:p>
      <w:pPr>
        <w:pStyle w:val="723"/>
        <w:ind w:firstLine="480"/>
        <w:spacing w:line="360" w:lineRule="auto"/>
        <w:rPr>
          <w:rFonts w:ascii="宋体" w:hAnsi="宋体"/>
          <w:color w:val="000000"/>
          <w:sz w:val="24"/>
          <w:szCs w:val="24"/>
          <w:highlight w:val="none"/>
        </w:rPr>
      </w:pPr>
      <w:r>
        <w:rPr>
          <w:rFonts w:hint="eastAsia" w:ascii="宋体" w:hAnsi="宋体"/>
          <w:color w:val="000000" w:themeColor="text1"/>
          <w:sz w:val="24"/>
          <w:szCs w:val="24"/>
          <w:highlight w:val="none"/>
          <w:lang w:eastAsia="zh-CN"/>
        </w:rPr>
        <w:t xml:space="preserve">采购人</w:t>
      </w:r>
      <w:r>
        <w:rPr>
          <w:rFonts w:ascii="宋体" w:hAnsi="宋体"/>
          <w:color w:val="000000" w:themeColor="text1"/>
          <w:sz w:val="24"/>
          <w:szCs w:val="24"/>
          <w:highlight w:val="none"/>
        </w:rPr>
        <w:t xml:space="preserve">每年</w:t>
      </w:r>
      <w:r>
        <w:rPr>
          <w:rFonts w:ascii="宋体" w:hAnsi="宋体"/>
          <w:color w:val="000000"/>
          <w:sz w:val="24"/>
          <w:szCs w:val="24"/>
          <w:highlight w:val="none"/>
        </w:rPr>
        <w:t xml:space="preserve">会议服务保障达到近千场次，存在统筹管理难、会议室使用撞档等痛点。在系统中设置会议服务功能模块，实现会议自助预约。管理员添加会议室基础信息，机关人员可查看现有会议室预约情况、使用时间、剩余数量等，自助填写会议时间、会议内容、参加人数等信息提前预订。</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1）会议室详情</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预约会议前，通过一张表格展示会议室的预约情况，也可以查看预约的会议标题，哪些时间段会议室在使用中，当有会议需要预约会议室时，选择合适的会议室， 会议时间，填写会议基础信息进行预约。</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2）会议室管理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后台编辑会议室的可预约时间、会议室规模，也可以查看会议室实时的预约情况。审核会议室的预约申请，审核通过或失败都发送提醒给预约人。同时查看会议室的预约情况。</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3）会议申请</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申请人在 app 端发起会议申请，填写会议的基础信息，上报材料，选择所需要的会议室及使用时间，后台审核通过后，本次会议预约成功。</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3.1.1.3设备维修报修</w:t>
      </w:r>
      <w:r/>
    </w:p>
    <w:p>
      <w:pPr>
        <w:pStyle w:val="723"/>
        <w:ind w:firstLine="480"/>
        <w:spacing w:line="360" w:lineRule="auto"/>
        <w:rPr>
          <w:rFonts w:ascii="宋体" w:hAnsi="宋体"/>
          <w:color w:val="000000"/>
          <w:sz w:val="24"/>
          <w:szCs w:val="24"/>
          <w:highlight w:val="none"/>
        </w:rPr>
      </w:pPr>
      <w:r>
        <w:rPr>
          <w:rFonts w:hint="eastAsia" w:ascii="宋体" w:hAnsi="宋体"/>
          <w:color w:val="000000" w:themeColor="text1"/>
          <w:sz w:val="24"/>
          <w:szCs w:val="24"/>
          <w:highlight w:val="none"/>
          <w:lang w:eastAsia="zh-CN"/>
        </w:rPr>
        <w:t xml:space="preserve">采购人</w:t>
      </w:r>
      <w:r>
        <w:rPr>
          <w:rFonts w:ascii="宋体" w:hAnsi="宋体"/>
          <w:color w:val="000000" w:themeColor="text1"/>
          <w:sz w:val="24"/>
          <w:szCs w:val="24"/>
          <w:highlight w:val="none"/>
        </w:rPr>
        <w:t xml:space="preserve">目前</w:t>
      </w:r>
      <w:r>
        <w:rPr>
          <w:rFonts w:ascii="宋体" w:hAnsi="宋体"/>
          <w:color w:val="000000"/>
          <w:sz w:val="24"/>
          <w:szCs w:val="24"/>
          <w:highlight w:val="none"/>
        </w:rPr>
        <w:t xml:space="preserve">采用电话联系方式申请设备维修报修，存在接单不及时、服务难监管等问题。在系统中设置设备维修报修功能模块，机关人员发现设备老化损坏情况，即可在系统中填写维修报修单，填入所在位置、设备名称、坏损情况、方便维修时间等信息，拍照上传设备情况，维修部门根据上报信息分配维修工单，机关人员可实时获取维修动态以及维修进程。维修工单完成后，生成维修报表，包含维修详情、维修记录、维修耗材等信息，并请机关人员对维修服务作出评价打分。</w:t>
      </w:r>
      <w:r/>
    </w:p>
    <w:p>
      <w:pPr>
        <w:pStyle w:val="72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1）问题上报</w:t>
      </w:r>
      <w:r/>
    </w:p>
    <w:p>
      <w:pPr>
        <w:pStyle w:val="72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上报端，选择需要维修的设备类型。描述具体的问题，上传图片，由维修处的工作人员分配任务，上门处理。处理后，维修处填写维修效果图。同时在 app中记录维修的任务状态，问题上报的时间等信息。</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2）后台</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后台记录维修任务的状态，对于长时间未维修的任务，可以催单，同时可以统计各类型维修任务的数据，针对性进行耗材的采购。</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3.1.1.4医疗门诊预约</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机关门诊所目前仅有市医保系统，缺乏智慧医疗信息系统，门诊管理和患者就医存在诸多不便。在系统中设置医疗门诊功能模块，改善诊疗秩序。一是提供门诊预约功能，管理员设置可预约时间批次、预约人数和专家门诊预约号，患者在系统中预约体检，即时查看预约结果，可有效避免门诊拥挤排队时间过长的问题；二是提供健康档案功能，将产生的体检数据接入系统，形成电子报告，患者可在系统中随时查看体检报告，进一步提升医疗服务水平。</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1）在线预约</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预约人进入 app,填写个人信息，选择体检时间，报告获取方式，在预约内的时间前往门诊部进行职工体检，通过预约错开高峰体检时间，减少员工的等待时间</w:t>
      </w:r>
      <w:r>
        <w:rPr>
          <w:rFonts w:hint="eastAsia" w:ascii="宋体" w:hAnsi="宋体"/>
          <w:color w:val="000000"/>
          <w:sz w:val="24"/>
          <w:szCs w:val="24"/>
          <w:highlight w:val="none"/>
        </w:rPr>
        <w:t xml:space="preserve">。</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2）预约管理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后台编辑可预约的时间段及可预约的人次，减少门诊的压力，减少员工排队等待时间。</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3.1.1.5公物仓管理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为进一步推动国有资产共享共用，让闲置资产变废为宝、盘活利旧，拟在系统中设置公物仓管理功能模块。一是对公物仓物品进行线上管理，资产出入库数据实时录入系统，包括资产名称、新旧程度、资产估值可调剂范围等，系统后台掌握资产信息、供需调剂等数据</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二是提供线上使用申请，各单位可通过系统查询全市可调剂资产情况，查看资产的调剂使用成本，线上一键填写申请表格，实时查看资产调剂进度，使静态资产变动态资源，提高资产循环利用率，实现公物仓全流程云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1）申请</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员工在 app上申请物资申请，由后台审批，审批通过后，由管理人员进行出入库的操作。</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2）物资管理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在后台将公物入库，记录物品的类别、规格、库存等信息。</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3）出入库管理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出入库时，记录每次出入的时间，数量，若出库，除记录操作人员，同时记录领取人员信息，便于物资的管理操作。</w:t>
      </w:r>
      <w:r/>
    </w:p>
    <w:p>
      <w:pPr>
        <w:pStyle w:val="712"/>
        <w:jc w:val="both"/>
        <w:spacing w:before="0" w:after="0" w:line="480" w:lineRule="auto"/>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3.1.1.6</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lang w:eastAsia="zh-CN"/>
        </w:rPr>
        <w:t xml:space="preserve">幼儿园报名</w:t>
      </w:r>
      <w:r/>
    </w:p>
    <w:p>
      <w:pPr>
        <w:pStyle w:val="723"/>
        <w:ind w:firstLine="480"/>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设置机关幼儿园报名模块，家长在线填报相关报名表格，上传相关证明材料，管理人员在后台统一导出报名材料审核。</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3.1.1.7</w:t>
      </w:r>
      <w:r>
        <w:rPr>
          <w:rFonts w:hint="eastAsia" w:ascii="宋体" w:hAnsi="宋体" w:eastAsia="宋体"/>
          <w:color w:val="000000"/>
          <w:sz w:val="24"/>
          <w:szCs w:val="24"/>
          <w:highlight w:val="none"/>
        </w:rPr>
        <w:t xml:space="preserve">意见征集与信息发布</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在系统中设置意见征集模块，定期发布线上征集调查， 邀请机关干部对机关事务工作提出意见建议，管理员将收集的意见建议按照“一件一单”分配给相应部门，落实责任到人，及时改进并向机关干部反馈。同时设置信息发布功能，及时发布机关事务相关通知信息，如单位搬迁、水电维修、施工改造等通知，方便机关干部第一时间知晓相关信息，提高工作透明度。</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1）信息发布</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机关人员查看由管理员发送的各类信息，也可以在 app 中填写各类意见，由后台解答。</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2）意见</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后台查看回答意见或将意见分配给其他人员解答回复</w:t>
      </w:r>
      <w:r/>
    </w:p>
    <w:p>
      <w:pPr>
        <w:pStyle w:val="712"/>
        <w:jc w:val="both"/>
        <w:spacing w:before="12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3.1.1.</w:t>
      </w: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访客系统</w:t>
      </w:r>
      <w:r/>
    </w:p>
    <w:p>
      <w:pPr>
        <w:pStyle w:val="723"/>
        <w:ind w:firstLine="480"/>
        <w:spacing w:line="360" w:lineRule="auto"/>
        <w:rPr>
          <w:rFonts w:ascii="宋体" w:hAnsi="宋体"/>
          <w:color w:val="auto"/>
          <w:sz w:val="24"/>
          <w:szCs w:val="24"/>
          <w:highlight w:val="none"/>
        </w:rPr>
      </w:pPr>
      <w:r>
        <w:rPr>
          <w:rFonts w:ascii="宋体" w:hAnsi="宋体"/>
          <w:color w:val="000000"/>
          <w:sz w:val="24"/>
          <w:szCs w:val="24"/>
          <w:highlight w:val="none"/>
        </w:rPr>
        <w:t xml:space="preserve">访客申请功</w:t>
      </w:r>
      <w:r>
        <w:rPr>
          <w:rFonts w:ascii="宋体" w:hAnsi="宋体"/>
          <w:color w:val="auto"/>
          <w:sz w:val="24"/>
          <w:szCs w:val="24"/>
          <w:highlight w:val="none"/>
        </w:rPr>
        <w:t xml:space="preserve">能，各单位可为访客人员申请机关办公区访客权限，填报访客信息、 访问时间、访问事由和被访人信息，管理员审核通过后，访客人员获得验证码，由门口保卫处扫码获得通行资格，保障通行人员身份认证的可靠性与通行效率，进一步提升机关安全水平。</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1）访客预约</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访问人员通过二维码扫码填写访问申请，由被访人或管理人员审核通过后，获取通行码。</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2）预约审批</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被访者在 app 中查看访问人员信息，点击确定，允许访问。</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3）后台管理</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后台统计访客记录， 便于统计访问数据。</w:t>
      </w:r>
      <w:r/>
    </w:p>
    <w:p>
      <w:pPr>
        <w:pStyle w:val="712"/>
        <w:jc w:val="both"/>
        <w:spacing w:before="0" w:after="0" w:line="48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3.2开发环境要求</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本项目原则上基于市政务云进行部署，</w:t>
      </w:r>
      <w:r>
        <w:rPr>
          <w:rFonts w:hint="eastAsia" w:ascii="宋体" w:hAnsi="宋体"/>
          <w:color w:val="auto"/>
          <w:sz w:val="24"/>
          <w:szCs w:val="24"/>
          <w:highlight w:val="none"/>
        </w:rPr>
        <w:t xml:space="preserve">在信创环境下开发</w:t>
      </w:r>
      <w:r>
        <w:rPr>
          <w:rFonts w:ascii="宋体" w:hAnsi="宋体"/>
          <w:color w:val="auto"/>
          <w:sz w:val="24"/>
          <w:szCs w:val="24"/>
          <w:highlight w:val="none"/>
        </w:rPr>
        <w:t xml:space="preserve">。市政务云提供了高度集成和可伸缩的基础设施，可以满足机关数字机关大院信息系统的性能要求。同时市政务云提供了大量资源来保障数据和系统的安全性，包括物理安全措施、网络安全、身份验证和访问控制，以及安全审计等。项目将受益于这些安全性能力，确保敏感数据和操作的保护。</w:t>
      </w:r>
      <w:r/>
    </w:p>
    <w:p>
      <w:pPr>
        <w:pStyle w:val="723"/>
        <w:ind w:firstLine="480"/>
        <w:spacing w:line="360" w:lineRule="auto"/>
        <w:rPr>
          <w:rFonts w:ascii="宋体" w:hAnsi="宋体"/>
          <w:color w:val="auto"/>
          <w:sz w:val="24"/>
          <w:szCs w:val="24"/>
          <w:highlight w:val="yellow"/>
        </w:rPr>
      </w:pPr>
      <w:r>
        <w:rPr>
          <w:rFonts w:hint="eastAsia" w:ascii="宋体" w:hAnsi="宋体"/>
          <w:color w:val="auto"/>
          <w:sz w:val="24"/>
          <w:szCs w:val="24"/>
          <w:highlight w:val="none"/>
        </w:rPr>
        <w:t xml:space="preserve">本项目相关系统软件资源</w:t>
      </w:r>
      <w:r>
        <w:rPr>
          <w:rFonts w:ascii="宋体" w:hAnsi="宋体"/>
          <w:color w:val="auto"/>
          <w:sz w:val="24"/>
          <w:szCs w:val="24"/>
          <w:highlight w:val="none"/>
        </w:rPr>
        <w:t xml:space="preserve">，包括存储设备、网络设备等，将统一纳入市政务云管理。</w:t>
      </w:r>
      <w:r>
        <w:rPr>
          <w:rFonts w:hint="eastAsia" w:ascii="宋体" w:hAnsi="宋体"/>
          <w:strike w:val="0"/>
          <w:color w:val="auto"/>
          <w:sz w:val="24"/>
          <w:szCs w:val="24"/>
          <w:highlight w:val="none"/>
          <w:lang w:eastAsia="zh-CN"/>
        </w:rPr>
        <w:t xml:space="preserve">相关</w:t>
      </w:r>
      <w:r>
        <w:rPr>
          <w:rFonts w:ascii="宋体" w:hAnsi="宋体"/>
          <w:color w:val="auto"/>
          <w:sz w:val="24"/>
          <w:szCs w:val="24"/>
          <w:highlight w:val="none"/>
        </w:rPr>
        <w:t xml:space="preserve">资源的规格和性能应根据系统负载和可用性要求进行合理配置。</w:t>
      </w:r>
      <w:r/>
    </w:p>
    <w:p>
      <w:pPr>
        <w:pStyle w:val="723"/>
        <w:rPr>
          <w:color w:val="000000"/>
          <w:highlight w:val="yellow"/>
        </w:rPr>
      </w:pPr>
      <w:r>
        <w:rPr>
          <w:color w:val="000000"/>
          <w:highlight w:val="yellow"/>
        </w:rPr>
      </w:r>
      <w:r/>
    </w:p>
    <w:p>
      <w:pPr>
        <w:pStyle w:val="711"/>
        <w:jc w:val="both"/>
        <w:keepLines/>
        <w:spacing w:line="720" w:lineRule="auto"/>
        <w:widowControl/>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4、数据共享开放</w:t>
      </w:r>
      <w:r/>
    </w:p>
    <w:p>
      <w:pPr>
        <w:pStyle w:val="723"/>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本次项目集成现有各管线平台，将机关大院的主要门禁、食堂、用车等关键业务服务集成到统一服务入口，形成统一门户。</w:t>
      </w:r>
      <w:r/>
    </w:p>
    <w:p>
      <w:pPr>
        <w:pStyle w:val="712"/>
        <w:jc w:val="both"/>
        <w:spacing w:before="0" w:after="0" w:line="480" w:lineRule="auto"/>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4.1项目产生和需要的数据</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公车服务需要：车辆信息、司机信息、出车时间表等；</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会议服务：会议室信息，会议室准用时间等；</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门诊服务：医护人员信息、医护人员排班表等；</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食堂服务：账户、提供食物种类、食物价格等；</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安保服务：所有员工的准入信息等。</w:t>
      </w:r>
      <w:r/>
    </w:p>
    <w:p>
      <w:pPr>
        <w:pStyle w:val="712"/>
        <w:jc w:val="both"/>
        <w:spacing w:before="0" w:after="0" w:line="480" w:lineRule="auto"/>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4.2项目数据资源目录</w:t>
      </w:r>
      <w:r/>
    </w:p>
    <w:p>
      <w:pPr>
        <w:pStyle w:val="712"/>
        <w:jc w:val="both"/>
        <w:spacing w:before="0" w:after="0" w:line="480" w:lineRule="auto"/>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4.2.1可提供的数据</w:t>
      </w:r>
      <w:r/>
    </w:p>
    <w:p>
      <w:pPr>
        <w:pStyle w:val="723"/>
        <w:numPr>
          <w:ilvl w:val="0"/>
          <w:numId w:val="4"/>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数据资源名称：食堂订餐；</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资源描述：每日菜品、订餐预约、统计报表、送达提示；</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数据项名称：菜品名称、菜品价格、订餐人姓名、订餐人联系地址、订餐人联系方式、订单状态、订单时间、送餐人名称、送餐人联系方式、送达时间等。</w:t>
      </w:r>
      <w:r/>
    </w:p>
    <w:p>
      <w:pPr>
        <w:pStyle w:val="723"/>
        <w:numPr>
          <w:ilvl w:val="0"/>
          <w:numId w:val="5"/>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数据资源名称：会议室预约；</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资源描述：会议室增删、会议室状态、会议室预约、取消预约；</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数据项名称：会议室名称、会议室规模、会议室地点、可预约时间段、预约人员、预约缘由、预约状态、审核状态等。</w:t>
      </w:r>
      <w:r/>
    </w:p>
    <w:p>
      <w:pPr>
        <w:pStyle w:val="723"/>
        <w:numPr>
          <w:ilvl w:val="0"/>
          <w:numId w:val="6"/>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数据资源名称：设备报修；</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资源描述：事件上报、报修报表、处理评价；</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数据项名称：报修类型、报修详情、报修人员、报修时间、检修人员、反馈结果、反馈时间、评价详情等。</w:t>
      </w:r>
      <w:r/>
    </w:p>
    <w:p>
      <w:pPr>
        <w:pStyle w:val="723"/>
        <w:numPr>
          <w:ilvl w:val="0"/>
          <w:numId w:val="7"/>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数据资源名称：门诊预约；</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资源描述：批次设定、预约表、改签；</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数据项名称：预约类型、预约时间、预约人员姓名、预约人员身份证号、预约人员联系方式、可预约时间段、可预约类型等。</w:t>
      </w:r>
      <w:r/>
    </w:p>
    <w:p>
      <w:pPr>
        <w:pStyle w:val="723"/>
        <w:numPr>
          <w:ilvl w:val="0"/>
          <w:numId w:val="8"/>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数据资源名称：安保访客；</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资源描述：身份识别、数据统计、黑名单管理；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数据项名称：访客姓名、访客单位、到访开始时间 到访结束时间、到访地址、 被访人、来访目的、车牌号、随行人员等。</w:t>
      </w:r>
      <w:r/>
    </w:p>
    <w:p>
      <w:pPr>
        <w:pStyle w:val="723"/>
        <w:numPr>
          <w:ilvl w:val="0"/>
          <w:numId w:val="8"/>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数据资源名称：意见征集；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资源描述：收集大院内意见针对某事某物的反馈征集的信息；</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数据项名称：意见方向、意见详情、意见提出人员等。</w:t>
      </w:r>
      <w:r/>
    </w:p>
    <w:p>
      <w:pPr>
        <w:pStyle w:val="723"/>
        <w:numPr>
          <w:ilvl w:val="0"/>
          <w:numId w:val="8"/>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数据资源名称：信息发布；</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资源描述：大院内的相关通知消息的推送；</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数据项名称：信息类型、信息标题、发布时间、发布受众等。</w:t>
      </w:r>
      <w:r/>
    </w:p>
    <w:p>
      <w:pPr>
        <w:pStyle w:val="723"/>
        <w:numPr>
          <w:ilvl w:val="0"/>
          <w:numId w:val="8"/>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数据资源名称：机关大院门禁管理；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资源描述：收集大院人脸、车辆信息，实现人员车辆无感进出；</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数据项名称：姓名、性别、手机号、车牌、单位名称等。</w:t>
      </w:r>
      <w:r/>
    </w:p>
    <w:tbl>
      <w:tblPr>
        <w:tblStyle w:val="721"/>
        <w:tblW w:w="1055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709"/>
        <w:gridCol w:w="1134"/>
        <w:gridCol w:w="2552"/>
        <w:gridCol w:w="663"/>
        <w:gridCol w:w="896"/>
        <w:gridCol w:w="709"/>
        <w:gridCol w:w="992"/>
        <w:gridCol w:w="709"/>
        <w:gridCol w:w="1701"/>
      </w:tblGrid>
      <w:tr>
        <w:trPr>
          <w:jc w:val="center"/>
        </w:trPr>
        <w:tc>
          <w:tcPr>
            <w:tcW w:w="488"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数据资源名称</w:t>
            </w:r>
            <w:r/>
          </w:p>
        </w:tc>
        <w:tc>
          <w:tcPr>
            <w:tcW w:w="1134"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资源</w:t>
            </w:r>
            <w:r/>
          </w:p>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描述</w:t>
            </w:r>
            <w:r/>
          </w:p>
        </w:tc>
        <w:tc>
          <w:tcPr>
            <w:tcW w:w="2552"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数据项名称</w:t>
            </w:r>
            <w:r/>
          </w:p>
        </w:tc>
        <w:tc>
          <w:tcPr>
            <w:tcW w:w="663"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更新周期</w:t>
            </w:r>
            <w:r/>
          </w:p>
        </w:tc>
        <w:tc>
          <w:tcPr>
            <w:gridSpan w:val="2"/>
            <w:tcW w:w="1605"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共享属性</w:t>
            </w:r>
            <w:r/>
          </w:p>
        </w:tc>
        <w:tc>
          <w:tcPr>
            <w:gridSpan w:val="2"/>
            <w:tcW w:w="1701"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开放属性</w:t>
            </w:r>
            <w:r/>
          </w:p>
        </w:tc>
        <w:tc>
          <w:tcPr>
            <w:tcW w:w="1701"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不共享和开放的理由和依据</w:t>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共享</w:t>
            </w:r>
            <w:r/>
          </w:p>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类型</w:t>
            </w:r>
            <w:r/>
          </w:p>
        </w:tc>
        <w:tc>
          <w:tcPr>
            <w:tcW w:w="709"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共享方式</w:t>
            </w:r>
            <w:r/>
          </w:p>
        </w:tc>
        <w:tc>
          <w:tcPr>
            <w:tcW w:w="992"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是否向社会</w:t>
            </w:r>
            <w:r/>
          </w:p>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开放</w:t>
            </w:r>
            <w:r/>
          </w:p>
        </w:tc>
        <w:tc>
          <w:tcPr>
            <w:tcW w:w="709" w:type="dxa"/>
            <w:vAlign w:val="center"/>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开放条件</w:t>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709" w:type="dxa"/>
            <w:vAlign w:val="center"/>
            <w:vMerge w:val="restart"/>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食堂订餐</w:t>
            </w:r>
            <w:r/>
          </w:p>
        </w:tc>
        <w:tc>
          <w:tcPr>
            <w:tcW w:w="1134"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每日菜品订餐预约统计报表送达提示</w:t>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时间</w:t>
            </w:r>
            <w:r/>
          </w:p>
        </w:tc>
        <w:tc>
          <w:tcPr>
            <w:tcW w:w="663"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每天</w:t>
            </w:r>
            <w:r/>
          </w:p>
        </w:tc>
        <w:tc>
          <w:tcPr>
            <w:tcW w:w="896"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不予共享</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restart"/>
            <w:textDirection w:val="lrTb"/>
            <w:noWrap w:val="false"/>
          </w:tcPr>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主要面向机关内部人员，订餐产生的数据不长期留存，共享和开放意义不大</w:t>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菜品 名称</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菜品价格</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订餐人员姓名</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订餐人员地址</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订餐人员联系方式</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订餐状态</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送餐人员名称</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送餐人联系方式</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送达时间</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会议室预约</w:t>
            </w:r>
            <w:r/>
          </w:p>
        </w:tc>
        <w:tc>
          <w:tcPr>
            <w:tcW w:w="1134" w:type="dxa"/>
            <w:vAlign w:val="center"/>
            <w:vMerge w:val="restart"/>
            <w:textDirection w:val="lrTb"/>
            <w:noWrap w:val="false"/>
          </w:tcPr>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会议室增删</w:t>
            </w:r>
            <w:r/>
          </w:p>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会议室状态</w:t>
            </w:r>
            <w:r/>
          </w:p>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会议室预约</w:t>
            </w:r>
            <w:r/>
          </w:p>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取消预约</w:t>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会议室名称</w:t>
            </w:r>
            <w:r/>
          </w:p>
        </w:tc>
        <w:tc>
          <w:tcPr>
            <w:tcW w:w="663"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每天</w:t>
            </w:r>
            <w:r/>
          </w:p>
        </w:tc>
        <w:tc>
          <w:tcPr>
            <w:tcW w:w="896"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有条件</w:t>
            </w:r>
            <w:r/>
          </w:p>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共享</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文件</w:t>
            </w:r>
            <w:r/>
          </w:p>
        </w:tc>
        <w:tc>
          <w:tcPr>
            <w:tcW w:w="992"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restart"/>
            <w:textDirection w:val="lrTb"/>
            <w:noWrap w:val="false"/>
          </w:tcPr>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数据可共享给 部分单位用于 统计基层减负情况，因属于机关内部数据不开放给社会</w:t>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会议室规模</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会议室地点</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可预约时间段</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预约人员</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预约缘由</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预约状态</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审核状态</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报修</w:t>
            </w:r>
            <w:r/>
          </w:p>
        </w:tc>
        <w:tc>
          <w:tcPr>
            <w:tcW w:w="1134"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事件上报报修报表处理评价</w:t>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报修时间</w:t>
            </w:r>
            <w:r/>
          </w:p>
        </w:tc>
        <w:tc>
          <w:tcPr>
            <w:tcW w:w="663"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每天</w:t>
            </w:r>
            <w:r/>
          </w:p>
        </w:tc>
        <w:tc>
          <w:tcPr>
            <w:tcW w:w="896"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有条件共享</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文件</w:t>
            </w:r>
            <w:r/>
          </w:p>
        </w:tc>
        <w:tc>
          <w:tcPr>
            <w:tcW w:w="992"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restart"/>
            <w:textDirection w:val="lrTb"/>
            <w:noWrap w:val="false"/>
          </w:tcPr>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数据可共享给 部分单位用于 统计办公用房维修情况，因属于机关内部数据不开放给社会</w:t>
            </w:r>
            <w:r/>
          </w:p>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报修类型</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报修详情</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保修人员</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反馈时间</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反馈结果</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检修人员</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评价详情</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门诊预约</w:t>
            </w:r>
            <w:r/>
          </w:p>
        </w:tc>
        <w:tc>
          <w:tcPr>
            <w:tcW w:w="1134" w:type="dxa"/>
            <w:vAlign w:val="center"/>
            <w:vMerge w:val="restart"/>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批次设定预约表改签</w:t>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预约类型</w:t>
            </w:r>
            <w:r/>
          </w:p>
        </w:tc>
        <w:tc>
          <w:tcPr>
            <w:tcW w:w="663"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每天</w:t>
            </w:r>
            <w:r/>
          </w:p>
        </w:tc>
        <w:tc>
          <w:tcPr>
            <w:tcW w:w="896"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不予</w:t>
            </w:r>
            <w:r/>
          </w:p>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分享</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restart"/>
            <w:textDirection w:val="lrTb"/>
            <w:noWrap w:val="false"/>
          </w:tcPr>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医疗数据涉及 个人隐私，不共享不开放</w:t>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预约时间</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预约人员姓名</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预约人员身份证号</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预约人员联系方式</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可预约时间段</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可预约类型</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安保访客</w:t>
            </w:r>
            <w:r/>
          </w:p>
        </w:tc>
        <w:tc>
          <w:tcPr>
            <w:tcW w:w="1134" w:type="dxa"/>
            <w:vAlign w:val="center"/>
            <w:vMerge w:val="restart"/>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身份识别数据统计黑名单管理</w:t>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访客姓名</w:t>
            </w:r>
            <w:r/>
          </w:p>
        </w:tc>
        <w:tc>
          <w:tcPr>
            <w:tcW w:w="663"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每天</w:t>
            </w:r>
            <w:r/>
          </w:p>
        </w:tc>
        <w:tc>
          <w:tcPr>
            <w:tcW w:w="896"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不予</w:t>
            </w:r>
            <w:r/>
          </w:p>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共享</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restart"/>
            <w:textDirection w:val="lrTb"/>
            <w:noWrap w:val="false"/>
          </w:tcPr>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机关安保访客信息属于敏感信息，不共享不开放</w:t>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访客单位</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预留字段</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预留字段</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到访开始时间</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到访结束时间</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到访地址</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left"/>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被访人</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来访目的</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车牌号</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随行人员</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意见征集</w:t>
            </w:r>
            <w:r/>
          </w:p>
        </w:tc>
        <w:tc>
          <w:tcPr>
            <w:tcW w:w="1134"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意见方向</w:t>
            </w:r>
            <w:r/>
          </w:p>
        </w:tc>
        <w:tc>
          <w:tcPr>
            <w:tcW w:w="663"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定期</w:t>
            </w:r>
            <w:r/>
          </w:p>
        </w:tc>
        <w:tc>
          <w:tcPr>
            <w:tcW w:w="896"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有条件共享</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文件</w:t>
            </w:r>
            <w:r/>
          </w:p>
        </w:tc>
        <w:tc>
          <w:tcPr>
            <w:tcW w:w="992"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restart"/>
            <w:textDirection w:val="lrTb"/>
            <w:noWrap w:val="false"/>
          </w:tcPr>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数据可共享给部分单位用于了解机关干部职工意见建议，机关内部信息不向社会开放</w:t>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意见详情</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意见提出人员</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信息发布</w:t>
            </w:r>
            <w:r/>
          </w:p>
        </w:tc>
        <w:tc>
          <w:tcPr>
            <w:tcW w:w="1134"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信息类型</w:t>
            </w:r>
            <w:r/>
          </w:p>
        </w:tc>
        <w:tc>
          <w:tcPr>
            <w:tcW w:w="663"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定期</w:t>
            </w:r>
            <w:r/>
          </w:p>
        </w:tc>
        <w:tc>
          <w:tcPr>
            <w:tcW w:w="896"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有条件共享</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文件</w:t>
            </w:r>
            <w:r/>
          </w:p>
        </w:tc>
        <w:tc>
          <w:tcPr>
            <w:tcW w:w="992"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restart"/>
            <w:textDirection w:val="lrTb"/>
            <w:noWrap w:val="false"/>
          </w:tcPr>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数据共享给其 他部门，机关内部信息不向社会开放</w:t>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信息标题</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发布时间</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发布受众</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Pr>
        <w:tc>
          <w:tcPr>
            <w:tcW w:w="488"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大院门禁系统</w:t>
            </w:r>
            <w:r/>
          </w:p>
        </w:tc>
        <w:tc>
          <w:tcPr>
            <w:tcW w:w="1134" w:type="dxa"/>
            <w:vAlign w:val="center"/>
            <w:vMerge w:val="restart"/>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收集大人脸、车辆信息，实现人员车辆无感进出</w:t>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姓名</w:t>
            </w:r>
            <w:r/>
          </w:p>
        </w:tc>
        <w:tc>
          <w:tcPr>
            <w:tcW w:w="663"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实时</w:t>
            </w:r>
            <w:r/>
          </w:p>
        </w:tc>
        <w:tc>
          <w:tcPr>
            <w:tcW w:w="896"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不予</w:t>
            </w:r>
            <w:r/>
          </w:p>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共享</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否</w:t>
            </w:r>
            <w:r/>
          </w:p>
        </w:tc>
        <w:tc>
          <w:tcPr>
            <w:tcW w:w="709" w:type="dxa"/>
            <w:vAlign w:val="center"/>
            <w:vMerge w:val="restart"/>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restart"/>
            <w:textDirection w:val="lrTb"/>
            <w:noWrap w:val="false"/>
          </w:tcPr>
          <w:p>
            <w:pPr>
              <w:pStyle w:val="723"/>
              <w:ind w:firstLine="0"/>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国安局对政府 机关有特殊要求，不允许外 网与安防系统主机相连接</w:t>
            </w:r>
            <w:r/>
          </w:p>
        </w:tc>
      </w:tr>
      <w:tr>
        <w:trPr>
          <w:jc w:val="center"/>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性别</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241"/>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left"/>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手机号</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241"/>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left"/>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车牌</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r>
        <w:trPr>
          <w:jc w:val="center"/>
          <w:trHeight w:val="381"/>
        </w:trPr>
        <w:tc>
          <w:tcPr>
            <w:tcW w:w="488"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134" w:type="dxa"/>
            <w:vAlign w:val="center"/>
            <w:vMerge w:val="continue"/>
            <w:textDirection w:val="lrTb"/>
            <w:noWrap w:val="false"/>
          </w:tcPr>
          <w:p>
            <w:pPr>
              <w:pStyle w:val="723"/>
              <w:ind w:firstLine="0"/>
              <w:jc w:val="left"/>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2552" w:type="dxa"/>
            <w:vAlign w:val="center"/>
            <w:textDirection w:val="lrTb"/>
            <w:noWrap w:val="false"/>
          </w:tcPr>
          <w:p>
            <w:pPr>
              <w:pStyle w:val="723"/>
              <w:ind w:firstLine="0"/>
              <w:jc w:val="left"/>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单位名称</w:t>
            </w:r>
            <w:r/>
          </w:p>
        </w:tc>
        <w:tc>
          <w:tcPr>
            <w:tcW w:w="663"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896"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992"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709"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c>
          <w:tcPr>
            <w:tcW w:w="1701" w:type="dxa"/>
            <w:vAlign w:val="center"/>
            <w:vMerge w:val="continue"/>
            <w:textDirection w:val="lrTb"/>
            <w:noWrap w:val="false"/>
          </w:tcPr>
          <w:p>
            <w:pPr>
              <w:pStyle w:val="723"/>
              <w:ind w:firstLine="0"/>
              <w:jc w:val="center"/>
              <w:spacing w:line="360" w:lineRule="exact"/>
              <w:rPr>
                <w:rFonts w:ascii="宋体" w:hAnsi="宋体"/>
                <w:color w:val="000000"/>
                <w:sz w:val="24"/>
                <w:szCs w:val="24"/>
                <w:highlight w:val="none"/>
              </w:rPr>
            </w:pPr>
            <w:r>
              <w:rPr>
                <w:rFonts w:ascii="宋体" w:hAnsi="宋体"/>
                <w:color w:val="000000"/>
                <w:sz w:val="24"/>
                <w:szCs w:val="24"/>
                <w:highlight w:val="none"/>
              </w:rPr>
            </w:r>
            <w:r/>
          </w:p>
        </w:tc>
      </w:tr>
    </w:tbl>
    <w:p>
      <w:pPr>
        <w:pStyle w:val="712"/>
        <w:jc w:val="both"/>
        <w:spacing w:before="120" w:after="0" w:line="480" w:lineRule="auto"/>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4.2.2可共享和开放的数据服务能力和方式</w:t>
      </w:r>
      <w:r/>
    </w:p>
    <w:p>
      <w:pPr>
        <w:pStyle w:val="723"/>
        <w:numPr>
          <w:ilvl w:val="0"/>
          <w:numId w:val="8"/>
        </w:numPr>
        <w:spacing w:line="360" w:lineRule="auto"/>
        <w:rPr>
          <w:rFonts w:ascii="宋体" w:hAnsi="宋体"/>
          <w:color w:val="000000"/>
          <w:sz w:val="24"/>
          <w:szCs w:val="24"/>
          <w:highlight w:val="none"/>
        </w:rPr>
      </w:pPr>
      <w:r>
        <w:rPr>
          <w:rFonts w:ascii="宋体" w:hAnsi="宋体"/>
          <w:color w:val="000000"/>
          <w:sz w:val="24"/>
          <w:szCs w:val="24"/>
          <w:highlight w:val="none"/>
        </w:rPr>
        <w:t xml:space="preserve">会议室预约</w:t>
      </w:r>
      <w:r/>
    </w:p>
    <w:p>
      <w:pPr>
        <w:pStyle w:val="723"/>
        <w:ind w:left="900" w:firstLine="0"/>
        <w:spacing w:line="360" w:lineRule="auto"/>
        <w:rPr>
          <w:rFonts w:ascii="宋体" w:hAnsi="宋体"/>
          <w:color w:val="000000"/>
          <w:sz w:val="24"/>
          <w:szCs w:val="24"/>
          <w:highlight w:val="none"/>
        </w:rPr>
      </w:pPr>
      <w:r>
        <w:rPr>
          <w:rFonts w:ascii="宋体" w:hAnsi="宋体"/>
          <w:color w:val="000000"/>
          <w:sz w:val="24"/>
          <w:szCs w:val="24"/>
          <w:highlight w:val="none"/>
        </w:rPr>
        <w:t xml:space="preserve">数据可共享给部分单位用于统计基层减负情况，因属于机关内部数据不开放</w:t>
      </w:r>
      <w:r/>
    </w:p>
    <w:p>
      <w:pPr>
        <w:pStyle w:val="723"/>
        <w:spacing w:line="360" w:lineRule="auto"/>
        <w:rPr>
          <w:rFonts w:ascii="宋体" w:hAnsi="宋体"/>
          <w:color w:val="000000"/>
          <w:sz w:val="24"/>
          <w:szCs w:val="24"/>
          <w:highlight w:val="none"/>
        </w:rPr>
      </w:pPr>
      <w:r>
        <w:rPr>
          <w:rFonts w:ascii="宋体" w:hAnsi="宋体"/>
          <w:color w:val="000000"/>
          <w:sz w:val="24"/>
          <w:szCs w:val="24"/>
          <w:highlight w:val="none"/>
        </w:rPr>
        <w:t xml:space="preserve">给社会。</w:t>
      </w:r>
      <w:r/>
    </w:p>
    <w:p>
      <w:pPr>
        <w:pStyle w:val="723"/>
        <w:numPr>
          <w:ilvl w:val="0"/>
          <w:numId w:val="8"/>
        </w:numPr>
        <w:spacing w:line="360" w:lineRule="auto"/>
        <w:rPr>
          <w:rFonts w:ascii="宋体" w:hAnsi="宋体"/>
          <w:color w:val="000000"/>
          <w:sz w:val="24"/>
          <w:szCs w:val="24"/>
          <w:highlight w:val="none"/>
        </w:rPr>
      </w:pPr>
      <w:r>
        <w:rPr>
          <w:rFonts w:ascii="宋体" w:hAnsi="宋体"/>
          <w:color w:val="000000"/>
          <w:sz w:val="24"/>
          <w:szCs w:val="24"/>
          <w:highlight w:val="none"/>
        </w:rPr>
        <w:t xml:space="preserve">保修</w:t>
      </w:r>
      <w:r/>
    </w:p>
    <w:p>
      <w:pPr>
        <w:pStyle w:val="723"/>
        <w:ind w:left="900" w:firstLine="0"/>
        <w:spacing w:line="360" w:lineRule="auto"/>
        <w:rPr>
          <w:rFonts w:ascii="宋体" w:hAnsi="宋体"/>
          <w:color w:val="000000"/>
          <w:sz w:val="24"/>
          <w:szCs w:val="24"/>
          <w:highlight w:val="none"/>
        </w:rPr>
      </w:pPr>
      <w:r>
        <w:rPr>
          <w:rFonts w:ascii="宋体" w:hAnsi="宋体"/>
          <w:color w:val="000000"/>
          <w:sz w:val="24"/>
          <w:szCs w:val="24"/>
          <w:highlight w:val="none"/>
        </w:rPr>
        <w:t xml:space="preserve">数据可共享给部分单位用于统计办公用房维修情况，因属于机关内部数据不</w:t>
      </w:r>
      <w:r/>
    </w:p>
    <w:p>
      <w:pPr>
        <w:pStyle w:val="723"/>
        <w:spacing w:line="360" w:lineRule="auto"/>
        <w:rPr>
          <w:rFonts w:ascii="宋体" w:hAnsi="宋体"/>
          <w:color w:val="000000"/>
          <w:sz w:val="24"/>
          <w:szCs w:val="24"/>
          <w:highlight w:val="none"/>
        </w:rPr>
      </w:pPr>
      <w:r>
        <w:rPr>
          <w:rFonts w:ascii="宋体" w:hAnsi="宋体"/>
          <w:color w:val="000000"/>
          <w:sz w:val="24"/>
          <w:szCs w:val="24"/>
          <w:highlight w:val="none"/>
        </w:rPr>
        <w:t xml:space="preserve">开放给社会。</w:t>
      </w:r>
      <w:r/>
    </w:p>
    <w:p>
      <w:pPr>
        <w:pStyle w:val="723"/>
        <w:numPr>
          <w:ilvl w:val="0"/>
          <w:numId w:val="8"/>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意见征集</w:t>
      </w:r>
      <w:r/>
    </w:p>
    <w:p>
      <w:pPr>
        <w:pStyle w:val="723"/>
        <w:ind w:left="480"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数据可共享给部分单位用于了解机关干部职工意见建议，机关内部信息不向社会开放。</w:t>
      </w:r>
      <w:r/>
    </w:p>
    <w:p>
      <w:pPr>
        <w:pStyle w:val="723"/>
        <w:numPr>
          <w:ilvl w:val="0"/>
          <w:numId w:val="8"/>
        </w:numPr>
        <w:spacing w:line="360" w:lineRule="auto"/>
        <w:rPr>
          <w:rFonts w:ascii="宋体" w:hAnsi="宋体"/>
          <w:color w:val="000000"/>
          <w:sz w:val="24"/>
          <w:szCs w:val="24"/>
          <w:highlight w:val="none"/>
        </w:rPr>
      </w:pPr>
      <w:r>
        <w:rPr>
          <w:rFonts w:ascii="宋体" w:hAnsi="宋体"/>
          <w:color w:val="000000"/>
          <w:sz w:val="24"/>
          <w:szCs w:val="24"/>
          <w:highlight w:val="none"/>
        </w:rPr>
        <w:t xml:space="preserve">信息发布</w:t>
      </w:r>
      <w:r/>
    </w:p>
    <w:p>
      <w:pPr>
        <w:pStyle w:val="723"/>
        <w:ind w:left="900" w:firstLine="0"/>
        <w:spacing w:line="360" w:lineRule="auto"/>
        <w:rPr>
          <w:rFonts w:ascii="宋体" w:hAnsi="宋体"/>
          <w:color w:val="000000"/>
          <w:sz w:val="24"/>
          <w:szCs w:val="24"/>
          <w:highlight w:val="none"/>
        </w:rPr>
      </w:pPr>
      <w:r>
        <w:rPr>
          <w:rFonts w:ascii="宋体" w:hAnsi="宋体"/>
          <w:color w:val="000000"/>
          <w:sz w:val="24"/>
          <w:szCs w:val="24"/>
          <w:highlight w:val="none"/>
        </w:rPr>
        <w:t xml:space="preserve">数据共享给其他部门，机关内部信息不向社会开放。</w:t>
      </w:r>
      <w:r/>
    </w:p>
    <w:p>
      <w:pPr>
        <w:pStyle w:val="711"/>
        <w:jc w:val="both"/>
        <w:keepLines/>
        <w:spacing w:line="720" w:lineRule="auto"/>
        <w:widowControl/>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5、信息安全</w:t>
      </w:r>
      <w:r/>
    </w:p>
    <w:p>
      <w:pPr>
        <w:pStyle w:val="712"/>
        <w:jc w:val="both"/>
        <w:spacing w:before="0" w:after="0" w:line="480" w:lineRule="auto"/>
        <w:widowControl/>
        <w:rPr>
          <w:rFonts w:ascii="宋体" w:hAnsi="宋体"/>
          <w:color w:val="000000"/>
          <w:sz w:val="24"/>
          <w:szCs w:val="24"/>
          <w:highlight w:val="none"/>
        </w:rPr>
      </w:pPr>
      <w:r>
        <w:rPr>
          <w:rFonts w:hint="eastAsia" w:ascii="宋体" w:hAnsi="宋体" w:eastAsia="宋体"/>
          <w:color w:val="000000"/>
          <w:sz w:val="24"/>
          <w:szCs w:val="24"/>
          <w:highlight w:val="none"/>
        </w:rPr>
        <w:t xml:space="preserve">5.1 网络安全等级保护</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根据《信息系统安全等级保护定级指南》有关要求，拟实施</w:t>
      </w:r>
      <w:r>
        <w:rPr>
          <w:rFonts w:hint="eastAsia" w:ascii="宋体" w:hAnsi="宋体"/>
          <w:color w:val="000000"/>
          <w:sz w:val="24"/>
          <w:szCs w:val="24"/>
          <w:highlight w:val="none"/>
        </w:rPr>
        <w:t xml:space="preserve">三</w:t>
      </w:r>
      <w:r>
        <w:rPr>
          <w:rFonts w:ascii="宋体" w:hAnsi="宋体"/>
          <w:color w:val="000000"/>
          <w:sz w:val="24"/>
          <w:szCs w:val="24"/>
          <w:highlight w:val="none"/>
        </w:rPr>
        <w:t xml:space="preserve">级等保。本项目业务部署在原有公用网区进行，基于市大数据管理中心提供信息基础设施安全防护能力，保障基础的安全运营和安全运维服务。本项目的安全需求，重点关注应用安全防护和数据全生命周期的安全保障，深化安全运营。以符合法律法规为基础要求，形成“技术可落地、管理可执行、安全可运营、合规可监管”的安全保障体系，最终实现“看得见、用得好、 管得住”的安全目标。</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5.1.1 等保测评要求</w:t>
      </w:r>
      <w:r/>
    </w:p>
    <w:p>
      <w:pPr>
        <w:pStyle w:val="723"/>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由</w:t>
      </w:r>
      <w:r>
        <w:rPr>
          <w:rFonts w:hint="eastAsia" w:ascii="宋体" w:hAnsi="宋体"/>
          <w:color w:val="000000" w:themeColor="text1"/>
          <w:sz w:val="24"/>
          <w:szCs w:val="24"/>
          <w:highlight w:val="none"/>
          <w:lang w:eastAsia="zh-CN"/>
        </w:rPr>
        <w:t xml:space="preserve">中标人</w:t>
      </w:r>
      <w:r>
        <w:rPr>
          <w:rFonts w:hint="eastAsia" w:ascii="宋体" w:hAnsi="宋体"/>
          <w:color w:val="000000" w:themeColor="text1"/>
          <w:sz w:val="24"/>
          <w:szCs w:val="24"/>
          <w:highlight w:val="none"/>
        </w:rPr>
        <w:t xml:space="preserve">聘请等保专家顾问对本系统的建设情况、运行情况进行了解，从技术层面和管理层面给出整改规划，包括系统安全加固、安全策略配置、安全设备采购、安全管理制度编制等，并协助</w:t>
      </w:r>
      <w:r>
        <w:rPr>
          <w:rFonts w:hint="eastAsia" w:ascii="宋体" w:hAnsi="宋体"/>
          <w:color w:val="000000" w:themeColor="text1"/>
          <w:sz w:val="24"/>
          <w:szCs w:val="24"/>
          <w:highlight w:val="none"/>
          <w:lang w:eastAsia="zh-CN"/>
        </w:rPr>
        <w:t xml:space="preserve">中标人</w:t>
      </w:r>
      <w:r>
        <w:rPr>
          <w:rFonts w:hint="eastAsia" w:ascii="宋体" w:hAnsi="宋体"/>
          <w:color w:val="000000" w:themeColor="text1"/>
          <w:sz w:val="24"/>
          <w:szCs w:val="24"/>
          <w:highlight w:val="none"/>
        </w:rPr>
        <w:t xml:space="preserve">定级备案，对测评对象进行模拟测评，进行差距分析，根据结果进行加固整改，然后选定符合要求测评机构进行测评，并根据测评机构提出的整改建议进行整改，直至等保测评顺利通过。</w:t>
      </w:r>
      <w:r>
        <w:rPr>
          <w:color w:val="000000" w:themeColor="text1"/>
        </w:rPr>
      </w:r>
      <w:r/>
    </w:p>
    <w:p>
      <w:pPr>
        <w:pStyle w:val="723"/>
        <w:ind w:firstLine="0"/>
        <w:spacing w:line="480" w:lineRule="auto"/>
        <w:rPr>
          <w:rFonts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5.1.2 等保测评流程</w:t>
      </w:r>
      <w:r>
        <w:rPr>
          <w:color w:val="000000" w:themeColor="text1"/>
        </w:rPr>
      </w:r>
      <w:r/>
    </w:p>
    <w:p>
      <w:pPr>
        <w:pStyle w:val="723"/>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5486400" cy="655320"/>
                <wp:effectExtent l="0" t="0" r="0" b="1143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3"/>
                        <a:stretch/>
                      </pic:blipFill>
                      <pic:spPr bwMode="auto">
                        <a:xfrm>
                          <a:off x="0" y="0"/>
                          <a:ext cx="5486400"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2.0pt;height:51.6pt;mso-wrap-distance-left:0.0pt;mso-wrap-distance-top:0.0pt;mso-wrap-distance-right:0.0pt;mso-wrap-distance-bottom:0.0pt;" stroked="f">
                <v:path textboxrect="0,0,0,0"/>
                <v:imagedata r:id="rId13" o:title=""/>
              </v:shape>
            </w:pict>
          </mc:Fallback>
        </mc:AlternateConten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调研分析：调研信息系统安全现状，包括物理环境、网络环境、应用系统、管理制度等，梳理业务系统以及相关资产清单，明确信息系统的安全保护等级，首次测评协助编制定级报告。</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差异分析：由等保专家对测评对象进行一次模拟测评，根据测评要求，对系统进行安全评估，分析目标当前存在的问题，从网络、主机、应用、数据、策略、组织架构、人员、建设管理、运维管理等方面进行分析，给出差异性分析报告。</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方案设计：根据差异分析报告针对性的给出整改实施方案，包括物理环境、系统环境、安全管理制度等方面，如果需要采购安全设备的，给出采购方案。</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整改实施：由安全运维工程师以及实施工程师根据整改实施方案对目标进行整改加固，需要采购安全设备的进行采购。</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等保测评：通过全国合作渠道选定符合要求的测评机构进行测评，等保专家配合测评公司完成整个测评工作，并对测评过程中提出的问题进行整改，直至测评通过。</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项目上线之前完成信息安全等级保护备案和等级保护测评。</w:t>
      </w:r>
      <w:r/>
    </w:p>
    <w:p>
      <w:pPr>
        <w:pStyle w:val="723"/>
        <w:ind w:firstLine="0"/>
        <w:spacing w:line="48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5.1.3 等保测评周期及方法</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首次部署一次性测评</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专业的等保专家抵达现场进行等保准备以及测评协助，测评机构现场进行测评</w:t>
      </w:r>
      <w:r>
        <w:rPr>
          <w:rFonts w:hint="eastAsia" w:ascii="宋体" w:hAnsi="宋体"/>
          <w:color w:val="auto"/>
          <w:sz w:val="24"/>
          <w:szCs w:val="24"/>
          <w:highlight w:val="none"/>
          <w:lang w:eastAsia="zh-CN"/>
        </w:rPr>
        <w:t xml:space="preserve">，第一次等保测评费用含在本项目中</w:t>
      </w:r>
      <w:r>
        <w:rPr>
          <w:rFonts w:hint="eastAsia" w:ascii="宋体" w:hAnsi="宋体"/>
          <w:color w:val="auto"/>
          <w:sz w:val="24"/>
          <w:szCs w:val="24"/>
          <w:highlight w:val="none"/>
        </w:rPr>
        <w:t xml:space="preserve">。项目上线后每年按要求进行等保测评，算入运维费用</w:t>
      </w:r>
      <w:r>
        <w:rPr>
          <w:rFonts w:hint="eastAsia" w:ascii="宋体" w:hAnsi="宋体"/>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本次项目3年免费运维</w:t>
      </w:r>
      <w:r>
        <w:rPr>
          <w:rFonts w:hint="eastAsia" w:ascii="宋体" w:hAnsi="宋体"/>
          <w:b/>
          <w:bCs/>
          <w:color w:val="auto"/>
          <w:sz w:val="24"/>
          <w:szCs w:val="24"/>
          <w:highlight w:val="none"/>
        </w:rPr>
        <w:t xml:space="preserve">。</w:t>
      </w:r>
      <w:r/>
    </w:p>
    <w:p>
      <w:pPr>
        <w:pStyle w:val="712"/>
        <w:jc w:val="both"/>
        <w:spacing w:before="0" w:after="0" w:line="480" w:lineRule="auto"/>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5.1.4 总体安全策略</w:t>
      </w:r>
      <w:r/>
    </w:p>
    <w:p>
      <w:pPr>
        <w:pStyle w:val="712"/>
        <w:jc w:val="both"/>
        <w:spacing w:before="0" w:after="0" w:line="480" w:lineRule="auto"/>
        <w:widowControl/>
        <w:rPr>
          <w:rFonts w:ascii="宋体" w:hAnsi="宋体"/>
          <w:color w:val="auto"/>
          <w:sz w:val="24"/>
          <w:szCs w:val="24"/>
          <w:highlight w:val="none"/>
        </w:rPr>
      </w:pPr>
      <w:r>
        <w:rPr>
          <w:rFonts w:hint="eastAsia" w:ascii="宋体" w:hAnsi="宋体" w:eastAsia="宋体"/>
          <w:color w:val="auto"/>
          <w:sz w:val="24"/>
          <w:szCs w:val="24"/>
          <w:highlight w:val="none"/>
        </w:rPr>
        <w:t xml:space="preserve">5.1.4.1信息技术安全体系总体策略</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参照以《网络安全等级保护基本要求》中三级保护要求为控制要求，建设基础安全技术体系框架。</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②</w:t>
      </w:r>
      <w:r>
        <w:rPr>
          <w:rFonts w:ascii="宋体" w:hAnsi="宋体"/>
          <w:color w:val="auto"/>
          <w:sz w:val="24"/>
          <w:szCs w:val="24"/>
          <w:highlight w:val="none"/>
        </w:rPr>
        <w:t xml:space="preserve">安全技术体系建设覆盖物理环境、通信网络、区域边界、计算环境和安全管理中心五个方面。</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③</w:t>
      </w:r>
      <w:r>
        <w:rPr>
          <w:rFonts w:ascii="宋体" w:hAnsi="宋体"/>
          <w:color w:val="auto"/>
          <w:sz w:val="24"/>
          <w:szCs w:val="24"/>
          <w:highlight w:val="none"/>
        </w:rPr>
        <w:t xml:space="preserve">通过业界成熟可靠的安全技术及安全产品，结合专业技术人员的安全技术经验和能力，系统化的搭建安全技术体系，确保技术体系的安全性与可用性的有机结合， 达到适用性要求。</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④</w:t>
      </w:r>
      <w:r>
        <w:rPr>
          <w:rFonts w:ascii="宋体" w:hAnsi="宋体"/>
          <w:color w:val="auto"/>
          <w:sz w:val="24"/>
          <w:szCs w:val="24"/>
          <w:highlight w:val="none"/>
        </w:rPr>
        <w:t xml:space="preserve">建设集中的安全管理平台，实现对系统的统一认证、分权管理、集中管控。</w:t>
      </w:r>
      <w:r/>
    </w:p>
    <w:p>
      <w:pPr>
        <w:pStyle w:val="712"/>
        <w:jc w:val="both"/>
        <w:spacing w:before="0" w:after="0" w:line="480" w:lineRule="auto"/>
        <w:widowControl/>
        <w:rPr>
          <w:color w:val="auto"/>
          <w:highlight w:val="none"/>
        </w:rPr>
      </w:pPr>
      <w:r>
        <w:rPr>
          <w:rFonts w:hint="eastAsia" w:ascii="宋体" w:hAnsi="宋体" w:eastAsia="宋体"/>
          <w:color w:val="auto"/>
          <w:sz w:val="24"/>
          <w:szCs w:val="24"/>
          <w:highlight w:val="none"/>
        </w:rPr>
        <w:t xml:space="preserve">5.1.4.2信息安全管理体系总体策略</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①建立信息安全领导小组和信息安全工作组，形成等级保护基本要求的信息安全组织体系职责。</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②</w:t>
      </w:r>
      <w:r>
        <w:rPr>
          <w:rFonts w:ascii="宋体" w:hAnsi="宋体"/>
          <w:color w:val="auto"/>
          <w:sz w:val="24"/>
          <w:szCs w:val="24"/>
          <w:highlight w:val="none"/>
        </w:rPr>
        <w:t xml:space="preserve">建立信息安全管理制度和策略体系，形成符合等级保护基本要求的安全管理制度要求。</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③</w:t>
      </w:r>
      <w:r>
        <w:rPr>
          <w:rFonts w:ascii="宋体" w:hAnsi="宋体"/>
          <w:color w:val="auto"/>
          <w:sz w:val="24"/>
          <w:szCs w:val="24"/>
          <w:highlight w:val="none"/>
        </w:rPr>
        <w:t xml:space="preserve">建立符合系统生命周期的安全需求、安全设计、安全建设和安全运维的运行管理要求。</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④</w:t>
      </w:r>
      <w:r>
        <w:rPr>
          <w:rFonts w:ascii="宋体" w:hAnsi="宋体"/>
          <w:color w:val="auto"/>
          <w:sz w:val="24"/>
          <w:szCs w:val="24"/>
          <w:highlight w:val="none"/>
        </w:rPr>
        <w:t xml:space="preserve">安全建设过程应落实等级保护定级备案、建设整改、等级测评等管理要求。</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⑤</w:t>
      </w:r>
      <w:r>
        <w:rPr>
          <w:rFonts w:ascii="宋体" w:hAnsi="宋体"/>
          <w:color w:val="auto"/>
          <w:sz w:val="24"/>
          <w:szCs w:val="24"/>
          <w:highlight w:val="none"/>
        </w:rPr>
        <w:t xml:space="preserve">系统安全运行过程应落实等级保护监督检查的管理要求。</w:t>
      </w:r>
      <w:r/>
    </w:p>
    <w:p>
      <w:pPr>
        <w:pStyle w:val="712"/>
        <w:jc w:val="both"/>
        <w:spacing w:before="0" w:after="0" w:line="480" w:lineRule="auto"/>
        <w:widowControl/>
        <w:rPr>
          <w:color w:val="auto"/>
          <w:highlight w:val="none"/>
        </w:rPr>
      </w:pPr>
      <w:r>
        <w:rPr>
          <w:rFonts w:hint="eastAsia" w:ascii="宋体" w:hAnsi="宋体" w:eastAsia="宋体"/>
          <w:color w:val="auto"/>
          <w:sz w:val="24"/>
          <w:szCs w:val="24"/>
          <w:highlight w:val="none"/>
        </w:rPr>
        <w:t xml:space="preserve">5.1.4.3信息安全管理体系总体策略</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①</w:t>
      </w:r>
      <w:r>
        <w:rPr>
          <w:rFonts w:ascii="宋体" w:hAnsi="宋体"/>
          <w:color w:val="auto"/>
          <w:sz w:val="24"/>
          <w:szCs w:val="24"/>
          <w:highlight w:val="none"/>
        </w:rPr>
        <w:t xml:space="preserve">通过互联网等领域所形成的新技术适当提升安全能力，强化风险识别、预警、 监测、防护、处置、溯源等能力。</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②</w:t>
      </w:r>
      <w:r>
        <w:rPr>
          <w:rFonts w:ascii="宋体" w:hAnsi="宋体"/>
          <w:color w:val="auto"/>
          <w:sz w:val="24"/>
          <w:szCs w:val="24"/>
          <w:highlight w:val="none"/>
        </w:rPr>
        <w:t xml:space="preserve">建立规范的信息化安全运营体系，以安全视角规范信息系统安全运营的整个过程，形成安全业务标准与流程。</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③</w:t>
      </w:r>
      <w:r>
        <w:rPr>
          <w:rFonts w:ascii="宋体" w:hAnsi="宋体"/>
          <w:color w:val="auto"/>
          <w:sz w:val="24"/>
          <w:szCs w:val="24"/>
          <w:highlight w:val="none"/>
        </w:rPr>
        <w:t xml:space="preserve">建立信息安全运营中心，安全运营实行分级保障，加强安全运营的可持续性建设。</w:t>
      </w:r>
      <w:r/>
    </w:p>
    <w:p>
      <w:pPr>
        <w:pStyle w:val="712"/>
        <w:jc w:val="both"/>
        <w:spacing w:before="0" w:after="0" w:line="480" w:lineRule="auto"/>
        <w:widowControl/>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5.2 密码评估</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全面贯彻落实《中华人民共和国密码法》，响应国家及本省商用密码应用推进工作号召，满足密码相关国家标准和行业标准要求，密码应用工作与项目建设进行同步规划、同步建设、同步运行，确保商用密码应用合规、正确、有效。依据 GB/T 39786-2021《信息安全技术 信息系统密码应用基本要求》,从物理和环境安全、网络和通信安全、设备和计算安全、应用和数据安全，以及密钥管理、安全管理等方面，设计系统密码应用的技术方案，</w:t>
      </w:r>
      <w:r>
        <w:rPr>
          <w:rFonts w:ascii="宋体" w:hAnsi="宋体"/>
          <w:color w:val="auto"/>
          <w:sz w:val="24"/>
          <w:szCs w:val="24"/>
          <w:highlight w:val="none"/>
        </w:rPr>
        <w:t xml:space="preserve">项目上线之前完成</w:t>
      </w:r>
      <w:r>
        <w:rPr>
          <w:rFonts w:hint="eastAsia" w:ascii="宋体" w:hAnsi="宋体"/>
          <w:color w:val="auto"/>
          <w:sz w:val="24"/>
          <w:szCs w:val="24"/>
          <w:highlight w:val="none"/>
        </w:rPr>
        <w:t xml:space="preserve">符合对应等保要求的密码评估</w:t>
      </w:r>
      <w:r>
        <w:rPr>
          <w:rFonts w:hint="eastAsia" w:ascii="宋体" w:hAnsi="宋体"/>
          <w:color w:val="auto"/>
          <w:sz w:val="24"/>
          <w:szCs w:val="24"/>
          <w:highlight w:val="none"/>
          <w:lang w:eastAsia="zh-CN"/>
        </w:rPr>
        <w:t xml:space="preserve">，费用含在本项目中</w:t>
      </w:r>
      <w:r>
        <w:rPr>
          <w:rFonts w:ascii="宋体" w:hAnsi="宋体"/>
          <w:color w:val="auto"/>
          <w:sz w:val="24"/>
          <w:szCs w:val="24"/>
          <w:highlight w:val="none"/>
        </w:rPr>
        <w:t xml:space="preserve">。</w:t>
      </w:r>
      <w:r/>
    </w:p>
    <w:p>
      <w:pPr>
        <w:pStyle w:val="711"/>
        <w:jc w:val="both"/>
        <w:keepLines/>
        <w:spacing w:line="720" w:lineRule="auto"/>
        <w:widowControl/>
        <w:rPr>
          <w:color w:val="000000"/>
          <w:highlight w:val="none"/>
        </w:rPr>
      </w:pPr>
      <w:r>
        <w:rPr>
          <w:rFonts w:hint="eastAsia" w:ascii="宋体" w:hAnsi="宋体" w:eastAsia="宋体"/>
          <w:b/>
          <w:color w:val="000000"/>
          <w:sz w:val="24"/>
          <w:szCs w:val="24"/>
          <w:highlight w:val="none"/>
        </w:rPr>
        <w:t xml:space="preserve">6、项目预算及投资模式</w:t>
      </w:r>
      <w:r/>
    </w:p>
    <w:p>
      <w:pPr>
        <w:pStyle w:val="712"/>
        <w:jc w:val="both"/>
        <w:spacing w:before="0" w:after="0" w:line="480" w:lineRule="auto"/>
        <w:widowControl/>
        <w:rPr>
          <w:color w:val="000000"/>
          <w:highlight w:val="none"/>
        </w:rPr>
      </w:pPr>
      <w:r>
        <w:rPr>
          <w:rFonts w:hint="eastAsia" w:ascii="宋体" w:hAnsi="宋体" w:eastAsia="宋体"/>
          <w:color w:val="000000"/>
          <w:sz w:val="24"/>
          <w:szCs w:val="24"/>
          <w:highlight w:val="none"/>
        </w:rPr>
        <w:t xml:space="preserve">6.1项目预算依据</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本投资概算依据国家建设项目投资概算的有关规定编制，投资概算遵循“符合 规范、结合实际、经济合理、不重不漏</w:t>
      </w:r>
      <w:r>
        <w:rPr>
          <w:rFonts w:ascii="宋体" w:hAnsi="宋体"/>
          <w:color w:val="000000"/>
          <w:sz w:val="24"/>
          <w:szCs w:val="24"/>
          <w:highlight w:val="none"/>
        </w:rPr>
        <w:t xml:space="preserve">、计算正确”的指导原则，说明各项建设内 容的测算依据和取费标准。参考国家信息化建设项目投资概算的相关要求，结合发改委出台的发改价格【2007】670 号、发改价格【2011】534 号等费用评估条例，对本项目建设投资进行估算。软件系统建设费用根据方案确定建设内容，以应用软件系统的应用需求和开发任务为导向，估算本应用系统软件的总体规模和难度，并结合同类系统的实际开发情况，计算实现系统各项任务的人月数，应用开发等工作的人工费用标准，参考当前市场情况，按市场标准估算，根据功能开发需要投入的工作量确定总体建设费用。</w:t>
      </w:r>
      <w:r/>
    </w:p>
    <w:tbl>
      <w:tblPr>
        <w:tblStyle w:val="747"/>
        <w:tblW w:w="92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5413"/>
        <w:gridCol w:w="3150"/>
      </w:tblGrid>
      <w:tr>
        <w:trPr>
          <w:trHeight w:val="425"/>
        </w:trPr>
        <w:tc>
          <w:tcPr>
            <w:tcW w:w="702" w:type="dxa"/>
            <w:vAlign w:val="center"/>
            <w:textDirection w:val="lrTb"/>
            <w:noWrap w:val="false"/>
          </w:tcPr>
          <w:p>
            <w:pPr>
              <w:pStyle w:val="723"/>
              <w:ind w:firstLine="0"/>
              <w:jc w:val="center"/>
              <w:spacing w:after="0" w:line="240" w:lineRule="auto"/>
              <w:rPr>
                <w:rFonts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t xml:space="preserve">序号</w:t>
            </w:r>
            <w:r/>
          </w:p>
        </w:tc>
        <w:tc>
          <w:tcPr>
            <w:tcW w:w="5413" w:type="dxa"/>
            <w:vAlign w:val="center"/>
            <w:textDirection w:val="lrTb"/>
            <w:noWrap w:val="false"/>
          </w:tcPr>
          <w:p>
            <w:pPr>
              <w:pStyle w:val="723"/>
              <w:ind w:firstLine="0"/>
              <w:jc w:val="center"/>
              <w:spacing w:after="0" w:line="240" w:lineRule="auto"/>
              <w:rPr>
                <w:rFonts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t xml:space="preserve">名称</w:t>
            </w:r>
            <w:r/>
          </w:p>
        </w:tc>
        <w:tc>
          <w:tcPr>
            <w:tcW w:w="3150" w:type="dxa"/>
            <w:vAlign w:val="center"/>
            <w:textDirection w:val="lrTb"/>
            <w:noWrap w:val="false"/>
          </w:tcPr>
          <w:p>
            <w:pPr>
              <w:pStyle w:val="723"/>
              <w:ind w:firstLine="88"/>
              <w:jc w:val="center"/>
              <w:spacing w:after="0" w:line="240" w:lineRule="auto"/>
              <w:rPr>
                <w:rFonts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t xml:space="preserve">备注</w:t>
            </w:r>
            <w:r/>
          </w:p>
        </w:tc>
      </w:tr>
      <w:tr>
        <w:trPr/>
        <w:tc>
          <w:tcPr>
            <w:tcW w:w="702" w:type="dxa"/>
            <w:vAlign w:val="center"/>
            <w:textDirection w:val="lrTb"/>
            <w:noWrap w:val="false"/>
          </w:tcPr>
          <w:p>
            <w:pPr>
              <w:pStyle w:val="723"/>
              <w:ind w:firstLine="167"/>
              <w:jc w:val="center"/>
              <w:spacing w:after="0" w:line="24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1</w:t>
            </w:r>
            <w:r/>
          </w:p>
        </w:tc>
        <w:tc>
          <w:tcPr>
            <w:tcW w:w="5413" w:type="dxa"/>
            <w:vAlign w:val="center"/>
            <w:textDirection w:val="lrTb"/>
            <w:noWrap w:val="false"/>
          </w:tcPr>
          <w:p>
            <w:pPr>
              <w:pStyle w:val="723"/>
              <w:ind w:firstLine="0"/>
              <w:jc w:val="center"/>
              <w:spacing w:after="0" w:line="240" w:lineRule="auto"/>
              <w:rPr>
                <w:rFonts w:hint="eastAsia" w:eastAsia="宋体" w:asciiTheme="minorEastAsia" w:hAnsi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应用软件</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开发</w:t>
            </w:r>
            <w:r/>
          </w:p>
        </w:tc>
        <w:tc>
          <w:tcPr>
            <w:tcW w:w="3150" w:type="dxa"/>
            <w:vAlign w:val="center"/>
            <w:textDirection w:val="lrTb"/>
            <w:noWrap w:val="false"/>
          </w:tcPr>
          <w:p>
            <w:pPr>
              <w:pStyle w:val="723"/>
              <w:jc w:val="center"/>
              <w:spacing w:after="0" w:line="24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r>
            <w:r/>
          </w:p>
        </w:tc>
      </w:tr>
      <w:tr>
        <w:trPr/>
        <w:tc>
          <w:tcPr>
            <w:tcW w:w="702" w:type="dxa"/>
            <w:vAlign w:val="center"/>
            <w:textDirection w:val="lrTb"/>
            <w:noWrap w:val="false"/>
          </w:tcPr>
          <w:p>
            <w:pPr>
              <w:pStyle w:val="723"/>
              <w:ind w:firstLine="167"/>
              <w:jc w:val="center"/>
              <w:spacing w:after="0" w:line="24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2</w:t>
            </w:r>
            <w:r/>
          </w:p>
        </w:tc>
        <w:tc>
          <w:tcPr>
            <w:tcW w:w="5413" w:type="dxa"/>
            <w:vAlign w:val="center"/>
            <w:textDirection w:val="lrTb"/>
            <w:noWrap w:val="false"/>
          </w:tcPr>
          <w:p>
            <w:pPr>
              <w:pStyle w:val="723"/>
              <w:ind w:firstLine="0"/>
              <w:jc w:val="center"/>
              <w:spacing w:after="0" w:line="24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网络安全等保</w:t>
            </w:r>
            <w:r/>
          </w:p>
        </w:tc>
        <w:tc>
          <w:tcPr>
            <w:tcW w:w="3150" w:type="dxa"/>
            <w:vAlign w:val="center"/>
            <w:textDirection w:val="lrTb"/>
            <w:noWrap w:val="false"/>
          </w:tcPr>
          <w:p>
            <w:pPr>
              <w:pStyle w:val="723"/>
              <w:ind w:firstLine="88"/>
              <w:jc w:val="center"/>
              <w:spacing w:after="0" w:line="24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三级</w:t>
            </w:r>
            <w:r/>
          </w:p>
        </w:tc>
      </w:tr>
      <w:tr>
        <w:trPr/>
        <w:tc>
          <w:tcPr>
            <w:tcW w:w="702" w:type="dxa"/>
            <w:vAlign w:val="center"/>
            <w:textDirection w:val="lrTb"/>
            <w:noWrap w:val="false"/>
          </w:tcPr>
          <w:p>
            <w:pPr>
              <w:pStyle w:val="723"/>
              <w:ind w:firstLine="167"/>
              <w:jc w:val="center"/>
              <w:spacing w:after="0" w:line="24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3</w:t>
            </w:r>
            <w:r/>
          </w:p>
        </w:tc>
        <w:tc>
          <w:tcPr>
            <w:tcW w:w="5413" w:type="dxa"/>
            <w:vAlign w:val="center"/>
            <w:textDirection w:val="lrTb"/>
            <w:noWrap w:val="false"/>
          </w:tcPr>
          <w:p>
            <w:pPr>
              <w:pStyle w:val="723"/>
              <w:ind w:firstLine="0"/>
              <w:jc w:val="center"/>
              <w:spacing w:after="0" w:line="24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olor w:val="000000" w:themeColor="text1"/>
                <w:sz w:val="24"/>
                <w:szCs w:val="24"/>
                <w:highlight w:val="none"/>
                <w14:textFill>
                  <w14:solidFill>
                    <w14:schemeClr w14:val="tx1"/>
                  </w14:solidFill>
                </w14:textFill>
              </w:rPr>
              <w:t xml:space="preserve">密码评估</w:t>
            </w:r>
            <w:r/>
          </w:p>
        </w:tc>
        <w:tc>
          <w:tcPr>
            <w:tcW w:w="3150" w:type="dxa"/>
            <w:vAlign w:val="center"/>
            <w:textDirection w:val="lrTb"/>
            <w:noWrap w:val="false"/>
          </w:tcPr>
          <w:p>
            <w:pPr>
              <w:pStyle w:val="723"/>
              <w:jc w:val="center"/>
              <w:spacing w:after="0" w:line="240" w:lineRule="auto"/>
              <w:rPr>
                <w:rFonts w:asciiTheme="minorEastAsia" w:hAnsiTheme="minorEastAsia" w:eastAsiaTheme="minorEastAsia"/>
                <w:color w:val="000000" w:themeColor="text1"/>
                <w:sz w:val="24"/>
                <w:szCs w:val="24"/>
                <w:highlight w:val="none"/>
                <w14:textFill>
                  <w14:solidFill>
                    <w14:schemeClr w14:val="tx1"/>
                  </w14:solidFill>
                </w14:textFill>
              </w:rPr>
            </w:pPr>
            <w:r>
              <w:rPr>
                <w:rFonts w:asciiTheme="minorEastAsia" w:hAnsiTheme="minorEastAsia" w:eastAsiaTheme="minorEastAsia"/>
                <w:color w:val="000000" w:themeColor="text1"/>
                <w:sz w:val="24"/>
                <w:szCs w:val="24"/>
                <w:highlight w:val="none"/>
                <w14:textFill>
                  <w14:solidFill>
                    <w14:schemeClr w14:val="tx1"/>
                  </w14:solidFill>
                </w14:textFill>
              </w:rPr>
            </w:r>
            <w:r/>
          </w:p>
        </w:tc>
      </w:tr>
      <w:tr>
        <w:trPr>
          <w:trHeight w:val="407"/>
        </w:trPr>
        <w:tc>
          <w:tcPr>
            <w:gridSpan w:val="2"/>
            <w:tcW w:w="6115" w:type="dxa"/>
            <w:vAlign w:val="center"/>
            <w:textDirection w:val="lrTb"/>
            <w:noWrap w:val="false"/>
          </w:tcPr>
          <w:p>
            <w:pPr>
              <w:pStyle w:val="723"/>
              <w:ind w:firstLine="0"/>
              <w:jc w:val="center"/>
              <w:spacing w:after="0" w:line="240" w:lineRule="auto"/>
              <w:rPr>
                <w:rFonts w:asciiTheme="minorEastAsia" w:hAnsiTheme="minorEastAsia" w:eastAsia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b/>
                <w:bCs/>
                <w:color w:val="000000" w:themeColor="text1"/>
                <w:sz w:val="24"/>
                <w:szCs w:val="24"/>
                <w:highlight w:val="none"/>
                <w14:textFill>
                  <w14:solidFill>
                    <w14:schemeClr w14:val="tx1"/>
                  </w14:solidFill>
                </w14:textFill>
              </w:rPr>
              <w:t xml:space="preserve">合计</w:t>
            </w:r>
            <w:r/>
          </w:p>
        </w:tc>
        <w:tc>
          <w:tcPr>
            <w:tcW w:w="3150" w:type="dxa"/>
            <w:vAlign w:val="center"/>
            <w:textDirection w:val="lrTb"/>
            <w:noWrap w:val="false"/>
          </w:tcPr>
          <w:p>
            <w:pPr>
              <w:pStyle w:val="723"/>
              <w:spacing w:after="0" w:line="240" w:lineRule="auto"/>
              <w:rPr>
                <w:rFonts w:asciiTheme="minorEastAsia" w:hAnsiTheme="minorEastAsia" w:eastAsiaTheme="minorEastAsia"/>
                <w:b/>
                <w:bCs/>
                <w:color w:val="000000" w:themeColor="text1"/>
                <w:sz w:val="24"/>
                <w:szCs w:val="24"/>
                <w:highlight w:val="none"/>
                <w14:textFill>
                  <w14:solidFill>
                    <w14:schemeClr w14:val="tx1"/>
                  </w14:solidFill>
                </w14:textFill>
              </w:rPr>
            </w:pPr>
            <w:r>
              <w:rPr>
                <w:rFonts w:asciiTheme="minorEastAsia" w:hAnsiTheme="minorEastAsia" w:eastAsiaTheme="minorEastAsia"/>
                <w:b/>
                <w:bCs/>
                <w:color w:val="000000" w:themeColor="text1"/>
                <w:sz w:val="24"/>
                <w:szCs w:val="24"/>
                <w:highlight w:val="none"/>
                <w14:textFill>
                  <w14:solidFill>
                    <w14:schemeClr w14:val="tx1"/>
                  </w14:solidFill>
                </w14:textFill>
              </w:rPr>
            </w:r>
            <w:r/>
          </w:p>
        </w:tc>
      </w:tr>
    </w:tbl>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23"/>
        <w:jc w:val="center"/>
        <w:rPr>
          <w:color w:val="000000"/>
          <w:highlight w:val="none"/>
        </w:rPr>
      </w:pPr>
      <w:r>
        <w:rPr>
          <w:color w:val="000000"/>
          <w:highlight w:val="none"/>
        </w:rPr>
      </w:r>
      <w:r/>
    </w:p>
    <w:p>
      <w:pPr>
        <w:pStyle w:val="711"/>
        <w:numPr>
          <w:ilvl w:val="0"/>
          <w:numId w:val="9"/>
        </w:numPr>
        <w:jc w:val="both"/>
        <w:keepLines/>
        <w:spacing w:before="120" w:line="720" w:lineRule="auto"/>
        <w:widowControl/>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项目建设管理</w:t>
      </w:r>
      <w:r/>
    </w:p>
    <w:p>
      <w:pPr>
        <w:numPr>
          <w:ilvl w:val="0"/>
          <w:numId w:val="0"/>
        </w:numPr>
        <w:ind w:firstLine="480"/>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需要针对项目实施提供详细的方案，包含但不限于项目进度计划及保障措施、项目试运行方案、项目验收方案等内容，要求方案清晰，计划合理，切实可行。</w:t>
      </w:r>
      <w:r/>
    </w:p>
    <w:p>
      <w:pPr>
        <w:pStyle w:val="722"/>
      </w:pPr>
      <w:r/>
      <w:r/>
    </w:p>
    <w:p>
      <w:pPr>
        <w:pStyle w:val="712"/>
        <w:jc w:val="both"/>
        <w:spacing w:before="0" w:after="0" w:line="480" w:lineRule="auto"/>
        <w:widowControl/>
        <w:rPr>
          <w:color w:val="000000"/>
          <w:highlight w:val="none"/>
        </w:rPr>
      </w:pPr>
      <w:r>
        <w:rPr>
          <w:rFonts w:hint="eastAsia" w:ascii="宋体" w:hAnsi="宋体" w:eastAsia="宋体"/>
          <w:color w:val="000000"/>
          <w:sz w:val="24"/>
          <w:szCs w:val="24"/>
          <w:highlight w:val="none"/>
        </w:rPr>
        <w:t xml:space="preserve">7.1项目建设期</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扬州市数字机关大院项目建设总体周期（含项目立项及招投标等）约为6个月，项目实施周期（项目启动实施至验收）约 4 个月内完成。免费运维期为 3 年。</w:t>
      </w:r>
      <w:r/>
    </w:p>
    <w:p>
      <w:pPr>
        <w:pStyle w:val="712"/>
        <w:jc w:val="both"/>
        <w:spacing w:before="0" w:after="0" w:line="480" w:lineRule="auto"/>
        <w:widowControl/>
        <w:rPr>
          <w:color w:val="000000"/>
          <w:highlight w:val="none"/>
        </w:rPr>
      </w:pPr>
      <w:r>
        <w:rPr>
          <w:rFonts w:hint="eastAsia" w:ascii="宋体" w:hAnsi="宋体" w:eastAsia="宋体"/>
          <w:color w:val="000000"/>
          <w:sz w:val="24"/>
          <w:szCs w:val="24"/>
          <w:highlight w:val="none"/>
        </w:rPr>
        <w:t xml:space="preserve">7.2实施进度计划</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综合考虑项目立项、招投标、系统定制、实施等因素制定项目计划。扬州市数字数字机关大院项目</w:t>
      </w:r>
      <w:r>
        <w:rPr>
          <w:rFonts w:hint="eastAsia" w:ascii="宋体" w:hAnsi="宋体"/>
          <w:color w:val="000000"/>
          <w:sz w:val="24"/>
          <w:szCs w:val="24"/>
          <w:highlight w:val="none"/>
        </w:rPr>
        <w:t xml:space="preserve">3个月内完成系统设计与开发、测试，1个月内完成试运行与验收。</w:t>
      </w:r>
      <w:r>
        <w:rPr>
          <w:rFonts w:ascii="宋体" w:hAnsi="宋体"/>
          <w:color w:val="000000"/>
          <w:sz w:val="24"/>
          <w:szCs w:val="24"/>
          <w:highlight w:val="none"/>
        </w:rPr>
        <w:t xml:space="preserve">详细进度安排如下： </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一</w:t>
      </w:r>
      <w:r>
        <w:rPr>
          <w:rFonts w:ascii="宋体" w:hAnsi="宋体"/>
          <w:color w:val="000000"/>
          <w:sz w:val="24"/>
          <w:szCs w:val="24"/>
          <w:highlight w:val="none"/>
        </w:rPr>
        <w:t xml:space="preserve">）半个月内，完成系统的需求分析与系统设计工作。输出系统设计的文档、界面设计等成果物。</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二</w:t>
      </w:r>
      <w:r>
        <w:rPr>
          <w:rFonts w:ascii="宋体" w:hAnsi="宋体"/>
          <w:color w:val="000000"/>
          <w:sz w:val="24"/>
          <w:szCs w:val="24"/>
          <w:highlight w:val="none"/>
        </w:rPr>
        <w:t xml:space="preserve">）2个月内完成系统开发与系统测试工作。输出扬州市数字机关大院项目安装包以及系统指导手册等文档</w:t>
      </w:r>
      <w:r>
        <w:rPr>
          <w:rFonts w:hint="eastAsia" w:ascii="宋体" w:hAnsi="宋体"/>
          <w:color w:val="000000"/>
          <w:sz w:val="24"/>
          <w:szCs w:val="24"/>
          <w:highlight w:val="none"/>
        </w:rPr>
        <w:t xml:space="preserve">。</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三</w:t>
      </w:r>
      <w:r>
        <w:rPr>
          <w:rFonts w:ascii="宋体" w:hAnsi="宋体"/>
          <w:color w:val="000000"/>
          <w:sz w:val="24"/>
          <w:szCs w:val="24"/>
          <w:highlight w:val="none"/>
        </w:rPr>
        <w:t xml:space="preserve">）1个月内完成实施部署、培训与试运行等工作。将平台部署至正式提供对外服务环境中，编制培训教材，组织集中或点对点培训，输出培训记录、培训效果反馈表、试运行记录等，试运行1个月</w:t>
      </w:r>
      <w:r>
        <w:rPr>
          <w:rFonts w:hint="eastAsia" w:ascii="宋体" w:hAnsi="宋体"/>
          <w:color w:val="000000"/>
          <w:sz w:val="24"/>
          <w:szCs w:val="24"/>
          <w:highlight w:val="none"/>
        </w:rPr>
        <w:t xml:space="preserve">。</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四</w:t>
      </w:r>
      <w:r>
        <w:rPr>
          <w:rFonts w:ascii="宋体" w:hAnsi="宋体"/>
          <w:color w:val="000000"/>
          <w:sz w:val="24"/>
          <w:szCs w:val="24"/>
          <w:highlight w:val="none"/>
        </w:rPr>
        <w:t xml:space="preserve">）半个月内完成系统的验收工作。组织专家评审，输出终验报告</w:t>
      </w:r>
      <w:r>
        <w:rPr>
          <w:rFonts w:hint="eastAsia" w:ascii="宋体" w:hAnsi="宋体"/>
          <w:color w:val="000000"/>
          <w:sz w:val="24"/>
          <w:szCs w:val="24"/>
          <w:highlight w:val="none"/>
        </w:rPr>
        <w:t xml:space="preserve">。</w:t>
      </w:r>
      <w:r/>
    </w:p>
    <w:p>
      <w:pPr>
        <w:pStyle w:val="712"/>
        <w:jc w:val="both"/>
        <w:spacing w:before="0" w:after="0" w:line="480" w:lineRule="auto"/>
        <w:widowControl/>
        <w:rPr>
          <w:color w:val="000000"/>
          <w:highlight w:val="none"/>
        </w:rPr>
      </w:pPr>
      <w:r>
        <w:rPr>
          <w:rFonts w:hint="eastAsia" w:ascii="宋体" w:hAnsi="宋体" w:eastAsia="宋体"/>
          <w:color w:val="000000"/>
          <w:sz w:val="24"/>
          <w:szCs w:val="24"/>
          <w:highlight w:val="none"/>
        </w:rPr>
        <w:t xml:space="preserve">7.3项目成功的关键因素分析</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7.3.1项目进度安排原则</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采用关键路径法对整个项目的进度进行安排和控制。主要是通过对系统中几个关键时间点的控制，实现对整个项目的有效控制。</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7.3.2影响项目进度的因素和对策</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对本项目可能影响项目进度的因素及可采用的对策，分析如下：</w:t>
      </w:r>
      <w:r/>
    </w:p>
    <w:p>
      <w:pPr>
        <w:pStyle w:val="723"/>
        <w:jc w:val="center"/>
        <w:rPr>
          <w:color w:val="000000"/>
          <w:highlight w:val="none"/>
        </w:rPr>
      </w:pPr>
      <w:r>
        <w:rPr>
          <w:color w:val="000000"/>
          <w:highlight w:val="none"/>
        </w:rPr>
      </w:r>
      <w:r/>
    </w:p>
    <w:p>
      <w:pPr>
        <w:pStyle w:val="723"/>
        <w:jc w:val="center"/>
        <w:rPr>
          <w:color w:val="000000"/>
          <w:highlight w:val="none"/>
        </w:rPr>
      </w:pPr>
      <w:r>
        <w:rPr>
          <w:color w:val="000000"/>
          <w:highlight w:val="none"/>
        </w:rPr>
        <w:t xml:space="preserve">表 影响项目进度的因素和对策</w:t>
      </w:r>
      <w:r/>
    </w:p>
    <w:p>
      <w:pPr>
        <w:pStyle w:val="723"/>
        <w:jc w:val="center"/>
        <w:rPr>
          <w:color w:val="000000"/>
          <w:highlight w:val="none"/>
        </w:rPr>
      </w:pPr>
      <w:r>
        <w:rPr>
          <w:color w:val="000000"/>
          <w:highlight w:val="none"/>
        </w:rPr>
        <mc:AlternateContent>
          <mc:Choice Requires="wpg">
            <w:drawing>
              <wp:inline xmlns:wp="http://schemas.openxmlformats.org/drawingml/2006/wordprocessingDrawing" distT="0" distB="0" distL="0" distR="0">
                <wp:extent cx="5074920" cy="2674620"/>
                <wp:effectExtent l="0" t="0" r="11430" b="11430"/>
                <wp:docPr id="2" name="图片 3" descr="1710926486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710926486255(1)"/>
                        <pic:cNvPicPr>
                          <a:picLocks noChangeAspect="1"/>
                        </pic:cNvPicPr>
                        <pic:nvPr/>
                      </pic:nvPicPr>
                      <pic:blipFill>
                        <a:blip r:embed="rId14"/>
                        <a:stretch/>
                      </pic:blipFill>
                      <pic:spPr bwMode="auto">
                        <a:xfrm>
                          <a:off x="0" y="0"/>
                          <a:ext cx="5074920" cy="2674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99.6pt;height:210.6pt;mso-wrap-distance-left:0.0pt;mso-wrap-distance-top:0.0pt;mso-wrap-distance-right:0.0pt;mso-wrap-distance-bottom:0.0pt;" stroked="f">
                <v:path textboxrect="0,0,0,0"/>
                <v:imagedata r:id="rId14" o:title=""/>
              </v:shape>
            </w:pict>
          </mc:Fallback>
        </mc:AlternateConten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7.3.3关键进度的控制</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本项目的关键路径为：</w:t>
      </w:r>
      <w:r/>
    </w:p>
    <w:p>
      <w:pPr>
        <w:pStyle w:val="723"/>
        <w:numPr>
          <w:ilvl w:val="0"/>
          <w:numId w:val="10"/>
        </w:numPr>
        <w:spacing w:line="360" w:lineRule="auto"/>
        <w:rPr>
          <w:rFonts w:ascii="宋体" w:hAnsi="宋体"/>
          <w:color w:val="000000"/>
          <w:sz w:val="24"/>
          <w:szCs w:val="24"/>
          <w:highlight w:val="none"/>
        </w:rPr>
      </w:pPr>
      <w:r>
        <w:rPr>
          <w:rFonts w:ascii="宋体" w:hAnsi="宋体"/>
          <w:color w:val="000000"/>
          <w:sz w:val="24"/>
          <w:szCs w:val="24"/>
          <w:highlight w:val="none"/>
        </w:rPr>
        <w:t xml:space="preserve">需求调研； </w:t>
      </w:r>
      <w:r/>
    </w:p>
    <w:p>
      <w:pPr>
        <w:pStyle w:val="723"/>
        <w:numPr>
          <w:ilvl w:val="0"/>
          <w:numId w:val="10"/>
        </w:numPr>
        <w:spacing w:line="360" w:lineRule="auto"/>
        <w:rPr>
          <w:rFonts w:ascii="宋体" w:hAnsi="宋体"/>
          <w:color w:val="000000"/>
          <w:sz w:val="24"/>
          <w:szCs w:val="24"/>
          <w:highlight w:val="none"/>
        </w:rPr>
      </w:pPr>
      <w:r>
        <w:rPr>
          <w:rFonts w:ascii="宋体" w:hAnsi="宋体"/>
          <w:color w:val="000000"/>
          <w:sz w:val="24"/>
          <w:szCs w:val="24"/>
          <w:highlight w:val="none"/>
        </w:rPr>
        <w:t xml:space="preserve">应用软件系统开发； </w:t>
      </w:r>
      <w:r/>
    </w:p>
    <w:p>
      <w:pPr>
        <w:pStyle w:val="723"/>
        <w:numPr>
          <w:ilvl w:val="0"/>
          <w:numId w:val="10"/>
        </w:numPr>
        <w:spacing w:line="360" w:lineRule="auto"/>
        <w:rPr>
          <w:rFonts w:ascii="宋体" w:hAnsi="宋体"/>
          <w:color w:val="000000"/>
          <w:sz w:val="24"/>
          <w:szCs w:val="24"/>
          <w:highlight w:val="none"/>
        </w:rPr>
      </w:pPr>
      <w:r>
        <w:rPr>
          <w:rFonts w:ascii="宋体" w:hAnsi="宋体"/>
          <w:color w:val="000000"/>
          <w:sz w:val="24"/>
          <w:szCs w:val="24"/>
          <w:highlight w:val="none"/>
        </w:rPr>
        <w:t xml:space="preserve">系统部署安装； </w:t>
      </w:r>
      <w:r/>
    </w:p>
    <w:p>
      <w:pPr>
        <w:pStyle w:val="723"/>
        <w:numPr>
          <w:ilvl w:val="0"/>
          <w:numId w:val="10"/>
        </w:numPr>
        <w:spacing w:line="360" w:lineRule="auto"/>
        <w:rPr>
          <w:rFonts w:ascii="宋体" w:hAnsi="宋体"/>
          <w:color w:val="000000"/>
          <w:sz w:val="24"/>
          <w:szCs w:val="24"/>
          <w:highlight w:val="none"/>
        </w:rPr>
      </w:pPr>
      <w:r>
        <w:rPr>
          <w:rFonts w:ascii="宋体" w:hAnsi="宋体"/>
          <w:color w:val="000000"/>
          <w:sz w:val="24"/>
          <w:szCs w:val="24"/>
          <w:highlight w:val="none"/>
        </w:rPr>
        <w:t xml:space="preserve">系统联调、测试、部署； </w:t>
      </w:r>
      <w:r/>
    </w:p>
    <w:p>
      <w:pPr>
        <w:pStyle w:val="723"/>
        <w:numPr>
          <w:ilvl w:val="0"/>
          <w:numId w:val="10"/>
        </w:numPr>
        <w:spacing w:line="360" w:lineRule="auto"/>
        <w:rPr>
          <w:rFonts w:ascii="宋体" w:hAnsi="宋体"/>
          <w:color w:val="000000"/>
          <w:sz w:val="24"/>
          <w:szCs w:val="24"/>
          <w:highlight w:val="none"/>
        </w:rPr>
      </w:pPr>
      <w:r>
        <w:rPr>
          <w:rFonts w:ascii="宋体" w:hAnsi="宋体"/>
          <w:color w:val="000000"/>
          <w:sz w:val="24"/>
          <w:szCs w:val="24"/>
          <w:highlight w:val="none"/>
        </w:rPr>
        <w:t xml:space="preserve">系统人员培训； </w:t>
      </w:r>
      <w:r/>
    </w:p>
    <w:p>
      <w:pPr>
        <w:pStyle w:val="723"/>
        <w:numPr>
          <w:ilvl w:val="0"/>
          <w:numId w:val="10"/>
        </w:numPr>
        <w:spacing w:line="360" w:lineRule="auto"/>
        <w:rPr>
          <w:rFonts w:ascii="宋体" w:hAnsi="宋体"/>
          <w:color w:val="000000"/>
          <w:sz w:val="24"/>
          <w:szCs w:val="24"/>
          <w:highlight w:val="none"/>
        </w:rPr>
      </w:pPr>
      <w:r>
        <w:rPr>
          <w:rFonts w:ascii="宋体" w:hAnsi="宋体"/>
          <w:color w:val="000000"/>
          <w:sz w:val="24"/>
          <w:szCs w:val="24"/>
          <w:highlight w:val="none"/>
        </w:rPr>
        <w:t xml:space="preserve">系统试运行。 </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对于以上这些关键点，应在事前准备应急预案，严格控制其时间点，对于有可能延宕的关键点，按应急预案执行。以保证项目的按时进行。</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7.3.4项目进度优化</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根据项目前后逻辑顺序，有目的地采取预防措施，避免窝工。合理安排建设进度，并定期进行检查和调整。针对工程特点，组织工序交叉和立体交叉施工，以提高效率，控制工程总进度计划。以超前的意识重视建设前期工作，提早安排场地准备等前期事项，为项目建设提供优越的条件。在进度关键点上要严格控制工期，必要的时候要进行加班和赶工，保证项目关键点的如期完成。</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7.4项目进度保障措施</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为保证扬州市数字机关大院项目建设的项目进度，可按以下方案实施：</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1. 成立进度计划完成情况监督小组，小组由项目实施机构负责人组成，对项目进度计划实行监控。 </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2. 在本项目工作过程中，把计划进度和实际进度间的平衡作为控制进度和计划管理的关键环节。</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3. 项目实施过程中密切注视工程实际进度与计划进度间出现的差距，及时地督促实施工作组调整实施计划，并报告给相关软件单位进行审核。建立可行的奖 惩措施。</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7.4.1项目质量管理</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7.4.1.1管理目标</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本项目质量保证工作主要分三部分：第一为开发前期的质量规范工作；第二为质量保证计划；第三为开发实施过程中的技术检查工作。 </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必须为系统建设的各个环节制定正确的质量目标，实施科学有效的软件开发过程管理，才能真正保证系统的按预期进度和质量实现。具体质量目标有：</w:t>
      </w:r>
      <w:r/>
    </w:p>
    <w:p>
      <w:pPr>
        <w:pStyle w:val="723"/>
        <w:numPr>
          <w:ilvl w:val="0"/>
          <w:numId w:val="11"/>
        </w:numPr>
        <w:spacing w:line="360" w:lineRule="auto"/>
        <w:rPr>
          <w:rFonts w:ascii="宋体" w:hAnsi="宋体"/>
          <w:color w:val="000000"/>
          <w:sz w:val="24"/>
          <w:szCs w:val="24"/>
          <w:highlight w:val="none"/>
        </w:rPr>
      </w:pPr>
      <w:r>
        <w:rPr>
          <w:rFonts w:ascii="宋体" w:hAnsi="宋体"/>
          <w:color w:val="000000"/>
          <w:sz w:val="24"/>
          <w:szCs w:val="24"/>
          <w:highlight w:val="none"/>
        </w:rPr>
        <w:t xml:space="preserve">系统功能可以满足机关人员的需求；</w:t>
      </w:r>
      <w:r/>
    </w:p>
    <w:p>
      <w:pPr>
        <w:pStyle w:val="723"/>
        <w:numPr>
          <w:ilvl w:val="0"/>
          <w:numId w:val="11"/>
        </w:numPr>
        <w:spacing w:line="360" w:lineRule="auto"/>
        <w:rPr>
          <w:rFonts w:ascii="宋体" w:hAnsi="宋体"/>
          <w:color w:val="000000"/>
          <w:sz w:val="24"/>
          <w:szCs w:val="24"/>
          <w:highlight w:val="none"/>
        </w:rPr>
      </w:pPr>
      <w:r>
        <w:rPr>
          <w:rFonts w:ascii="宋体" w:hAnsi="宋体"/>
          <w:color w:val="000000"/>
          <w:sz w:val="24"/>
          <w:szCs w:val="24"/>
          <w:highlight w:val="none"/>
        </w:rPr>
        <w:t xml:space="preserve">系统在性能上、易用性、安全性方面满足系统运行要求； </w:t>
      </w:r>
      <w:r/>
    </w:p>
    <w:p>
      <w:pPr>
        <w:pStyle w:val="723"/>
        <w:numPr>
          <w:ilvl w:val="0"/>
          <w:numId w:val="11"/>
        </w:numPr>
        <w:spacing w:line="360" w:lineRule="auto"/>
        <w:rPr>
          <w:rFonts w:ascii="宋体" w:hAnsi="宋体"/>
          <w:color w:val="000000"/>
          <w:sz w:val="24"/>
          <w:szCs w:val="24"/>
          <w:highlight w:val="none"/>
        </w:rPr>
      </w:pPr>
      <w:r>
        <w:rPr>
          <w:rFonts w:ascii="宋体" w:hAnsi="宋体"/>
          <w:color w:val="000000"/>
          <w:sz w:val="24"/>
          <w:szCs w:val="24"/>
          <w:highlight w:val="none"/>
        </w:rPr>
        <w:t xml:space="preserve">系统运行稳定可靠； </w:t>
      </w:r>
      <w:r/>
    </w:p>
    <w:p>
      <w:pPr>
        <w:pStyle w:val="723"/>
        <w:numPr>
          <w:ilvl w:val="0"/>
          <w:numId w:val="11"/>
        </w:numPr>
        <w:spacing w:line="360" w:lineRule="auto"/>
        <w:rPr>
          <w:rFonts w:ascii="宋体" w:hAnsi="宋体"/>
          <w:color w:val="000000"/>
          <w:sz w:val="24"/>
          <w:szCs w:val="24"/>
          <w:highlight w:val="none"/>
        </w:rPr>
      </w:pPr>
      <w:r>
        <w:rPr>
          <w:rFonts w:ascii="宋体" w:hAnsi="宋体"/>
          <w:color w:val="000000"/>
          <w:sz w:val="24"/>
          <w:szCs w:val="24"/>
          <w:highlight w:val="none"/>
        </w:rPr>
        <w:t xml:space="preserve">系统提供质量可靠的文档；</w:t>
      </w:r>
      <w:r/>
    </w:p>
    <w:p>
      <w:pPr>
        <w:pStyle w:val="723"/>
        <w:numPr>
          <w:ilvl w:val="0"/>
          <w:numId w:val="11"/>
        </w:numPr>
        <w:spacing w:line="360" w:lineRule="auto"/>
        <w:rPr>
          <w:rFonts w:ascii="宋体" w:hAnsi="宋体"/>
          <w:color w:val="000000"/>
          <w:sz w:val="24"/>
          <w:szCs w:val="24"/>
          <w:highlight w:val="none"/>
        </w:rPr>
      </w:pPr>
      <w:r>
        <w:rPr>
          <w:rFonts w:ascii="宋体" w:hAnsi="宋体"/>
          <w:color w:val="000000"/>
          <w:sz w:val="24"/>
          <w:szCs w:val="24"/>
          <w:highlight w:val="none"/>
        </w:rPr>
        <w:t xml:space="preserve">为操作人员和系统管理员提供有效的培训，使他们可以独立使用和维护系统；</w:t>
      </w:r>
      <w:r/>
    </w:p>
    <w:p>
      <w:pPr>
        <w:pStyle w:val="723"/>
        <w:numPr>
          <w:ilvl w:val="0"/>
          <w:numId w:val="11"/>
        </w:numPr>
        <w:spacing w:line="360" w:lineRule="auto"/>
        <w:rPr>
          <w:rFonts w:ascii="宋体" w:hAnsi="宋体"/>
          <w:color w:val="000000"/>
          <w:sz w:val="24"/>
          <w:szCs w:val="24"/>
          <w:highlight w:val="none"/>
        </w:rPr>
      </w:pPr>
      <w:r>
        <w:rPr>
          <w:rFonts w:ascii="宋体" w:hAnsi="宋体"/>
          <w:color w:val="000000"/>
          <w:sz w:val="24"/>
          <w:szCs w:val="24"/>
          <w:highlight w:val="none"/>
        </w:rPr>
        <w:t xml:space="preserve">提供及时有效的技术支持和系统维护；</w:t>
      </w:r>
      <w:r/>
    </w:p>
    <w:p>
      <w:pPr>
        <w:pStyle w:val="723"/>
        <w:numPr>
          <w:ilvl w:val="0"/>
          <w:numId w:val="11"/>
        </w:num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控制系统开发、试运行、运行的过程，以便提供必要的服务。</w:t>
      </w:r>
      <w:r/>
    </w:p>
    <w:p>
      <w:pPr>
        <w:pStyle w:val="712"/>
        <w:jc w:val="both"/>
        <w:spacing w:before="0" w:after="0" w:line="480" w:lineRule="auto"/>
        <w:widowControl/>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7.4.1.2质量保证</w:t>
      </w:r>
      <w:r/>
    </w:p>
    <w:p>
      <w:pPr>
        <w:pStyle w:val="723"/>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本项目需由</w:t>
      </w:r>
      <w:r>
        <w:rPr>
          <w:rFonts w:hint="eastAsia" w:ascii="宋体" w:hAnsi="宋体"/>
          <w:color w:val="auto"/>
          <w:sz w:val="24"/>
          <w:szCs w:val="24"/>
          <w:highlight w:val="none"/>
          <w:lang w:eastAsia="zh-CN"/>
        </w:rPr>
        <w:t xml:space="preserve">中标人</w:t>
      </w:r>
      <w:r>
        <w:rPr>
          <w:rFonts w:ascii="宋体" w:hAnsi="宋体"/>
          <w:color w:val="auto"/>
          <w:sz w:val="24"/>
          <w:szCs w:val="24"/>
          <w:highlight w:val="none"/>
        </w:rPr>
        <w:t xml:space="preserve">配备专职 QA 对项目过程进行跟踪，在项目立项阶段由 QA 制定《质量保证计划》，并根据该计划对项目各过程进行跟踪，主要包括： </w:t>
      </w:r>
      <w:r/>
    </w:p>
    <w:p>
      <w:pPr>
        <w:pStyle w:val="723"/>
        <w:numPr>
          <w:ilvl w:val="0"/>
          <w:numId w:val="12"/>
        </w:numPr>
        <w:spacing w:line="360" w:lineRule="auto"/>
        <w:rPr>
          <w:rFonts w:ascii="宋体" w:hAnsi="宋体"/>
          <w:color w:val="auto"/>
          <w:sz w:val="24"/>
          <w:szCs w:val="24"/>
          <w:highlight w:val="none"/>
        </w:rPr>
      </w:pPr>
      <w:r>
        <w:rPr>
          <w:rFonts w:ascii="宋体" w:hAnsi="宋体"/>
          <w:color w:val="auto"/>
          <w:sz w:val="24"/>
          <w:szCs w:val="24"/>
          <w:highlight w:val="none"/>
        </w:rPr>
        <w:t xml:space="preserve">由</w:t>
      </w:r>
      <w:r>
        <w:rPr>
          <w:rFonts w:hint="eastAsia" w:ascii="宋体" w:hAnsi="宋体"/>
          <w:color w:val="auto"/>
          <w:sz w:val="24"/>
          <w:szCs w:val="24"/>
          <w:highlight w:val="none"/>
          <w:lang w:eastAsia="zh-CN"/>
        </w:rPr>
        <w:t xml:space="preserve">中标人</w:t>
      </w:r>
      <w:r>
        <w:rPr>
          <w:rFonts w:ascii="宋体" w:hAnsi="宋体"/>
          <w:color w:val="auto"/>
          <w:sz w:val="24"/>
          <w:szCs w:val="24"/>
          <w:highlight w:val="none"/>
        </w:rPr>
        <w:t xml:space="preserve"> QA 与项目领导和管理机构进行访谈、交流，提供项目实施推进的交流通道，对项目实施机构不能解决的问题以《QA 报告》的形式提交业主单位； </w:t>
      </w:r>
      <w:r/>
    </w:p>
    <w:p>
      <w:pPr>
        <w:pStyle w:val="723"/>
        <w:numPr>
          <w:ilvl w:val="0"/>
          <w:numId w:val="12"/>
        </w:numPr>
        <w:spacing w:line="360" w:lineRule="auto"/>
        <w:rPr>
          <w:rFonts w:ascii="宋体" w:hAnsi="宋体"/>
          <w:color w:val="auto"/>
          <w:sz w:val="24"/>
          <w:szCs w:val="24"/>
          <w:highlight w:val="none"/>
        </w:rPr>
      </w:pPr>
      <w:r>
        <w:rPr>
          <w:rFonts w:ascii="宋体" w:hAnsi="宋体"/>
          <w:color w:val="auto"/>
          <w:sz w:val="24"/>
          <w:szCs w:val="24"/>
          <w:highlight w:val="none"/>
        </w:rPr>
        <w:t xml:space="preserve">组织并参与评价项目各阶段的评审； </w:t>
      </w:r>
      <w:r/>
    </w:p>
    <w:p>
      <w:pPr>
        <w:pStyle w:val="723"/>
        <w:numPr>
          <w:ilvl w:val="0"/>
          <w:numId w:val="12"/>
        </w:numPr>
        <w:spacing w:line="360" w:lineRule="auto"/>
        <w:rPr>
          <w:rFonts w:ascii="宋体" w:hAnsi="宋体"/>
          <w:color w:val="000000"/>
          <w:sz w:val="24"/>
          <w:szCs w:val="24"/>
          <w:highlight w:val="none"/>
        </w:rPr>
      </w:pPr>
      <w:r>
        <w:rPr>
          <w:rFonts w:ascii="宋体" w:hAnsi="宋体"/>
          <w:color w:val="auto"/>
          <w:sz w:val="24"/>
          <w:szCs w:val="24"/>
          <w:highlight w:val="none"/>
        </w:rPr>
        <w:t xml:space="preserve">监督跟踪项</w:t>
      </w:r>
      <w:r>
        <w:rPr>
          <w:rFonts w:ascii="宋体" w:hAnsi="宋体"/>
          <w:color w:val="000000"/>
          <w:sz w:val="24"/>
          <w:szCs w:val="24"/>
          <w:highlight w:val="none"/>
        </w:rPr>
        <w:t xml:space="preserve">目计划的执行情况，并不断反馈给公司；</w:t>
      </w:r>
      <w:r/>
    </w:p>
    <w:p>
      <w:pPr>
        <w:pStyle w:val="723"/>
        <w:numPr>
          <w:ilvl w:val="0"/>
          <w:numId w:val="12"/>
        </w:numPr>
        <w:spacing w:line="360" w:lineRule="auto"/>
        <w:rPr>
          <w:rFonts w:ascii="宋体" w:hAnsi="宋体"/>
          <w:color w:val="000000"/>
          <w:sz w:val="24"/>
          <w:szCs w:val="24"/>
          <w:highlight w:val="none"/>
        </w:rPr>
      </w:pPr>
      <w:r>
        <w:rPr>
          <w:rFonts w:ascii="宋体" w:hAnsi="宋体"/>
          <w:color w:val="000000"/>
          <w:sz w:val="24"/>
          <w:szCs w:val="24"/>
          <w:highlight w:val="none"/>
        </w:rPr>
        <w:t xml:space="preserve">跟踪项目需求，重点监控项目过程变更的数量，并填写相应记录表格；监控贯穿于整个项目过程需求的一致性； </w:t>
      </w:r>
      <w:r/>
    </w:p>
    <w:p>
      <w:pPr>
        <w:pStyle w:val="723"/>
        <w:numPr>
          <w:ilvl w:val="0"/>
          <w:numId w:val="12"/>
        </w:numPr>
        <w:spacing w:line="360" w:lineRule="auto"/>
        <w:rPr>
          <w:rFonts w:ascii="宋体" w:hAnsi="宋体"/>
          <w:color w:val="000000"/>
          <w:sz w:val="24"/>
          <w:szCs w:val="24"/>
          <w:highlight w:val="none"/>
        </w:rPr>
      </w:pPr>
      <w:r>
        <w:rPr>
          <w:rFonts w:ascii="宋体" w:hAnsi="宋体"/>
          <w:color w:val="000000"/>
          <w:sz w:val="24"/>
          <w:szCs w:val="24"/>
          <w:highlight w:val="none"/>
        </w:rPr>
        <w:t xml:space="preserve">定期与项目领导和管理机构进行沟通，进行项目实施满意度跟踪与调查。</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7.4.1.3现场实施的质量控制</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针对扬州市数字机关大院项目，始终将建设高标准、高质量作为终极目标，要从各方面加强质量控制和管理。在项目的需求调研、设计、研发、测试、部署、上线试运行、验收中，要严格执行我国现有各类规范、规程及法规。对我国规范没有规定的，要参照国际上较先进国家的标准实施。要建立和健全质量保证体系，使质量管理工作制度化，要聘请项目监理单位，建立项目监理跟踪检验制度，阶段性验收制度和质量一票否决制度。</w:t>
      </w:r>
      <w:r/>
    </w:p>
    <w:p>
      <w:pPr>
        <w:pStyle w:val="712"/>
        <w:jc w:val="both"/>
        <w:spacing w:before="0" w:after="0" w:line="480" w:lineRule="auto"/>
        <w:widowControl/>
        <w:rPr>
          <w:color w:val="000000"/>
          <w:highlight w:val="none"/>
        </w:rPr>
      </w:pPr>
      <w:r>
        <w:rPr>
          <w:rFonts w:hint="eastAsia" w:ascii="宋体" w:hAnsi="宋体" w:eastAsia="宋体"/>
          <w:color w:val="000000"/>
          <w:sz w:val="24"/>
          <w:szCs w:val="24"/>
          <w:highlight w:val="none"/>
        </w:rPr>
        <w:t xml:space="preserve">7.4.2 项目资金管理</w:t>
      </w:r>
      <w:r/>
    </w:p>
    <w:p>
      <w:pPr>
        <w:pStyle w:val="712"/>
        <w:jc w:val="both"/>
        <w:spacing w:before="0" w:after="0" w:line="480" w:lineRule="auto"/>
        <w:widowControl/>
        <w:rPr>
          <w:color w:val="000000"/>
          <w:highlight w:val="none"/>
        </w:rPr>
      </w:pPr>
      <w:r>
        <w:rPr>
          <w:rFonts w:hint="eastAsia" w:ascii="宋体" w:hAnsi="宋体" w:eastAsia="宋体"/>
          <w:color w:val="000000"/>
          <w:sz w:val="24"/>
          <w:szCs w:val="24"/>
          <w:highlight w:val="none"/>
        </w:rPr>
        <w:t xml:space="preserve">7.4.2.1 项目范围制定</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项目范围的制定是一切项目工作的基础，在项目的不同阶段会产生不同的计划输出。将项目内容进行细化的过程，细化的单位是工作包，工作包就是最小交付物，采用项目管理标准 WBS 模板进行任务分解，根据任务分解内容评估项目资金投入及支出计划。</w:t>
      </w:r>
      <w:r/>
    </w:p>
    <w:p>
      <w:pPr>
        <w:pStyle w:val="712"/>
        <w:jc w:val="both"/>
        <w:spacing w:before="0" w:after="0" w:line="480" w:lineRule="auto"/>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ascii="宋体" w:hAnsi="宋体" w:eastAsia="宋体"/>
          <w:color w:val="000000"/>
          <w:sz w:val="24"/>
          <w:szCs w:val="24"/>
          <w:highlight w:val="none"/>
        </w:rPr>
        <w:t xml:space="preserve">.4.2.2 项目成本管理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提前做好资金使用计划，严格执行预算；防止超预算现象（特别情况除外）</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 严格按照项目合同条款支付项目款；在资金成本使用的各个阶段中，将遵循有关部门的相关管理制度和文件。同时，认真接受市发改委、市财政局、市审计局等有关部门对项目的各项开支的监督和检查。</w:t>
      </w:r>
      <w:r/>
    </w:p>
    <w:p>
      <w:pPr>
        <w:pStyle w:val="712"/>
        <w:jc w:val="both"/>
        <w:spacing w:before="0" w:after="0" w:line="480" w:lineRule="auto"/>
        <w:widowControl/>
        <w:rPr>
          <w:color w:val="000000"/>
          <w:highlight w:val="none"/>
        </w:rPr>
      </w:pPr>
      <w:r>
        <w:rPr>
          <w:rFonts w:hint="eastAsia" w:ascii="宋体" w:hAnsi="宋体" w:eastAsia="宋体"/>
          <w:color w:val="000000"/>
          <w:sz w:val="24"/>
          <w:szCs w:val="24"/>
          <w:highlight w:val="none"/>
        </w:rPr>
        <w:t xml:space="preserve">7</w:t>
      </w:r>
      <w:r>
        <w:rPr>
          <w:rFonts w:ascii="宋体" w:hAnsi="宋体" w:eastAsia="宋体"/>
          <w:color w:val="000000"/>
          <w:sz w:val="24"/>
          <w:szCs w:val="24"/>
          <w:highlight w:val="none"/>
        </w:rPr>
        <w:t xml:space="preserve">.4.2.</w:t>
      </w:r>
      <w:r>
        <w:rPr>
          <w:rFonts w:hint="eastAsia" w:ascii="宋体" w:hAnsi="宋体" w:eastAsia="宋体"/>
          <w:color w:val="000000"/>
          <w:sz w:val="24"/>
          <w:szCs w:val="24"/>
          <w:highlight w:val="none"/>
        </w:rPr>
        <w:t xml:space="preserve">3</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项目变更控制</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对项目的变更控制也是非常重要的工作。建立一套规范的变更管理制度，在发生变更时遵循规范的变更程序来管理变更。通常对发生的变更，需要识别是否在既定的项目范围之内。若是在项目范围之内，就需要评估变更所造成的影响，以及如何应对的措施，受影响的各方应清楚明了自己所受的影响；如果变更是在项目范围之外，那么就需要项目各方组织进行谈判，看是否增加费用，还是放弃 变更。通过制定专门的管理程序，对项目变更进行控制，在项目生命周期的整个过程中对变更进行识别、评价和管理。</w:t>
      </w:r>
      <w:r/>
    </w:p>
    <w:p>
      <w:pPr>
        <w:pStyle w:val="712"/>
        <w:jc w:val="both"/>
        <w:spacing w:before="0" w:after="0" w:line="480" w:lineRule="auto"/>
        <w:widowControl/>
        <w:rPr>
          <w:color w:val="000000"/>
          <w:highlight w:val="none"/>
        </w:rPr>
      </w:pPr>
      <w:r>
        <w:rPr>
          <w:rFonts w:hint="eastAsia" w:ascii="宋体" w:hAnsi="宋体" w:eastAsia="宋体"/>
          <w:color w:val="000000"/>
          <w:sz w:val="24"/>
          <w:szCs w:val="24"/>
          <w:highlight w:val="none"/>
        </w:rPr>
        <w:t xml:space="preserve">7</w:t>
      </w:r>
      <w:r>
        <w:rPr>
          <w:rFonts w:ascii="宋体" w:hAnsi="宋体" w:eastAsia="宋体"/>
          <w:color w:val="000000"/>
          <w:sz w:val="24"/>
          <w:szCs w:val="24"/>
          <w:highlight w:val="none"/>
        </w:rPr>
        <w:t xml:space="preserve">.4.2.</w:t>
      </w:r>
      <w:r>
        <w:rPr>
          <w:rFonts w:hint="eastAsia" w:ascii="宋体" w:hAnsi="宋体" w:eastAsia="宋体"/>
          <w:color w:val="000000"/>
          <w:sz w:val="24"/>
          <w:szCs w:val="24"/>
          <w:highlight w:val="none"/>
        </w:rPr>
        <w:t xml:space="preserve">4</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项目绩效管理</w:t>
      </w:r>
      <w:r/>
    </w:p>
    <w:p>
      <w:pPr>
        <w:pStyle w:val="723"/>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建立绩效考核标准，项目实施机构按照绩效考核要求，提高现场人员的工作效能</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并及时对重大问题进行纠偏。</w:t>
      </w:r>
      <w:r/>
    </w:p>
    <w:p>
      <w:pPr>
        <w:pStyle w:val="723"/>
        <w:ind w:left="0" w:firstLine="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7.5 项目人员要求</w:t>
      </w:r>
      <w:r/>
    </w:p>
    <w:p>
      <w:pPr>
        <w:spacing w:line="440" w:lineRule="exact"/>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7.5.1</w:t>
      </w:r>
      <w:r>
        <w:rPr>
          <w:rFonts w:hint="eastAsia" w:ascii="宋体" w:hAnsi="宋体" w:cs="宋体"/>
          <w:color w:val="auto"/>
          <w:sz w:val="24"/>
          <w:szCs w:val="24"/>
          <w:highlight w:val="none"/>
        </w:rPr>
        <w:t xml:space="preserve">项目经理</w:t>
      </w:r>
      <w:r>
        <w:rPr>
          <w:rFonts w:hint="eastAsia" w:ascii="宋体" w:hAnsi="宋体" w:cs="宋体"/>
          <w:color w:val="auto"/>
          <w:sz w:val="24"/>
          <w:szCs w:val="24"/>
          <w:highlight w:val="none"/>
          <w:lang w:eastAsia="zh-CN"/>
        </w:rPr>
        <w:t xml:space="preserve">需要</w:t>
      </w:r>
      <w:r>
        <w:rPr>
          <w:rFonts w:hint="eastAsia" w:ascii="宋体" w:hAnsi="宋体" w:cs="宋体"/>
          <w:color w:val="auto"/>
          <w:sz w:val="24"/>
          <w:szCs w:val="24"/>
          <w:highlight w:val="none"/>
        </w:rPr>
        <w:t xml:space="preserve">具有信息系统项目管理师、系统规划与管理师、ITSS服务项目经理</w:t>
      </w:r>
      <w:r>
        <w:rPr>
          <w:rFonts w:hint="eastAsia" w:ascii="宋体" w:hAnsi="宋体" w:cs="宋体"/>
          <w:color w:val="auto"/>
          <w:sz w:val="24"/>
          <w:szCs w:val="24"/>
          <w:highlight w:val="none"/>
          <w:lang w:eastAsia="zh-CN"/>
        </w:rPr>
        <w:t xml:space="preserve">资质证书</w:t>
      </w:r>
      <w:r>
        <w:rPr>
          <w:rFonts w:hint="eastAsia" w:ascii="宋体" w:hAnsi="宋体" w:cs="宋体"/>
          <w:color w:val="auto"/>
          <w:sz w:val="24"/>
          <w:szCs w:val="24"/>
          <w:highlight w:val="none"/>
        </w:rPr>
        <w:t xml:space="preserve">。</w:t>
      </w:r>
      <w:r/>
    </w:p>
    <w:p>
      <w:pPr>
        <w:spacing w:line="440" w:lineRule="exact"/>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7.5.2 </w:t>
      </w:r>
      <w:r>
        <w:rPr>
          <w:rFonts w:hint="eastAsia" w:ascii="宋体" w:hAnsi="宋体" w:cs="宋体"/>
          <w:color w:val="auto"/>
          <w:sz w:val="24"/>
          <w:szCs w:val="24"/>
          <w:highlight w:val="none"/>
        </w:rPr>
        <w:t xml:space="preserve">技术负责人</w:t>
      </w:r>
      <w:r>
        <w:rPr>
          <w:rFonts w:hint="eastAsia" w:ascii="宋体" w:hAnsi="宋体" w:cs="宋体"/>
          <w:color w:val="auto"/>
          <w:sz w:val="24"/>
          <w:szCs w:val="24"/>
          <w:highlight w:val="none"/>
          <w:lang w:eastAsia="zh-CN"/>
        </w:rPr>
        <w:t xml:space="preserve">需要</w:t>
      </w:r>
      <w:r>
        <w:rPr>
          <w:rFonts w:hint="eastAsia" w:ascii="宋体" w:hAnsi="宋体" w:cs="宋体"/>
          <w:color w:val="auto"/>
          <w:sz w:val="24"/>
          <w:szCs w:val="24"/>
          <w:highlight w:val="none"/>
        </w:rPr>
        <w:t xml:space="preserve">具有系统架构设计师、软件设计师</w:t>
      </w:r>
      <w:r>
        <w:rPr>
          <w:rFonts w:hint="eastAsia" w:ascii="宋体" w:hAnsi="宋体" w:cs="宋体"/>
          <w:color w:val="auto"/>
          <w:sz w:val="24"/>
          <w:szCs w:val="24"/>
          <w:highlight w:val="none"/>
          <w:lang w:eastAsia="zh-CN"/>
        </w:rPr>
        <w:t xml:space="preserve">资质证书</w:t>
      </w:r>
      <w:r>
        <w:rPr>
          <w:rFonts w:hint="eastAsia" w:ascii="宋体" w:hAnsi="宋体" w:cs="宋体"/>
          <w:color w:val="auto"/>
          <w:sz w:val="24"/>
          <w:szCs w:val="24"/>
          <w:highlight w:val="none"/>
        </w:rPr>
        <w:t xml:space="preserve">。</w:t>
      </w:r>
      <w:r/>
    </w:p>
    <w:p>
      <w:pPr>
        <w:spacing w:line="440" w:lineRule="exact"/>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7.5.3 </w:t>
      </w:r>
      <w:r>
        <w:rPr>
          <w:rFonts w:hint="eastAsia" w:ascii="宋体" w:hAnsi="宋体" w:cs="宋体"/>
          <w:color w:val="auto"/>
          <w:sz w:val="24"/>
          <w:szCs w:val="24"/>
          <w:highlight w:val="none"/>
        </w:rPr>
        <w:t xml:space="preserve">项目组其他成员</w:t>
      </w:r>
      <w:r>
        <w:rPr>
          <w:rFonts w:hint="eastAsia" w:ascii="宋体" w:hAnsi="宋体" w:cs="宋体"/>
          <w:color w:val="auto"/>
          <w:sz w:val="24"/>
          <w:szCs w:val="24"/>
          <w:highlight w:val="none"/>
          <w:lang w:eastAsia="zh-CN"/>
        </w:rPr>
        <w:t xml:space="preserve">需要</w:t>
      </w:r>
      <w:r>
        <w:rPr>
          <w:rFonts w:hint="eastAsia" w:ascii="宋体" w:hAnsi="宋体" w:cs="宋体"/>
          <w:color w:val="auto"/>
          <w:sz w:val="24"/>
          <w:szCs w:val="24"/>
          <w:highlight w:val="none"/>
        </w:rPr>
        <w:t xml:space="preserve">具有数据库系统工程师、系统分析师、信息系统项目管理师、软件设计师、注册信息安全专业人员</w:t>
      </w:r>
      <w:r>
        <w:rPr>
          <w:rFonts w:hint="eastAsia" w:ascii="宋体" w:hAnsi="宋体" w:cs="宋体"/>
          <w:color w:val="auto"/>
          <w:sz w:val="24"/>
          <w:szCs w:val="24"/>
          <w:highlight w:val="none"/>
          <w:lang w:eastAsia="zh-CN"/>
        </w:rPr>
        <w:t xml:space="preserve">资质证书</w:t>
      </w:r>
      <w:r>
        <w:rPr>
          <w:rFonts w:hint="eastAsia" w:ascii="宋体" w:hAnsi="宋体" w:cs="宋体"/>
          <w:color w:val="auto"/>
          <w:sz w:val="24"/>
          <w:szCs w:val="24"/>
          <w:highlight w:val="none"/>
        </w:rPr>
        <w:t xml:space="preserve">。</w:t>
      </w:r>
      <w:r/>
    </w:p>
    <w:p>
      <w:pPr>
        <w:pStyle w:val="723"/>
        <w:ind w:left="0" w:firstLine="0"/>
        <w:spacing w:line="360" w:lineRule="auto"/>
        <w:rPr>
          <w:rFonts w:hint="default" w:ascii="宋体" w:hAnsi="宋体"/>
          <w:color w:val="00b050"/>
          <w:sz w:val="24"/>
          <w:szCs w:val="24"/>
          <w:highlight w:val="none"/>
          <w:lang w:val="en-US" w:eastAsia="zh-CN"/>
        </w:rPr>
      </w:pPr>
      <w:r>
        <w:rPr>
          <w:rFonts w:hint="default" w:ascii="宋体" w:hAnsi="宋体"/>
          <w:color w:val="00b050"/>
          <w:sz w:val="24"/>
          <w:szCs w:val="24"/>
          <w:highlight w:val="none"/>
          <w:lang w:val="en-US" w:eastAsia="zh-CN"/>
        </w:rPr>
      </w:r>
      <w:r/>
    </w:p>
    <w:p>
      <w:pPr>
        <w:pStyle w:val="723"/>
        <w:ind w:firstLine="0"/>
        <w:spacing w:line="720" w:lineRule="auto"/>
        <w:rPr>
          <w:rFonts w:ascii="宋体" w:hAnsi="宋体"/>
          <w:b/>
          <w:color w:val="000000"/>
          <w:sz w:val="24"/>
          <w:szCs w:val="24"/>
          <w:highlight w:val="none"/>
        </w:rPr>
      </w:pPr>
      <w:r>
        <w:rPr>
          <w:rFonts w:hint="eastAsia" w:ascii="宋体" w:hAnsi="宋体"/>
          <w:b/>
          <w:color w:val="000000"/>
          <w:sz w:val="24"/>
          <w:szCs w:val="24"/>
          <w:highlight w:val="none"/>
        </w:rPr>
        <w:t xml:space="preserve">8、验收要求</w:t>
      </w:r>
      <w:r/>
    </w:p>
    <w:p>
      <w:pPr>
        <w:pStyle w:val="723"/>
        <w:ind w:firstLine="0"/>
        <w:spacing w:line="48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8.1申请验收条件</w:t>
      </w:r>
      <w:r/>
    </w:p>
    <w:p>
      <w:pPr>
        <w:pStyle w:val="723"/>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8.1.1系统部署阶段完成网络安全等级保护定级备案，取得备案证明。</w:t>
      </w:r>
      <w:r/>
    </w:p>
    <w:p>
      <w:pPr>
        <w:pStyle w:val="723"/>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8.1.2系统上线前通过网络安全等级保护测评（得分超过 70 分），取得等级保护测评报告，方可试运行。</w:t>
      </w:r>
      <w:r/>
    </w:p>
    <w:p>
      <w:pPr>
        <w:pStyle w:val="723"/>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8.1.3实施工作全部完成且系统上线试运行满 3 个月未出现重大故障。</w:t>
      </w:r>
      <w:r/>
    </w:p>
    <w:p>
      <w:pPr>
        <w:pStyle w:val="723"/>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8.1.4系统验收前完成密码应用安全性评估（得分超过 60 分，且无高危风险项）。</w:t>
      </w:r>
      <w:r/>
    </w:p>
    <w:p>
      <w:pPr>
        <w:pStyle w:val="723"/>
        <w:ind w:firstLine="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8.1.5服务类项目在服务期满后，通</w:t>
      </w:r>
      <w:r>
        <w:rPr>
          <w:rFonts w:hint="eastAsia" w:ascii="宋体" w:hAnsi="宋体"/>
          <w:color w:val="000000"/>
          <w:sz w:val="24"/>
          <w:szCs w:val="24"/>
          <w:highlight w:val="none"/>
        </w:rPr>
        <w:t xml:space="preserve">过牵头单位考核。项目建设部门（单位）在向扬州市大数据管理局提交验收申请前，按照“项目验收材料清单” 格式编制本项目的验收材料清单。具体包括项目采购阶段、实施阶段及运维售后阶段材料。其中，软件测试报告应由具备相应资质要求的第三方提供。项目监理在验收过程中，需提供但不限于开工报审材料、试运行报审、验收报审、监理周报、监理月报、监理会议纪要、工作联系单及监理阶段性总结报告等材料。若验收材料因项目施工建设及部署环境的特殊性而无法提供，应出具情况说明，经项目建设部门（单位）、监理单位盖章确认后随其他验收资料一并提交。</w:t>
      </w:r>
      <w:r/>
    </w:p>
    <w:p>
      <w:pPr>
        <w:pStyle w:val="723"/>
        <w:ind w:firstLine="0"/>
        <w:spacing w:line="48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8.2 验收评估</w:t>
      </w:r>
      <w:r/>
    </w:p>
    <w:p>
      <w:pPr>
        <w:pStyle w:val="723"/>
        <w:ind w:firstLine="481"/>
        <w:spacing w:line="360" w:lineRule="auto"/>
        <w:rPr>
          <w:rFonts w:ascii="宋体" w:hAnsi="宋体"/>
          <w:color w:val="auto"/>
          <w:sz w:val="24"/>
          <w:szCs w:val="24"/>
          <w:highlight w:val="none"/>
        </w:rPr>
      </w:pPr>
      <w:r>
        <w:rPr>
          <w:rFonts w:hint="eastAsia" w:ascii="宋体" w:hAnsi="宋体"/>
          <w:color w:val="000000"/>
          <w:sz w:val="24"/>
          <w:szCs w:val="24"/>
          <w:highlight w:val="none"/>
        </w:rPr>
        <w:t xml:space="preserve">扬州市大数据管理局对照扬州市数字政府建设规范体系要求，牵头组织对项目功能设计、资源整合、数据共享、对接融合和安全保障等方面完成情况进行评估，形成</w:t>
      </w:r>
      <w:r>
        <w:rPr>
          <w:rFonts w:hint="eastAsia" w:ascii="宋体" w:hAnsi="宋体"/>
          <w:color w:val="auto"/>
          <w:sz w:val="24"/>
          <w:szCs w:val="24"/>
          <w:highlight w:val="none"/>
        </w:rPr>
        <w:t xml:space="preserve">项目验收评估报告。主要包括：</w:t>
      </w:r>
      <w:r/>
    </w:p>
    <w:p>
      <w:pPr>
        <w:pStyle w:val="723"/>
        <w:ind w:firstLine="48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8.2.1资料齐套性检查，根据验收材料清单完成资料核查。</w:t>
      </w:r>
      <w:r/>
    </w:p>
    <w:p>
      <w:pPr>
        <w:pStyle w:val="723"/>
        <w:ind w:firstLine="48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8.2.2检查建设方案、采购文件及采购合同、软硬件系统功能的一致性，提供系统功能检查记录。</w:t>
      </w:r>
      <w:r/>
    </w:p>
    <w:p>
      <w:pPr>
        <w:pStyle w:val="723"/>
        <w:ind w:firstLine="48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8.2.3项目变更情况。</w:t>
      </w:r>
      <w:r/>
    </w:p>
    <w:p>
      <w:pPr>
        <w:pStyle w:val="723"/>
        <w:ind w:firstLine="48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8.2.4项目硬件基础设施整合情况，检查项目与数字政府“云、网、数、用、安”基础设施整合完成情况。</w:t>
      </w:r>
      <w:r/>
    </w:p>
    <w:p>
      <w:pPr>
        <w:pStyle w:val="723"/>
        <w:ind w:firstLine="48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8.2.5项目数据共享情况，检查项目与扬州市大数据共享开放平台的数据共享工作完成情况。</w:t>
      </w:r>
      <w:r/>
    </w:p>
    <w:p>
      <w:pPr>
        <w:pStyle w:val="723"/>
        <w:ind w:firstLine="48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8.2.6项目对接融合情况，检查项目与政务服务“一网通办”“互联网+监管”等平台（系统）、“一网统管” 平台等对接融合情况，使用共性应用支撑情况，移动端功能与“苏服办”APP、“党政办公”APP、“我的扬州”APP等基础移动门户集成情况。</w:t>
      </w:r>
      <w:r/>
    </w:p>
    <w:p>
      <w:pPr>
        <w:pStyle w:val="723"/>
        <w:ind w:firstLine="48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8.2.7项目安全保障情况，检查项目网络安全等级保护备案及测评、密码应用安全性评估等网络安全工作完成情况。</w:t>
      </w:r>
      <w:r/>
    </w:p>
    <w:p>
      <w:pPr>
        <w:pStyle w:val="723"/>
        <w:ind w:firstLine="48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8.2.8项目绩效完成情况，检查项目取得的经济效益及社会效益等。</w:t>
      </w:r>
      <w:r/>
    </w:p>
    <w:p>
      <w:pPr>
        <w:pStyle w:val="723"/>
        <w:ind w:firstLine="481"/>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要求保障项目质量，确保其能够通过相关部门验收。</w:t>
      </w:r>
      <w:r/>
    </w:p>
    <w:p>
      <w:pPr>
        <w:pStyle w:val="711"/>
        <w:numPr>
          <w:ilvl w:val="0"/>
          <w:numId w:val="13"/>
        </w:numPr>
        <w:jc w:val="both"/>
        <w:keepLines/>
        <w:spacing w:before="120" w:line="720" w:lineRule="auto"/>
        <w:widowControl/>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软件版权</w:t>
      </w:r>
      <w:r>
        <w:rPr>
          <w:rFonts w:hint="eastAsia" w:ascii="宋体" w:hAnsi="宋体" w:eastAsia="宋体"/>
          <w:b/>
          <w:color w:val="auto"/>
          <w:sz w:val="24"/>
          <w:szCs w:val="24"/>
          <w:highlight w:val="none"/>
          <w:lang w:eastAsia="zh-CN"/>
        </w:rPr>
        <w:t xml:space="preserve">、数据产权及售后保障</w:t>
      </w:r>
      <w:r/>
    </w:p>
    <w:p>
      <w:pPr>
        <w:pStyle w:val="723"/>
        <w:ind w:firstLine="481"/>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9.1开发后的软件版权及数据产权归</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所有。</w:t>
      </w:r>
      <w:r/>
    </w:p>
    <w:p>
      <w:pPr>
        <w:pStyle w:val="723"/>
        <w:ind w:firstLine="481"/>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9.2验收成功后，建设公司须将源代码交给</w:t>
      </w:r>
      <w:r>
        <w:rPr>
          <w:rFonts w:hint="eastAsia" w:ascii="宋体" w:hAnsi="宋体"/>
          <w:color w:val="auto"/>
          <w:sz w:val="24"/>
          <w:szCs w:val="24"/>
          <w:highlight w:val="none"/>
          <w:lang w:val="en-US" w:eastAsia="zh-CN"/>
        </w:rPr>
        <w:t xml:space="preserve">采购人</w:t>
      </w:r>
      <w:r>
        <w:rPr>
          <w:rFonts w:hint="eastAsia" w:ascii="宋体" w:hAnsi="宋体"/>
          <w:color w:val="auto"/>
          <w:sz w:val="24"/>
          <w:szCs w:val="24"/>
          <w:highlight w:val="none"/>
        </w:rPr>
        <w:t xml:space="preserve">。</w:t>
      </w:r>
      <w:r/>
    </w:p>
    <w:p>
      <w:pPr>
        <w:pStyle w:val="723"/>
        <w:ind w:firstLine="481"/>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9.3中标人在售后服务阶段安排专人维护，提供专业负责的售后服务，包括但不限于：如系统在使用时出现故障和问题，售后人员需要24小时内到达现场排除故障解决问题；使用过程中发现需要优化时，积极配合中标人研究优化改进方案；积极配合市委网信办、市大数据管理局等部门完成信息系统摸底、网络安全检查等工作，提供必要信息。要求提供售后方案，展现售后团队能力，设置应急处置方案等，售后方案应当逻辑清晰，合理可行。</w:t>
      </w:r>
      <w:r/>
    </w:p>
    <w:p>
      <w:pPr>
        <w:pStyle w:val="711"/>
        <w:jc w:val="both"/>
        <w:keepLines/>
        <w:spacing w:before="120" w:line="720" w:lineRule="auto"/>
        <w:widowControl/>
        <w:rPr>
          <w:color w:val="auto"/>
          <w:highlight w:val="none"/>
        </w:rPr>
      </w:pPr>
      <w:r>
        <w:rPr>
          <w:rFonts w:hint="eastAsia" w:ascii="宋体" w:hAnsi="宋体" w:eastAsia="宋体"/>
          <w:b/>
          <w:color w:val="auto"/>
          <w:sz w:val="24"/>
          <w:szCs w:val="24"/>
          <w:highlight w:val="none"/>
        </w:rPr>
        <w:t xml:space="preserve">10、报价要求</w:t>
      </w:r>
      <w:r/>
    </w:p>
    <w:p>
      <w:pPr>
        <w:pStyle w:val="723"/>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10.1本项目报价为固定总价方式。</w:t>
      </w:r>
      <w:r>
        <w:rPr>
          <w:rFonts w:hint="eastAsia"/>
          <w:bCs/>
          <w:iCs/>
          <w:color w:val="auto"/>
          <w:sz w:val="24"/>
          <w:szCs w:val="24"/>
          <w:lang w:eastAsia="zh-CN"/>
        </w:rPr>
        <w:t xml:space="preserve">投标人</w:t>
      </w:r>
      <w:r>
        <w:rPr>
          <w:rFonts w:hint="eastAsia" w:ascii="宋体" w:hAnsi="宋体"/>
          <w:color w:val="auto"/>
          <w:sz w:val="24"/>
          <w:szCs w:val="24"/>
          <w:highlight w:val="none"/>
        </w:rPr>
        <w:t xml:space="preserve">报价时应根据招标文件所提出的服务项目、服务要求等各类费用组成进行综合报价。报价中应包含市场价格风险和政策风险在内的一切费用，中标后，</w:t>
      </w:r>
      <w:r>
        <w:rPr>
          <w:rFonts w:hint="eastAsia" w:ascii="宋体" w:hAnsi="宋体"/>
          <w:color w:val="auto"/>
          <w:sz w:val="24"/>
          <w:szCs w:val="24"/>
          <w:highlight w:val="none"/>
          <w:lang w:eastAsia="zh-CN"/>
        </w:rPr>
        <w:t xml:space="preserve">中标人</w:t>
      </w:r>
      <w:r>
        <w:rPr>
          <w:rFonts w:hint="eastAsia" w:ascii="宋体" w:hAnsi="宋体"/>
          <w:color w:val="auto"/>
          <w:sz w:val="24"/>
          <w:szCs w:val="24"/>
          <w:highlight w:val="none"/>
        </w:rPr>
        <w:t xml:space="preserve">由于考虑不周，漏报、少报而要求追加报价将不会被采购人所接受。</w:t>
      </w:r>
      <w:r/>
    </w:p>
    <w:p>
      <w:pPr>
        <w:pStyle w:val="723"/>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10.2</w:t>
      </w:r>
      <w:r>
        <w:rPr>
          <w:rFonts w:hint="eastAsia"/>
          <w:bCs/>
          <w:iCs/>
          <w:color w:val="auto"/>
          <w:sz w:val="24"/>
          <w:szCs w:val="24"/>
          <w:lang w:eastAsia="zh-CN"/>
        </w:rPr>
        <w:t xml:space="preserve">投标人</w:t>
      </w:r>
      <w:r>
        <w:rPr>
          <w:rFonts w:hint="eastAsia" w:ascii="宋体" w:hAnsi="宋体"/>
          <w:color w:val="auto"/>
          <w:sz w:val="24"/>
          <w:szCs w:val="24"/>
          <w:highlight w:val="none"/>
        </w:rPr>
        <w:t xml:space="preserve">的任何错漏、优惠、竞争性报价不得作为减轻责任、减少服务、增加收费、降低质量的理由。在验收过程中，如发现疏漏，</w:t>
      </w:r>
      <w:r>
        <w:rPr>
          <w:rFonts w:hint="eastAsia"/>
          <w:bCs/>
          <w:iCs/>
          <w:color w:val="auto"/>
          <w:sz w:val="24"/>
          <w:szCs w:val="24"/>
          <w:lang w:eastAsia="zh-CN"/>
        </w:rPr>
        <w:t xml:space="preserve">中标人</w:t>
      </w:r>
      <w:r>
        <w:rPr>
          <w:rFonts w:hint="eastAsia" w:ascii="宋体" w:hAnsi="宋体"/>
          <w:color w:val="auto"/>
          <w:sz w:val="24"/>
          <w:szCs w:val="24"/>
          <w:highlight w:val="none"/>
        </w:rPr>
        <w:t xml:space="preserve">应无条件、无偿补齐，所发生的一切费用，视为已包含在</w:t>
      </w:r>
      <w:r>
        <w:rPr>
          <w:rFonts w:hint="eastAsia"/>
          <w:bCs/>
          <w:iCs/>
          <w:color w:val="auto"/>
          <w:sz w:val="24"/>
          <w:szCs w:val="24"/>
          <w:lang w:eastAsia="zh-CN"/>
        </w:rPr>
        <w:t xml:space="preserve">中标人</w:t>
      </w:r>
      <w:r>
        <w:rPr>
          <w:rFonts w:hint="eastAsia" w:ascii="宋体" w:hAnsi="宋体"/>
          <w:color w:val="auto"/>
          <w:sz w:val="24"/>
          <w:szCs w:val="24"/>
          <w:highlight w:val="none"/>
        </w:rPr>
        <w:t xml:space="preserve">的投标报价中。</w:t>
      </w:r>
      <w:r/>
    </w:p>
    <w:p>
      <w:pPr>
        <w:pStyle w:val="711"/>
        <w:jc w:val="both"/>
        <w:keepLines/>
        <w:spacing w:before="120" w:line="720" w:lineRule="auto"/>
        <w:widowControl/>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lang w:val="en-US" w:eastAsia="zh-CN"/>
        </w:rPr>
        <w:t xml:space="preserve">11、演示内容</w:t>
      </w:r>
      <w:r/>
    </w:p>
    <w:p>
      <w:pPr>
        <w:numPr>
          <w:ilvl w:val="0"/>
          <w:numId w:val="0"/>
        </w:numPr>
        <w:ind w:firstLine="240"/>
        <w:spacing w:line="452" w:lineRule="exact"/>
        <w:shd w:val="clear" w:color="auto"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lang w:val="zh-CN"/>
        </w:rPr>
        <w:t xml:space="preserve">分钟。</w:t>
      </w:r>
      <w:r/>
    </w:p>
    <w:p>
      <w:pPr>
        <w:pStyle w:val="722"/>
        <w:rPr>
          <w:rFonts w:hint="eastAsia"/>
          <w:color w:val="auto"/>
          <w:lang w:val="en-US" w:eastAsia="zh-CN"/>
        </w:rPr>
      </w:pPr>
      <w:r>
        <w:rPr>
          <w:rFonts w:hint="eastAsia"/>
          <w:color w:val="auto"/>
          <w:lang w:val="en-US" w:eastAsia="zh-CN"/>
        </w:rPr>
      </w:r>
      <w:r/>
    </w:p>
    <w:p>
      <w:pPr>
        <w:pStyle w:val="723"/>
        <w:ind w:firstLine="480"/>
        <w:spacing w:line="360" w:lineRule="auto"/>
        <w:rPr>
          <w:rFonts w:hint="eastAsia" w:ascii="宋体" w:hAnsi="宋体" w:eastAsia="宋体"/>
          <w:color w:val="000000"/>
          <w:sz w:val="24"/>
          <w:szCs w:val="24"/>
          <w:highlight w:val="yellow"/>
          <w:lang w:val="en-US" w:eastAsia="zh-CN"/>
        </w:rPr>
      </w:pPr>
      <w:r>
        <w:rPr>
          <w:rFonts w:hint="eastAsia" w:ascii="宋体" w:hAnsi="宋体"/>
          <w:color w:val="auto"/>
          <w:sz w:val="24"/>
          <w:szCs w:val="24"/>
          <w:highlight w:val="none"/>
          <w:lang w:val="en-US" w:eastAsia="zh-CN"/>
        </w:rPr>
        <w:t xml:space="preserve">演示数据集中展示页面</w:t>
      </w:r>
      <w:r>
        <w:rPr>
          <w:rFonts w:hint="eastAsia" w:ascii="宋体" w:hAnsi="宋体"/>
          <w:color w:val="000000"/>
          <w:sz w:val="24"/>
          <w:szCs w:val="24"/>
          <w:highlight w:val="none"/>
          <w:lang w:val="en-US" w:eastAsia="zh-CN"/>
        </w:rPr>
        <w:t xml:space="preserve">，展示办公用房、公务用车、公共机构节能“三张网”、公物仓管理信息化平台实时数据，通过数据采集自动生成可视化统计图，</w:t>
      </w:r>
      <w:r>
        <w:rPr>
          <w:rFonts w:hint="eastAsia" w:ascii="宋体" w:hAnsi="宋体"/>
          <w:color w:val="000000"/>
          <w:sz w:val="24"/>
          <w:szCs w:val="24"/>
          <w:highlight w:val="none"/>
          <w:lang w:val="en-US" w:eastAsia="zh-CN"/>
        </w:rPr>
        <w:t xml:space="preserve">包括办公用房数量统计、区域分布、面积统计，公务用车总量、分布情况、维修费用统计、油耗统计，公共机构能耗统计，市级机关公物仓库存物品数量、调剂使用情况等，直观展现工作情况。上述办公用房、公务用车、公共机构节能、公物仓每个模块只需选择其中任意一种数据进行可视化演示。</w:t>
      </w:r>
      <w:r>
        <w:rPr>
          <w:rFonts w:ascii="宋体" w:hAnsi="宋体" w:eastAsia="宋体" w:cs="宋体"/>
          <w:sz w:val="24"/>
          <w:szCs w:val="24"/>
          <w:highlight w:val="none"/>
        </w:rPr>
        <w:t xml:space="preserve">集中展示页面整体要美观大方、风格统一</w:t>
      </w:r>
      <w:r>
        <w:rPr>
          <w:rFonts w:hint="eastAsia" w:ascii="宋体" w:hAnsi="宋体" w:cs="宋体"/>
          <w:sz w:val="24"/>
          <w:szCs w:val="24"/>
          <w:highlight w:val="none"/>
          <w:lang w:eastAsia="zh-CN"/>
        </w:rPr>
        <w:t xml:space="preserve">。</w:t>
      </w:r>
      <w:r/>
    </w:p>
    <w:p>
      <w:pPr>
        <w:pStyle w:val="723"/>
        <w:ind w:firstLine="480"/>
        <w:spacing w:line="360" w:lineRule="auto"/>
        <w:rPr>
          <w:rFonts w:hint="eastAsia" w:ascii="宋体" w:hAnsi="宋体"/>
          <w:sz w:val="24"/>
          <w:szCs w:val="24"/>
        </w:rPr>
      </w:pPr>
      <w:r>
        <w:rPr>
          <w:rFonts w:hint="eastAsia" w:ascii="宋体" w:hAnsi="宋体"/>
          <w:sz w:val="24"/>
          <w:szCs w:val="24"/>
        </w:rPr>
      </w:r>
      <w:r/>
    </w:p>
    <w:p>
      <w:pPr>
        <w:pStyle w:val="723"/>
        <w:ind w:firstLine="480"/>
        <w:spacing w:line="360" w:lineRule="auto"/>
        <w:rPr>
          <w:rFonts w:hint="eastAsia" w:ascii="宋体" w:hAnsi="宋体"/>
          <w:sz w:val="24"/>
          <w:szCs w:val="24"/>
        </w:rPr>
      </w:pPr>
      <w:r>
        <w:rPr>
          <w:rFonts w:hint="eastAsia" w:ascii="宋体" w:hAnsi="宋体"/>
          <w:sz w:val="24"/>
          <w:szCs w:val="24"/>
        </w:rPr>
      </w:r>
      <w:r/>
    </w:p>
    <w:p>
      <w:pPr>
        <w:pStyle w:val="896"/>
        <w:rPr>
          <w:rFonts w:hint="eastAsia"/>
          <w:b/>
          <w:bCs/>
        </w:rPr>
      </w:pPr>
      <w:r/>
      <w:bookmarkStart w:id="200" w:name="_Toc5710"/>
      <w:r/>
      <w:bookmarkStart w:id="201" w:name="_Toc9666"/>
      <w:r/>
      <w:bookmarkStart w:id="202" w:name="_Toc120614281"/>
      <w:r>
        <w:rPr>
          <w:rFonts w:hint="eastAsia"/>
          <w:b/>
          <w:bCs/>
        </w:rPr>
        <w:t xml:space="preserve">第五章  评标方法与评标标准</w:t>
      </w:r>
      <w:bookmarkEnd w:id="200"/>
      <w:r/>
      <w:bookmarkEnd w:id="201"/>
      <w:r/>
      <w:r/>
    </w:p>
    <w:p>
      <w:pPr>
        <w:rPr>
          <w:rFonts w:hint="eastAsia"/>
        </w:rPr>
      </w:pPr>
      <w:r>
        <w:rPr>
          <w:rFonts w:hint="eastAsia"/>
        </w:rPr>
      </w:r>
      <w:r/>
    </w:p>
    <w:p>
      <w:pPr>
        <w:pStyle w:val="994"/>
        <w:ind w:firstLine="439"/>
        <w:rPr>
          <w:rFonts w:cs="Arial"/>
          <w:color w:val="0000ff"/>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。本项目推荐中标候选人3家。</w:t>
      </w:r>
      <w:r/>
    </w:p>
    <w:p>
      <w:pPr>
        <w:pStyle w:val="994"/>
        <w:ind w:firstLine="441"/>
        <w:rPr>
          <w:rFonts w:ascii="宋体" w:hAnsi="宋体"/>
          <w:b/>
        </w:rPr>
      </w:pPr>
      <w:r>
        <w:rPr>
          <w:rFonts w:hint="eastAsia" w:ascii="宋体" w:hAnsi="宋体"/>
          <w:b/>
        </w:rPr>
        <w:t xml:space="preserve">政府采购政策功能落实</w:t>
      </w:r>
      <w:r/>
    </w:p>
    <w:p>
      <w:pPr>
        <w:pStyle w:val="994"/>
        <w:spacing w:line="0" w:lineRule="atLeast"/>
        <w:rPr>
          <w:rFonts w:ascii="宋体" w:hAnsi="宋体"/>
          <w:color w:val="auto"/>
        </w:rPr>
      </w:pPr>
      <w:r>
        <w:rPr>
          <w:rFonts w:hint="eastAsia" w:ascii="宋体" w:hAnsi="宋体"/>
          <w:color w:val="auto"/>
        </w:rPr>
        <w:t xml:space="preserve">1、小微型企业价格扣除</w:t>
      </w:r>
      <w:r/>
    </w:p>
    <w:p>
      <w:pPr>
        <w:pStyle w:val="994"/>
        <w:ind w:firstLine="360"/>
        <w:spacing w:line="0" w:lineRule="atLeast"/>
        <w:rPr>
          <w:rFonts w:ascii="宋体" w:hAnsi="宋体"/>
          <w:color w:val="auto"/>
        </w:rPr>
      </w:pPr>
      <w:r>
        <w:rPr>
          <w:rFonts w:hint="eastAsia" w:ascii="宋体" w:hAnsi="宋体"/>
          <w:color w:val="auto"/>
        </w:rPr>
        <w:t xml:space="preserve">（1） 对小型和微型企业提供的服务给予</w:t>
      </w:r>
      <w:r>
        <w:rPr>
          <w:rFonts w:hint="eastAsia" w:ascii="宋体" w:hAnsi="宋体"/>
          <w:color w:val="auto"/>
          <w:highlight w:val="none"/>
          <w:u w:val="single"/>
        </w:rPr>
        <w:t xml:space="preserve">20%</w:t>
      </w:r>
      <w:r>
        <w:rPr>
          <w:rFonts w:hint="eastAsia" w:ascii="宋体" w:hAnsi="宋体"/>
          <w:color w:val="auto"/>
        </w:rPr>
        <w:t xml:space="preserve">的扣除价格，用扣除后的价格参与评审。</w:t>
      </w:r>
      <w:r/>
    </w:p>
    <w:p>
      <w:pPr>
        <w:pStyle w:val="994"/>
        <w:ind w:firstLine="360"/>
        <w:spacing w:line="0" w:lineRule="atLeast"/>
        <w:rPr>
          <w:rFonts w:ascii="宋体" w:hAnsi="宋体"/>
          <w:color w:val="auto"/>
        </w:rPr>
      </w:pPr>
      <w:r>
        <w:rPr>
          <w:rFonts w:hint="eastAsia" w:ascii="宋体" w:hAnsi="宋体"/>
          <w:color w:val="auto"/>
        </w:rPr>
        <w:t xml:space="preserve">（2）</w:t>
      </w:r>
      <w:r>
        <w:rPr>
          <w:rFonts w:hint="eastAsia"/>
          <w:bCs/>
          <w:iCs/>
          <w:color w:val="auto"/>
          <w:sz w:val="24"/>
          <w:szCs w:val="24"/>
          <w:lang w:eastAsia="zh-CN"/>
        </w:rPr>
        <w:t xml:space="preserve">投标人</w:t>
      </w:r>
      <w:r>
        <w:rPr>
          <w:rFonts w:hint="eastAsia" w:ascii="宋体" w:hAnsi="宋体"/>
          <w:color w:val="auto"/>
        </w:rPr>
        <w:t xml:space="preserve">需按照采购文件的要求提供相应的《小微企业声明函》。</w:t>
      </w:r>
      <w:r/>
    </w:p>
    <w:p>
      <w:pPr>
        <w:pStyle w:val="994"/>
        <w:ind w:firstLine="360"/>
        <w:spacing w:line="0" w:lineRule="atLeast"/>
        <w:rPr>
          <w:rFonts w:ascii="宋体" w:hAnsi="宋体"/>
          <w:color w:val="auto"/>
        </w:rPr>
      </w:pPr>
      <w:r>
        <w:rPr>
          <w:rFonts w:hint="eastAsia" w:ascii="宋体" w:hAnsi="宋体"/>
          <w:color w:val="auto"/>
        </w:rPr>
        <w:t xml:space="preserve">（3）企业标准请参照《关于印发中小企业划型标准规定的通知》（工信部联企业[2011]300号）文件规定自行填写。</w:t>
      </w:r>
      <w:r/>
    </w:p>
    <w:p>
      <w:pPr>
        <w:pStyle w:val="994"/>
        <w:spacing w:line="0" w:lineRule="atLeast"/>
        <w:rPr>
          <w:rFonts w:ascii="宋体" w:hAnsi="宋体"/>
          <w:color w:val="auto"/>
        </w:rPr>
      </w:pPr>
      <w:r>
        <w:rPr>
          <w:rFonts w:hint="eastAsia" w:ascii="宋体" w:hAnsi="宋体"/>
          <w:color w:val="auto"/>
        </w:rPr>
        <w:t xml:space="preserve">2、残疾人福利单位价格扣除</w:t>
      </w:r>
      <w:r/>
    </w:p>
    <w:p>
      <w:pPr>
        <w:pStyle w:val="994"/>
        <w:ind w:left="120" w:firstLine="360"/>
        <w:spacing w:line="0" w:lineRule="atLeast"/>
        <w:rPr>
          <w:rFonts w:ascii="宋体" w:hAnsi="宋体"/>
          <w:color w:val="auto"/>
        </w:rPr>
      </w:pPr>
      <w:r>
        <w:rPr>
          <w:rFonts w:hint="eastAsia" w:ascii="宋体" w:hAnsi="宋体"/>
          <w:color w:val="auto"/>
        </w:rPr>
        <w:t xml:space="preserve">（1）对残疾人福利性单位视同小型、微型企业，给予</w:t>
      </w:r>
      <w:r>
        <w:rPr>
          <w:rFonts w:hint="eastAsia" w:ascii="宋体" w:hAnsi="宋体"/>
          <w:color w:val="auto"/>
          <w:highlight w:val="none"/>
          <w:u w:val="single"/>
        </w:rPr>
        <w:t xml:space="preserve">20%</w:t>
      </w:r>
      <w:r>
        <w:rPr>
          <w:rFonts w:hint="eastAsia" w:ascii="宋体" w:hAnsi="宋体"/>
          <w:color w:val="auto"/>
        </w:rPr>
        <w:t xml:space="preserve">的价格扣除，用扣除后的价格参与评审。</w:t>
      </w:r>
      <w:r/>
    </w:p>
    <w:p>
      <w:pPr>
        <w:pStyle w:val="994"/>
        <w:ind w:left="120" w:firstLine="360"/>
        <w:spacing w:line="0" w:lineRule="atLeast"/>
        <w:rPr>
          <w:rFonts w:ascii="宋体" w:hAnsi="宋体"/>
          <w:color w:val="auto"/>
        </w:rPr>
      </w:pPr>
      <w:r>
        <w:rPr>
          <w:rFonts w:hint="eastAsia" w:ascii="宋体" w:hAnsi="宋体"/>
          <w:color w:val="auto"/>
        </w:rPr>
        <w:t xml:space="preserve">（2）残疾人福利单位需按照采购文件的要求提供《残疾人福利性单位声明函》。</w:t>
      </w:r>
      <w:r/>
    </w:p>
    <w:p>
      <w:pPr>
        <w:pStyle w:val="994"/>
        <w:ind w:left="120" w:firstLine="360"/>
        <w:spacing w:line="0" w:lineRule="atLeast"/>
        <w:rPr>
          <w:rFonts w:ascii="宋体" w:hAnsi="宋体"/>
          <w:color w:val="auto"/>
        </w:rPr>
      </w:pPr>
      <w:r>
        <w:rPr>
          <w:rFonts w:hint="eastAsia" w:ascii="宋体" w:hAnsi="宋体"/>
          <w:color w:val="auto"/>
        </w:rPr>
        <w:t xml:space="preserve">（3）残疾人福利单位标准请参照《关于促进残疾人就业政府采购政策的通知》（财库〔2017〕141号）。</w:t>
      </w:r>
      <w:r/>
    </w:p>
    <w:p>
      <w:pPr>
        <w:pStyle w:val="994"/>
        <w:spacing w:line="0" w:lineRule="atLeast"/>
        <w:rPr>
          <w:rFonts w:ascii="宋体" w:hAnsi="宋体"/>
          <w:color w:val="auto"/>
        </w:rPr>
      </w:pPr>
      <w:r>
        <w:rPr>
          <w:rFonts w:hint="eastAsia" w:ascii="宋体" w:hAnsi="宋体"/>
          <w:color w:val="auto"/>
        </w:rPr>
        <w:t xml:space="preserve">3、监狱和戒毒企业价格扣除</w:t>
      </w:r>
      <w:r/>
    </w:p>
    <w:p>
      <w:pPr>
        <w:pStyle w:val="994"/>
        <w:spacing w:line="0" w:lineRule="atLeast"/>
        <w:rPr>
          <w:rFonts w:ascii="宋体" w:hAnsi="宋体"/>
          <w:color w:val="auto"/>
        </w:rPr>
      </w:pPr>
      <w:r>
        <w:rPr>
          <w:rFonts w:hint="eastAsia" w:ascii="宋体" w:hAnsi="宋体"/>
          <w:color w:val="auto"/>
        </w:rPr>
        <w:t xml:space="preserve">（1）对监狱和戒毒企业（简称监狱企业）视同小型、微型企业，给予</w:t>
      </w:r>
      <w:r>
        <w:rPr>
          <w:rFonts w:ascii="宋体" w:hAnsi="宋体"/>
          <w:color w:val="auto"/>
          <w:u w:val="single"/>
        </w:rPr>
        <w:t xml:space="preserve">/</w:t>
      </w:r>
      <w:r>
        <w:rPr>
          <w:rFonts w:hint="eastAsia" w:ascii="宋体" w:hAnsi="宋体"/>
          <w:color w:val="auto"/>
        </w:rPr>
        <w:t xml:space="preserve">的价格扣除，用扣除后的价格参与评审。</w:t>
      </w:r>
      <w:r/>
    </w:p>
    <w:p>
      <w:pPr>
        <w:pStyle w:val="994"/>
        <w:spacing w:line="0" w:lineRule="atLeast"/>
        <w:rPr>
          <w:rFonts w:ascii="宋体" w:hAnsi="宋体"/>
          <w:color w:val="auto"/>
        </w:rPr>
      </w:pPr>
      <w:r>
        <w:rPr>
          <w:rFonts w:hint="eastAsia" w:ascii="宋体" w:hAnsi="宋体"/>
          <w:color w:val="auto"/>
        </w:rPr>
        <w:t xml:space="preserve">（2）监狱企业参加政府采购活动时，需提供由省级以上监狱管理局、戒毒管理局(含新疆生产建设兵团)出具的属于监狱企业的证明文件。</w:t>
      </w:r>
      <w:r>
        <w:rPr>
          <w:rFonts w:hint="eastAsia"/>
          <w:bCs/>
          <w:iCs/>
          <w:color w:val="auto"/>
          <w:sz w:val="24"/>
          <w:szCs w:val="24"/>
          <w:lang w:eastAsia="zh-CN"/>
        </w:rPr>
        <w:t xml:space="preserve">投标人</w:t>
      </w:r>
      <w:r>
        <w:rPr>
          <w:rFonts w:hint="eastAsia" w:ascii="宋体" w:hAnsi="宋体"/>
          <w:color w:val="auto"/>
        </w:rPr>
        <w:t xml:space="preserve">如不提供上述证明文件，价格将不做相应扣除。</w:t>
      </w:r>
      <w:r/>
    </w:p>
    <w:p>
      <w:pPr>
        <w:pStyle w:val="994"/>
        <w:spacing w:line="0" w:lineRule="atLeast"/>
        <w:rPr>
          <w:rFonts w:ascii="宋体" w:hAnsi="宋体"/>
          <w:color w:val="auto"/>
        </w:rPr>
      </w:pPr>
      <w:r>
        <w:rPr>
          <w:rFonts w:hint="eastAsia" w:ascii="宋体" w:hAnsi="宋体"/>
          <w:color w:val="auto"/>
        </w:rPr>
        <w:t xml:space="preserve">（3）监狱企业标准请参照《关于政府采购支持监狱企业发展有关问题的通知》（</w:t>
      </w:r>
      <w:r>
        <w:rPr>
          <w:rFonts w:ascii="宋体" w:hAnsi="宋体"/>
          <w:color w:val="auto"/>
        </w:rPr>
        <w:t xml:space="preserve">财库[2014]68号</w:t>
      </w:r>
      <w:r>
        <w:rPr>
          <w:rFonts w:hint="eastAsia" w:ascii="宋体" w:hAnsi="宋体"/>
          <w:color w:val="auto"/>
        </w:rPr>
        <w:t xml:space="preserve">）。</w:t>
      </w:r>
      <w:r/>
    </w:p>
    <w:p>
      <w:pPr>
        <w:pStyle w:val="994"/>
        <w:spacing w:line="400" w:lineRule="exact"/>
        <w:rPr>
          <w:rFonts w:ascii="宋体" w:hAnsi="宋体"/>
          <w:color w:val="auto"/>
        </w:rPr>
      </w:pPr>
      <w:r>
        <w:rPr>
          <w:rFonts w:hint="eastAsia" w:ascii="宋体" w:hAnsi="宋体"/>
          <w:color w:val="auto"/>
        </w:rPr>
        <w:t xml:space="preserve">4、残疾人福利单位、监狱企业属于小型、微型企业的，不重复享受政策。</w:t>
      </w:r>
      <w:r/>
    </w:p>
    <w:p>
      <w:pPr>
        <w:pStyle w:val="994"/>
        <w:spacing w:line="400" w:lineRule="exact"/>
        <w:rPr>
          <w:rFonts w:ascii="宋体" w:hAnsi="宋体"/>
          <w:color w:val="auto"/>
        </w:rPr>
      </w:pPr>
      <w:r>
        <w:rPr>
          <w:rFonts w:hint="eastAsia" w:ascii="宋体" w:hAnsi="宋体"/>
          <w:color w:val="auto"/>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auto"/>
          <w:highlight w:val="none"/>
          <w:u w:val="single"/>
          <w:lang w:val="en-US" w:eastAsia="zh-CN"/>
        </w:rPr>
        <w:t xml:space="preserve">6</w:t>
      </w:r>
      <w:r>
        <w:rPr>
          <w:rFonts w:hint="eastAsia" w:ascii="宋体" w:hAnsi="宋体"/>
          <w:color w:val="auto"/>
          <w:highlight w:val="none"/>
          <w:u w:val="single"/>
        </w:rPr>
        <w:t xml:space="preserve">%</w:t>
      </w:r>
      <w:r>
        <w:rPr>
          <w:rFonts w:hint="eastAsia" w:ascii="宋体" w:hAnsi="宋体"/>
          <w:color w:val="auto"/>
        </w:rPr>
        <w:t xml:space="preserve">的价格扣除，用扣除后的价格参与评审。</w:t>
      </w:r>
      <w:r/>
    </w:p>
    <w:p>
      <w:pPr>
        <w:pStyle w:val="994"/>
        <w:spacing w:line="400" w:lineRule="exact"/>
        <w:rPr>
          <w:rFonts w:ascii="宋体" w:hAnsi="宋体"/>
          <w:color w:val="auto"/>
        </w:rPr>
      </w:pPr>
      <w:r>
        <w:rPr>
          <w:rFonts w:hint="eastAsia" w:ascii="宋体" w:hAnsi="宋体"/>
          <w:color w:val="auto"/>
        </w:rPr>
        <w:t xml:space="preserve">6、联合体各方均为小型、微型企业（残疾人福利单位、监狱企业）的，联合体享受</w:t>
      </w:r>
      <w:r>
        <w:rPr>
          <w:rFonts w:hint="eastAsia" w:ascii="宋体" w:hAnsi="宋体"/>
          <w:color w:val="auto"/>
          <w:highlight w:val="none"/>
          <w:u w:val="single"/>
        </w:rPr>
        <w:t xml:space="preserve">20%</w:t>
      </w:r>
      <w:r>
        <w:rPr>
          <w:rFonts w:hint="eastAsia" w:ascii="宋体" w:hAnsi="宋体"/>
          <w:color w:val="auto"/>
        </w:rPr>
        <w:t xml:space="preserve">价格扣除，用扣除后的价格参与评审。</w:t>
      </w:r>
      <w:r/>
    </w:p>
    <w:p>
      <w:pPr>
        <w:pStyle w:val="994"/>
        <w:ind w:firstLine="482"/>
        <w:spacing w:line="0" w:lineRule="atLeast"/>
        <w:rPr>
          <w:rFonts w:hint="eastAsia" w:ascii="宋体" w:hAnsi="宋体"/>
          <w:b/>
        </w:rPr>
      </w:pPr>
      <w:r>
        <w:rPr>
          <w:rFonts w:hint="eastAsia" w:ascii="宋体" w:hAnsi="宋体"/>
          <w:b/>
        </w:rPr>
      </w:r>
      <w:r/>
    </w:p>
    <w:p>
      <w:pPr>
        <w:pStyle w:val="994"/>
        <w:ind w:firstLine="482"/>
        <w:spacing w:line="0" w:lineRule="atLeast"/>
        <w:rPr>
          <w:rFonts w:hint="eastAsia" w:ascii="宋体" w:hAnsi="宋体"/>
          <w:b/>
        </w:rPr>
      </w:pPr>
      <w:r>
        <w:rPr>
          <w:rFonts w:hint="eastAsia" w:ascii="宋体" w:hAnsi="宋体"/>
          <w:b/>
        </w:rPr>
      </w:r>
      <w:r/>
    </w:p>
    <w:p>
      <w:pPr>
        <w:pStyle w:val="994"/>
        <w:ind w:left="0" w:firstLine="0"/>
        <w:spacing w:line="0" w:lineRule="atLeast"/>
        <w:rPr>
          <w:rFonts w:hint="eastAsia" w:ascii="宋体" w:hAnsi="宋体"/>
          <w:b/>
        </w:rPr>
      </w:pPr>
      <w:r>
        <w:rPr>
          <w:rFonts w:hint="eastAsia" w:ascii="宋体" w:hAnsi="宋体"/>
          <w:b/>
        </w:rPr>
      </w:r>
      <w:r/>
    </w:p>
    <w:p>
      <w:pPr>
        <w:pStyle w:val="994"/>
        <w:ind w:left="0" w:firstLine="0"/>
        <w:spacing w:line="0" w:lineRule="atLeast"/>
        <w:rPr>
          <w:rFonts w:ascii="宋体" w:hAnsi="宋体"/>
          <w:b/>
          <w:highlight w:val="yellow"/>
        </w:rPr>
      </w:pPr>
      <w:r>
        <w:rPr>
          <w:rFonts w:hint="eastAsia" w:ascii="宋体" w:hAnsi="宋体"/>
          <w:b/>
        </w:rPr>
        <w:t xml:space="preserve">评标方法与评标标准</w:t>
      </w:r>
      <w:r/>
    </w:p>
    <w:tbl>
      <w:tblPr>
        <w:tblStyle w:val="721"/>
        <w:tblW w:w="95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8236"/>
      </w:tblGrid>
      <w:tr>
        <w:trPr>
          <w:jc w:val="center"/>
          <w:trHeight w:val="90"/>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contextualSpacing/>
              <w:jc w:val="center"/>
              <w:spacing w:line="4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项目</w:t>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contextualSpacing/>
              <w:jc w:val="center"/>
              <w:spacing w:line="460" w:lineRule="exact"/>
              <w:rPr>
                <w:rFonts w:ascii="宋体" w:hAnsi="宋体" w:cs="宋体"/>
                <w:color w:val="000000" w:themeColor="text1"/>
                <w:sz w:val="24"/>
                <w:szCs w:val="24"/>
                <w:highlight w:val="none"/>
                <w14:textFill>
                  <w14:solidFill>
                    <w14:schemeClr w14:val="tx1"/>
                  </w14:solidFill>
                </w14:textFill>
              </w:rPr>
              <w:outlineLvl w:val="0"/>
            </w:pPr>
            <w:r>
              <w:rPr>
                <w:rFonts w:hint="eastAsia" w:ascii="宋体" w:hAnsi="宋体" w:cs="宋体"/>
                <w:color w:val="000000" w:themeColor="text1"/>
                <w:sz w:val="24"/>
                <w:szCs w:val="24"/>
                <w:highlight w:val="none"/>
                <w14:textFill>
                  <w14:solidFill>
                    <w14:schemeClr w14:val="tx1"/>
                  </w14:solidFill>
                </w14:textFill>
              </w:rPr>
              <w:t xml:space="preserve">评分标准</w:t>
            </w:r>
            <w:r/>
          </w:p>
        </w:tc>
      </w:tr>
      <w:tr>
        <w:trPr>
          <w:jc w:val="center"/>
          <w:trHeight w:val="776"/>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contextualSpacing/>
              <w:jc w:val="center"/>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价  格</w:t>
            </w:r>
            <w:r/>
          </w:p>
          <w:p>
            <w:pPr>
              <w:contextualSpacing/>
              <w:jc w:val="center"/>
              <w:spacing w:line="46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（10分）</w:t>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contextualSpacing/>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以满足招标文件要求的最低投标报价为评标基准价，得满分10分，其他投标报价得分＝（评标基准价/其他投标报价）×10×100％。</w:t>
            </w:r>
            <w:r/>
          </w:p>
        </w:tc>
      </w:tr>
      <w:tr>
        <w:trPr>
          <w:cantSplit/>
          <w:jc w:val="center"/>
          <w:trHeight w:val="852"/>
        </w:trPr>
        <w:tc>
          <w:tcPr>
            <w:tcBorders>
              <w:top w:val="none" w:color="000000" w:sz="4" w:space="0"/>
              <w:left w:val="single" w:color="000000" w:sz="4" w:space="0"/>
              <w:right w:val="single" w:color="000000" w:sz="4" w:space="0"/>
            </w:tcBorders>
            <w:tcW w:w="1271" w:type="dxa"/>
            <w:vAlign w:val="center"/>
            <w:vMerge w:val="restart"/>
            <w:textDirection w:val="lrTb"/>
            <w:noWrap w:val="false"/>
          </w:tcPr>
          <w:p>
            <w:pPr>
              <w:contextualSpacing/>
              <w:jc w:val="center"/>
              <w:spacing w:line="460" w:lineRule="exact"/>
              <w:rPr>
                <w:b/>
                <w:bCs/>
                <w:color w:val="auto"/>
                <w:highlight w:val="none"/>
              </w:rPr>
            </w:pPr>
            <w:r>
              <w:rPr>
                <w:rFonts w:hint="eastAsia"/>
                <w:b/>
                <w:bCs/>
                <w:color w:val="auto"/>
                <w:highlight w:val="none"/>
              </w:rPr>
              <w:t xml:space="preserve">技术方案</w:t>
            </w:r>
            <w:r/>
          </w:p>
          <w:p>
            <w:pPr>
              <w:pStyle w:val="722"/>
              <w:rPr>
                <w:rFonts w:hint="eastAsia"/>
                <w:color w:val="auto"/>
                <w:highlight w:val="none"/>
                <w:lang w:eastAsia="zh-CN"/>
              </w:rPr>
            </w:pPr>
            <w:r>
              <w:rPr>
                <w:rFonts w:hint="eastAsia"/>
                <w:b/>
                <w:bCs/>
                <w:color w:val="auto"/>
                <w:highlight w:val="none"/>
              </w:rPr>
              <w:t xml:space="preserve">（</w:t>
            </w:r>
            <w:r>
              <w:rPr>
                <w:rFonts w:hint="default"/>
                <w:b/>
                <w:bCs/>
                <w:color w:val="auto"/>
                <w:highlight w:val="none"/>
                <w:lang w:val="en" w:eastAsia="zh-CN"/>
              </w:rPr>
              <w:t xml:space="preserve">50</w:t>
            </w:r>
            <w:r>
              <w:rPr>
                <w:rFonts w:hint="eastAsia"/>
                <w:b/>
                <w:bCs/>
                <w:color w:val="auto"/>
                <w:highlight w:val="none"/>
              </w:rPr>
              <w:t xml:space="preserve">分）</w:t>
            </w:r>
            <w:r/>
          </w:p>
        </w:tc>
        <w:tc>
          <w:tcPr>
            <w:tcBorders>
              <w:top w:val="single" w:color="000000" w:sz="4" w:space="0"/>
              <w:left w:val="none" w:color="000000" w:sz="4" w:space="0"/>
              <w:right w:val="single" w:color="000000" w:sz="4" w:space="0"/>
            </w:tcBorders>
            <w:tcW w:w="8236" w:type="dxa"/>
            <w:vAlign w:val="center"/>
            <w:textDirection w:val="lrTb"/>
            <w:noWrap w:val="false"/>
          </w:tcPr>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1、根据投标人对本项目的</w:t>
            </w:r>
            <w:r>
              <w:rPr>
                <w:rFonts w:hint="eastAsia" w:ascii="宋体" w:hAnsi="宋体" w:cs="宋体"/>
                <w:b/>
                <w:bCs/>
                <w:color w:val="auto"/>
                <w:sz w:val="24"/>
                <w:szCs w:val="24"/>
                <w:highlight w:val="none"/>
              </w:rPr>
              <w:t xml:space="preserve">整体界面方案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针对手机端、PC端等不同运行环境分别提供整体界面方案，要求稳定兼容、界面美观、使用方便（</w:t>
            </w:r>
            <w:r>
              <w:rPr>
                <w:rFonts w:hint="default" w:ascii="宋体" w:hAnsi="宋体" w:cs="宋体"/>
                <w:color w:val="auto"/>
                <w:sz w:val="24"/>
                <w:szCs w:val="24"/>
                <w:highlight w:val="none"/>
                <w:lang w:val="e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default" w:ascii="宋体" w:hAnsi="宋体" w:cs="宋体"/>
                <w:color w:val="auto"/>
                <w:sz w:val="24"/>
                <w:szCs w:val="24"/>
                <w:highlight w:val="none"/>
                <w:lang w:val="e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default" w:ascii="宋体" w:hAnsi="宋体" w:cs="宋体"/>
                <w:color w:val="auto"/>
                <w:sz w:val="24"/>
                <w:szCs w:val="24"/>
                <w:highlight w:val="none"/>
                <w:lang w:val="e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cantSplit/>
          <w:jc w:val="center"/>
          <w:trHeight w:val="852"/>
        </w:trPr>
        <w:tc>
          <w:tcPr>
            <w:tcBorders>
              <w:left w:val="single" w:color="000000" w:sz="4" w:space="0"/>
              <w:right w:val="single" w:color="000000" w:sz="4" w:space="0"/>
            </w:tcBorders>
            <w:tcW w:w="1271" w:type="dxa"/>
            <w:vAlign w:val="center"/>
            <w:vMerge w:val="continue"/>
            <w:textDirection w:val="lrTb"/>
            <w:noWrap w:val="false"/>
          </w:tcPr>
          <w:p>
            <w:pPr>
              <w:contextualSpacing/>
              <w:jc w:val="cente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right w:val="single" w:color="000000" w:sz="4" w:space="0"/>
            </w:tcBorders>
            <w:tcW w:w="8236" w:type="dxa"/>
            <w:vAlign w:val="center"/>
            <w:textDirection w:val="lrTb"/>
            <w:noWrap w:val="false"/>
          </w:tcPr>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2、根据投标人对本项目的</w:t>
            </w:r>
            <w:r>
              <w:rPr>
                <w:rFonts w:hint="eastAsia" w:ascii="宋体" w:hAnsi="宋体" w:cs="宋体"/>
                <w:b/>
                <w:bCs/>
                <w:color w:val="auto"/>
                <w:sz w:val="24"/>
                <w:szCs w:val="24"/>
                <w:highlight w:val="none"/>
              </w:rPr>
              <w:t xml:space="preserve">系统整合方案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要求运维内容表述清晰，方案合理、全面、可行</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eastAsia="zh-CN"/>
              </w:rPr>
              <w:t xml:space="preserve">：</w:t>
            </w:r>
            <w:r/>
          </w:p>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cantSplit/>
          <w:jc w:val="center"/>
          <w:trHeight w:val="360"/>
        </w:trPr>
        <w:tc>
          <w:tcPr>
            <w:tcBorders>
              <w:left w:val="single" w:color="000000" w:sz="4" w:space="0"/>
              <w:right w:val="single" w:color="000000" w:sz="4" w:space="0"/>
            </w:tcBorders>
            <w:tcW w:w="1271" w:type="dxa"/>
            <w:vAlign w:val="center"/>
            <w:vMerge w:val="continue"/>
            <w:textDirection w:val="lrTb"/>
            <w:noWrap w:val="false"/>
          </w:tcPr>
          <w:p>
            <w:pPr>
              <w:jc w:val="cente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、根据投标人对本项目的</w:t>
            </w:r>
            <w:r>
              <w:rPr>
                <w:rFonts w:hint="eastAsia" w:ascii="宋体" w:hAnsi="宋体" w:cs="宋体"/>
                <w:b/>
                <w:bCs/>
                <w:color w:val="auto"/>
                <w:sz w:val="24"/>
                <w:szCs w:val="24"/>
                <w:highlight w:val="none"/>
              </w:rPr>
              <w:t xml:space="preserve">食堂订餐、会议服务、设备维修报修模块方案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要求内容表述清晰，方案合理可行（</w:t>
            </w:r>
            <w:r>
              <w:rPr>
                <w:rFonts w:hint="default" w:ascii="宋体" w:hAnsi="宋体" w:cs="宋体"/>
                <w:color w:val="auto"/>
                <w:sz w:val="24"/>
                <w:szCs w:val="24"/>
                <w:highlight w:val="none"/>
                <w:lang w:val="e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default" w:ascii="宋体" w:hAnsi="宋体" w:cs="宋体"/>
                <w:color w:val="auto"/>
                <w:sz w:val="24"/>
                <w:szCs w:val="24"/>
                <w:highlight w:val="none"/>
                <w:lang w:val="e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default" w:ascii="宋体" w:hAnsi="宋体" w:cs="宋体"/>
                <w:color w:val="auto"/>
                <w:sz w:val="24"/>
                <w:szCs w:val="24"/>
                <w:highlight w:val="none"/>
                <w:lang w:val="e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cantSplit/>
          <w:jc w:val="center"/>
          <w:trHeight w:val="360"/>
        </w:trPr>
        <w:tc>
          <w:tcPr>
            <w:tcBorders>
              <w:left w:val="single" w:color="000000" w:sz="4" w:space="0"/>
              <w:right w:val="single" w:color="000000" w:sz="4" w:space="0"/>
            </w:tcBorders>
            <w:tcW w:w="1271" w:type="dxa"/>
            <w:vAlign w:val="center"/>
            <w:vMerge w:val="continue"/>
            <w:textDirection w:val="lrTb"/>
            <w:noWrap w:val="false"/>
          </w:tcPr>
          <w:p>
            <w:pPr>
              <w:jc w:val="cente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、根据投标人对本项目的</w:t>
            </w:r>
            <w:r>
              <w:rPr>
                <w:rFonts w:hint="eastAsia" w:ascii="宋体" w:hAnsi="宋体" w:cs="宋体"/>
                <w:b/>
                <w:bCs/>
                <w:color w:val="auto"/>
                <w:sz w:val="24"/>
                <w:szCs w:val="24"/>
                <w:highlight w:val="none"/>
              </w:rPr>
              <w:t xml:space="preserve">医疗门诊预约模块方案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要求内容表述清晰，方案合理可行（</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cantSplit/>
          <w:jc w:val="center"/>
          <w:trHeight w:val="360"/>
        </w:trPr>
        <w:tc>
          <w:tcPr>
            <w:tcBorders>
              <w:left w:val="single" w:color="000000" w:sz="4" w:space="0"/>
              <w:right w:val="single" w:color="000000" w:sz="4" w:space="0"/>
            </w:tcBorders>
            <w:tcW w:w="1271" w:type="dxa"/>
            <w:vAlign w:val="center"/>
            <w:vMerge w:val="continue"/>
            <w:textDirection w:val="lrTb"/>
            <w:noWrap w:val="false"/>
          </w:tcPr>
          <w:p>
            <w:pPr>
              <w:jc w:val="cente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、根据投标人对本项目的</w:t>
            </w:r>
            <w:r>
              <w:rPr>
                <w:rFonts w:hint="eastAsia" w:ascii="宋体" w:hAnsi="宋体" w:cs="宋体"/>
                <w:b/>
                <w:bCs/>
                <w:color w:val="auto"/>
                <w:sz w:val="24"/>
                <w:szCs w:val="24"/>
                <w:highlight w:val="none"/>
              </w:rPr>
              <w:t xml:space="preserve">公物仓管理模块方案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要求内容表述清晰，方案合理可行（</w:t>
            </w:r>
            <w:r>
              <w:rPr>
                <w:rFonts w:hint="default" w:ascii="宋体" w:hAnsi="宋体" w:cs="宋体"/>
                <w:color w:val="auto"/>
                <w:sz w:val="24"/>
                <w:szCs w:val="24"/>
                <w:highlight w:val="none"/>
                <w:lang w:val="e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default" w:ascii="宋体" w:hAnsi="宋体" w:cs="宋体"/>
                <w:color w:val="auto"/>
                <w:sz w:val="24"/>
                <w:szCs w:val="24"/>
                <w:highlight w:val="none"/>
                <w:lang w:val="e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default" w:ascii="宋体" w:hAnsi="宋体" w:cs="宋体"/>
                <w:color w:val="auto"/>
                <w:sz w:val="24"/>
                <w:szCs w:val="24"/>
                <w:highlight w:val="none"/>
                <w:lang w:val="e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cantSplit/>
          <w:jc w:val="center"/>
          <w:trHeight w:val="360"/>
        </w:trPr>
        <w:tc>
          <w:tcPr>
            <w:tcBorders>
              <w:left w:val="single" w:color="000000" w:sz="4" w:space="0"/>
              <w:right w:val="single" w:color="000000" w:sz="4" w:space="0"/>
            </w:tcBorders>
            <w:tcW w:w="1271" w:type="dxa"/>
            <w:vAlign w:val="center"/>
            <w:vMerge w:val="continue"/>
            <w:textDirection w:val="lrTb"/>
            <w:noWrap w:val="false"/>
          </w:tcPr>
          <w:p>
            <w:pPr>
              <w:jc w:val="cente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、根据投标人对本项目的</w:t>
            </w:r>
            <w:r>
              <w:rPr>
                <w:rFonts w:hint="eastAsia" w:ascii="宋体" w:hAnsi="宋体" w:cs="宋体"/>
                <w:b/>
                <w:bCs/>
                <w:color w:val="auto"/>
                <w:sz w:val="24"/>
                <w:szCs w:val="24"/>
                <w:highlight w:val="none"/>
              </w:rPr>
              <w:t xml:space="preserve">意见征集与信息发布模块方案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要求内容表述清晰，方案合理可行（</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cantSplit/>
          <w:jc w:val="center"/>
          <w:trHeight w:val="360"/>
        </w:trPr>
        <w:tc>
          <w:tcPr>
            <w:tcBorders>
              <w:left w:val="single" w:color="000000" w:sz="4" w:space="0"/>
              <w:right w:val="single" w:color="000000" w:sz="4" w:space="0"/>
            </w:tcBorders>
            <w:tcW w:w="1271" w:type="dxa"/>
            <w:vAlign w:val="center"/>
            <w:vMerge w:val="continue"/>
            <w:textDirection w:val="lrTb"/>
            <w:noWrap w:val="false"/>
          </w:tcPr>
          <w:p>
            <w:pPr>
              <w:jc w:val="cente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、根据投标人对本项目的</w:t>
            </w:r>
            <w:r>
              <w:rPr>
                <w:rFonts w:hint="eastAsia" w:ascii="宋体" w:hAnsi="宋体" w:cs="宋体"/>
                <w:b/>
                <w:bCs/>
                <w:color w:val="auto"/>
                <w:sz w:val="24"/>
                <w:szCs w:val="24"/>
                <w:highlight w:val="none"/>
              </w:rPr>
              <w:t xml:space="preserve">访客管理模块方案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要求内容表述清晰，方案合理可行（</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cantSplit/>
          <w:jc w:val="center"/>
          <w:trHeight w:val="360"/>
        </w:trPr>
        <w:tc>
          <w:tcPr>
            <w:tcBorders>
              <w:left w:val="single" w:color="000000" w:sz="4" w:space="0"/>
              <w:right w:val="single" w:color="000000" w:sz="4" w:space="0"/>
            </w:tcBorders>
            <w:tcW w:w="1271" w:type="dxa"/>
            <w:vAlign w:val="center"/>
            <w:vMerge w:val="continue"/>
            <w:textDirection w:val="lrTb"/>
            <w:noWrap w:val="false"/>
          </w:tcPr>
          <w:p>
            <w:pPr>
              <w:jc w:val="cente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、根据投标人对本项目的</w:t>
            </w:r>
            <w:r>
              <w:rPr>
                <w:rFonts w:hint="eastAsia" w:ascii="宋体" w:hAnsi="宋体" w:cs="宋体"/>
                <w:b/>
                <w:bCs/>
                <w:color w:val="auto"/>
                <w:sz w:val="24"/>
                <w:szCs w:val="24"/>
                <w:highlight w:val="none"/>
              </w:rPr>
              <w:t xml:space="preserve">网络安全方案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包含等保备案、等保测评、密码评估等，要求内容表述清晰，方案合理可行，能够保证项目符合网络安全要求后上线</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分）</w:t>
            </w:r>
            <w:r>
              <w:rPr>
                <w:rFonts w:hint="eastAsia" w:ascii="宋体" w:hAnsi="宋体" w:cs="宋体"/>
                <w:b w:val="0"/>
                <w:bCs w:val="0"/>
                <w:color w:val="auto"/>
                <w:sz w:val="24"/>
                <w:szCs w:val="24"/>
                <w:highlight w:val="none"/>
                <w:lang w:val="en-US" w:eastAsia="zh-CN" w:bidi="ar-SA"/>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cantSplit/>
          <w:jc w:val="center"/>
          <w:trHeight w:val="360"/>
        </w:trPr>
        <w:tc>
          <w:tcPr>
            <w:tcBorders>
              <w:left w:val="single" w:color="000000" w:sz="4" w:space="0"/>
              <w:right w:val="single" w:color="000000" w:sz="4" w:space="0"/>
            </w:tcBorders>
            <w:tcW w:w="1271" w:type="dxa"/>
            <w:vAlign w:val="center"/>
            <w:vMerge w:val="continue"/>
            <w:textDirection w:val="lrTb"/>
            <w:noWrap w:val="false"/>
          </w:tcPr>
          <w:p>
            <w:pPr>
              <w:jc w:val="cente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、根据投标人对本项目的</w:t>
            </w:r>
            <w:r>
              <w:rPr>
                <w:rFonts w:hint="eastAsia" w:ascii="宋体" w:hAnsi="宋体" w:eastAsia="宋体" w:cs="宋体"/>
                <w:b/>
                <w:bCs/>
                <w:color w:val="auto"/>
                <w:sz w:val="24"/>
                <w:szCs w:val="24"/>
                <w:highlight w:val="none"/>
                <w:lang w:val="en-US" w:eastAsia="zh-CN" w:bidi="ar-SA"/>
              </w:rPr>
              <w:t xml:space="preserve">实施方案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要求内容表述清晰，方案合理可行（</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cantSplit/>
          <w:jc w:val="center"/>
          <w:trHeight w:val="360"/>
        </w:trPr>
        <w:tc>
          <w:tcPr>
            <w:tcBorders>
              <w:left w:val="single" w:color="000000" w:sz="4" w:space="0"/>
              <w:right w:val="single" w:color="000000" w:sz="4" w:space="0"/>
            </w:tcBorders>
            <w:tcW w:w="1271" w:type="dxa"/>
            <w:vAlign w:val="center"/>
            <w:vMerge w:val="continue"/>
            <w:textDirection w:val="lrTb"/>
            <w:noWrap w:val="false"/>
          </w:tcPr>
          <w:p>
            <w:pPr>
              <w:jc w:val="center"/>
              <w:spacing w:line="460" w:lineRule="exact"/>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spacing w:line="460" w:lineRule="exact"/>
              <w:rPr>
                <w:rFonts w:hint="eastAsia"/>
                <w:color w:val="auto"/>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、根据投标人对本项目的</w:t>
            </w:r>
            <w:r>
              <w:rPr>
                <w:rFonts w:hint="eastAsia" w:ascii="宋体" w:hAnsi="宋体" w:eastAsia="宋体" w:cs="宋体"/>
                <w:b/>
                <w:bCs/>
                <w:color w:val="auto"/>
                <w:sz w:val="24"/>
                <w:szCs w:val="24"/>
                <w:highlight w:val="none"/>
                <w:lang w:val="en-US" w:eastAsia="zh-CN" w:bidi="ar-SA"/>
              </w:rPr>
              <w:t xml:space="preserve">质量保证方案</w:t>
            </w:r>
            <w:r>
              <w:rPr>
                <w:rFonts w:hint="eastAsia" w:ascii="宋体" w:hAnsi="宋体" w:cs="宋体"/>
                <w:color w:val="auto"/>
                <w:sz w:val="24"/>
                <w:szCs w:val="24"/>
                <w:highlight w:val="none"/>
              </w:rPr>
              <w:t xml:space="preserve">进行评审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保证项目能够符合验收要求，要求内容表述清晰，方案合理可行（</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r>
        <w:trPr>
          <w:jc w:val="center"/>
          <w:trHeight w:val="360"/>
        </w:trPr>
        <w:tc>
          <w:tcPr>
            <w:tcBorders>
              <w:left w:val="single" w:color="000000" w:sz="4" w:space="0"/>
              <w:right w:val="single" w:color="000000" w:sz="4" w:space="0"/>
            </w:tcBorders>
            <w:tcW w:w="1271" w:type="dxa"/>
            <w:vAlign w:val="center"/>
            <w:textDirection w:val="lrTb"/>
            <w:noWrap w:val="false"/>
          </w:tcPr>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22"/>
              <w:rPr>
                <w:rFonts w:hint="eastAsia"/>
              </w:rPr>
            </w:pPr>
            <w:r>
              <w:rPr>
                <w:rFonts w:hint="eastAsia"/>
              </w:rPr>
            </w:r>
            <w:r/>
          </w:p>
          <w:p>
            <w:pPr>
              <w:pStyle w:val="722"/>
              <w:rPr>
                <w:rFonts w:hint="eastAsia"/>
              </w:rPr>
            </w:pPr>
            <w:r>
              <w:rPr>
                <w:rFonts w:hint="eastAsia"/>
              </w:rPr>
            </w:r>
            <w:r/>
          </w:p>
          <w:p>
            <w:pPr>
              <w:jc w:val="center"/>
              <w:spacing w:line="4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演示</w:t>
            </w:r>
            <w:r/>
          </w:p>
          <w:p>
            <w:pPr>
              <w:jc w:val="center"/>
              <w:spacing w:line="46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5分</w:t>
            </w:r>
            <w:r>
              <w:rPr>
                <w:rFonts w:hint="eastAsia" w:ascii="宋体" w:hAnsi="宋体" w:cs="宋体"/>
                <w:color w:val="auto"/>
                <w:sz w:val="24"/>
                <w:szCs w:val="24"/>
                <w:highlight w:val="none"/>
                <w:lang w:eastAsia="zh-CN"/>
              </w:rPr>
              <w:t xml:space="preserve">）</w:t>
            </w:r>
            <w:r/>
          </w:p>
          <w:p>
            <w:pPr>
              <w:jc w:val="center"/>
              <w:spacing w:line="4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numPr>
                <w:ilvl w:val="0"/>
                <w:numId w:val="0"/>
              </w:numPr>
              <w:ind w:firstLine="240"/>
              <w:spacing w:line="452" w:lineRule="exact"/>
              <w:shd w:val="clear" w:color="auto" w:fill="ffff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zh-CN" w:eastAsia="zh-Hans"/>
              </w:rPr>
              <w:t xml:space="preserve">投标人根据本次项目需求所要求的功能统一采用视频录制</w:t>
            </w:r>
            <w:r>
              <w:rPr>
                <w:rFonts w:hint="eastAsia" w:ascii="宋体" w:hAnsi="宋体" w:cs="宋体"/>
                <w:color w:val="auto"/>
                <w:sz w:val="24"/>
                <w:szCs w:val="24"/>
                <w:highlight w:val="none"/>
                <w:lang w:val="zh-CN"/>
              </w:rPr>
              <w:t xml:space="preserve">真实软件操作或者软件demo视频方式进行逐项功能演示</w:t>
            </w:r>
            <w:r>
              <w:rPr>
                <w:rFonts w:hint="eastAsia" w:ascii="宋体" w:hAnsi="宋体" w:cs="宋体"/>
                <w:color w:val="auto"/>
                <w:sz w:val="24"/>
                <w:szCs w:val="24"/>
                <w:highlight w:val="none"/>
                <w:lang w:val="zh-CN" w:eastAsia="zh-Hans"/>
              </w:rPr>
              <w:t xml:space="preserve">方式进行功能演示（视频画面须清晰），</w:t>
            </w:r>
            <w:r>
              <w:rPr>
                <w:rFonts w:hint="eastAsia" w:ascii="宋体" w:hAnsi="宋体" w:cs="宋体"/>
                <w:color w:val="auto"/>
                <w:sz w:val="24"/>
                <w:szCs w:val="24"/>
                <w:highlight w:val="none"/>
                <w:lang w:val="zh-CN"/>
              </w:rPr>
              <w:t xml:space="preserve">采用PPT、文档或视频播放形式（无实际操作动作的）不得分，演示</w:t>
            </w:r>
            <w:r>
              <w:rPr>
                <w:rFonts w:hint="eastAsia" w:ascii="宋体" w:hAnsi="宋体" w:cs="宋体"/>
                <w:color w:val="auto"/>
                <w:sz w:val="24"/>
                <w:szCs w:val="24"/>
                <w:highlight w:val="none"/>
                <w:lang w:val="zh-CN" w:eastAsia="zh-Hans"/>
              </w:rPr>
              <w:t xml:space="preserve">时间不超过1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lang w:val="zh-CN" w:eastAsia="zh-Hans"/>
              </w:rPr>
              <w:t xml:space="preserve">分钟。</w:t>
            </w:r>
            <w:r>
              <w:rPr>
                <w:rFonts w:hint="eastAsia" w:ascii="宋体" w:hAnsi="宋体" w:cs="宋体"/>
                <w:color w:val="auto"/>
                <w:sz w:val="24"/>
                <w:szCs w:val="24"/>
                <w:highlight w:val="none"/>
                <w:lang w:val="zh-CN"/>
              </w:rPr>
              <w:t xml:space="preserve">视频随投标文件上传，未上传或无法播放不得分。演示内容如下：</w:t>
            </w:r>
            <w:r/>
          </w:p>
          <w:p>
            <w:pPr>
              <w:pStyle w:val="723"/>
              <w:ind w:firstLine="480"/>
              <w:spacing w:line="360" w:lineRule="auto"/>
              <w:rPr>
                <w:rFonts w:ascii="宋体" w:hAnsi="宋体" w:eastAsia="宋体" w:cs="宋体"/>
                <w:sz w:val="24"/>
                <w:szCs w:val="24"/>
              </w:rPr>
            </w:pPr>
            <w:r>
              <w:rPr>
                <w:rFonts w:ascii="宋体" w:hAnsi="宋体" w:eastAsia="宋体" w:cs="宋体"/>
                <w:sz w:val="24"/>
                <w:szCs w:val="24"/>
              </w:rPr>
              <w:t xml:space="preserve">数据集中展示页面，包括办公用房数量统计、区域分布、面积统计，公务用车总量、分布情况、维修费用统计、油耗统计，公共机构能耗统计，市级机关公物仓库存物品数量、调剂使用情况等，直观展现工作情况。上述办公用房、公务用车、公共机构节能、公物仓每个模块只需选择其中任意一种数据进行可视化演示，集中展示页面整体要美观大方、风格统一。</w:t>
            </w:r>
            <w:r/>
          </w:p>
          <w:p>
            <w:pPr>
              <w:pStyle w:val="723"/>
              <w:ind w:firstLine="480"/>
              <w:spacing w:line="360" w:lineRule="auto"/>
              <w:rPr>
                <w:rFonts w:hint="eastAsia" w:ascii="宋体" w:hAnsi="宋体" w:cs="宋体"/>
                <w:color w:val="auto"/>
                <w:sz w:val="24"/>
                <w:szCs w:val="24"/>
                <w:highlight w:val="cyan"/>
                <w:lang w:val="zh-CN"/>
              </w:rPr>
            </w:pPr>
            <w:r>
              <w:rPr>
                <w:rFonts w:ascii="宋体" w:hAnsi="宋体" w:eastAsia="宋体" w:cs="宋体"/>
                <w:sz w:val="24"/>
                <w:szCs w:val="24"/>
              </w:rPr>
              <w:t xml:space="preserve">（演示办公用房、公务用车、公物仓每个模块任意一类数据</w:t>
            </w:r>
            <w:r>
              <w:rPr>
                <w:rFonts w:ascii="宋体" w:hAnsi="宋体" w:eastAsia="宋体" w:cs="宋体"/>
                <w:b/>
                <w:bCs/>
                <w:sz w:val="24"/>
                <w:szCs w:val="24"/>
              </w:rPr>
              <w:t xml:space="preserve">得1分</w:t>
            </w:r>
            <w:r>
              <w:rPr>
                <w:rFonts w:ascii="宋体" w:hAnsi="宋体" w:eastAsia="宋体" w:cs="宋体"/>
                <w:sz w:val="24"/>
                <w:szCs w:val="24"/>
              </w:rPr>
              <w:t xml:space="preserve">，演示公共机构能耗统计</w:t>
            </w:r>
            <w:r>
              <w:rPr>
                <w:rFonts w:ascii="宋体" w:hAnsi="宋体" w:eastAsia="宋体" w:cs="宋体"/>
                <w:b/>
                <w:bCs/>
                <w:sz w:val="24"/>
                <w:szCs w:val="24"/>
              </w:rPr>
              <w:t xml:space="preserve">得2分</w:t>
            </w:r>
            <w:r>
              <w:rPr>
                <w:rFonts w:ascii="宋体" w:hAnsi="宋体" w:eastAsia="宋体" w:cs="宋体"/>
                <w:sz w:val="24"/>
                <w:szCs w:val="24"/>
              </w:rPr>
              <w:t xml:space="preserve">，共5分）</w:t>
            </w:r>
            <w:r/>
          </w:p>
        </w:tc>
      </w:tr>
      <w:tr>
        <w:trPr>
          <w:jc w:val="center"/>
          <w:trHeight w:val="1553"/>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jc w:val="center"/>
              <w:spacing w:line="460" w:lineRule="exact"/>
              <w:shd w:val="clear" w:color="auto" w:fill="ffffff"/>
              <w:rPr>
                <w:rFonts w:ascii="宋体" w:hAnsi="宋体" w:cs="宋体"/>
                <w:b/>
                <w:bCs/>
                <w:color w:val="auto"/>
                <w:sz w:val="24"/>
                <w:szCs w:val="24"/>
                <w:highlight w:val="none"/>
                <w:lang w:val="zh-CN"/>
              </w:rPr>
            </w:pPr>
            <w:r>
              <w:rPr>
                <w:rFonts w:hint="eastAsia" w:ascii="宋体" w:hAnsi="宋体" w:cs="宋体"/>
                <w:b/>
                <w:bCs/>
                <w:color w:val="auto"/>
                <w:sz w:val="24"/>
                <w:szCs w:val="24"/>
                <w:highlight w:val="none"/>
                <w:lang w:val="zh-CN"/>
              </w:rPr>
              <w:t xml:space="preserve">综合实力</w:t>
            </w:r>
            <w:r/>
          </w:p>
          <w:p>
            <w:pPr>
              <w:jc w:val="center"/>
              <w:spacing w:line="460" w:lineRule="exact"/>
              <w:shd w:val="clear" w:color="auto" w:fill="ffffff"/>
              <w:rPr>
                <w:rFonts w:ascii="宋体" w:hAnsi="宋体" w:cs="宋体"/>
                <w:color w:val="auto"/>
                <w:sz w:val="24"/>
                <w:szCs w:val="24"/>
                <w:highlight w:val="none"/>
                <w:lang w:val="zh-CN"/>
              </w:rPr>
            </w:pPr>
            <w:r>
              <w:rPr>
                <w:rFonts w:hint="eastAsia" w:ascii="宋体" w:hAnsi="宋体" w:cs="宋体"/>
                <w:b/>
                <w:bCs/>
                <w:color w:val="auto"/>
                <w:sz w:val="24"/>
                <w:szCs w:val="24"/>
                <w:highlight w:val="none"/>
                <w:lang w:val="zh-CN"/>
              </w:rPr>
              <w:t xml:space="preserve">（</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lang w:val="zh-CN"/>
              </w:rPr>
              <w:t xml:space="preserve">分）</w:t>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numPr>
                <w:ilvl w:val="0"/>
                <w:numId w:val="0"/>
              </w:numPr>
              <w:spacing w:line="452" w:lineRule="exact"/>
              <w:shd w:val="clear" w:color="auto"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val="zh-CN"/>
              </w:rPr>
              <w:t xml:space="preserve">投标人具有信息系统建设和服务能力评估四级，</w:t>
            </w:r>
            <w:r>
              <w:rPr>
                <w:rFonts w:hint="eastAsia" w:ascii="宋体" w:hAnsi="宋体" w:cs="宋体"/>
                <w:b/>
                <w:bCs/>
                <w:color w:val="auto"/>
                <w:sz w:val="24"/>
                <w:szCs w:val="24"/>
                <w:highlight w:val="none"/>
                <w:lang w:val="zh-CN"/>
              </w:rPr>
              <w:t xml:space="preserve">得</w:t>
            </w:r>
            <w:r>
              <w:rPr>
                <w:rFonts w:hint="eastAsia" w:ascii="宋体" w:hAnsi="宋体" w:cs="宋体"/>
                <w:b/>
                <w:bCs/>
                <w:color w:val="auto"/>
                <w:sz w:val="24"/>
                <w:szCs w:val="24"/>
                <w:highlight w:val="none"/>
              </w:rPr>
              <w:t xml:space="preserve">3</w:t>
            </w:r>
            <w:r>
              <w:rPr>
                <w:rFonts w:hint="eastAsia" w:ascii="宋体" w:hAnsi="宋体" w:cs="宋体"/>
                <w:b/>
                <w:bCs/>
                <w:color w:val="auto"/>
                <w:sz w:val="24"/>
                <w:szCs w:val="24"/>
                <w:highlight w:val="none"/>
                <w:lang w:val="zh-CN"/>
              </w:rPr>
              <w:t xml:space="preserve">分</w:t>
            </w:r>
            <w:r>
              <w:rPr>
                <w:rFonts w:hint="eastAsia" w:ascii="宋体" w:hAnsi="宋体" w:cs="宋体"/>
                <w:color w:val="auto"/>
                <w:sz w:val="24"/>
                <w:szCs w:val="24"/>
                <w:highlight w:val="none"/>
                <w:lang w:val="zh-CN"/>
              </w:rPr>
              <w:t xml:space="preserve">；</w:t>
            </w:r>
            <w:r/>
          </w:p>
          <w:p>
            <w:pPr>
              <w:numPr>
                <w:ilvl w:val="0"/>
                <w:numId w:val="0"/>
              </w:numPr>
              <w:ind w:firstLine="240"/>
              <w:spacing w:line="452" w:lineRule="exact"/>
              <w:shd w:val="clear" w:color="auto" w:fill="ffffff"/>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具有信息系统建设和服务能力评估</w:t>
            </w:r>
            <w:r>
              <w:rPr>
                <w:rFonts w:hint="eastAsia" w:ascii="宋体" w:hAnsi="宋体" w:cs="宋体"/>
                <w:color w:val="auto"/>
                <w:sz w:val="24"/>
                <w:szCs w:val="24"/>
                <w:highlight w:val="none"/>
              </w:rPr>
              <w:t xml:space="preserve">三级及以下</w:t>
            </w:r>
            <w:r>
              <w:rPr>
                <w:rFonts w:hint="eastAsia" w:ascii="宋体" w:hAnsi="宋体" w:cs="宋体"/>
                <w:color w:val="auto"/>
                <w:sz w:val="24"/>
                <w:szCs w:val="24"/>
                <w:highlight w:val="none"/>
                <w:lang w:val="zh-CN"/>
              </w:rPr>
              <w:t xml:space="preserve">得1分，没有不得分。</w:t>
            </w:r>
            <w:r/>
          </w:p>
          <w:p>
            <w:pPr>
              <w:numPr>
                <w:ilvl w:val="0"/>
                <w:numId w:val="0"/>
              </w:numPr>
              <w:spacing w:line="452" w:lineRule="exact"/>
              <w:shd w:val="clear" w:color="auto"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投标人具有信息技术服务标准（ITSS）运行维护一级证书，</w:t>
            </w:r>
            <w:r>
              <w:rPr>
                <w:rFonts w:hint="eastAsia" w:ascii="宋体" w:hAnsi="宋体" w:cs="宋体"/>
                <w:b/>
                <w:bCs/>
                <w:color w:val="auto"/>
                <w:sz w:val="24"/>
                <w:szCs w:val="24"/>
                <w:highlight w:val="none"/>
                <w:lang w:val="zh-CN"/>
              </w:rPr>
              <w:t xml:space="preserve">得</w:t>
            </w:r>
            <w:r>
              <w:rPr>
                <w:rFonts w:hint="eastAsia" w:ascii="宋体" w:hAnsi="宋体" w:cs="宋体"/>
                <w:b/>
                <w:bCs/>
                <w:color w:val="auto"/>
                <w:sz w:val="24"/>
                <w:szCs w:val="24"/>
                <w:highlight w:val="none"/>
              </w:rPr>
              <w:t xml:space="preserve">2</w:t>
            </w:r>
            <w:r>
              <w:rPr>
                <w:rFonts w:hint="eastAsia" w:ascii="宋体" w:hAnsi="宋体" w:cs="宋体"/>
                <w:b/>
                <w:bCs/>
                <w:color w:val="auto"/>
                <w:sz w:val="24"/>
                <w:szCs w:val="24"/>
                <w:highlight w:val="none"/>
                <w:lang w:val="zh-CN"/>
              </w:rPr>
              <w:t xml:space="preserve">分</w:t>
            </w:r>
            <w:r>
              <w:rPr>
                <w:rFonts w:hint="eastAsia" w:ascii="宋体" w:hAnsi="宋体" w:cs="宋体"/>
                <w:color w:val="auto"/>
                <w:sz w:val="24"/>
                <w:szCs w:val="24"/>
                <w:highlight w:val="none"/>
                <w:lang w:val="zh-CN"/>
              </w:rPr>
              <w:t xml:space="preserve">；</w:t>
            </w:r>
            <w:r/>
          </w:p>
          <w:p>
            <w:pPr>
              <w:numPr>
                <w:ilvl w:val="0"/>
                <w:numId w:val="0"/>
              </w:numPr>
              <w:ind w:firstLine="240"/>
              <w:spacing w:line="452" w:lineRule="exact"/>
              <w:shd w:val="clear" w:color="auto" w:fill="ffffff"/>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具有信息技术服务标准（ITSS）运行维护二级及以下得1分，没有不得分。</w:t>
            </w:r>
            <w:r/>
          </w:p>
          <w:p>
            <w:pPr>
              <w:spacing w:line="452" w:lineRule="exact"/>
              <w:shd w:val="clear" w:color="auto" w:fill="ffffff"/>
              <w:rPr>
                <w:rFonts w:hint="eastAsia" w:ascii="宋体" w:hAnsi="宋体" w:cs="宋体"/>
                <w:color w:val="auto"/>
                <w:sz w:val="24"/>
                <w:szCs w:val="24"/>
                <w:highlight w:val="none"/>
                <w:lang w:val="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zh-CN"/>
              </w:rPr>
              <w:t xml:space="preserve">投标人具有信息安全服务资质认证CCRC（软件安全开发）二级及以上的，</w:t>
            </w:r>
            <w:r>
              <w:rPr>
                <w:rFonts w:hint="eastAsia" w:ascii="宋体" w:hAnsi="宋体" w:cs="宋体"/>
                <w:b/>
                <w:bCs/>
                <w:color w:val="auto"/>
                <w:sz w:val="24"/>
                <w:szCs w:val="24"/>
                <w:highlight w:val="none"/>
                <w:lang w:val="zh-CN"/>
              </w:rPr>
              <w:t xml:space="preserve">得</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zh-CN"/>
              </w:rPr>
              <w:t xml:space="preserve">分</w:t>
            </w:r>
            <w:r>
              <w:rPr>
                <w:rFonts w:hint="eastAsia" w:ascii="宋体" w:hAnsi="宋体" w:cs="宋体"/>
                <w:color w:val="auto"/>
                <w:sz w:val="24"/>
                <w:szCs w:val="24"/>
                <w:highlight w:val="none"/>
                <w:lang w:val="zh-CN"/>
              </w:rPr>
              <w:t xml:space="preserve">，</w:t>
            </w:r>
            <w:r/>
          </w:p>
          <w:p>
            <w:pPr>
              <w:ind w:firstLine="240"/>
              <w:spacing w:line="452" w:lineRule="exact"/>
              <w:shd w:val="clear" w:color="auto" w:fill="ffffff"/>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具有信息安全服务资质认证CCRC（软件安全开发）三级的得1分，没有不得分。</w:t>
            </w:r>
            <w:r/>
          </w:p>
          <w:p>
            <w:pPr>
              <w:spacing w:line="452" w:lineRule="exact"/>
              <w:shd w:val="clear" w:color="auto" w:fill="ffffff"/>
              <w:rPr>
                <w:rFonts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注：以上须提供有效期内的证书，原件扫描上传。</w:t>
            </w:r>
            <w:r/>
          </w:p>
        </w:tc>
      </w:tr>
      <w:tr>
        <w:trPr>
          <w:jc w:val="center"/>
          <w:trHeight w:val="282"/>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contextualSpacing/>
              <w:jc w:val="center"/>
              <w:spacing w:line="460" w:lineRule="exac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团队实力</w:t>
            </w:r>
            <w:r/>
          </w:p>
          <w:p>
            <w:pPr>
              <w:contextualSpacing/>
              <w:jc w:val="center"/>
              <w:spacing w:line="460" w:lineRule="exact"/>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rPr>
              <w:t xml:space="preserve">（10分）</w:t>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spacing w:line="440" w:lineRule="exact"/>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1、投标人拟派项目经理具有</w:t>
            </w:r>
            <w:bookmarkStart w:id="203" w:name="_Hlk157693403"/>
            <w:r>
              <w:rPr>
                <w:rFonts w:hint="eastAsia" w:ascii="宋体" w:hAnsi="宋体" w:cs="宋体"/>
                <w:color w:val="auto"/>
                <w:sz w:val="24"/>
                <w:szCs w:val="24"/>
                <w:highlight w:val="none"/>
              </w:rPr>
              <w:t xml:space="preserve">信息系统项目管理师、系统规划与管理师、ITSS服务项目经理</w:t>
            </w:r>
            <w:bookmarkEnd w:id="203"/>
            <w:r>
              <w:rPr>
                <w:rFonts w:hint="eastAsia" w:ascii="宋体" w:hAnsi="宋体" w:cs="宋体"/>
                <w:color w:val="auto"/>
                <w:sz w:val="24"/>
                <w:szCs w:val="24"/>
                <w:highlight w:val="none"/>
              </w:rPr>
              <w:t xml:space="preserve">，每有一项证书得1分，满分3分。</w:t>
            </w:r>
            <w:r/>
          </w:p>
          <w:p>
            <w:pPr>
              <w:spacing w:line="440" w:lineRule="exact"/>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2、投标人拟派技术负责人具有</w:t>
            </w:r>
            <w:bookmarkStart w:id="204" w:name="_Hlk157693447"/>
            <w:r>
              <w:rPr>
                <w:rFonts w:hint="eastAsia" w:ascii="宋体" w:hAnsi="宋体" w:cs="宋体"/>
                <w:color w:val="auto"/>
                <w:sz w:val="24"/>
                <w:szCs w:val="24"/>
                <w:highlight w:val="none"/>
              </w:rPr>
              <w:t xml:space="preserve">系统架构设计师、软件设计师</w:t>
            </w:r>
            <w:bookmarkEnd w:id="204"/>
            <w:r>
              <w:rPr>
                <w:rFonts w:hint="eastAsia" w:ascii="宋体" w:hAnsi="宋体" w:cs="宋体"/>
                <w:color w:val="auto"/>
                <w:sz w:val="24"/>
                <w:szCs w:val="24"/>
                <w:highlight w:val="none"/>
              </w:rPr>
              <w:t xml:space="preserve">，每有一项证书得1分，满分2分。</w:t>
            </w:r>
            <w:r/>
          </w:p>
          <w:p>
            <w:pPr>
              <w:spacing w:line="440" w:lineRule="exact"/>
              <w:shd w:val="clear" w:color="auto" w:fill="ffffff"/>
              <w:rPr>
                <w:rFonts w:ascii="宋体" w:hAnsi="宋体" w:cs="宋体"/>
                <w:color w:val="auto"/>
                <w:sz w:val="24"/>
                <w:szCs w:val="24"/>
                <w:highlight w:val="none"/>
              </w:rPr>
            </w:pPr>
            <w:r>
              <w:rPr>
                <w:rFonts w:hint="eastAsia" w:ascii="宋体" w:hAnsi="宋体" w:cs="宋体"/>
                <w:color w:val="auto"/>
                <w:sz w:val="24"/>
                <w:szCs w:val="24"/>
                <w:highlight w:val="none"/>
              </w:rPr>
              <w:t xml:space="preserve">3、项目组其他成员具有数据库系统工程师、系统分析师、信息系统项目管理师、软件设计师、注册信息安全专业人员的，每有一项证书得1分，满分5分。</w:t>
            </w:r>
            <w:r/>
          </w:p>
          <w:p>
            <w:pPr>
              <w:spacing w:line="440" w:lineRule="exact"/>
              <w:rPr>
                <w:rFonts w:ascii="宋体" w:hAnsi="宋体" w:cs="宋体"/>
                <w:b/>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以上1-3</w:t>
            </w:r>
            <w:r>
              <w:rPr>
                <w:rFonts w:hint="eastAsia" w:ascii="宋体" w:hAnsi="宋体"/>
                <w:color w:val="auto"/>
                <w:sz w:val="24"/>
                <w:szCs w:val="24"/>
                <w:highlight w:val="none"/>
              </w:rPr>
              <w:t xml:space="preserve">须提供有效期内证书及投标人近3个月中任意一月为其缴纳的社保的证明材料，原件扫描上传）。</w:t>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contextualSpacing/>
              <w:jc w:val="center"/>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业绩</w:t>
            </w:r>
            <w:r/>
          </w:p>
          <w:p>
            <w:pPr>
              <w:contextualSpacing/>
              <w:jc w:val="center"/>
              <w:spacing w:line="46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12</w:t>
            </w:r>
            <w:r>
              <w:rPr>
                <w:rFonts w:hint="eastAsia" w:ascii="宋体" w:hAnsi="宋体" w:cs="宋体"/>
                <w:b/>
                <w:bCs/>
                <w:color w:val="auto"/>
                <w:sz w:val="24"/>
                <w:szCs w:val="24"/>
                <w:highlight w:val="none"/>
              </w:rPr>
              <w:t xml:space="preserve">分）</w:t>
            </w:r>
            <w:r/>
          </w:p>
        </w:tc>
        <w:tc>
          <w:tcPr>
            <w:tcBorders>
              <w:top w:val="single" w:color="000000" w:sz="4" w:space="0"/>
              <w:left w:val="none" w:color="000000" w:sz="4" w:space="0"/>
              <w:bottom w:val="single" w:color="000000" w:sz="4" w:space="0"/>
              <w:right w:val="single" w:color="000000" w:sz="4" w:space="0"/>
            </w:tcBorders>
            <w:tcW w:w="8236" w:type="dxa"/>
            <w:vAlign w:val="center"/>
            <w:textDirection w:val="lrTb"/>
            <w:noWrap w:val="false"/>
          </w:tcPr>
          <w:p>
            <w:pPr>
              <w:contextualSpacing/>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投标人提供202</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年1月1日至今（以合同签订日期为准）与本项目类似的业绩，每提供一份合同得</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分，满分</w:t>
            </w: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分。</w:t>
            </w:r>
            <w:r/>
          </w:p>
          <w:p>
            <w:pPr>
              <w:contextualSpacing/>
              <w:spacing w:line="460" w:lineRule="exact"/>
              <w:rPr>
                <w:rFonts w:ascii="宋体" w:hAnsi="宋体" w:cs="宋体"/>
                <w:color w:val="auto"/>
                <w:sz w:val="24"/>
                <w:szCs w:val="24"/>
                <w:highlight w:val="none"/>
              </w:rPr>
            </w:pPr>
            <w:r>
              <w:rPr>
                <w:rFonts w:hint="eastAsia" w:ascii="宋体" w:hAnsi="宋体"/>
                <w:b/>
                <w:bCs/>
                <w:color w:val="auto"/>
                <w:sz w:val="24"/>
                <w:szCs w:val="24"/>
                <w:highlight w:val="none"/>
              </w:rPr>
              <w:t xml:space="preserve">（须提供合同，原件扫描上传）</w:t>
            </w:r>
            <w:r/>
          </w:p>
        </w:tc>
      </w:tr>
      <w:tr>
        <w:trPr>
          <w:cantSplit/>
          <w:jc w:val="center"/>
          <w:trHeight w:val="1051"/>
        </w:trPr>
        <w:tc>
          <w:tcPr>
            <w:tcBorders>
              <w:top w:val="single" w:color="000000" w:sz="4" w:space="0"/>
              <w:left w:val="single" w:color="000000" w:sz="4" w:space="0"/>
              <w:right w:val="single" w:color="000000" w:sz="4" w:space="0"/>
            </w:tcBorders>
            <w:tcW w:w="1271" w:type="dxa"/>
            <w:vAlign w:val="center"/>
            <w:textDirection w:val="lrTb"/>
            <w:noWrap w:val="false"/>
          </w:tcPr>
          <w:p>
            <w:pPr>
              <w:contextualSpacing/>
              <w:jc w:val="center"/>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售后服务</w:t>
            </w:r>
            <w:r/>
          </w:p>
          <w:p>
            <w:pPr>
              <w:contextualSpacing/>
              <w:jc w:val="center"/>
              <w:spacing w:line="460" w:lineRule="exact"/>
              <w:rPr>
                <w:rFonts w:ascii="宋体" w:hAnsi="宋体" w:cs="宋体"/>
                <w:color w:val="auto"/>
                <w:sz w:val="24"/>
                <w:szCs w:val="24"/>
                <w:highlight w:val="none"/>
              </w:rPr>
            </w:pPr>
            <w:r>
              <w:rPr>
                <w:rFonts w:hint="eastAsia" w:ascii="宋体" w:hAnsi="宋体" w:cs="宋体"/>
                <w:b/>
                <w:bCs/>
                <w:color w:val="auto"/>
                <w:sz w:val="24"/>
                <w:szCs w:val="24"/>
                <w:highlight w:val="none"/>
              </w:rPr>
              <w:t xml:space="preserve">（5分）</w:t>
            </w:r>
            <w:r/>
          </w:p>
        </w:tc>
        <w:tc>
          <w:tcPr>
            <w:tcBorders>
              <w:top w:val="single" w:color="000000" w:sz="4" w:space="0"/>
              <w:left w:val="none" w:color="000000" w:sz="4" w:space="0"/>
              <w:right w:val="single" w:color="000000" w:sz="4" w:space="0"/>
            </w:tcBorders>
            <w:tcW w:w="8236" w:type="dxa"/>
            <w:vAlign w:val="center"/>
            <w:textDirection w:val="lrTb"/>
            <w:noWrap w:val="false"/>
          </w:tcPr>
          <w:p>
            <w:pPr>
              <w:numPr>
                <w:ilvl w:val="0"/>
                <w:numId w:val="14"/>
              </w:numPr>
              <w:contextualSpacing/>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提供售后服务方案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要求内容表述清晰，方案合理可行</w:t>
            </w:r>
            <w:r>
              <w:rPr>
                <w:rFonts w:hint="eastAsia" w:ascii="宋体" w:hAnsi="宋体" w:cs="宋体"/>
                <w:color w:val="auto"/>
                <w:sz w:val="24"/>
                <w:szCs w:val="24"/>
                <w:highlight w:val="none"/>
                <w:lang w:eastAsia="zh-CN"/>
              </w:rPr>
              <w:t xml:space="preserve">：</w:t>
            </w:r>
            <w:r/>
          </w:p>
          <w:p>
            <w:pPr>
              <w:numPr>
                <w:ilvl w:val="0"/>
                <w:numId w:val="0"/>
              </w:numPr>
              <w:contextualSpacing/>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优于招标文件要求的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numPr>
                <w:ilvl w:val="0"/>
                <w:numId w:val="0"/>
              </w:numPr>
              <w:contextualSpacing/>
              <w:spacing w:line="46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符合招标文件要求的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numPr>
                <w:ilvl w:val="0"/>
                <w:numId w:val="0"/>
              </w:numPr>
              <w:contextualSpacing/>
              <w:spacing w:line="4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不符合招标文件要求或未提供的不得分。</w:t>
            </w:r>
            <w:r/>
          </w:p>
        </w:tc>
      </w:tr>
    </w:tbl>
    <w:p>
      <w:pPr>
        <w:rPr>
          <w:rFonts w:hint="eastAsia"/>
        </w:rPr>
      </w:pPr>
      <w:r>
        <w:rPr>
          <w:rFonts w:hint="eastAsia"/>
        </w:rPr>
      </w:r>
      <w:r/>
    </w:p>
    <w:p>
      <w:pPr>
        <w:rPr>
          <w:rFonts w:hint="eastAsia"/>
          <w:b/>
          <w:bCs/>
          <w:color w:val="ff0000"/>
          <w:highlight w:val="yellow"/>
        </w:rPr>
      </w:pPr>
      <w:r>
        <w:rPr>
          <w:rFonts w:hint="eastAsia"/>
          <w:b/>
          <w:bCs/>
          <w:color w:val="ff0000"/>
          <w:highlight w:val="yellow"/>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rPr>
          <w:rFonts w:hint="eastAsia"/>
        </w:rPr>
      </w:pPr>
      <w:r>
        <w:rPr>
          <w:rFonts w:hint="eastAsia"/>
        </w:rPr>
      </w:r>
      <w:r/>
    </w:p>
    <w:p>
      <w:pPr>
        <w:pStyle w:val="722"/>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96"/>
        <w:rPr>
          <w:rFonts w:hint="eastAsia"/>
          <w:b/>
          <w:bCs/>
        </w:rPr>
      </w:pPr>
      <w:r/>
      <w:bookmarkStart w:id="205" w:name="_Toc27232"/>
      <w:r/>
      <w:bookmarkStart w:id="206" w:name="_Toc13255"/>
      <w:r>
        <w:rPr>
          <w:rFonts w:hint="eastAsia"/>
          <w:b/>
          <w:bCs/>
        </w:rPr>
        <w:t xml:space="preserve">第六章  投标</w:t>
      </w:r>
      <w:bookmarkEnd w:id="198"/>
      <w:r/>
      <w:bookmarkEnd w:id="199"/>
      <w:r/>
      <w:bookmarkEnd w:id="202"/>
      <w:r>
        <w:rPr>
          <w:rFonts w:hint="eastAsia"/>
          <w:b/>
          <w:bCs/>
        </w:rPr>
        <w:t xml:space="preserve">文件格式</w:t>
      </w:r>
      <w:bookmarkEnd w:id="205"/>
      <w:r/>
      <w:bookmarkEnd w:id="206"/>
      <w:r>
        <w:rPr>
          <w:rFonts w:hint="eastAsia"/>
          <w:b/>
          <w:bCs/>
        </w:rPr>
        <w:t xml:space="preserve"> </w:t>
      </w:r>
      <w:r/>
    </w:p>
    <w:p>
      <w:pPr>
        <w:jc w:val="center"/>
        <w:rPr>
          <w:rFonts w:hint="eastAsia" w:ascii="宋体" w:hAnsi="宋体"/>
          <w:b/>
          <w:sz w:val="72"/>
        </w:rPr>
      </w:pPr>
      <w:r/>
      <w:bookmarkStart w:id="207" w:name="_Hlt26955039"/>
      <w:r/>
      <w:bookmarkEnd w:id="207"/>
      <w:r/>
      <w:bookmarkStart w:id="208" w:name="_Hlt26671244"/>
      <w:r/>
      <w:bookmarkEnd w:id="208"/>
      <w:r/>
      <w:bookmarkStart w:id="209" w:name="_Toc49090576"/>
      <w:r/>
      <w:bookmarkStart w:id="210" w:name="_Toc26554094"/>
      <w:r/>
      <w:bookmarkStart w:id="211" w:name="_Toc120614282"/>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投  标  文  件</w:t>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both"/>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u w:val="single"/>
        </w:rPr>
      </w:pPr>
      <w:r>
        <w:rPr>
          <w:rFonts w:hint="eastAsia" w:ascii="宋体" w:hAnsi="宋体"/>
          <w:i/>
          <w:sz w:val="24"/>
          <w:u w:val="single"/>
        </w:rPr>
        <w:t xml:space="preserve">一、法人或者其他组织的营业执照等证明文件，自然人的身份证明</w:t>
      </w:r>
      <w:r/>
    </w:p>
    <w:p>
      <w:pPr>
        <w:ind w:left="480"/>
        <w:rPr>
          <w:rFonts w:hint="eastAsia" w:ascii="宋体" w:hAnsi="宋体"/>
          <w:i/>
          <w:color w:val="auto"/>
          <w:sz w:val="24"/>
          <w:u w:val="single"/>
        </w:rPr>
      </w:pPr>
      <w:r>
        <w:rPr>
          <w:rFonts w:hint="eastAsia" w:ascii="宋体" w:hAnsi="宋体"/>
          <w:i/>
          <w:sz w:val="24"/>
          <w:u w:val="single"/>
        </w:rPr>
        <w:t xml:space="preserve">二、</w:t>
      </w:r>
      <w:r>
        <w:rPr>
          <w:rFonts w:hint="eastAsia" w:ascii="宋体" w:hAnsi="宋体"/>
          <w:i/>
          <w:color w:val="auto"/>
          <w:sz w:val="24"/>
          <w:u w:val="single"/>
        </w:rPr>
        <w:t xml:space="preserve">上一年度的财务状况报告（投标人成立不满一年无需提供）</w:t>
      </w:r>
      <w:r/>
    </w:p>
    <w:p>
      <w:pPr>
        <w:ind w:left="480"/>
        <w:rPr>
          <w:rFonts w:hint="eastAsia" w:ascii="宋体" w:hAnsi="宋体"/>
          <w:i/>
          <w:color w:val="auto"/>
          <w:sz w:val="24"/>
          <w:u w:val="single"/>
        </w:rPr>
      </w:pPr>
      <w:r>
        <w:rPr>
          <w:rFonts w:hint="eastAsia" w:ascii="宋体" w:hAnsi="宋体"/>
          <w:i/>
          <w:color w:val="auto"/>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auto"/>
          <w:sz w:val="24"/>
          <w:u w:val="single"/>
        </w:rPr>
      </w:pPr>
      <w:r>
        <w:rPr>
          <w:rFonts w:hint="eastAsia" w:ascii="宋体" w:hAnsi="宋体"/>
          <w:i/>
          <w:color w:val="auto"/>
          <w:sz w:val="24"/>
          <w:u w:val="single"/>
        </w:rPr>
        <w:t xml:space="preserve">四、具备履行合同所必需的设备和专业技术能力的书面声明</w:t>
      </w:r>
      <w:r/>
    </w:p>
    <w:p>
      <w:pPr>
        <w:ind w:firstLine="480"/>
        <w:spacing w:line="440" w:lineRule="exact"/>
        <w:rPr>
          <w:rFonts w:hint="eastAsia" w:ascii="宋体" w:hAnsi="宋体"/>
          <w:i/>
          <w:color w:val="auto"/>
          <w:sz w:val="24"/>
          <w:u w:val="single"/>
        </w:rPr>
      </w:pPr>
      <w:r>
        <w:rPr>
          <w:rFonts w:hint="eastAsia" w:ascii="宋体" w:hAnsi="宋体"/>
          <w:i/>
          <w:color w:val="auto"/>
          <w:sz w:val="24"/>
          <w:u w:val="single"/>
        </w:rPr>
        <w:t xml:space="preserve">五、参加政府采购活动前 3 年内在经营活动中没有重大违法记录的书面声明</w:t>
      </w:r>
      <w:r/>
    </w:p>
    <w:p>
      <w:pPr>
        <w:ind w:firstLine="480"/>
        <w:spacing w:line="440" w:lineRule="exact"/>
        <w:rPr>
          <w:rFonts w:hint="eastAsia" w:ascii="宋体" w:hAnsi="宋体"/>
          <w:i/>
          <w:color w:val="auto"/>
          <w:sz w:val="24"/>
          <w:u w:val="single"/>
        </w:rPr>
      </w:pPr>
      <w:r>
        <w:rPr>
          <w:rFonts w:hint="eastAsia" w:ascii="宋体" w:hAnsi="宋体"/>
          <w:i/>
          <w:color w:val="auto"/>
          <w:sz w:val="24"/>
          <w:u w:val="single"/>
        </w:rPr>
        <w:t xml:space="preserve">六、</w:t>
      </w:r>
      <w:r>
        <w:rPr>
          <w:rFonts w:hint="eastAsia" w:ascii="宋体" w:hAnsi="宋体"/>
          <w:i/>
          <w:color w:val="auto"/>
          <w:sz w:val="24"/>
          <w:u w:val="single"/>
          <w:lang w:val="en-US" w:eastAsia="zh-CN"/>
        </w:rPr>
        <w:t xml:space="preserve">供应商</w:t>
      </w:r>
      <w:r>
        <w:rPr>
          <w:rFonts w:hint="eastAsia" w:ascii="宋体" w:hAnsi="宋体"/>
          <w:i/>
          <w:color w:val="auto"/>
          <w:sz w:val="24"/>
          <w:u w:val="single"/>
        </w:rPr>
        <w:t xml:space="preserve">信用承诺函</w:t>
      </w:r>
      <w:r/>
    </w:p>
    <w:p>
      <w:pPr>
        <w:ind w:firstLine="480"/>
        <w:spacing w:line="440" w:lineRule="exact"/>
        <w:rPr>
          <w:rFonts w:hint="eastAsia" w:ascii="宋体" w:hAnsi="宋体"/>
          <w:i/>
          <w:color w:val="auto"/>
          <w:sz w:val="24"/>
          <w:u w:val="single"/>
        </w:rPr>
      </w:pPr>
      <w:r>
        <w:rPr>
          <w:rFonts w:hint="eastAsia" w:ascii="宋体" w:hAnsi="宋体"/>
          <w:i/>
          <w:color w:val="auto"/>
          <w:sz w:val="24"/>
          <w:u w:val="single"/>
          <w:lang w:val="en-US" w:eastAsia="zh-CN"/>
        </w:rPr>
        <w:t xml:space="preserve">七</w:t>
      </w:r>
      <w:r>
        <w:rPr>
          <w:rFonts w:hint="eastAsia" w:ascii="宋体" w:hAnsi="宋体"/>
          <w:i/>
          <w:color w:val="auto"/>
          <w:sz w:val="24"/>
          <w:u w:val="single"/>
        </w:rPr>
        <w:t xml:space="preserve">、特定资格要求的证明文件（如果本项目设置特定资格要求，则需要提供）</w:t>
      </w:r>
      <w:r/>
    </w:p>
    <w:p>
      <w:pPr>
        <w:ind w:firstLine="480"/>
        <w:spacing w:line="440" w:lineRule="exact"/>
        <w:rPr>
          <w:rFonts w:hint="eastAsia" w:ascii="宋体" w:hAnsi="宋体"/>
          <w:i/>
          <w:color w:val="auto"/>
          <w:sz w:val="24"/>
          <w:u w:val="single"/>
        </w:rPr>
      </w:pPr>
      <w:r>
        <w:rPr>
          <w:rFonts w:hint="eastAsia" w:ascii="宋体" w:hAnsi="宋体"/>
          <w:i/>
          <w:color w:val="auto"/>
          <w:sz w:val="24"/>
          <w:u w:val="single"/>
          <w:lang w:val="en-US" w:eastAsia="zh-CN"/>
        </w:rPr>
        <w:t xml:space="preserve">八</w:t>
      </w:r>
      <w:r>
        <w:rPr>
          <w:rFonts w:hint="eastAsia" w:ascii="宋体" w:hAnsi="宋体"/>
          <w:i/>
          <w:color w:val="auto"/>
          <w:sz w:val="24"/>
          <w:u w:val="single"/>
        </w:rPr>
        <w:t xml:space="preserve">、法人授权书</w:t>
      </w:r>
      <w:r/>
    </w:p>
    <w:p>
      <w:pPr>
        <w:ind w:firstLine="480"/>
        <w:spacing w:line="440" w:lineRule="exact"/>
        <w:rPr>
          <w:rFonts w:hint="eastAsia" w:ascii="宋体" w:hAnsi="宋体"/>
          <w:i/>
          <w:color w:val="auto"/>
          <w:sz w:val="24"/>
          <w:u w:val="single"/>
        </w:rPr>
      </w:pPr>
      <w:r>
        <w:rPr>
          <w:rFonts w:hint="eastAsia" w:ascii="宋体" w:hAnsi="宋体"/>
          <w:i/>
          <w:color w:val="auto"/>
          <w:sz w:val="24"/>
          <w:u w:val="single"/>
          <w:lang w:val="en-US" w:eastAsia="zh-CN"/>
        </w:rPr>
        <w:t xml:space="preserve">九</w:t>
      </w:r>
      <w:r>
        <w:rPr>
          <w:rFonts w:hint="eastAsia" w:ascii="宋体" w:hAnsi="宋体"/>
          <w:i/>
          <w:color w:val="auto"/>
          <w:sz w:val="24"/>
          <w:u w:val="single"/>
        </w:rPr>
        <w:t xml:space="preserve">、投标函</w:t>
      </w:r>
      <w:r/>
    </w:p>
    <w:p>
      <w:pPr>
        <w:ind w:firstLine="480"/>
        <w:spacing w:line="440" w:lineRule="exact"/>
        <w:rPr>
          <w:rFonts w:ascii="宋体" w:hAnsi="宋体"/>
          <w:color w:val="auto"/>
          <w:sz w:val="24"/>
        </w:rPr>
      </w:pPr>
      <w:r>
        <w:rPr>
          <w:rFonts w:hint="eastAsia" w:ascii="宋体" w:hAnsi="宋体"/>
          <w:color w:val="auto"/>
          <w:sz w:val="24"/>
        </w:rPr>
        <w:t xml:space="preserve">十、企业报价折扣证明（</w:t>
      </w:r>
      <w:r>
        <w:rPr>
          <w:rFonts w:hint="eastAsia" w:ascii="宋体" w:hAnsi="宋体"/>
          <w:i w:val="0"/>
          <w:iCs w:val="0"/>
          <w:color w:val="auto"/>
          <w:sz w:val="24"/>
          <w:u w:val="none"/>
        </w:rPr>
        <w:t xml:space="preserve">中小企业声明函</w:t>
      </w:r>
      <w:r>
        <w:rPr>
          <w:rFonts w:hint="eastAsia" w:ascii="宋体" w:hAnsi="宋体"/>
          <w:color w:val="auto"/>
          <w:sz w:val="24"/>
        </w:rPr>
        <w:t xml:space="preserve">、残疾人福利性单位声明函）</w:t>
      </w:r>
      <w:r/>
    </w:p>
    <w:p>
      <w:pPr>
        <w:ind w:firstLine="480"/>
        <w:spacing w:line="440" w:lineRule="exact"/>
        <w:rPr>
          <w:rFonts w:hint="eastAsia" w:ascii="宋体" w:hAnsi="宋体"/>
          <w:color w:val="auto"/>
          <w:sz w:val="24"/>
        </w:rPr>
      </w:pPr>
      <w:r>
        <w:rPr>
          <w:rFonts w:hint="eastAsia" w:ascii="宋体" w:hAnsi="宋体"/>
          <w:color w:val="auto"/>
          <w:sz w:val="24"/>
        </w:rPr>
        <w:t xml:space="preserve">十一、联合体协议</w:t>
      </w:r>
      <w:r/>
    </w:p>
    <w:p>
      <w:pPr>
        <w:ind w:firstLine="480"/>
        <w:spacing w:line="440" w:lineRule="exact"/>
        <w:rPr>
          <w:rFonts w:ascii="宋体" w:hAnsi="宋体" w:eastAsia="宋体"/>
          <w:color w:val="auto"/>
          <w:sz w:val="24"/>
          <w:lang w:val="en-US" w:eastAsia="zh-CN"/>
        </w:rPr>
      </w:pPr>
      <w:r>
        <w:rPr>
          <w:rFonts w:hint="eastAsia" w:ascii="宋体" w:hAnsi="宋体"/>
          <w:color w:val="auto"/>
          <w:sz w:val="24"/>
        </w:rPr>
        <w:t xml:space="preserve">十二、投标分项报价表</w:t>
      </w:r>
      <w:r>
        <w:rPr>
          <w:rFonts w:hint="eastAsia" w:ascii="宋体" w:hAnsi="宋体"/>
          <w:color w:val="auto"/>
          <w:sz w:val="24"/>
          <w:lang w:val="en-US" w:eastAsia="zh-CN"/>
        </w:rPr>
        <w:t xml:space="preserve">   </w:t>
      </w:r>
      <w:r/>
    </w:p>
    <w:p>
      <w:pPr>
        <w:ind w:firstLine="480"/>
        <w:spacing w:line="440" w:lineRule="exact"/>
        <w:rPr>
          <w:rFonts w:hint="eastAsia" w:ascii="宋体" w:hAnsi="宋体"/>
          <w:color w:val="auto"/>
          <w:sz w:val="24"/>
        </w:rPr>
      </w:pPr>
      <w:r>
        <w:rPr>
          <w:rFonts w:hint="eastAsia" w:ascii="宋体" w:hAnsi="宋体"/>
          <w:color w:val="auto"/>
          <w:sz w:val="24"/>
        </w:rPr>
        <w:t xml:space="preserve">十三、技术要求响应及偏离表</w:t>
      </w:r>
      <w:r/>
    </w:p>
    <w:p>
      <w:pPr>
        <w:ind w:firstLine="480"/>
        <w:spacing w:line="440" w:lineRule="exact"/>
        <w:rPr>
          <w:rFonts w:ascii="宋体" w:hAnsi="宋体"/>
          <w:color w:val="auto"/>
          <w:sz w:val="24"/>
        </w:rPr>
      </w:pPr>
      <w:r>
        <w:rPr>
          <w:rFonts w:hint="eastAsia" w:ascii="宋体" w:hAnsi="宋体"/>
          <w:color w:val="auto"/>
          <w:sz w:val="24"/>
        </w:rPr>
        <w:t xml:space="preserve">十四、商务要求响应及偏离表</w:t>
      </w:r>
      <w:r/>
    </w:p>
    <w:p>
      <w:pPr>
        <w:ind w:firstLine="480"/>
        <w:spacing w:line="440" w:lineRule="exact"/>
        <w:rPr>
          <w:rFonts w:hint="eastAsia" w:ascii="宋体" w:hAnsi="宋体"/>
          <w:i/>
          <w:color w:val="auto"/>
          <w:sz w:val="24"/>
          <w:u w:val="single"/>
        </w:rPr>
      </w:pPr>
      <w:r>
        <w:rPr>
          <w:rFonts w:hint="eastAsia" w:ascii="宋体" w:hAnsi="宋体"/>
          <w:i/>
          <w:color w:val="auto"/>
          <w:sz w:val="24"/>
          <w:u w:val="single"/>
        </w:rPr>
        <w:t xml:space="preserve">十五、开标一览表</w:t>
      </w:r>
      <w:r/>
    </w:p>
    <w:p>
      <w:pPr>
        <w:ind w:firstLine="480"/>
        <w:spacing w:line="440" w:lineRule="exact"/>
        <w:rPr>
          <w:rFonts w:ascii="宋体" w:hAnsi="宋体"/>
          <w:i w:val="0"/>
          <w:iCs/>
          <w:color w:val="auto"/>
          <w:sz w:val="24"/>
          <w:u w:val="none"/>
        </w:rPr>
      </w:pPr>
      <w:r>
        <w:rPr>
          <w:rFonts w:hint="eastAsia" w:ascii="宋体" w:hAnsi="宋体"/>
          <w:i w:val="0"/>
          <w:iCs/>
          <w:color w:val="auto"/>
          <w:sz w:val="24"/>
          <w:u w:val="none"/>
        </w:rPr>
        <w:t xml:space="preserve">十六、主要标的信息</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722"/>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22"/>
        <w:rPr>
          <w:rFonts w:ascii="宋体" w:hAnsi="宋体"/>
          <w:sz w:val="24"/>
        </w:rPr>
      </w:pPr>
      <w:r>
        <w:rPr>
          <w:rFonts w:ascii="宋体" w:hAnsi="宋体"/>
          <w:sz w:val="24"/>
        </w:rPr>
      </w:r>
      <w:r/>
    </w:p>
    <w:p>
      <w:pPr>
        <w:rPr>
          <w:rFonts w:ascii="宋体" w:hAnsi="宋体"/>
          <w:sz w:val="24"/>
        </w:rPr>
      </w:pPr>
      <w:r>
        <w:rPr>
          <w:rFonts w:ascii="宋体" w:hAnsi="宋体"/>
          <w:sz w:val="24"/>
        </w:rPr>
      </w:r>
      <w:r/>
    </w:p>
    <w:p>
      <w:pPr>
        <w:pStyle w:val="722"/>
        <w:rPr>
          <w:rFonts w:ascii="宋体" w:hAnsi="宋体"/>
          <w:sz w:val="24"/>
        </w:rPr>
      </w:pPr>
      <w:r>
        <w:rPr>
          <w:rFonts w:ascii="宋体" w:hAnsi="宋体"/>
          <w:sz w:val="24"/>
        </w:rPr>
      </w:r>
      <w:r/>
    </w:p>
    <w:p>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rPr>
      </w:pPr>
      <w:r>
        <w:rPr>
          <w:rFonts w:hint="eastAsia" w:ascii="宋体" w:hAnsi="宋体"/>
          <w:bCs/>
          <w:sz w:val="24"/>
        </w:rPr>
        <w:t xml:space="preserve">投标人成立不满一年不需提供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bookmarkEnd w:id="209"/>
      <w:r/>
      <w:bookmarkEnd w:id="210"/>
      <w:r/>
      <w:bookmarkEnd w:id="211"/>
      <w:r/>
      <w:r/>
    </w:p>
    <w:p>
      <w:pPr>
        <w:ind w:firstLine="480"/>
        <w:rPr>
          <w:rFonts w:hint="eastAsia" w:ascii="宋体" w:hAnsi="宋体"/>
          <w:bCs/>
          <w:sz w:val="24"/>
        </w:rPr>
      </w:pPr>
      <w:r/>
      <w:bookmarkStart w:id="212" w:name="_Toc120614284"/>
      <w:r>
        <w:rPr>
          <w:rFonts w:hint="eastAsia" w:ascii="宋体" w:hAnsi="宋体"/>
          <w:bCs/>
          <w:sz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pStyle w:val="898"/>
        <w:ind w:firstLine="0"/>
        <w:rPr>
          <w:rFonts w:hint="eastAsia"/>
        </w:rPr>
      </w:pPr>
      <w:r>
        <w:rPr>
          <w:rFonts w:hint="eastAsia"/>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numPr>
          <w:ilvl w:val="0"/>
          <w:numId w:val="15"/>
        </w:numPr>
        <w:rPr>
          <w:rFonts w:ascii="黑体" w:hAnsi="黑体" w:eastAsia="黑体"/>
          <w:i/>
          <w:color w:val="auto"/>
          <w:sz w:val="32"/>
          <w:szCs w:val="32"/>
          <w:u w:val="single"/>
        </w:rPr>
      </w:pPr>
      <w:r>
        <w:rPr>
          <w:rFonts w:hint="eastAsia" w:ascii="黑体" w:hAnsi="黑体" w:eastAsia="黑体"/>
          <w:i/>
          <w:color w:val="auto"/>
          <w:sz w:val="32"/>
          <w:szCs w:val="32"/>
          <w:u w:val="single"/>
        </w:rPr>
        <w:t xml:space="preserve">供应商信用承诺函</w:t>
      </w:r>
      <w:r/>
    </w:p>
    <w:p>
      <w:pPr>
        <w:jc w:val="center"/>
        <w:spacing w:line="500" w:lineRule="exact"/>
        <w:rPr>
          <w:rFonts w:ascii="宋体" w:hAnsi="宋体" w:eastAsia="等线"/>
          <w:b/>
          <w:color w:val="auto"/>
          <w:sz w:val="24"/>
          <w:szCs w:val="24"/>
        </w:rPr>
      </w:pPr>
      <w:r>
        <w:rPr>
          <w:rFonts w:hint="eastAsia" w:ascii="宋体" w:hAnsi="宋体" w:eastAsia="等线"/>
          <w:b/>
          <w:color w:val="auto"/>
          <w:sz w:val="24"/>
          <w:szCs w:val="24"/>
        </w:rPr>
        <w:t xml:space="preserve">供应商信用承诺函</w:t>
      </w:r>
      <w:r/>
    </w:p>
    <w:p>
      <w:pPr>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spacing w:line="560" w:lineRule="exact"/>
        <w:rPr>
          <w:rFonts w:ascii="宋体" w:hAnsi="宋体" w:cs="宋体"/>
          <w:color w:val="auto"/>
          <w:sz w:val="24"/>
          <w:szCs w:val="24"/>
        </w:rPr>
      </w:pPr>
      <w:r>
        <w:rPr>
          <w:rFonts w:ascii="宋体" w:hAnsi="宋体" w:cs="宋体"/>
          <w:color w:val="auto"/>
          <w:sz w:val="24"/>
          <w:szCs w:val="24"/>
        </w:rPr>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四、自觉接受行政管理部门、行业组织、社会公众、新闻舆论的监督；</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七、严格遵守信用信息公示相关规定，向社会公示信用信息；</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八、在“信用中国”和“中国政府采购网”网站中无违法违规、较重或严重失信记录；</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十、本承诺书自签订之日起生效。</w:t>
      </w:r>
      <w:r/>
    </w:p>
    <w:p>
      <w:pPr>
        <w:ind w:firstLine="420"/>
        <w:spacing w:line="560" w:lineRule="exact"/>
        <w:rPr>
          <w:rFonts w:ascii="宋体" w:hAnsi="宋体" w:cs="宋体"/>
          <w:color w:val="auto"/>
          <w:sz w:val="24"/>
          <w:szCs w:val="24"/>
        </w:rPr>
      </w:pPr>
      <w:r>
        <w:rPr>
          <w:rFonts w:hint="eastAsia" w:ascii="宋体" w:hAnsi="宋体" w:cs="宋体"/>
          <w:color w:val="auto"/>
          <w:sz w:val="24"/>
          <w:szCs w:val="24"/>
        </w:rPr>
        <w:t xml:space="preserve"> （注：法定代表人或负责人、主体名称发生变更的应当重新做出承诺。）</w:t>
      </w:r>
      <w:r/>
    </w:p>
    <w:p>
      <w:pPr>
        <w:spacing w:line="560" w:lineRule="exact"/>
        <w:rPr>
          <w:rFonts w:ascii="宋体" w:hAnsi="宋体" w:cs="宋体"/>
          <w:color w:val="auto"/>
          <w:sz w:val="24"/>
          <w:szCs w:val="24"/>
        </w:rPr>
      </w:pPr>
      <w:r>
        <w:rPr>
          <w:rFonts w:ascii="宋体" w:hAnsi="宋体" w:cs="宋体"/>
          <w:color w:val="auto"/>
          <w:sz w:val="24"/>
          <w:szCs w:val="24"/>
        </w:rPr>
      </w:r>
      <w:r/>
    </w:p>
    <w:p>
      <w:pPr>
        <w:jc w:val="center"/>
        <w:spacing w:line="560" w:lineRule="exact"/>
        <w:rPr>
          <w:rFonts w:ascii="宋体" w:hAnsi="宋体" w:cs="宋体"/>
          <w:color w:val="auto"/>
          <w:sz w:val="24"/>
          <w:szCs w:val="24"/>
        </w:rPr>
      </w:pPr>
      <w:r>
        <w:rPr>
          <w:rFonts w:hint="eastAsia" w:ascii="宋体" w:hAnsi="宋体" w:cs="宋体"/>
          <w:color w:val="auto"/>
          <w:sz w:val="24"/>
          <w:szCs w:val="24"/>
        </w:rPr>
        <w:t xml:space="preserve">　　　　　　　　　　     承诺单位（加盖CA电子公章）：           </w:t>
      </w:r>
      <w:r/>
    </w:p>
    <w:p>
      <w:pPr>
        <w:jc w:val="center"/>
        <w:spacing w:line="560" w:lineRule="exact"/>
        <w:rPr>
          <w:rFonts w:ascii="宋体" w:hAnsi="宋体" w:cs="宋体"/>
          <w:color w:val="auto"/>
          <w:sz w:val="24"/>
          <w:szCs w:val="24"/>
        </w:rPr>
      </w:pPr>
      <w:r>
        <w:rPr>
          <w:rFonts w:hint="eastAsia" w:ascii="宋体" w:hAnsi="宋体" w:cs="宋体"/>
          <w:color w:val="auto"/>
          <w:sz w:val="24"/>
          <w:szCs w:val="24"/>
        </w:rPr>
        <w:t xml:space="preserve">年    月    日</w:t>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rPr>
      </w:r>
      <w:r/>
    </w:p>
    <w:p>
      <w:pPr>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rPr>
          <w:rFonts w:hint="eastAsia" w:ascii="黑体" w:hAnsi="黑体" w:eastAsia="黑体"/>
          <w:i/>
          <w:color w:val="auto"/>
          <w:sz w:val="32"/>
          <w:szCs w:val="32"/>
          <w:u w:val="single"/>
        </w:rPr>
      </w:pPr>
      <w:r>
        <w:rPr>
          <w:rFonts w:hint="eastAsia" w:ascii="黑体" w:hAnsi="黑体" w:eastAsia="黑体"/>
          <w:i/>
          <w:color w:val="auto"/>
          <w:sz w:val="32"/>
          <w:szCs w:val="32"/>
          <w:u w:val="single"/>
          <w:lang w:val="en-US" w:eastAsia="zh-CN"/>
        </w:rPr>
        <w:t xml:space="preserve">七</w:t>
      </w:r>
      <w:r>
        <w:rPr>
          <w:rFonts w:hint="eastAsia" w:ascii="黑体" w:hAnsi="黑体" w:eastAsia="黑体"/>
          <w:i/>
          <w:color w:val="auto"/>
          <w:sz w:val="32"/>
          <w:szCs w:val="32"/>
          <w:u w:val="single"/>
        </w:rPr>
        <w:t xml:space="preserve">、特定资格要求的证明文件</w:t>
      </w:r>
      <w:r/>
    </w:p>
    <w:p>
      <w:pPr>
        <w:spacing w:line="460" w:lineRule="exact"/>
        <w:rPr>
          <w:rFonts w:hint="eastAsia" w:ascii="宋体" w:hAnsi="宋体"/>
          <w:bCs/>
          <w:color w:val="auto"/>
          <w:sz w:val="24"/>
        </w:rPr>
      </w:pPr>
      <w:r>
        <w:rPr>
          <w:rFonts w:hint="eastAsia" w:ascii="宋体" w:hAnsi="宋体"/>
          <w:color w:val="auto"/>
          <w:sz w:val="24"/>
        </w:rPr>
        <w:t xml:space="preserve">    如果本项目申请人的特定资格要求中要求提供的，必须提供。</w:t>
      </w:r>
      <w:r/>
    </w:p>
    <w:p>
      <w:pPr>
        <w:spacing w:line="460" w:lineRule="exact"/>
        <w:rPr>
          <w:rFonts w:hint="eastAsia" w:ascii="宋体" w:hAnsi="宋体"/>
          <w:bCs/>
          <w:color w:val="auto"/>
          <w:sz w:val="24"/>
        </w:rPr>
      </w:pPr>
      <w:r>
        <w:rPr>
          <w:rFonts w:hint="eastAsia" w:ascii="宋体" w:hAnsi="宋体"/>
          <w:bCs/>
          <w:color w:val="auto"/>
          <w:sz w:val="24"/>
        </w:rPr>
      </w:r>
      <w:r/>
    </w:p>
    <w:p>
      <w:pPr>
        <w:jc w:val="center"/>
        <w:rPr>
          <w:rFonts w:hint="eastAsia" w:ascii="黑体" w:hAnsi="黑体" w:eastAsia="黑体"/>
          <w:i/>
          <w:color w:val="auto"/>
          <w:sz w:val="32"/>
          <w:szCs w:val="32"/>
          <w:u w:val="single"/>
        </w:rPr>
      </w:pPr>
      <w:r>
        <w:rPr>
          <w:rFonts w:hint="eastAsia" w:ascii="黑体" w:hAnsi="黑体" w:eastAsia="黑体"/>
          <w:i/>
          <w:color w:val="auto"/>
          <w:sz w:val="32"/>
          <w:szCs w:val="32"/>
          <w:u w:val="single"/>
          <w:lang w:val="en-US" w:eastAsia="zh-CN"/>
        </w:rPr>
        <w:t xml:space="preserve">八</w:t>
      </w:r>
      <w:r>
        <w:rPr>
          <w:rFonts w:hint="eastAsia" w:ascii="黑体" w:hAnsi="黑体" w:eastAsia="黑体"/>
          <w:i/>
          <w:color w:val="auto"/>
          <w:sz w:val="32"/>
          <w:szCs w:val="32"/>
          <w:u w:val="single"/>
        </w:rPr>
        <w:t xml:space="preserve">、法人授权书</w:t>
      </w:r>
      <w:r/>
    </w:p>
    <w:p>
      <w:pPr>
        <w:pStyle w:val="999"/>
        <w:ind w:firstLine="480"/>
        <w:rPr>
          <w:rFonts w:hint="eastAsia"/>
          <w:color w:val="auto"/>
          <w:sz w:val="24"/>
          <w:szCs w:val="24"/>
        </w:rPr>
      </w:pPr>
      <w:r>
        <w:rPr>
          <w:rFonts w:hint="eastAsia"/>
          <w:color w:val="auto"/>
          <w:sz w:val="24"/>
          <w:szCs w:val="24"/>
        </w:rPr>
        <w:t xml:space="preserve">本授权书声明：____________（投标人名称）授权________________（被授权人的姓名）为我方就JSZC-</w:t>
      </w:r>
      <w:r>
        <w:rPr>
          <w:rFonts w:hint="eastAsia"/>
          <w:color w:val="auto"/>
          <w:sz w:val="24"/>
          <w:szCs w:val="24"/>
          <w:u w:val="single"/>
        </w:rPr>
        <w:t xml:space="preserve">        </w:t>
      </w:r>
      <w:r>
        <w:rPr>
          <w:rFonts w:hint="eastAsia"/>
          <w:color w:val="auto"/>
          <w:sz w:val="24"/>
          <w:szCs w:val="24"/>
        </w:rPr>
        <w:t xml:space="preserve">号项目采购活动的合法代理人，以本单位名义全权处理一切与该项目采购有关的事务。</w:t>
      </w:r>
      <w:r/>
    </w:p>
    <w:p>
      <w:pPr>
        <w:pStyle w:val="999"/>
        <w:ind w:firstLine="480"/>
        <w:rPr>
          <w:rFonts w:hint="eastAsia"/>
          <w:color w:val="auto"/>
          <w:sz w:val="24"/>
          <w:szCs w:val="24"/>
        </w:rPr>
      </w:pPr>
      <w:r>
        <w:rPr>
          <w:rFonts w:hint="eastAsia"/>
          <w:color w:val="auto"/>
          <w:sz w:val="24"/>
          <w:szCs w:val="24"/>
        </w:rPr>
        <w:t xml:space="preserve">本授权书于______年____月____日起生效，特此声明。</w:t>
      </w:r>
      <w:r/>
    </w:p>
    <w:p>
      <w:pPr>
        <w:pStyle w:val="999"/>
        <w:ind w:firstLine="0"/>
        <w:rPr>
          <w:rFonts w:hint="eastAsia"/>
          <w:color w:val="auto"/>
          <w:sz w:val="24"/>
          <w:szCs w:val="24"/>
          <w:u w:val="single"/>
        </w:rPr>
      </w:pPr>
      <w:r>
        <w:rPr>
          <w:rFonts w:hint="eastAsia"/>
          <w:color w:val="auto"/>
          <w:sz w:val="24"/>
          <w:szCs w:val="24"/>
        </w:rPr>
        <w:t xml:space="preserve">          被授权人身份证号码：</w:t>
      </w:r>
      <w:r>
        <w:rPr>
          <w:rFonts w:hint="eastAsia"/>
          <w:color w:val="auto"/>
          <w:sz w:val="24"/>
          <w:szCs w:val="24"/>
          <w:u w:val="single"/>
        </w:rPr>
        <w:t xml:space="preserve">                              </w:t>
      </w:r>
      <w:r/>
    </w:p>
    <w:p>
      <w:pPr>
        <w:pStyle w:val="999"/>
        <w:ind w:firstLine="0"/>
        <w:rPr>
          <w:rFonts w:hint="eastAsia"/>
          <w:color w:val="auto"/>
          <w:sz w:val="24"/>
          <w:szCs w:val="24"/>
          <w:u w:val="single"/>
        </w:rPr>
      </w:pPr>
      <w:r>
        <w:rPr>
          <w:rFonts w:hint="eastAsia"/>
          <w:color w:val="auto"/>
          <w:sz w:val="24"/>
          <w:szCs w:val="24"/>
        </w:rPr>
        <w:t xml:space="preserve">          被授权人联系电话：（手机）</w:t>
      </w:r>
      <w:r>
        <w:rPr>
          <w:rFonts w:hint="eastAsia"/>
          <w:color w:val="auto"/>
          <w:sz w:val="24"/>
          <w:szCs w:val="24"/>
          <w:u w:val="single"/>
        </w:rPr>
        <w:t xml:space="preserve">                          </w:t>
      </w:r>
      <w:r/>
    </w:p>
    <w:p>
      <w:pPr>
        <w:pStyle w:val="999"/>
        <w:ind w:firstLine="1200"/>
        <w:rPr>
          <w:rFonts w:hint="eastAsia"/>
          <w:color w:val="auto"/>
          <w:sz w:val="24"/>
          <w:szCs w:val="24"/>
        </w:rPr>
      </w:pPr>
      <w:r>
        <w:rPr>
          <w:rFonts w:hint="eastAsia"/>
          <w:color w:val="auto"/>
          <w:sz w:val="24"/>
          <w:szCs w:val="24"/>
        </w:rPr>
        <w:t xml:space="preserve">授权单位名称：</w:t>
      </w:r>
      <w:r>
        <w:rPr>
          <w:rFonts w:hint="eastAsia"/>
          <w:color w:val="auto"/>
          <w:sz w:val="24"/>
          <w:szCs w:val="24"/>
          <w:u w:val="single"/>
        </w:rPr>
        <w:t xml:space="preserve">（加盖CA电子公章）</w:t>
      </w:r>
      <w:r/>
    </w:p>
    <w:p>
      <w:pPr>
        <w:pStyle w:val="999"/>
        <w:ind w:firstLine="480"/>
        <w:rPr>
          <w:rFonts w:hint="eastAsia"/>
          <w:color w:val="auto"/>
          <w:sz w:val="24"/>
          <w:szCs w:val="24"/>
          <w:u w:val="single"/>
        </w:rPr>
      </w:pPr>
      <w:r>
        <w:rPr>
          <w:rFonts w:hint="eastAsia"/>
          <w:color w:val="auto"/>
          <w:sz w:val="24"/>
          <w:szCs w:val="24"/>
        </w:rPr>
        <w:t xml:space="preserve">      单位地址：</w:t>
      </w:r>
      <w:r>
        <w:rPr>
          <w:rFonts w:hint="eastAsia"/>
          <w:color w:val="auto"/>
          <w:sz w:val="24"/>
          <w:szCs w:val="24"/>
          <w:u w:val="single"/>
        </w:rPr>
        <w:t xml:space="preserve">                                         </w:t>
      </w:r>
      <w:r/>
    </w:p>
    <w:p>
      <w:pPr>
        <w:pStyle w:val="999"/>
        <w:ind w:firstLine="480"/>
        <w:rPr>
          <w:rFonts w:hint="eastAsia"/>
          <w:color w:val="auto"/>
          <w:sz w:val="24"/>
          <w:szCs w:val="24"/>
        </w:rPr>
      </w:pPr>
      <w:r>
        <w:rPr>
          <w:rFonts w:hint="eastAsia"/>
          <w:color w:val="auto"/>
          <w:sz w:val="24"/>
          <w:szCs w:val="24"/>
        </w:rPr>
        <w:t xml:space="preserve">      日期：</w:t>
      </w:r>
      <w:bookmarkStart w:id="213" w:name="_格式3__银行出具的资信证明"/>
      <w:r/>
      <w:bookmarkEnd w:id="213"/>
      <w:r/>
      <w:bookmarkStart w:id="214" w:name="_Hlt26955070"/>
      <w:r/>
      <w:bookmarkEnd w:id="214"/>
      <w:r/>
      <w:bookmarkStart w:id="215" w:name="_Hlt26671380"/>
      <w:r/>
      <w:bookmarkEnd w:id="215"/>
      <w:r>
        <w:rPr>
          <w:rFonts w:hint="eastAsia"/>
          <w:color w:val="auto"/>
          <w:sz w:val="24"/>
          <w:szCs w:val="24"/>
          <w:u w:val="single"/>
        </w:rPr>
        <w:t xml:space="preserve">                                         </w:t>
      </w:r>
      <w:r/>
    </w:p>
    <w:p>
      <w:pPr>
        <w:pStyle w:val="898"/>
        <w:rPr>
          <w:rFonts w:hint="eastAsia"/>
          <w:i/>
          <w:color w:val="auto"/>
          <w:sz w:val="24"/>
          <w:szCs w:val="24"/>
          <w:u w:val="single"/>
        </w:rPr>
      </w:pPr>
      <w:r>
        <w:rPr>
          <w:rFonts w:hint="eastAsia"/>
          <w:i/>
          <w:color w:val="auto"/>
          <w:sz w:val="24"/>
          <w:szCs w:val="24"/>
          <w:u w:val="single"/>
        </w:rPr>
      </w:r>
      <w:r/>
    </w:p>
    <w:p>
      <w:pPr>
        <w:rPr>
          <w:rFonts w:ascii="黑体" w:hAnsi="黑体" w:eastAsia="黑体" w:cs="Times New Roman"/>
          <w:bCs/>
          <w:i/>
          <w:color w:val="auto"/>
          <w:sz w:val="32"/>
          <w:szCs w:val="32"/>
          <w:u w:val="single"/>
        </w:rPr>
      </w:pPr>
      <w:r>
        <w:rPr>
          <w:rFonts w:ascii="宋体" w:hAnsi="宋体"/>
          <w:bCs/>
          <w:color w:val="auto"/>
          <w:sz w:val="24"/>
        </w:rPr>
        <w:br w:type="page" w:clear="all"/>
      </w:r>
      <w:r>
        <w:rPr>
          <w:rFonts w:hint="eastAsia" w:ascii="黑体" w:hAnsi="黑体" w:eastAsia="黑体"/>
          <w:bCs/>
          <w:i/>
          <w:color w:val="auto"/>
          <w:sz w:val="32"/>
          <w:szCs w:val="32"/>
          <w:u w:val="single"/>
          <w:lang w:val="en-US" w:eastAsia="zh-CN"/>
        </w:rPr>
        <w:t xml:space="preserve">九</w:t>
      </w:r>
      <w:r>
        <w:rPr>
          <w:rFonts w:hint="eastAsia" w:ascii="黑体" w:hAnsi="黑体" w:eastAsia="黑体"/>
          <w:bCs/>
          <w:i/>
          <w:color w:val="auto"/>
          <w:sz w:val="32"/>
          <w:szCs w:val="32"/>
          <w:u w:val="single"/>
        </w:rPr>
        <w:t xml:space="preserve">、</w:t>
      </w:r>
      <w:r>
        <w:rPr>
          <w:rFonts w:hint="eastAsia" w:ascii="黑体" w:hAnsi="黑体" w:eastAsia="黑体" w:cs="Times New Roman"/>
          <w:bCs/>
          <w:i/>
          <w:color w:val="auto"/>
          <w:sz w:val="32"/>
          <w:szCs w:val="32"/>
          <w:u w:val="single"/>
        </w:rPr>
        <w:t xml:space="preserve">投标函</w:t>
      </w:r>
      <w:r/>
    </w:p>
    <w:p>
      <w:pPr>
        <w:pStyle w:val="994"/>
        <w:ind w:firstLine="0"/>
        <w:spacing w:before="0" w:after="0" w:line="420" w:lineRule="exact"/>
        <w:rPr>
          <w:rFonts w:hint="eastAsia" w:ascii="宋体" w:hAnsi="宋体" w:eastAsia="宋体"/>
          <w:color w:val="auto"/>
          <w:szCs w:val="21"/>
          <w:lang w:eastAsia="zh-CN"/>
        </w:rPr>
      </w:pPr>
      <w:r>
        <w:rPr>
          <w:rFonts w:hint="eastAsia" w:ascii="宋体" w:hAnsi="宋体"/>
          <w:color w:val="auto"/>
          <w:szCs w:val="21"/>
        </w:rPr>
        <w:t xml:space="preserve">致：</w:t>
      </w:r>
      <w:r>
        <w:rPr>
          <w:rFonts w:hint="eastAsia" w:ascii="宋体" w:hAnsi="宋体"/>
          <w:color w:val="auto"/>
          <w:szCs w:val="21"/>
          <w:lang w:val="en-US" w:eastAsia="zh-CN"/>
        </w:rPr>
        <w:t xml:space="preserve">扬州市公共资源</w:t>
      </w:r>
      <w:r>
        <w:rPr>
          <w:rFonts w:hint="eastAsia" w:ascii="宋体" w:hAnsi="宋体"/>
          <w:color w:val="auto"/>
          <w:szCs w:val="21"/>
          <w:lang w:eastAsia="zh-CN"/>
        </w:rPr>
        <w:t xml:space="preserve">交易中心</w:t>
      </w:r>
      <w:r/>
    </w:p>
    <w:p>
      <w:pPr>
        <w:pStyle w:val="994"/>
        <w:spacing w:before="0" w:after="0" w:line="420" w:lineRule="exact"/>
        <w:rPr>
          <w:rFonts w:hint="eastAsia" w:ascii="宋体" w:hAnsi="宋体"/>
          <w:color w:val="auto"/>
          <w:szCs w:val="21"/>
        </w:rPr>
      </w:pPr>
      <w:r>
        <w:rPr>
          <w:rFonts w:hint="eastAsia" w:ascii="宋体" w:hAnsi="宋体"/>
          <w:color w:val="auto"/>
          <w:szCs w:val="21"/>
        </w:rPr>
        <w:t xml:space="preserve">根据贵方的JSZC-</w:t>
      </w:r>
      <w:r>
        <w:rPr>
          <w:rFonts w:ascii="宋体" w:hAnsi="宋体"/>
          <w:color w:val="auto"/>
          <w:szCs w:val="21"/>
        </w:rPr>
        <w:t xml:space="preserve">320000-***</w:t>
      </w:r>
      <w:r>
        <w:rPr>
          <w:rFonts w:hint="eastAsia" w:ascii="宋体" w:hAnsi="宋体"/>
          <w:color w:val="auto"/>
          <w:szCs w:val="21"/>
        </w:rPr>
        <w:t xml:space="preserve">号招标文件，正式授权下述签字人______(姓名)代表我方______________（投标人的名称），全权处理本次项目投标的有关事宜。</w:t>
      </w:r>
      <w:r/>
    </w:p>
    <w:p>
      <w:pPr>
        <w:pStyle w:val="994"/>
        <w:spacing w:before="0" w:after="0" w:line="420" w:lineRule="exact"/>
        <w:rPr>
          <w:rFonts w:hint="eastAsia" w:ascii="宋体" w:hAnsi="宋体"/>
          <w:color w:val="auto"/>
          <w:szCs w:val="21"/>
        </w:rPr>
      </w:pPr>
      <w:r>
        <w:rPr>
          <w:rFonts w:hint="eastAsia" w:ascii="宋体" w:hAnsi="宋体"/>
          <w:color w:val="auto"/>
          <w:szCs w:val="21"/>
        </w:rPr>
        <w:t xml:space="preserve">据此函，__________签字人兹宣布同意如下：</w:t>
      </w:r>
      <w:r/>
    </w:p>
    <w:p>
      <w:pPr>
        <w:pStyle w:val="994"/>
        <w:spacing w:before="0" w:after="0" w:line="420" w:lineRule="exact"/>
        <w:rPr>
          <w:rFonts w:hint="eastAsia" w:ascii="宋体" w:hAnsi="宋体"/>
          <w:color w:val="auto"/>
          <w:szCs w:val="21"/>
        </w:rPr>
      </w:pPr>
      <w:r>
        <w:rPr>
          <w:rFonts w:hint="eastAsia" w:ascii="宋体" w:hAnsi="宋体"/>
          <w:color w:val="auto"/>
          <w:szCs w:val="21"/>
        </w:rPr>
        <w:t xml:space="preserve">1.按招标文件规定的各项要求，向买方提供所需服务（包含与服务相关的货物）。</w:t>
      </w:r>
      <w:r/>
    </w:p>
    <w:p>
      <w:pPr>
        <w:pStyle w:val="994"/>
        <w:spacing w:before="0" w:after="0" w:line="420" w:lineRule="exact"/>
        <w:rPr>
          <w:rFonts w:hint="eastAsia" w:ascii="宋体" w:hAnsi="宋体"/>
          <w:color w:val="auto"/>
          <w:szCs w:val="21"/>
        </w:rPr>
      </w:pPr>
      <w:r>
        <w:rPr>
          <w:rFonts w:hint="eastAsia" w:ascii="宋体" w:hAnsi="宋体"/>
          <w:color w:val="auto"/>
          <w:szCs w:val="21"/>
        </w:rPr>
        <w:t xml:space="preserve">2.我们完全理解贵方不一定将合同授予最低报价的投标人。</w:t>
      </w:r>
      <w:r/>
    </w:p>
    <w:p>
      <w:pPr>
        <w:pStyle w:val="994"/>
        <w:spacing w:before="0" w:after="0" w:line="420" w:lineRule="exact"/>
        <w:rPr>
          <w:rFonts w:hint="eastAsia" w:ascii="宋体" w:hAnsi="宋体"/>
          <w:color w:val="auto"/>
          <w:szCs w:val="21"/>
        </w:rPr>
      </w:pPr>
      <w:r>
        <w:rPr>
          <w:rFonts w:hint="eastAsia" w:ascii="宋体" w:hAnsi="宋体"/>
          <w:color w:val="auto"/>
          <w:szCs w:val="21"/>
        </w:rPr>
        <w:t xml:space="preserve">3.我们已详细审核全部招标文件及其有效补充文件，我们知道必须放弃提出含糊不清或误解问题的权利。</w:t>
      </w:r>
      <w:r/>
    </w:p>
    <w:p>
      <w:pPr>
        <w:pStyle w:val="994"/>
        <w:spacing w:before="0" w:after="0" w:line="420" w:lineRule="exact"/>
        <w:rPr>
          <w:rFonts w:hint="eastAsia" w:ascii="宋体" w:hAnsi="宋体"/>
          <w:color w:val="auto"/>
          <w:szCs w:val="21"/>
        </w:rPr>
      </w:pPr>
      <w:r>
        <w:rPr>
          <w:rFonts w:hint="eastAsia" w:ascii="宋体" w:hAnsi="宋体"/>
          <w:color w:val="auto"/>
          <w:szCs w:val="21"/>
        </w:rPr>
        <w:t xml:space="preserve">4.我们同意从规定的开标日期起遵循本投标文件，并在规定的投标有效期期满之前均具有约束力。</w:t>
      </w:r>
      <w:r/>
    </w:p>
    <w:p>
      <w:pPr>
        <w:pStyle w:val="994"/>
        <w:spacing w:before="0" w:after="0" w:line="420" w:lineRule="exact"/>
        <w:rPr>
          <w:rFonts w:hint="eastAsia" w:ascii="宋体" w:hAnsi="宋体"/>
          <w:color w:val="auto"/>
          <w:szCs w:val="21"/>
        </w:rPr>
      </w:pPr>
      <w:r>
        <w:rPr>
          <w:rFonts w:ascii="宋体" w:hAnsi="宋体"/>
          <w:color w:val="auto"/>
          <w:szCs w:val="21"/>
        </w:rPr>
        <w:t xml:space="preserve">5</w:t>
      </w:r>
      <w:r>
        <w:rPr>
          <w:rFonts w:hint="eastAsia" w:ascii="宋体" w:hAnsi="宋体"/>
          <w:color w:val="auto"/>
          <w:szCs w:val="21"/>
        </w:rPr>
        <w:t xml:space="preserve">.同意向贵方提供贵方可能另外要求的与投标有关的任何证据或资料，并保证我方已提供和将要提供的文件是真实的、准确的。</w:t>
      </w:r>
      <w:r/>
    </w:p>
    <w:p>
      <w:pPr>
        <w:pStyle w:val="994"/>
        <w:spacing w:before="0" w:after="0" w:line="420" w:lineRule="exact"/>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rPr>
        <w:t xml:space="preserve">.一旦我方中标,我方将根据招标文件的规定，严格履行合同的责任和义务,并保证在招标文件规定的时间完成项目，交付买方验收、使用。</w:t>
      </w:r>
      <w:r/>
    </w:p>
    <w:p>
      <w:pPr>
        <w:pStyle w:val="994"/>
        <w:spacing w:before="0" w:after="0" w:line="420" w:lineRule="exact"/>
        <w:rPr>
          <w:rFonts w:hint="eastAsia" w:ascii="宋体" w:hAnsi="宋体"/>
          <w:color w:val="auto"/>
          <w:szCs w:val="21"/>
        </w:rPr>
      </w:pPr>
      <w:r>
        <w:rPr>
          <w:rFonts w:ascii="宋体" w:hAnsi="宋体"/>
          <w:color w:val="auto"/>
          <w:szCs w:val="21"/>
        </w:rPr>
        <w:t xml:space="preserve">7</w:t>
      </w:r>
      <w:r>
        <w:rPr>
          <w:rFonts w:hint="eastAsia" w:ascii="宋体" w:hAnsi="宋体"/>
          <w:color w:val="auto"/>
          <w:szCs w:val="21"/>
        </w:rPr>
        <w:t xml:space="preserve">.与本投标有关的正式通讯地址为：</w:t>
      </w:r>
      <w:r/>
    </w:p>
    <w:p>
      <w:pPr>
        <w:pStyle w:val="994"/>
        <w:ind w:left="420"/>
        <w:spacing w:before="0" w:after="0" w:line="420" w:lineRule="exact"/>
        <w:rPr>
          <w:rFonts w:hint="eastAsia" w:ascii="宋体" w:hAnsi="宋体"/>
          <w:color w:val="auto"/>
          <w:szCs w:val="21"/>
        </w:rPr>
      </w:pPr>
      <w:r>
        <w:rPr>
          <w:rFonts w:hint="eastAsia" w:ascii="宋体" w:hAnsi="宋体"/>
          <w:color w:val="auto"/>
          <w:szCs w:val="21"/>
        </w:rPr>
        <w:t xml:space="preserve">地          址：</w:t>
      </w:r>
      <w:r/>
    </w:p>
    <w:p>
      <w:pPr>
        <w:pStyle w:val="994"/>
        <w:ind w:left="420"/>
        <w:spacing w:before="0" w:after="0" w:line="420" w:lineRule="exact"/>
        <w:rPr>
          <w:rFonts w:hint="eastAsia" w:ascii="宋体" w:hAnsi="宋体"/>
          <w:color w:val="auto"/>
          <w:szCs w:val="21"/>
        </w:rPr>
      </w:pPr>
      <w:r>
        <w:rPr>
          <w:rFonts w:hint="eastAsia" w:ascii="宋体" w:hAnsi="宋体"/>
          <w:color w:val="auto"/>
          <w:szCs w:val="21"/>
        </w:rPr>
        <w:t xml:space="preserve">邮          编：</w:t>
      </w:r>
      <w:r/>
    </w:p>
    <w:p>
      <w:pPr>
        <w:pStyle w:val="994"/>
        <w:ind w:left="420"/>
        <w:spacing w:before="0" w:after="0" w:line="420" w:lineRule="exact"/>
        <w:rPr>
          <w:rFonts w:hint="eastAsia" w:ascii="宋体" w:hAnsi="宋体"/>
          <w:color w:val="auto"/>
          <w:szCs w:val="21"/>
        </w:rPr>
      </w:pPr>
      <w:r>
        <w:rPr>
          <w:rFonts w:hint="eastAsia" w:ascii="宋体" w:hAnsi="宋体"/>
          <w:color w:val="auto"/>
          <w:szCs w:val="21"/>
        </w:rPr>
        <w:t xml:space="preserve">电          话：</w:t>
      </w:r>
      <w:r/>
    </w:p>
    <w:p>
      <w:pPr>
        <w:pStyle w:val="994"/>
        <w:ind w:left="420"/>
        <w:spacing w:before="0" w:after="0" w:line="420" w:lineRule="exact"/>
        <w:rPr>
          <w:rFonts w:hint="eastAsia" w:ascii="宋体" w:hAnsi="宋体"/>
          <w:color w:val="auto"/>
          <w:szCs w:val="21"/>
        </w:rPr>
      </w:pPr>
      <w:r>
        <w:rPr>
          <w:rFonts w:hint="eastAsia" w:ascii="宋体" w:hAnsi="宋体"/>
          <w:color w:val="auto"/>
          <w:szCs w:val="21"/>
        </w:rPr>
        <w:t xml:space="preserve">传          真：</w:t>
      </w:r>
      <w:r/>
    </w:p>
    <w:p>
      <w:pPr>
        <w:pStyle w:val="994"/>
        <w:ind w:left="420"/>
        <w:spacing w:before="0" w:after="0" w:line="420" w:lineRule="exact"/>
        <w:rPr>
          <w:rFonts w:hint="eastAsia" w:ascii="宋体" w:hAnsi="宋体"/>
          <w:color w:val="auto"/>
          <w:szCs w:val="21"/>
        </w:rPr>
      </w:pPr>
      <w:r>
        <w:rPr>
          <w:rFonts w:hint="eastAsia" w:ascii="宋体" w:hAnsi="宋体"/>
          <w:color w:val="auto"/>
          <w:szCs w:val="21"/>
        </w:rPr>
        <w:t xml:space="preserve">投标人开户行：</w:t>
      </w:r>
      <w:r/>
    </w:p>
    <w:p>
      <w:pPr>
        <w:pStyle w:val="994"/>
        <w:ind w:left="420"/>
        <w:spacing w:before="0" w:after="0" w:line="420" w:lineRule="exact"/>
        <w:rPr>
          <w:rFonts w:hint="eastAsia" w:ascii="宋体" w:hAnsi="宋体"/>
          <w:color w:val="auto"/>
          <w:szCs w:val="21"/>
        </w:rPr>
      </w:pPr>
      <w:r>
        <w:rPr>
          <w:rFonts w:hint="eastAsia" w:ascii="宋体" w:hAnsi="宋体"/>
          <w:color w:val="auto"/>
          <w:szCs w:val="21"/>
        </w:rPr>
        <w:t xml:space="preserve">账          号： </w:t>
      </w:r>
      <w:r/>
    </w:p>
    <w:p>
      <w:pPr>
        <w:pStyle w:val="994"/>
        <w:ind w:left="420"/>
        <w:spacing w:before="0" w:after="0" w:line="420" w:lineRule="exact"/>
        <w:rPr>
          <w:rFonts w:hint="eastAsia" w:ascii="宋体" w:hAnsi="宋体"/>
          <w:color w:val="auto"/>
          <w:szCs w:val="21"/>
        </w:rPr>
      </w:pPr>
      <w:r>
        <w:rPr>
          <w:rFonts w:hint="eastAsia" w:ascii="宋体" w:hAnsi="宋体"/>
          <w:color w:val="auto"/>
          <w:szCs w:val="21"/>
        </w:rPr>
        <w:t xml:space="preserve">日           期：________年____月____日</w:t>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pStyle w:val="733"/>
        <w:rPr>
          <w:rFonts w:hint="eastAsia" w:ascii="宋体" w:hAnsi="宋体"/>
          <w:bCs/>
          <w:color w:val="auto"/>
          <w:sz w:val="24"/>
        </w:rPr>
      </w:pPr>
      <w:r>
        <w:rPr>
          <w:rFonts w:hint="eastAsia" w:ascii="宋体" w:hAnsi="宋体"/>
          <w:bCs/>
          <w:color w:val="auto"/>
          <w:sz w:val="24"/>
        </w:rPr>
      </w:r>
      <w:r/>
    </w:p>
    <w:p>
      <w:pPr>
        <w:pStyle w:val="733"/>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ind w:firstLine="240"/>
        <w:jc w:val="center"/>
        <w:spacing w:line="560" w:lineRule="exact"/>
        <w:rPr>
          <w:rFonts w:hint="eastAsia" w:ascii="宋体" w:hAnsi="宋体"/>
          <w:bCs/>
          <w:color w:val="auto"/>
          <w:sz w:val="24"/>
        </w:rPr>
      </w:pPr>
      <w:r>
        <w:rPr>
          <w:rFonts w:hint="eastAsia" w:ascii="宋体" w:hAnsi="宋体"/>
          <w:bCs/>
          <w:color w:val="auto"/>
          <w:sz w:val="24"/>
        </w:rPr>
      </w:r>
      <w:r/>
    </w:p>
    <w:p>
      <w:pPr>
        <w:jc w:val="center"/>
        <w:spacing w:line="460" w:lineRule="exact"/>
        <w:rPr>
          <w:rFonts w:ascii="黑体" w:hAnsi="黑体" w:eastAsia="黑体"/>
          <w:b/>
          <w:color w:val="auto"/>
          <w:sz w:val="32"/>
          <w:szCs w:val="32"/>
        </w:rPr>
      </w:pPr>
      <w:r>
        <w:rPr>
          <w:rFonts w:ascii="黑体" w:hAnsi="黑体" w:eastAsia="黑体"/>
          <w:b/>
          <w:color w:val="auto"/>
          <w:sz w:val="32"/>
          <w:szCs w:val="32"/>
        </w:rPr>
      </w:r>
      <w:r/>
    </w:p>
    <w:p>
      <w:pPr>
        <w:jc w:val="center"/>
        <w:spacing w:line="460" w:lineRule="exact"/>
        <w:rPr>
          <w:rFonts w:hint="eastAsia" w:ascii="黑体" w:hAnsi="黑体" w:eastAsia="黑体"/>
          <w:b/>
          <w:color w:val="auto"/>
          <w:sz w:val="32"/>
          <w:szCs w:val="32"/>
        </w:rPr>
      </w:pPr>
      <w:r>
        <w:rPr>
          <w:rFonts w:hint="eastAsia" w:ascii="黑体" w:hAnsi="黑体" w:eastAsia="黑体"/>
          <w:b/>
          <w:i/>
          <w:iCs/>
          <w:color w:val="auto"/>
          <w:sz w:val="32"/>
          <w:szCs w:val="32"/>
          <w:u w:val="none"/>
          <w:lang w:val="en-US" w:eastAsia="zh-CN"/>
        </w:rPr>
        <w:t xml:space="preserve">十</w:t>
      </w:r>
      <w:r>
        <w:rPr>
          <w:rFonts w:hint="eastAsia" w:ascii="黑体" w:hAnsi="黑体" w:eastAsia="黑体"/>
          <w:b/>
          <w:i/>
          <w:iCs/>
          <w:color w:val="auto"/>
          <w:sz w:val="32"/>
          <w:szCs w:val="32"/>
          <w:u w:val="none"/>
        </w:rPr>
        <w:t xml:space="preserve">、</w:t>
      </w:r>
      <w:r>
        <w:rPr>
          <w:rFonts w:hint="eastAsia" w:ascii="黑体" w:hAnsi="黑体" w:eastAsia="黑体"/>
          <w:b/>
          <w:i/>
          <w:iCs/>
          <w:color w:val="auto"/>
          <w:sz w:val="32"/>
          <w:szCs w:val="32"/>
          <w:u w:val="none"/>
          <w:lang w:val="en-US" w:eastAsia="zh-CN"/>
        </w:rPr>
        <w:t xml:space="preserve">中小</w:t>
      </w:r>
      <w:r>
        <w:rPr>
          <w:rFonts w:hint="eastAsia" w:ascii="黑体" w:hAnsi="黑体" w:eastAsia="黑体"/>
          <w:b/>
          <w:i/>
          <w:iCs/>
          <w:color w:val="auto"/>
          <w:sz w:val="32"/>
          <w:szCs w:val="32"/>
          <w:u w:val="none"/>
        </w:rPr>
        <w:t xml:space="preserve">企业声明函（服务）</w:t>
      </w:r>
      <w:r>
        <w:rPr>
          <w:rFonts w:hint="eastAsia" w:ascii="黑体" w:hAnsi="黑体" w:eastAsia="黑体"/>
          <w:b/>
          <w:color w:val="auto"/>
          <w:sz w:val="32"/>
          <w:szCs w:val="32"/>
        </w:rPr>
        <w:t xml:space="preserve">（分包号：**）</w:t>
      </w:r>
      <w:r/>
    </w:p>
    <w:p>
      <w:pPr>
        <w:ind w:firstLine="360"/>
        <w:spacing w:line="56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w:t>
      </w:r>
      <w:r>
        <w:rPr>
          <w:rFonts w:hint="eastAsia" w:ascii="宋体" w:hAnsi="宋体"/>
          <w:color w:val="auto"/>
          <w:sz w:val="24"/>
          <w:szCs w:val="24"/>
          <w:lang w:val="en-US" w:eastAsia="zh-CN"/>
        </w:rPr>
        <w:t xml:space="preserve">扬州市公共资源</w:t>
      </w:r>
      <w:r>
        <w:rPr>
          <w:rFonts w:hint="eastAsia" w:ascii="宋体" w:hAnsi="宋体"/>
          <w:color w:val="auto"/>
          <w:sz w:val="24"/>
          <w:szCs w:val="24"/>
          <w:lang w:eastAsia="zh-CN"/>
        </w:rPr>
        <w:t xml:space="preserve">交易中心</w:t>
      </w:r>
      <w:r>
        <w:rPr>
          <w:rFonts w:hint="eastAsia" w:ascii="宋体" w:hAnsi="宋体"/>
          <w:color w:val="auto"/>
          <w:sz w:val="24"/>
          <w:szCs w:val="24"/>
        </w:rPr>
        <w:t xml:space="preserve">组织的</w:t>
      </w:r>
      <w:r>
        <w:rPr>
          <w:rFonts w:hint="eastAsia" w:ascii="宋体" w:hAnsi="宋体"/>
          <w:color w:val="auto"/>
          <w:sz w:val="24"/>
          <w:szCs w:val="24"/>
          <w:u w:val="single"/>
        </w:rPr>
        <w:t xml:space="preserve">（单位名称）</w:t>
      </w:r>
      <w:r>
        <w:rPr>
          <w:rFonts w:hint="eastAsia" w:ascii="宋体" w:hAnsi="宋体"/>
          <w:color w:val="auto"/>
          <w:sz w:val="24"/>
          <w:szCs w:val="24"/>
        </w:rPr>
        <w:t xml:space="preserve">采购编号为</w:t>
      </w:r>
      <w:r>
        <w:rPr>
          <w:rFonts w:hint="eastAsia" w:ascii="宋体" w:hAnsi="宋体"/>
          <w:color w:val="auto"/>
          <w:sz w:val="24"/>
          <w:szCs w:val="24"/>
          <w:u w:val="single"/>
        </w:rPr>
        <w:t xml:space="preserve">***</w:t>
      </w:r>
      <w:r>
        <w:rPr>
          <w:rFonts w:hint="eastAsia" w:ascii="宋体" w:hAnsi="宋体"/>
          <w:color w:val="auto"/>
          <w:sz w:val="24"/>
          <w:szCs w:val="24"/>
        </w:rPr>
        <w:t xml:space="preserve">，</w:t>
      </w:r>
      <w:r>
        <w:rPr>
          <w:rFonts w:hint="eastAsia" w:ascii="宋体" w:hAnsi="宋体"/>
          <w:color w:val="auto"/>
          <w:sz w:val="24"/>
          <w:szCs w:val="24"/>
          <w:u w:val="single"/>
        </w:rPr>
        <w:t xml:space="preserve">（项目名称）（分包号：**）</w:t>
      </w:r>
      <w:r>
        <w:rPr>
          <w:rFonts w:hint="eastAsia" w:ascii="宋体" w:hAnsi="宋体"/>
          <w:color w:val="auto"/>
          <w:sz w:val="24"/>
          <w:szCs w:val="24"/>
        </w:rPr>
        <w:t xml:space="preserve">的采购活动，服务全部由符合政策的小微企业承接。根据《工业和信息化部、国家统计局、国家发展和改革委员会、财政部关于印发中小企业划型标准规定的通</w:t>
      </w:r>
      <w:bookmarkStart w:id="231" w:name="_GoBack"/>
      <w:r/>
      <w:bookmarkEnd w:id="231"/>
      <w:r>
        <w:rPr>
          <w:rFonts w:hint="eastAsia" w:ascii="宋体" w:hAnsi="宋体"/>
          <w:color w:val="auto"/>
          <w:sz w:val="24"/>
          <w:szCs w:val="24"/>
        </w:rPr>
        <w:t xml:space="preserve">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软件和信息技术服务业</w:t>
      </w:r>
      <w:r>
        <w:rPr>
          <w:rFonts w:hint="eastAsia" w:ascii="宋体" w:hAnsi="宋体"/>
          <w:color w:val="auto"/>
          <w:sz w:val="24"/>
          <w:szCs w:val="24"/>
        </w:rPr>
        <w:t xml:space="preserve">行业；承接企业为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color w:val="0000ff"/>
          <w:sz w:val="24"/>
          <w:szCs w:val="24"/>
        </w:rPr>
        <w:t xml:space="preserve">备注1：</w:t>
      </w:r>
      <w:r>
        <w:rPr>
          <w:rFonts w:hint="eastAsia" w:ascii="宋体" w:hAnsi="宋体"/>
          <w:sz w:val="24"/>
          <w:szCs w:val="24"/>
        </w:rPr>
        <w:t xml:space="preserve">从业人员、营业收入、资产总额填报上一年度数据，无上一年度数据的新成立企业可不填报。</w:t>
      </w:r>
      <w:r/>
    </w:p>
    <w:p>
      <w:pPr>
        <w:jc w:val="center"/>
        <w:rPr>
          <w:rFonts w:hint="eastAsia"/>
          <w:b/>
          <w:bCs/>
          <w:color w:val="0070c0"/>
        </w:rPr>
      </w:pPr>
      <w:r/>
      <w:bookmarkStart w:id="216" w:name="_Toc150519795"/>
      <w:r>
        <w:rPr>
          <w:rFonts w:hint="eastAsia" w:ascii="Arial" w:hAnsi="Arial" w:eastAsia="幼圆" w:cs="微软雅黑"/>
          <w:b/>
          <w:bCs/>
          <w:color w:val="0b5fd1"/>
        </w:rPr>
        <w:br w:type="page" w:clear="all"/>
      </w:r>
      <w:r>
        <w:rPr>
          <w:rFonts w:hint="eastAsia"/>
          <w:b/>
          <w:bCs/>
          <w:color w:val="0070c0"/>
        </w:rPr>
        <w:t xml:space="preserve">中小微企业划型标准</w:t>
      </w:r>
      <w:bookmarkEnd w:id="216"/>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21"/>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46"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十、残疾人福利性单位声明函（分包号：**）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w:t>
      </w:r>
      <w:r>
        <w:rPr>
          <w:rFonts w:hint="eastAsia" w:ascii="宋体" w:hAnsi="宋体"/>
          <w:color w:val="0000ff"/>
          <w:sz w:val="24"/>
        </w:rPr>
        <w:t xml:space="preserve">备注：</w:t>
      </w:r>
      <w:r>
        <w:rPr>
          <w:rFonts w:hint="eastAsia" w:ascii="宋体" w:hAnsi="宋体"/>
          <w:sz w:val="24"/>
        </w:rPr>
        <w:t xml:space="preserve">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both"/>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十一、联合体协议（参考格式）（分包号：**）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lang w:val="en-US" w:eastAsia="zh-CN"/>
        </w:rPr>
        <w:t xml:space="preserve">扬州市公共资源</w:t>
      </w:r>
      <w:r>
        <w:rPr>
          <w:rFonts w:hint="eastAsia" w:ascii="宋体" w:hAnsi="宋体"/>
          <w:sz w:val="24"/>
          <w:lang w:eastAsia="zh-CN"/>
        </w:rPr>
        <w:t xml:space="preserve">交易中心</w:t>
      </w:r>
      <w:r>
        <w:rPr>
          <w:rFonts w:hint="eastAsia" w:ascii="宋体" w:hAnsi="宋体"/>
          <w:sz w:val="24"/>
        </w:rPr>
        <w:t xml:space="preserve">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t xml:space="preserve">十二、投标分项报价表（分包号：**）</w:t>
      </w:r>
      <w:r/>
    </w:p>
    <w:tbl>
      <w:tblPr>
        <w:tblStyle w:val="721"/>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7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74"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28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03"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798"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jc w:val="center"/>
        <w:rPr>
          <w:rFonts w:hint="eastAsia" w:ascii="黑体" w:hAnsi="黑体" w:eastAsia="黑体"/>
          <w:b/>
          <w:sz w:val="32"/>
          <w:szCs w:val="32"/>
        </w:rPr>
      </w:pPr>
      <w:r>
        <w:rPr>
          <w:rFonts w:hint="eastAsia" w:ascii="黑体" w:hAnsi="黑体" w:eastAsia="黑体"/>
          <w:b/>
          <w:sz w:val="32"/>
          <w:szCs w:val="32"/>
        </w:rPr>
      </w:r>
      <w:r/>
    </w:p>
    <w:p>
      <w:pPr>
        <w:jc w:val="both"/>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jc w:val="both"/>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十三、技术要求响应及偏离表（分包号：**）</w:t>
      </w:r>
      <w:r/>
    </w:p>
    <w:tbl>
      <w:tblPr>
        <w:tblStyle w:val="721"/>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r/>
    </w:p>
    <w:p>
      <w:pPr>
        <w:pStyle w:val="733"/>
        <w:rPr>
          <w:rFonts w:hint="eastAsia"/>
        </w:rPr>
      </w:pPr>
      <w:r>
        <w:rPr>
          <w:rFonts w:hint="eastAsia"/>
        </w:rPr>
      </w:r>
      <w:bookmarkEnd w:id="212"/>
      <w:r/>
      <w:r/>
    </w:p>
    <w:p>
      <w:pPr>
        <w:jc w:val="center"/>
        <w:rPr>
          <w:rFonts w:hint="eastAsia" w:ascii="黑体" w:hAnsi="黑体" w:eastAsia="黑体"/>
          <w:b/>
          <w:sz w:val="32"/>
          <w:szCs w:val="32"/>
        </w:rPr>
      </w:pPr>
      <w:r/>
      <w:bookmarkStart w:id="217" w:name="_Hlt26955054"/>
      <w:r/>
      <w:bookmarkEnd w:id="217"/>
      <w:r>
        <w:rPr>
          <w:rFonts w:hint="eastAsia" w:ascii="黑体" w:hAnsi="黑体" w:eastAsia="黑体"/>
          <w:b/>
          <w:sz w:val="32"/>
          <w:szCs w:val="32"/>
        </w:rPr>
        <w:t xml:space="preserve">十四、商务要求响应及偏离表（分包号：**）</w:t>
      </w:r>
      <w:r/>
    </w:p>
    <w:tbl>
      <w:tblPr>
        <w:tblStyle w:val="721"/>
        <w:tblW w:w="911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4"/>
        <w:gridCol w:w="2066"/>
        <w:gridCol w:w="2066"/>
        <w:gridCol w:w="2215"/>
        <w:gridCol w:w="1001"/>
        <w:gridCol w:w="1240"/>
      </w:tblGrid>
      <w:tr>
        <w:trPr>
          <w:cantSplit/>
        </w:trPr>
        <w:tc>
          <w:tcPr>
            <w:tcW w:w="524" w:type="dxa"/>
            <w:vAlign w:val="center"/>
            <w:textDirection w:val="lrTb"/>
            <w:noWrap w:val="false"/>
          </w:tcPr>
          <w:p>
            <w:pPr>
              <w:jc w:val="center"/>
              <w:rPr>
                <w:rFonts w:hint="eastAsia" w:ascii="宋体" w:hAnsi="宋体"/>
                <w:sz w:val="24"/>
                <w:szCs w:val="24"/>
              </w:rPr>
            </w:pPr>
            <w:r/>
            <w:bookmarkStart w:id="218" w:name="_Hlt26671372"/>
            <w:r/>
            <w:bookmarkEnd w:id="218"/>
            <w:r/>
            <w:bookmarkStart w:id="219" w:name="_Hlt26782999"/>
            <w:r/>
            <w:bookmarkEnd w:id="219"/>
            <w:r/>
            <w:bookmarkStart w:id="220" w:name="_Hlt26955064"/>
            <w:r/>
            <w:bookmarkEnd w:id="220"/>
            <w:r/>
            <w:bookmarkStart w:id="221" w:name="_Hlt26580838"/>
            <w:r/>
            <w:bookmarkEnd w:id="221"/>
            <w:r/>
            <w:bookmarkStart w:id="222" w:name="_Hlt26609391"/>
            <w:r/>
            <w:bookmarkEnd w:id="222"/>
            <w:r/>
            <w:bookmarkStart w:id="223" w:name="_Hlt24879081"/>
            <w:r/>
            <w:bookmarkEnd w:id="223"/>
            <w:r/>
            <w:bookmarkStart w:id="224" w:name="_Hlt26955056"/>
            <w:r/>
            <w:bookmarkEnd w:id="224"/>
            <w:r/>
            <w:bookmarkStart w:id="225" w:name="_Hlt26671343"/>
            <w:r/>
            <w:bookmarkEnd w:id="225"/>
            <w:r>
              <w:rPr>
                <w:rFonts w:hint="eastAsia" w:ascii="宋体" w:hAnsi="宋体"/>
                <w:sz w:val="24"/>
                <w:szCs w:val="24"/>
              </w:rPr>
              <w:t xml:space="preserve">序号</w:t>
            </w:r>
            <w:r/>
          </w:p>
        </w:tc>
        <w:tc>
          <w:tcPr>
            <w:tcW w:w="2066"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2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00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超出、符合或偏离</w:t>
            </w:r>
            <w:r/>
          </w:p>
        </w:tc>
        <w:tc>
          <w:tcPr>
            <w:tcW w:w="124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2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0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4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2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0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4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2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0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4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2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0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4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2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0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4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2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0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4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2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0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4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24"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066"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21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00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240"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898"/>
        <w:ind w:firstLine="0"/>
        <w:rPr>
          <w:rFonts w:hint="eastAsia" w:ascii="宋体" w:hAnsi="宋体"/>
          <w:sz w:val="24"/>
        </w:rPr>
      </w:pPr>
      <w:r/>
      <w:bookmarkStart w:id="226" w:name="_Hlt26955066"/>
      <w:r/>
      <w:bookmarkEnd w:id="226"/>
      <w:r/>
      <w:bookmarkStart w:id="227" w:name="_Hlt26609389"/>
      <w:r/>
      <w:bookmarkEnd w:id="227"/>
      <w:r/>
      <w:bookmarkStart w:id="228" w:name="_Hlt26671374"/>
      <w:r/>
      <w:bookmarkEnd w:id="228"/>
      <w:r/>
      <w:bookmarkStart w:id="229" w:name="_Toc462564146"/>
      <w:r/>
      <w:bookmarkEnd w:id="194"/>
      <w:r/>
      <w:bookmarkEnd w:id="195"/>
      <w:r/>
      <w:bookmarkEnd w:id="229"/>
      <w:r/>
      <w:r/>
    </w:p>
    <w:p>
      <w:pPr>
        <w:jc w:val="center"/>
        <w:rPr>
          <w:rFonts w:hint="eastAsia" w:ascii="黑体" w:hAnsi="黑体" w:eastAsia="黑体"/>
          <w:b/>
          <w:sz w:val="32"/>
          <w:szCs w:val="32"/>
        </w:rPr>
      </w:pPr>
      <w:r/>
      <w:bookmarkStart w:id="230" w:name="_格式2__法定代表人授权书"/>
      <w:r/>
      <w:bookmarkEnd w:id="230"/>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pStyle w:val="733"/>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t xml:space="preserve">十五、开标一览表</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21"/>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4"/>
              <w:ind w:firstLine="0"/>
              <w:spacing w:before="0" w:after="0" w:line="500" w:lineRule="exact"/>
              <w:rPr>
                <w:rFonts w:hint="eastAsia" w:ascii="宋体" w:hAnsi="宋体"/>
                <w:szCs w:val="21"/>
              </w:rPr>
            </w:pPr>
            <w:r>
              <w:rPr>
                <w:rFonts w:hint="eastAsia" w:ascii="宋体" w:hAnsi="宋体" w:cs="宋体"/>
              </w:rPr>
              <w:t xml:space="preserve">小写：                             （人民币：元）</w:t>
            </w:r>
            <w:r/>
          </w:p>
        </w:tc>
      </w:tr>
      <w:tr>
        <w:trPr>
          <w:cantSplit/>
          <w:trHeight w:val="612"/>
        </w:trPr>
        <w:tc>
          <w:tcPr>
            <w:tcW w:w="8206" w:type="dxa"/>
            <w:vAlign w:val="center"/>
            <w:textDirection w:val="lrTb"/>
            <w:noWrap w:val="false"/>
          </w:tcPr>
          <w:p>
            <w:pPr>
              <w:pStyle w:val="994"/>
              <w:ind w:firstLine="0"/>
              <w:spacing w:before="0" w:after="0" w:line="500" w:lineRule="exact"/>
              <w:rPr>
                <w:rFonts w:ascii="宋体" w:hAnsi="宋体" w:eastAsia="宋体" w:cs="宋体"/>
                <w:lang w:val="en-US" w:eastAsia="zh-CN"/>
              </w:rPr>
            </w:pPr>
            <w:r>
              <w:rPr>
                <w:rFonts w:hint="eastAsia" w:ascii="宋体" w:hAnsi="宋体" w:cs="宋体"/>
                <w:lang w:val="en-US" w:eastAsia="zh-CN"/>
              </w:rPr>
              <w:t xml:space="preserve">大写：                             （人民币：圆）</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jc w:val="center"/>
        <w:rPr>
          <w:rFonts w:hint="eastAsia" w:ascii="宋体" w:hAnsi="宋体" w:cs="仿宋"/>
          <w:b/>
          <w:bCs/>
          <w:sz w:val="32"/>
          <w:szCs w:val="32"/>
        </w:rPr>
      </w:pPr>
      <w:r>
        <w:rPr>
          <w:rFonts w:hint="eastAsia" w:ascii="宋体" w:hAnsi="宋体" w:cs="仿宋"/>
          <w:b/>
          <w:bCs/>
          <w:sz w:val="32"/>
          <w:szCs w:val="32"/>
        </w:rPr>
      </w:r>
      <w:r/>
    </w:p>
    <w:p>
      <w:pPr>
        <w:rPr>
          <w:rFonts w:ascii="黑体" w:hAnsi="黑体" w:eastAsia="黑体"/>
          <w:b/>
          <w:i w:val="0"/>
          <w:iCs/>
          <w:color w:val="auto"/>
          <w:sz w:val="32"/>
          <w:szCs w:val="32"/>
          <w:u w:val="none"/>
        </w:rPr>
      </w:pPr>
      <w:r>
        <w:rPr>
          <w:rFonts w:hint="eastAsia" w:ascii="黑体" w:hAnsi="黑体" w:eastAsia="黑体"/>
          <w:b/>
          <w:i w:val="0"/>
          <w:iCs/>
          <w:color w:val="auto"/>
          <w:sz w:val="32"/>
          <w:szCs w:val="32"/>
          <w:u w:val="none"/>
        </w:rPr>
        <w:t xml:space="preserve">十六、主要标的信息</w:t>
      </w:r>
      <w:r/>
    </w:p>
    <w:p>
      <w:pPr>
        <w:jc w:val="center"/>
        <w:spacing w:before="312" w:line="360" w:lineRule="auto"/>
        <w:rPr>
          <w:rFonts w:ascii="宋体" w:hAnsi="宋体"/>
          <w:b/>
          <w:color w:val="auto"/>
        </w:rPr>
      </w:pPr>
      <w:r>
        <w:rPr>
          <w:rFonts w:hint="eastAsia" w:ascii="宋体" w:hAnsi="宋体"/>
          <w:b/>
          <w:color w:val="auto"/>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721"/>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rPr>
            </w:pPr>
            <w:r>
              <w:rPr>
                <w:rFonts w:hint="eastAsia" w:ascii="宋体" w:hAnsi="宋体" w:cs="宋体"/>
              </w:rPr>
              <w:t xml:space="preserve">货物类</w:t>
            </w:r>
            <w:r/>
          </w:p>
        </w:tc>
        <w:tc>
          <w:tcPr>
            <w:tcW w:w="3780" w:type="dxa"/>
            <w:vAlign w:val="top"/>
            <w:textDirection w:val="lrTb"/>
            <w:noWrap w:val="false"/>
          </w:tcPr>
          <w:p>
            <w:pPr>
              <w:jc w:val="center"/>
              <w:rPr>
                <w:rFonts w:ascii="宋体" w:hAnsi="宋体" w:cs="宋体"/>
              </w:rPr>
            </w:pPr>
            <w:r>
              <w:rPr>
                <w:rFonts w:hint="eastAsia" w:ascii="宋体" w:hAnsi="宋体" w:cs="宋体"/>
              </w:rPr>
              <w:t xml:space="preserve">服务类</w:t>
            </w:r>
            <w:r/>
          </w:p>
        </w:tc>
      </w:tr>
      <w:tr>
        <w:trPr>
          <w:trHeight w:val="3810"/>
        </w:trPr>
        <w:tc>
          <w:tcPr>
            <w:tcW w:w="3901"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vAlign w:val="top"/>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both"/>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98"/>
        <w:rPr>
          <w:rFonts w:hint="eastAsia"/>
          <w:sz w:val="24"/>
          <w:szCs w:val="24"/>
        </w:rPr>
      </w:pPr>
      <w:r>
        <w:rPr>
          <w:rFonts w:hint="eastAsia"/>
          <w:sz w:val="24"/>
          <w:szCs w:val="24"/>
        </w:rPr>
      </w:r>
      <w:r/>
    </w:p>
    <w:p>
      <w:pPr>
        <w:pStyle w:val="898"/>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8"/>
        <w:rFonts w:ascii="宋体" w:hAnsi="宋体"/>
      </w:rPr>
      <w:framePr w:wrap="around" w:vAnchor="text" w:hAnchor="margin" w:xAlign="center" w:y="1"/>
    </w:pPr>
    <w:r>
      <w:rPr>
        <w:rFonts w:ascii="宋体" w:hAnsi="宋体"/>
      </w:rPr>
      <w:fldChar w:fldCharType="begin"/>
    </w:r>
    <w:r>
      <w:rPr>
        <w:rStyle w:val="938"/>
        <w:rFonts w:ascii="宋体" w:hAnsi="宋体"/>
      </w:rPr>
      <w:instrText xml:space="preserve">PAGE  </w:instrText>
    </w:r>
    <w:r>
      <w:rPr>
        <w:rFonts w:ascii="宋体" w:hAnsi="宋体"/>
      </w:rPr>
      <w:fldChar w:fldCharType="separate"/>
    </w:r>
    <w:r>
      <w:rPr>
        <w:rStyle w:val="938"/>
        <w:rFonts w:ascii="宋体" w:hAnsi="宋体"/>
      </w:rPr>
      <w:t xml:space="preserve">３５</w:t>
    </w:r>
    <w:r>
      <w:rPr>
        <w:rFonts w:ascii="宋体" w:hAnsi="宋体"/>
      </w:rPr>
      <w:fldChar w:fldCharType="end"/>
    </w:r>
    <w:r/>
  </w:p>
  <w:p>
    <w:pPr>
      <w:pStyle w:val="91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p>
  <w:p>
    <w:pPr>
      <w:pStyle w:val="9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0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4">
    <w:multiLevelType w:val="hybridMultilevel"/>
    <w:lvl w:ilvl="0">
      <w:start w:val="9"/>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2"/>
      <w:isLgl w:val="false"/>
      <w:suff w:val="nothing"/>
      <w:lvlText w:val=""/>
      <w:lvlJc w:val="left"/>
      <w:pPr>
        <w:ind w:left="0" w:firstLine="0"/>
      </w:pPr>
      <w:rPr>
        <w:rFonts w:hint="eastAsia"/>
      </w:rPr>
    </w:lvl>
    <w:lvl w:ilvl="6">
      <w:start w:val="1"/>
      <w:numFmt w:val="decimal"/>
      <w:pStyle w:val="903"/>
      <w:isLgl w:val="false"/>
      <w:suff w:val="nothing"/>
      <w:lvlText w:val=""/>
      <w:lvlJc w:val="left"/>
      <w:pPr>
        <w:ind w:left="0" w:firstLine="0"/>
      </w:pPr>
      <w:rPr>
        <w:rFonts w:hint="eastAsia"/>
      </w:rPr>
    </w:lvl>
    <w:lvl w:ilvl="7">
      <w:start w:val="1"/>
      <w:numFmt w:val="decimal"/>
      <w:pStyle w:val="904"/>
      <w:isLgl w:val="false"/>
      <w:suff w:val="nothing"/>
      <w:lvlText w:val=""/>
      <w:lvlJc w:val="left"/>
      <w:pPr>
        <w:ind w:left="0" w:firstLine="0"/>
      </w:pPr>
      <w:rPr>
        <w:rFonts w:hint="eastAsia"/>
      </w:rPr>
    </w:lvl>
    <w:lvl w:ilvl="8">
      <w:start w:val="1"/>
      <w:numFmt w:val="decimal"/>
      <w:pStyle w:val="905"/>
      <w:isLgl w:val="false"/>
      <w:suff w:val="nothing"/>
      <w:lvlText w:val=""/>
      <w:lvlJc w:val="left"/>
      <w:pPr>
        <w:ind w:left="0" w:firstLine="0"/>
      </w:pPr>
      <w:rPr>
        <w:rFonts w:hint="eastAsia"/>
      </w:rPr>
    </w:lvl>
  </w:abstractNum>
  <w:abstractNum w:abstractNumId="7">
    <w:multiLevelType w:val="hybridMultilevel"/>
    <w:lvl w:ilvl="0">
      <w:start w:val="1"/>
      <w:numFmt w:val="bullet"/>
      <w:isLgl w:val="false"/>
      <w:suff w:val="tab"/>
      <w:lvlText w:val=""/>
      <w:lvlJc w:val="left"/>
      <w:pPr>
        <w:ind w:left="1020" w:hanging="420"/>
      </w:pPr>
      <w:rPr>
        <w:rFonts w:hint="default" w:ascii="Wingdings" w:hAnsi="Wingdings"/>
      </w:rPr>
    </w:lvl>
    <w:lvl w:ilvl="1">
      <w:start w:val="1"/>
      <w:numFmt w:val="bullet"/>
      <w:isLgl w:val="false"/>
      <w:suff w:val="tab"/>
      <w:lvlText w:val=""/>
      <w:lvlJc w:val="left"/>
      <w:pPr>
        <w:ind w:left="1440" w:hanging="420"/>
      </w:pPr>
      <w:rPr>
        <w:rFonts w:hint="default" w:ascii="Wingdings" w:hAnsi="Wingdings"/>
      </w:rPr>
    </w:lvl>
    <w:lvl w:ilvl="2">
      <w:start w:val="1"/>
      <w:numFmt w:val="bullet"/>
      <w:isLgl w:val="false"/>
      <w:suff w:val="tab"/>
      <w:lvlText w:val=""/>
      <w:lvlJc w:val="left"/>
      <w:pPr>
        <w:ind w:left="1860" w:hanging="420"/>
      </w:pPr>
      <w:rPr>
        <w:rFonts w:hint="default" w:ascii="Wingdings" w:hAnsi="Wingdings"/>
      </w:rPr>
    </w:lvl>
    <w:lvl w:ilvl="3">
      <w:start w:val="1"/>
      <w:numFmt w:val="bullet"/>
      <w:isLgl w:val="false"/>
      <w:suff w:val="tab"/>
      <w:lvlText w:val=""/>
      <w:lvlJc w:val="left"/>
      <w:pPr>
        <w:ind w:left="2280" w:hanging="420"/>
      </w:pPr>
      <w:rPr>
        <w:rFonts w:hint="default" w:ascii="Wingdings" w:hAnsi="Wingdings"/>
      </w:rPr>
    </w:lvl>
    <w:lvl w:ilvl="4">
      <w:start w:val="1"/>
      <w:numFmt w:val="bullet"/>
      <w:isLgl w:val="false"/>
      <w:suff w:val="tab"/>
      <w:lvlText w:val=""/>
      <w:lvlJc w:val="left"/>
      <w:pPr>
        <w:ind w:left="2700" w:hanging="420"/>
      </w:pPr>
      <w:rPr>
        <w:rFonts w:hint="default" w:ascii="Wingdings" w:hAnsi="Wingdings"/>
      </w:rPr>
    </w:lvl>
    <w:lvl w:ilvl="5">
      <w:start w:val="1"/>
      <w:numFmt w:val="bullet"/>
      <w:isLgl w:val="false"/>
      <w:suff w:val="tab"/>
      <w:lvlText w:val=""/>
      <w:lvlJc w:val="left"/>
      <w:pPr>
        <w:ind w:left="3120" w:hanging="420"/>
      </w:pPr>
      <w:rPr>
        <w:rFonts w:hint="default" w:ascii="Wingdings" w:hAnsi="Wingdings"/>
      </w:rPr>
    </w:lvl>
    <w:lvl w:ilvl="6">
      <w:start w:val="1"/>
      <w:numFmt w:val="bullet"/>
      <w:isLgl w:val="false"/>
      <w:suff w:val="tab"/>
      <w:lvlText w:val=""/>
      <w:lvlJc w:val="left"/>
      <w:pPr>
        <w:ind w:left="3540" w:hanging="420"/>
      </w:pPr>
      <w:rPr>
        <w:rFonts w:hint="default" w:ascii="Wingdings" w:hAnsi="Wingdings"/>
      </w:rPr>
    </w:lvl>
    <w:lvl w:ilvl="7">
      <w:start w:val="1"/>
      <w:numFmt w:val="bullet"/>
      <w:isLgl w:val="false"/>
      <w:suff w:val="tab"/>
      <w:lvlText w:val=""/>
      <w:lvlJc w:val="left"/>
      <w:pPr>
        <w:ind w:left="3960" w:hanging="420"/>
      </w:pPr>
      <w:rPr>
        <w:rFonts w:hint="default" w:ascii="Wingdings" w:hAnsi="Wingdings"/>
      </w:rPr>
    </w:lvl>
    <w:lvl w:ilvl="8">
      <w:start w:val="1"/>
      <w:numFmt w:val="bullet"/>
      <w:isLgl w:val="false"/>
      <w:suff w:val="tab"/>
      <w:lvlText w:val=""/>
      <w:lvlJc w:val="left"/>
      <w:pPr>
        <w:ind w:left="4380" w:hanging="420"/>
      </w:pPr>
      <w:rPr>
        <w:rFonts w:hint="default" w:ascii="Wingdings" w:hAnsi="Wingdings"/>
      </w:r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8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1">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2">
    <w:multiLevelType w:val="hybridMultilevel"/>
    <w:lvl w:ilvl="0">
      <w:start w:val="1"/>
      <w:numFmt w:val="bullet"/>
      <w:isLgl w:val="false"/>
      <w:suff w:val="tab"/>
      <w:lvlText w:val=""/>
      <w:lvlJc w:val="left"/>
      <w:pPr>
        <w:ind w:left="900" w:hanging="420"/>
      </w:pPr>
      <w:rPr>
        <w:rFonts w:hint="default" w:ascii="Wingdings" w:hAnsi="Wingdings"/>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13">
    <w:multiLevelType w:val="hybridMultilevel"/>
    <w:lvl w:ilvl="0">
      <w:start w:val="1"/>
      <w:numFmt w:val="bullet"/>
      <w:isLgl w:val="false"/>
      <w:suff w:val="tab"/>
      <w:lvlText w:val=""/>
      <w:lvlJc w:val="left"/>
      <w:pPr>
        <w:ind w:left="84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14">
    <w:multiLevelType w:val="hybridMultilevel"/>
    <w:lvl w:ilvl="0">
      <w:start w:val="1"/>
      <w:numFmt w:val="bullet"/>
      <w:isLgl w:val="false"/>
      <w:suff w:val="tab"/>
      <w:lvlText w:val=""/>
      <w:lvlJc w:val="left"/>
      <w:pPr>
        <w:ind w:left="1860" w:hanging="420"/>
      </w:pPr>
      <w:rPr>
        <w:rFonts w:hint="default" w:ascii="Wingdings" w:hAnsi="Wingdings"/>
      </w:rPr>
    </w:lvl>
    <w:lvl w:ilvl="1">
      <w:start w:val="1"/>
      <w:numFmt w:val="bullet"/>
      <w:isLgl w:val="false"/>
      <w:suff w:val="tab"/>
      <w:lvlText w:val=""/>
      <w:lvlJc w:val="left"/>
      <w:pPr>
        <w:ind w:left="2280" w:hanging="420"/>
      </w:pPr>
      <w:rPr>
        <w:rFonts w:hint="default" w:ascii="Wingdings" w:hAnsi="Wingdings"/>
      </w:rPr>
    </w:lvl>
    <w:lvl w:ilvl="2">
      <w:start w:val="1"/>
      <w:numFmt w:val="bullet"/>
      <w:isLgl w:val="false"/>
      <w:suff w:val="tab"/>
      <w:lvlText w:val=""/>
      <w:lvlJc w:val="left"/>
      <w:pPr>
        <w:ind w:left="2700" w:hanging="420"/>
      </w:pPr>
      <w:rPr>
        <w:rFonts w:hint="default" w:ascii="Wingdings" w:hAnsi="Wingdings"/>
      </w:rPr>
    </w:lvl>
    <w:lvl w:ilvl="3">
      <w:start w:val="1"/>
      <w:numFmt w:val="bullet"/>
      <w:isLgl w:val="false"/>
      <w:suff w:val="tab"/>
      <w:lvlText w:val=""/>
      <w:lvlJc w:val="left"/>
      <w:pPr>
        <w:ind w:left="3120" w:hanging="420"/>
      </w:pPr>
      <w:rPr>
        <w:rFonts w:hint="default" w:ascii="Wingdings" w:hAnsi="Wingdings"/>
      </w:rPr>
    </w:lvl>
    <w:lvl w:ilvl="4">
      <w:start w:val="1"/>
      <w:numFmt w:val="bullet"/>
      <w:isLgl w:val="false"/>
      <w:suff w:val="tab"/>
      <w:lvlText w:val=""/>
      <w:lvlJc w:val="left"/>
      <w:pPr>
        <w:ind w:left="3540" w:hanging="420"/>
      </w:pPr>
      <w:rPr>
        <w:rFonts w:hint="default" w:ascii="Wingdings" w:hAnsi="Wingdings"/>
      </w:rPr>
    </w:lvl>
    <w:lvl w:ilvl="5">
      <w:start w:val="1"/>
      <w:numFmt w:val="bullet"/>
      <w:isLgl w:val="false"/>
      <w:suff w:val="tab"/>
      <w:lvlText w:val=""/>
      <w:lvlJc w:val="left"/>
      <w:pPr>
        <w:ind w:left="3960" w:hanging="420"/>
      </w:pPr>
      <w:rPr>
        <w:rFonts w:hint="default" w:ascii="Wingdings" w:hAnsi="Wingdings"/>
      </w:rPr>
    </w:lvl>
    <w:lvl w:ilvl="6">
      <w:start w:val="1"/>
      <w:numFmt w:val="bullet"/>
      <w:isLgl w:val="false"/>
      <w:suff w:val="tab"/>
      <w:lvlText w:val=""/>
      <w:lvlJc w:val="left"/>
      <w:pPr>
        <w:ind w:left="4380" w:hanging="420"/>
      </w:pPr>
      <w:rPr>
        <w:rFonts w:hint="default" w:ascii="Wingdings" w:hAnsi="Wingdings"/>
      </w:rPr>
    </w:lvl>
    <w:lvl w:ilvl="7">
      <w:start w:val="1"/>
      <w:numFmt w:val="bullet"/>
      <w:isLgl w:val="false"/>
      <w:suff w:val="tab"/>
      <w:lvlText w:val=""/>
      <w:lvlJc w:val="left"/>
      <w:pPr>
        <w:ind w:left="4800" w:hanging="420"/>
      </w:pPr>
      <w:rPr>
        <w:rFonts w:hint="default" w:ascii="Wingdings" w:hAnsi="Wingdings"/>
      </w:rPr>
    </w:lvl>
    <w:lvl w:ilvl="8">
      <w:start w:val="1"/>
      <w:numFmt w:val="bullet"/>
      <w:isLgl w:val="false"/>
      <w:suff w:val="tab"/>
      <w:lvlText w:val=""/>
      <w:lvlJc w:val="left"/>
      <w:pPr>
        <w:ind w:left="5220" w:hanging="420"/>
      </w:pPr>
      <w:rPr>
        <w:rFonts w:hint="default" w:ascii="Wingdings" w:hAnsi="Wingdings"/>
      </w:rPr>
    </w:lvl>
  </w:abstractNum>
  <w:num w:numId="1">
    <w:abstractNumId w:val="6"/>
  </w:num>
  <w:num w:numId="2">
    <w:abstractNumId w:val="9"/>
  </w:num>
  <w:num w:numId="3">
    <w:abstractNumId w:val="2"/>
  </w:num>
  <w:num w:numId="4">
    <w:abstractNumId w:val="13"/>
  </w:num>
  <w:num w:numId="5">
    <w:abstractNumId w:val="12"/>
  </w:num>
  <w:num w:numId="6">
    <w:abstractNumId w:val="3"/>
  </w:num>
  <w:num w:numId="7">
    <w:abstractNumId w:val="10"/>
  </w:num>
  <w:num w:numId="8">
    <w:abstractNumId w:val="5"/>
  </w:num>
  <w:num w:numId="9">
    <w:abstractNumId w:val="8"/>
  </w:num>
  <w:num w:numId="10">
    <w:abstractNumId w:val="14"/>
  </w:num>
  <w:num w:numId="11">
    <w:abstractNumId w:val="7"/>
  </w:num>
  <w:num w:numId="12">
    <w:abstractNumId w:val="11"/>
  </w:num>
  <w:num w:numId="13">
    <w:abstractNumId w:val="4"/>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link w:val="95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748"/>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23"/>
    <w:link w:val="749"/>
    <w:uiPriority w:val="9"/>
    <w:unhideWhenUsed/>
    <w:qFormat/>
    <w:pPr>
      <w:keepLines/>
      <w:keepNext/>
      <w:spacing w:before="360" w:after="200"/>
      <w:outlineLvl w:val="1"/>
    </w:pPr>
    <w:rPr>
      <w:rFonts w:ascii="Arial" w:hAnsi="Arial" w:eastAsia="Arial" w:cs="Arial"/>
      <w:sz w:val="34"/>
    </w:rPr>
  </w:style>
  <w:style w:type="paragraph" w:styleId="713">
    <w:name w:val="Heading 3"/>
    <w:basedOn w:val="710"/>
    <w:next w:val="710"/>
    <w:link w:val="750"/>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51"/>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52"/>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53"/>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55"/>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56"/>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Layout w:type="fixed"/>
      <w:tblCellMar>
        <w:left w:w="108" w:type="dxa"/>
        <w:top w:w="0" w:type="dxa"/>
        <w:right w:w="108" w:type="dxa"/>
        <w:bottom w:w="0" w:type="dxa"/>
      </w:tblCellMar>
    </w:tblPr>
  </w:style>
  <w:style w:type="paragraph" w:styleId="722" w:customStyle="1">
    <w:name w:val="Default"/>
    <w:next w:val="710"/>
    <w:uiPriority w:val="0"/>
    <w:qFormat/>
    <w:pPr>
      <w:widowControl w:val="off"/>
    </w:pPr>
    <w:rPr>
      <w:rFonts w:hint="default" w:ascii="宋体" w:hAnsi="Times New Roman" w:eastAsia="宋体" w:cs="宋体"/>
      <w:color w:val="000000"/>
      <w:sz w:val="24"/>
      <w:szCs w:val="24"/>
      <w:lang w:val="en-US" w:eastAsia="zh-CN" w:bidi="ar-SA"/>
    </w:rPr>
  </w:style>
  <w:style w:type="paragraph" w:styleId="723">
    <w:name w:val="Normal Indent"/>
    <w:basedOn w:val="710"/>
    <w:uiPriority w:val="0"/>
    <w:qFormat/>
    <w:pPr>
      <w:ind w:firstLine="420"/>
    </w:pPr>
  </w:style>
  <w:style w:type="paragraph" w:styleId="724">
    <w:name w:val="toc 7"/>
    <w:basedOn w:val="710"/>
    <w:next w:val="710"/>
    <w:uiPriority w:val="39"/>
    <w:unhideWhenUsed/>
    <w:qFormat/>
    <w:pPr>
      <w:ind w:left="1701" w:right="0" w:firstLine="0"/>
      <w:spacing w:after="57"/>
    </w:p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Body Text Indent"/>
    <w:basedOn w:val="710"/>
    <w:uiPriority w:val="0"/>
    <w:qFormat/>
    <w:pPr>
      <w:ind w:firstLine="645"/>
    </w:pPr>
    <w:rPr>
      <w:rFonts w:ascii="楷体_GB2312" w:eastAsia="楷体_GB2312"/>
      <w:sz w:val="32"/>
      <w:szCs w:val="32"/>
    </w:rPr>
  </w:style>
  <w:style w:type="paragraph" w:styleId="727">
    <w:name w:val="toc 5"/>
    <w:basedOn w:val="710"/>
    <w:next w:val="710"/>
    <w:uiPriority w:val="39"/>
    <w:unhideWhenUsed/>
    <w:qFormat/>
    <w:pPr>
      <w:ind w:left="1134" w:right="0" w:firstLine="0"/>
      <w:spacing w:after="57"/>
    </w:pPr>
  </w:style>
  <w:style w:type="paragraph" w:styleId="728">
    <w:name w:val="toc 3"/>
    <w:basedOn w:val="710"/>
    <w:next w:val="710"/>
    <w:uiPriority w:val="39"/>
    <w:unhideWhenUsed/>
    <w:qFormat/>
    <w:pPr>
      <w:ind w:left="567" w:right="0" w:firstLine="0"/>
      <w:spacing w:after="57"/>
    </w:pPr>
  </w:style>
  <w:style w:type="paragraph" w:styleId="729">
    <w:name w:val="Plain Text"/>
    <w:basedOn w:val="710"/>
    <w:uiPriority w:val="0"/>
    <w:qFormat/>
    <w:rPr>
      <w:rFonts w:ascii="宋体" w:hAnsi="Courier New" w:cs="Courier New"/>
    </w:rPr>
  </w:style>
  <w:style w:type="paragraph" w:styleId="730">
    <w:name w:val="toc 8"/>
    <w:basedOn w:val="710"/>
    <w:next w:val="710"/>
    <w:uiPriority w:val="39"/>
    <w:unhideWhenUsed/>
    <w:qFormat/>
    <w:pPr>
      <w:ind w:left="1984" w:right="0" w:firstLine="0"/>
      <w:spacing w:after="57"/>
    </w:pPr>
  </w:style>
  <w:style w:type="paragraph" w:styleId="731">
    <w:name w:val="endnote text"/>
    <w:basedOn w:val="710"/>
    <w:link w:val="894"/>
    <w:uiPriority w:val="99"/>
    <w:semiHidden/>
    <w:unhideWhenUsed/>
    <w:qFormat/>
    <w:pPr>
      <w:spacing w:after="0" w:line="240" w:lineRule="auto"/>
    </w:pPr>
    <w:rPr>
      <w:sz w:val="20"/>
    </w:rPr>
  </w:style>
  <w:style w:type="paragraph" w:styleId="732">
    <w:name w:val="Footer"/>
    <w:basedOn w:val="710"/>
    <w:link w:val="767"/>
    <w:uiPriority w:val="99"/>
    <w:unhideWhenUsed/>
    <w:qFormat/>
    <w:pPr>
      <w:spacing w:after="0" w:line="240" w:lineRule="auto"/>
      <w:tabs>
        <w:tab w:val="center" w:pos="7143" w:leader="none"/>
        <w:tab w:val="right" w:pos="14287" w:leader="none"/>
      </w:tabs>
    </w:pPr>
  </w:style>
  <w:style w:type="paragraph" w:styleId="733">
    <w:name w:val="Body Text First Indent 2"/>
    <w:basedOn w:val="726"/>
    <w:uiPriority w:val="0"/>
    <w:qFormat/>
    <w:pPr>
      <w:ind w:firstLine="420"/>
      <w:spacing w:line="360" w:lineRule="auto"/>
    </w:pPr>
    <w:rPr>
      <w:rFonts w:ascii="宋体" w:hAnsi="宋体" w:eastAsia="宋体"/>
      <w:sz w:val="21"/>
      <w:szCs w:val="20"/>
    </w:rPr>
  </w:style>
  <w:style w:type="paragraph" w:styleId="734">
    <w:name w:val="Header"/>
    <w:basedOn w:val="710"/>
    <w:link w:val="765"/>
    <w:uiPriority w:val="99"/>
    <w:unhideWhenUsed/>
    <w:qFormat/>
    <w:pPr>
      <w:spacing w:after="0" w:line="240" w:lineRule="auto"/>
      <w:tabs>
        <w:tab w:val="center" w:pos="7143" w:leader="none"/>
        <w:tab w:val="right" w:pos="14287" w:leader="none"/>
      </w:tabs>
    </w:pPr>
  </w:style>
  <w:style w:type="paragraph" w:styleId="735">
    <w:name w:val="toc 1"/>
    <w:basedOn w:val="710"/>
    <w:next w:val="710"/>
    <w:uiPriority w:val="39"/>
    <w:unhideWhenUsed/>
    <w:qFormat/>
    <w:pPr>
      <w:ind w:left="0" w:right="0" w:firstLine="0"/>
      <w:spacing w:after="57"/>
    </w:pPr>
  </w:style>
  <w:style w:type="paragraph" w:styleId="736">
    <w:name w:val="toc 4"/>
    <w:basedOn w:val="710"/>
    <w:next w:val="710"/>
    <w:uiPriority w:val="39"/>
    <w:unhideWhenUsed/>
    <w:qFormat/>
    <w:pPr>
      <w:ind w:left="850" w:right="0" w:firstLine="0"/>
      <w:spacing w:after="57"/>
    </w:pPr>
  </w:style>
  <w:style w:type="paragraph" w:styleId="737">
    <w:name w:val="Subtitle"/>
    <w:basedOn w:val="710"/>
    <w:next w:val="710"/>
    <w:link w:val="760"/>
    <w:uiPriority w:val="11"/>
    <w:qFormat/>
    <w:pPr>
      <w:spacing w:before="200" w:after="200"/>
    </w:pPr>
    <w:rPr>
      <w:sz w:val="24"/>
      <w:szCs w:val="24"/>
    </w:rPr>
  </w:style>
  <w:style w:type="paragraph" w:styleId="738">
    <w:name w:val="footnote text"/>
    <w:basedOn w:val="710"/>
    <w:link w:val="893"/>
    <w:uiPriority w:val="99"/>
    <w:semiHidden/>
    <w:unhideWhenUsed/>
    <w:qFormat/>
    <w:pPr>
      <w:spacing w:after="40" w:line="240" w:lineRule="auto"/>
    </w:pPr>
    <w:rPr>
      <w:sz w:val="18"/>
    </w:rPr>
  </w:style>
  <w:style w:type="paragraph" w:styleId="739">
    <w:name w:val="toc 6"/>
    <w:basedOn w:val="710"/>
    <w:next w:val="710"/>
    <w:uiPriority w:val="39"/>
    <w:unhideWhenUsed/>
    <w:qFormat/>
    <w:pPr>
      <w:ind w:left="1417" w:right="0" w:firstLine="0"/>
      <w:spacing w:after="57"/>
    </w:pPr>
  </w:style>
  <w:style w:type="paragraph" w:styleId="740">
    <w:name w:val="table of figures"/>
    <w:basedOn w:val="710"/>
    <w:next w:val="710"/>
    <w:uiPriority w:val="99"/>
    <w:unhideWhenUsed/>
    <w:qFormat/>
    <w:pPr>
      <w:spacing w:after="0" w:afterAutospacing="0"/>
    </w:pPr>
  </w:style>
  <w:style w:type="paragraph" w:styleId="741">
    <w:name w:val="toc 2"/>
    <w:basedOn w:val="710"/>
    <w:next w:val="710"/>
    <w:uiPriority w:val="39"/>
    <w:unhideWhenUsed/>
    <w:qFormat/>
    <w:pPr>
      <w:ind w:left="283" w:right="0" w:firstLine="0"/>
      <w:spacing w:after="57"/>
    </w:pPr>
  </w:style>
  <w:style w:type="paragraph" w:styleId="742">
    <w:name w:val="toc 9"/>
    <w:basedOn w:val="710"/>
    <w:next w:val="710"/>
    <w:uiPriority w:val="39"/>
    <w:unhideWhenUsed/>
    <w:qFormat/>
    <w:pPr>
      <w:ind w:left="2268" w:right="0" w:firstLine="0"/>
      <w:spacing w:after="57"/>
    </w:pPr>
  </w:style>
  <w:style w:type="paragraph" w:styleId="743">
    <w:name w:val="Title"/>
    <w:basedOn w:val="710"/>
    <w:next w:val="710"/>
    <w:link w:val="759"/>
    <w:uiPriority w:val="10"/>
    <w:qFormat/>
    <w:pPr>
      <w:contextualSpacing/>
      <w:spacing w:before="300" w:after="200"/>
    </w:pPr>
    <w:rPr>
      <w:sz w:val="48"/>
      <w:szCs w:val="48"/>
    </w:rPr>
  </w:style>
  <w:style w:type="character" w:styleId="744">
    <w:name w:val="endnote reference"/>
    <w:uiPriority w:val="99"/>
    <w:semiHidden/>
    <w:unhideWhenUsed/>
    <w:qFormat/>
    <w:rPr>
      <w:vertAlign w:val="superscript"/>
    </w:rPr>
  </w:style>
  <w:style w:type="character" w:styleId="745">
    <w:name w:val="Hyperlink"/>
    <w:uiPriority w:val="99"/>
    <w:unhideWhenUsed/>
    <w:qFormat/>
    <w:rPr>
      <w:color w:val="0000ff" w:themeColor="hyperlink"/>
      <w:u w:val="single"/>
      <w14:textFill>
        <w14:solidFill>
          <w14:schemeClr w14:val="hlink"/>
        </w14:solidFill>
      </w14:textFill>
    </w:rPr>
  </w:style>
  <w:style w:type="character" w:styleId="746">
    <w:name w:val="footnote reference"/>
    <w:uiPriority w:val="99"/>
    <w:unhideWhenUsed/>
    <w:qFormat/>
    <w:rPr>
      <w:vertAlign w:val="superscript"/>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8" w:customStyle="1">
    <w:name w:val="Heading 1 Char"/>
    <w:link w:val="711"/>
    <w:uiPriority w:val="9"/>
    <w:qFormat/>
    <w:rPr>
      <w:rFonts w:ascii="Arial" w:hAnsi="Arial" w:eastAsia="Arial" w:cs="Arial"/>
      <w:sz w:val="40"/>
      <w:szCs w:val="40"/>
    </w:rPr>
  </w:style>
  <w:style w:type="character" w:styleId="749" w:customStyle="1">
    <w:name w:val="Heading 2 Char"/>
    <w:link w:val="712"/>
    <w:uiPriority w:val="9"/>
    <w:qFormat/>
    <w:rPr>
      <w:rFonts w:ascii="Arial" w:hAnsi="Arial" w:eastAsia="Arial" w:cs="Arial"/>
      <w:sz w:val="34"/>
    </w:rPr>
  </w:style>
  <w:style w:type="character" w:styleId="750" w:customStyle="1">
    <w:name w:val="Heading 3 Char"/>
    <w:link w:val="713"/>
    <w:uiPriority w:val="9"/>
    <w:qFormat/>
    <w:rPr>
      <w:rFonts w:ascii="Arial" w:hAnsi="Arial" w:eastAsia="Arial" w:cs="Arial"/>
      <w:sz w:val="30"/>
      <w:szCs w:val="30"/>
    </w:rPr>
  </w:style>
  <w:style w:type="character" w:styleId="751" w:customStyle="1">
    <w:name w:val="Heading 4 Char"/>
    <w:link w:val="714"/>
    <w:uiPriority w:val="9"/>
    <w:qFormat/>
    <w:rPr>
      <w:rFonts w:ascii="Arial" w:hAnsi="Arial" w:eastAsia="Arial" w:cs="Arial"/>
      <w:b/>
      <w:bCs/>
      <w:sz w:val="26"/>
      <w:szCs w:val="26"/>
    </w:rPr>
  </w:style>
  <w:style w:type="character" w:styleId="752" w:customStyle="1">
    <w:name w:val="Heading 5 Char"/>
    <w:link w:val="715"/>
    <w:uiPriority w:val="9"/>
    <w:qFormat/>
    <w:rPr>
      <w:rFonts w:ascii="Arial" w:hAnsi="Arial" w:eastAsia="Arial" w:cs="Arial"/>
      <w:b/>
      <w:bCs/>
      <w:sz w:val="24"/>
      <w:szCs w:val="24"/>
    </w:rPr>
  </w:style>
  <w:style w:type="character" w:styleId="753" w:customStyle="1">
    <w:name w:val="Heading 6 Char"/>
    <w:link w:val="716"/>
    <w:uiPriority w:val="9"/>
    <w:qFormat/>
    <w:rPr>
      <w:rFonts w:ascii="Arial" w:hAnsi="Arial" w:eastAsia="Arial" w:cs="Arial"/>
      <w:b/>
      <w:bCs/>
      <w:sz w:val="22"/>
      <w:szCs w:val="22"/>
    </w:rPr>
  </w:style>
  <w:style w:type="character" w:styleId="754" w:customStyle="1">
    <w:name w:val="Heading 7 Char"/>
    <w:link w:val="717"/>
    <w:uiPriority w:val="9"/>
    <w:qFormat/>
    <w:rPr>
      <w:rFonts w:ascii="Arial" w:hAnsi="Arial" w:eastAsia="Arial" w:cs="Arial"/>
      <w:b/>
      <w:bCs/>
      <w:i/>
      <w:iCs/>
      <w:sz w:val="22"/>
      <w:szCs w:val="22"/>
    </w:rPr>
  </w:style>
  <w:style w:type="character" w:styleId="755" w:customStyle="1">
    <w:name w:val="Heading 8 Char"/>
    <w:link w:val="718"/>
    <w:uiPriority w:val="9"/>
    <w:qFormat/>
    <w:rPr>
      <w:rFonts w:ascii="Arial" w:hAnsi="Arial" w:eastAsia="Arial" w:cs="Arial"/>
      <w:i/>
      <w:iCs/>
      <w:sz w:val="22"/>
      <w:szCs w:val="22"/>
    </w:rPr>
  </w:style>
  <w:style w:type="character" w:styleId="756" w:customStyle="1">
    <w:name w:val="Heading 9 Char"/>
    <w:link w:val="719"/>
    <w:uiPriority w:val="9"/>
    <w:qFormat/>
    <w:rPr>
      <w:rFonts w:ascii="Arial" w:hAnsi="Arial" w:eastAsia="Arial" w:cs="Arial"/>
      <w:i/>
      <w:iCs/>
      <w:sz w:val="21"/>
      <w:szCs w:val="21"/>
    </w:rPr>
  </w:style>
  <w:style w:type="paragraph" w:styleId="757">
    <w:name w:val="List Paragraph"/>
    <w:basedOn w:val="710"/>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link w:val="743"/>
    <w:uiPriority w:val="10"/>
    <w:qFormat/>
    <w:rPr>
      <w:sz w:val="48"/>
      <w:szCs w:val="48"/>
    </w:rPr>
  </w:style>
  <w:style w:type="character" w:styleId="760" w:customStyle="1">
    <w:name w:val="Subtitle Char"/>
    <w:link w:val="737"/>
    <w:uiPriority w:val="11"/>
    <w:qFormat/>
    <w:rPr>
      <w:sz w:val="24"/>
      <w:szCs w:val="24"/>
    </w:rPr>
  </w:style>
  <w:style w:type="paragraph" w:styleId="761">
    <w:name w:val="Quote"/>
    <w:basedOn w:val="710"/>
    <w:next w:val="710"/>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10"/>
    <w:next w:val="710"/>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link w:val="734"/>
    <w:uiPriority w:val="99"/>
    <w:qFormat/>
  </w:style>
  <w:style w:type="character" w:styleId="766" w:customStyle="1">
    <w:name w:val="Footer Char"/>
    <w:link w:val="732"/>
    <w:uiPriority w:val="99"/>
    <w:qFormat/>
  </w:style>
  <w:style w:type="character" w:styleId="767" w:customStyle="1">
    <w:name w:val="Caption Char"/>
    <w:link w:val="732"/>
    <w:uiPriority w:val="99"/>
    <w:qFormat/>
  </w:style>
  <w:style w:type="table" w:styleId="76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8"/>
    <w:uiPriority w:val="99"/>
    <w:qFormat/>
    <w:rPr>
      <w:sz w:val="18"/>
    </w:rPr>
  </w:style>
  <w:style w:type="character" w:styleId="894" w:customStyle="1">
    <w:name w:val="Endnote Text Char"/>
    <w:link w:val="731"/>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标题 11"/>
    <w:basedOn w:val="710"/>
    <w:next w:val="710"/>
    <w:link w:val="931"/>
    <w:uiPriority w:val="0"/>
    <w:qFormat/>
    <w:pPr>
      <w:jc w:val="center"/>
      <w:keepNext/>
      <w:outlineLvl w:val="0"/>
    </w:pPr>
    <w:rPr>
      <w:rFonts w:ascii="楷体_GB2312" w:hAnsi="楷体_GB2312" w:eastAsia="黑体"/>
      <w:sz w:val="44"/>
      <w:szCs w:val="28"/>
    </w:rPr>
  </w:style>
  <w:style w:type="paragraph" w:styleId="897" w:customStyle="1">
    <w:name w:val="标题 21"/>
    <w:basedOn w:val="710"/>
    <w:next w:val="898"/>
    <w:link w:val="9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8" w:customStyle="1">
    <w:name w:val="正文缩进1"/>
    <w:basedOn w:val="710"/>
    <w:link w:val="937"/>
    <w:uiPriority w:val="0"/>
    <w:qFormat/>
    <w:pPr>
      <w:ind w:firstLine="420"/>
    </w:pPr>
  </w:style>
  <w:style w:type="paragraph" w:styleId="899" w:customStyle="1">
    <w:name w:val="标题 31"/>
    <w:basedOn w:val="710"/>
    <w:next w:val="898"/>
    <w:link w:val="908"/>
    <w:uiPriority w:val="0"/>
    <w:qFormat/>
    <w:pPr>
      <w:keepLines/>
      <w:keepNext/>
      <w:spacing w:before="260" w:after="260" w:line="416" w:lineRule="auto"/>
      <w:outlineLvl w:val="2"/>
    </w:pPr>
    <w:rPr>
      <w:b/>
      <w:bCs/>
      <w:sz w:val="32"/>
      <w:szCs w:val="32"/>
    </w:rPr>
  </w:style>
  <w:style w:type="paragraph" w:styleId="900" w:customStyle="1">
    <w:name w:val="标题 41"/>
    <w:basedOn w:val="710"/>
    <w:next w:val="898"/>
    <w:link w:val="951"/>
    <w:uiPriority w:val="0"/>
    <w:qFormat/>
    <w:pPr>
      <w:keepLines/>
      <w:keepNext/>
      <w:spacing w:before="280" w:after="290" w:line="376" w:lineRule="auto"/>
      <w:outlineLvl w:val="3"/>
    </w:pPr>
    <w:rPr>
      <w:rFonts w:ascii="Arial" w:hAnsi="Arial" w:eastAsia="黑体" w:cs="Arial"/>
      <w:b/>
      <w:bCs/>
      <w:sz w:val="28"/>
      <w:szCs w:val="28"/>
    </w:rPr>
  </w:style>
  <w:style w:type="paragraph" w:styleId="901" w:customStyle="1">
    <w:name w:val="标题 51"/>
    <w:basedOn w:val="710"/>
    <w:next w:val="898"/>
    <w:link w:val="943"/>
    <w:uiPriority w:val="0"/>
    <w:qFormat/>
    <w:pPr>
      <w:keepNext/>
      <w:outlineLvl w:val="4"/>
    </w:pPr>
    <w:rPr>
      <w:rFonts w:ascii="宋体"/>
      <w:color w:val="000000"/>
      <w:sz w:val="28"/>
      <w:szCs w:val="28"/>
    </w:rPr>
  </w:style>
  <w:style w:type="paragraph" w:styleId="902" w:customStyle="1">
    <w:name w:val="标题 61"/>
    <w:basedOn w:val="710"/>
    <w:next w:val="710"/>
    <w:link w:val="92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3" w:customStyle="1">
    <w:name w:val="标题 71"/>
    <w:basedOn w:val="710"/>
    <w:next w:val="710"/>
    <w:link w:val="939"/>
    <w:uiPriority w:val="0"/>
    <w:qFormat/>
    <w:pPr>
      <w:numPr>
        <w:ilvl w:val="6"/>
        <w:numId w:val="1"/>
      </w:numPr>
      <w:keepLines/>
      <w:keepNext/>
      <w:spacing w:before="240" w:after="64" w:line="320" w:lineRule="auto"/>
      <w:outlineLvl w:val="6"/>
    </w:pPr>
    <w:rPr>
      <w:b/>
      <w:bCs/>
      <w:sz w:val="24"/>
      <w:szCs w:val="24"/>
    </w:rPr>
  </w:style>
  <w:style w:type="paragraph" w:styleId="904" w:customStyle="1">
    <w:name w:val="标题 81"/>
    <w:basedOn w:val="710"/>
    <w:next w:val="710"/>
    <w:link w:val="95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5" w:customStyle="1">
    <w:name w:val="标题 91"/>
    <w:basedOn w:val="710"/>
    <w:next w:val="710"/>
    <w:link w:val="941"/>
    <w:uiPriority w:val="0"/>
    <w:qFormat/>
    <w:pPr>
      <w:numPr>
        <w:ilvl w:val="8"/>
        <w:numId w:val="1"/>
      </w:numPr>
      <w:keepLines/>
      <w:keepNext/>
      <w:spacing w:before="240" w:after="64" w:line="320" w:lineRule="auto"/>
      <w:outlineLvl w:val="8"/>
    </w:pPr>
    <w:rPr>
      <w:rFonts w:ascii="Arial" w:hAnsi="Arial" w:eastAsia="黑体"/>
    </w:rPr>
  </w:style>
  <w:style w:type="character" w:styleId="906" w:customStyle="1">
    <w:name w:val="默认段落字体1"/>
    <w:link w:val="710"/>
    <w:uiPriority w:val="1"/>
    <w:unhideWhenUsed/>
    <w:qFormat/>
  </w:style>
  <w:style w:type="table" w:styleId="907" w:customStyle="1">
    <w:name w:val="普通表格1"/>
    <w:uiPriority w:val="99"/>
    <w:unhideWhenUsed/>
    <w:qFormat/>
    <w:tblPr/>
  </w:style>
  <w:style w:type="character" w:styleId="908" w:customStyle="1">
    <w:name w:val="标题 3 Char"/>
    <w:link w:val="899"/>
    <w:uiPriority w:val="0"/>
    <w:qFormat/>
    <w:rPr>
      <w:rFonts w:ascii="Times New Roman" w:hAnsi="Times New Roman" w:eastAsia="宋体" w:cs="Times New Roman"/>
      <w:b/>
      <w:bCs/>
      <w:sz w:val="32"/>
      <w:szCs w:val="32"/>
    </w:rPr>
  </w:style>
  <w:style w:type="character" w:styleId="909" w:customStyle="1">
    <w:name w:val="标题 2 Char"/>
    <w:link w:val="897"/>
    <w:uiPriority w:val="0"/>
    <w:qFormat/>
    <w:rPr>
      <w:rFonts w:ascii="Arial" w:hAnsi="Arial" w:eastAsia="幼圆" w:cs="Arial"/>
      <w:b/>
      <w:bCs/>
      <w:sz w:val="44"/>
      <w:szCs w:val="44"/>
    </w:rPr>
  </w:style>
  <w:style w:type="character" w:styleId="910" w:customStyle="1">
    <w:name w:val="批注引用1"/>
    <w:link w:val="710"/>
    <w:uiPriority w:val="0"/>
    <w:semiHidden/>
    <w:qFormat/>
    <w:rPr>
      <w:sz w:val="21"/>
      <w:szCs w:val="21"/>
    </w:rPr>
  </w:style>
  <w:style w:type="character" w:styleId="911" w:customStyle="1">
    <w:name w:val="纯文本 Char"/>
    <w:link w:val="912"/>
    <w:uiPriority w:val="0"/>
    <w:qFormat/>
    <w:rPr>
      <w:rFonts w:ascii="宋体" w:hAnsi="Courier New" w:eastAsia="宋体" w:cs="Courier New"/>
      <w:szCs w:val="21"/>
    </w:rPr>
  </w:style>
  <w:style w:type="paragraph" w:styleId="912" w:customStyle="1">
    <w:name w:val="纯文本1"/>
    <w:basedOn w:val="710"/>
    <w:link w:val="911"/>
    <w:uiPriority w:val="0"/>
    <w:qFormat/>
    <w:rPr>
      <w:rFonts w:ascii="宋体" w:hAnsi="Courier New" w:cs="Courier New"/>
    </w:rPr>
  </w:style>
  <w:style w:type="character" w:styleId="913" w:customStyle="1">
    <w:name w:val="文档结构图 Char"/>
    <w:link w:val="914"/>
    <w:uiPriority w:val="0"/>
    <w:semiHidden/>
    <w:qFormat/>
    <w:rPr>
      <w:rFonts w:ascii="Times New Roman" w:hAnsi="Times New Roman" w:eastAsia="宋体" w:cs="Times New Roman"/>
      <w:szCs w:val="21"/>
      <w:shd w:val="clear" w:color="auto" w:fill="000080"/>
    </w:rPr>
  </w:style>
  <w:style w:type="paragraph" w:styleId="914" w:customStyle="1">
    <w:name w:val="文档结构图1"/>
    <w:basedOn w:val="710"/>
    <w:link w:val="913"/>
    <w:uiPriority w:val="0"/>
    <w:semiHidden/>
    <w:qFormat/>
    <w:pPr>
      <w:shd w:val="clear" w:color="auto" w:fill="000080"/>
    </w:pPr>
  </w:style>
  <w:style w:type="character" w:styleId="915" w:customStyle="1">
    <w:name w:val="要点1"/>
    <w:link w:val="710"/>
    <w:uiPriority w:val="0"/>
    <w:qFormat/>
    <w:rPr>
      <w:b/>
      <w:bCs/>
    </w:rPr>
  </w:style>
  <w:style w:type="character" w:styleId="916" w:customStyle="1">
    <w:name w:val="页脚 Char"/>
    <w:link w:val="917"/>
    <w:uiPriority w:val="0"/>
    <w:qFormat/>
    <w:rPr>
      <w:rFonts w:ascii="Times New Roman" w:hAnsi="Times New Roman" w:eastAsia="宋体" w:cs="Times New Roman"/>
      <w:sz w:val="18"/>
      <w:szCs w:val="18"/>
    </w:rPr>
  </w:style>
  <w:style w:type="paragraph" w:styleId="917" w:customStyle="1">
    <w:name w:val="页脚1"/>
    <w:basedOn w:val="710"/>
    <w:link w:val="916"/>
    <w:uiPriority w:val="0"/>
    <w:qFormat/>
    <w:pPr>
      <w:jc w:val="left"/>
      <w:tabs>
        <w:tab w:val="center" w:pos="4153" w:leader="none"/>
        <w:tab w:val="right" w:pos="8306" w:leader="none"/>
      </w:tabs>
    </w:pPr>
    <w:rPr>
      <w:sz w:val="18"/>
      <w:szCs w:val="18"/>
    </w:rPr>
  </w:style>
  <w:style w:type="character" w:styleId="918" w:customStyle="1">
    <w:name w:val="列出段落 Char"/>
    <w:link w:val="919"/>
    <w:uiPriority w:val="0"/>
    <w:qFormat/>
    <w:rPr>
      <w:rFonts w:ascii="Calibri" w:hAnsi="Calibri"/>
      <w:sz w:val="24"/>
      <w:szCs w:val="24"/>
      <w:lang w:eastAsia="en-US" w:bidi="en-US"/>
    </w:rPr>
  </w:style>
  <w:style w:type="paragraph" w:styleId="919" w:customStyle="1">
    <w:name w:val="列出段落1"/>
    <w:basedOn w:val="710"/>
    <w:link w:val="918"/>
    <w:uiPriority w:val="0"/>
    <w:qFormat/>
    <w:pPr>
      <w:contextualSpacing/>
      <w:ind w:left="720"/>
      <w:jc w:val="left"/>
      <w:widowControl/>
    </w:pPr>
    <w:rPr>
      <w:rFonts w:ascii="Calibri" w:hAnsi="Calibri" w:eastAsia="宋体" w:cs="Times New Roman"/>
      <w:sz w:val="24"/>
      <w:szCs w:val="24"/>
      <w:lang w:eastAsia="en-US" w:bidi="en-US"/>
    </w:rPr>
  </w:style>
  <w:style w:type="character" w:styleId="920" w:customStyle="1">
    <w:name w:val="标题 6 Char"/>
    <w:link w:val="902"/>
    <w:uiPriority w:val="0"/>
    <w:qFormat/>
    <w:rPr>
      <w:rFonts w:ascii="Arial" w:hAnsi="Arial" w:eastAsia="黑体" w:cs="Times New Roman"/>
      <w:b/>
      <w:bCs/>
      <w:sz w:val="24"/>
      <w:szCs w:val="24"/>
    </w:rPr>
  </w:style>
  <w:style w:type="character" w:styleId="921" w:customStyle="1">
    <w:name w:val="批注主题 Char"/>
    <w:link w:val="922"/>
    <w:uiPriority w:val="0"/>
    <w:semiHidden/>
    <w:qFormat/>
    <w:rPr>
      <w:rFonts w:ascii="Times New Roman" w:hAnsi="Times New Roman" w:eastAsia="宋体" w:cs="Times New Roman"/>
      <w:b/>
      <w:bCs/>
      <w:szCs w:val="21"/>
    </w:rPr>
  </w:style>
  <w:style w:type="paragraph" w:styleId="922" w:customStyle="1">
    <w:name w:val="批注主题1"/>
    <w:basedOn w:val="923"/>
    <w:next w:val="923"/>
    <w:link w:val="921"/>
    <w:uiPriority w:val="0"/>
    <w:semiHidden/>
    <w:qFormat/>
    <w:rPr>
      <w:b/>
      <w:bCs/>
    </w:rPr>
  </w:style>
  <w:style w:type="paragraph" w:styleId="923" w:customStyle="1">
    <w:name w:val="批注文字1"/>
    <w:basedOn w:val="710"/>
    <w:link w:val="942"/>
    <w:uiPriority w:val="0"/>
    <w:semiHidden/>
    <w:qFormat/>
    <w:pPr>
      <w:jc w:val="left"/>
    </w:pPr>
  </w:style>
  <w:style w:type="character" w:styleId="924" w:customStyle="1">
    <w:name w:val="正文文本 2 Char"/>
    <w:link w:val="925"/>
    <w:uiPriority w:val="0"/>
    <w:qFormat/>
    <w:rPr>
      <w:rFonts w:ascii="楷体_GB2312" w:hAnsi="Times New Roman" w:eastAsia="楷体_GB2312" w:cs="Times New Roman"/>
      <w:sz w:val="28"/>
      <w:szCs w:val="28"/>
    </w:rPr>
  </w:style>
  <w:style w:type="paragraph" w:styleId="925" w:customStyle="1">
    <w:name w:val="正文文本 21"/>
    <w:basedOn w:val="710"/>
    <w:link w:val="924"/>
    <w:uiPriority w:val="0"/>
    <w:qFormat/>
    <w:pPr>
      <w:jc w:val="center"/>
      <w:widowControl/>
    </w:pPr>
    <w:rPr>
      <w:rFonts w:ascii="楷体_GB2312" w:eastAsia="楷体_GB2312"/>
      <w:sz w:val="28"/>
      <w:szCs w:val="28"/>
    </w:rPr>
  </w:style>
  <w:style w:type="character" w:styleId="926" w:customStyle="1">
    <w:name w:val="正文首行缩进 Char"/>
    <w:link w:val="927"/>
    <w:uiPriority w:val="0"/>
    <w:qFormat/>
    <w:rPr>
      <w:rFonts w:ascii="仿宋_GB2312" w:hAnsi="Times New Roman" w:eastAsia="仿宋_GB2312" w:cs="Times New Roman"/>
      <w:sz w:val="30"/>
      <w:szCs w:val="30"/>
    </w:rPr>
  </w:style>
  <w:style w:type="paragraph" w:styleId="927" w:customStyle="1">
    <w:name w:val="正文首行缩进1"/>
    <w:basedOn w:val="710"/>
    <w:link w:val="926"/>
    <w:uiPriority w:val="0"/>
    <w:qFormat/>
    <w:pPr>
      <w:ind w:firstLine="200"/>
      <w:spacing w:line="360" w:lineRule="auto"/>
    </w:pPr>
    <w:rPr>
      <w:rFonts w:ascii="仿宋_GB2312" w:eastAsia="仿宋_GB2312"/>
      <w:sz w:val="30"/>
      <w:szCs w:val="30"/>
    </w:rPr>
  </w:style>
  <w:style w:type="character" w:styleId="928" w:customStyle="1">
    <w:name w:val="正文首行缩进 2 Char"/>
    <w:link w:val="929"/>
    <w:uiPriority w:val="0"/>
    <w:qFormat/>
    <w:rPr>
      <w:rFonts w:ascii="宋体" w:hAnsi="宋体" w:eastAsia="宋体" w:cs="Times New Roman"/>
      <w:sz w:val="32"/>
      <w:szCs w:val="20"/>
    </w:rPr>
  </w:style>
  <w:style w:type="paragraph" w:styleId="929" w:customStyle="1">
    <w:name w:val="正文首行缩进 21"/>
    <w:basedOn w:val="930"/>
    <w:link w:val="928"/>
    <w:uiPriority w:val="0"/>
    <w:qFormat/>
    <w:pPr>
      <w:ind w:firstLine="420"/>
      <w:spacing w:line="360" w:lineRule="auto"/>
    </w:pPr>
    <w:rPr>
      <w:rFonts w:ascii="宋体" w:hAnsi="宋体" w:eastAsia="宋体"/>
      <w:sz w:val="21"/>
      <w:szCs w:val="20"/>
    </w:rPr>
  </w:style>
  <w:style w:type="paragraph" w:styleId="930" w:customStyle="1">
    <w:name w:val="正文文本缩进1"/>
    <w:basedOn w:val="710"/>
    <w:link w:val="940"/>
    <w:uiPriority w:val="0"/>
    <w:qFormat/>
    <w:pPr>
      <w:ind w:firstLine="645"/>
    </w:pPr>
    <w:rPr>
      <w:rFonts w:ascii="楷体_GB2312" w:eastAsia="楷体_GB2312"/>
      <w:sz w:val="32"/>
      <w:szCs w:val="32"/>
    </w:rPr>
  </w:style>
  <w:style w:type="character" w:styleId="931" w:customStyle="1">
    <w:name w:val="标题 1 Char"/>
    <w:link w:val="896"/>
    <w:uiPriority w:val="0"/>
    <w:qFormat/>
    <w:rPr>
      <w:rFonts w:ascii="楷体_GB2312" w:hAnsi="楷体_GB2312" w:eastAsia="黑体" w:cs="Times New Roman"/>
      <w:sz w:val="44"/>
      <w:szCs w:val="28"/>
    </w:rPr>
  </w:style>
  <w:style w:type="character" w:styleId="932" w:customStyle="1">
    <w:name w:val="已访问的超链接1"/>
    <w:link w:val="710"/>
    <w:uiPriority w:val="0"/>
    <w:qFormat/>
    <w:rPr>
      <w:color w:val="800080"/>
      <w:u w:val="single"/>
    </w:rPr>
  </w:style>
  <w:style w:type="character" w:styleId="933" w:customStyle="1">
    <w:name w:val="正文文本 3 Char"/>
    <w:link w:val="934"/>
    <w:uiPriority w:val="0"/>
    <w:qFormat/>
    <w:rPr>
      <w:rFonts w:ascii="仿宋_GB2312" w:hAnsi="Arial" w:eastAsia="仿宋_GB2312" w:cs="Times New Roman"/>
      <w:sz w:val="32"/>
      <w:szCs w:val="32"/>
    </w:rPr>
  </w:style>
  <w:style w:type="paragraph" w:styleId="934" w:customStyle="1">
    <w:name w:val="正文文本 31"/>
    <w:basedOn w:val="710"/>
    <w:link w:val="933"/>
    <w:uiPriority w:val="0"/>
    <w:qFormat/>
    <w:rPr>
      <w:rFonts w:ascii="仿宋_GB2312" w:hAnsi="Arial" w:eastAsia="仿宋_GB2312"/>
      <w:sz w:val="32"/>
      <w:szCs w:val="32"/>
    </w:rPr>
  </w:style>
  <w:style w:type="character" w:styleId="935" w:customStyle="1">
    <w:name w:val="二级目录 Char"/>
    <w:link w:val="936"/>
    <w:uiPriority w:val="0"/>
    <w:qFormat/>
    <w:rPr>
      <w:b/>
      <w:sz w:val="30"/>
      <w:szCs w:val="28"/>
    </w:rPr>
  </w:style>
  <w:style w:type="paragraph" w:styleId="936" w:customStyle="1">
    <w:name w:val="二级目录"/>
    <w:next w:val="710"/>
    <w:link w:val="9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7" w:customStyle="1">
    <w:name w:val="正文缩进 Char"/>
    <w:link w:val="898"/>
    <w:uiPriority w:val="0"/>
    <w:qFormat/>
    <w:rPr>
      <w:rFonts w:ascii="Times New Roman" w:hAnsi="Times New Roman" w:eastAsia="宋体" w:cs="Times New Roman"/>
      <w:szCs w:val="21"/>
    </w:rPr>
  </w:style>
  <w:style w:type="character" w:styleId="938" w:customStyle="1">
    <w:name w:val="页码1"/>
    <w:link w:val="710"/>
    <w:uiPriority w:val="0"/>
    <w:qFormat/>
  </w:style>
  <w:style w:type="character" w:styleId="939" w:customStyle="1">
    <w:name w:val="标题 7 Char"/>
    <w:link w:val="903"/>
    <w:uiPriority w:val="0"/>
    <w:qFormat/>
    <w:rPr>
      <w:rFonts w:ascii="Times New Roman" w:hAnsi="Times New Roman" w:eastAsia="宋体" w:cs="Times New Roman"/>
      <w:b/>
      <w:bCs/>
      <w:sz w:val="24"/>
      <w:szCs w:val="24"/>
    </w:rPr>
  </w:style>
  <w:style w:type="character" w:styleId="940" w:customStyle="1">
    <w:name w:val="正文文本缩进 Char"/>
    <w:link w:val="930"/>
    <w:uiPriority w:val="0"/>
    <w:qFormat/>
    <w:rPr>
      <w:rFonts w:ascii="楷体_GB2312" w:hAnsi="Times New Roman" w:eastAsia="楷体_GB2312" w:cs="Times New Roman"/>
      <w:sz w:val="32"/>
      <w:szCs w:val="32"/>
    </w:rPr>
  </w:style>
  <w:style w:type="character" w:styleId="941" w:customStyle="1">
    <w:name w:val="标题 9 Char"/>
    <w:link w:val="905"/>
    <w:uiPriority w:val="0"/>
    <w:qFormat/>
    <w:rPr>
      <w:rFonts w:ascii="Arial" w:hAnsi="Arial" w:eastAsia="黑体" w:cs="Times New Roman"/>
      <w:szCs w:val="21"/>
    </w:rPr>
  </w:style>
  <w:style w:type="character" w:styleId="942" w:customStyle="1">
    <w:name w:val="批注文字 Char"/>
    <w:link w:val="923"/>
    <w:uiPriority w:val="0"/>
    <w:semiHidden/>
    <w:qFormat/>
    <w:rPr>
      <w:rFonts w:ascii="Times New Roman" w:hAnsi="Times New Roman" w:eastAsia="宋体" w:cs="Times New Roman"/>
      <w:szCs w:val="21"/>
    </w:rPr>
  </w:style>
  <w:style w:type="character" w:styleId="943" w:customStyle="1">
    <w:name w:val="标题 5 Char"/>
    <w:link w:val="901"/>
    <w:uiPriority w:val="0"/>
    <w:qFormat/>
    <w:rPr>
      <w:rFonts w:ascii="宋体" w:hAnsi="Times New Roman" w:eastAsia="宋体" w:cs="Times New Roman"/>
      <w:color w:val="000000"/>
      <w:sz w:val="28"/>
      <w:szCs w:val="28"/>
    </w:rPr>
  </w:style>
  <w:style w:type="character" w:styleId="944" w:customStyle="1">
    <w:name w:val="正文文本缩进 2 Char"/>
    <w:link w:val="945"/>
    <w:uiPriority w:val="0"/>
    <w:qFormat/>
    <w:rPr>
      <w:rFonts w:ascii="Arial" w:hAnsi="Arial" w:eastAsia="仿宋_GB2312" w:cs="Arial"/>
      <w:sz w:val="32"/>
      <w:szCs w:val="32"/>
    </w:rPr>
  </w:style>
  <w:style w:type="paragraph" w:styleId="945" w:customStyle="1">
    <w:name w:val="正文文本缩进 21"/>
    <w:basedOn w:val="710"/>
    <w:link w:val="944"/>
    <w:uiPriority w:val="0"/>
    <w:qFormat/>
    <w:pPr>
      <w:ind w:left="630" w:firstLine="645"/>
    </w:pPr>
    <w:rPr>
      <w:rFonts w:ascii="Arial" w:hAnsi="Arial" w:eastAsia="仿宋_GB2312" w:cs="Arial"/>
      <w:sz w:val="32"/>
      <w:szCs w:val="32"/>
    </w:rPr>
  </w:style>
  <w:style w:type="character" w:styleId="946" w:customStyle="1">
    <w:name w:val="日期 Char"/>
    <w:link w:val="947"/>
    <w:uiPriority w:val="0"/>
    <w:qFormat/>
    <w:rPr>
      <w:rFonts w:ascii="Times New Roman" w:hAnsi="Times New Roman" w:eastAsia="宋体" w:cs="Times New Roman"/>
      <w:sz w:val="24"/>
      <w:szCs w:val="24"/>
    </w:rPr>
  </w:style>
  <w:style w:type="paragraph" w:styleId="947" w:customStyle="1">
    <w:name w:val="日期1"/>
    <w:basedOn w:val="710"/>
    <w:next w:val="710"/>
    <w:link w:val="946"/>
    <w:uiPriority w:val="0"/>
    <w:qFormat/>
    <w:rPr>
      <w:sz w:val="24"/>
      <w:szCs w:val="24"/>
    </w:rPr>
  </w:style>
  <w:style w:type="character" w:styleId="948" w:customStyle="1">
    <w:name w:val="超链接1"/>
    <w:link w:val="710"/>
    <w:uiPriority w:val="0"/>
    <w:qFormat/>
    <w:rPr>
      <w:color w:val="0000ff"/>
      <w:u w:val="single"/>
    </w:rPr>
  </w:style>
  <w:style w:type="character" w:styleId="949" w:customStyle="1">
    <w:name w:val="批注框文本 Char"/>
    <w:link w:val="950"/>
    <w:uiPriority w:val="0"/>
    <w:semiHidden/>
    <w:qFormat/>
    <w:rPr>
      <w:rFonts w:ascii="Times New Roman" w:hAnsi="Times New Roman" w:eastAsia="宋体" w:cs="Times New Roman"/>
      <w:sz w:val="18"/>
      <w:szCs w:val="18"/>
    </w:rPr>
  </w:style>
  <w:style w:type="paragraph" w:styleId="950" w:customStyle="1">
    <w:name w:val="批注框文本1"/>
    <w:basedOn w:val="710"/>
    <w:link w:val="949"/>
    <w:uiPriority w:val="0"/>
    <w:semiHidden/>
    <w:qFormat/>
    <w:rPr>
      <w:sz w:val="18"/>
      <w:szCs w:val="18"/>
    </w:rPr>
  </w:style>
  <w:style w:type="character" w:styleId="951" w:customStyle="1">
    <w:name w:val="标题 4 Char"/>
    <w:link w:val="900"/>
    <w:uiPriority w:val="0"/>
    <w:qFormat/>
    <w:rPr>
      <w:rFonts w:ascii="Arial" w:hAnsi="Arial" w:eastAsia="黑体" w:cs="Arial"/>
      <w:b/>
      <w:bCs/>
      <w:sz w:val="28"/>
      <w:szCs w:val="28"/>
    </w:rPr>
  </w:style>
  <w:style w:type="character" w:styleId="952" w:customStyle="1">
    <w:name w:val="font5 Char"/>
    <w:link w:val="710"/>
    <w:uiPriority w:val="0"/>
    <w:qFormat/>
    <w:rPr>
      <w:rFonts w:ascii="宋体" w:hAnsi="宋体" w:eastAsia="宋体"/>
      <w:sz w:val="28"/>
      <w:szCs w:val="28"/>
      <w:lang w:val="en-US" w:eastAsia="zh-CN" w:bidi="ar-SA"/>
    </w:rPr>
  </w:style>
  <w:style w:type="character" w:styleId="953" w:customStyle="1">
    <w:name w:val="页眉 Char"/>
    <w:link w:val="954"/>
    <w:uiPriority w:val="0"/>
    <w:qFormat/>
    <w:rPr>
      <w:rFonts w:ascii="Times New Roman" w:hAnsi="Times New Roman" w:eastAsia="宋体" w:cs="Times New Roman"/>
      <w:sz w:val="18"/>
      <w:szCs w:val="18"/>
    </w:rPr>
  </w:style>
  <w:style w:type="paragraph" w:styleId="954" w:customStyle="1">
    <w:name w:val="页眉1"/>
    <w:basedOn w:val="710"/>
    <w:link w:val="953"/>
    <w:uiPriority w:val="0"/>
    <w:qFormat/>
    <w:pPr>
      <w:jc w:val="center"/>
      <w:tabs>
        <w:tab w:val="center" w:pos="4153" w:leader="none"/>
        <w:tab w:val="right" w:pos="8306" w:leader="none"/>
      </w:tabs>
      <w:pBdr>
        <w:bottom w:val="single" w:color="000000" w:sz="6" w:space="1"/>
      </w:pBdr>
    </w:pPr>
    <w:rPr>
      <w:sz w:val="18"/>
      <w:szCs w:val="18"/>
    </w:rPr>
  </w:style>
  <w:style w:type="character" w:styleId="955" w:customStyle="1">
    <w:name w:val="正文文本 Char"/>
    <w:link w:val="956"/>
    <w:uiPriority w:val="0"/>
    <w:qFormat/>
    <w:rPr>
      <w:rFonts w:ascii="楷体_GB2312" w:hAnsi="Arial" w:eastAsia="楷体_GB2312" w:cs="Times New Roman"/>
      <w:sz w:val="28"/>
      <w:szCs w:val="28"/>
    </w:rPr>
  </w:style>
  <w:style w:type="paragraph" w:styleId="956" w:customStyle="1">
    <w:name w:val="正文文本1"/>
    <w:basedOn w:val="710"/>
    <w:link w:val="955"/>
    <w:uiPriority w:val="0"/>
    <w:qFormat/>
    <w:rPr>
      <w:rFonts w:ascii="楷体_GB2312" w:hAnsi="Arial" w:eastAsia="楷体_GB2312"/>
      <w:sz w:val="28"/>
      <w:szCs w:val="28"/>
    </w:rPr>
  </w:style>
  <w:style w:type="character" w:styleId="957" w:customStyle="1">
    <w:name w:val="正文文本缩进 3 Char"/>
    <w:link w:val="958"/>
    <w:uiPriority w:val="0"/>
    <w:qFormat/>
    <w:rPr>
      <w:rFonts w:ascii="Arial" w:hAnsi="Arial" w:eastAsia="仿宋_GB2312" w:cs="Arial"/>
      <w:color w:val="ffff00"/>
      <w:sz w:val="32"/>
      <w:szCs w:val="32"/>
    </w:rPr>
  </w:style>
  <w:style w:type="paragraph" w:styleId="958" w:customStyle="1">
    <w:name w:val="正文文本缩进 31"/>
    <w:basedOn w:val="710"/>
    <w:link w:val="957"/>
    <w:uiPriority w:val="0"/>
    <w:qFormat/>
    <w:pPr>
      <w:ind w:left="645" w:firstLine="645"/>
    </w:pPr>
    <w:rPr>
      <w:rFonts w:ascii="Arial" w:hAnsi="Arial" w:eastAsia="仿宋_GB2312" w:cs="Arial"/>
      <w:color w:val="ffff00"/>
      <w:sz w:val="32"/>
      <w:szCs w:val="32"/>
    </w:rPr>
  </w:style>
  <w:style w:type="character" w:styleId="959" w:customStyle="1">
    <w:name w:val="标题 8 Char"/>
    <w:link w:val="904"/>
    <w:uiPriority w:val="0"/>
    <w:qFormat/>
    <w:rPr>
      <w:rFonts w:ascii="Arial" w:hAnsi="Arial" w:eastAsia="黑体" w:cs="Times New Roman"/>
      <w:sz w:val="24"/>
      <w:szCs w:val="24"/>
    </w:rPr>
  </w:style>
  <w:style w:type="paragraph" w:styleId="960"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2"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3" w:customStyle="1">
    <w:name w:val="目录 31"/>
    <w:basedOn w:val="710"/>
    <w:next w:val="710"/>
    <w:uiPriority w:val="0"/>
    <w:semiHidden/>
    <w:qFormat/>
    <w:pPr>
      <w:ind w:left="420"/>
      <w:jc w:val="left"/>
    </w:pPr>
    <w:rPr>
      <w:i/>
      <w:iCs/>
      <w:szCs w:val="24"/>
    </w:rPr>
  </w:style>
  <w:style w:type="paragraph" w:styleId="964"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965"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966"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967"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8" w:customStyle="1">
    <w:name w:val="列表 31"/>
    <w:basedOn w:val="710"/>
    <w:uiPriority w:val="0"/>
    <w:qFormat/>
    <w:pPr>
      <w:ind w:left="100" w:hanging="200"/>
    </w:pPr>
  </w:style>
  <w:style w:type="paragraph" w:styleId="969" w:customStyle="1">
    <w:name w:val="列表1"/>
    <w:basedOn w:val="710"/>
    <w:uiPriority w:val="0"/>
    <w:qFormat/>
    <w:pPr>
      <w:ind w:left="200" w:hanging="200"/>
    </w:pPr>
  </w:style>
  <w:style w:type="paragraph" w:styleId="970" w:customStyle="1">
    <w:name w:val=" Char Char Char Char"/>
    <w:basedOn w:val="914"/>
    <w:uiPriority w:val="0"/>
    <w:qFormat/>
    <w:pPr>
      <w:spacing w:line="360" w:lineRule="auto"/>
    </w:pPr>
    <w:rPr>
      <w:rFonts w:ascii="Tahoma" w:hAnsi="Tahoma"/>
      <w:sz w:val="24"/>
      <w:szCs w:val="24"/>
    </w:rPr>
  </w:style>
  <w:style w:type="paragraph" w:styleId="971" w:customStyle="1">
    <w:name w:val="目录 81"/>
    <w:basedOn w:val="710"/>
    <w:next w:val="710"/>
    <w:uiPriority w:val="0"/>
    <w:semiHidden/>
    <w:qFormat/>
    <w:pPr>
      <w:ind w:left="1470"/>
      <w:jc w:val="left"/>
    </w:pPr>
  </w:style>
  <w:style w:type="paragraph" w:styleId="97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73" w:customStyle="1">
    <w:name w:val="列表 21"/>
    <w:basedOn w:val="710"/>
    <w:uiPriority w:val="0"/>
    <w:qFormat/>
    <w:pPr>
      <w:ind w:left="100" w:hanging="200"/>
    </w:pPr>
  </w:style>
  <w:style w:type="paragraph" w:styleId="974"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目录 51"/>
    <w:basedOn w:val="710"/>
    <w:next w:val="710"/>
    <w:uiPriority w:val="0"/>
    <w:semiHidden/>
    <w:qFormat/>
    <w:pPr>
      <w:ind w:left="840"/>
      <w:jc w:val="left"/>
    </w:pPr>
  </w:style>
  <w:style w:type="paragraph" w:styleId="976" w:customStyle="1">
    <w:name w:val="普通(网站)1"/>
    <w:basedOn w:val="710"/>
    <w:uiPriority w:val="99"/>
    <w:qFormat/>
    <w:pPr>
      <w:jc w:val="left"/>
      <w:spacing w:before="100" w:beforeAutospacing="1" w:after="100" w:afterAutospacing="1"/>
      <w:widowControl/>
    </w:pPr>
    <w:rPr>
      <w:rFonts w:ascii="宋体" w:hAnsi="宋体" w:cs="宋体"/>
      <w:sz w:val="24"/>
      <w:szCs w:val="24"/>
    </w:rPr>
  </w:style>
  <w:style w:type="paragraph" w:styleId="977" w:customStyle="1">
    <w:name w:val="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78"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979" w:customStyle="1">
    <w:name w:val="索引 11"/>
    <w:basedOn w:val="710"/>
    <w:next w:val="710"/>
    <w:uiPriority w:val="0"/>
    <w:semiHidden/>
    <w:qFormat/>
    <w:pPr>
      <w:spacing w:line="240" w:lineRule="atLeast"/>
    </w:pPr>
    <w:rPr>
      <w:b/>
      <w:bCs/>
    </w:rPr>
  </w:style>
  <w:style w:type="paragraph" w:styleId="980" w:customStyle="1">
    <w:name w:val="目录 61"/>
    <w:basedOn w:val="710"/>
    <w:next w:val="710"/>
    <w:uiPriority w:val="0"/>
    <w:semiHidden/>
    <w:qFormat/>
    <w:pPr>
      <w:ind w:left="1050"/>
      <w:jc w:val="left"/>
    </w:pPr>
  </w:style>
  <w:style w:type="paragraph" w:styleId="981"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82" w:customStyle="1">
    <w:name w:val="table_lines"/>
    <w:basedOn w:val="710"/>
    <w:uiPriority w:val="0"/>
    <w:qFormat/>
    <w:pPr>
      <w:jc w:val="left"/>
      <w:widowControl/>
    </w:pPr>
    <w:rPr>
      <w:sz w:val="20"/>
      <w:szCs w:val="20"/>
      <w:lang w:val="de-DE" w:eastAsia="de-DE"/>
    </w:rPr>
  </w:style>
  <w:style w:type="paragraph" w:styleId="983" w:customStyle="1">
    <w:name w:val=" Char"/>
    <w:basedOn w:val="914"/>
    <w:uiPriority w:val="0"/>
    <w:qFormat/>
    <w:rPr>
      <w:rFonts w:ascii="Tahoma" w:hAnsi="Tahoma"/>
      <w:sz w:val="24"/>
      <w:szCs w:val="24"/>
    </w:rPr>
  </w:style>
  <w:style w:type="paragraph" w:styleId="98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6" w:customStyle="1">
    <w:name w:val="图表目录1"/>
    <w:basedOn w:val="710"/>
    <w:next w:val="710"/>
    <w:uiPriority w:val="0"/>
    <w:semiHidden/>
    <w:qFormat/>
    <w:pPr>
      <w:ind w:left="840" w:hanging="420"/>
    </w:pPr>
  </w:style>
  <w:style w:type="paragraph" w:styleId="987" w:customStyle="1">
    <w:name w:val="Body Text(ch)"/>
    <w:basedOn w:val="710"/>
    <w:next w:val="956"/>
    <w:uiPriority w:val="0"/>
    <w:qFormat/>
    <w:pPr>
      <w:spacing w:after="120"/>
    </w:pPr>
    <w:rPr>
      <w:rFonts w:ascii="宋体" w:hAnsi="Arial"/>
      <w:bCs/>
      <w:iCs/>
      <w:szCs w:val="24"/>
    </w:rPr>
  </w:style>
  <w:style w:type="paragraph" w:styleId="988" w:customStyle="1">
    <w:name w:val="目录 91"/>
    <w:basedOn w:val="710"/>
    <w:next w:val="710"/>
    <w:uiPriority w:val="0"/>
    <w:semiHidden/>
    <w:qFormat/>
    <w:pPr>
      <w:ind w:left="1680"/>
      <w:jc w:val="left"/>
    </w:pPr>
  </w:style>
  <w:style w:type="paragraph" w:styleId="989"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990"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1" w:customStyle="1">
    <w:name w:val="目录 21"/>
    <w:basedOn w:val="710"/>
    <w:next w:val="710"/>
    <w:uiPriority w:val="0"/>
    <w:semiHidden/>
    <w:qFormat/>
    <w:pPr>
      <w:ind w:left="210"/>
      <w:jc w:val="left"/>
    </w:pPr>
    <w:rPr>
      <w:smallCaps/>
      <w:szCs w:val="24"/>
    </w:rPr>
  </w:style>
  <w:style w:type="paragraph" w:styleId="992"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993" w:customStyle="1">
    <w:name w:val="列出段落"/>
    <w:basedOn w:val="710"/>
    <w:uiPriority w:val="0"/>
    <w:qFormat/>
    <w:pPr>
      <w:contextualSpacing/>
      <w:ind w:left="720"/>
      <w:jc w:val="left"/>
      <w:widowControl/>
    </w:pPr>
    <w:rPr>
      <w:rFonts w:ascii="Calibri" w:hAnsi="Calibri"/>
      <w:sz w:val="24"/>
      <w:szCs w:val="24"/>
      <w:lang w:eastAsia="en-US" w:bidi="en-US"/>
    </w:rPr>
  </w:style>
  <w:style w:type="paragraph" w:styleId="994"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95" w:customStyle="1">
    <w:name w:val="目录 71"/>
    <w:basedOn w:val="710"/>
    <w:next w:val="710"/>
    <w:uiPriority w:val="0"/>
    <w:semiHidden/>
    <w:qFormat/>
    <w:pPr>
      <w:ind w:left="1260"/>
      <w:jc w:val="left"/>
    </w:pPr>
  </w:style>
  <w:style w:type="paragraph" w:styleId="996" w:customStyle="1">
    <w:name w:val="目录 41"/>
    <w:basedOn w:val="710"/>
    <w:next w:val="710"/>
    <w:uiPriority w:val="0"/>
    <w:semiHidden/>
    <w:qFormat/>
    <w:pPr>
      <w:ind w:left="630"/>
      <w:jc w:val="left"/>
    </w:pPr>
  </w:style>
  <w:style w:type="paragraph" w:styleId="997"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9" w:customStyle="1">
    <w:name w:val="Char"/>
    <w:basedOn w:val="710"/>
    <w:uiPriority w:val="0"/>
    <w:qFormat/>
    <w:pPr>
      <w:ind w:firstLine="200"/>
      <w:tabs>
        <w:tab w:val="left" w:pos="360" w:leader="none"/>
      </w:tabs>
    </w:pPr>
    <w:rPr>
      <w:sz w:val="28"/>
      <w:szCs w:val="30"/>
    </w:rPr>
  </w:style>
  <w:style w:type="paragraph" w:styleId="1000" w:customStyle="1">
    <w:name w:val="4"/>
    <w:basedOn w:val="710"/>
    <w:next w:val="958"/>
    <w:uiPriority w:val="0"/>
    <w:qFormat/>
    <w:pPr>
      <w:ind w:firstLine="420"/>
      <w:spacing w:line="360" w:lineRule="auto"/>
    </w:pPr>
    <w:rPr>
      <w:color w:val="ff0000"/>
      <w:sz w:val="24"/>
      <w:szCs w:val="24"/>
    </w:rPr>
  </w:style>
  <w:style w:type="paragraph" w:styleId="1001" w:customStyle="1">
    <w:name w:val=" Char Char Char Char Char Char Char Char Char Char"/>
    <w:basedOn w:val="710"/>
    <w:uiPriority w:val="0"/>
    <w:qFormat/>
    <w:pPr>
      <w:spacing w:line="360" w:lineRule="auto"/>
    </w:pPr>
    <w:rPr>
      <w:sz w:val="24"/>
      <w:szCs w:val="20"/>
    </w:rPr>
  </w:style>
  <w:style w:type="paragraph" w:styleId="1002" w:customStyle="1">
    <w:name w:val="样式1"/>
    <w:basedOn w:val="710"/>
    <w:uiPriority w:val="0"/>
    <w:qFormat/>
    <w:pPr>
      <w:numPr>
        <w:ilvl w:val="0"/>
        <w:numId w:val="3"/>
      </w:numPr>
    </w:pPr>
    <w:rPr>
      <w:rFonts w:ascii="宋体" w:hAnsi="宋体"/>
    </w:rPr>
  </w:style>
  <w:style w:type="paragraph" w:styleId="1003"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1004" w:customStyle="1">
    <w:name w:val="Char Char Char Char"/>
    <w:basedOn w:val="914"/>
    <w:uiPriority w:val="0"/>
    <w:qFormat/>
    <w:pPr>
      <w:spacing w:line="360" w:lineRule="auto"/>
    </w:pPr>
    <w:rPr>
      <w:rFonts w:ascii="Tahoma" w:hAnsi="Tahoma"/>
      <w:sz w:val="24"/>
      <w:szCs w:val="24"/>
    </w:rPr>
  </w:style>
  <w:style w:type="paragraph" w:styleId="1005" w:customStyle="1">
    <w:name w:val="table_1stline"/>
    <w:basedOn w:val="710"/>
    <w:uiPriority w:val="0"/>
    <w:qFormat/>
    <w:pPr>
      <w:jc w:val="left"/>
      <w:spacing w:before="120"/>
      <w:widowControl/>
    </w:pPr>
    <w:rPr>
      <w:bCs/>
      <w:sz w:val="20"/>
      <w:szCs w:val="20"/>
      <w:lang w:val="de-DE" w:eastAsia="de-DE"/>
    </w:rPr>
  </w:style>
  <w:style w:type="table" w:styleId="1006" w:customStyle="1">
    <w:name w:val="网格型1"/>
    <w:basedOn w:val="907"/>
    <w:uiPriority w:val="0"/>
    <w:qFormat/>
    <w:pPr>
      <w:jc w:val="both"/>
      <w:widowControl w:val="off"/>
    </w:pPr>
    <w:rPr>
      <w:rFonts w:ascii="Times New Roman" w:hAnsi="Times New Roman" w:eastAsia="宋体" w:cs="Times New Roman"/>
      <w:sz w:val="20"/>
      <w:szCs w:val="20"/>
    </w:rPr>
    <w:tbl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8</cp:revision>
  <dcterms:created xsi:type="dcterms:W3CDTF">2023-03-17T18:16:00Z</dcterms:created>
  <dcterms:modified xsi:type="dcterms:W3CDTF">2024-05-27T01:37:08Z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