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jc w:val="center"/>
        <w:spacing w:line="440" w:lineRule="exact"/>
        <w:rPr>
          <w:rFonts w:hint="eastAsia" w:asciiTheme="minorEastAsia" w:hAnsiTheme="minorEastAsia" w:eastAsiaTheme="minorEastAsia" w:cstheme="minorEastAsia"/>
          <w:b/>
          <w:bCs/>
          <w:sz w:val="72"/>
          <w:szCs w:val="72"/>
        </w:rPr>
      </w:pPr>
      <w:r>
        <w:rPr>
          <w:rFonts w:hint="eastAsia" w:asciiTheme="minorEastAsia" w:hAnsiTheme="minorEastAsia" w:eastAsiaTheme="minorEastAsia" w:cstheme="minorEastAsia"/>
          <w:b/>
          <w:bCs/>
          <w:sz w:val="72"/>
          <w:szCs w:val="72"/>
        </w:rPr>
      </w:r>
      <w:r/>
    </w:p>
    <w:p>
      <w:pPr>
        <w:pStyle w:val="1020"/>
        <w:jc w:val="center"/>
        <w:spacing w:line="440" w:lineRule="exact"/>
        <w:rPr>
          <w:rFonts w:hint="eastAsia" w:asciiTheme="minorEastAsia" w:hAnsiTheme="minorEastAsia" w:eastAsiaTheme="minorEastAsia" w:cstheme="minorEastAsia"/>
          <w:b/>
          <w:bCs/>
          <w:sz w:val="72"/>
          <w:szCs w:val="72"/>
        </w:rPr>
      </w:pPr>
      <w:r>
        <w:rPr>
          <w:rFonts w:hint="eastAsia" w:asciiTheme="minorEastAsia" w:hAnsiTheme="minorEastAsia" w:eastAsiaTheme="minorEastAsia" w:cstheme="minorEastAsia"/>
          <w:b/>
          <w:bCs/>
          <w:sz w:val="72"/>
          <w:szCs w:val="72"/>
        </w:rPr>
      </w:r>
      <w:r/>
    </w:p>
    <w:p>
      <w:pPr>
        <w:pStyle w:val="1020"/>
        <w:jc w:val="center"/>
        <w:spacing w:line="440" w:lineRule="exact"/>
        <w:rPr>
          <w:rFonts w:hint="eastAsia" w:asciiTheme="minorEastAsia" w:hAnsiTheme="minorEastAsia" w:eastAsiaTheme="minorEastAsia" w:cstheme="minorEastAsia"/>
          <w:b/>
          <w:bCs/>
          <w:sz w:val="72"/>
        </w:rPr>
      </w:pPr>
      <w:r>
        <w:rPr>
          <w:rFonts w:hint="eastAsia" w:asciiTheme="minorEastAsia" w:hAnsiTheme="minorEastAsia" w:eastAsiaTheme="minorEastAsia" w:cstheme="minorEastAsia"/>
          <w:b/>
          <w:bCs/>
          <w:sz w:val="72"/>
        </w:rPr>
      </w:r>
      <w:r/>
    </w:p>
    <w:p>
      <w:pPr>
        <w:pStyle w:val="1020"/>
        <w:jc w:val="center"/>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0"/>
        <w:jc w:val="center"/>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0"/>
        <w:jc w:val="both"/>
        <w:spacing w:beforeAutospacing="0" w:afterAutospacing="0"/>
        <w:rPr>
          <w:rFonts w:hint="eastAsia" w:asciiTheme="minorEastAsia" w:hAnsiTheme="minorEastAsia" w:eastAsiaTheme="minorEastAsia" w:cstheme="minorEastAsia"/>
          <w:b/>
          <w:bCs/>
          <w:sz w:val="96"/>
          <w:szCs w:val="96"/>
        </w:rPr>
      </w:pPr>
      <w:r>
        <w:rPr>
          <w:rFonts w:hint="eastAsia" w:asciiTheme="minorEastAsia" w:hAnsiTheme="minorEastAsia" w:eastAsiaTheme="minorEastAsia" w:cstheme="minorEastAsia"/>
          <w:b/>
          <w:bCs/>
          <w:sz w:val="96"/>
          <w:szCs w:val="96"/>
        </w:rPr>
        <w:t xml:space="preserve">    公开招标文件</w:t>
      </w:r>
      <w:r/>
    </w:p>
    <w:p>
      <w:pPr>
        <w:pStyle w:val="1020"/>
        <w:jc w:val="center"/>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20"/>
        <w:ind w:left="0" w:firstLine="0"/>
        <w:jc w:val="both"/>
        <w:keepLines w:val="0"/>
        <w:keepNext w:val="0"/>
        <w:pageBreakBefore w:val="0"/>
        <w:spacing w:line="360" w:lineRule="auto"/>
        <w:widowControl w:val="off"/>
        <w:rPr>
          <w:rFonts w:hint="eastAsia" w:asciiTheme="minorEastAsia" w:hAnsiTheme="minorEastAsia" w:eastAsiaTheme="minorEastAsia" w:cstheme="minorEastAsia"/>
          <w:b/>
          <w:bCs/>
          <w:sz w:val="36"/>
          <w:highlight w:val="none"/>
          <w:lang w:val="en-US" w:eastAsia="zh-CN"/>
        </w:rPr>
      </w:pPr>
      <w:r>
        <w:rPr>
          <w:rFonts w:hint="eastAsia" w:asciiTheme="minorEastAsia" w:hAnsiTheme="minorEastAsia" w:eastAsiaTheme="minorEastAsia" w:cstheme="minorEastAsia"/>
          <w:b/>
          <w:bCs/>
          <w:sz w:val="36"/>
          <w:highlight w:val="none"/>
        </w:rPr>
        <w:t xml:space="preserve">招标编号：JSZC-320116-JZCG-G2024-0011</w:t>
      </w:r>
      <w:r/>
    </w:p>
    <w:p>
      <w:pPr>
        <w:pStyle w:val="1020"/>
        <w:ind w:left="0" w:firstLine="0"/>
        <w:jc w:val="both"/>
        <w:keepLines w:val="0"/>
        <w:keepNext w:val="0"/>
        <w:pageBreakBefore w:val="0"/>
        <w:spacing w:line="360" w:lineRule="auto"/>
        <w:widowControl w:val="off"/>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bCs/>
          <w:sz w:val="36"/>
        </w:rPr>
        <w:t xml:space="preserve">项目名称：</w:t>
      </w:r>
      <w:r>
        <w:rPr>
          <w:rFonts w:hint="eastAsia" w:asciiTheme="minorEastAsia" w:hAnsiTheme="minorEastAsia" w:eastAsiaTheme="minorEastAsia" w:cstheme="minorEastAsia"/>
          <w:b/>
          <w:bCs/>
          <w:sz w:val="36"/>
          <w:lang w:eastAsia="zh-CN"/>
        </w:rPr>
        <w:t xml:space="preserve">南京市六合区沿河路166号办公区食堂食材采购及配送项目</w:t>
      </w:r>
      <w:r/>
    </w:p>
    <w:p>
      <w:pPr>
        <w:pStyle w:val="1020"/>
        <w:ind w:firstLine="602"/>
        <w:jc w:val="center"/>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w:t>
      </w:r>
      <w:r>
        <w:rPr>
          <w:rFonts w:hint="eastAsia" w:asciiTheme="minorEastAsia" w:hAnsiTheme="minorEastAsia" w:eastAsiaTheme="minorEastAsia" w:cstheme="minorEastAsia"/>
          <w:b/>
          <w:color w:val="auto"/>
          <w:sz w:val="30"/>
          <w:szCs w:val="30"/>
          <w:lang w:val="en-US" w:eastAsia="zh-CN"/>
        </w:rPr>
        <w:t xml:space="preserve">货</w:t>
      </w:r>
      <w:r>
        <w:rPr>
          <w:rFonts w:hint="eastAsia" w:asciiTheme="minorEastAsia" w:hAnsiTheme="minorEastAsia" w:eastAsiaTheme="minorEastAsia" w:cstheme="minorEastAsia"/>
          <w:b/>
          <w:color w:val="auto"/>
          <w:sz w:val="30"/>
          <w:szCs w:val="30"/>
          <w:highlight w:val="none"/>
          <w:lang w:val="en-US" w:eastAsia="zh-CN"/>
        </w:rPr>
        <w:t xml:space="preserve">物</w:t>
      </w:r>
      <w:r>
        <w:rPr>
          <w:rFonts w:hint="eastAsia" w:asciiTheme="minorEastAsia" w:hAnsiTheme="minorEastAsia" w:eastAsiaTheme="minorEastAsia" w:cstheme="minorEastAsia"/>
          <w:b/>
          <w:color w:val="auto"/>
          <w:sz w:val="30"/>
          <w:szCs w:val="30"/>
          <w:highlight w:val="none"/>
        </w:rPr>
        <w:t xml:space="preserve">类项目</w:t>
      </w:r>
      <w:r>
        <w:rPr>
          <w:rFonts w:hint="eastAsia" w:asciiTheme="minorEastAsia" w:hAnsiTheme="minorEastAsia" w:eastAsiaTheme="minorEastAsia" w:cstheme="minorEastAsia"/>
          <w:b/>
          <w:color w:val="auto"/>
          <w:sz w:val="30"/>
          <w:szCs w:val="30"/>
        </w:rPr>
        <w:t xml:space="preserve">，</w:t>
      </w:r>
      <w:r>
        <w:rPr>
          <w:rFonts w:hint="eastAsia" w:asciiTheme="minorEastAsia" w:hAnsiTheme="minorEastAsia" w:eastAsiaTheme="minorEastAsia" w:cstheme="minorEastAsia"/>
          <w:b/>
          <w:bCs/>
          <w:color w:val="auto"/>
          <w:sz w:val="30"/>
          <w:szCs w:val="30"/>
          <w:lang w:val="en-US" w:eastAsia="zh-CN"/>
        </w:rPr>
        <w:t xml:space="preserve">非专</w:t>
      </w:r>
      <w:r>
        <w:rPr>
          <w:rFonts w:hint="eastAsia" w:asciiTheme="minorEastAsia" w:hAnsiTheme="minorEastAsia" w:eastAsiaTheme="minorEastAsia" w:cstheme="minorEastAsia"/>
          <w:b/>
          <w:bCs/>
          <w:color w:val="auto"/>
          <w:sz w:val="30"/>
          <w:szCs w:val="30"/>
        </w:rPr>
        <w:t xml:space="preserve">门</w:t>
      </w:r>
      <w:r>
        <w:rPr>
          <w:rFonts w:hint="eastAsia" w:asciiTheme="minorEastAsia" w:hAnsiTheme="minorEastAsia" w:eastAsiaTheme="minorEastAsia" w:cstheme="minorEastAsia"/>
          <w:b/>
          <w:color w:val="auto"/>
          <w:sz w:val="30"/>
          <w:szCs w:val="30"/>
        </w:rPr>
        <w:t xml:space="preserve">面向中小企业）</w:t>
      </w:r>
      <w:r/>
    </w:p>
    <w:p>
      <w:pPr>
        <w:pStyle w:val="1020"/>
        <w:jc w:val="center"/>
        <w:keepLines w:val="0"/>
        <w:keepNext w:val="0"/>
        <w:pageBreakBefore w:val="0"/>
        <w:spacing w:line="360" w:lineRule="auto"/>
        <w:widowControl w:val="off"/>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52"/>
        </w:rPr>
      </w:r>
      <w:r/>
    </w:p>
    <w:p>
      <w:pPr>
        <w:pStyle w:val="1020"/>
        <w:jc w:val="center"/>
        <w:spacing w:line="440" w:lineRule="exact"/>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sz w:val="32"/>
        </w:rPr>
      </w:r>
      <w:r/>
    </w:p>
    <w:p>
      <w:pPr>
        <w:pStyle w:val="1020"/>
        <w:jc w:val="both"/>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33"/>
        <w:ind w:firstLine="56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0"/>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33"/>
        <w:ind w:firstLine="56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0"/>
        <w:jc w:val="center"/>
        <w:spacing w:line="440" w:lineRule="exact"/>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i w:val="0"/>
          <w:iCs w:val="0"/>
          <w:caps w:val="0"/>
          <w:smallCaps w:val="0"/>
          <w:color w:val="000000"/>
          <w:spacing w:val="0"/>
          <w:sz w:val="36"/>
          <w:szCs w:val="36"/>
        </w:rPr>
        <w:t xml:space="preserve">南京市公共资源交易中心六合分中心</w:t>
      </w:r>
      <w:r/>
    </w:p>
    <w:p>
      <w:pPr>
        <w:pStyle w:val="1020"/>
        <w:jc w:val="center"/>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0"/>
        <w:jc w:val="center"/>
        <w:spacing w:line="440" w:lineRule="exact"/>
        <w:rPr>
          <w:rFonts w:hint="eastAsia" w:asciiTheme="minorEastAsia" w:hAnsiTheme="minorEastAsia" w:eastAsiaTheme="minorEastAsia" w:cstheme="minorEastAsia"/>
          <w:b/>
          <w:bCs/>
          <w:sz w:val="32"/>
        </w:rPr>
        <w:sectPr>
          <w:footerReference w:type="default" r:id="rId14"/>
          <w:footnotePr/>
          <w:endnotePr/>
          <w:type w:val="nextPage"/>
          <w:pgSz w:w="11906" w:h="16838" w:orient="portrait"/>
          <w:pgMar w:top="1440" w:right="1083" w:bottom="1440" w:left="1083" w:header="851" w:footer="992" w:gutter="0"/>
          <w:pgNumType w:start="1"/>
          <w:cols w:num="1" w:sep="0" w:space="720" w:equalWidth="1"/>
          <w:docGrid w:linePitch="360"/>
        </w:sectPr>
      </w:pPr>
      <w:r>
        <w:rPr>
          <w:rFonts w:hint="eastAsia" w:asciiTheme="minorEastAsia" w:hAnsiTheme="minorEastAsia" w:eastAsiaTheme="minorEastAsia" w:cstheme="minorEastAsia"/>
          <w:b/>
          <w:bCs/>
          <w:sz w:val="36"/>
          <w:szCs w:val="36"/>
          <w:lang w:val="en-US" w:eastAsia="zh-CN"/>
        </w:rPr>
        <w:t xml:space="preserve">2024</w:t>
      </w:r>
      <w:r>
        <w:rPr>
          <w:rFonts w:hint="eastAsia" w:asciiTheme="minorEastAsia" w:hAnsiTheme="minorEastAsia" w:eastAsiaTheme="minorEastAsia" w:cstheme="minorEastAsia"/>
          <w:b/>
          <w:bCs/>
          <w:sz w:val="36"/>
          <w:szCs w:val="36"/>
          <w:lang w:val="zh-CN"/>
        </w:rPr>
        <w:t xml:space="preserve">年</w:t>
      </w:r>
      <w:r>
        <w:rPr>
          <w:rFonts w:hint="eastAsia" w:asciiTheme="minorEastAsia" w:hAnsiTheme="minorEastAsia" w:eastAsiaTheme="minorEastAsia" w:cstheme="minorEastAsia"/>
          <w:b/>
          <w:bCs/>
          <w:sz w:val="36"/>
          <w:szCs w:val="36"/>
          <w:lang w:val="en-US" w:eastAsia="zh-CN"/>
        </w:rPr>
        <w:t xml:space="preserve">04</w:t>
      </w:r>
      <w:r>
        <w:rPr>
          <w:rFonts w:hint="eastAsia" w:asciiTheme="minorEastAsia" w:hAnsiTheme="minorEastAsia" w:eastAsiaTheme="minorEastAsia" w:cstheme="minorEastAsia"/>
          <w:b/>
          <w:bCs/>
          <w:sz w:val="36"/>
          <w:szCs w:val="36"/>
          <w:lang w:val="zh-CN"/>
        </w:rPr>
        <w:t xml:space="preserve">月</w:t>
      </w:r>
      <w:bookmarkStart w:id="153" w:name="_GoBack"/>
      <w:r/>
      <w:bookmarkEnd w:id="153"/>
      <w:r/>
      <w:r/>
    </w:p>
    <w:p>
      <w:pPr>
        <w:jc w:val="center"/>
        <w:rPr>
          <w:rFonts w:hint="eastAsia" w:asciiTheme="minorEastAsia" w:hAnsiTheme="minorEastAsia" w:eastAsiaTheme="minorEastAsia" w:cstheme="minorEastAsia"/>
          <w:b/>
          <w:bCs/>
          <w:sz w:val="32"/>
          <w:szCs w:val="32"/>
        </w:rPr>
      </w:pPr>
      <w:r/>
      <w:bookmarkStart w:id="0" w:name="_Toc24142"/>
      <w:r>
        <w:rPr>
          <w:rFonts w:hint="eastAsia" w:asciiTheme="minorEastAsia" w:hAnsiTheme="minorEastAsia" w:eastAsiaTheme="minorEastAsia" w:cstheme="minorEastAsia"/>
          <w:b/>
          <w:bCs/>
          <w:sz w:val="32"/>
          <w:szCs w:val="32"/>
        </w:rPr>
        <w:t xml:space="preserve">第一章招标公告</w:t>
      </w:r>
      <w:bookmarkEnd w:id="0"/>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受</w:t>
      </w:r>
      <w:r>
        <w:rPr>
          <w:rFonts w:hint="eastAsia" w:asciiTheme="minorEastAsia" w:hAnsiTheme="minorEastAsia" w:eastAsiaTheme="minorEastAsia" w:cstheme="minorEastAsia"/>
          <w:sz w:val="24"/>
          <w:szCs w:val="24"/>
          <w:u w:val="single"/>
          <w:lang w:eastAsia="zh-CN"/>
        </w:rPr>
        <w:t xml:space="preserve">南京市六合区机关事务管理中心</w:t>
      </w:r>
      <w:r>
        <w:rPr>
          <w:rFonts w:hint="eastAsia" w:asciiTheme="minorEastAsia" w:hAnsiTheme="minorEastAsia" w:eastAsiaTheme="minorEastAsia" w:cstheme="minorEastAsia"/>
          <w:sz w:val="24"/>
          <w:szCs w:val="24"/>
          <w:lang w:eastAsia="zh-CN"/>
        </w:rPr>
        <w:t xml:space="preserve">的委托，南京市公共资源交易中心六合分中心就</w:t>
      </w:r>
      <w:r>
        <w:rPr>
          <w:rFonts w:hint="eastAsia" w:asciiTheme="minorEastAsia" w:hAnsiTheme="minorEastAsia" w:eastAsiaTheme="minorEastAsia" w:cstheme="minorEastAsia"/>
          <w:sz w:val="24"/>
          <w:szCs w:val="24"/>
          <w:u w:val="single"/>
          <w:lang w:eastAsia="zh-CN"/>
        </w:rPr>
        <w:t xml:space="preserve">南京市六合区沿河路166号办公区食堂食材采购及配送项目</w:t>
      </w:r>
      <w:r>
        <w:rPr>
          <w:rFonts w:hint="eastAsia" w:asciiTheme="minorEastAsia" w:hAnsiTheme="minorEastAsia" w:eastAsiaTheme="minorEastAsia" w:cstheme="minorEastAsia"/>
          <w:sz w:val="24"/>
          <w:szCs w:val="24"/>
          <w:u w:val="none"/>
          <w:lang w:eastAsia="zh-CN"/>
        </w:rPr>
        <w:t xml:space="preserve">进</w:t>
      </w:r>
      <w:r>
        <w:rPr>
          <w:rFonts w:hint="eastAsia" w:asciiTheme="minorEastAsia" w:hAnsiTheme="minorEastAsia" w:eastAsiaTheme="minorEastAsia" w:cstheme="minorEastAsia"/>
          <w:sz w:val="24"/>
          <w:szCs w:val="24"/>
          <w:lang w:eastAsia="zh-CN"/>
        </w:rPr>
        <w:t xml:space="preserve">行公开招标采购，欢迎符合条件的供应商投标。</w:t>
      </w:r>
      <w:r/>
    </w:p>
    <w:p>
      <w:pPr>
        <w:pStyle w:val="1020"/>
        <w:spacing w:line="360" w:lineRule="auto"/>
        <w:rPr>
          <w:rFonts w:hint="eastAsia" w:asciiTheme="minorEastAsia" w:hAnsiTheme="minorEastAsia" w:eastAsiaTheme="minorEastAsia" w:cstheme="minorEastAsia"/>
          <w:color w:val="auto"/>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24"/>
          <w:szCs w:val="24"/>
        </w:rPr>
        <w:t xml:space="preserve">项目概况</w:t>
      </w:r>
      <w:r/>
    </w:p>
    <w:p>
      <w:pPr>
        <w:pStyle w:val="1020"/>
        <w:spacing w:line="360" w:lineRule="auto"/>
        <w:rPr>
          <w:rFonts w:hint="eastAsia" w:asciiTheme="minorEastAsia" w:hAnsiTheme="minorEastAsia" w:eastAsiaTheme="minorEastAsia" w:cstheme="minorEastAsia"/>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u w:val="single"/>
          <w:lang w:eastAsia="zh-CN"/>
        </w:rPr>
        <w:t xml:space="preserve">南京市六合区沿河路166号办公区食堂食材采购及配送项目</w:t>
      </w:r>
      <w:r>
        <w:rPr>
          <w:rFonts w:hint="eastAsia" w:asciiTheme="minorEastAsia" w:hAnsiTheme="minorEastAsia" w:eastAsiaTheme="minorEastAsia" w:cstheme="minorEastAsia"/>
          <w:color w:val="auto"/>
          <w:sz w:val="24"/>
          <w:szCs w:val="24"/>
        </w:rPr>
        <w:t xml:space="preserve">的潜在供应商可在</w:t>
      </w:r>
      <w:r>
        <w:rPr>
          <w:rFonts w:hint="eastAsia" w:asciiTheme="minorEastAsia" w:hAnsiTheme="minorEastAsia" w:eastAsiaTheme="minorEastAsia" w:cstheme="minorEastAsia"/>
          <w:color w:val="auto"/>
          <w:sz w:val="24"/>
          <w:szCs w:val="24"/>
          <w:u w:val="single"/>
        </w:rPr>
        <w:t xml:space="preserve">“江苏政府采购网”自行免费下载</w:t>
      </w:r>
      <w:r>
        <w:rPr>
          <w:rFonts w:hint="eastAsia" w:asciiTheme="minorEastAsia" w:hAnsiTheme="minorEastAsia" w:eastAsiaTheme="minorEastAsia" w:cstheme="minorEastAsia"/>
          <w:color w:val="auto"/>
          <w:sz w:val="24"/>
          <w:szCs w:val="24"/>
        </w:rPr>
        <w:t xml:space="preserve">招标文件，并于</w:t>
      </w:r>
      <w:r>
        <w:rPr>
          <w:rFonts w:hint="eastAsia" w:asciiTheme="minorEastAsia" w:hAnsiTheme="minorEastAsia" w:eastAsiaTheme="minorEastAsia" w:cstheme="minorEastAsia"/>
          <w:bCs/>
          <w:color w:val="auto"/>
          <w:sz w:val="24"/>
          <w:szCs w:val="24"/>
          <w:u w:val="single"/>
        </w:rPr>
        <w:t xml:space="preserve"> 2024年0</w:t>
      </w:r>
      <w:r>
        <w:rPr>
          <w:rFonts w:hint="eastAsia" w:asciiTheme="minorEastAsia" w:hAnsiTheme="minorEastAsia" w:eastAsiaTheme="minorEastAsia" w:cstheme="minorEastAsia"/>
          <w:bCs/>
          <w:color w:val="auto"/>
          <w:sz w:val="24"/>
          <w:szCs w:val="24"/>
          <w:u w:val="single"/>
          <w:lang w:val="en-US" w:eastAsia="zh-CN"/>
        </w:rPr>
        <w:t xml:space="preserve">5</w:t>
      </w:r>
      <w:r>
        <w:rPr>
          <w:rFonts w:hint="eastAsia" w:asciiTheme="minorEastAsia" w:hAnsiTheme="minorEastAsia" w:eastAsiaTheme="minorEastAsia" w:cstheme="minorEastAsia"/>
          <w:bCs/>
          <w:color w:val="auto"/>
          <w:sz w:val="24"/>
          <w:szCs w:val="24"/>
          <w:u w:val="single"/>
        </w:rPr>
        <w:t xml:space="preserve">月</w:t>
      </w:r>
      <w:r>
        <w:rPr>
          <w:rFonts w:hint="eastAsia" w:asciiTheme="minorEastAsia" w:hAnsiTheme="minorEastAsia" w:eastAsiaTheme="minorEastAsia" w:cstheme="minorEastAsia"/>
          <w:bCs/>
          <w:color w:val="auto"/>
          <w:sz w:val="24"/>
          <w:szCs w:val="24"/>
          <w:u w:val="single"/>
          <w:lang w:val="en-US" w:eastAsia="zh-CN"/>
        </w:rPr>
        <w:t xml:space="preserve">11</w:t>
      </w:r>
      <w:r>
        <w:rPr>
          <w:rFonts w:hint="eastAsia" w:asciiTheme="minorEastAsia" w:hAnsiTheme="minorEastAsia" w:eastAsiaTheme="minorEastAsia" w:cstheme="minorEastAsia"/>
          <w:bCs/>
          <w:color w:val="auto"/>
          <w:sz w:val="24"/>
          <w:szCs w:val="24"/>
          <w:u w:val="single"/>
        </w:rPr>
        <w:t xml:space="preserve">日</w:t>
      </w:r>
      <w:r>
        <w:rPr>
          <w:rFonts w:hint="eastAsia" w:asciiTheme="minorEastAsia" w:hAnsiTheme="minorEastAsia" w:eastAsiaTheme="minorEastAsia" w:cstheme="minorEastAsia"/>
          <w:bCs/>
          <w:color w:val="auto"/>
          <w:sz w:val="24"/>
          <w:szCs w:val="24"/>
          <w:u w:val="single"/>
          <w:lang w:val="en-US" w:eastAsia="zh-CN"/>
        </w:rPr>
        <w:t xml:space="preserve">09</w:t>
      </w:r>
      <w:r>
        <w:rPr>
          <w:rFonts w:hint="eastAsia" w:asciiTheme="minorEastAsia" w:hAnsiTheme="minorEastAsia" w:eastAsiaTheme="minorEastAsia" w:cstheme="minorEastAsia"/>
          <w:bCs/>
          <w:color w:val="auto"/>
          <w:sz w:val="24"/>
          <w:szCs w:val="24"/>
          <w:u w:val="single"/>
        </w:rPr>
        <w:t xml:space="preserve">点</w:t>
      </w:r>
      <w:r>
        <w:rPr>
          <w:rFonts w:hint="eastAsia" w:asciiTheme="minorEastAsia" w:hAnsiTheme="minorEastAsia" w:eastAsiaTheme="minorEastAsia" w:cstheme="minorEastAsia"/>
          <w:bCs/>
          <w:color w:val="auto"/>
          <w:sz w:val="24"/>
          <w:szCs w:val="24"/>
          <w:u w:val="single"/>
          <w:lang w:val="en-US" w:eastAsia="zh-CN"/>
        </w:rPr>
        <w:t xml:space="preserve">0</w:t>
      </w:r>
      <w:r>
        <w:rPr>
          <w:rFonts w:hint="eastAsia" w:asciiTheme="minorEastAsia" w:hAnsiTheme="minorEastAsia" w:eastAsiaTheme="minorEastAsia" w:cstheme="minorEastAsia"/>
          <w:bCs/>
          <w:color w:val="auto"/>
          <w:sz w:val="24"/>
          <w:szCs w:val="24"/>
          <w:u w:val="single"/>
        </w:rPr>
        <w:t xml:space="preserve">0分（北京时</w:t>
      </w:r>
      <w:r>
        <w:rPr>
          <w:rFonts w:hint="eastAsia" w:asciiTheme="minorEastAsia" w:hAnsiTheme="minorEastAsia" w:eastAsiaTheme="minorEastAsia" w:cstheme="minorEastAsia"/>
          <w:bCs/>
          <w:color w:val="auto"/>
          <w:sz w:val="24"/>
          <w:szCs w:val="24"/>
        </w:rPr>
        <w:t xml:space="preserve">间）前递交投标文件</w:t>
      </w:r>
      <w:r>
        <w:rPr>
          <w:rFonts w:hint="eastAsia" w:asciiTheme="minorEastAsia" w:hAnsiTheme="minorEastAsia" w:eastAsiaTheme="minorEastAsia" w:cstheme="minorEastAsia"/>
          <w:color w:val="auto"/>
          <w:sz w:val="24"/>
          <w:szCs w:val="24"/>
        </w:rPr>
        <w:t xml:space="preserve">。</w:t>
      </w:r>
      <w:r/>
    </w:p>
    <w:p>
      <w:pPr>
        <w:pStyle w:val="1020"/>
        <w:numPr>
          <w:ilvl w:val="0"/>
          <w:numId w:val="0"/>
        </w:numPr>
        <w:rPr>
          <w:rFonts w:hint="eastAsia" w:asciiTheme="minorEastAsia" w:hAnsiTheme="minorEastAsia" w:eastAsiaTheme="minorEastAsia" w:cstheme="minorEastAsia"/>
          <w:b/>
          <w:bCs/>
          <w:sz w:val="24"/>
          <w:szCs w:val="24"/>
        </w:rPr>
        <w:outlineLvl w:val="1"/>
      </w:pPr>
      <w:r/>
      <w:bookmarkStart w:id="1" w:name="_Toc28359002"/>
      <w:r/>
      <w:bookmarkStart w:id="2" w:name="_Toc28359079"/>
      <w:r/>
      <w:bookmarkStart w:id="3" w:name="_Toc35393790"/>
      <w:r/>
      <w:bookmarkStart w:id="4" w:name="_Toc35393621"/>
      <w:r>
        <w:rPr>
          <w:rFonts w:hint="eastAsia" w:asciiTheme="minorEastAsia" w:hAnsiTheme="minorEastAsia" w:eastAsiaTheme="minorEastAsia" w:cstheme="minorEastAsia"/>
          <w:b/>
          <w:bCs/>
          <w:sz w:val="24"/>
          <w:szCs w:val="24"/>
        </w:rPr>
        <w:t xml:space="preserve">一、项目基本情况</w:t>
      </w:r>
      <w:bookmarkEnd w:id="1"/>
      <w:r/>
      <w:bookmarkEnd w:id="2"/>
      <w:r/>
      <w:bookmarkEnd w:id="3"/>
      <w:r/>
      <w:bookmarkEnd w:id="4"/>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1.1项目编号（招标编号）：JSZC-320116-JZCG-G2024-0011</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1.2项目名称：</w:t>
      </w:r>
      <w:r>
        <w:rPr>
          <w:rFonts w:hint="eastAsia" w:asciiTheme="minorEastAsia" w:hAnsiTheme="minorEastAsia" w:eastAsiaTheme="minorEastAsia" w:cstheme="minorEastAsia"/>
          <w:sz w:val="24"/>
          <w:szCs w:val="24"/>
          <w:lang w:eastAsia="zh-CN"/>
        </w:rPr>
        <w:t xml:space="preserve">南京市六合区沿河路166号办公区食堂食材采购及配送项目</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1.3预算金额：</w:t>
      </w:r>
      <w:r>
        <w:rPr>
          <w:rFonts w:hint="eastAsia" w:asciiTheme="minorEastAsia" w:hAnsiTheme="minorEastAsia" w:eastAsiaTheme="minorEastAsia" w:cstheme="minorEastAsia"/>
          <w:sz w:val="24"/>
          <w:szCs w:val="24"/>
          <w:lang w:val="en-US" w:eastAsia="zh-CN"/>
        </w:rPr>
        <w:t xml:space="preserve">45.5</w:t>
      </w:r>
      <w:r>
        <w:rPr>
          <w:rFonts w:hint="eastAsia" w:asciiTheme="minorEastAsia" w:hAnsiTheme="minorEastAsia" w:eastAsiaTheme="minorEastAsia" w:cstheme="minorEastAsia"/>
          <w:sz w:val="24"/>
          <w:szCs w:val="24"/>
        </w:rPr>
        <w:t xml:space="preserve">万元/年</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1.4最高限价：本标段采用优惠率报价，不得报负数。合同价以查询价格的基数*(1-优惠率)，具体查询价格基数详见招标文件</w:t>
      </w:r>
      <w:r>
        <w:rPr>
          <w:rFonts w:hint="eastAsia" w:asciiTheme="minorEastAsia" w:hAnsiTheme="minorEastAsia" w:eastAsiaTheme="minorEastAsia" w:cstheme="minorEastAsia"/>
          <w:sz w:val="24"/>
          <w:szCs w:val="24"/>
          <w:lang w:eastAsia="zh-CN"/>
        </w:rPr>
        <w:t xml:space="preserve">。</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采购需求：</w:t>
      </w:r>
      <w:r>
        <w:rPr>
          <w:rFonts w:hint="eastAsia" w:asciiTheme="minorEastAsia" w:hAnsiTheme="minorEastAsia" w:eastAsiaTheme="minorEastAsia" w:cstheme="minorEastAsia"/>
          <w:sz w:val="24"/>
          <w:szCs w:val="24"/>
          <w:lang w:eastAsia="zh-CN"/>
        </w:rPr>
        <w:t xml:space="preserve">南京市六合区沿河路166号办公区食堂食材采购及配送项目（详细内容见本招标文件第四章）</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服务期限：合同签订之日起一年。合同期内若出现</w:t>
      </w:r>
      <w:r>
        <w:rPr>
          <w:rFonts w:hint="eastAsia" w:asciiTheme="minorEastAsia" w:hAnsiTheme="minorEastAsia" w:eastAsiaTheme="minorEastAsia" w:cstheme="minorEastAsia"/>
          <w:sz w:val="24"/>
          <w:szCs w:val="24"/>
          <w:lang w:val="en-US" w:eastAsia="zh-CN"/>
        </w:rPr>
        <w:t xml:space="preserve">季</w:t>
      </w:r>
      <w:r>
        <w:rPr>
          <w:rFonts w:hint="eastAsia" w:asciiTheme="minorEastAsia" w:hAnsiTheme="minorEastAsia" w:eastAsiaTheme="minorEastAsia" w:cstheme="minorEastAsia"/>
          <w:sz w:val="24"/>
          <w:szCs w:val="24"/>
        </w:rPr>
        <w:t xml:space="preserve">度考核</w:t>
      </w:r>
      <w:r>
        <w:rPr>
          <w:rFonts w:hint="eastAsia" w:asciiTheme="minorEastAsia" w:hAnsiTheme="minorEastAsia" w:eastAsiaTheme="minorEastAsia" w:cstheme="minorEastAsia"/>
          <w:sz w:val="24"/>
          <w:szCs w:val="24"/>
          <w:lang w:val="en-US" w:eastAsia="zh-CN"/>
        </w:rPr>
        <w:t xml:space="preserve">低于60分（不含60分）</w:t>
      </w:r>
      <w:r>
        <w:rPr>
          <w:rFonts w:hint="eastAsia" w:asciiTheme="minorEastAsia" w:hAnsiTheme="minorEastAsia" w:eastAsiaTheme="minorEastAsia" w:cstheme="minorEastAsia"/>
          <w:sz w:val="24"/>
          <w:szCs w:val="24"/>
        </w:rPr>
        <w:t xml:space="preserve">，招标人可依据考核办法终止合同</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合同期满后，招标人根据</w:t>
      </w:r>
      <w:r>
        <w:rPr>
          <w:rFonts w:hint="eastAsia" w:asciiTheme="minorEastAsia" w:hAnsiTheme="minorEastAsia" w:eastAsiaTheme="minorEastAsia" w:cstheme="minorEastAsia"/>
          <w:sz w:val="24"/>
          <w:szCs w:val="24"/>
          <w:lang w:val="en-US" w:eastAsia="zh-CN"/>
        </w:rPr>
        <w:t xml:space="preserve">季</w:t>
      </w:r>
      <w:r>
        <w:rPr>
          <w:rFonts w:hint="eastAsia" w:asciiTheme="minorEastAsia" w:hAnsiTheme="minorEastAsia" w:eastAsiaTheme="minorEastAsia" w:cstheme="minorEastAsia"/>
          <w:sz w:val="24"/>
          <w:szCs w:val="24"/>
        </w:rPr>
        <w:t xml:space="preserve">度考核</w:t>
      </w:r>
      <w:r>
        <w:rPr>
          <w:rFonts w:hint="eastAsia" w:asciiTheme="minorEastAsia" w:hAnsiTheme="minorEastAsia" w:eastAsiaTheme="minorEastAsia" w:cstheme="minorEastAsia"/>
          <w:sz w:val="24"/>
          <w:szCs w:val="24"/>
          <w:lang w:val="en-US" w:eastAsia="zh-CN"/>
        </w:rPr>
        <w:t xml:space="preserve">平均</w:t>
      </w:r>
      <w:r>
        <w:rPr>
          <w:rFonts w:hint="eastAsia" w:asciiTheme="minorEastAsia" w:hAnsiTheme="minorEastAsia" w:eastAsiaTheme="minorEastAsia" w:cstheme="minorEastAsia"/>
          <w:sz w:val="24"/>
          <w:szCs w:val="24"/>
        </w:rPr>
        <w:t xml:space="preserve">结</w:t>
      </w:r>
      <w:r>
        <w:rPr>
          <w:rFonts w:hint="eastAsia" w:asciiTheme="minorEastAsia" w:hAnsiTheme="minorEastAsia" w:eastAsiaTheme="minorEastAsia" w:cstheme="minorEastAsia"/>
          <w:sz w:val="24"/>
          <w:szCs w:val="24"/>
          <w:highlight w:val="none"/>
        </w:rPr>
        <w:t xml:space="preserve">果</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90分以上（含90分）可</w:t>
      </w:r>
      <w:r>
        <w:rPr>
          <w:rFonts w:hint="eastAsia" w:asciiTheme="minorEastAsia" w:hAnsiTheme="minorEastAsia" w:eastAsiaTheme="minorEastAsia" w:cstheme="minorEastAsia"/>
          <w:sz w:val="24"/>
          <w:szCs w:val="24"/>
          <w:highlight w:val="none"/>
        </w:rPr>
        <w:t xml:space="preserve">续签第二年合同，</w:t>
      </w:r>
      <w:r>
        <w:rPr>
          <w:rFonts w:hint="eastAsia" w:asciiTheme="minorEastAsia" w:hAnsiTheme="minorEastAsia" w:eastAsiaTheme="minorEastAsia" w:cstheme="minorEastAsia"/>
          <w:sz w:val="24"/>
          <w:szCs w:val="24"/>
          <w:highlight w:val="none"/>
          <w:lang w:val="en-US" w:eastAsia="zh-CN"/>
        </w:rPr>
        <w:t xml:space="preserve">最多续签2年。</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本项目不接受进口产品投标。</w:t>
      </w:r>
      <w:r/>
    </w:p>
    <w:p>
      <w:pPr>
        <w:pStyle w:val="1020"/>
        <w:numPr>
          <w:ilvl w:val="0"/>
          <w:numId w:val="0"/>
        </w:numPr>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二、申请人的资格要求：</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（一）通用资格要求</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1.满足《中华人民共和国政府采购法》第二十二条规定，并提供下列材料：</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供应商信用承诺函（格式见第六章投标文件格式）。</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1.2法律、行政法规规定的其他条件：无。</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落实政府采购政策需满足的资格要求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rPr>
        <w:t xml:space="preserve">本项目不专门面向中小微企业</w:t>
      </w:r>
      <w:r>
        <w:rPr>
          <w:rFonts w:hint="eastAsia" w:asciiTheme="minorEastAsia" w:hAnsiTheme="minorEastAsia" w:eastAsiaTheme="minorEastAsia" w:cstheme="minorEastAsia"/>
          <w:sz w:val="24"/>
          <w:szCs w:val="24"/>
          <w:highlight w:val="none"/>
          <w:lang w:eastAsia="zh-CN"/>
        </w:rPr>
        <w:t xml:space="preserve">采购</w:t>
      </w:r>
      <w:r>
        <w:rPr>
          <w:rFonts w:hint="eastAsia" w:asciiTheme="minorEastAsia" w:hAnsiTheme="minorEastAsia" w:eastAsiaTheme="minorEastAsia" w:cstheme="minorEastAsia"/>
          <w:sz w:val="24"/>
          <w:szCs w:val="24"/>
          <w:highlight w:val="none"/>
        </w:rPr>
        <w:t xml:space="preserve">，执行价格扣除优惠政策，</w:t>
      </w:r>
      <w:r>
        <w:rPr>
          <w:rFonts w:hint="eastAsia" w:asciiTheme="minorEastAsia" w:hAnsiTheme="minorEastAsia" w:eastAsiaTheme="minorEastAsia" w:cstheme="minorEastAsia"/>
          <w:b/>
          <w:bCs/>
          <w:sz w:val="24"/>
          <w:szCs w:val="24"/>
          <w:highlight w:val="none"/>
          <w:lang w:val="zh-CN"/>
        </w:rPr>
        <w:t xml:space="preserve">本项目全部货物制造商为小微企业</w:t>
      </w:r>
      <w:r>
        <w:rPr>
          <w:rFonts w:hint="eastAsia" w:asciiTheme="minorEastAsia" w:hAnsiTheme="minorEastAsia" w:eastAsiaTheme="minorEastAsia" w:cstheme="minorEastAsia"/>
          <w:b/>
          <w:bCs/>
          <w:sz w:val="24"/>
          <w:szCs w:val="24"/>
          <w:highlight w:val="none"/>
          <w:lang w:val="zh-CN" w:eastAsia="zh-CN"/>
        </w:rPr>
        <w:t xml:space="preserve">的，</w:t>
      </w:r>
      <w:r>
        <w:rPr>
          <w:rFonts w:hint="eastAsia" w:asciiTheme="minorEastAsia" w:hAnsiTheme="minorEastAsia" w:eastAsiaTheme="minorEastAsia" w:cstheme="minorEastAsia"/>
          <w:b/>
          <w:bCs/>
          <w:sz w:val="24"/>
          <w:szCs w:val="24"/>
          <w:highlight w:val="none"/>
        </w:rPr>
        <w:t xml:space="preserve">对报价给予</w:t>
      </w:r>
      <w:r>
        <w:rPr>
          <w:rFonts w:hint="eastAsia" w:asciiTheme="minorEastAsia" w:hAnsiTheme="minorEastAsia" w:eastAsiaTheme="minorEastAsia" w:cstheme="minorEastAsia"/>
          <w:b/>
          <w:bCs/>
          <w:sz w:val="24"/>
          <w:szCs w:val="24"/>
          <w:highlight w:val="none"/>
          <w:u w:val="single"/>
          <w:lang w:val="en-US" w:eastAsia="zh-CN"/>
        </w:rPr>
        <w:t xml:space="preserve"> 20 %</w:t>
      </w:r>
      <w:r>
        <w:rPr>
          <w:rFonts w:hint="eastAsia" w:asciiTheme="minorEastAsia" w:hAnsiTheme="minorEastAsia" w:eastAsiaTheme="minorEastAsia" w:cstheme="minorEastAsia"/>
          <w:b/>
          <w:bCs/>
          <w:sz w:val="24"/>
          <w:szCs w:val="24"/>
          <w:highlight w:val="none"/>
        </w:rPr>
        <w:t xml:space="preserve">的扣除。</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lang w:val="en-US" w:eastAsia="zh-CN"/>
        </w:rPr>
        <w:t xml:space="preserve">中</w:t>
      </w:r>
      <w:r>
        <w:rPr>
          <w:rFonts w:hint="eastAsia" w:asciiTheme="minorEastAsia" w:hAnsiTheme="minorEastAsia" w:eastAsiaTheme="minorEastAsia" w:cstheme="minorEastAsia"/>
          <w:sz w:val="24"/>
          <w:szCs w:val="24"/>
          <w:highlight w:val="none"/>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本项目采购标的对应的中小企业划分标准所属行业为</w:t>
      </w:r>
      <w:r>
        <w:rPr>
          <w:rFonts w:hint="eastAsia" w:asciiTheme="minorEastAsia" w:hAnsiTheme="minorEastAsia" w:eastAsiaTheme="minorEastAsia" w:cstheme="minorEastAsia"/>
          <w:sz w:val="24"/>
          <w:szCs w:val="24"/>
          <w:highlight w:val="none"/>
          <w:lang w:val="zh-CN"/>
        </w:rPr>
        <w:t xml:space="preserve">：</w:t>
      </w:r>
      <w:r>
        <w:rPr>
          <w:rFonts w:hint="eastAsia" w:asciiTheme="minorEastAsia" w:hAnsiTheme="minorEastAsia" w:eastAsiaTheme="minorEastAsia" w:cstheme="minorEastAsia"/>
          <w:sz w:val="24"/>
          <w:szCs w:val="24"/>
          <w:highlight w:val="none"/>
          <w:lang w:val="en-US" w:eastAsia="zh-CN"/>
        </w:rPr>
        <w:t xml:space="preserve">批发业</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3.本项目不接受联合体投标。</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（二）本项目的特定资格要求：投标人具有有效期内的《食品生产许可证》或《食品经营许可证》</w:t>
      </w:r>
      <w:r>
        <w:rPr>
          <w:rFonts w:hint="eastAsia" w:asciiTheme="minorEastAsia" w:hAnsiTheme="minorEastAsia" w:eastAsiaTheme="minorEastAsia" w:cstheme="minorEastAsia"/>
          <w:sz w:val="24"/>
          <w:szCs w:val="24"/>
          <w:lang w:val="en-US" w:eastAsia="zh-CN"/>
        </w:rPr>
        <w:t xml:space="preserve">及承运人的《道路运输许可证》。</w:t>
      </w:r>
      <w:r>
        <w:rPr>
          <w:rFonts w:hint="eastAsia" w:asciiTheme="minorEastAsia" w:hAnsiTheme="minorEastAsia" w:eastAsiaTheme="minorEastAsia" w:cstheme="minorEastAsia"/>
          <w:sz w:val="24"/>
          <w:szCs w:val="24"/>
          <w:lang w:val="zh-CN" w:eastAsia="zh-CN"/>
        </w:rPr>
        <w:t xml:space="preserve">（</w:t>
      </w:r>
      <w:r>
        <w:rPr>
          <w:rFonts w:hint="eastAsia" w:asciiTheme="minorEastAsia" w:hAnsiTheme="minorEastAsia" w:eastAsiaTheme="minorEastAsia" w:cstheme="minorEastAsia"/>
          <w:sz w:val="24"/>
          <w:szCs w:val="24"/>
          <w:lang w:val="en-US" w:eastAsia="zh-CN"/>
        </w:rPr>
        <w:t xml:space="preserve">提供相关证明材料</w:t>
      </w:r>
      <w:r>
        <w:rPr>
          <w:rFonts w:hint="eastAsia" w:asciiTheme="minorEastAsia" w:hAnsiTheme="minorEastAsia" w:eastAsiaTheme="minorEastAsia" w:cstheme="minorEastAsia"/>
          <w:sz w:val="24"/>
          <w:szCs w:val="24"/>
          <w:lang w:val="zh-CN" w:eastAsia="zh-CN"/>
        </w:rPr>
        <w:t xml:space="preserve">）。</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（三）拒绝下述供应商参加本次采购活动</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1.单位负责人为同一人或者存在直接控股、管理关系的不同供应商，不得参加同一合同项下的政府采购活动。</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2.为采购项目提供整体设计、规范编制或者项目管理、监理、检测等服务的供应商，不得参加本项目的采购活动。</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3.供应商被“信用中国”网站（www.creditchina.gov.cn）、“中国政府采购网”</w:t>
      </w:r>
      <w:r>
        <w:rPr>
          <w:rFonts w:hint="eastAsia" w:asciiTheme="minorEastAsia" w:hAnsiTheme="minorEastAsia" w:eastAsiaTheme="minorEastAsia" w:cstheme="minorEastAsia"/>
          <w:sz w:val="24"/>
          <w:szCs w:val="24"/>
          <w:lang w:val="zh-CN" w:eastAsia="zh-CN"/>
        </w:rPr>
        <w:t xml:space="preserve">（</w:t>
      </w:r>
      <w:r>
        <w:rPr>
          <w:rFonts w:hint="eastAsia" w:asciiTheme="minorEastAsia" w:hAnsiTheme="minorEastAsia" w:eastAsiaTheme="minorEastAsia" w:cstheme="minorEastAsia"/>
          <w:sz w:val="24"/>
          <w:szCs w:val="24"/>
          <w:lang w:val="zh-CN"/>
        </w:rPr>
        <w:t xml:space="preserve">www.ccgp.gov.cn</w:t>
      </w:r>
      <w:r>
        <w:rPr>
          <w:rFonts w:hint="eastAsia" w:asciiTheme="minorEastAsia" w:hAnsiTheme="minorEastAsia" w:eastAsiaTheme="minorEastAsia" w:cstheme="minorEastAsia"/>
          <w:sz w:val="24"/>
          <w:szCs w:val="24"/>
          <w:lang w:val="zh-CN" w:eastAsia="zh-CN"/>
        </w:rPr>
        <w:t xml:space="preserve">）</w:t>
      </w:r>
      <w:r>
        <w:rPr>
          <w:rFonts w:hint="eastAsia" w:asciiTheme="minorEastAsia" w:hAnsiTheme="minorEastAsia" w:eastAsiaTheme="minorEastAsia" w:cstheme="minorEastAsia"/>
          <w:sz w:val="24"/>
          <w:szCs w:val="24"/>
          <w:lang w:val="zh-CN"/>
        </w:rPr>
        <w:t xml:space="preserve">列入失信被执行人、重大税收违法案件当事人名单、政府采购严重违法失信行为记录名单。</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bookmarkStart w:id="5" w:name="_Toc35393792"/>
      <w:r/>
      <w:bookmarkStart w:id="6" w:name="_Toc35393623"/>
      <w:r>
        <w:rPr>
          <w:rFonts w:hint="eastAsia" w:asciiTheme="minorEastAsia" w:hAnsiTheme="minorEastAsia" w:eastAsiaTheme="minorEastAsia" w:cstheme="minorEastAsia"/>
          <w:b/>
          <w:bCs/>
          <w:sz w:val="24"/>
          <w:szCs w:val="24"/>
        </w:rPr>
        <w:t xml:space="preserve">三、获取招标文件</w:t>
      </w:r>
      <w:bookmarkEnd w:id="5"/>
      <w:r/>
      <w:bookmarkEnd w:id="6"/>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bookmarkStart w:id="7" w:name="_Toc35393624"/>
      <w:r/>
      <w:bookmarkStart w:id="8" w:name="_Toc35393793"/>
      <w:r>
        <w:rPr>
          <w:rFonts w:hint="eastAsia" w:asciiTheme="minorEastAsia" w:hAnsiTheme="minorEastAsia" w:eastAsiaTheme="minorEastAsia" w:cstheme="minorEastAsia"/>
          <w:sz w:val="24"/>
          <w:szCs w:val="24"/>
          <w:lang w:val="en-US" w:eastAsia="zh-CN"/>
        </w:rPr>
        <w:t xml:space="preserve">1.时间：自招标文件公告发布之日起。</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 xml:space="preserve">2.方式：在“江苏政府采购网”自行免费下载招标文件。</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bookmarkStart w:id="9" w:name="_Toc28359005"/>
      <w:r/>
      <w:bookmarkStart w:id="10" w:name="_Toc28359082"/>
      <w:r>
        <w:rPr>
          <w:rFonts w:hint="eastAsia" w:asciiTheme="minorEastAsia" w:hAnsiTheme="minorEastAsia" w:eastAsiaTheme="minorEastAsia" w:cstheme="minorEastAsia"/>
          <w:b/>
          <w:bCs/>
          <w:sz w:val="24"/>
          <w:szCs w:val="24"/>
        </w:rPr>
        <w:t xml:space="preserve">四、提交投标文件</w:t>
      </w:r>
      <w:bookmarkEnd w:id="9"/>
      <w:r/>
      <w:bookmarkEnd w:id="10"/>
      <w:r>
        <w:rPr>
          <w:rFonts w:hint="eastAsia" w:asciiTheme="minorEastAsia" w:hAnsiTheme="minorEastAsia" w:eastAsiaTheme="minorEastAsia" w:cstheme="minorEastAsia"/>
          <w:b/>
          <w:bCs/>
          <w:sz w:val="24"/>
          <w:szCs w:val="24"/>
        </w:rPr>
        <w:t xml:space="preserve">截止时间、开标时间和地点</w:t>
      </w:r>
      <w:bookmarkEnd w:id="7"/>
      <w:r/>
      <w:bookmarkEnd w:id="8"/>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w:t>
      </w:r>
      <w:r>
        <w:rPr>
          <w:rFonts w:hint="eastAsia" w:asciiTheme="minorEastAsia" w:hAnsiTheme="minorEastAsia" w:eastAsiaTheme="minorEastAsia" w:cstheme="minorEastAsia"/>
          <w:sz w:val="24"/>
          <w:szCs w:val="24"/>
          <w:lang w:val="en-US" w:eastAsia="zh-CN"/>
        </w:rPr>
        <w:t xml:space="preserve">提交投标文件截止</w:t>
      </w:r>
      <w:r>
        <w:rPr>
          <w:rFonts w:hint="eastAsia" w:asciiTheme="minorEastAsia" w:hAnsiTheme="minorEastAsia" w:eastAsiaTheme="minorEastAsia" w:cstheme="minorEastAsia"/>
          <w:sz w:val="24"/>
          <w:szCs w:val="24"/>
        </w:rPr>
        <w:t xml:space="preserve">时间</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开标时间</w:t>
      </w:r>
      <w:r>
        <w:rPr>
          <w:rFonts w:hint="eastAsia" w:asciiTheme="minorEastAsia" w:hAnsiTheme="minorEastAsia" w:eastAsiaTheme="minorEastAsia" w:cstheme="minorEastAsia"/>
          <w:sz w:val="24"/>
          <w:szCs w:val="24"/>
        </w:rPr>
        <w:t xml:space="preserve">：2024年</w:t>
      </w:r>
      <w:r>
        <w:rPr>
          <w:rFonts w:hint="eastAsia" w:asciiTheme="minorEastAsia" w:hAnsiTheme="minorEastAsia" w:eastAsiaTheme="minorEastAsia" w:cstheme="minorEastAsia"/>
          <w:sz w:val="24"/>
          <w:szCs w:val="24"/>
          <w:lang w:val="en-US" w:eastAsia="zh-CN"/>
        </w:rPr>
        <w:t xml:space="preserve">05</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lang w:val="en-US" w:eastAsia="zh-CN"/>
        </w:rPr>
        <w:t xml:space="preserve">11</w:t>
      </w:r>
      <w:r>
        <w:rPr>
          <w:rFonts w:hint="eastAsia" w:asciiTheme="minorEastAsia" w:hAnsiTheme="minorEastAsia" w:eastAsiaTheme="minorEastAsia" w:cstheme="minorEastAsia"/>
          <w:sz w:val="24"/>
          <w:szCs w:val="24"/>
        </w:rPr>
        <w:t xml:space="preserve">日</w:t>
      </w:r>
      <w:r>
        <w:rPr>
          <w:rFonts w:hint="eastAsia" w:asciiTheme="minorEastAsia" w:hAnsiTheme="minorEastAsia" w:eastAsiaTheme="minorEastAsia" w:cstheme="minorEastAsia"/>
          <w:sz w:val="24"/>
          <w:szCs w:val="24"/>
          <w:lang w:val="en-US" w:eastAsia="zh-CN"/>
        </w:rPr>
        <w:t xml:space="preserve">09</w:t>
      </w:r>
      <w:r>
        <w:rPr>
          <w:rFonts w:hint="eastAsia" w:asciiTheme="minorEastAsia" w:hAnsiTheme="minorEastAsia" w:eastAsiaTheme="minorEastAsia" w:cstheme="minorEastAsia"/>
          <w:sz w:val="24"/>
          <w:szCs w:val="24"/>
        </w:rPr>
        <w:t xml:space="preserve">点</w:t>
      </w:r>
      <w:r>
        <w:rPr>
          <w:rFonts w:hint="eastAsia" w:asciiTheme="minorEastAsia" w:hAnsiTheme="minorEastAsia" w:eastAsia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0分（北京时间）；</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4.2地点：“苏采云”政府采购交易系统网上开标大厅。</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bookmarkStart w:id="11" w:name="_Toc35393794"/>
      <w:r/>
      <w:bookmarkStart w:id="12" w:name="_Toc28359084"/>
      <w:r/>
      <w:bookmarkStart w:id="13" w:name="_Toc28359007"/>
      <w:r/>
      <w:bookmarkStart w:id="14" w:name="_Toc35393625"/>
      <w:r>
        <w:rPr>
          <w:rFonts w:hint="eastAsia" w:asciiTheme="minorEastAsia" w:hAnsiTheme="minorEastAsia" w:eastAsiaTheme="minorEastAsia" w:cstheme="minorEastAsia"/>
          <w:b/>
          <w:bCs/>
          <w:sz w:val="24"/>
          <w:szCs w:val="24"/>
        </w:rPr>
        <w:t xml:space="preserve">五、公告期限</w:t>
      </w:r>
      <w:bookmarkEnd w:id="11"/>
      <w:r/>
      <w:bookmarkEnd w:id="12"/>
      <w:r/>
      <w:bookmarkEnd w:id="13"/>
      <w:r/>
      <w:bookmarkEnd w:id="14"/>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招标公告及招标文件公告期限为自本公告发布之日起5个工作日。</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bookmarkStart w:id="15" w:name="_Toc35393626"/>
      <w:r/>
      <w:bookmarkStart w:id="16" w:name="_Toc35393795"/>
      <w:r>
        <w:rPr>
          <w:rFonts w:hint="eastAsia" w:asciiTheme="minorEastAsia" w:hAnsiTheme="minorEastAsia" w:eastAsiaTheme="minorEastAsia" w:cstheme="minorEastAsia"/>
          <w:b/>
          <w:bCs/>
          <w:sz w:val="24"/>
          <w:szCs w:val="24"/>
          <w:lang w:val="en-US" w:eastAsia="zh-CN"/>
        </w:rPr>
        <w:t xml:space="preserve">六、</w:t>
      </w:r>
      <w:r>
        <w:rPr>
          <w:rFonts w:hint="eastAsia" w:asciiTheme="minorEastAsia" w:hAnsiTheme="minorEastAsia" w:eastAsiaTheme="minorEastAsia" w:cstheme="minorEastAsia"/>
          <w:b/>
          <w:bCs/>
          <w:sz w:val="24"/>
          <w:szCs w:val="24"/>
        </w:rPr>
        <w:t xml:space="preserve">其他补充事宜</w:t>
      </w:r>
      <w:bookmarkEnd w:id="15"/>
      <w:r/>
      <w:bookmarkEnd w:id="16"/>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1.本次招标不收取投标保证金。</w:t>
      </w:r>
      <w:r/>
    </w:p>
    <w:p>
      <w:pPr>
        <w:pStyle w:val="1020"/>
        <w:ind w:left="0" w:firstLine="240"/>
        <w:jc w:val="left"/>
        <w:keepLines w:val="0"/>
        <w:keepNext w:val="0"/>
        <w:spacing w:before="0" w:beforeAutospacing="0" w:after="0" w:afterAutospacing="0"/>
        <w:shd w:val="clear" w:color="auto" w:fill="ffffff"/>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smallCaps w:val="0"/>
          <w:color w:val="000000"/>
          <w:spacing w:val="0"/>
          <w:sz w:val="24"/>
          <w:szCs w:val="24"/>
          <w:shd w:val="clear" w:color="auto" w:fill="ffffff"/>
          <w:lang w:val="en-US" w:eastAsia="zh-CN" w:bidi="ar"/>
        </w:rPr>
        <w:t xml:space="preserve">2.现场勘察及答疑：本项目不组织集中勘察及答疑，供应商如对采购需求有疑问，请咨询采购单位联系人。</w:t>
      </w:r>
      <w:bookmarkStart w:id="17" w:name="_Toc35393796"/>
      <w:r/>
      <w:bookmarkStart w:id="18" w:name="_Toc28359085"/>
      <w:r/>
      <w:bookmarkStart w:id="19" w:name="_Toc28359008"/>
      <w:r/>
      <w:bookmarkStart w:id="20" w:name="_Toc35393627"/>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七、对本次招标提出询问，请按以下方式联系</w:t>
      </w:r>
      <w:bookmarkEnd w:id="17"/>
      <w:r/>
      <w:bookmarkEnd w:id="18"/>
      <w:r/>
      <w:bookmarkEnd w:id="19"/>
      <w:r/>
      <w:bookmarkEnd w:id="20"/>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1、采购人信息</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名称：</w:t>
      </w:r>
      <w:r>
        <w:rPr>
          <w:rFonts w:hint="eastAsia" w:asciiTheme="minorEastAsia" w:hAnsiTheme="minorEastAsia" w:eastAsiaTheme="minorEastAsia" w:cstheme="minorEastAsia"/>
          <w:sz w:val="24"/>
          <w:szCs w:val="24"/>
          <w:lang w:eastAsia="zh-CN"/>
        </w:rPr>
        <w:t xml:space="preserve">南京市六合区机关事务管理中心</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地址：南京市六合区雄州南路268号六合大厦 </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联系人：</w:t>
      </w:r>
      <w:bookmarkStart w:id="21" w:name="_Hlk158130394"/>
      <w:r>
        <w:rPr>
          <w:rFonts w:hint="eastAsia" w:asciiTheme="minorEastAsia" w:hAnsiTheme="minorEastAsia" w:eastAsiaTheme="minorEastAsia" w:cstheme="minorEastAsia"/>
          <w:sz w:val="24"/>
          <w:szCs w:val="24"/>
          <w:lang w:val="en-US" w:eastAsia="zh-CN"/>
        </w:rPr>
        <w:t xml:space="preserve">张女士</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联系方式：</w:t>
      </w:r>
      <w:bookmarkEnd w:id="21"/>
      <w:r/>
      <w:bookmarkStart w:id="22" w:name="_Toc28359009"/>
      <w:r/>
      <w:bookmarkStart w:id="23" w:name="_Toc28359086"/>
      <w:r>
        <w:rPr>
          <w:rFonts w:hint="eastAsia" w:asciiTheme="minorEastAsia" w:hAnsiTheme="minorEastAsia" w:eastAsiaTheme="minorEastAsia" w:cstheme="minorEastAsia"/>
          <w:sz w:val="24"/>
          <w:szCs w:val="24"/>
          <w:lang w:val="en-US" w:eastAsia="zh-CN"/>
        </w:rPr>
        <w:t xml:space="preserve">025-57756193</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bookmarkEnd w:id="22"/>
      <w:r/>
      <w:bookmarkEnd w:id="23"/>
      <w:r>
        <w:rPr>
          <w:rFonts w:hint="eastAsia" w:asciiTheme="minorEastAsia" w:hAnsiTheme="minorEastAsia" w:eastAsiaTheme="minorEastAsia" w:cstheme="minorEastAsia"/>
          <w:sz w:val="24"/>
          <w:szCs w:val="24"/>
        </w:rPr>
        <w:t xml:space="preserve">南京市公共资源交易中心六合分中心信息</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地址：南京市六合区雄州街道龙池路333号</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联系人：</w:t>
      </w:r>
      <w:bookmarkStart w:id="24" w:name="_Hlk158130427"/>
      <w:r>
        <w:rPr>
          <w:rFonts w:hint="eastAsia" w:asciiTheme="minorEastAsia" w:hAnsiTheme="minorEastAsia" w:eastAsiaTheme="minorEastAsia" w:cstheme="minorEastAsia"/>
          <w:sz w:val="24"/>
          <w:szCs w:val="24"/>
          <w:highlight w:val="none"/>
          <w:lang w:eastAsia="zh-CN"/>
        </w:rPr>
        <w:t xml:space="preserve">陈女士</w:t>
      </w:r>
      <w:r/>
    </w:p>
    <w:p>
      <w:pPr>
        <w:ind w:firstLine="240"/>
        <w:keepLines w:val="0"/>
        <w:keepNext w:val="0"/>
        <w:pageBreakBefore w:val="0"/>
        <w:spacing w:line="360" w:lineRule="auto"/>
        <w:widowControl w:val="off"/>
        <w:rPr>
          <w:rFonts w:hint="default"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 xml:space="preserve">联系方式：</w:t>
      </w:r>
      <w:bookmarkEnd w:id="24"/>
      <w:r/>
      <w:bookmarkStart w:id="25" w:name="_Toc28359010"/>
      <w:r/>
      <w:bookmarkEnd w:id="25"/>
      <w:r/>
      <w:bookmarkStart w:id="26" w:name="_Toc28359087"/>
      <w:r/>
      <w:bookmarkEnd w:id="26"/>
      <w:r>
        <w:rPr>
          <w:rFonts w:hint="eastAsia" w:asciiTheme="minorEastAsia" w:hAnsiTheme="minorEastAsia" w:eastAsiaTheme="minorEastAsia" w:cstheme="minorEastAsia"/>
          <w:sz w:val="24"/>
          <w:szCs w:val="24"/>
          <w:highlight w:val="none"/>
          <w:lang w:val="en-US" w:eastAsia="zh-CN"/>
        </w:rPr>
        <w:t xml:space="preserve">025-57130501</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八、其他</w:t>
      </w:r>
      <w:r/>
    </w:p>
    <w:p>
      <w:pPr>
        <w:ind w:firstLine="240"/>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w:t>
      </w:r>
      <w:r/>
    </w:p>
    <w:p>
      <w:pPr>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 xml:space="preserve">供应商按《苏采云系统供应商操作手册》要求进行注册，并制作上传电子投标文件。江苏省政府采购管理交易系统供应商操作指南，下载地址：http://www.ccgp-jiangsu.gov.cn/jiangsu/zlxz/ee/ee3a4bc5a3454aa2b0d9312230633ce9.html</w:t>
      </w:r>
      <w:r/>
    </w:p>
    <w:p>
      <w:pPr>
        <w:ind w:firstLine="240"/>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 xml:space="preserve">2.有关本次招标的事项若存在变动或修改，敬请及时关注“江苏政府采购网”更正公告。</w:t>
      </w:r>
      <w:r/>
    </w:p>
    <w:p>
      <w:pPr>
        <w:pStyle w:val="1020"/>
        <w:jc w:val="left"/>
        <w:spacing w:line="240" w:lineRule="auto"/>
        <w:widowControl/>
        <w:rPr>
          <w:rFonts w:hint="eastAsia" w:asciiTheme="minorEastAsia" w:hAnsiTheme="minorEastAsia" w:eastAsiaTheme="minorEastAsia" w:cstheme="minorEastAsia"/>
          <w:b/>
          <w:bCs/>
          <w:sz w:val="28"/>
          <w:szCs w:val="44"/>
        </w:rPr>
      </w:pPr>
      <w:r>
        <w:rPr>
          <w:rFonts w:hint="eastAsia" w:asciiTheme="minorEastAsia" w:hAnsiTheme="minorEastAsia" w:eastAsiaTheme="minorEastAsia" w:cstheme="minorEastAsia"/>
        </w:rPr>
        <w:br w:type="page" w:clear="all"/>
      </w:r>
      <w:r/>
    </w:p>
    <w:p>
      <w:pPr>
        <w:pStyle w:val="1029"/>
        <w:spacing w:before="340" w:beforeAutospacing="0" w:after="240" w:afterAutospacing="0"/>
        <w:rPr>
          <w:rFonts w:hint="eastAsia" w:asciiTheme="minorEastAsia" w:hAnsiTheme="minorEastAsia" w:eastAsiaTheme="minorEastAsia" w:cstheme="minorEastAsia"/>
          <w:b/>
          <w:bCs/>
          <w:color w:val="auto"/>
          <w:sz w:val="21"/>
          <w:szCs w:val="21"/>
        </w:rPr>
      </w:pPr>
      <w:r/>
      <w:bookmarkStart w:id="27" w:name="_Toc95824773"/>
      <w:r/>
      <w:bookmarkStart w:id="28" w:name="_Toc16975"/>
      <w:r/>
      <w:bookmarkStart w:id="29" w:name="_Toc16297"/>
      <w:r/>
      <w:bookmarkStart w:id="30" w:name="_Toc28996"/>
      <w:r>
        <w:rPr>
          <w:rFonts w:hint="eastAsia" w:asciiTheme="minorEastAsia" w:hAnsiTheme="minorEastAsia" w:eastAsiaTheme="minorEastAsia" w:cstheme="minorEastAsia"/>
        </w:rPr>
        <w:t xml:space="preserve">第二章投标人须知</w:t>
      </w:r>
      <w:bookmarkEnd w:id="27"/>
      <w:r/>
      <w:bookmarkEnd w:id="28"/>
      <w:r/>
      <w:bookmarkEnd w:id="29"/>
      <w:r/>
      <w:bookmarkEnd w:id="30"/>
      <w:r/>
      <w:r/>
    </w:p>
    <w:p>
      <w:pPr>
        <w:pStyle w:val="1020"/>
        <w:numPr>
          <w:ilvl w:val="0"/>
          <w:numId w:val="0"/>
        </w:numPr>
        <w:ind w:firstLine="241"/>
        <w:rPr>
          <w:rFonts w:hint="eastAsia" w:asciiTheme="minorEastAsia" w:hAnsiTheme="minorEastAsia" w:eastAsiaTheme="minorEastAsia" w:cstheme="minorEastAsia"/>
          <w:b/>
          <w:bCs/>
          <w:color w:val="auto"/>
          <w:sz w:val="24"/>
          <w:szCs w:val="24"/>
        </w:rPr>
        <w:outlineLvl w:val="1"/>
      </w:pPr>
      <w:r>
        <w:rPr>
          <w:rFonts w:hint="eastAsia" w:asciiTheme="minorEastAsia" w:hAnsiTheme="minorEastAsia" w:eastAsiaTheme="minorEastAsia" w:cstheme="minorEastAsia"/>
          <w:b/>
          <w:bCs/>
          <w:color w:val="auto"/>
          <w:sz w:val="24"/>
          <w:szCs w:val="24"/>
        </w:rPr>
        <w:t xml:space="preserve">一、总则</w:t>
      </w:r>
      <w:r/>
    </w:p>
    <w:p>
      <w:pPr>
        <w:pStyle w:val="1020"/>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bookmarkStart w:id="31" w:name="_Hlt16619475"/>
      <w:r/>
      <w:bookmarkEnd w:id="31"/>
      <w:r/>
      <w:bookmarkStart w:id="32" w:name="_Toc458694821"/>
      <w:r/>
      <w:bookmarkStart w:id="33" w:name="_Toc20823276"/>
      <w:r/>
      <w:bookmarkStart w:id="34" w:name="_Toc513029204"/>
      <w:r/>
      <w:bookmarkStart w:id="35" w:name="_Toc16938520"/>
      <w:r>
        <w:rPr>
          <w:rFonts w:hint="eastAsia" w:asciiTheme="minorEastAsia" w:hAnsiTheme="minorEastAsia" w:eastAsiaTheme="minorEastAsia" w:cstheme="minorEastAsia"/>
          <w:b/>
          <w:bCs/>
          <w:sz w:val="24"/>
          <w:szCs w:val="24"/>
        </w:rPr>
        <w:t xml:space="preserve">1</w:t>
      </w:r>
      <w:bookmarkEnd w:id="32"/>
      <w:r>
        <w:rPr>
          <w:rFonts w:hint="eastAsia" w:asciiTheme="minorEastAsia" w:hAnsiTheme="minorEastAsia" w:eastAsiaTheme="minorEastAsia" w:cstheme="minorEastAsia"/>
          <w:b/>
          <w:bCs/>
          <w:sz w:val="24"/>
          <w:szCs w:val="24"/>
        </w:rPr>
        <w:t xml:space="preserve">、招标方式</w:t>
      </w:r>
      <w:bookmarkEnd w:id="33"/>
      <w:r/>
      <w:bookmarkEnd w:id="34"/>
      <w:r/>
      <w:bookmarkEnd w:id="35"/>
      <w:r/>
      <w:r/>
    </w:p>
    <w:p>
      <w:pPr>
        <w:pStyle w:val="1020"/>
        <w:ind w:firstLine="480"/>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1.1 本次招标采取公开招标方式，本招标文件仅适用于招标公告中所述项目。</w:t>
      </w:r>
      <w:r/>
    </w:p>
    <w:p>
      <w:pPr>
        <w:pStyle w:val="1020"/>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bookmarkStart w:id="36" w:name="_Toc20823277"/>
      <w:r/>
      <w:bookmarkStart w:id="37" w:name="_Toc513029205"/>
      <w:r/>
      <w:bookmarkStart w:id="38" w:name="_Toc16938521"/>
      <w:r>
        <w:rPr>
          <w:rFonts w:hint="eastAsia" w:asciiTheme="minorEastAsia" w:hAnsiTheme="minorEastAsia" w:eastAsiaTheme="minorEastAsia" w:cstheme="minorEastAsia"/>
          <w:b/>
          <w:bCs/>
          <w:sz w:val="24"/>
          <w:szCs w:val="24"/>
        </w:rPr>
        <w:t xml:space="preserve">2、合格的投标人</w:t>
      </w:r>
      <w:bookmarkEnd w:id="36"/>
      <w:r/>
      <w:bookmarkEnd w:id="37"/>
      <w:r/>
      <w:bookmarkEnd w:id="38"/>
      <w:r/>
      <w:r/>
    </w:p>
    <w:p>
      <w:pPr>
        <w:pStyle w:val="1020"/>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2.1满足招标公告中</w:t>
      </w:r>
      <w:r>
        <w:rPr>
          <w:rFonts w:hint="eastAsia" w:asciiTheme="minorEastAsia" w:hAnsiTheme="minorEastAsia" w:eastAsia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的资格要求的规定。</w:t>
      </w:r>
      <w:r/>
    </w:p>
    <w:p>
      <w:pPr>
        <w:pStyle w:val="1020"/>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2.2满足本文件实质性要求和条件的规定。</w:t>
      </w:r>
      <w:r/>
    </w:p>
    <w:p>
      <w:pPr>
        <w:pStyle w:val="1020"/>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bookmarkStart w:id="39" w:name="_Toc20823278"/>
      <w:r/>
      <w:bookmarkStart w:id="40" w:name="_Toc513029206"/>
      <w:r/>
      <w:bookmarkStart w:id="41" w:name="_Toc16938522"/>
      <w:r>
        <w:rPr>
          <w:rFonts w:hint="eastAsia" w:asciiTheme="minorEastAsia" w:hAnsiTheme="minorEastAsia" w:eastAsiaTheme="minorEastAsia" w:cstheme="minorEastAsia"/>
          <w:b/>
          <w:bCs/>
          <w:sz w:val="24"/>
          <w:szCs w:val="24"/>
        </w:rPr>
        <w:t xml:space="preserve">3、适用法律</w:t>
      </w:r>
      <w:bookmarkEnd w:id="39"/>
      <w:r/>
      <w:bookmarkEnd w:id="40"/>
      <w:r/>
      <w:bookmarkEnd w:id="41"/>
      <w:r/>
      <w:r/>
    </w:p>
    <w:p>
      <w:pPr>
        <w:pStyle w:val="1020"/>
        <w:ind w:firstLine="480"/>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3.1 本次招标及由此产生的合同受中华人民共和国有关的法律法规制约和保护。</w:t>
      </w:r>
      <w:r/>
    </w:p>
    <w:p>
      <w:pPr>
        <w:pStyle w:val="1020"/>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bookmarkStart w:id="42" w:name="_Toc513029207"/>
      <w:r/>
      <w:bookmarkStart w:id="43" w:name="_Toc16938523"/>
      <w:r/>
      <w:bookmarkStart w:id="44" w:name="_Toc20823279"/>
      <w:r/>
      <w:bookmarkStart w:id="45" w:name="_Toc462564067"/>
      <w:r>
        <w:rPr>
          <w:rFonts w:hint="eastAsia" w:asciiTheme="minorEastAsia" w:hAnsiTheme="minorEastAsia" w:eastAsiaTheme="minorEastAsia" w:cstheme="minorEastAsia"/>
          <w:b/>
          <w:bCs/>
          <w:sz w:val="24"/>
          <w:szCs w:val="24"/>
        </w:rPr>
        <w:t xml:space="preserve">4、投标费用</w:t>
      </w:r>
      <w:bookmarkEnd w:id="42"/>
      <w:r/>
      <w:bookmarkEnd w:id="43"/>
      <w:r/>
      <w:bookmarkEnd w:id="44"/>
      <w:r/>
      <w:bookmarkEnd w:id="45"/>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4.1 投标人应自行承担所有与参加投标有关的费用，无论投标过程中的做法和结果如何，南京市公共资源交易中心六合分中心（以下简称交易中心）在任何情况下均无义务和责任承担这些费用。</w:t>
      </w:r>
      <w:r/>
    </w:p>
    <w:p>
      <w:pPr>
        <w:pStyle w:val="10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4.2 本次招标交易中心和采购人不收取标书工本费与中标服务费。</w:t>
      </w:r>
      <w:r/>
    </w:p>
    <w:p>
      <w:pPr>
        <w:pStyle w:val="1020"/>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5、招标文件的约束力</w:t>
      </w:r>
      <w:r/>
    </w:p>
    <w:p>
      <w:pPr>
        <w:pStyle w:val="1020"/>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投标人一旦参加本项目</w:t>
      </w:r>
      <w:r>
        <w:rPr>
          <w:rFonts w:hint="eastAsia" w:asciiTheme="minorEastAsia" w:hAnsiTheme="minorEastAsia" w:eastAsiaTheme="minorEastAsia" w:cstheme="minorEastAsia"/>
          <w:sz w:val="24"/>
          <w:szCs w:val="24"/>
          <w:lang w:eastAsia="zh-CN"/>
        </w:rPr>
        <w:t xml:space="preserve">投标</w:t>
      </w:r>
      <w:r>
        <w:rPr>
          <w:rFonts w:hint="eastAsia" w:asciiTheme="minorEastAsia" w:hAnsiTheme="minorEastAsia" w:eastAsiaTheme="minorEastAsia" w:cstheme="minorEastAsia"/>
          <w:sz w:val="24"/>
          <w:szCs w:val="24"/>
        </w:rPr>
        <w:t xml:space="preserve">活动，即被认为接受了本招标文件的规定和约束。</w:t>
      </w:r>
      <w:r/>
    </w:p>
    <w:p>
      <w:pPr>
        <w:pStyle w:val="1020"/>
        <w:numPr>
          <w:ilvl w:val="0"/>
          <w:numId w:val="0"/>
        </w:numPr>
        <w:rPr>
          <w:rFonts w:hint="eastAsia" w:asciiTheme="minorEastAsia" w:hAnsiTheme="minorEastAsia" w:eastAsiaTheme="minorEastAsia" w:cstheme="minorEastAsia"/>
          <w:b/>
          <w:sz w:val="24"/>
          <w:szCs w:val="24"/>
        </w:rPr>
        <w:outlineLvl w:val="1"/>
      </w:pPr>
      <w:r>
        <w:rPr>
          <w:rFonts w:hint="eastAsia" w:asciiTheme="minorEastAsia" w:hAnsiTheme="minorEastAsia" w:eastAsiaTheme="minorEastAsia" w:cstheme="minorEastAsia"/>
          <w:b/>
          <w:sz w:val="24"/>
          <w:szCs w:val="24"/>
        </w:rPr>
        <w:t xml:space="preserve">二、招标文件</w:t>
      </w:r>
      <w:r/>
    </w:p>
    <w:p>
      <w:pPr>
        <w:pStyle w:val="1020"/>
        <w:numPr>
          <w:ilvl w:val="0"/>
          <w:numId w:val="0"/>
        </w:numPr>
        <w:ind w:firstLine="241"/>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lang w:val="en-US" w:eastAsia="zh-CN"/>
        </w:rPr>
        <w:t xml:space="preserve">1</w:t>
      </w:r>
      <w:r>
        <w:rPr>
          <w:rFonts w:hint="eastAsia" w:asciiTheme="minorEastAsia" w:hAnsiTheme="minorEastAsia" w:eastAsiaTheme="minorEastAsia" w:cstheme="minorEastAsia"/>
          <w:b/>
          <w:sz w:val="24"/>
          <w:szCs w:val="24"/>
        </w:rPr>
        <w:t xml:space="preserve">、招标文件组成</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.1 招标文件由以下部分组成：</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（1）投标邀请</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（2）投标人须知</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（3）合同文本</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（4）采购需求</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（5）评标方法与评标标准</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（6）投标文件格式</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投标人应仔细检查招标文件是否齐全，如有缺漏请立即与交易中心联系解决。</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20"/>
        <w:numPr>
          <w:ilvl w:val="0"/>
          <w:numId w:val="0"/>
        </w:numPr>
        <w:rPr>
          <w:rFonts w:hint="eastAsia" w:asciiTheme="minorEastAsia" w:hAnsiTheme="minorEastAsia" w:eastAsiaTheme="minorEastAsia" w:cstheme="minorEastAsia"/>
          <w:b/>
          <w:sz w:val="24"/>
          <w:szCs w:val="24"/>
        </w:rPr>
        <w:outlineLvl w:val="2"/>
      </w:pPr>
      <w:r>
        <w:rPr>
          <w:rFonts w:hint="eastAsia" w:asciiTheme="minorEastAsia" w:hAnsiTheme="minorEastAsia" w:eastAsiaTheme="minorEastAsia" w:cstheme="minorEastAsia"/>
          <w:b/>
          <w:sz w:val="24"/>
          <w:szCs w:val="24"/>
          <w:lang w:val="en-US" w:eastAsia="zh-CN"/>
        </w:rPr>
        <w:t xml:space="preserve">2</w:t>
      </w:r>
      <w:r>
        <w:rPr>
          <w:rFonts w:hint="eastAsia" w:asciiTheme="minorEastAsia" w:hAnsiTheme="minorEastAsia" w:eastAsiaTheme="minorEastAsia" w:cstheme="minorEastAsia"/>
          <w:b/>
          <w:sz w:val="24"/>
          <w:szCs w:val="24"/>
        </w:rPr>
        <w:t xml:space="preserve">、招标文件的澄清</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.1 任何要求对招标文件进行澄清的投标人，应在投标截止期十日前按招标公告中的通讯地址，以书面形式通知交易中心。</w:t>
      </w:r>
      <w:r/>
    </w:p>
    <w:p>
      <w:pPr>
        <w:pStyle w:val="1019"/>
        <w:ind w:left="0" w:firstLine="0"/>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3、招标文件的修改</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在投标截止时间前，交易中心可以对招标文件进行修改。</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3.2</w:t>
      </w:r>
      <w:r>
        <w:rPr>
          <w:rFonts w:hint="eastAsia" w:asciiTheme="minorEastAsia" w:hAnsiTheme="minorEastAsia" w:eastAsiaTheme="minorEastAsia" w:cstheme="minorEastAsia"/>
          <w:color w:val="auto"/>
          <w:sz w:val="24"/>
          <w:szCs w:val="24"/>
        </w:rPr>
        <w:t xml:space="preserve"> 交易中心有权按照法定的要求推迟投标截止日期和开标日期。</w:t>
      </w:r>
      <w:r/>
    </w:p>
    <w:p>
      <w:pPr>
        <w:pStyle w:val="10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t xml:space="preserve">3.3</w:t>
      </w:r>
      <w:r>
        <w:rPr>
          <w:rFonts w:hint="eastAsia" w:asciiTheme="minorEastAsia" w:hAnsiTheme="minorEastAsia" w:eastAsiaTheme="minorEastAsia" w:cstheme="minorEastAsia"/>
          <w:color w:val="auto"/>
          <w:sz w:val="24"/>
          <w:szCs w:val="24"/>
        </w:rPr>
        <w:t xml:space="preserve">招标文件的修改将在“江苏政府采购网”公布，补充文件将作为招标文件的组成部分，并对投标人具有约束力。</w:t>
      </w:r>
      <w:r/>
    </w:p>
    <w:p>
      <w:pPr>
        <w:pStyle w:val="1020"/>
        <w:numPr>
          <w:ilvl w:val="0"/>
          <w:numId w:val="1"/>
        </w:numPr>
        <w:rPr>
          <w:rFonts w:hint="eastAsia" w:asciiTheme="minorEastAsia" w:hAnsiTheme="minorEastAsia" w:eastAsiaTheme="minorEastAsia" w:cstheme="minorEastAsia"/>
          <w:b/>
          <w:sz w:val="24"/>
          <w:szCs w:val="24"/>
          <w:lang w:val="en-US" w:eastAsia="zh-CN"/>
        </w:rPr>
        <w:outlineLvl w:val="1"/>
      </w:pPr>
      <w:r>
        <w:rPr>
          <w:rFonts w:hint="eastAsia" w:asciiTheme="minorEastAsia" w:hAnsiTheme="minorEastAsia" w:eastAsiaTheme="minorEastAsia" w:cstheme="minorEastAsia"/>
          <w:b/>
          <w:sz w:val="24"/>
          <w:szCs w:val="24"/>
        </w:rPr>
        <w:t xml:space="preserve">投标</w:t>
      </w:r>
      <w:r>
        <w:rPr>
          <w:rFonts w:hint="eastAsia" w:asciiTheme="minorEastAsia" w:hAnsiTheme="minorEastAsia" w:eastAsiaTheme="minorEastAsia" w:cstheme="minorEastAsia"/>
          <w:b/>
          <w:sz w:val="24"/>
          <w:szCs w:val="24"/>
          <w:lang w:val="en-US" w:eastAsia="zh-CN"/>
        </w:rPr>
        <w:t xml:space="preserve">文件的编制</w:t>
      </w:r>
      <w:r/>
    </w:p>
    <w:p>
      <w:pPr>
        <w:pStyle w:val="1020"/>
        <w:numPr>
          <w:ilvl w:val="0"/>
          <w:numId w:val="0"/>
        </w:numPr>
        <w:ind w:firstLine="241"/>
        <w:rPr>
          <w:rFonts w:hint="eastAsia" w:asciiTheme="minorEastAsia" w:hAnsiTheme="minorEastAsia" w:eastAsiaTheme="minorEastAsia" w:cstheme="minorEastAsia"/>
          <w:b/>
          <w:bCs w:val="0"/>
          <w:sz w:val="24"/>
          <w:szCs w:val="24"/>
        </w:rPr>
        <w:outlineLvl w:val="1"/>
      </w:pPr>
      <w:r>
        <w:rPr>
          <w:rFonts w:hint="eastAsia" w:asciiTheme="minorEastAsia" w:hAnsiTheme="minorEastAsia" w:eastAsiaTheme="minorEastAsia" w:cstheme="minorEastAsia"/>
          <w:b/>
          <w:bCs w:val="0"/>
          <w:sz w:val="24"/>
          <w:szCs w:val="24"/>
          <w:lang w:val="en-US" w:eastAsia="zh-CN"/>
        </w:rPr>
        <w:t xml:space="preserve">1</w:t>
      </w:r>
      <w:r>
        <w:rPr>
          <w:rFonts w:hint="eastAsia" w:asciiTheme="minorEastAsia" w:hAnsiTheme="minorEastAsia" w:eastAsiaTheme="minorEastAsia" w:cstheme="minorEastAsia"/>
          <w:b/>
          <w:bCs w:val="0"/>
          <w:sz w:val="24"/>
          <w:szCs w:val="24"/>
        </w:rPr>
        <w:t xml:space="preserve">、</w:t>
      </w:r>
      <w:r>
        <w:rPr>
          <w:rFonts w:hint="eastAsia" w:asciiTheme="minorEastAsia" w:hAnsiTheme="minorEastAsia" w:eastAsiaTheme="minorEastAsia" w:cstheme="minorEastAsia"/>
          <w:b/>
          <w:bCs w:val="0"/>
          <w:color w:val="auto"/>
          <w:sz w:val="24"/>
          <w:szCs w:val="24"/>
        </w:rPr>
        <w:t xml:space="preserve">投标文件的语言及度量衡单位</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.1 投标人提交的投标文件以及投标人与交易中心就有关投标的所有来往通知、函件和文件均应使用简体中文。</w:t>
      </w:r>
      <w:r/>
    </w:p>
    <w:p>
      <w:pPr>
        <w:pStyle w:val="10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.2 除技术性能另有规定外，投标文件所使用的度量衡单位，均须采用国家法定计量单位。</w:t>
      </w:r>
      <w:r/>
    </w:p>
    <w:p>
      <w:pPr>
        <w:pStyle w:val="1020"/>
        <w:numPr>
          <w:ilvl w:val="0"/>
          <w:numId w:val="0"/>
        </w:numPr>
        <w:ind w:firstLine="482"/>
        <w:rPr>
          <w:rFonts w:hint="eastAsia" w:asciiTheme="minorEastAsia" w:hAnsiTheme="minorEastAsia" w:eastAsiaTheme="minorEastAsia" w:cstheme="minorEastAsia"/>
          <w:b/>
          <w:bCs/>
          <w:sz w:val="24"/>
          <w:szCs w:val="24"/>
        </w:rPr>
        <w:outlineLvl w:val="2"/>
      </w:pPr>
      <w:r/>
      <w:bookmarkStart w:id="46" w:name="_Toc20823287"/>
      <w:r/>
      <w:bookmarkStart w:id="47" w:name="_Toc513029215"/>
      <w:r/>
      <w:bookmarkStart w:id="48" w:name="_Toc462564074"/>
      <w:r/>
      <w:bookmarkStart w:id="49" w:name="_Toc16938531"/>
      <w:r>
        <w:rPr>
          <w:rFonts w:hint="eastAsia" w:asciiTheme="minorEastAsia" w:hAnsiTheme="minorEastAsia" w:eastAsia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、投标文件构成</w:t>
      </w:r>
      <w:bookmarkEnd w:id="46"/>
      <w:r/>
      <w:bookmarkEnd w:id="47"/>
      <w:r/>
      <w:bookmarkEnd w:id="48"/>
      <w:r/>
      <w:bookmarkEnd w:id="49"/>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.1 投标人编写的投标文件应包括资格证明文件、符合性证明文件、投标分项报价表、响应及偏离表、其他证明文件、投标函、开标一览表等部分。</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.2 如标书制作工具中格式和内容与“江苏政府采购网”发布的招标文件不一致，</w:t>
      </w:r>
      <w:r>
        <w:rPr>
          <w:rFonts w:hint="eastAsia" w:asciiTheme="minorEastAsia" w:hAnsiTheme="minorEastAsia" w:eastAsiaTheme="minorEastAsia" w:cstheme="minorEastAsia"/>
          <w:b/>
          <w:bCs/>
          <w:color w:val="auto"/>
          <w:sz w:val="24"/>
          <w:szCs w:val="24"/>
          <w:u w:val="single"/>
        </w:rPr>
        <w:t xml:space="preserve">以“江苏政府采购网”发布的招标文件为准。</w:t>
      </w:r>
      <w:r/>
    </w:p>
    <w:p>
      <w:pPr>
        <w:pStyle w:val="1020"/>
        <w:numPr>
          <w:ilvl w:val="0"/>
          <w:numId w:val="0"/>
        </w:numPr>
        <w:ind w:firstLine="482"/>
        <w:rPr>
          <w:rFonts w:hint="eastAsia" w:asciiTheme="minorEastAsia" w:hAnsiTheme="minorEastAsia" w:eastAsiaTheme="minorEastAsia" w:cstheme="minorEastAsia"/>
          <w:b/>
          <w:bCs/>
          <w:sz w:val="24"/>
          <w:szCs w:val="24"/>
        </w:rPr>
        <w:outlineLvl w:val="2"/>
      </w:pPr>
      <w:r/>
      <w:bookmarkStart w:id="50" w:name="_Hlt26954838"/>
      <w:r/>
      <w:bookmarkEnd w:id="50"/>
      <w:r/>
      <w:bookmarkStart w:id="51" w:name="_Hlt26670360"/>
      <w:r/>
      <w:bookmarkEnd w:id="51"/>
      <w:r/>
      <w:bookmarkStart w:id="52" w:name="_Hlt26668975"/>
      <w:r/>
      <w:bookmarkEnd w:id="52"/>
      <w:r/>
      <w:bookmarkStart w:id="53" w:name="_Toc513029219"/>
      <w:r/>
      <w:bookmarkStart w:id="54" w:name="_Toc49090509"/>
      <w:r/>
      <w:bookmarkStart w:id="55" w:name="_Toc14577357"/>
      <w:r/>
      <w:bookmarkStart w:id="56" w:name="_Toc513029216"/>
      <w:r/>
      <w:bookmarkStart w:id="57" w:name="_Toc49090507"/>
      <w:r/>
      <w:bookmarkStart w:id="58" w:name="_Toc14577354"/>
      <w:r>
        <w:rPr>
          <w:rFonts w:hint="eastAsia" w:asciiTheme="minorEastAsia" w:hAnsiTheme="minorEastAsia" w:eastAsia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、证明投标人及投标标的符合招标文件规定的文件</w:t>
      </w:r>
      <w:bookmarkEnd w:id="53"/>
      <w:r/>
      <w:bookmarkEnd w:id="54"/>
      <w:r/>
      <w:bookmarkEnd w:id="55"/>
      <w:r/>
      <w:bookmarkEnd w:id="56"/>
      <w:r/>
      <w:bookmarkEnd w:id="57"/>
      <w:r/>
      <w:bookmarkEnd w:id="58"/>
      <w:r/>
      <w:r/>
    </w:p>
    <w:p>
      <w:pPr>
        <w:pStyle w:val="1020"/>
        <w:spacing w:line="360" w:lineRule="auto"/>
        <w:rPr>
          <w:rFonts w:hint="eastAsia" w:asciiTheme="minorEastAsia" w:hAnsiTheme="minorEastAsia" w:eastAsiaTheme="minorEastAsia" w:cstheme="minorEastAsia"/>
          <w:color w:val="auto"/>
          <w:sz w:val="24"/>
          <w:szCs w:val="24"/>
        </w:rPr>
      </w:pPr>
      <w:r/>
      <w:bookmarkStart w:id="59" w:name="_Toc14577355"/>
      <w:r/>
      <w:bookmarkStart w:id="60" w:name="_Toc49090508"/>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.1 投标人应按照法律、法规、规章和规范性文件以及招标文件要求提交证明文件，证明其及投标标的符合招标文件规定。</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.2 招标文件对证明文件无明确形式要求的，证明文件可以以文字资料、图纸和数据等形式提交。</w:t>
      </w:r>
      <w:r/>
    </w:p>
    <w:p>
      <w:pPr>
        <w:pStyle w:val="1020"/>
        <w:numPr>
          <w:ilvl w:val="0"/>
          <w:numId w:val="0"/>
        </w:numPr>
        <w:ind w:firstLine="482"/>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、投标分项报价</w:t>
      </w:r>
      <w:bookmarkEnd w:id="59"/>
      <w:r/>
      <w:bookmarkStart w:id="61" w:name="_Hlt26670373"/>
      <w:r/>
      <w:bookmarkEnd w:id="61"/>
      <w:r>
        <w:rPr>
          <w:rFonts w:hint="eastAsia" w:asciiTheme="minorEastAsia" w:hAnsiTheme="minorEastAsia" w:eastAsiaTheme="minorEastAsia" w:cstheme="minorEastAsia"/>
          <w:b/>
          <w:bCs/>
          <w:sz w:val="24"/>
          <w:szCs w:val="24"/>
        </w:rPr>
        <w:t xml:space="preserve">表</w:t>
      </w:r>
      <w:bookmarkEnd w:id="60"/>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.1 投</w:t>
      </w:r>
      <w:bookmarkStart w:id="62" w:name="_Hlt26954840"/>
      <w:r/>
      <w:bookmarkEnd w:id="62"/>
      <w:r>
        <w:rPr>
          <w:rFonts w:hint="eastAsia" w:asciiTheme="minorEastAsia" w:hAnsiTheme="minorEastAsia" w:eastAsiaTheme="minorEastAsia" w:cstheme="minorEastAsia"/>
          <w:color w:val="auto"/>
          <w:sz w:val="24"/>
          <w:szCs w:val="24"/>
        </w:rPr>
        <w:t xml:space="preserve">标人应按照招标文件规定格式填报投标分项报价表</w:t>
      </w:r>
      <w:bookmarkStart w:id="63" w:name="_Hlt26670399"/>
      <w:r/>
      <w:bookmarkEnd w:id="63"/>
      <w:r>
        <w:rPr>
          <w:rFonts w:hint="eastAsia" w:asciiTheme="minorEastAsia" w:hAnsiTheme="minorEastAsia" w:eastAsiaTheme="minorEastAsia" w:cstheme="minorEastAsia"/>
          <w:color w:val="auto"/>
          <w:sz w:val="24"/>
          <w:szCs w:val="24"/>
        </w:rPr>
        <w:t xml:space="preserve">。</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.2 投标货币。投标文件中的单价和总价无特殊规定的采用人民币报价，以元为单位标注。招标文件中另有规定的按规定执行。</w:t>
      </w:r>
      <w:r/>
    </w:p>
    <w:p>
      <w:pPr>
        <w:pStyle w:val="1020"/>
        <w:numPr>
          <w:ilvl w:val="0"/>
          <w:numId w:val="0"/>
        </w:numPr>
        <w:ind w:firstLine="482"/>
        <w:rPr>
          <w:rFonts w:hint="eastAsia" w:asciiTheme="minorEastAsia" w:hAnsiTheme="minorEastAsia" w:eastAsiaTheme="minorEastAsia" w:cstheme="minorEastAsia"/>
          <w:b/>
          <w:bCs/>
          <w:sz w:val="24"/>
          <w:szCs w:val="24"/>
        </w:rPr>
        <w:outlineLvl w:val="2"/>
      </w:pPr>
      <w:r/>
      <w:bookmarkStart w:id="64" w:name="_Hlt26954844"/>
      <w:r/>
      <w:bookmarkEnd w:id="64"/>
      <w:r/>
      <w:bookmarkStart w:id="65" w:name="_Hlt26954846"/>
      <w:r/>
      <w:bookmarkEnd w:id="65"/>
      <w:r/>
      <w:bookmarkStart w:id="66" w:name="_Hlt26954842"/>
      <w:r/>
      <w:bookmarkEnd w:id="66"/>
      <w:r/>
      <w:bookmarkStart w:id="67" w:name="_Hlt26954848"/>
      <w:r/>
      <w:bookmarkEnd w:id="67"/>
      <w:r/>
      <w:bookmarkStart w:id="68" w:name="_Hlt26670425"/>
      <w:r/>
      <w:bookmarkEnd w:id="68"/>
      <w:r/>
      <w:bookmarkStart w:id="69" w:name="_Hlt26954731"/>
      <w:r/>
      <w:bookmarkEnd w:id="69"/>
      <w:r/>
      <w:bookmarkStart w:id="70" w:name="_Hlt26670486"/>
      <w:r/>
      <w:bookmarkEnd w:id="70"/>
      <w:r/>
      <w:bookmarkStart w:id="71" w:name="_Hlt26670482"/>
      <w:r/>
      <w:bookmarkEnd w:id="71"/>
      <w:r/>
      <w:bookmarkStart w:id="72" w:name="_Hlt26670403"/>
      <w:r/>
      <w:bookmarkEnd w:id="72"/>
      <w:r/>
      <w:bookmarkStart w:id="73" w:name="_Hlt26668983"/>
      <w:r/>
      <w:bookmarkEnd w:id="73"/>
      <w:r>
        <w:rPr>
          <w:rFonts w:hint="eastAsia" w:asciiTheme="minorEastAsia" w:hAnsiTheme="minorEastAsia" w:eastAsia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、响应及偏离表</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lang w:val="zh-CN"/>
        </w:rPr>
        <w:t xml:space="preserve">.1 投标人需对招标文件中的技术要求与商务要求逐项作出响应或偏离说明。</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lang w:val="zh-CN"/>
        </w:rPr>
        <w:t xml:space="preserve">.2 投标人可以在投标文件中提供认为需要的其他技术文件或说明。</w:t>
      </w:r>
      <w:r/>
    </w:p>
    <w:p>
      <w:pPr>
        <w:pStyle w:val="1020"/>
        <w:numPr>
          <w:ilvl w:val="0"/>
          <w:numId w:val="0"/>
        </w:numPr>
        <w:ind w:firstLine="482"/>
        <w:rPr>
          <w:rFonts w:hint="eastAsia" w:asciiTheme="minorEastAsia" w:hAnsiTheme="minorEastAsia" w:eastAsiaTheme="minorEastAsia" w:cstheme="minorEastAsia"/>
          <w:b/>
          <w:bCs/>
          <w:sz w:val="24"/>
          <w:szCs w:val="24"/>
        </w:rPr>
        <w:outlineLvl w:val="2"/>
      </w:pPr>
      <w:r/>
      <w:bookmarkStart w:id="74" w:name="_Toc49090510"/>
      <w:r/>
      <w:bookmarkStart w:id="75" w:name="_Toc14577359"/>
      <w:r>
        <w:rPr>
          <w:rFonts w:hint="eastAsia" w:asciiTheme="minorEastAsia" w:hAnsiTheme="minorEastAsia" w:eastAsia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、投标函和开标一览表</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lang w:val="zh-CN"/>
        </w:rPr>
        <w:t xml:space="preserve">.1 投标人应按照招标文件中提供的格式完整、正确填写投标函、开标一览表。</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lang w:val="zh-CN"/>
        </w:rPr>
        <w:t xml:space="preserve">.2 对于采用货币报价的项目，开标一览表中的投标总报价应与投标分项报价表中的投标总报价一致，如不一致，不作为无效投标处理，但评标时按开标一览表中价格为准。</w:t>
      </w:r>
      <w:bookmarkEnd w:id="74"/>
      <w:r/>
      <w:bookmarkEnd w:id="75"/>
      <w:r/>
      <w:r/>
    </w:p>
    <w:p>
      <w:pPr>
        <w:pStyle w:val="1020"/>
        <w:numPr>
          <w:ilvl w:val="0"/>
          <w:numId w:val="0"/>
        </w:numPr>
        <w:ind w:firstLine="482"/>
        <w:rPr>
          <w:rFonts w:hint="eastAsia" w:asciiTheme="minorEastAsia" w:hAnsiTheme="minorEastAsia" w:eastAsiaTheme="minorEastAsia" w:cstheme="minorEastAsia"/>
          <w:b/>
          <w:bCs/>
          <w:sz w:val="24"/>
          <w:szCs w:val="24"/>
        </w:rPr>
        <w:outlineLvl w:val="2"/>
      </w:pPr>
      <w:r/>
      <w:bookmarkStart w:id="76" w:name="_Hlt26954734"/>
      <w:r/>
      <w:bookmarkEnd w:id="76"/>
      <w:r/>
      <w:bookmarkStart w:id="77" w:name="_Hlt26670489"/>
      <w:r/>
      <w:bookmarkEnd w:id="77"/>
      <w:r/>
      <w:bookmarkStart w:id="78" w:name="_Hlt26954850"/>
      <w:r/>
      <w:bookmarkEnd w:id="78"/>
      <w:r/>
      <w:bookmarkStart w:id="79" w:name="_Toc14577360"/>
      <w:r/>
      <w:bookmarkStart w:id="80" w:name="_Toc49090511"/>
      <w:r>
        <w:rPr>
          <w:rFonts w:hint="eastAsia" w:asciiTheme="minorEastAsia" w:hAnsiTheme="minorEastAsia" w:eastAsiaTheme="minorEastAsia" w:cstheme="minorEastAsia"/>
          <w:b/>
          <w:bCs/>
          <w:sz w:val="24"/>
          <w:szCs w:val="24"/>
          <w:lang w:val="en-US" w:eastAsia="zh-CN"/>
        </w:rPr>
        <w:t xml:space="preserve">7</w:t>
      </w:r>
      <w:r>
        <w:rPr>
          <w:rFonts w:hint="eastAsia" w:asciiTheme="minorEastAsia" w:hAnsiTheme="minorEastAsia" w:eastAsiaTheme="minorEastAsia" w:cstheme="minorEastAsia"/>
          <w:b/>
          <w:bCs/>
          <w:sz w:val="24"/>
          <w:szCs w:val="24"/>
        </w:rPr>
        <w:t xml:space="preserve">、投标有效期</w:t>
      </w:r>
      <w:bookmarkEnd w:id="79"/>
      <w:r/>
      <w:bookmarkEnd w:id="80"/>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7</w:t>
      </w:r>
      <w:r>
        <w:rPr>
          <w:rFonts w:hint="eastAsia" w:asciiTheme="minorEastAsia" w:hAnsiTheme="minorEastAsia" w:eastAsiaTheme="minorEastAsia" w:cstheme="minorEastAsia"/>
          <w:color w:val="auto"/>
          <w:sz w:val="24"/>
          <w:szCs w:val="24"/>
          <w:lang w:val="zh-CN"/>
        </w:rPr>
        <w:t xml:space="preserve">.1 投标有效期为交易中心规定的开标之日后</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lang w:val="zh-CN"/>
        </w:rPr>
        <w:t xml:space="preserve">十天。投标有效期比规定短的将被视为未实质性响应招标文件而予以拒绝。</w:t>
      </w:r>
      <w:r/>
    </w:p>
    <w:p>
      <w:pPr>
        <w:pStyle w:val="1020"/>
        <w:numPr>
          <w:ilvl w:val="0"/>
          <w:numId w:val="0"/>
        </w:numPr>
        <w:ind w:firstLine="482"/>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lang w:val="en-US" w:eastAsia="zh-CN"/>
        </w:rPr>
        <w:t xml:space="preserve">8</w:t>
      </w:r>
      <w:r>
        <w:rPr>
          <w:rFonts w:hint="eastAsia" w:asciiTheme="minorEastAsia" w:hAnsiTheme="minorEastAsia" w:eastAsiaTheme="minorEastAsia" w:cstheme="minorEastAsia"/>
          <w:b/>
          <w:bCs/>
          <w:sz w:val="24"/>
          <w:szCs w:val="24"/>
        </w:rPr>
        <w:t xml:space="preserve">、投标有效期的延长</w:t>
      </w:r>
      <w:r/>
    </w:p>
    <w:p>
      <w:pPr>
        <w:pStyle w:val="102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1030"/>
        <w:jc w:val="both"/>
        <w:pageBreakBefore w:val="0"/>
        <w:spacing w:before="145" w:beforeAutospacing="0" w:after="145" w:afterAutospacing="0" w:line="360" w:lineRule="auto"/>
        <w:widowControl w:val="off"/>
        <w:rPr>
          <w:rFonts w:hint="eastAsia" w:asciiTheme="minorEastAsia" w:hAnsiTheme="minorEastAsia" w:eastAsiaTheme="minorEastAsia" w:cstheme="minorEastAsia"/>
          <w:b/>
          <w:bCs/>
          <w:color w:val="auto"/>
          <w:sz w:val="24"/>
          <w:szCs w:val="24"/>
        </w:rPr>
      </w:pPr>
      <w:r/>
      <w:bookmarkStart w:id="81" w:name="_Toc120614217"/>
      <w:r/>
      <w:bookmarkStart w:id="82" w:name="_Toc513029224"/>
      <w:r/>
      <w:bookmarkStart w:id="83" w:name="_Toc16938540"/>
      <w:r/>
      <w:bookmarkStart w:id="84" w:name="_Toc20823296"/>
      <w:r>
        <w:rPr>
          <w:rFonts w:hint="eastAsia" w:asciiTheme="minorEastAsia" w:hAnsiTheme="minorEastAsia" w:eastAsiaTheme="minorEastAsia" w:cstheme="minorEastAsia"/>
          <w:b/>
          <w:bCs/>
          <w:color w:val="auto"/>
          <w:sz w:val="24"/>
          <w:szCs w:val="24"/>
        </w:rPr>
        <w:t xml:space="preserve">四、投标文件的递交</w:t>
      </w:r>
      <w:bookmarkEnd w:id="81"/>
      <w:r/>
      <w:bookmarkEnd w:id="82"/>
      <w:r/>
      <w:bookmarkEnd w:id="83"/>
      <w:r/>
      <w:bookmarkEnd w:id="84"/>
      <w:r/>
      <w:r/>
    </w:p>
    <w:p>
      <w:pPr>
        <w:pStyle w:val="1020"/>
        <w:numPr>
          <w:ilvl w:val="0"/>
          <w:numId w:val="0"/>
        </w:numPr>
        <w:ind w:firstLine="482"/>
        <w:pageBreakBefore w:val="0"/>
        <w:widowControl w:val="off"/>
        <w:rPr>
          <w:rFonts w:hint="eastAsia" w:asciiTheme="minorEastAsia" w:hAnsiTheme="minorEastAsia" w:eastAsiaTheme="minorEastAsia" w:cstheme="minorEastAsia"/>
          <w:b/>
          <w:bCs/>
          <w:sz w:val="24"/>
          <w:szCs w:val="24"/>
        </w:rPr>
        <w:outlineLvl w:val="2"/>
      </w:pPr>
      <w:r/>
      <w:bookmarkStart w:id="85" w:name="_Toc20823297"/>
      <w:r/>
      <w:bookmarkStart w:id="86" w:name="_Toc513029225"/>
      <w:r/>
      <w:bookmarkStart w:id="87" w:name="_Toc16938541"/>
      <w:r/>
      <w:bookmarkStart w:id="88" w:name="_Toc462564084"/>
      <w:r>
        <w:rPr>
          <w:rFonts w:hint="eastAsia" w:asciiTheme="minorEastAsia" w:hAnsiTheme="minorEastAsia" w:eastAsia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rPr>
        <w:t xml:space="preserve">、投标文件</w:t>
      </w:r>
      <w:bookmarkEnd w:id="85"/>
      <w:r/>
      <w:bookmarkEnd w:id="86"/>
      <w:r/>
      <w:bookmarkEnd w:id="87"/>
      <w:r/>
      <w:bookmarkEnd w:id="88"/>
      <w:r>
        <w:rPr>
          <w:rFonts w:hint="eastAsia" w:asciiTheme="minorEastAsia" w:hAnsiTheme="minorEastAsia" w:eastAsiaTheme="minorEastAsia" w:cstheme="minorEastAsia"/>
          <w:b/>
          <w:bCs/>
          <w:sz w:val="24"/>
          <w:szCs w:val="24"/>
        </w:rPr>
        <w:t xml:space="preserve">的递交</w:t>
      </w:r>
      <w:r/>
    </w:p>
    <w:p>
      <w:pPr>
        <w:pStyle w:val="102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.1 电子投标文件的递交</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投标人应当按照《操作手册》规定，在投标截止时间前制作并上传电子投标文件。</w:t>
      </w:r>
      <w:bookmarkStart w:id="89" w:name="_Toc16938542"/>
      <w:r/>
      <w:bookmarkStart w:id="90" w:name="_Toc20823298"/>
      <w:r/>
      <w:bookmarkStart w:id="91" w:name="_Toc513029226"/>
      <w:r/>
      <w:r/>
    </w:p>
    <w:p>
      <w:pPr>
        <w:pStyle w:val="1020"/>
        <w:numPr>
          <w:ilvl w:val="0"/>
          <w:numId w:val="0"/>
        </w:numPr>
        <w:ind w:firstLine="482"/>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、投标截止</w:t>
      </w:r>
      <w:bookmarkEnd w:id="89"/>
      <w:r/>
      <w:bookmarkEnd w:id="90"/>
      <w:r/>
      <w:bookmarkEnd w:id="91"/>
      <w:r>
        <w:rPr>
          <w:rFonts w:hint="eastAsia" w:asciiTheme="minorEastAsia" w:hAnsiTheme="minorEastAsia" w:eastAsiaTheme="minorEastAsia" w:cstheme="minorEastAsia"/>
          <w:b/>
          <w:bCs/>
          <w:sz w:val="24"/>
          <w:szCs w:val="24"/>
        </w:rPr>
        <w:t xml:space="preserve">时间</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lang w:val="zh-CN"/>
        </w:rPr>
        <w:t xml:space="preserve">.1 投标人上传电子投标文件的时间不得迟于招标公告中规定的投标截止时间。</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投标人应充分考虑到网络环境、网络带宽等风险因素，如因投标人自身原因造成的电子投标文件上传不成功的，按照本招标文件“第二章第6.1.2条规定”做无效投标处理。</w:t>
      </w:r>
      <w:r/>
    </w:p>
    <w:p>
      <w:pPr>
        <w:pStyle w:val="102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lang w:val="zh-CN"/>
        </w:rPr>
        <w:t xml:space="preserve">.2 交易中心可以按照规定，通过修改招标文件酌情延长投标截止时间，在此情况下，投标人的所有权利和义务以及投标人受制的截止时间均应以延长后新的截止时间为准。</w:t>
      </w:r>
      <w:r/>
    </w:p>
    <w:p>
      <w:pPr>
        <w:pStyle w:val="1020"/>
        <w:numPr>
          <w:ilvl w:val="0"/>
          <w:numId w:val="0"/>
        </w:numPr>
        <w:ind w:firstLine="482"/>
        <w:rPr>
          <w:rFonts w:hint="eastAsia" w:asciiTheme="minorEastAsia" w:hAnsiTheme="minorEastAsia" w:eastAsiaTheme="minorEastAsia" w:cstheme="minorEastAsia"/>
          <w:b/>
          <w:bCs/>
          <w:sz w:val="24"/>
          <w:szCs w:val="24"/>
        </w:rPr>
        <w:outlineLvl w:val="2"/>
      </w:pPr>
      <w:r/>
      <w:bookmarkStart w:id="92" w:name="_Toc20823299"/>
      <w:r/>
      <w:bookmarkStart w:id="93" w:name="_Toc513029227"/>
      <w:r/>
      <w:bookmarkStart w:id="94" w:name="_Toc16938543"/>
      <w:r>
        <w:rPr>
          <w:rFonts w:hint="eastAsia" w:asciiTheme="minorEastAsia" w:hAnsiTheme="minorEastAsia" w:eastAsia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、投标文件</w:t>
      </w:r>
      <w:bookmarkEnd w:id="92"/>
      <w:r/>
      <w:bookmarkEnd w:id="93"/>
      <w:r/>
      <w:bookmarkEnd w:id="94"/>
      <w:r>
        <w:rPr>
          <w:rFonts w:hint="eastAsia" w:asciiTheme="minorEastAsia" w:hAnsiTheme="minorEastAsia" w:eastAsiaTheme="minorEastAsia" w:cstheme="minorEastAsia"/>
          <w:b/>
          <w:bCs/>
          <w:sz w:val="24"/>
          <w:szCs w:val="24"/>
        </w:rPr>
        <w:t xml:space="preserve">的拒收</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lang w:val="zh-CN"/>
        </w:rPr>
        <w:t xml:space="preserve">.1</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交易中心拒绝接收投标截止时间后上传的任何投标文件。</w:t>
      </w:r>
      <w:r/>
    </w:p>
    <w:p>
      <w:pPr>
        <w:pStyle w:val="1020"/>
        <w:numPr>
          <w:ilvl w:val="0"/>
          <w:numId w:val="0"/>
        </w:numPr>
        <w:ind w:firstLine="482"/>
        <w:rPr>
          <w:rFonts w:hint="eastAsia" w:asciiTheme="minorEastAsia" w:hAnsiTheme="minorEastAsia" w:eastAsiaTheme="minorEastAsia" w:cstheme="minorEastAsia"/>
          <w:b/>
          <w:bCs/>
          <w:sz w:val="24"/>
          <w:szCs w:val="24"/>
        </w:rPr>
        <w:outlineLvl w:val="2"/>
      </w:pPr>
      <w:r/>
      <w:bookmarkStart w:id="95" w:name="_Toc16938544"/>
      <w:r/>
      <w:bookmarkStart w:id="96" w:name="_Toc20823300"/>
      <w:r/>
      <w:bookmarkStart w:id="97" w:name="_Toc513029228"/>
      <w:r>
        <w:rPr>
          <w:rFonts w:hint="eastAsia" w:asciiTheme="minorEastAsia" w:hAnsiTheme="minorEastAsia" w:eastAsia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、投标文件的撤回和修改</w:t>
      </w:r>
      <w:bookmarkEnd w:id="95"/>
      <w:r/>
      <w:bookmarkEnd w:id="96"/>
      <w:r/>
      <w:bookmarkEnd w:id="97"/>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lang w:val="zh-CN"/>
        </w:rPr>
        <w:t xml:space="preserve">.1 投标文件的撤回</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lang w:val="zh-CN"/>
        </w:rPr>
        <w:t xml:space="preserve">.1.1电子投标文件的撤回</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投标人可在投标截止时间前，撤回其电子投标文件，具体操作方法见《操作手册》。</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lang w:val="zh-CN"/>
        </w:rPr>
        <w:t xml:space="preserve">.1.2投标人撤回电子投标文件，则认为其不再参与本项目投标活动。</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lang w:val="zh-CN"/>
        </w:rPr>
        <w:t xml:space="preserve">.2 投标文件的修改</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lang w:val="zh-CN"/>
        </w:rPr>
        <w:t xml:space="preserve">.2.1投标人可在投标截止时间前，对其电子投标文件进行修改，具体操作方法见《操作手册》。</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lang w:val="zh-CN"/>
        </w:rPr>
        <w:t xml:space="preserve">.2.2在投标截止时间之后，投标人不得对其电子投标文件作任何修改。</w:t>
      </w:r>
      <w:r/>
    </w:p>
    <w:p>
      <w:pPr>
        <w:pStyle w:val="10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lang w:val="zh-CN"/>
        </w:rPr>
        <w:t xml:space="preserve">.3 在投标截止时间至招标文件中规定的投标有效期满之间的这段时间内，投标人不得撤回其投标。</w:t>
      </w:r>
      <w:r/>
    </w:p>
    <w:p>
      <w:pPr>
        <w:pStyle w:val="1020"/>
        <w:numPr>
          <w:ilvl w:val="0"/>
          <w:numId w:val="0"/>
        </w:numPr>
        <w:ind w:firstLine="482"/>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五、开标与评标</w:t>
      </w:r>
      <w:r/>
    </w:p>
    <w:p>
      <w:pPr>
        <w:pStyle w:val="1032"/>
        <w:spacing w:before="0" w:beforeAutospacing="0" w:after="0" w:afterAutospacing="0" w:line="360" w:lineRule="auto"/>
        <w:rPr>
          <w:rFonts w:hint="eastAsia" w:asciiTheme="minorEastAsia" w:hAnsiTheme="minorEastAsia" w:eastAsiaTheme="minorEastAsia" w:cstheme="minorEastAsia"/>
          <w:b/>
          <w:bCs/>
          <w:color w:val="auto"/>
          <w:sz w:val="24"/>
          <w:szCs w:val="24"/>
        </w:rPr>
      </w:pPr>
      <w:r/>
      <w:bookmarkStart w:id="98" w:name="_Toc16938546"/>
      <w:r/>
      <w:bookmarkStart w:id="99" w:name="_Toc20823302"/>
      <w:r/>
      <w:bookmarkStart w:id="100" w:name="_Toc513029230"/>
      <w:r>
        <w:rPr>
          <w:rFonts w:hint="eastAsia" w:asciiTheme="minorEastAsia" w:hAnsiTheme="minorEastAsia" w:eastAsia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、开标</w:t>
      </w:r>
      <w:bookmarkEnd w:id="98"/>
      <w:r/>
      <w:bookmarkEnd w:id="99"/>
      <w:r/>
      <w:bookmarkEnd w:id="100"/>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.1 交易中心将在招标公告中规定的时间和地点组织公开开标。投标人应当按照《操作手册》规定，参加开标活动并在苏采云系统规定的时间内对投标文件进行解密。</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.2</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开标仪式由交易中心组织。苏采云系统将自动对项目进行开标，并公布各投标人名称和投标价格。</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1.3</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投标人在开标过程中涉及到的投标文件解密、开标结果确认等工作，应按照《操作手册》规定执行。</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1.4</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投标人如果对开标过程和开标记录有疑义，应当根据《操作手册》规定提出，如苏采云系统中《开标记录表》公布后5分钟内未提出的，视同认可开标结果。</w:t>
      </w:r>
      <w:r/>
    </w:p>
    <w:p>
      <w:pPr>
        <w:pStyle w:val="1032"/>
        <w:spacing w:before="0" w:beforeAutospacing="0" w:after="0" w:afterAutospacing="0" w:line="360" w:lineRule="auto"/>
        <w:rPr>
          <w:rFonts w:hint="eastAsia" w:asciiTheme="minorEastAsia" w:hAnsiTheme="minorEastAsia" w:eastAsiaTheme="minorEastAsia" w:cstheme="minorEastAsia"/>
          <w:b/>
          <w:bCs/>
          <w:color w:val="auto"/>
          <w:sz w:val="24"/>
          <w:szCs w:val="24"/>
        </w:rPr>
      </w:pPr>
      <w:r/>
      <w:bookmarkStart w:id="101" w:name="_Toc20823303"/>
      <w:r/>
      <w:bookmarkStart w:id="102" w:name="_Toc16938547"/>
      <w:r/>
      <w:bookmarkStart w:id="103" w:name="_Toc513029231"/>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、评标</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lang w:val="zh-CN"/>
        </w:rPr>
        <w:t xml:space="preserve">.1 交易中心将组织评标委员会（以下简称评委会）进行评标。</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lang w:val="zh-CN"/>
        </w:rPr>
        <w:t xml:space="preserve">.2 评委会由采购人代表和有关技术、经济等方面的专家组成，且人员构成符合政府采购有关规定。</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lang w:val="zh-CN"/>
        </w:rPr>
        <w:t xml:space="preserve">.3</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评委会独立工作，负责评审所有投标文件并</w:t>
      </w:r>
      <w:r>
        <w:rPr>
          <w:rFonts w:hint="eastAsia" w:asciiTheme="minorEastAsia" w:hAnsiTheme="minorEastAsia" w:eastAsiaTheme="minorEastAsia" w:cstheme="minorEastAsia"/>
          <w:color w:val="auto"/>
          <w:sz w:val="24"/>
          <w:szCs w:val="24"/>
        </w:rPr>
        <w:t xml:space="preserve">推荐</w:t>
      </w:r>
      <w:r>
        <w:rPr>
          <w:rFonts w:hint="eastAsia" w:asciiTheme="minorEastAsia" w:hAnsiTheme="minorEastAsia" w:eastAsiaTheme="minorEastAsia" w:cstheme="minorEastAsia"/>
          <w:color w:val="auto"/>
          <w:sz w:val="24"/>
          <w:szCs w:val="24"/>
          <w:lang w:val="zh-CN"/>
        </w:rPr>
        <w:t xml:space="preserve">中标候选人，</w:t>
      </w:r>
      <w:r>
        <w:rPr>
          <w:rFonts w:hint="eastAsia" w:asciiTheme="minorEastAsia" w:hAnsiTheme="minorEastAsia" w:eastAsiaTheme="minorEastAsia" w:cstheme="minorEastAsia"/>
          <w:color w:val="auto"/>
          <w:sz w:val="24"/>
          <w:szCs w:val="24"/>
        </w:rPr>
        <w:t xml:space="preserve">或根据采购人委托直接确定中标人</w:t>
      </w:r>
      <w:r>
        <w:rPr>
          <w:rFonts w:hint="eastAsia" w:asciiTheme="minorEastAsia" w:hAnsiTheme="minorEastAsia" w:eastAsiaTheme="minorEastAsia" w:cstheme="minorEastAsia"/>
          <w:color w:val="auto"/>
          <w:sz w:val="24"/>
          <w:szCs w:val="24"/>
          <w:lang w:val="zh-CN"/>
        </w:rPr>
        <w:t xml:space="preserve">。</w:t>
      </w:r>
      <w:r/>
    </w:p>
    <w:p>
      <w:pPr>
        <w:pStyle w:val="1032"/>
        <w:spacing w:before="0" w:beforeAutospacing="0" w:after="0" w:afterAutospacing="0"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、评标过程的保密与公正</w:t>
      </w:r>
      <w:bookmarkEnd w:id="101"/>
      <w:r/>
      <w:bookmarkEnd w:id="102"/>
      <w:r/>
      <w:bookmarkEnd w:id="103"/>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lang w:val="zh-CN"/>
        </w:rPr>
        <w:t xml:space="preserve">.1</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凡是与审查、澄清、评价和比较投标的有关资料以及授标建议等，采购人、评委、交易中心均不得向投标人或与评标无关的其他人员透露。</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3.2</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在评标过程中，投标人不得以任何行为影响评标过程，否则其投标文件将被作为无效投标文件。</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3.3 交易中心和评委会不向未中标的投标人解释未中标原因，也不公布评标过程中的相关细节。</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3.4 采用综合评分法的项目，未中标的投标人可于中标结果公告期限届满之日起通过苏采云系统查看自己的评审得分及排序情况。</w:t>
      </w:r>
      <w:r/>
    </w:p>
    <w:p>
      <w:pPr>
        <w:pStyle w:val="1032"/>
        <w:spacing w:before="0" w:beforeAutospacing="0" w:after="0" w:afterAutospacing="0" w:line="360" w:lineRule="auto"/>
        <w:rPr>
          <w:rFonts w:hint="eastAsia" w:asciiTheme="minorEastAsia" w:hAnsiTheme="minorEastAsia" w:eastAsiaTheme="minorEastAsia" w:cstheme="minorEastAsia"/>
          <w:b/>
          <w:bCs/>
          <w:color w:val="auto"/>
          <w:sz w:val="24"/>
          <w:szCs w:val="24"/>
        </w:rPr>
      </w:pPr>
      <w:r/>
      <w:bookmarkStart w:id="104" w:name="_Toc16938548"/>
      <w:r/>
      <w:bookmarkStart w:id="105" w:name="_Toc20823304"/>
      <w:r/>
      <w:bookmarkStart w:id="106" w:name="_Toc513029232"/>
      <w:r>
        <w:rPr>
          <w:rFonts w:hint="eastAsia" w:asciiTheme="minorEastAsia" w:hAnsiTheme="minorEastAsia" w:eastAsiaTheme="minorEastAsia" w:cstheme="minorEastAsia"/>
          <w:b/>
          <w:bCs/>
          <w:color w:val="auto"/>
          <w:sz w:val="24"/>
          <w:szCs w:val="24"/>
        </w:rPr>
        <w:t xml:space="preserve">4、投标文件的澄清</w:t>
      </w:r>
      <w:bookmarkEnd w:id="104"/>
      <w:r/>
      <w:bookmarkEnd w:id="105"/>
      <w:r/>
      <w:bookmarkEnd w:id="106"/>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4.1</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评标期间，评委会对投标文件中含义不明确、同类问题表述不一致或者有明显文字和计算错误的内容，有权要求投标人作出必要的澄清、说明或者补正。</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投标人的澄清、说明或者补正不得超出投标文件的范围或者改变投标文件的实质性内容。</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评委会并非对每个投标人都做澄清要求。</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4.2</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4.3 接到评委会澄清、说明和补正要求的投标人如未按规定做出澄清、说明和补正，其风险由投标人自行承担。</w:t>
      </w:r>
      <w:r/>
    </w:p>
    <w:p>
      <w:pPr>
        <w:pStyle w:val="1032"/>
        <w:spacing w:before="0" w:beforeAutospacing="0" w:after="0" w:afterAutospacing="0" w:line="360" w:lineRule="auto"/>
        <w:rPr>
          <w:rFonts w:hint="eastAsia" w:asciiTheme="minorEastAsia" w:hAnsiTheme="minorEastAsia" w:eastAsiaTheme="minorEastAsia" w:cstheme="minorEastAsia"/>
          <w:b/>
          <w:bCs/>
          <w:color w:val="auto"/>
          <w:sz w:val="24"/>
          <w:szCs w:val="24"/>
        </w:rPr>
      </w:pPr>
      <w:r/>
      <w:bookmarkStart w:id="107" w:name="_Toc513029233"/>
      <w:r/>
      <w:bookmarkStart w:id="108" w:name="_Toc20823305"/>
      <w:r/>
      <w:bookmarkStart w:id="109" w:name="_Toc16938549"/>
      <w:r>
        <w:rPr>
          <w:rFonts w:hint="eastAsia" w:asciiTheme="minorEastAsia" w:hAnsiTheme="minorEastAsia" w:eastAsiaTheme="minorEastAsia" w:cstheme="minorEastAsia"/>
          <w:b/>
          <w:bCs/>
          <w:color w:val="auto"/>
          <w:sz w:val="24"/>
          <w:szCs w:val="24"/>
        </w:rPr>
        <w:t xml:space="preserve">5、对投标文件的初审</w:t>
      </w:r>
      <w:bookmarkEnd w:id="107"/>
      <w:r/>
      <w:bookmarkEnd w:id="108"/>
      <w:r/>
      <w:bookmarkEnd w:id="109"/>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5.1</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投标文件初审分为资格审查和符合性审查。</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5.1.1资格审查：依据法律法规和招标文件的规定，由采购人对投标文件中的资格证明文件进行审查。资格审查的结论，采购人以书面形式向评委会进行反馈。</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采购人在进行资格性审查的同时，将在“信用中国”网站（www.creditchina.gov.cn）“中国政府采购网”(www.ccgp.gov.cn)）；查询投标人的信用记录，以确定投标人是否具备投标资格，查询结果留存并归档。</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5.1.2符合性审查：依据招标文件的规定，由评委会从投标文件的有效性、完整性和对招标文件的响应程度进行审查，以确定是否对招标文件的实质性要求作出响应。</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5.1.3未通过资格审查或符合性审查的投标人，交易中心将在苏采云系统中告知</w:t>
      </w:r>
      <w:r>
        <w:rPr>
          <w:rFonts w:hint="eastAsia" w:asciiTheme="minorEastAsia" w:hAnsiTheme="minorEastAsia" w:eastAsiaTheme="minorEastAsia" w:cstheme="minorEastAsia"/>
          <w:color w:val="auto"/>
          <w:sz w:val="24"/>
          <w:szCs w:val="24"/>
        </w:rPr>
        <w:t xml:space="preserve">具体</w:t>
      </w:r>
      <w:r>
        <w:rPr>
          <w:rFonts w:hint="eastAsia" w:asciiTheme="minorEastAsia" w:hAnsiTheme="minorEastAsia" w:eastAsiaTheme="minorEastAsia" w:cstheme="minorEastAsia"/>
          <w:color w:val="auto"/>
          <w:sz w:val="24"/>
          <w:szCs w:val="24"/>
          <w:lang w:val="zh-CN"/>
        </w:rPr>
        <w:t xml:space="preserve">原因，评标结束后，交易中心将不再告知未通过资格审查和符合性审查的原因。</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5.2</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在详细评</w:t>
      </w:r>
      <w:r>
        <w:rPr>
          <w:rFonts w:hint="eastAsia" w:asciiTheme="minorEastAsia" w:hAnsiTheme="minorEastAsia" w:eastAsiaTheme="minorEastAsia" w:cstheme="minorEastAsia"/>
          <w:color w:val="auto"/>
          <w:sz w:val="24"/>
          <w:szCs w:val="24"/>
        </w:rPr>
        <w:t xml:space="preserve">审</w:t>
      </w:r>
      <w:r>
        <w:rPr>
          <w:rFonts w:hint="eastAsia" w:asciiTheme="minorEastAsia" w:hAnsiTheme="minorEastAsia" w:eastAsiaTheme="minorEastAsia" w:cstheme="minorEastAsia"/>
          <w:color w:val="auto"/>
          <w:sz w:val="24"/>
          <w:szCs w:val="24"/>
          <w:lang w:val="zh-CN"/>
        </w:rPr>
        <w:t xml:space="preserve">之前，评委会将首先审查每份投标文件是否实质性响应了招标文件的要求。实质性响应的投标文件应该是与招标文件要求的全部条款、条件和规格相符，没有重大偏离或保留的文件。</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所谓重大偏离或保留是指与招标文件规定的实质性要求存在负偏离，或者在实质上与招标文件不一致，而且限制了合同中</w:t>
      </w:r>
      <w:r>
        <w:rPr>
          <w:rFonts w:hint="eastAsia" w:asciiTheme="minorEastAsia" w:hAnsiTheme="minorEastAsia" w:eastAsiaTheme="minorEastAsia" w:cstheme="minorEastAsia"/>
          <w:color w:val="auto"/>
          <w:sz w:val="24"/>
          <w:szCs w:val="24"/>
        </w:rPr>
        <w:t xml:space="preserve">采购人</w:t>
      </w:r>
      <w:r>
        <w:rPr>
          <w:rFonts w:hint="eastAsia" w:asciiTheme="minorEastAsia" w:hAnsiTheme="minorEastAsia" w:eastAsiaTheme="minorEastAsia" w:cstheme="minorEastAsia"/>
          <w:color w:val="auto"/>
          <w:sz w:val="24"/>
          <w:szCs w:val="24"/>
          <w:lang w:val="zh-CN"/>
        </w:rPr>
        <w:t xml:space="preserve">和交易中心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5.3</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如果投标文件实质上没有响应招标文件的要求，评委会将予以拒绝，投标人不得通过修改或撤销不合要求的偏离或保留而使其投标成为实质性响应的投标。</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5.4</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评委会将对确定为实质性响应的投标进行进一步审核，确定其是否有计算上或累加上的算术错误，修正错误的原则如下：</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（1）投标文件中开标一览表内容与投标文件中相应内容不一致的，以开标一览表为准。</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（2）大写金额和小写金额不一致的，以大写金额为准。</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（3）单价金额小数点或者百分比有明显错位的，以开标一览表的总价为准，并修改单价。</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（4）总价金额与按单价汇总金额不一致的，以单价金额计算结果为准。</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同时出现两种以上错误的，按照前款规定的顺序修正。</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5.5 评委会将按上述修正错误的方法调整投标文件中的投标报价，并通过苏采云系统告知投标人，调整后的价格应对投标人具有约束力。如果投标人不接受修正后的价格，则其投标将被拒绝。</w:t>
      </w:r>
      <w:r/>
    </w:p>
    <w:p>
      <w:pPr>
        <w:pStyle w:val="1020"/>
        <w:spacing w:line="360" w:lineRule="auto"/>
        <w:rPr>
          <w:rFonts w:hint="eastAsia" w:asciiTheme="minorEastAsia" w:hAnsiTheme="minorEastAsia" w:eastAsiaTheme="minorEastAsia" w:cstheme="minorEastAsia"/>
          <w:color w:val="auto"/>
          <w:sz w:val="24"/>
          <w:szCs w:val="24"/>
        </w:rPr>
      </w:pPr>
      <w:r/>
      <w:bookmarkStart w:id="110" w:name="_Toc513029234"/>
      <w:r/>
      <w:bookmarkStart w:id="111" w:name="_Toc20823306"/>
      <w:r/>
      <w:bookmarkStart w:id="112" w:name="_Toc16938550"/>
      <w:r>
        <w:rPr>
          <w:rFonts w:hint="eastAsia" w:asciiTheme="minorEastAsia" w:hAnsiTheme="minorEastAsia" w:eastAsiaTheme="minorEastAsia" w:cstheme="minorEastAsia"/>
          <w:color w:val="auto"/>
          <w:sz w:val="24"/>
          <w:szCs w:val="24"/>
          <w:lang w:val="zh-CN"/>
        </w:rPr>
        <w:t xml:space="preserve">5.6</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投标人在开、评标全过程中应保持通讯畅通，及时登录苏采云系统查阅、答复相关信息，并安排专人与交易中心及评委会联系。</w:t>
      </w:r>
      <w:r/>
    </w:p>
    <w:p>
      <w:pPr>
        <w:pStyle w:val="1032"/>
        <w:spacing w:before="0" w:beforeAutospacing="0" w:after="0" w:afterAutospacing="0" w:line="36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6、</w:t>
      </w:r>
      <w:bookmarkEnd w:id="110"/>
      <w:r/>
      <w:bookmarkEnd w:id="111"/>
      <w:r/>
      <w:bookmarkEnd w:id="112"/>
      <w:r>
        <w:rPr>
          <w:rFonts w:hint="eastAsia" w:asciiTheme="minorEastAsia" w:hAnsiTheme="minorEastAsia" w:eastAsiaTheme="minorEastAsia" w:cstheme="minorEastAsia"/>
          <w:b w:val="0"/>
          <w:bCs w:val="0"/>
          <w:color w:val="auto"/>
          <w:sz w:val="24"/>
          <w:szCs w:val="24"/>
        </w:rPr>
        <w:t xml:space="preserve">无效投标条款和废标条款</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6.1</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无效投标条款</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6.1.1投标人在苏采云系统规定的时间内未成功解密电子投标文件的。</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6.1.2投标人未按照招标文件要求上传电子投标文件的。</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6.1.3同一投标人提交两个（含两个）以上不同的投标报价的。</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6.1.4投标人不具备招标文件中规定资格要求的。</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6.1.5投标人的报价超过了采购预算或最高限价的。</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6.1.6未通过符合性审查的。</w:t>
      </w:r>
      <w:r/>
    </w:p>
    <w:p>
      <w:pPr>
        <w:pStyle w:val="1020"/>
        <w:spacing w:line="360" w:lineRule="auto"/>
        <w:rPr>
          <w:rFonts w:hint="eastAsia" w:asciiTheme="minorEastAsia" w:hAnsiTheme="minorEastAsia" w:eastAsiaTheme="minorEastAsia" w:cstheme="minorEastAsia"/>
          <w:color w:val="auto"/>
          <w:sz w:val="24"/>
          <w:szCs w:val="24"/>
          <w:highlight w:val="yellow"/>
          <w:lang w:val="zh-CN"/>
        </w:rPr>
      </w:pPr>
      <w:r>
        <w:rPr>
          <w:rFonts w:hint="eastAsia" w:asciiTheme="minorEastAsia" w:hAnsiTheme="minorEastAsia" w:eastAsiaTheme="minorEastAsia" w:cstheme="minorEastAsia"/>
          <w:color w:val="auto"/>
          <w:sz w:val="24"/>
          <w:szCs w:val="24"/>
          <w:lang w:val="zh-CN"/>
        </w:rPr>
        <w:t xml:space="preserve">6.1.7</w:t>
      </w:r>
      <w:r>
        <w:rPr>
          <w:rFonts w:hint="eastAsia" w:asciiTheme="minorEastAsia" w:hAnsiTheme="minorEastAsia" w:eastAsiaTheme="minorEastAsia" w:cstheme="minorEastAsia"/>
          <w:color w:val="auto"/>
          <w:sz w:val="24"/>
          <w:szCs w:val="24"/>
          <w:highlight w:val="none"/>
          <w:lang w:val="zh-CN"/>
        </w:rPr>
        <w:t xml:space="preserve">不符合招标文件中规定的实质性要求和条件的（本招标文件中斜体且有下划线部分，或者打“</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zh-CN"/>
        </w:rPr>
        <w:t xml:space="preserve">”内容为实质性要求和条件）。</w:t>
      </w:r>
      <w:r/>
    </w:p>
    <w:p>
      <w:pPr>
        <w:pStyle w:val="1020"/>
        <w:spacing w:line="360" w:lineRule="auto"/>
        <w:rPr>
          <w:rFonts w:hint="eastAsia" w:asciiTheme="minorEastAsia" w:hAnsiTheme="minorEastAsia" w:eastAsiaTheme="minorEastAsia" w:cstheme="minorEastAsia"/>
          <w:color w:val="0000ff"/>
          <w:sz w:val="24"/>
          <w:szCs w:val="24"/>
        </w:rPr>
      </w:pPr>
      <w:r>
        <w:rPr>
          <w:rFonts w:hint="eastAsia" w:asciiTheme="minorEastAsia" w:hAnsiTheme="minorEastAsia" w:eastAsiaTheme="minorEastAsia" w:cstheme="minorEastAsia"/>
          <w:color w:val="auto"/>
          <w:sz w:val="24"/>
          <w:szCs w:val="24"/>
          <w:lang w:val="en-US" w:eastAsia="zh-CN"/>
        </w:rPr>
        <w:t xml:space="preserve">6.1.8</w:t>
      </w:r>
      <w:r>
        <w:rPr>
          <w:rFonts w:hint="eastAsia" w:asciiTheme="minorEastAsia" w:hAnsiTheme="minorEastAsia" w:eastAsiaTheme="minorEastAsia" w:cstheme="minorEastAsia"/>
          <w:color w:val="auto"/>
          <w:sz w:val="24"/>
          <w:szCs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6.1.</w:t>
      </w: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lang w:val="zh-CN"/>
        </w:rPr>
        <w:t xml:space="preserve">投标文件含有采购人不能接受的附加条件的。</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6.1.</w:t>
      </w:r>
      <w:r>
        <w:rPr>
          <w:rFonts w:hint="eastAsia" w:asciiTheme="minorEastAsia" w:hAnsiTheme="minorEastAsia" w:eastAsiaTheme="minorEastAsia" w:cstheme="minorEastAsia"/>
          <w:color w:val="auto"/>
          <w:sz w:val="24"/>
          <w:szCs w:val="24"/>
          <w:lang w:val="en-US" w:eastAsia="zh-CN"/>
        </w:rPr>
        <w:t xml:space="preserve">10</w:t>
      </w:r>
      <w:r>
        <w:rPr>
          <w:rFonts w:hint="eastAsia" w:asciiTheme="minorEastAsia" w:hAnsiTheme="minorEastAsia" w:eastAsiaTheme="minorEastAsia" w:cstheme="minorEastAsia"/>
          <w:color w:val="auto"/>
          <w:sz w:val="24"/>
          <w:szCs w:val="24"/>
          <w:lang w:val="zh-CN"/>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pStyle w:val="102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zh-CN"/>
        </w:rPr>
        <w:t xml:space="preserve">6.1.1</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rPr>
          <w:rFonts w:hint="eastAsia" w:asciiTheme="minorEastAsia" w:hAnsiTheme="minorEastAsia" w:eastAsiaTheme="minorEastAsia" w:cstheme="minorEastAsia"/>
          <w:color w:val="auto"/>
          <w:sz w:val="24"/>
          <w:szCs w:val="24"/>
          <w:lang w:eastAsia="zh-CN"/>
        </w:rPr>
        <w:t xml:space="preserve">。</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6.1.1</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lang w:val="zh-CN"/>
        </w:rPr>
        <w:t xml:space="preserve">投标文件未按照招标文件要求加盖CA电子公章的。</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6.1.1</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lang w:val="zh-CN"/>
        </w:rPr>
        <w:t xml:space="preserve">其他法律、法规及本招标文件规定的属无效投标的情形。</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6.2</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废标条款</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6.2.1符合专业条件的供应商或者对招标文件作实质响应的供应商不足三家的。</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6.2.2出现影响采购公正的违法、违规行为的。</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6.2.3因重大变故，采购任务取消的。</w:t>
      </w:r>
      <w:r/>
    </w:p>
    <w:p>
      <w:pPr>
        <w:pStyle w:val="102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6.2.4评委会认定招标文件存在歧义、重大缺陷导致评审工作无法进行。</w:t>
      </w:r>
      <w:r/>
    </w:p>
    <w:p>
      <w:pPr>
        <w:pStyle w:val="102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6.2.5因苏采云系统故障原因造成开标不成功的。</w:t>
      </w:r>
      <w:r/>
    </w:p>
    <w:p>
      <w:pPr>
        <w:pStyle w:val="102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6.3 投标截止时间后参加投标的供应商不足三家的处理</w:t>
      </w:r>
      <w:r/>
    </w:p>
    <w:p>
      <w:pPr>
        <w:pStyle w:val="102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6.3.1如出现投标截止时间后参加投标的供应商或者在评标期间对招标文件做出实质响应的供应商不足三家情况，按政府采购相关规定执行。</w:t>
      </w:r>
      <w:bookmarkStart w:id="113" w:name="_Toc16938551"/>
      <w:r/>
      <w:bookmarkEnd w:id="113"/>
      <w:r/>
      <w:bookmarkStart w:id="114" w:name="_Toc20823307"/>
      <w:r/>
      <w:bookmarkEnd w:id="114"/>
      <w:r/>
      <w:bookmarkStart w:id="115" w:name="_Toc513029235"/>
      <w:r/>
      <w:bookmarkEnd w:id="115"/>
      <w:r/>
      <w:r/>
    </w:p>
    <w:p>
      <w:pPr>
        <w:pStyle w:val="1020"/>
        <w:spacing w:line="360" w:lineRule="auto"/>
        <w:rPr>
          <w:rFonts w:hint="eastAsia" w:asciiTheme="minorEastAsia" w:hAnsiTheme="minorEastAsia" w:eastAsiaTheme="minorEastAsia" w:cstheme="minorEastAsia"/>
          <w:b/>
          <w:bCs/>
          <w:color w:val="auto"/>
          <w:sz w:val="24"/>
          <w:szCs w:val="24"/>
          <w:lang w:val="zh-CN"/>
        </w:rPr>
      </w:pPr>
      <w:r/>
      <w:bookmarkStart w:id="116" w:name="_Toc120614219"/>
      <w:r>
        <w:rPr>
          <w:rFonts w:hint="eastAsia" w:asciiTheme="minorEastAsia" w:hAnsiTheme="minorEastAsia" w:eastAsiaTheme="minorEastAsia" w:cstheme="minorEastAsia"/>
          <w:b/>
          <w:bCs/>
          <w:color w:val="auto"/>
          <w:sz w:val="24"/>
          <w:szCs w:val="24"/>
          <w:lang w:val="en-US" w:eastAsia="zh-CN"/>
        </w:rPr>
        <w:t xml:space="preserve">六、</w:t>
      </w:r>
      <w:r>
        <w:rPr>
          <w:rFonts w:hint="eastAsia" w:asciiTheme="minorEastAsia" w:hAnsiTheme="minorEastAsia" w:eastAsiaTheme="minorEastAsia" w:cstheme="minorEastAsia"/>
          <w:b/>
          <w:bCs/>
          <w:color w:val="auto"/>
          <w:sz w:val="24"/>
          <w:szCs w:val="24"/>
          <w:lang w:val="zh-CN"/>
        </w:rPr>
        <w:t xml:space="preserve">定标</w:t>
      </w:r>
      <w:bookmarkEnd w:id="116"/>
      <w:r/>
      <w:bookmarkStart w:id="117" w:name="_Toc20823310"/>
      <w:r/>
      <w:bookmarkEnd w:id="117"/>
      <w:r/>
      <w:bookmarkStart w:id="118" w:name="_Toc16938554"/>
      <w:r/>
      <w:bookmarkEnd w:id="118"/>
      <w:r/>
      <w:bookmarkStart w:id="119" w:name="_Toc513029238"/>
      <w:r/>
      <w:r/>
    </w:p>
    <w:p>
      <w:pPr>
        <w:pStyle w:val="1020"/>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w:t>
      </w:r>
      <w:bookmarkEnd w:id="119"/>
      <w:r>
        <w:rPr>
          <w:rFonts w:hint="eastAsia" w:asciiTheme="minorEastAsia" w:hAnsiTheme="minorEastAsia" w:eastAsiaTheme="minorEastAsia" w:cstheme="minorEastAsia"/>
          <w:color w:val="auto"/>
          <w:sz w:val="24"/>
          <w:szCs w:val="24"/>
          <w:lang w:val="zh-CN"/>
        </w:rPr>
        <w:t xml:space="preserve">确定</w:t>
      </w:r>
      <w:bookmarkStart w:id="120" w:name="_Toc20823310"/>
      <w:r/>
      <w:bookmarkEnd w:id="120"/>
      <w:r/>
      <w:bookmarkStart w:id="121" w:name="_Toc16938554"/>
      <w:r/>
      <w:bookmarkEnd w:id="121"/>
      <w:r>
        <w:rPr>
          <w:rFonts w:hint="eastAsia" w:asciiTheme="minorEastAsia" w:hAnsiTheme="minorEastAsia" w:eastAsiaTheme="minorEastAsia" w:cstheme="minorEastAsia"/>
          <w:color w:val="auto"/>
          <w:sz w:val="24"/>
          <w:szCs w:val="24"/>
          <w:lang w:val="zh-CN"/>
        </w:rPr>
        <w:t xml:space="preserve">中标单位</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.1 中标候选人的选取原则和数量见招标文件第五章规定。 </w:t>
      </w:r>
      <w:r/>
    </w:p>
    <w:p>
      <w:pPr>
        <w:pStyle w:val="102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.2 按以下第（</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）种方式确定中标人</w:t>
      </w:r>
      <w:r/>
    </w:p>
    <w:p>
      <w:pPr>
        <w:pStyle w:val="102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（1）评委会直接确定排名第一的中标候选人为中标人；</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（2）采购人在评委会推荐的中标候选人中按顺序确定中标人。</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按第二种方式确定中标人的，交易中心自评审结束之日起两个工作日内将评审报告送交采购人，采购人自收到评审报告之日起五个工作日内在评审报告推荐的中标候选人中按顺序确定中标人。</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.3 交易中心将在“江苏政府采购网”发布中标公告，公告期限为1个工作日。</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.4</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若有充分证据证明，中标人出现下列情况之一的，一经查实，将被取消中标资格：</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.4.1提供虚假材料谋取中标的。</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.4.2向采购人、交易中心行贿或者提供其他不正当利益的。</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.4.3属于本文件规定的无效条件，但在评标过程中又未被评委会发现的。</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.4.4与采购人或者其他供应商恶意串通的。</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.4.5采取不正当手段诋毁、排挤其他供应商的。</w:t>
      </w:r>
      <w:r/>
    </w:p>
    <w:p>
      <w:pPr>
        <w:pStyle w:val="1020"/>
        <w:spacing w:line="360" w:lineRule="auto"/>
        <w:rPr>
          <w:rFonts w:hint="eastAsia" w:asciiTheme="minorEastAsia" w:hAnsiTheme="minorEastAsia" w:eastAsiaTheme="minorEastAsia" w:cstheme="minorEastAsia"/>
          <w:color w:val="auto"/>
          <w:sz w:val="24"/>
          <w:szCs w:val="24"/>
        </w:rPr>
      </w:pPr>
      <w:r/>
      <w:bookmarkStart w:id="122" w:name="_Toc200451960"/>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.5</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有下列情形之一的，视为投标人串通投标，投标无效：</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.5.1不同投标人的投标文件由同一单位或者个人编制。</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.5.2不同投标人委托同一单位或者个人办理投标事宜。</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.5.3不同投标人的投标文件载明的项目管理成员或者联系人员为同一人。</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.5.4不同投标人的投标文件异常一致或者投标报价呈规律性差异。</w:t>
      </w:r>
      <w:r/>
    </w:p>
    <w:p>
      <w:pPr>
        <w:pStyle w:val="1031"/>
        <w:ind w:left="480"/>
        <w:jc w:val="both"/>
        <w:spacing w:before="0" w:beforeAutospacing="0" w:after="0" w:afterAutospacing="0"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、质疑处理</w:t>
      </w:r>
      <w:bookmarkEnd w:id="122"/>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2.1 提出质疑的供应商应当是参与所质疑项目采购活动的供应商。潜在供应商依法获取其可质疑的采购文件的，可以对采购文件提出质疑。</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2.2</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供应商认为采购文件、采购过程和采购结果使自己的权益受到损害的，可以在知道或应知其权益受到损害之日起七个工作日内，以书面形式根据下述2.4条款的规定向交易中心或采购人提出质疑。上述应知其权益受到损害之日，是指：</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2.2.1对可以质疑的采购文件提出质疑的，为收到采购文件之日或者采购文件公告期限届满之日。</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2.2.2对采购过程提出质疑的，为各采购程序环节结束之日。</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2.2.3对中标或者成交结果提出质疑的，为中标或者成交结果公告期限届满之日。</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2.3</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2.4</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供应商（含潜在供应商）对与本项目有关的所有询问、质疑均请向采购人提出，由采购人负责答复。</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交易中心和采购人只接收以纸质原件形式送达的质疑,建议供应商尽量通过邮寄方式提交质疑（交易中心和采购人不接受未填写快递运单的快件）。</w:t>
      </w:r>
      <w:r/>
    </w:p>
    <w:p>
      <w:pPr>
        <w:pStyle w:val="1020"/>
        <w:spacing w:line="360" w:lineRule="auto"/>
        <w:rPr>
          <w:rFonts w:hint="eastAsia" w:asciiTheme="minorEastAsia" w:hAnsiTheme="minorEastAsia" w:eastAsiaTheme="minorEastAsia" w:cstheme="minorEastAsia"/>
          <w:b/>
          <w:bCs/>
          <w:color w:val="auto"/>
          <w:sz w:val="24"/>
          <w:szCs w:val="24"/>
          <w:u w:val="single"/>
        </w:rPr>
      </w:pPr>
      <w:r>
        <w:rPr>
          <w:rFonts w:hint="eastAsia" w:asciiTheme="minorEastAsia" w:hAnsiTheme="minorEastAsia" w:eastAsiaTheme="minorEastAsia" w:cstheme="minorEastAsia"/>
          <w:b/>
          <w:bCs/>
          <w:color w:val="auto"/>
          <w:sz w:val="24"/>
          <w:szCs w:val="24"/>
          <w:u w:val="single"/>
          <w:lang w:val="zh-CN"/>
        </w:rPr>
        <w:t xml:space="preserve">采购人质疑接收人及联系方式见招标文件第一章。</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交易中心质疑接收部门为业务受理科(快递运单上的收件人填写“业务受理科”即可)，联系地址: 南京市六合区雄州街道龙池路</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lang w:val="zh-CN"/>
        </w:rPr>
        <w:t xml:space="preserve">33号市民中心四楼业务受理科，联系电话: 025-57130508。</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2.5 以下情形的质疑不予受理：</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2.5.1内容不符合《政府采购质疑和投诉办法》第十二条规定的质疑。</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2.5.2超出政府采购法定期限的质疑。</w:t>
      </w:r>
      <w:r/>
    </w:p>
    <w:p>
      <w:pPr>
        <w:pStyle w:val="1020"/>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2.5.3以传真、电子邮件等方式递交的非原件形式的质疑。</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2.5.4未参加投标活动的供应商或在投标活动中自身权益未受到损害的供应商所提出的质疑。</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2.5.5供应商组成联合体参加投标，联合体中任何一方或多方未按要求签字、盖章、加盖公章的质疑。</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2.6</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1031"/>
        <w:ind w:firstLine="241"/>
        <w:jc w:val="both"/>
        <w:spacing w:before="0" w:beforeAutospacing="0" w:after="0" w:afterAutospacing="0"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、中标通知书</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lang w:val="zh-CN"/>
        </w:rPr>
        <w:t xml:space="preserve">.</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 中标结果确定后，交易中心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lang w:val="zh-CN"/>
        </w:rPr>
        <w:t xml:space="preserve">.2</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zh-CN"/>
        </w:rPr>
        <w:t xml:space="preserve">中标通知书将是合同的一个组成部分。对采购人和中标人均具有法律效力。中标通知书发出后，采购人改变中标结果的，或者中标人放弃中标项目的，应当依法承担法律责任。</w:t>
      </w:r>
      <w:r/>
    </w:p>
    <w:p>
      <w:pPr>
        <w:pStyle w:val="1020"/>
        <w:numPr>
          <w:ilvl w:val="0"/>
          <w:numId w:val="0"/>
        </w:numPr>
        <w:ind w:firstLine="482"/>
        <w:rPr>
          <w:rFonts w:hint="eastAsia" w:asciiTheme="minorEastAsia" w:hAnsiTheme="minorEastAsia" w:eastAsiaTheme="minorEastAsia" w:cstheme="minorEastAsia"/>
          <w:b/>
          <w:bCs/>
          <w:sz w:val="24"/>
          <w:szCs w:val="24"/>
        </w:rPr>
        <w:outlineLvl w:val="1"/>
      </w:pPr>
      <w:r/>
      <w:bookmarkStart w:id="123" w:name="_Toc513029236"/>
      <w:r/>
      <w:bookmarkStart w:id="124" w:name="_Toc16938552"/>
      <w:r/>
      <w:bookmarkStart w:id="125" w:name="_Toc120614220"/>
      <w:r/>
      <w:bookmarkStart w:id="126" w:name="_Toc20823308"/>
      <w:r>
        <w:rPr>
          <w:rFonts w:hint="eastAsia" w:asciiTheme="minorEastAsia" w:hAnsiTheme="minorEastAsia" w:eastAsiaTheme="minorEastAsia" w:cstheme="minorEastAsia"/>
          <w:b/>
          <w:bCs/>
          <w:sz w:val="24"/>
          <w:szCs w:val="24"/>
        </w:rPr>
        <w:t xml:space="preserve">七、授予合同</w:t>
      </w:r>
      <w:bookmarkEnd w:id="123"/>
      <w:r/>
      <w:bookmarkEnd w:id="124"/>
      <w:r/>
      <w:bookmarkEnd w:id="125"/>
      <w:r/>
      <w:bookmarkEnd w:id="126"/>
      <w:r/>
      <w:bookmarkStart w:id="127" w:name="_Toc16938553"/>
      <w:r/>
      <w:bookmarkStart w:id="128" w:name="_Toc20823309"/>
      <w:r/>
      <w:bookmarkStart w:id="129" w:name="_Toc513029237"/>
      <w:r/>
      <w:r/>
    </w:p>
    <w:p>
      <w:pPr>
        <w:pStyle w:val="1020"/>
        <w:numPr>
          <w:ilvl w:val="0"/>
          <w:numId w:val="0"/>
        </w:numPr>
        <w:ind w:firstLine="482"/>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rPr>
        <w:t xml:space="preserve">、签订合同</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val="zh-CN"/>
        </w:rPr>
        <w:t xml:space="preserve">中标人应当在中标通知书发出之日起三十日内，按照招标文件确定的事项与采购人签订政府采购合同。</w:t>
      </w:r>
      <w:r/>
    </w:p>
    <w:p>
      <w:pPr>
        <w:pStyle w:val="1020"/>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val="zh-CN"/>
        </w:rPr>
        <w:t xml:space="preserve">.2 招标文件、中标人的投标文件及招标过程中有关澄清、承诺文件均应作为合同附件。</w:t>
      </w:r>
      <w:r/>
    </w:p>
    <w:p>
      <w:pPr>
        <w:pStyle w:val="1020"/>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1020"/>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val="zh-CN"/>
        </w:rPr>
        <w:t xml:space="preserve">.4 中标人因自身原因拒绝与采购人签订合同的，一年内不得参加采购人开展的所有政府采购活动。</w:t>
      </w:r>
      <w:r/>
    </w:p>
    <w:p>
      <w:pPr>
        <w:pStyle w:val="1020"/>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highlight w:val="none"/>
        </w:rPr>
        <w:outlineLvl w:val="2"/>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货物</w:t>
      </w:r>
      <w:r>
        <w:rPr>
          <w:rFonts w:hint="eastAsia" w:asciiTheme="minorEastAsia" w:hAnsiTheme="minorEastAsia" w:eastAsiaTheme="minorEastAsia" w:cstheme="minorEastAsia"/>
          <w:b/>
          <w:bCs/>
          <w:sz w:val="24"/>
          <w:szCs w:val="24"/>
          <w:highlight w:val="none"/>
        </w:rPr>
        <w:t xml:space="preserve">（包含与</w:t>
      </w:r>
      <w:r>
        <w:rPr>
          <w:rFonts w:hint="eastAsia" w:asciiTheme="minorEastAsia" w:hAnsiTheme="minorEastAsia" w:eastAsiaTheme="minorEastAsia" w:cstheme="minorEastAsia"/>
          <w:b/>
          <w:bCs/>
          <w:sz w:val="24"/>
          <w:szCs w:val="24"/>
          <w:highlight w:val="none"/>
          <w:lang w:val="en-US" w:eastAsia="zh-CN"/>
        </w:rPr>
        <w:t xml:space="preserve">货物</w:t>
      </w:r>
      <w:r>
        <w:rPr>
          <w:rFonts w:hint="eastAsia" w:asciiTheme="minorEastAsia" w:hAnsiTheme="minorEastAsia" w:eastAsiaTheme="minorEastAsia" w:cstheme="minorEastAsia"/>
          <w:b/>
          <w:bCs/>
          <w:sz w:val="24"/>
          <w:szCs w:val="24"/>
          <w:highlight w:val="none"/>
        </w:rPr>
        <w:t xml:space="preserve">相关的</w:t>
      </w:r>
      <w:r>
        <w:rPr>
          <w:rFonts w:hint="eastAsia" w:asciiTheme="minorEastAsia" w:hAnsiTheme="minorEastAsia" w:eastAsiaTheme="minorEastAsia" w:cstheme="minorEastAsia"/>
          <w:b/>
          <w:bCs/>
          <w:sz w:val="24"/>
          <w:szCs w:val="24"/>
          <w:highlight w:val="none"/>
          <w:lang w:val="en-US" w:eastAsia="zh-CN"/>
        </w:rPr>
        <w:t xml:space="preserve">服务</w:t>
      </w:r>
      <w:r>
        <w:rPr>
          <w:rFonts w:hint="eastAsia" w:asciiTheme="minorEastAsia" w:hAnsiTheme="minorEastAsia" w:eastAsiaTheme="minorEastAsia" w:cstheme="minorEastAsia"/>
          <w:b/>
          <w:bCs/>
          <w:sz w:val="24"/>
          <w:szCs w:val="24"/>
          <w:highlight w:val="none"/>
        </w:rPr>
        <w:t xml:space="preserve">）的追加</w:t>
      </w:r>
      <w:r/>
    </w:p>
    <w:p>
      <w:pPr>
        <w:pStyle w:val="1020"/>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zh-CN"/>
        </w:rPr>
        <w:outlineLvl w:val="2"/>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zh-CN"/>
        </w:rPr>
        <w:t xml:space="preserve">.1</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zh-CN"/>
        </w:rPr>
        <w:t xml:space="preserve">政府采购合同履行中，采购人需追加与合同标的相同的</w:t>
      </w:r>
      <w:r>
        <w:rPr>
          <w:rFonts w:hint="eastAsia" w:asciiTheme="minorEastAsia" w:hAnsiTheme="minorEastAsia" w:eastAsiaTheme="minorEastAsia" w:cstheme="minorEastAsia"/>
          <w:sz w:val="24"/>
          <w:szCs w:val="24"/>
          <w:highlight w:val="none"/>
          <w:lang w:val="en-US" w:eastAsia="zh-CN"/>
        </w:rPr>
        <w:t xml:space="preserve">货物</w:t>
      </w:r>
      <w:r>
        <w:rPr>
          <w:rFonts w:hint="eastAsia" w:asciiTheme="minorEastAsia" w:hAnsiTheme="minorEastAsia" w:eastAsiaTheme="minorEastAsia" w:cstheme="minorEastAsia"/>
          <w:sz w:val="24"/>
          <w:szCs w:val="24"/>
          <w:highlight w:val="none"/>
          <w:lang w:val="zh-CN"/>
        </w:rPr>
        <w:t xml:space="preserve">（包含与</w:t>
      </w:r>
      <w:r>
        <w:rPr>
          <w:rFonts w:hint="eastAsia" w:asciiTheme="minorEastAsia" w:hAnsiTheme="minorEastAsia" w:eastAsiaTheme="minorEastAsia" w:cstheme="minorEastAsia"/>
          <w:sz w:val="24"/>
          <w:szCs w:val="24"/>
          <w:highlight w:val="none"/>
          <w:lang w:val="en-US" w:eastAsia="zh-CN"/>
        </w:rPr>
        <w:t xml:space="preserve">货物</w:t>
      </w:r>
      <w:r>
        <w:rPr>
          <w:rFonts w:hint="eastAsia" w:asciiTheme="minorEastAsia" w:hAnsiTheme="minorEastAsia" w:eastAsiaTheme="minorEastAsia" w:cstheme="minorEastAsia"/>
          <w:sz w:val="24"/>
          <w:szCs w:val="24"/>
          <w:highlight w:val="none"/>
          <w:lang w:val="zh-CN"/>
        </w:rPr>
        <w:t xml:space="preserve">相关的</w:t>
      </w:r>
      <w:r>
        <w:rPr>
          <w:rFonts w:hint="eastAsia" w:asciiTheme="minorEastAsia" w:hAnsiTheme="minorEastAsia" w:eastAsia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lang w:val="zh-CN"/>
        </w:rPr>
        <w:t xml:space="preserve">），在不改变合同其他条款的前提下，可以与中标人协商签订补充合同，但所有补充合同的采购金额不超过原合同金额10%。</w:t>
      </w:r>
      <w:bookmarkEnd w:id="127"/>
      <w:r/>
      <w:bookmarkEnd w:id="128"/>
      <w:r/>
      <w:bookmarkEnd w:id="129"/>
      <w:r/>
      <w:r/>
    </w:p>
    <w:p>
      <w:pPr>
        <w:pStyle w:val="1020"/>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、政府采购履约资金扶持政策</w:t>
      </w:r>
      <w:r/>
    </w:p>
    <w:p>
      <w:pPr>
        <w:pStyle w:val="102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zh-CN"/>
        </w:rPr>
        <w:sectPr>
          <w:headerReference w:type="default" r:id="rId9"/>
          <w:footerReference w:type="default" r:id="rId15"/>
          <w:footnotePr/>
          <w:endnotePr/>
          <w:type w:val="nextPage"/>
          <w:pgSz w:w="11906" w:h="16838" w:orient="portrait"/>
          <w:pgMar w:top="1440" w:right="1083" w:bottom="1440" w:left="1083" w:header="851" w:footer="992" w:gutter="0"/>
          <w:pgNumType w:start="0"/>
          <w:cols w:num="1" w:sep="0" w:space="720" w:equalWidth="1"/>
          <w:docGrid w:linePitch="360"/>
        </w:sectPr>
      </w:pPr>
      <w:r>
        <w:rPr>
          <w:rFonts w:hint="eastAsia" w:asciiTheme="minorEastAsia" w:hAnsiTheme="minorEastAsia" w:eastAsiaTheme="minorEastAsia" w:cstheme="minorEastAsia"/>
          <w:color w:val="auto"/>
          <w:sz w:val="24"/>
          <w:szCs w:val="24"/>
        </w:rPr>
        <w:t xml:space="preserve">3.1 </w:t>
      </w:r>
      <w:r>
        <w:rPr>
          <w:rFonts w:hint="eastAsia" w:asciiTheme="minorEastAsia" w:hAnsiTheme="minorEastAsia" w:eastAsiaTheme="minorEastAsia" w:cstheme="minorEastAsia"/>
          <w:color w:val="auto"/>
          <w:sz w:val="24"/>
          <w:szCs w:val="24"/>
          <w:lang w:val="zh-CN"/>
        </w:rPr>
        <w:t xml:space="preserve">中标人可</w:t>
      </w:r>
      <w:r>
        <w:rPr>
          <w:rFonts w:hint="eastAsia" w:asciiTheme="minorEastAsia" w:hAnsiTheme="minorEastAsia" w:eastAsiaTheme="minorEastAsia" w:cstheme="minorEastAsia"/>
          <w:color w:val="auto"/>
          <w:sz w:val="24"/>
          <w:szCs w:val="24"/>
        </w:rPr>
        <w:t xml:space="preserve">通过</w:t>
      </w:r>
      <w:r>
        <w:rPr>
          <w:rFonts w:hint="eastAsia" w:asciiTheme="minorEastAsia" w:hAnsiTheme="minorEastAsia" w:eastAsiaTheme="minorEastAsia" w:cstheme="minorEastAsia"/>
          <w:color w:val="auto"/>
          <w:sz w:val="24"/>
          <w:szCs w:val="24"/>
          <w:lang w:val="zh-CN"/>
        </w:rPr>
        <w:t xml:space="preserve">南京市公共资源交易中心网站“小企业融资平台”，凭政府采购合同</w:t>
      </w:r>
      <w:r>
        <w:rPr>
          <w:rFonts w:hint="eastAsia" w:asciiTheme="minorEastAsia" w:hAnsiTheme="minorEastAsia" w:eastAsiaTheme="minorEastAsia" w:cstheme="minorEastAsia"/>
          <w:color w:val="auto"/>
          <w:sz w:val="24"/>
          <w:szCs w:val="24"/>
        </w:rPr>
        <w:t xml:space="preserve">选择相应的金融机构</w:t>
      </w:r>
      <w:r>
        <w:rPr>
          <w:rFonts w:hint="eastAsia" w:asciiTheme="minorEastAsia" w:hAnsiTheme="minorEastAsia" w:eastAsiaTheme="minorEastAsia" w:cstheme="minorEastAsia"/>
          <w:color w:val="auto"/>
          <w:sz w:val="24"/>
          <w:szCs w:val="24"/>
          <w:lang w:val="zh-CN"/>
        </w:rPr>
        <w:t xml:space="preserve">办理融资贷款。</w:t>
      </w:r>
      <w:bookmarkStart w:id="130" w:name="_Toc1501"/>
      <w:r/>
      <w:bookmarkEnd w:id="130"/>
      <w:r/>
      <w:bookmarkStart w:id="131" w:name="_Toc668"/>
      <w:r/>
      <w:bookmarkEnd w:id="131"/>
      <w:r/>
      <w:bookmarkStart w:id="132" w:name="_Toc95824774"/>
      <w:r/>
      <w:bookmarkEnd w:id="132"/>
      <w:r/>
      <w:r/>
    </w:p>
    <w:p>
      <w:pPr>
        <w:pStyle w:val="1029"/>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 xml:space="preserve">第</w:t>
      </w:r>
      <w:r>
        <w:rPr>
          <w:rFonts w:hint="eastAsia" w:asciiTheme="minorEastAsia" w:hAnsiTheme="minorEastAsia" w:eastAsiaTheme="minorEastAsia" w:cstheme="minorEastAsia"/>
          <w:lang w:val="en-US" w:eastAsia="zh-CN"/>
        </w:rPr>
        <w:t xml:space="preserve">三</w:t>
      </w:r>
      <w:r>
        <w:rPr>
          <w:rFonts w:hint="eastAsia" w:asciiTheme="minorEastAsia" w:hAnsiTheme="minorEastAsia" w:eastAsiaTheme="minorEastAsia" w:cstheme="minorEastAsia"/>
        </w:rPr>
        <w:t xml:space="preserve">章合同</w:t>
      </w:r>
      <w:r>
        <w:rPr>
          <w:rFonts w:hint="eastAsia" w:asciiTheme="minorEastAsia" w:hAnsiTheme="minorEastAsia" w:eastAsiaTheme="minorEastAsia" w:cstheme="minorEastAsia"/>
          <w:lang w:val="en-US" w:eastAsia="zh-CN"/>
        </w:rPr>
        <w:t xml:space="preserve">文本</w:t>
      </w:r>
      <w:r/>
    </w:p>
    <w:p>
      <w:pPr>
        <w:pStyle w:val="1020"/>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以下为中标后签定本项目合同的通用条款，中标人不得提出实质性的修改。</w:t>
      </w:r>
      <w:r/>
    </w:p>
    <w:p>
      <w:pPr>
        <w:pStyle w:val="1020"/>
        <w:ind w:firstLine="602"/>
        <w:jc w:val="center"/>
        <w:spacing w:before="145" w:beforeAutospacing="0" w:after="145" w:afterAutospacing="0" w:line="360" w:lineRule="auto"/>
        <w:rPr>
          <w:rFonts w:hint="eastAsia" w:asciiTheme="minorEastAsia" w:hAnsiTheme="minorEastAsia" w:eastAsiaTheme="minorEastAsia" w:cstheme="minorEastAsia"/>
          <w:b/>
          <w:bCs/>
          <w:color w:val="auto"/>
          <w:sz w:val="30"/>
          <w:szCs w:val="20"/>
        </w:rPr>
      </w:pPr>
      <w:r>
        <w:rPr>
          <w:rFonts w:hint="eastAsia" w:asciiTheme="minorEastAsia" w:hAnsiTheme="minorEastAsia" w:eastAsiaTheme="minorEastAsia" w:cstheme="minorEastAsia"/>
          <w:b/>
          <w:color w:val="auto"/>
          <w:sz w:val="30"/>
        </w:rPr>
        <w:t xml:space="preserve">南京市政府采购合同（</w:t>
      </w:r>
      <w:r>
        <w:rPr>
          <w:rFonts w:hint="eastAsia" w:asciiTheme="minorEastAsia" w:hAnsiTheme="minorEastAsia" w:eastAsiaTheme="minorEastAsia" w:cstheme="minorEastAsia"/>
          <w:b/>
          <w:color w:val="auto"/>
          <w:sz w:val="30"/>
          <w:lang w:val="en-US" w:eastAsia="zh-CN"/>
        </w:rPr>
        <w:t xml:space="preserve">货物</w:t>
      </w:r>
      <w:r>
        <w:rPr>
          <w:rFonts w:hint="eastAsia" w:asciiTheme="minorEastAsia" w:hAnsiTheme="minorEastAsia" w:eastAsiaTheme="minorEastAsia" w:cstheme="minorEastAsia"/>
          <w:b/>
          <w:color w:val="auto"/>
          <w:sz w:val="30"/>
        </w:rPr>
        <w:t xml:space="preserve">）（合同编号）</w:t>
      </w:r>
      <w:r/>
    </w:p>
    <w:p>
      <w:pPr>
        <w:pStyle w:val="1022"/>
        <w:spacing w:before="120" w:beforeAutospacing="0" w:after="12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                                       项目编号：</w:t>
      </w:r>
      <w:r/>
    </w:p>
    <w:p>
      <w:pPr>
        <w:pStyle w:val="1022"/>
        <w:spacing w:before="120" w:beforeAutospacing="0" w:after="12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甲方：（买方）_________</w:t>
      </w:r>
      <w:r/>
    </w:p>
    <w:p>
      <w:pPr>
        <w:pStyle w:val="1022"/>
        <w:spacing w:before="120" w:beforeAutospacing="0" w:after="12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乙方：（卖方）_________</w:t>
      </w:r>
      <w:r/>
    </w:p>
    <w:p>
      <w:pPr>
        <w:pStyle w:val="1022"/>
        <w:spacing w:before="120" w:beforeAutospacing="0" w:after="120" w:afterAutospacing="0"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    </w:t>
      </w:r>
      <w:r>
        <w:rPr>
          <w:rFonts w:hint="eastAsia" w:asciiTheme="minorEastAsia" w:hAnsiTheme="minorEastAsia" w:eastAsiaTheme="minorEastAsia" w:cstheme="minorEastAsia"/>
          <w:color w:val="auto"/>
          <w:sz w:val="24"/>
          <w:szCs w:val="24"/>
        </w:rPr>
        <w:t xml:space="preserve">甲、乙双方根据南京市公共资源交易中心六合分中心</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项目公开招标的结果，签署本合同。</w:t>
      </w:r>
      <w:r/>
    </w:p>
    <w:p>
      <w:pPr>
        <w:pStyle w:val="1022"/>
        <w:spacing w:before="120" w:beforeAutospacing="0" w:after="120" w:afterAutospacing="0"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一、合同内容</w:t>
      </w:r>
      <w:r/>
    </w:p>
    <w:p>
      <w:pPr>
        <w:pStyle w:val="1022"/>
        <w:spacing w:before="120" w:beforeAutospacing="0" w:after="12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 标的名称：</w:t>
      </w:r>
      <w:r/>
    </w:p>
    <w:p>
      <w:pPr>
        <w:pStyle w:val="1022"/>
        <w:spacing w:before="120" w:beforeAutospacing="0" w:after="12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 标的质量：</w:t>
      </w:r>
      <w:r/>
    </w:p>
    <w:p>
      <w:pPr>
        <w:pStyle w:val="1022"/>
        <w:spacing w:before="120" w:beforeAutospacing="0" w:after="12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1.3 标的数量（规模）：</w:t>
      </w:r>
      <w:r/>
    </w:p>
    <w:p>
      <w:pPr>
        <w:pStyle w:val="1022"/>
        <w:spacing w:before="120" w:beforeAutospacing="0" w:after="12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1.4 履行时间（期限）：</w:t>
      </w:r>
      <w:r/>
    </w:p>
    <w:p>
      <w:pPr>
        <w:pStyle w:val="1022"/>
        <w:spacing w:before="120" w:beforeAutospacing="0" w:after="120" w:afterAutospacing="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1.5 履行地点：</w:t>
      </w:r>
      <w:r/>
    </w:p>
    <w:p>
      <w:pPr>
        <w:pStyle w:val="1022"/>
        <w:spacing w:before="120" w:beforeAutospacing="0" w:after="120" w:afterAutospacing="0"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1.6履行方式：</w:t>
      </w:r>
      <w:r/>
    </w:p>
    <w:p>
      <w:pPr>
        <w:pStyle w:val="1022"/>
        <w:spacing w:before="120" w:beforeAutospacing="0" w:after="120" w:afterAutospacing="0"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1.7包装方式：</w:t>
      </w:r>
      <w:r/>
    </w:p>
    <w:p>
      <w:pPr>
        <w:pStyle w:val="1022"/>
        <w:numPr>
          <w:ilvl w:val="0"/>
          <w:numId w:val="2"/>
        </w:numPr>
        <w:spacing w:before="120" w:beforeAutospacing="0" w:after="120" w:afterAutospacing="0"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合同金额</w:t>
      </w:r>
      <w:r/>
    </w:p>
    <w:tbl>
      <w:tblPr>
        <w:tblStyle w:val="1028"/>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5753"/>
      </w:tblGrid>
      <w:tr>
        <w:trPr>
          <w:trHeight w:val="607"/>
        </w:trPr>
        <w:tc>
          <w:tcPr>
            <w:tcBorders>
              <w:top w:val="single" w:color="000000" w:sz="8" w:space="0"/>
              <w:left w:val="single" w:color="000000" w:sz="8" w:space="0"/>
              <w:bottom w:val="single" w:color="000000" w:sz="8" w:space="0"/>
              <w:right w:val="single" w:color="000000" w:sz="8" w:space="0"/>
            </w:tcBorders>
            <w:tcW w:w="3601" w:type="dxa"/>
            <w:vAlign w:val="center"/>
            <w:textDirection w:val="lrTb"/>
            <w:noWrap w:val="false"/>
          </w:tcPr>
          <w:p>
            <w:pPr>
              <w:pStyle w:val="1020"/>
              <w:jc w:val="left"/>
              <w:spacing w:before="0" w:beforeAutospacing="0" w:after="0" w:afterAutospacing="0" w:line="360" w:lineRule="atLeas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W w:w="5753" w:type="dxa"/>
            <w:vAlign w:val="center"/>
            <w:textDirection w:val="lrTb"/>
            <w:noWrap w:val="false"/>
          </w:tcPr>
          <w:p>
            <w:pPr>
              <w:pStyle w:val="1020"/>
              <w:jc w:val="both"/>
              <w:spacing w:before="0" w:beforeAutospacing="0" w:after="0" w:afterAutospacing="0" w:line="360" w:lineRule="atLeas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607"/>
        </w:trPr>
        <w:tc>
          <w:tcPr>
            <w:tcBorders>
              <w:top w:val="none" w:color="000000" w:sz="4" w:space="0"/>
              <w:left w:val="single" w:color="000000" w:sz="8" w:space="0"/>
              <w:bottom w:val="single" w:color="000000" w:sz="8" w:space="0"/>
              <w:right w:val="single" w:color="000000" w:sz="8" w:space="0"/>
            </w:tcBorders>
            <w:tcW w:w="3601" w:type="dxa"/>
            <w:vAlign w:val="center"/>
            <w:textDirection w:val="lrTb"/>
            <w:noWrap w:val="false"/>
          </w:tcPr>
          <w:p>
            <w:pPr>
              <w:pStyle w:val="1020"/>
              <w:jc w:val="left"/>
              <w:spacing w:before="0" w:beforeAutospacing="0" w:after="0" w:afterAutospacing="0" w:line="360" w:lineRule="atLeas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项目编号</w:t>
            </w:r>
            <w:r/>
          </w:p>
        </w:tc>
        <w:tc>
          <w:tcPr>
            <w:tcBorders>
              <w:top w:val="none" w:color="000000" w:sz="4" w:space="0"/>
              <w:left w:val="none" w:color="000000" w:sz="4" w:space="0"/>
              <w:bottom w:val="single" w:color="000000" w:sz="8" w:space="0"/>
              <w:right w:val="single" w:color="000000" w:sz="8" w:space="0"/>
            </w:tcBorders>
            <w:tcW w:w="5753" w:type="dxa"/>
            <w:vAlign w:val="center"/>
            <w:textDirection w:val="lrTb"/>
            <w:noWrap w:val="false"/>
          </w:tcPr>
          <w:p>
            <w:pPr>
              <w:pStyle w:val="1020"/>
              <w:jc w:val="both"/>
              <w:spacing w:before="0" w:beforeAutospacing="0" w:after="0" w:afterAutospacing="0" w:line="360" w:lineRule="atLeas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607"/>
        </w:trPr>
        <w:tc>
          <w:tcPr>
            <w:tcBorders>
              <w:top w:val="none" w:color="000000" w:sz="4" w:space="0"/>
              <w:left w:val="single" w:color="000000" w:sz="8" w:space="0"/>
              <w:bottom w:val="single" w:color="000000" w:sz="8" w:space="0"/>
              <w:right w:val="single" w:color="000000" w:sz="8" w:space="0"/>
            </w:tcBorders>
            <w:tcW w:w="3601" w:type="dxa"/>
            <w:vAlign w:val="center"/>
            <w:textDirection w:val="lrTb"/>
            <w:noWrap w:val="false"/>
          </w:tcPr>
          <w:p>
            <w:pPr>
              <w:pStyle w:val="1020"/>
              <w:ind w:firstLine="480"/>
              <w:jc w:val="left"/>
              <w:spacing w:before="0" w:beforeAutospacing="0" w:after="0" w:afterAutospacing="0" w:line="360" w:lineRule="atLeast"/>
              <w:widowControl w:val="off"/>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color w:val="auto"/>
                <w:sz w:val="24"/>
                <w:szCs w:val="24"/>
                <w:lang w:val="en-US" w:eastAsia="zh-CN"/>
              </w:rPr>
              <w:t xml:space="preserve">投标折扣</w:t>
            </w:r>
            <w:r/>
          </w:p>
        </w:tc>
        <w:tc>
          <w:tcPr>
            <w:tcBorders>
              <w:top w:val="none" w:color="000000" w:sz="4" w:space="0"/>
              <w:left w:val="none" w:color="000000" w:sz="4" w:space="0"/>
              <w:bottom w:val="single" w:color="000000" w:sz="8" w:space="0"/>
              <w:right w:val="single" w:color="000000" w:sz="8" w:space="0"/>
            </w:tcBorders>
            <w:tcW w:w="5753" w:type="dxa"/>
            <w:vAlign w:val="center"/>
            <w:textDirection w:val="lrTb"/>
            <w:noWrap w:val="false"/>
          </w:tcPr>
          <w:p>
            <w:pPr>
              <w:pStyle w:val="1020"/>
              <w:jc w:val="both"/>
              <w:spacing w:before="0" w:beforeAutospacing="0" w:after="0" w:afterAutospacing="0" w:line="360" w:lineRule="atLeas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w:t>
            </w:r>
            <w:r/>
          </w:p>
          <w:p>
            <w:pPr>
              <w:pStyle w:val="1020"/>
              <w:jc w:val="left"/>
              <w:keepLines w:val="0"/>
              <w:keepNext w:val="0"/>
              <w:pageBreakBefore w:val="0"/>
              <w:spacing w:line="360" w:lineRule="auto"/>
              <w:widowControl/>
              <w:rPr>
                <w:rFonts w:hint="eastAsia" w:asciiTheme="minorEastAsia" w:hAnsiTheme="minorEastAsia" w:eastAsiaTheme="minorEastAsia" w:cstheme="minorEastAsia"/>
                <w:b w:val="0"/>
                <w:bCs/>
                <w:sz w:val="24"/>
                <w:szCs w:val="24"/>
                <w:u w:val="single"/>
              </w:rPr>
            </w:pP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lang w:val="en-US" w:eastAsia="zh-CN"/>
              </w:rPr>
              <w:t xml:space="preserve">投标</w:t>
            </w:r>
            <w:r>
              <w:rPr>
                <w:rFonts w:hint="eastAsia" w:asciiTheme="minorEastAsia" w:hAnsiTheme="minorEastAsia" w:eastAsiaTheme="minorEastAsia" w:cstheme="minorEastAsia"/>
                <w:color w:val="000000"/>
                <w:sz w:val="24"/>
                <w:szCs w:val="24"/>
              </w:rPr>
              <w:t xml:space="preserve">折扣</w:t>
            </w:r>
            <w:r>
              <w:rPr>
                <w:rFonts w:hint="eastAsia" w:asciiTheme="minorEastAsia" w:hAnsiTheme="minorEastAsia" w:eastAsiaTheme="minorEastAsia" w:cstheme="minorEastAsia"/>
                <w:color w:val="000000"/>
                <w:sz w:val="24"/>
                <w:szCs w:val="24"/>
                <w:lang w:val="en-US" w:eastAsia="zh-CN"/>
              </w:rPr>
              <w:t xml:space="preserve">=</w:t>
            </w:r>
            <w:r>
              <w:rPr>
                <w:rFonts w:hint="eastAsia" w:asciiTheme="minorEastAsia" w:hAnsiTheme="minorEastAsia" w:eastAsiaTheme="minorEastAsia" w:cstheme="minorEastAsia"/>
                <w:b w:val="0"/>
                <w:bCs/>
                <w:sz w:val="24"/>
                <w:szCs w:val="24"/>
                <w:u w:val="single"/>
                <w:lang w:val="en-US" w:eastAsia="zh-CN"/>
              </w:rPr>
              <w:t xml:space="preserve">1-投标优惠率）</w:t>
            </w:r>
            <w:r>
              <w:rPr>
                <w:rFonts w:hint="eastAsia" w:asciiTheme="minorEastAsia" w:hAnsiTheme="minorEastAsia" w:eastAsiaTheme="minorEastAsia" w:cstheme="minorEastAsia"/>
                <w:b w:val="0"/>
                <w:bCs/>
                <w:sz w:val="24"/>
                <w:szCs w:val="24"/>
                <w:u w:val="single"/>
              </w:rPr>
              <w:t xml:space="preserve">。</w:t>
            </w:r>
            <w:r/>
          </w:p>
          <w:p>
            <w:pPr>
              <w:pStyle w:val="1020"/>
              <w:ind w:left="0" w:firstLine="0"/>
              <w:jc w:val="both"/>
              <w:spacing w:before="0" w:beforeAutospacing="0" w:after="0" w:afterAutospacing="0" w:line="360" w:lineRule="atLeast"/>
              <w:widowControl w:val="off"/>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lang w:val="en-US" w:eastAsia="zh-CN"/>
              </w:rPr>
              <w:t xml:space="preserve">如报价优惠率为10%，则填写90%</w:t>
            </w:r>
            <w:r/>
          </w:p>
        </w:tc>
      </w:tr>
    </w:tbl>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三、技术资料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3.1乙方应按招标文件规定的时间向甲方提供使用货物(包含与货物相关的服务)的有关技术资料。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四、知识产权</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五、产权担保</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乙方保证所交付的货物（包含与货物相关的服务）的所有权完全属于乙方且无任何抵押、查封等产权瑕疵。</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六、履约保证金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6.1 本项目乙方无需缴纳</w:t>
      </w:r>
      <w:r>
        <w:rPr>
          <w:rFonts w:hint="eastAsia" w:asciiTheme="minorEastAsia" w:hAnsiTheme="minorEastAsia" w:eastAsiaTheme="minorEastAsia" w:cstheme="minorEastAsia"/>
          <w:sz w:val="24"/>
          <w:szCs w:val="24"/>
        </w:rPr>
        <w:t xml:space="preserve">履约保证金</w:t>
      </w:r>
      <w:r>
        <w:rPr>
          <w:rFonts w:hint="eastAsia" w:asciiTheme="minorEastAsia" w:hAnsiTheme="minorEastAsia" w:eastAsiaTheme="minorEastAsia" w:cstheme="minorEastAsia"/>
          <w:sz w:val="24"/>
          <w:szCs w:val="24"/>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七、合同转包或分包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 乙方不得将合同标的转包给他人履行。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 乙方不得将合同标的分包给他人履行。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 乙方如有转包或未经甲方同意的分包行为，甲方有权解除合同。</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八、合同款项支付</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8.1 合同款项的支付方式及进度安排</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8.1.1付款方式：</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1、采购人与中标供应商每月15日前后进行食材价款（次月结算上月）结算，由各中标供应商每月自行提出书面申请，并提供以下相关资料：</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（1）中标供应商每月供货明细（含每批次供应货物的种类、数量、下订单日期）；</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（2）经采购人相关人员验收签收凭证（一式三份，双方签字）；</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（3）采购人根据实际情况要求的其他材料等。</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lang w:val="en-US" w:eastAsia="zh-CN"/>
        </w:rPr>
        <w:t xml:space="preserve">2、上述材料经双方核实确认无误后，由中标供应商提供相应的等额发票，采购人在收到发票后15个工作日内支付上月食材供应价款。</w:t>
      </w:r>
      <w:r>
        <w:rPr>
          <w:rFonts w:hint="eastAsia" w:asciiTheme="minorEastAsia" w:hAnsiTheme="minorEastAsia" w:eastAsiaTheme="minorEastAsia" w:cstheme="minorEastAsia"/>
          <w:sz w:val="24"/>
          <w:szCs w:val="24"/>
          <w:highlight w:val="none"/>
          <w:lang w:val="en-US" w:eastAsia="zh-CN"/>
        </w:rPr>
        <w:t xml:space="preserve">若发票户名、开户行、账号与供货单位不一致，甲方可拒付货款。</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九、税费</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9.1本合同执行中相关的一切税费均由乙方负担。</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十、送货、验收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（一）送货：合同期内乙方根据甲方的订单需求向甲方提供产品。在甲方规定的时间内由乙方负责运送至甲方食堂指定地点，并按要求加工（包含但不限于搬运、清洗、分割等）完毕并摆放整齐，搬运</w:t>
      </w:r>
      <w:r>
        <w:rPr>
          <w:rFonts w:hint="eastAsia" w:asciiTheme="minorEastAsia" w:hAnsiTheme="minorEastAsia" w:eastAsiaTheme="minorEastAsia" w:cstheme="minorEastAsia"/>
          <w:color w:val="auto"/>
          <w:sz w:val="24"/>
          <w:szCs w:val="24"/>
          <w:highlight w:val="none"/>
          <w:lang w:val="en-US" w:eastAsia="zh-CN"/>
        </w:rPr>
        <w:t xml:space="preserve">费</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运输费、上下人力费由乙方自理。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（二）验收：乙方必须根据甲方要求供应产品，不得以任何借口违背甲方订单要求，或在未经甲方允许的情况下私自改变所定品种规格、数量等。</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十一</w:t>
      </w:r>
      <w:r>
        <w:rPr>
          <w:rFonts w:hint="eastAsia" w:asciiTheme="minorEastAsia" w:hAnsiTheme="minorEastAsia" w:eastAsiaTheme="minorEastAsia" w:cstheme="minorEastAsia"/>
          <w:b/>
          <w:bCs/>
          <w:sz w:val="24"/>
          <w:szCs w:val="24"/>
        </w:rPr>
        <w:t xml:space="preserve">、合同双方权利与义务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（一）甲方有义务配合乙方对所到货物进行收货、外观验货。</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（二）甲方有义务按合同约定及时付清货款。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（三）甲方根据合同约定对乙方的违约行为，有权提出终止合同。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（四）乙方有义务提供企业的相关资质证明，企业法人营业执照、食品经营许可证、法人代表的身份证及送货人员健康证明资料等复印件给甲方。</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（五）乙方有义务提供：符合质量要求；符合《食品安全法》、所供产品国家标准等相关法律、标准要求的货物。</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（六）乙方有义务按指定的时间、地点和要求送货。</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（七）乙方有义务主动配合甲方对货物进行验收。</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（八）乙方有义务服从甲方的日常管理，包含但不限于配送人员按规定着装、保持配送车辆内外部干净整洁、不随意出入甲方食品加工场地、在甲方处加工完毕后及时清理场地等。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（九）甲方无故未按时付清货款，或无故拖欠货款，乙方有权终止合同，并保留索赔的权利。</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十二、违约责任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在接到送货通知后必须将货物按时送达甲方指定地点，乙方未按时送货、补货或停止供货（不可抗力的自然灾害除外），甲方有权视情节轻重按照合同总金额的10%-20%要求乙方承担违约责任。月超过三次同类事件，甲方有权解除本合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2、乙方所供产品如违反《食品安全法》，有质量不合格问题</w:t>
      </w:r>
      <w:r>
        <w:rPr>
          <w:rFonts w:hint="eastAsia" w:asciiTheme="minorEastAsia" w:hAnsiTheme="minorEastAsia" w:eastAsiaTheme="minorEastAsia" w:cstheme="minorEastAsia"/>
          <w:sz w:val="24"/>
          <w:szCs w:val="24"/>
          <w:lang w:val="en-US" w:eastAsia="zh-CN"/>
        </w:rPr>
        <w:t xml:space="preserve">如：</w:t>
      </w:r>
      <w:r>
        <w:rPr>
          <w:rFonts w:hint="eastAsia" w:asciiTheme="minorEastAsia" w:hAnsiTheme="minorEastAsia" w:eastAsiaTheme="minorEastAsia" w:cstheme="minorEastAsia"/>
          <w:sz w:val="24"/>
          <w:szCs w:val="24"/>
        </w:rPr>
        <w:t xml:space="preserve">产品变质、包装破损、超过保质期、送货不及时、送货车辆不洁、送货人员着装不整洁等均属质量不合格），并造成甲方办公人员或在机关食堂用餐人员不良反应，乙方负有全额赔偿责任。出现一次上述情况，甲方有权提前解除本合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3、乙方不服从甲方的日常管理规定且经甲方警告后仍不改正的，甲方有权对乙方进行经济处罚。处罚后仍未改正的，有权视情节轻重按照合同总金额的10%-20%要求乙方承担违约责任。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乙方在投标时所提供的相关承诺书，乙方需按甲方要求提供证明材料或现场核实。若在合同履约期间，甲方发现其在合同期间无法继续履行承诺的，甲方有权视情节轻重按照合同总金额的10%-20%要求乙方承担违约责任并终止合同。</w:t>
      </w:r>
      <w:r/>
    </w:p>
    <w:p>
      <w:pPr>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十三</w:t>
      </w:r>
      <w:r>
        <w:rPr>
          <w:rFonts w:hint="eastAsia" w:asciiTheme="minorEastAsia" w:hAnsiTheme="minorEastAsia" w:eastAsiaTheme="minorEastAsia" w:cstheme="minorEastAsia"/>
          <w:b/>
          <w:bCs/>
          <w:sz w:val="21"/>
          <w:szCs w:val="21"/>
        </w:rPr>
        <w:t xml:space="preserve">、定价条款</w:t>
      </w:r>
      <w:r/>
    </w:p>
    <w:p>
      <w:pPr>
        <w:pStyle w:val="1020"/>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、查询价格基数：</w:t>
      </w:r>
      <w:r/>
    </w:p>
    <w:p>
      <w:pPr>
        <w:pStyle w:val="1020"/>
        <w:jc w:val="left"/>
        <w:keepLines w:val="0"/>
        <w:keepNext w:val="0"/>
        <w:pageBreakBefore w:val="0"/>
        <w:spacing w:line="360" w:lineRule="auto"/>
        <w:widowControl/>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sz w:val="24"/>
          <w:szCs w:val="24"/>
        </w:rPr>
        <w:t xml:space="preserve">①乙方供应的食材种类列入在</w:t>
      </w:r>
      <w:r>
        <w:rPr>
          <w:rFonts w:hint="eastAsia" w:asciiTheme="minorEastAsia" w:hAnsiTheme="minorEastAsia" w:eastAsiaTheme="minorEastAsia" w:cstheme="minorEastAsia"/>
          <w:b w:val="0"/>
          <w:bCs/>
          <w:sz w:val="24"/>
          <w:szCs w:val="24"/>
          <w:u w:val="single"/>
        </w:rPr>
        <w:t xml:space="preserve">南京市发展和改革委员会网站“政府信息公开”“价格信息”（https://fgw.nanjing.gov.cn/njsfzhggwyh/?id=xxgkgknr）中的</w:t>
      </w:r>
      <w:r>
        <w:rPr>
          <w:rFonts w:hint="eastAsia" w:asciiTheme="minorEastAsia" w:hAnsiTheme="minorEastAsia" w:eastAsiaTheme="minorEastAsia" w:cstheme="minorEastAsia"/>
          <w:b w:val="0"/>
          <w:bCs/>
          <w:sz w:val="24"/>
          <w:szCs w:val="24"/>
        </w:rPr>
        <w:t xml:space="preserve">，则按照甲方</w:t>
      </w:r>
      <w:r>
        <w:rPr>
          <w:rFonts w:hint="eastAsia" w:asciiTheme="minorEastAsia" w:hAnsiTheme="minorEastAsia" w:eastAsiaTheme="minorEastAsia" w:cstheme="minorEastAsia"/>
          <w:b w:val="0"/>
          <w:bCs/>
          <w:sz w:val="24"/>
          <w:szCs w:val="24"/>
          <w:u w:val="single"/>
        </w:rPr>
        <w:t xml:space="preserve">查询</w:t>
      </w:r>
      <w:r>
        <w:rPr>
          <w:rFonts w:hint="eastAsia" w:asciiTheme="minorEastAsia" w:hAnsiTheme="minorEastAsia" w:eastAsiaTheme="minorEastAsia" w:cstheme="minorEastAsia"/>
          <w:b w:val="0"/>
          <w:bCs/>
          <w:sz w:val="24"/>
          <w:szCs w:val="24"/>
          <w:u w:val="single"/>
        </w:rPr>
        <w:t xml:space="preserve">当</w:t>
      </w:r>
      <w:r>
        <w:rPr>
          <w:rFonts w:hint="eastAsia" w:asciiTheme="minorEastAsia" w:hAnsiTheme="minorEastAsia" w:eastAsiaTheme="minorEastAsia" w:cstheme="minorEastAsia"/>
          <w:b w:val="0"/>
          <w:bCs/>
          <w:sz w:val="24"/>
          <w:szCs w:val="24"/>
          <w:u w:val="single"/>
          <w:lang w:val="en-US" w:eastAsia="zh-CN"/>
        </w:rPr>
        <w:t xml:space="preserve">月</w:t>
      </w:r>
      <w:r>
        <w:rPr>
          <w:rFonts w:hint="eastAsia" w:asciiTheme="minorEastAsia" w:hAnsiTheme="minorEastAsia" w:eastAsiaTheme="minorEastAsia" w:cstheme="minorEastAsia"/>
          <w:b w:val="0"/>
          <w:bCs/>
          <w:sz w:val="24"/>
          <w:szCs w:val="24"/>
          <w:u w:val="single"/>
        </w:rPr>
        <w:t xml:space="preserve">第一周</w:t>
      </w:r>
      <w:r>
        <w:rPr>
          <w:rFonts w:hint="eastAsia" w:asciiTheme="minorEastAsia" w:hAnsiTheme="minorEastAsia" w:eastAsiaTheme="minorEastAsia" w:cstheme="minorEastAsia"/>
          <w:b w:val="0"/>
          <w:bCs/>
          <w:sz w:val="24"/>
          <w:szCs w:val="24"/>
          <w:highlight w:val="none"/>
          <w:u w:val="single"/>
        </w:rPr>
        <w:t xml:space="preserve">南</w:t>
      </w:r>
      <w:r>
        <w:rPr>
          <w:rFonts w:hint="eastAsia" w:asciiTheme="minorEastAsia" w:hAnsiTheme="minorEastAsia" w:eastAsiaTheme="minorEastAsia" w:cstheme="minorEastAsia"/>
          <w:b w:val="0"/>
          <w:bCs/>
          <w:sz w:val="24"/>
          <w:szCs w:val="24"/>
          <w:u w:val="single"/>
        </w:rPr>
        <w:t xml:space="preserve">京市发展和改革委员会网站中价格</w:t>
      </w:r>
      <w:r>
        <w:rPr>
          <w:rFonts w:hint="eastAsia" w:asciiTheme="minorEastAsia" w:hAnsiTheme="minorEastAsia" w:eastAsiaTheme="minorEastAsia" w:cstheme="minorEastAsia"/>
          <w:b w:val="0"/>
          <w:bCs/>
          <w:sz w:val="24"/>
          <w:szCs w:val="24"/>
          <w:u w:val="single"/>
        </w:rPr>
        <w:t xml:space="preserve">作为食材查询价格基数</w:t>
      </w:r>
      <w:r>
        <w:rPr>
          <w:rFonts w:hint="eastAsia" w:asciiTheme="minorEastAsia" w:hAnsiTheme="minorEastAsia" w:eastAsiaTheme="minorEastAsia" w:cstheme="minorEastAsia"/>
          <w:b w:val="0"/>
          <w:bCs/>
          <w:sz w:val="24"/>
          <w:szCs w:val="24"/>
        </w:rPr>
        <w:t xml:space="preserve">。</w:t>
      </w:r>
      <w:r/>
    </w:p>
    <w:p>
      <w:pPr>
        <w:pStyle w:val="1020"/>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②其他未列入</w:t>
      </w:r>
      <w:r>
        <w:rPr>
          <w:rFonts w:hint="eastAsia" w:asciiTheme="minorEastAsia" w:hAnsiTheme="minorEastAsia" w:eastAsiaTheme="minorEastAsia" w:cstheme="minorEastAsia"/>
          <w:b w:val="0"/>
          <w:bCs/>
          <w:sz w:val="24"/>
          <w:szCs w:val="24"/>
          <w:u w:val="single"/>
        </w:rPr>
        <w:t xml:space="preserve">南京市发展和改革委员会网站中可查询品种</w:t>
      </w:r>
      <w:r>
        <w:rPr>
          <w:rFonts w:hint="eastAsia" w:asciiTheme="minorEastAsia" w:hAnsiTheme="minorEastAsia" w:eastAsiaTheme="minorEastAsia" w:cstheme="minorEastAsia"/>
          <w:b w:val="0"/>
          <w:bCs/>
          <w:sz w:val="24"/>
          <w:szCs w:val="24"/>
        </w:rPr>
        <w:t xml:space="preserve">的，则按照甲方</w:t>
      </w:r>
      <w:r>
        <w:rPr>
          <w:rFonts w:hint="eastAsia" w:asciiTheme="minorEastAsia" w:hAnsiTheme="minorEastAsia" w:eastAsiaTheme="minorEastAsia" w:cstheme="minorEastAsia"/>
          <w:b w:val="0"/>
          <w:bCs/>
          <w:sz w:val="24"/>
          <w:szCs w:val="24"/>
          <w:u w:val="single"/>
        </w:rPr>
        <w:t xml:space="preserve">以</w:t>
      </w:r>
      <w:r>
        <w:rPr>
          <w:rFonts w:hint="eastAsia" w:asciiTheme="minorEastAsia" w:hAnsiTheme="minorEastAsia" w:eastAsiaTheme="minorEastAsia" w:cstheme="minorEastAsia"/>
          <w:b w:val="0"/>
          <w:bCs/>
          <w:sz w:val="24"/>
          <w:szCs w:val="24"/>
          <w:u w:val="single"/>
          <w:lang w:val="en-US" w:eastAsia="zh-CN"/>
        </w:rPr>
        <w:t xml:space="preserve">苏果超市和</w:t>
      </w:r>
      <w:r>
        <w:rPr>
          <w:rFonts w:hint="eastAsia" w:asciiTheme="minorEastAsia" w:hAnsiTheme="minorEastAsia" w:eastAsiaTheme="minorEastAsia" w:cstheme="minorEastAsia"/>
          <w:b w:val="0"/>
          <w:bCs/>
          <w:sz w:val="24"/>
          <w:szCs w:val="24"/>
          <w:u w:val="single"/>
        </w:rPr>
        <w:t xml:space="preserve">永辉</w:t>
      </w:r>
      <w:r>
        <w:rPr>
          <w:rFonts w:hint="eastAsia" w:asciiTheme="minorEastAsia" w:hAnsiTheme="minorEastAsia" w:eastAsiaTheme="minorEastAsia" w:cstheme="minorEastAsia"/>
          <w:b w:val="0"/>
          <w:bCs/>
          <w:sz w:val="24"/>
          <w:szCs w:val="24"/>
          <w:u w:val="single"/>
          <w:lang w:val="en-US" w:eastAsia="zh-CN"/>
        </w:rPr>
        <w:t xml:space="preserve">超市</w:t>
      </w:r>
      <w:r>
        <w:rPr>
          <w:rFonts w:hint="eastAsia" w:asciiTheme="minorEastAsia" w:hAnsiTheme="minorEastAsia" w:eastAsiaTheme="minorEastAsia" w:cstheme="minorEastAsia"/>
          <w:b w:val="0"/>
          <w:bCs/>
          <w:sz w:val="24"/>
          <w:szCs w:val="24"/>
          <w:u w:val="single"/>
        </w:rPr>
        <w:t xml:space="preserve">查询的</w:t>
      </w:r>
      <w:r>
        <w:rPr>
          <w:rFonts w:hint="eastAsia" w:asciiTheme="minorEastAsia" w:hAnsiTheme="minorEastAsia" w:eastAsiaTheme="minorEastAsia" w:cstheme="minorEastAsia"/>
          <w:b w:val="0"/>
          <w:bCs/>
          <w:sz w:val="24"/>
          <w:szCs w:val="24"/>
          <w:u w:val="single"/>
        </w:rPr>
        <w:t xml:space="preserve">当</w:t>
      </w:r>
      <w:r>
        <w:rPr>
          <w:rFonts w:hint="eastAsia" w:asciiTheme="minorEastAsia" w:hAnsiTheme="minorEastAsia" w:eastAsiaTheme="minorEastAsia" w:cstheme="minorEastAsia"/>
          <w:b w:val="0"/>
          <w:bCs/>
          <w:sz w:val="24"/>
          <w:szCs w:val="24"/>
          <w:u w:val="single"/>
          <w:lang w:val="en-US" w:eastAsia="zh-CN"/>
        </w:rPr>
        <w:t xml:space="preserve">月</w:t>
      </w:r>
      <w:r>
        <w:rPr>
          <w:rFonts w:hint="eastAsia" w:asciiTheme="minorEastAsia" w:hAnsiTheme="minorEastAsia" w:eastAsiaTheme="minorEastAsia" w:cstheme="minorEastAsia"/>
          <w:b w:val="0"/>
          <w:bCs/>
          <w:sz w:val="24"/>
          <w:szCs w:val="24"/>
          <w:u w:val="single"/>
        </w:rPr>
        <w:t xml:space="preserve">第一周该产</w:t>
      </w:r>
      <w:r>
        <w:rPr>
          <w:rFonts w:hint="eastAsia" w:asciiTheme="minorEastAsia" w:hAnsiTheme="minorEastAsia" w:eastAsiaTheme="minorEastAsia" w:cstheme="minorEastAsia"/>
          <w:b w:val="0"/>
          <w:bCs/>
          <w:sz w:val="24"/>
          <w:szCs w:val="24"/>
          <w:u w:val="single"/>
        </w:rPr>
        <w:t xml:space="preserve">品的</w:t>
      </w:r>
      <w:r>
        <w:rPr>
          <w:rFonts w:hint="eastAsia" w:asciiTheme="minorEastAsia" w:hAnsiTheme="minorEastAsia" w:eastAsiaTheme="minorEastAsia" w:cstheme="minorEastAsia"/>
          <w:b w:val="0"/>
          <w:bCs/>
          <w:sz w:val="24"/>
          <w:szCs w:val="24"/>
          <w:u w:val="single"/>
          <w:lang w:val="en-US" w:eastAsia="zh-CN"/>
        </w:rPr>
        <w:t xml:space="preserve">最低</w:t>
      </w:r>
      <w:r>
        <w:rPr>
          <w:rFonts w:hint="eastAsia" w:asciiTheme="minorEastAsia" w:hAnsiTheme="minorEastAsia" w:eastAsiaTheme="minorEastAsia" w:cstheme="minorEastAsia"/>
          <w:b w:val="0"/>
          <w:bCs/>
          <w:sz w:val="24"/>
          <w:szCs w:val="24"/>
          <w:u w:val="single"/>
        </w:rPr>
        <w:t xml:space="preserve">零售价格作为食材查询价格基数</w:t>
      </w:r>
      <w:r>
        <w:rPr>
          <w:rFonts w:hint="eastAsia" w:asciiTheme="minorEastAsia" w:hAnsiTheme="minorEastAsia" w:eastAsiaTheme="minorEastAsia" w:cstheme="minorEastAsia"/>
          <w:b w:val="0"/>
          <w:bCs/>
          <w:sz w:val="24"/>
          <w:szCs w:val="24"/>
          <w:u w:val="single"/>
          <w:lang w:eastAsia="zh-CN"/>
        </w:rPr>
        <w:t xml:space="preserve">（</w:t>
      </w:r>
      <w:r>
        <w:rPr>
          <w:rFonts w:hint="eastAsia" w:asciiTheme="minorEastAsia" w:hAnsiTheme="minorEastAsia" w:eastAsiaTheme="minorEastAsia" w:cstheme="minorEastAsia"/>
          <w:b w:val="0"/>
          <w:bCs/>
          <w:sz w:val="24"/>
          <w:szCs w:val="24"/>
          <w:u w:val="single"/>
          <w:lang w:val="en-US" w:eastAsia="zh-CN"/>
        </w:rPr>
        <w:t xml:space="preserve">不含促销打折价格</w:t>
      </w:r>
      <w:r>
        <w:rPr>
          <w:rFonts w:hint="eastAsia" w:asciiTheme="minorEastAsia" w:hAnsiTheme="minorEastAsia" w:eastAsiaTheme="minorEastAsia" w:cstheme="minorEastAsia"/>
          <w:b w:val="0"/>
          <w:bCs/>
          <w:sz w:val="24"/>
          <w:szCs w:val="24"/>
          <w:u w:val="single"/>
          <w:lang w:eastAsia="zh-CN"/>
        </w:rPr>
        <w:t xml:space="preserve">）</w:t>
      </w:r>
      <w:r>
        <w:rPr>
          <w:rFonts w:hint="eastAsia" w:asciiTheme="minorEastAsia" w:hAnsiTheme="minorEastAsia" w:eastAsiaTheme="minorEastAsia" w:cstheme="minorEastAsia"/>
          <w:b w:val="0"/>
          <w:bCs/>
          <w:sz w:val="24"/>
          <w:szCs w:val="24"/>
        </w:rPr>
        <w:t xml:space="preserve">。</w:t>
      </w:r>
      <w:r/>
    </w:p>
    <w:p>
      <w:pPr>
        <w:pStyle w:val="1020"/>
        <w:jc w:val="left"/>
        <w:keepLines w:val="0"/>
        <w:keepNext w:val="0"/>
        <w:pageBreakBefore w:val="0"/>
        <w:spacing w:line="360" w:lineRule="auto"/>
        <w:widowControl/>
        <w:rPr>
          <w:rFonts w:hint="eastAsia" w:asciiTheme="minorEastAsia" w:hAnsiTheme="minorEastAsia" w:eastAsiaTheme="minorEastAsia" w:cstheme="minorEastAsia"/>
          <w:b w:val="0"/>
          <w:bCs/>
          <w:sz w:val="24"/>
          <w:szCs w:val="24"/>
          <w:u w:val="single"/>
        </w:rPr>
      </w:pPr>
      <w:r>
        <w:rPr>
          <w:rFonts w:hint="eastAsia" w:asciiTheme="minorEastAsia" w:hAnsiTheme="minorEastAsia" w:eastAsiaTheme="minorEastAsia" w:cstheme="minorEastAsia"/>
          <w:b w:val="0"/>
          <w:bCs/>
          <w:sz w:val="24"/>
          <w:szCs w:val="24"/>
          <w:u w:val="none"/>
          <w:lang w:val="en-US" w:eastAsia="zh-CN"/>
        </w:rPr>
        <w:t xml:space="preserve">2</w:t>
      </w:r>
      <w:r>
        <w:rPr>
          <w:rFonts w:hint="eastAsia" w:asciiTheme="minorEastAsia" w:hAnsiTheme="minorEastAsia" w:eastAsiaTheme="minorEastAsia" w:cstheme="minorEastAsia"/>
          <w:b w:val="0"/>
          <w:bCs/>
          <w:sz w:val="24"/>
          <w:szCs w:val="24"/>
          <w:u w:val="none"/>
        </w:rPr>
        <w:t xml:space="preserve">、</w:t>
      </w:r>
      <w:r>
        <w:rPr>
          <w:rFonts w:hint="eastAsia" w:asciiTheme="minorEastAsia" w:hAnsiTheme="minorEastAsia" w:eastAsiaTheme="minorEastAsia" w:cstheme="minorEastAsia"/>
          <w:b w:val="0"/>
          <w:bCs/>
          <w:sz w:val="24"/>
          <w:szCs w:val="24"/>
          <w:u w:val="none"/>
          <w:lang w:val="en-US" w:eastAsia="zh-CN"/>
        </w:rPr>
        <w:t xml:space="preserve">当月</w:t>
      </w:r>
      <w:r>
        <w:rPr>
          <w:rFonts w:hint="eastAsia" w:asciiTheme="minorEastAsia" w:hAnsiTheme="minorEastAsia" w:eastAsiaTheme="minorEastAsia" w:cstheme="minorEastAsia"/>
          <w:b w:val="0"/>
          <w:bCs/>
          <w:sz w:val="24"/>
          <w:szCs w:val="24"/>
          <w:u w:val="none"/>
        </w:rPr>
        <w:t xml:space="preserve">乙方</w:t>
      </w:r>
      <w:r>
        <w:rPr>
          <w:rFonts w:hint="eastAsia" w:asciiTheme="minorEastAsia" w:hAnsiTheme="minorEastAsia" w:eastAsiaTheme="minorEastAsia" w:cstheme="minorEastAsia"/>
          <w:b w:val="0"/>
          <w:bCs/>
          <w:sz w:val="24"/>
          <w:szCs w:val="24"/>
        </w:rPr>
        <w:t xml:space="preserve">食材结算单价=</w:t>
      </w:r>
      <w:r>
        <w:rPr>
          <w:rFonts w:hint="eastAsia" w:asciiTheme="minorEastAsia" w:hAnsiTheme="minorEastAsia" w:eastAsiaTheme="minorEastAsia" w:cstheme="minorEastAsia"/>
          <w:sz w:val="24"/>
          <w:szCs w:val="24"/>
          <w:lang w:eastAsia="zh-CN"/>
        </w:rPr>
        <w:t xml:space="preserve">当</w:t>
      </w:r>
      <w:r>
        <w:rPr>
          <w:rFonts w:hint="eastAsia" w:asciiTheme="minorEastAsia" w:hAnsiTheme="minorEastAsia" w:eastAsiaTheme="minorEastAsia" w:cstheme="minorEastAsia"/>
          <w:sz w:val="24"/>
          <w:szCs w:val="24"/>
          <w:lang w:val="en-US" w:eastAsia="zh-CN"/>
        </w:rPr>
        <w:t xml:space="preserve">月</w:t>
      </w:r>
      <w:r>
        <w:rPr>
          <w:rFonts w:hint="eastAsia" w:asciiTheme="minorEastAsia" w:hAnsiTheme="minorEastAsia" w:eastAsiaTheme="minorEastAsia" w:cstheme="minorEastAsia"/>
          <w:sz w:val="24"/>
          <w:szCs w:val="24"/>
          <w:lang w:eastAsia="zh-CN"/>
        </w:rPr>
        <w:t xml:space="preserve">查询价格基数*本项目中标折扣</w:t>
      </w:r>
      <w:r>
        <w:rPr>
          <w:rFonts w:hint="eastAsia" w:asciiTheme="minorEastAsia" w:hAnsiTheme="minorEastAsia" w:eastAsiaTheme="minorEastAsia" w:cstheme="minorEastAsia"/>
          <w:sz w:val="24"/>
          <w:szCs w:val="24"/>
          <w:lang w:val="en-US" w:eastAsia="zh-CN"/>
        </w:rPr>
        <w:t xml:space="preserve">(中标</w:t>
      </w:r>
      <w:r>
        <w:rPr>
          <w:rFonts w:hint="eastAsia" w:asciiTheme="minorEastAsia" w:hAnsiTheme="minorEastAsia" w:eastAsiaTheme="minorEastAsia" w:cstheme="minorEastAsia"/>
          <w:b w:val="0"/>
          <w:bCs/>
          <w:sz w:val="24"/>
          <w:szCs w:val="24"/>
          <w:u w:val="single"/>
          <w:lang w:val="en-US" w:eastAsia="zh-CN"/>
        </w:rPr>
        <w:t xml:space="preserve">折扣=1-投标优惠率）</w:t>
      </w:r>
      <w:r>
        <w:rPr>
          <w:rFonts w:hint="eastAsia" w:asciiTheme="minorEastAsia" w:hAnsiTheme="minorEastAsia" w:eastAsiaTheme="minorEastAsia" w:cstheme="minorEastAsia"/>
          <w:b w:val="0"/>
          <w:bCs/>
          <w:sz w:val="24"/>
          <w:szCs w:val="24"/>
          <w:u w:val="single"/>
        </w:rPr>
        <w:t xml:space="preserve">。</w:t>
      </w:r>
      <w:r/>
    </w:p>
    <w:p>
      <w:pPr>
        <w:pStyle w:val="1020"/>
        <w:jc w:val="left"/>
        <w:keepLines w:val="0"/>
        <w:keepNext w:val="0"/>
        <w:pageBreakBefore w:val="0"/>
        <w:spacing w:line="360" w:lineRule="auto"/>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sz w:val="24"/>
          <w:szCs w:val="24"/>
        </w:rPr>
        <w:t xml:space="preserve">4、甲方所需货物</w:t>
      </w:r>
      <w:r>
        <w:rPr>
          <w:rFonts w:hint="eastAsia" w:asciiTheme="minorEastAsia" w:hAnsiTheme="minorEastAsia" w:eastAsiaTheme="minorEastAsia" w:cstheme="minorEastAsia"/>
          <w:color w:val="auto"/>
          <w:sz w:val="24"/>
          <w:szCs w:val="24"/>
          <w:lang w:eastAsia="zh-CN"/>
        </w:rPr>
        <w:t xml:space="preserve">及</w:t>
      </w:r>
      <w:r>
        <w:rPr>
          <w:rFonts w:hint="eastAsia" w:asciiTheme="minorEastAsia" w:hAnsiTheme="minorEastAsia" w:eastAsiaTheme="minorEastAsia" w:cstheme="minorEastAsia"/>
          <w:color w:val="auto"/>
          <w:sz w:val="24"/>
          <w:szCs w:val="24"/>
          <w:lang w:val="en-US" w:eastAsia="zh-CN"/>
        </w:rPr>
        <w:t xml:space="preserve">需深加工食材</w:t>
      </w:r>
      <w:r>
        <w:rPr>
          <w:rFonts w:hint="eastAsia" w:asciiTheme="minorEastAsia" w:hAnsiTheme="minorEastAsia" w:eastAsiaTheme="minorEastAsia" w:cstheme="minorEastAsia"/>
          <w:color w:val="auto"/>
          <w:sz w:val="24"/>
          <w:szCs w:val="24"/>
        </w:rPr>
        <w:t xml:space="preserve">无</w:t>
      </w:r>
      <w:r>
        <w:rPr>
          <w:rFonts w:hint="eastAsia" w:asciiTheme="minorEastAsia" w:hAnsiTheme="minorEastAsia" w:eastAsiaTheme="minorEastAsia" w:cstheme="minorEastAsia"/>
          <w:sz w:val="24"/>
          <w:szCs w:val="24"/>
        </w:rPr>
        <w:t xml:space="preserve">对应基准价格的，由乙方报价后甲方根据市场价格综合确定采购价格。</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w:t>
      </w:r>
      <w:r>
        <w:rPr>
          <w:rFonts w:hint="eastAsia" w:asciiTheme="minorEastAsia" w:hAnsiTheme="minorEastAsia" w:eastAsiaTheme="minorEastAsia" w:cstheme="minorEastAsia"/>
          <w:b/>
          <w:bCs/>
          <w:sz w:val="24"/>
          <w:szCs w:val="24"/>
          <w:lang w:val="en-US" w:eastAsia="zh-CN"/>
        </w:rPr>
        <w:t xml:space="preserve">四</w:t>
      </w:r>
      <w:r>
        <w:rPr>
          <w:rFonts w:hint="eastAsia" w:asciiTheme="minorEastAsia" w:hAnsiTheme="minorEastAsia" w:eastAsiaTheme="minorEastAsia" w:cstheme="minorEastAsia"/>
          <w:b/>
          <w:bCs/>
          <w:sz w:val="24"/>
          <w:szCs w:val="24"/>
        </w:rPr>
        <w:t xml:space="preserve">、不可抗力事件处理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在合同有效期内，任何一方因不可抗力事件导致不能履行合同，则合同履行期可延长，其延长期与不可抗力影响 期相同。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不可抗力事件发生后，应立即通知对方，并寄送有关权威机构出具的证明。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不可抗力事件延续120天以上，双方应通过友好协商，确定是否继续履行合同。</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w:t>
      </w:r>
      <w:r>
        <w:rPr>
          <w:rFonts w:hint="eastAsia" w:asciiTheme="minorEastAsia" w:hAnsiTheme="minorEastAsia" w:eastAsiaTheme="minorEastAsia" w:cstheme="minorEastAsia"/>
          <w:b/>
          <w:bCs/>
          <w:sz w:val="24"/>
          <w:szCs w:val="24"/>
          <w:lang w:val="en-US" w:eastAsia="zh-CN"/>
        </w:rPr>
        <w:t xml:space="preserve">五</w:t>
      </w:r>
      <w:r>
        <w:rPr>
          <w:rFonts w:hint="eastAsia" w:asciiTheme="minorEastAsia" w:hAnsiTheme="minorEastAsia" w:eastAsiaTheme="minorEastAsia" w:cstheme="minorEastAsia"/>
          <w:b/>
          <w:bCs/>
          <w:sz w:val="24"/>
          <w:szCs w:val="24"/>
        </w:rPr>
        <w:t xml:space="preserve">、解决争议的方法</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双方在签订、履行合同中所发生的一切争议，应通过友好协商解决。如协商不成，由甲方住所地人民法院管辖。</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十六、</w:t>
      </w:r>
      <w:r>
        <w:rPr>
          <w:rFonts w:hint="eastAsia" w:asciiTheme="minorEastAsia" w:hAnsiTheme="minorEastAsia" w:eastAsiaTheme="minorEastAsia" w:cstheme="minorEastAsia"/>
          <w:b/>
          <w:bCs/>
          <w:sz w:val="24"/>
          <w:szCs w:val="24"/>
        </w:rPr>
        <w:t xml:space="preserve">合同生效及其它</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合同经双方法定代表人或授权委托代表人签字并加盖单位公章后生效。</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本合同未尽事宜，遵照《民法典》、《政府采购法》有关条文执行。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 本合同正本一式两份，具有同等法律效力，甲方、乙方各执一份。</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w:t>
      </w:r>
      <w:r>
        <w:rPr>
          <w:rFonts w:hint="eastAsia" w:asciiTheme="minorEastAsia" w:hAnsiTheme="minorEastAsia" w:eastAsiaTheme="minorEastAsia" w:cstheme="minorEastAsia"/>
          <w:sz w:val="24"/>
          <w:szCs w:val="24"/>
          <w:lang w:eastAsia="zh-CN"/>
        </w:rPr>
        <w:t xml:space="preserve">南京市六合区机关事务管理中心</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乙方：</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地址：        </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                                     法定代表人：</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                                     委托代理人：</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账户名称：</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账户名称：</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开户行：</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开户行：</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账号：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账号：</w:t>
      </w:r>
      <w:r/>
    </w:p>
    <w:p>
      <w:pPr>
        <w:keepLines w:val="0"/>
        <w:keepNext w:val="0"/>
        <w:pageBreakBefore w:val="0"/>
        <w:spacing w:line="360" w:lineRule="auto"/>
        <w:widowControl w:val="off"/>
        <w:rPr>
          <w:rFonts w:hint="eastAsia" w:asciiTheme="minorEastAsia" w:hAnsiTheme="minorEastAsia" w:eastAsiaTheme="minorEastAsia" w:cstheme="minorEastAsia"/>
          <w:b w:val="0"/>
          <w:bCs/>
          <w:szCs w:val="24"/>
        </w:rPr>
      </w:pPr>
      <w:r>
        <w:rPr>
          <w:rFonts w:hint="eastAsia" w:asciiTheme="minorEastAsia" w:hAnsiTheme="minorEastAsia" w:eastAsiaTheme="minorEastAsia" w:cstheme="minorEastAsia"/>
          <w:sz w:val="24"/>
          <w:szCs w:val="24"/>
        </w:rPr>
        <w:t xml:space="preserve">签订日期：   年   月   日       </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 xml:space="preserve">             签订日期：   年   月   日  </w:t>
      </w:r>
      <w:r>
        <w:rPr>
          <w:rFonts w:hint="eastAsia" w:asciiTheme="minorEastAsia" w:hAnsiTheme="minorEastAsia" w:eastAsiaTheme="minorEastAsia" w:cstheme="minorEastAsia"/>
          <w:b w:val="0"/>
          <w:bCs/>
          <w:szCs w:val="24"/>
        </w:rPr>
        <w:t xml:space="preserve">   </w:t>
      </w:r>
      <w:r/>
    </w:p>
    <w:p>
      <w:pPr>
        <w:pStyle w:val="1020"/>
        <w:ind w:firstLine="480"/>
        <w:keepLines w:val="0"/>
        <w:keepNext w:val="0"/>
        <w:pageBreakBefore w:val="0"/>
        <w:spacing w:line="360" w:lineRule="auto"/>
        <w:rPr>
          <w:rFonts w:hint="eastAsia" w:asciiTheme="minorEastAsia" w:hAnsiTheme="minorEastAsia" w:eastAsiaTheme="minorEastAsia" w:cstheme="minorEastAsia"/>
          <w:b w:val="0"/>
          <w:bCs/>
        </w:rPr>
      </w:pPr>
      <w:r>
        <w:rPr>
          <w:rFonts w:hint="eastAsia" w:asciiTheme="minorEastAsia" w:hAnsiTheme="minorEastAsia" w:eastAsiaTheme="minorEastAsia" w:cstheme="minorEastAsia"/>
          <w:b w:val="0"/>
          <w:bCs/>
        </w:rPr>
      </w:r>
      <w:r/>
    </w:p>
    <w:p>
      <w:pPr>
        <w:pStyle w:val="1020"/>
        <w:jc w:val="center"/>
        <w:spacing w:before="145" w:beforeAutospacing="0" w:after="145" w:afterAutospacing="0" w:line="360" w:lineRule="auto"/>
        <w:rPr>
          <w:rFonts w:hint="eastAsia" w:asciiTheme="minorEastAsia" w:hAnsiTheme="minorEastAsia" w:eastAsiaTheme="minorEastAsia" w:cstheme="minorEastAsia"/>
          <w:b w:val="0"/>
          <w:bCs/>
          <w:color w:val="auto"/>
          <w:sz w:val="30"/>
        </w:rPr>
      </w:pPr>
      <w:r>
        <w:rPr>
          <w:rFonts w:hint="eastAsia" w:asciiTheme="minorEastAsia" w:hAnsiTheme="minorEastAsia" w:eastAsiaTheme="minorEastAsia" w:cstheme="minorEastAsia"/>
          <w:b w:val="0"/>
          <w:bCs/>
          <w:color w:val="auto"/>
          <w:sz w:val="30"/>
        </w:rPr>
        <w:t xml:space="preserve">《*******合同》补充协议（合同附件）</w:t>
      </w:r>
      <w:r/>
    </w:p>
    <w:p>
      <w:pPr>
        <w:pStyle w:val="1020"/>
        <w:jc w:val="center"/>
        <w:keepLines w:val="0"/>
        <w:keepNext w:val="0"/>
        <w:pageBreakBefore w:val="0"/>
        <w:spacing w:line="240" w:lineRule="auto"/>
        <w:widowControl/>
        <w:rPr>
          <w:rFonts w:hint="eastAsia" w:asciiTheme="minorEastAsia" w:hAnsiTheme="minorEastAsia" w:eastAsiaTheme="minorEastAsia" w:cstheme="minorEastAsia"/>
          <w:color w:val="auto"/>
          <w:sz w:val="24"/>
          <w:szCs w:val="24"/>
          <w:lang w:val="en-US" w:eastAsia="zh-CN"/>
        </w:rPr>
        <w:sectPr>
          <w:headerReference w:type="default" r:id="rId10"/>
          <w:footerReference w:type="default" r:id="rId16"/>
          <w:footnotePr/>
          <w:endnotePr/>
          <w:type w:val="nextPage"/>
          <w:pgSz w:w="11906" w:h="16838" w:orient="portrait"/>
          <w:pgMar w:top="1985" w:right="1416" w:bottom="964" w:left="1304" w:header="1276" w:footer="907" w:gutter="0"/>
          <w:cols w:num="1" w:sep="0" w:space="720" w:equalWidth="1"/>
          <w:docGrid w:linePitch="360"/>
        </w:sectPr>
      </w:pPr>
      <w:r>
        <w:rPr>
          <w:rFonts w:hint="eastAsia" w:asciiTheme="minorEastAsia" w:hAnsiTheme="minorEastAsia" w:eastAsiaTheme="minorEastAsia" w:cstheme="minorEastAsia"/>
          <w:color w:val="auto"/>
          <w:sz w:val="24"/>
          <w:szCs w:val="24"/>
        </w:rPr>
        <w:t xml:space="preserve">如遇招标文件及合同未约定事项，双方可友好协商签订补充协议。</w:t>
      </w:r>
      <w:r/>
    </w:p>
    <w:p>
      <w:pPr>
        <w:pStyle w:val="1020"/>
        <w:numPr>
          <w:ilvl w:val="0"/>
          <w:numId w:val="3"/>
        </w:numPr>
        <w:ind w:firstLine="643"/>
        <w:jc w:val="center"/>
        <w:keepLines w:val="0"/>
        <w:keepNext w:val="0"/>
        <w:pageBreakBefore w:val="0"/>
        <w:spacing w:line="240" w:lineRule="auto"/>
        <w:widowControl/>
        <w:rPr>
          <w:rFonts w:hint="eastAsia" w:asciiTheme="minorEastAsia" w:hAnsiTheme="minorEastAsia" w:eastAsiaTheme="minorEastAsia" w:cstheme="minorEastAsia"/>
          <w:b/>
          <w:bCs/>
          <w:color w:val="auto"/>
          <w:sz w:val="32"/>
          <w:szCs w:val="32"/>
          <w:lang w:val="en-US" w:eastAsia="zh-CN"/>
        </w:rPr>
        <w:outlineLvl w:val="2"/>
      </w:pPr>
      <w:r>
        <w:rPr>
          <w:rFonts w:hint="eastAsia" w:asciiTheme="minorEastAsia" w:hAnsiTheme="minorEastAsia" w:eastAsiaTheme="minorEastAsia" w:cstheme="minorEastAsia"/>
          <w:b/>
          <w:bCs/>
          <w:color w:val="auto"/>
          <w:sz w:val="32"/>
          <w:szCs w:val="32"/>
          <w:lang w:val="en-US" w:eastAsia="zh-CN"/>
        </w:rPr>
        <w:t xml:space="preserve"> 采购需求</w:t>
      </w:r>
      <w:r>
        <w:rPr>
          <w:rFonts w:hint="eastAsia" w:asciiTheme="minorEastAsia" w:hAnsiTheme="minorEastAsia" w:eastAsiaTheme="minorEastAsia" w:cstheme="minorEastAsia"/>
          <w:b/>
          <w:bCs/>
          <w:color w:val="auto"/>
          <w:sz w:val="32"/>
          <w:szCs w:val="32"/>
          <w:lang w:val="en-US" w:eastAsia="zh-CN"/>
        </w:rPr>
        <w:t xml:space="preserve">★</w:t>
      </w:r>
      <w:r/>
      <w:r>
        <w:rPr>
          <w:rFonts w:hint="eastAsia" w:asciiTheme="minorEastAsia" w:hAnsiTheme="minorEastAsia" w:eastAsiaTheme="minorEastAsia" w:cstheme="minorEastAsia"/>
          <w:b/>
          <w:bCs/>
          <w:color w:val="auto"/>
          <w:sz w:val="32"/>
          <w:szCs w:val="32"/>
          <w:lang w:val="en-US" w:eastAsia="zh-CN"/>
        </w:rPr>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一、项目属性：货物类项目</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二、项目概况：</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1、为建立</w:t>
      </w:r>
      <w:r>
        <w:rPr>
          <w:rFonts w:hint="eastAsia" w:asciiTheme="minorEastAsia" w:hAnsiTheme="minorEastAsia" w:eastAsiaTheme="minorEastAsia" w:cstheme="minorEastAsia"/>
          <w:sz w:val="24"/>
          <w:szCs w:val="24"/>
          <w:lang w:eastAsia="zh-CN"/>
        </w:rPr>
        <w:t xml:space="preserve">南京市六合区机关事务管理中心</w:t>
      </w:r>
      <w:r>
        <w:rPr>
          <w:rFonts w:hint="eastAsia" w:asciiTheme="minorEastAsia" w:hAnsiTheme="minorEastAsia" w:eastAsiaTheme="minorEastAsia" w:cstheme="minorEastAsia"/>
          <w:sz w:val="24"/>
          <w:szCs w:val="24"/>
        </w:rPr>
        <w:t xml:space="preserve">系统标准化、规范化的食材采购供应管理体系，加强成本核算，维护广大机关工作人员的利益，根据《中华人民共和国食品安全法》、《食品安全法实施条例》等相关文件要求，现采购人拟通过公开招标的方式确定关于</w:t>
      </w:r>
      <w:r>
        <w:rPr>
          <w:rFonts w:hint="eastAsia" w:asciiTheme="minorEastAsia" w:hAnsiTheme="minorEastAsia" w:eastAsiaTheme="minorEastAsia" w:cstheme="minorEastAsia"/>
          <w:sz w:val="24"/>
          <w:szCs w:val="24"/>
          <w:lang w:val="en-US" w:eastAsia="zh-CN"/>
        </w:rPr>
        <w:t xml:space="preserve">肉类、水产类、家禽类、蔬菜类、水果类、粮油类、干货调料类、奶类等</w:t>
      </w:r>
      <w:r>
        <w:rPr>
          <w:rFonts w:hint="eastAsia" w:asciiTheme="minorEastAsia" w:hAnsiTheme="minorEastAsia" w:eastAsiaTheme="minorEastAsia" w:cstheme="minorEastAsia"/>
          <w:sz w:val="24"/>
          <w:szCs w:val="24"/>
        </w:rPr>
        <w:t xml:space="preserve">食材的供应商。</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2、合同履行期限：合同签订之日起一年。同期内若出现</w:t>
      </w:r>
      <w:r>
        <w:rPr>
          <w:rFonts w:hint="eastAsia" w:asciiTheme="minorEastAsia" w:hAnsiTheme="minorEastAsia" w:eastAsiaTheme="minorEastAsia" w:cstheme="minorEastAsia"/>
          <w:sz w:val="24"/>
          <w:szCs w:val="24"/>
          <w:lang w:val="en-US" w:eastAsia="zh-CN"/>
        </w:rPr>
        <w:t xml:space="preserve">季</w:t>
      </w:r>
      <w:r>
        <w:rPr>
          <w:rFonts w:hint="eastAsia" w:asciiTheme="minorEastAsia" w:hAnsiTheme="minorEastAsia" w:eastAsiaTheme="minorEastAsia" w:cstheme="minorEastAsia"/>
          <w:sz w:val="24"/>
          <w:szCs w:val="24"/>
        </w:rPr>
        <w:t xml:space="preserve">度考核</w:t>
      </w:r>
      <w:r>
        <w:rPr>
          <w:rFonts w:hint="eastAsia" w:asciiTheme="minorEastAsia" w:hAnsiTheme="minorEastAsia" w:eastAsiaTheme="minorEastAsia" w:cstheme="minorEastAsia"/>
          <w:sz w:val="24"/>
          <w:szCs w:val="24"/>
          <w:lang w:val="en-US" w:eastAsia="zh-CN"/>
        </w:rPr>
        <w:t xml:space="preserve">低于60分</w:t>
      </w:r>
      <w:r>
        <w:rPr>
          <w:rFonts w:hint="eastAsia" w:asciiTheme="minorEastAsia" w:hAnsiTheme="minorEastAsia" w:eastAsiaTheme="minorEastAsia" w:cstheme="minorEastAsia"/>
          <w:sz w:val="24"/>
          <w:szCs w:val="24"/>
        </w:rPr>
        <w:t xml:space="preserve">，招标人可依据考核办法终止合同</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合同期满后，招标人根据</w:t>
      </w:r>
      <w:r>
        <w:rPr>
          <w:rFonts w:hint="eastAsia" w:asciiTheme="minorEastAsia" w:hAnsiTheme="minorEastAsia" w:eastAsiaTheme="minorEastAsia" w:cstheme="minorEastAsia"/>
          <w:sz w:val="24"/>
          <w:szCs w:val="24"/>
          <w:lang w:val="en-US" w:eastAsia="zh-CN"/>
        </w:rPr>
        <w:t xml:space="preserve">季</w:t>
      </w:r>
      <w:r>
        <w:rPr>
          <w:rFonts w:hint="eastAsia" w:asciiTheme="minorEastAsia" w:hAnsiTheme="minorEastAsia" w:eastAsiaTheme="minorEastAsia" w:cstheme="minorEastAsia"/>
          <w:sz w:val="24"/>
          <w:szCs w:val="24"/>
        </w:rPr>
        <w:t xml:space="preserve">度考核</w:t>
      </w:r>
      <w:r>
        <w:rPr>
          <w:rFonts w:hint="eastAsia" w:asciiTheme="minorEastAsia" w:hAnsiTheme="minorEastAsia" w:eastAsiaTheme="minorEastAsia" w:cstheme="minorEastAsia"/>
          <w:sz w:val="24"/>
          <w:szCs w:val="24"/>
          <w:lang w:val="en-US" w:eastAsia="zh-CN"/>
        </w:rPr>
        <w:t xml:space="preserve">平均</w:t>
      </w:r>
      <w:r>
        <w:rPr>
          <w:rFonts w:hint="eastAsia" w:asciiTheme="minorEastAsia" w:hAnsiTheme="minorEastAsia" w:eastAsiaTheme="minorEastAsia" w:cstheme="minorEastAsia"/>
          <w:sz w:val="24"/>
          <w:szCs w:val="24"/>
        </w:rPr>
        <w:t xml:space="preserve">结果</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90分以上（含90分）可</w:t>
      </w:r>
      <w:r>
        <w:rPr>
          <w:rFonts w:hint="eastAsia" w:asciiTheme="minorEastAsia" w:hAnsiTheme="minorEastAsia" w:eastAsiaTheme="minorEastAsia" w:cstheme="minorEastAsia"/>
          <w:sz w:val="24"/>
          <w:szCs w:val="24"/>
          <w:highlight w:val="none"/>
        </w:rPr>
        <w:t xml:space="preserve">续签第二年合同，</w:t>
      </w:r>
      <w:r>
        <w:rPr>
          <w:rFonts w:hint="eastAsia" w:asciiTheme="minorEastAsia" w:hAnsiTheme="minorEastAsia" w:eastAsiaTheme="minorEastAsia" w:cstheme="minorEastAsia"/>
          <w:sz w:val="24"/>
          <w:szCs w:val="24"/>
          <w:highlight w:val="none"/>
          <w:lang w:val="en-US" w:eastAsia="zh-CN"/>
        </w:rPr>
        <w:t xml:space="preserve">最多续签2年</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rPr>
        <w:t xml:space="preserve">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3、因采购人有消费帮扶采购任务，采购人有权保留预计不超过本次预计采购金额10%的自行采购份额（包含在本项目采购预算内）。</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、采购清单</w:t>
      </w:r>
      <w:r/>
    </w:p>
    <w:tbl>
      <w:tblPr>
        <w:tblStyle w:val="1043"/>
        <w:tblpPr w:horzAnchor="page" w:tblpX="760" w:vertAnchor="text" w:tblpY="201" w:leftFromText="180" w:topFromText="0" w:rightFromText="180" w:bottomFromText="0"/>
        <w:tblW w:w="10924" w:type="dxa"/>
        <w:tblInd w:w="2" w:type="dxa"/>
        <w:tblLayout w:type="fixed"/>
        <w:tblCellMar>
          <w:left w:w="2" w:type="dxa"/>
          <w:top w:w="0" w:type="dxa"/>
          <w:right w:w="2" w:type="dxa"/>
          <w:bottom w:w="0" w:type="dxa"/>
        </w:tblCellMar>
        <w:tblLook w:val="04A0" w:firstRow="1" w:lastRow="0" w:firstColumn="1" w:lastColumn="0" w:noHBand="0" w:noVBand="1"/>
      </w:tblPr>
      <w:tblGrid>
        <w:gridCol w:w="936"/>
        <w:gridCol w:w="2328"/>
        <w:gridCol w:w="6095"/>
        <w:gridCol w:w="1564"/>
      </w:tblGrid>
      <w:tr>
        <w:trPr>
          <w:trHeight w:val="856"/>
        </w:trPr>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品类</w:t>
            </w:r>
            <w:r/>
          </w:p>
        </w:tc>
        <w:tc>
          <w:tcPr>
            <w:tcBorders>
              <w:top w:val="single" w:color="000000" w:sz="2" w:space="0"/>
              <w:left w:val="single" w:color="000000" w:sz="2" w:space="0"/>
              <w:bottom w:val="single" w:color="000000" w:sz="2" w:space="0"/>
              <w:right w:val="single" w:color="000000" w:sz="2" w:space="0"/>
            </w:tcBorders>
            <w:tcW w:w="2328" w:type="dxa"/>
            <w:textDirection w:val="lrTb"/>
            <w:noWrap w:val="false"/>
          </w:tcPr>
          <w:p>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品种</w:t>
            </w:r>
            <w:r/>
          </w:p>
          <w:p>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（包含以下但不限于， 方便日后扩展采购）</w:t>
            </w:r>
            <w:r/>
          </w:p>
        </w:tc>
        <w:tc>
          <w:tcPr>
            <w:tcBorders>
              <w:top w:val="single" w:color="000000" w:sz="2" w:space="0"/>
              <w:left w:val="single" w:color="000000" w:sz="2" w:space="0"/>
              <w:bottom w:val="single" w:color="000000" w:sz="2" w:space="0"/>
              <w:right w:val="single" w:color="000000" w:sz="2" w:space="0"/>
            </w:tcBorders>
            <w:tcW w:w="6095" w:type="dxa"/>
            <w:textDirection w:val="lrTb"/>
            <w:noWrap w:val="false"/>
          </w:tcPr>
          <w:p>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验收标准</w:t>
            </w:r>
            <w:r/>
          </w:p>
        </w:tc>
        <w:tc>
          <w:tcPr>
            <w:tcBorders>
              <w:top w:val="single" w:color="000000" w:sz="2" w:space="0"/>
              <w:left w:val="single" w:color="000000" w:sz="2" w:space="0"/>
              <w:bottom w:val="single" w:color="000000" w:sz="2" w:space="0"/>
              <w:right w:val="single" w:color="000000" w:sz="2" w:space="0"/>
            </w:tcBorders>
            <w:tcW w:w="1564" w:type="dxa"/>
            <w:textDirection w:val="lrTb"/>
            <w:noWrap w:val="false"/>
          </w:tcPr>
          <w:p>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供货周期</w:t>
            </w:r>
            <w:r/>
          </w:p>
        </w:tc>
      </w:tr>
      <w:tr>
        <w:trPr>
          <w:trHeight w:val="90"/>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猪肉类</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前腿肉、五花肉、后腿 肉、大排、小排、肋排、 精肉、猪爪等食品。</w:t>
            </w:r>
            <w:r/>
          </w:p>
        </w:tc>
        <w:tc>
          <w:tcPr>
            <w:tcBorders>
              <w:top w:val="single" w:color="000000" w:sz="2" w:space="0"/>
              <w:left w:val="single" w:color="000000" w:sz="2" w:space="0"/>
              <w:bottom w:val="single" w:color="000000" w:sz="2" w:space="0"/>
              <w:right w:val="single" w:color="000000" w:sz="2" w:space="0"/>
            </w:tcBorders>
            <w:tcW w:w="6095" w:type="dxa"/>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猪肉类产品标准符合GB/T9959.2-2008《分割鲜、冻猪瘦肉》、GB2707-2016《鲜(冻)畜肉卫生标准》。</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（1）鲜猪肉质量验收标准：</w:t>
            </w:r>
            <w:r/>
          </w:p>
          <w:p>
            <w:pP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rPr>
              <w:t xml:space="preserve">肌肉红色均匀，有光泽，脂肪洁白。外表微干或微湿润，不粘手。弹性良好，压后凹陷立即恢复。具有鲜猪肉正常气味，无泥污、血污、肉边整齐、无碎肉、碎骨，按标准部位分割、精肉无多余脂肪</w:t>
            </w:r>
            <w:r>
              <w:rPr>
                <w:rFonts w:hint="eastAsia" w:asciiTheme="minorEastAsia" w:hAnsiTheme="minorEastAsia" w:eastAsiaTheme="minorEastAsia" w:cstheme="minorEastAsia"/>
                <w:sz w:val="21"/>
                <w:szCs w:val="21"/>
                <w:lang w:val="zh-CN" w:eastAsia="zh-CN"/>
              </w:rPr>
              <w:t xml:space="preserve">，</w:t>
            </w:r>
            <w:r>
              <w:rPr>
                <w:rFonts w:hint="eastAsia" w:asciiTheme="minorEastAsia" w:hAnsiTheme="minorEastAsia" w:eastAsiaTheme="minorEastAsia" w:cstheme="minorEastAsia"/>
                <w:sz w:val="21"/>
                <w:szCs w:val="21"/>
                <w:lang w:val="zh-CN"/>
              </w:rPr>
              <w:t xml:space="preserve">且交货时需配有动物卫生检疫及屠宰证明。</w:t>
            </w:r>
            <w:r>
              <w:rPr>
                <w:rFonts w:hint="eastAsia" w:asciiTheme="minorEastAsia" w:hAnsiTheme="minorEastAsia" w:eastAsiaTheme="minorEastAsia" w:cstheme="minorEastAsia"/>
                <w:sz w:val="21"/>
                <w:szCs w:val="21"/>
                <w:lang w:val="zh-CN" w:eastAsia="zh-CN"/>
              </w:rPr>
              <w:t xml:space="preserve">（</w:t>
            </w:r>
            <w:r>
              <w:rPr>
                <w:rFonts w:hint="eastAsia" w:asciiTheme="minorEastAsia" w:hAnsiTheme="minorEastAsia" w:eastAsiaTheme="minorEastAsia" w:cstheme="minorEastAsia"/>
                <w:sz w:val="21"/>
                <w:szCs w:val="21"/>
                <w:lang w:val="en-US" w:eastAsia="zh-CN"/>
              </w:rPr>
              <w:t xml:space="preserve">注：黑猪</w:t>
            </w:r>
            <w:r>
              <w:rPr>
                <w:rFonts w:hint="eastAsia" w:asciiTheme="minorEastAsia" w:hAnsiTheme="minorEastAsia" w:eastAsiaTheme="minorEastAsia" w:cstheme="minorEastAsia"/>
                <w:sz w:val="21"/>
                <w:szCs w:val="21"/>
                <w:lang w:val="zh-CN" w:eastAsia="zh-CN"/>
              </w:rPr>
              <w:t xml:space="preserve">）</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（2）鲜猪肉内脏验收标准：</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①色泽：具有其固有的正常颜色，肌肉红色均匀，有光泽、脂肪洁白；</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②外表：无泥污、无血污、放血状况良好，肉边整齐、无破碎肉、无粘液渗出或很干的表皮，无点状、事状等小颗粒灰白色寄生虫；</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③全味：具有其固有的正常气味（猪肉微腥、牛肉微膻、羊肉重膻）、无臭味、腊味等异味；</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④弹性：指压后凹陷、能恢复原状。</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（3）鲜猪内脏、头蹄等验收标准：</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①心、肝、腰子类：品质新鲜、外形完整、无异味、无病变、无凝血块、无血污、泥污、颜色正常；</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②肚：品质新鲜、外形完整、无溃疡面及其他病变现象、无内容物、无粘膜、无边油；</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③大肠、肥肠类：品质新鲜、无破损、无病变组织、无肠头 细毛、无内容物、去净粘膜；</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④舌：品质新鲜、外形完整、无病变、无异物、无舌苔、附 肉少、无血污、泥污；</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⑤耳：品质新鲜、外形完整、无溃烂、病斑、无破损；</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⑥蹄爪类：品质新鲜、去蹄壳、不带蹄筋、刮除粗毛、细毛 及趾间黑垢、无松香残留；</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⑦蹄筋类：品质新鲜、无色透明、表面光亮、无油脂、无精 肉、无充血现象、顺直、干燥。</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（5）冻片猪肉质量验收标准：</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外表颜色比冷却肉鲜明，在表面切开处为浅玫瑰色至灰色， 用手或热刀触之，立显示鲜红色。肉坚硬，像冰一样，敲击 有响声。化冻时，有肉的正常味，略潮，没有熟肉味。无杂 质，无肌肉风干现象，无白、黄、绿斑、紫斑、污血、过多 冰衣无白霜，按标准部位分割外包装无破损，有生产日期。 包装完整、批号清晰，按招标要求规格供货。（</w:t>
            </w:r>
            <w:r>
              <w:rPr>
                <w:rFonts w:hint="eastAsia" w:asciiTheme="minorEastAsia" w:hAnsiTheme="minorEastAsia" w:eastAsiaTheme="minorEastAsia" w:cstheme="minorEastAsia"/>
                <w:sz w:val="21"/>
                <w:szCs w:val="21"/>
                <w:lang w:val="en-US" w:eastAsia="zh-CN"/>
              </w:rPr>
              <w:t xml:space="preserve">部分产品需分割加工</w:t>
            </w:r>
            <w:r>
              <w:rPr>
                <w:rFonts w:hint="eastAsia" w:asciiTheme="minorEastAsia" w:hAnsiTheme="minorEastAsia" w:eastAsiaTheme="minorEastAsia" w:cstheme="minorEastAsia"/>
                <w:sz w:val="21"/>
                <w:szCs w:val="21"/>
                <w:lang w:val="zh-CN"/>
              </w:rPr>
              <w:t xml:space="preserve">）</w:t>
            </w:r>
            <w:r/>
          </w:p>
        </w:tc>
        <w:tc>
          <w:tcPr>
            <w:tcBorders>
              <w:top w:val="single" w:color="000000" w:sz="2" w:space="0"/>
              <w:left w:val="single" w:color="000000" w:sz="2" w:space="0"/>
              <w:bottom w:val="single" w:color="000000" w:sz="4" w:space="0"/>
              <w:right w:val="single" w:color="000000" w:sz="2" w:space="0"/>
            </w:tcBorders>
            <w:tcW w:w="1564" w:type="dxa"/>
            <w:vAlign w:val="center"/>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按天供应（根据采购人前一天出具的货品清单</w:t>
            </w:r>
            <w:r>
              <w:rPr>
                <w:rFonts w:hint="eastAsia" w:asciiTheme="minorEastAsia" w:hAnsiTheme="minorEastAsia" w:eastAsiaTheme="minorEastAsia" w:cstheme="minorEastAsia"/>
                <w:sz w:val="21"/>
                <w:szCs w:val="21"/>
                <w:lang w:val="zh-CN" w:eastAsia="zh-CN"/>
              </w:rPr>
              <w:t xml:space="preserve">，</w:t>
            </w:r>
            <w:r>
              <w:rPr>
                <w:rFonts w:hint="eastAsia" w:asciiTheme="minorEastAsia" w:hAnsiTheme="minorEastAsia" w:eastAsiaTheme="minorEastAsia" w:cstheme="minorEastAsia"/>
                <w:sz w:val="21"/>
                <w:szCs w:val="21"/>
                <w:lang w:val="zh-CN"/>
              </w:rPr>
              <w:t xml:space="preserve">中标人次日清晨 07：00前送达）</w:t>
            </w:r>
            <w:r/>
          </w:p>
        </w:tc>
      </w:tr>
      <w:tr>
        <w:trPr>
          <w:trHeight w:val="3316"/>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jc w:val="cente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r>
            <w:r/>
          </w:p>
          <w:p>
            <w:pPr>
              <w:jc w:val="cente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 xml:space="preserve">牛</w:t>
            </w:r>
            <w:r>
              <w:rPr>
                <w:rFonts w:hint="eastAsia" w:asciiTheme="minorEastAsia" w:hAnsiTheme="minorEastAsia" w:eastAsiaTheme="minorEastAsia" w:cstheme="minorEastAsia"/>
                <w:sz w:val="21"/>
                <w:szCs w:val="21"/>
                <w:lang w:val="zh-CN"/>
              </w:rPr>
              <w:t xml:space="preserve">羊肉类</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jc w:val="cente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r>
            <w:r/>
          </w:p>
          <w:p>
            <w:pPr>
              <w:jc w:val="cente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牛羊肉、牛</w:t>
            </w:r>
            <w:r>
              <w:rPr>
                <w:rFonts w:hint="eastAsia" w:asciiTheme="minorEastAsia" w:hAnsiTheme="minorEastAsia" w:eastAsiaTheme="minorEastAsia" w:cstheme="minorEastAsia"/>
                <w:sz w:val="21"/>
                <w:szCs w:val="21"/>
                <w:lang w:val="en-US" w:eastAsia="zh-CN"/>
              </w:rPr>
              <w:t xml:space="preserve">羊排</w:t>
            </w:r>
            <w:r>
              <w:rPr>
                <w:rFonts w:hint="eastAsia" w:asciiTheme="minorEastAsia" w:hAnsiTheme="minorEastAsia" w:eastAsiaTheme="minorEastAsia" w:cstheme="minorEastAsia"/>
                <w:sz w:val="21"/>
                <w:szCs w:val="21"/>
                <w:lang w:val="zh-CN"/>
              </w:rPr>
              <w:t xml:space="preserve">等</w:t>
            </w:r>
            <w:r/>
          </w:p>
        </w:tc>
        <w:tc>
          <w:tcPr>
            <w:tcBorders>
              <w:top w:val="single" w:color="000000" w:sz="2" w:space="0"/>
              <w:left w:val="single" w:color="000000" w:sz="2" w:space="0"/>
              <w:bottom w:val="single" w:color="000000" w:sz="4" w:space="0"/>
              <w:right w:val="single" w:color="000000" w:sz="2" w:space="0"/>
            </w:tcBorders>
            <w:tcW w:w="6095" w:type="dxa"/>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鲜冻分割牛肉产品须符合国家标准GB/T9960-2008、鲜冻胴体羊肉产品须符合国家标准GB/9961-2008）。</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牛羊肉类验收标准：</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①颜色：新鲜正常红色，淡红色，有光泽；</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②气味：具有牛羊肉的正常气味，无异味；</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③油层：无；</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④淤血：无；</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⑤表面湿润，不粘手，有弹性；</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⑥水分，感观上不能有水，恒温库吊挂 12 小时。</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注：（1）部分产品需分割加工。</w:t>
            </w:r>
            <w:r/>
          </w:p>
          <w:p>
            <w:pPr>
              <w:ind w:firstLine="420"/>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highlight w:val="none"/>
                <w:lang w:val="zh-CN"/>
              </w:rPr>
              <w:t xml:space="preserve">（2）需通过“SC”食品质量安全认证的产品同时提供加盖供应商公章的食品质量安全认证证书。</w:t>
            </w:r>
            <w:r/>
          </w:p>
        </w:tc>
        <w:tc>
          <w:tcPr>
            <w:tcBorders>
              <w:top w:val="single" w:color="000000" w:sz="4" w:space="0"/>
              <w:left w:val="single" w:color="000000" w:sz="2" w:space="0"/>
              <w:bottom w:val="single" w:color="000000" w:sz="4" w:space="0"/>
              <w:right w:val="single" w:color="000000" w:sz="2" w:space="0"/>
            </w:tcBorders>
            <w:tcW w:w="1564" w:type="dxa"/>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按天供应（根 据采购人前一天出具的货品清单，中标供 应商次日清晨 07：00前送达）</w:t>
            </w:r>
            <w:r/>
          </w:p>
        </w:tc>
      </w:tr>
      <w:tr>
        <w:trPr>
          <w:trHeight w:val="501"/>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家禽类</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（蛋类）</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红毛鸡、鲜麻鸭、鲜鸭爪、无骨鸡腿、无骨鸡爪、鸭翅根、鸭翅中、鸡大腿、鸡蛋、鸭蛋、鹅蛋和鹌鹑蛋等</w:t>
            </w:r>
            <w:r/>
          </w:p>
        </w:tc>
        <w:tc>
          <w:tcPr>
            <w:tcBorders>
              <w:top w:val="single" w:color="000000" w:sz="4" w:space="0"/>
              <w:left w:val="single" w:color="000000" w:sz="2" w:space="0"/>
              <w:bottom w:val="single" w:color="000000" w:sz="4" w:space="0"/>
              <w:right w:val="single" w:color="000000" w:sz="2" w:space="0"/>
            </w:tcBorders>
            <w:tcW w:w="6095" w:type="dxa"/>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（1）鸡（新鲜三黄鸡、草母鸡、乌鸡、草仔鸡、大公鸡；冷冻鸡脯、鸡腿、鸡翅根、鸡中翅、掌中宝符合国家标准GB16869--2005）；</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（2）鸭（新鲜光鸭、麻鸭、烤鸭、鸭舌；冷冻鸭腿、鸭脯肉、鸭肫、鸭翅符合国家标准GB16869--2005）；</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（3）鹅（新鲜老鹅、子鹅符合国家标准GB16869--2005）。</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（4）禽蛋（食品安全国家标准 蛋与蛋制品 GB 2749-2015 ）</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（5）预包装食品（速冻米面与调制食品符合国家标准 GB19295-2021）</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禽类验收标准：</w:t>
            </w:r>
            <w:r/>
          </w:p>
          <w:p>
            <w:pP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rPr>
              <w:t xml:space="preserve">表面光滑而有光泽，肉质弹性好且丰满，表皮无毛或少毛，无破皮，无明显淤块，无污水，无血水，无异味。商标规格，产品说明清晰完整。</w:t>
            </w:r>
            <w:r>
              <w:rPr>
                <w:rFonts w:hint="eastAsia" w:asciiTheme="minorEastAsia" w:hAnsiTheme="minorEastAsia" w:eastAsiaTheme="minorEastAsia" w:cstheme="minorEastAsia"/>
                <w:sz w:val="21"/>
                <w:szCs w:val="21"/>
                <w:lang w:val="zh-CN" w:eastAsia="zh-CN"/>
              </w:rPr>
              <w:t xml:space="preserve">（</w:t>
            </w:r>
            <w:r>
              <w:rPr>
                <w:rFonts w:hint="eastAsia" w:asciiTheme="minorEastAsia" w:hAnsiTheme="minorEastAsia" w:eastAsiaTheme="minorEastAsia" w:cstheme="minorEastAsia"/>
                <w:sz w:val="21"/>
                <w:szCs w:val="21"/>
                <w:lang w:val="en-US" w:eastAsia="zh-CN"/>
              </w:rPr>
              <w:t xml:space="preserve">需现场剖肚、剁块等</w:t>
            </w:r>
            <w:r>
              <w:rPr>
                <w:rFonts w:hint="eastAsia" w:asciiTheme="minorEastAsia" w:hAnsiTheme="minorEastAsia" w:eastAsiaTheme="minorEastAsia" w:cstheme="minorEastAsia"/>
                <w:sz w:val="21"/>
                <w:szCs w:val="21"/>
                <w:lang w:val="zh-CN" w:eastAsia="zh-CN"/>
              </w:rPr>
              <w:t xml:space="preserve">）</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蛋类验收标准：</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zh-CN"/>
              </w:rPr>
              <w:t xml:space="preserve">蛋壳清洁完整，灯光透视时整个蛋呈微红色，蛋黄不见或略有阴影，打开后蛋黄凸起完整并带有韧性，蛋白澄清透明，稀稠分明。</w:t>
            </w:r>
            <w:r/>
          </w:p>
        </w:tc>
        <w:tc>
          <w:tcPr>
            <w:tcBorders>
              <w:top w:val="single" w:color="000000" w:sz="4" w:space="0"/>
              <w:left w:val="single" w:color="000000" w:sz="2" w:space="0"/>
              <w:bottom w:val="single" w:color="000000" w:sz="4" w:space="0"/>
              <w:right w:val="single" w:color="000000" w:sz="2" w:space="0"/>
            </w:tcBorders>
            <w:tcW w:w="1564" w:type="dxa"/>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按天供应（根 据采购人前一天出具的货品清单，中标供 应商次日清晨 07：00前送达）</w:t>
            </w:r>
            <w:r/>
          </w:p>
        </w:tc>
      </w:tr>
      <w:tr>
        <w:trPr>
          <w:trHeight w:val="3369"/>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水产类</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zh-CN"/>
              </w:rPr>
              <w:t xml:space="preserve">鱼</w:t>
            </w:r>
            <w:r>
              <w:rPr>
                <w:rFonts w:hint="eastAsia" w:asciiTheme="minorEastAsia" w:hAnsiTheme="minorEastAsia" w:eastAsiaTheme="minorEastAsia" w:cstheme="minorEastAsia"/>
                <w:sz w:val="21"/>
                <w:szCs w:val="21"/>
                <w:lang w:val="zh-CN" w:eastAsia="zh-CN"/>
              </w:rPr>
              <w:t xml:space="preserve">、</w:t>
            </w:r>
            <w:r>
              <w:rPr>
                <w:rFonts w:hint="eastAsia" w:asciiTheme="minorEastAsia" w:hAnsiTheme="minorEastAsia" w:eastAsiaTheme="minorEastAsia" w:cstheme="minorEastAsia"/>
                <w:sz w:val="21"/>
                <w:szCs w:val="21"/>
                <w:lang w:val="zh-CN"/>
              </w:rPr>
              <w:t xml:space="preserve">虾</w:t>
            </w:r>
            <w:r>
              <w:rPr>
                <w:rFonts w:hint="eastAsia" w:asciiTheme="minorEastAsia" w:hAnsiTheme="minorEastAsia" w:eastAsiaTheme="minorEastAsia" w:cstheme="minorEastAsia"/>
                <w:sz w:val="21"/>
                <w:szCs w:val="21"/>
                <w:lang w:val="zh-CN" w:eastAsia="zh-CN"/>
              </w:rPr>
              <w:t xml:space="preserve">、</w:t>
            </w:r>
            <w:r>
              <w:rPr>
                <w:rFonts w:hint="eastAsia" w:asciiTheme="minorEastAsia" w:hAnsiTheme="minorEastAsia" w:eastAsiaTheme="minorEastAsia" w:cstheme="minorEastAsia"/>
                <w:sz w:val="21"/>
                <w:szCs w:val="21"/>
                <w:lang w:val="zh-CN"/>
              </w:rPr>
              <w:t xml:space="preserve">小黄鱼（条/斤）、无刺鮰鱼块等水产类食品。</w:t>
            </w:r>
            <w:r/>
          </w:p>
        </w:tc>
        <w:tc>
          <w:tcPr>
            <w:tcBorders>
              <w:top w:val="single" w:color="000000" w:sz="4" w:space="0"/>
              <w:left w:val="single" w:color="000000" w:sz="2" w:space="0"/>
              <w:bottom w:val="single" w:color="000000" w:sz="4" w:space="0"/>
              <w:right w:val="single" w:color="000000" w:sz="2" w:space="0"/>
            </w:tcBorders>
            <w:tcW w:w="6095" w:type="dxa"/>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产品标准符合NY5053-2005《无公害食品、普通淡水鱼》、GB2736-1994《淡水鱼卫生标准》、GB2733-2015《鲜、冻动物性水产品卫生标准》</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（1）海、河鲜活类验收标准：</w:t>
            </w:r>
            <w:r/>
          </w:p>
          <w:p>
            <w:pP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rPr>
              <w:t xml:space="preserve">必须保证鲜活、大小基本统一，无异味</w:t>
            </w:r>
            <w:r>
              <w:rPr>
                <w:rFonts w:hint="eastAsia" w:asciiTheme="minorEastAsia" w:hAnsiTheme="minorEastAsia" w:eastAsiaTheme="minorEastAsia" w:cstheme="minorEastAsia"/>
                <w:sz w:val="21"/>
                <w:szCs w:val="21"/>
                <w:lang w:val="zh-CN" w:eastAsia="zh-CN"/>
              </w:rPr>
              <w:t xml:space="preserve">；</w:t>
            </w:r>
            <w:r>
              <w:rPr>
                <w:rFonts w:hint="eastAsia" w:asciiTheme="minorEastAsia" w:hAnsiTheme="minorEastAsia" w:eastAsiaTheme="minorEastAsia" w:cstheme="minorEastAsia"/>
                <w:sz w:val="21"/>
                <w:szCs w:val="21"/>
                <w:lang w:val="zh-CN"/>
              </w:rPr>
              <w:t xml:space="preserve">肉质坚实有弹性，有水产类的正常气味。鱼眼球饱满，角膜透明，鳃色鲜红，鳃丝清晰，鱼鳞紧贴完整，体表有光泽，肌肉有弹性，鱼腹  无膨胀现象。虾，头胸节与腹节连接处紧密，虾体甲壳下不泛红，虾体组织完好，细胞充盈水分，膨胀而富弹力，虾体外表洁净，触之有干燥感。蟹，手提蟹体，肢体（步足）向下松垂为新鲜，腹脐上方没有黑色“骨印 ”泛出</w:t>
            </w:r>
            <w:r>
              <w:rPr>
                <w:rFonts w:hint="eastAsia" w:asciiTheme="minorEastAsia" w:hAnsiTheme="minorEastAsia" w:eastAsiaTheme="minorEastAsia" w:cstheme="minorEastAsia"/>
                <w:sz w:val="21"/>
                <w:szCs w:val="21"/>
                <w:lang w:val="zh-CN" w:eastAsia="zh-CN"/>
              </w:rPr>
              <w:t xml:space="preserve">，</w:t>
            </w:r>
            <w:r>
              <w:rPr>
                <w:rFonts w:hint="eastAsia" w:asciiTheme="minorEastAsia" w:hAnsiTheme="minorEastAsia" w:eastAsiaTheme="minorEastAsia" w:cstheme="minorEastAsia"/>
                <w:sz w:val="21"/>
                <w:szCs w:val="21"/>
                <w:lang w:val="zh-CN"/>
              </w:rPr>
              <w:t xml:space="preserve">“蟹黄 ”凝固，鳃丝洁净清晰为新鲜。贝类，肉质新鲜，无异味</w:t>
            </w:r>
            <w:r>
              <w:rPr>
                <w:rFonts w:hint="eastAsia" w:asciiTheme="minorEastAsia" w:hAnsiTheme="minorEastAsia" w:eastAsiaTheme="minorEastAsia" w:cstheme="minorEastAsia"/>
                <w:sz w:val="21"/>
                <w:szCs w:val="21"/>
                <w:lang w:val="zh-CN" w:eastAsia="zh-CN"/>
              </w:rPr>
              <w:t xml:space="preserve">，</w:t>
            </w:r>
            <w:r>
              <w:rPr>
                <w:rFonts w:hint="eastAsia" w:asciiTheme="minorEastAsia" w:hAnsiTheme="minorEastAsia" w:eastAsiaTheme="minorEastAsia" w:cstheme="minorEastAsia"/>
                <w:sz w:val="21"/>
                <w:szCs w:val="21"/>
                <w:lang w:val="zh-CN"/>
              </w:rPr>
              <w:t xml:space="preserve">表面清洁无整</w:t>
            </w:r>
            <w:r>
              <w:rPr>
                <w:rFonts w:hint="eastAsia" w:asciiTheme="minorEastAsia" w:hAnsiTheme="minorEastAsia" w:eastAsiaTheme="minorEastAsia" w:cstheme="minorEastAsia"/>
                <w:sz w:val="21"/>
                <w:szCs w:val="21"/>
                <w:lang w:val="zh-CN" w:eastAsia="zh-CN"/>
              </w:rPr>
              <w:t xml:space="preserve">，</w:t>
            </w:r>
            <w:r>
              <w:rPr>
                <w:rFonts w:hint="eastAsia" w:asciiTheme="minorEastAsia" w:hAnsiTheme="minorEastAsia" w:eastAsiaTheme="minorEastAsia" w:cstheme="minorEastAsia"/>
                <w:sz w:val="21"/>
                <w:szCs w:val="21"/>
                <w:lang w:val="zh-CN"/>
              </w:rPr>
              <w:t xml:space="preserve">无寄生物，有光泽。</w:t>
            </w:r>
            <w:r>
              <w:rPr>
                <w:rFonts w:hint="eastAsia" w:asciiTheme="minorEastAsia" w:hAnsiTheme="minorEastAsia" w:eastAsiaTheme="minorEastAsia" w:cstheme="minorEastAsia"/>
                <w:sz w:val="21"/>
                <w:szCs w:val="21"/>
                <w:lang w:val="zh-CN" w:eastAsia="zh-CN"/>
              </w:rPr>
              <w:t xml:space="preserve">（</w:t>
            </w:r>
            <w:r>
              <w:rPr>
                <w:rFonts w:hint="eastAsia" w:asciiTheme="minorEastAsia" w:hAnsiTheme="minorEastAsia" w:eastAsiaTheme="minorEastAsia" w:cstheme="minorEastAsia"/>
                <w:sz w:val="21"/>
                <w:szCs w:val="21"/>
                <w:lang w:val="en-US" w:eastAsia="zh-CN"/>
              </w:rPr>
              <w:t xml:space="preserve">需安排人员到指定地点和规定时间内</w:t>
            </w:r>
            <w:r>
              <w:rPr>
                <w:rFonts w:hint="eastAsia" w:asciiTheme="minorEastAsia" w:hAnsiTheme="minorEastAsia" w:eastAsiaTheme="minorEastAsia" w:cstheme="minorEastAsia"/>
                <w:sz w:val="21"/>
                <w:szCs w:val="21"/>
                <w:lang w:val="zh-CN"/>
              </w:rPr>
              <w:t xml:space="preserve">去鳞、净膛、清洗完毕或现场完成以上</w:t>
            </w:r>
            <w:r>
              <w:rPr>
                <w:rFonts w:hint="eastAsia" w:asciiTheme="minorEastAsia" w:hAnsiTheme="minorEastAsia" w:eastAsiaTheme="minorEastAsia" w:cstheme="minorEastAsia"/>
                <w:sz w:val="21"/>
                <w:szCs w:val="21"/>
                <w:lang w:val="en-US" w:eastAsia="zh-CN"/>
              </w:rPr>
              <w:t xml:space="preserve">工作等</w:t>
            </w:r>
            <w:r>
              <w:rPr>
                <w:rFonts w:hint="eastAsia" w:asciiTheme="minorEastAsia" w:hAnsiTheme="minorEastAsia" w:eastAsiaTheme="minorEastAsia" w:cstheme="minorEastAsia"/>
                <w:sz w:val="21"/>
                <w:szCs w:val="21"/>
                <w:lang w:val="zh-CN" w:eastAsia="zh-CN"/>
              </w:rPr>
              <w:t xml:space="preserve">）</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（2）冰鲜类验收标准：</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鱼体表粘液透明，滑而不粘，气味正常，淡水鱼鳃鲜红或粉红，海水鱼鳃紫色或紫红，鱼眼澄清透明，鱼鳞完整，体表无伤痕。虾，头尾完整，有一定弯曲度，虾身较挺，外壳有光泽，气味正常，蟹，蟹腿坚实，蟹壳纹理清楚，光亮，气味正常。（部分冷冻水产送达时需现场解冻、去鳞、净膛、清洗完毕）</w:t>
            </w:r>
            <w:r/>
          </w:p>
        </w:tc>
        <w:tc>
          <w:tcPr>
            <w:tcBorders>
              <w:top w:val="single" w:color="000000" w:sz="4" w:space="0"/>
              <w:left w:val="single" w:color="000000" w:sz="2" w:space="0"/>
              <w:bottom w:val="single" w:color="000000" w:sz="4" w:space="0"/>
              <w:right w:val="single" w:color="000000" w:sz="2" w:space="0"/>
            </w:tcBorders>
            <w:tcW w:w="1564" w:type="dxa"/>
            <w:vAlign w:val="center"/>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按天供应（根 据采购人前一天出具的货品清单，中标供 应商次日清晨 07：00前送达）</w:t>
            </w:r>
            <w:r/>
          </w:p>
        </w:tc>
      </w:tr>
      <w:tr>
        <w:trPr>
          <w:trHeight w:val="3177"/>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 xml:space="preserve">蔬菜</w:t>
            </w:r>
            <w:r/>
          </w:p>
        </w:tc>
        <w:tc>
          <w:tcPr>
            <w:tcBorders>
              <w:top w:val="single" w:color="000000" w:sz="2" w:space="0"/>
              <w:left w:val="single" w:color="000000" w:sz="2" w:space="0"/>
              <w:bottom w:val="single" w:color="000000" w:sz="2" w:space="0"/>
              <w:right w:val="single" w:color="000000" w:sz="2" w:space="0"/>
            </w:tcBorders>
            <w:tcW w:w="2328" w:type="dxa"/>
            <w:vAlign w:val="top"/>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eastAsia="zh-CN"/>
              </w:rPr>
              <w:t xml:space="preserve">青菜、萝卜、包菜、青芹、西红柿、黄瓜、土豆、大白菜、茄子、</w:t>
            </w:r>
            <w:r>
              <w:rPr>
                <w:rFonts w:hint="eastAsia" w:asciiTheme="minorEastAsia" w:hAnsiTheme="minorEastAsia" w:eastAsiaTheme="minorEastAsia" w:cstheme="minorEastAsia"/>
                <w:sz w:val="21"/>
                <w:szCs w:val="21"/>
                <w:lang w:val="en-US" w:eastAsia="zh-CN"/>
              </w:rPr>
              <w:t xml:space="preserve">冬瓜、丝瓜、蒜苔、四季豆、平菇、</w:t>
            </w:r>
            <w:r>
              <w:rPr>
                <w:rFonts w:hint="eastAsia" w:asciiTheme="minorEastAsia" w:hAnsiTheme="minorEastAsia" w:eastAsiaTheme="minorEastAsia" w:cstheme="minorEastAsia"/>
                <w:sz w:val="21"/>
                <w:szCs w:val="21"/>
                <w:lang w:val="zh-CN" w:eastAsia="zh-CN"/>
              </w:rPr>
              <w:t xml:space="preserve">薄皮青椒、</w:t>
            </w:r>
            <w:r>
              <w:rPr>
                <w:rFonts w:hint="eastAsia" w:asciiTheme="minorEastAsia" w:hAnsiTheme="minorEastAsia" w:eastAsiaTheme="minorEastAsia" w:cstheme="minorEastAsia"/>
                <w:sz w:val="21"/>
                <w:szCs w:val="21"/>
                <w:lang w:val="en-US" w:eastAsia="zh-CN"/>
              </w:rPr>
              <w:t xml:space="preserve">西兰花、白菜花、毛豆米、莴笋、黄豆芽、绿豆芽、洋葱、生姜、香葱、金针菇、蚕豆米、芦蒿、韭菜、瓠子、空心菜、花菜、山药、杏鲍菇、茨菇</w:t>
            </w:r>
            <w:r>
              <w:rPr>
                <w:rFonts w:hint="eastAsia" w:asciiTheme="minorEastAsia" w:hAnsiTheme="minorEastAsia" w:eastAsiaTheme="minorEastAsia" w:cstheme="minorEastAsia"/>
                <w:sz w:val="21"/>
                <w:szCs w:val="21"/>
                <w:lang w:val="zh-CN" w:eastAsia="zh-CN"/>
              </w:rPr>
              <w:t xml:space="preserve">等蔬菜类食品。</w:t>
            </w:r>
            <w:r/>
          </w:p>
        </w:tc>
        <w:tc>
          <w:tcPr>
            <w:tcBorders>
              <w:top w:val="single" w:color="000000" w:sz="4" w:space="0"/>
              <w:left w:val="single" w:color="000000" w:sz="2" w:space="0"/>
              <w:bottom w:val="single" w:color="000000" w:sz="4" w:space="0"/>
              <w:right w:val="single" w:color="000000" w:sz="2" w:space="0"/>
            </w:tcBorders>
            <w:tcW w:w="6095" w:type="dxa"/>
            <w:vAlign w:val="top"/>
            <w:textDirection w:val="lrTb"/>
            <w:noWrap w:val="false"/>
          </w:tcPr>
          <w:p>
            <w:pP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p>
            <w:pP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lang w:val="zh-CN" w:eastAsia="zh-CN"/>
              </w:rPr>
              <w:t xml:space="preserve">）叶菜必须符合GB23200-2016、GB 5009.232-2016；标准，外形正常，叶梗光滑幼嫩，不干瘪凋萎，无过多黄叶，色泽正常。去除根须，不含土，无虫害，大白菜、卷心菜切开心不变黑，无腐烂情形，无明显浸水现象；农药残留不超标。</w:t>
            </w:r>
            <w:r/>
          </w:p>
          <w:p>
            <w:pP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val="zh-CN" w:eastAsia="zh-CN"/>
              </w:rPr>
              <w:t xml:space="preserve">）根茎类蔬菜必须符合GB23200-2016、GB 5009.232-2016标准，无虫咬、发芽、发霉现象，新鲜，形态大小与招标人自购标准相当。农药残留不超标。 豆芽类：货物标准GB 22556-2008；</w:t>
            </w:r>
            <w:r/>
          </w:p>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lang w:val="zh-CN" w:eastAsia="zh-CN"/>
              </w:rPr>
              <w:t xml:space="preserve">花果类蔬菜必须符合GB23200-2016标准，无虫害，成熟度良好，新鲜固有的色泽鲜明，无发霉发黄。农药残留不超标（</w:t>
            </w:r>
            <w:r>
              <w:rPr>
                <w:rFonts w:hint="eastAsia" w:asciiTheme="minorEastAsia" w:hAnsiTheme="minorEastAsia" w:eastAsiaTheme="minorEastAsia" w:cstheme="minorEastAsia"/>
                <w:sz w:val="21"/>
                <w:szCs w:val="21"/>
                <w:lang w:val="en-US" w:eastAsia="zh-CN"/>
              </w:rPr>
              <w:t xml:space="preserve">注：部分菜品需采摘、剥皮等</w:t>
            </w:r>
            <w:r>
              <w:rPr>
                <w:rFonts w:hint="eastAsia" w:asciiTheme="minorEastAsia" w:hAnsiTheme="minorEastAsia" w:eastAsiaTheme="minorEastAsia" w:cstheme="minorEastAsia"/>
                <w:sz w:val="21"/>
                <w:szCs w:val="21"/>
                <w:lang w:val="zh-CN" w:eastAsia="zh-CN"/>
              </w:rPr>
              <w:t xml:space="preserve">）</w:t>
            </w:r>
            <w:r/>
          </w:p>
        </w:tc>
        <w:tc>
          <w:tcPr>
            <w:tcBorders>
              <w:top w:val="single" w:color="000000" w:sz="4" w:space="0"/>
              <w:left w:val="single" w:color="000000" w:sz="2" w:space="0"/>
              <w:bottom w:val="single" w:color="000000" w:sz="4" w:space="0"/>
              <w:right w:val="single" w:color="000000" w:sz="2" w:space="0"/>
            </w:tcBorders>
            <w:tcW w:w="1564" w:type="dxa"/>
            <w:vAlign w:val="center"/>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 xml:space="preserve">按天供应 （根据采购人前一 天出具的货品清单，中标供应商次日清晨 07：00 前送达）</w:t>
            </w:r>
            <w:r/>
          </w:p>
        </w:tc>
      </w:tr>
      <w:tr>
        <w:trPr>
          <w:trHeight w:val="90"/>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 xml:space="preserve">豆制品</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 xml:space="preserve">豆腐、豆皮、干丝、香干、白干、水面筋、素鸡、百叶、臭豆腐、腐竹等</w:t>
            </w:r>
            <w:r/>
          </w:p>
        </w:tc>
        <w:tc>
          <w:tcPr>
            <w:tcBorders>
              <w:top w:val="single" w:color="000000" w:sz="4" w:space="0"/>
              <w:left w:val="single" w:color="000000" w:sz="2" w:space="0"/>
              <w:bottom w:val="single" w:color="000000" w:sz="4" w:space="0"/>
              <w:right w:val="single" w:color="000000" w:sz="2" w:space="0"/>
            </w:tcBorders>
            <w:tcW w:w="6095" w:type="dxa"/>
            <w:vAlign w:val="center"/>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 xml:space="preserve">保证当天生产货品新鲜、干净无灰尘，异味，外形完整，美观，无破损，鲜豆饱满，结实，颜色正常。包括但不限于干丝、豆腐、千张等，必须具有“QS”食品质量安全认证</w:t>
            </w:r>
            <w:r/>
          </w:p>
        </w:tc>
        <w:tc>
          <w:tcPr>
            <w:tcBorders>
              <w:top w:val="single" w:color="000000" w:sz="4" w:space="0"/>
              <w:left w:val="single" w:color="000000" w:sz="2" w:space="0"/>
              <w:bottom w:val="single" w:color="000000" w:sz="4" w:space="0"/>
              <w:right w:val="single" w:color="000000" w:sz="2" w:space="0"/>
            </w:tcBorders>
            <w:tcW w:w="1564" w:type="dxa"/>
            <w:vAlign w:val="center"/>
            <w:textDirection w:val="lrTb"/>
            <w:noWrap w:val="false"/>
          </w:tcPr>
          <w:p>
            <w:pPr>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 xml:space="preserve">按天供应（根据采购人前一天出具的货品清单，中标供应商次日清晨 07：00 前送达）</w:t>
            </w:r>
            <w:r/>
          </w:p>
        </w:tc>
      </w:tr>
      <w:tr>
        <w:trPr>
          <w:trHeight w:val="937"/>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水果</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苹果、香蕉、梨子、桔子、圣女果、西瓜等水果类</w:t>
            </w:r>
            <w:r/>
          </w:p>
        </w:tc>
        <w:tc>
          <w:tcPr>
            <w:tcBorders>
              <w:top w:val="single" w:color="000000" w:sz="4" w:space="0"/>
              <w:left w:val="single" w:color="000000" w:sz="2" w:space="0"/>
              <w:bottom w:val="single" w:color="000000" w:sz="4" w:space="0"/>
              <w:right w:val="single" w:color="000000" w:sz="2" w:space="0"/>
            </w:tcBorders>
            <w:tcW w:w="6095"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必须符合GB23200-2016标准</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（1）新鲜度：充足无空壳，皱皮、干涩现象；</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（2）色泽：新艳光亮，无变色；</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（3）硬度：饱满充实，软硬适中；</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（4）机械伤：相同新鲜条件下无外伤造成伤害，如挤伤、 压伤、碰伤、裂伤；</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（5）形状：外形优美，果实硕大，无不良图案及异状； </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（6）成熟度：适中，无过熟、未熟现象；</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（7）污染：无污染残留农药；</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（8）包装：如有包装需完整干净。</w:t>
            </w:r>
            <w:r/>
          </w:p>
        </w:tc>
        <w:tc>
          <w:tcPr>
            <w:tcBorders>
              <w:top w:val="single" w:color="000000" w:sz="4" w:space="0"/>
              <w:left w:val="single" w:color="000000" w:sz="2" w:space="0"/>
              <w:bottom w:val="single" w:color="000000" w:sz="4" w:space="0"/>
              <w:right w:val="single" w:color="000000" w:sz="2" w:space="0"/>
            </w:tcBorders>
            <w:tcW w:w="1564"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按天供应（根据采购人前一天出具的货品清单，中标供应商次日清晨 07：00 前送达）</w:t>
            </w:r>
            <w:r/>
          </w:p>
        </w:tc>
      </w:tr>
      <w:tr>
        <w:trPr>
          <w:trHeight w:val="1247"/>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粮油</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胚芽油、大豆油、玉米油、葵籽油、大米、杂粮等。</w:t>
            </w:r>
            <w:r/>
          </w:p>
        </w:tc>
        <w:tc>
          <w:tcPr>
            <w:tcBorders>
              <w:top w:val="single" w:color="000000" w:sz="4" w:space="0"/>
              <w:left w:val="single" w:color="000000" w:sz="2" w:space="0"/>
              <w:bottom w:val="single" w:color="000000" w:sz="4" w:space="0"/>
              <w:right w:val="single" w:color="000000" w:sz="2" w:space="0"/>
            </w:tcBorders>
            <w:tcW w:w="6095" w:type="dxa"/>
            <w:vAlign w:val="top"/>
            <w:textDirection w:val="lrTb"/>
            <w:noWrap w:val="false"/>
          </w:tcPr>
          <w:p>
            <w:pP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（1）大豆油符合 GB/T 1535-2017 标准，要求澄清透明；气味、口感较好；溶剂残留不得检出；酸值小于1；过氧化值小于6；密封良好，无渗漏；</w:t>
            </w:r>
            <w:r/>
          </w:p>
          <w:p>
            <w:pP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（2）玉米油符合 GB/T 19111-2017标准，要求澄清透明；气味、口感较好；溶剂残留不得检出；酸值小于0.2%；过氧化值小于5；商标整齐，喷码正确，文字清晰。密封良好，无渗漏；</w:t>
            </w:r>
            <w:r/>
          </w:p>
          <w:p>
            <w:pP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（3）葵花籽油符合 GB/T10464-2017标准，要求澄清透明；气味、口感较好；商标整齐，喷码正确，文字清晰。密封良好，无渗漏；</w:t>
            </w:r>
            <w:r/>
          </w:p>
          <w:p>
            <w:pP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（4）菜籽油符合 GB/T 1536-2021 标准，要求澄清透明；气味、口感较好；溶剂残留不得检出；酸值小于1；过氧化值小于6；密封良好，无渗漏；</w:t>
            </w:r>
            <w:r/>
          </w:p>
          <w:p>
            <w:pP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（5）大米符合 GB/T 1354-2018标准，要求颗粒饱满完整、大小均匀，无虫害及霉变，无杂质；无陈米、酸败及其他异味，气味、口感好；</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zh-CN" w:eastAsia="zh-CN"/>
              </w:rPr>
              <w:t xml:space="preserve">（6）杂粮类应符合国家相应标准，要求具有各种杂粮固有的色泽，颗粒饱满完整，无虫害及霉变，无可见外来杂质；无酸败及其他异味，气味、口感好。</w:t>
            </w:r>
            <w:r/>
          </w:p>
        </w:tc>
        <w:tc>
          <w:tcPr>
            <w:tcBorders>
              <w:top w:val="single" w:color="000000" w:sz="4" w:space="0"/>
              <w:left w:val="single" w:color="000000" w:sz="2" w:space="0"/>
              <w:bottom w:val="single" w:color="000000" w:sz="4" w:space="0"/>
              <w:right w:val="single" w:color="000000" w:sz="2" w:space="0"/>
            </w:tcBorders>
            <w:tcW w:w="1564" w:type="dxa"/>
            <w:vAlign w:val="top"/>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按需供应（中标供应商须根据与采购人协商的 数量、地点进行供货）</w:t>
            </w:r>
            <w:r/>
          </w:p>
        </w:tc>
      </w:tr>
      <w:tr>
        <w:trPr>
          <w:trHeight w:val="1247"/>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干货</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去除了水分的木耳、紫菜、香菇、红枣、桂皮、辣椒、花椒、大茴香、小茴香、八角、粉丝、大蒜头、梅干菜、榨菜丝、皮肚、海带、油面筋、胡椒、枸杞等。</w:t>
            </w:r>
            <w:r/>
          </w:p>
        </w:tc>
        <w:tc>
          <w:tcPr>
            <w:tcBorders>
              <w:top w:val="single" w:color="000000" w:sz="4" w:space="0"/>
              <w:left w:val="single" w:color="000000" w:sz="2" w:space="0"/>
              <w:bottom w:val="single" w:color="000000" w:sz="4" w:space="0"/>
              <w:right w:val="single" w:color="000000" w:sz="2" w:space="0"/>
            </w:tcBorders>
            <w:tcW w:w="6095"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（1）干货类验收标准：</w:t>
            </w:r>
            <w:r/>
          </w:p>
          <w:p>
            <w:pP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en-US" w:eastAsia="zh-CN"/>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p>
        </w:tc>
        <w:tc>
          <w:tcPr>
            <w:tcBorders>
              <w:top w:val="single" w:color="000000" w:sz="4" w:space="0"/>
              <w:left w:val="single" w:color="000000" w:sz="2" w:space="0"/>
              <w:bottom w:val="single" w:color="000000" w:sz="4" w:space="0"/>
              <w:right w:val="single" w:color="000000" w:sz="2" w:space="0"/>
            </w:tcBorders>
            <w:tcW w:w="1564"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按需供应（中标供应商须根据与采购人协商的 数量、地点进行供货）</w:t>
            </w:r>
            <w:r/>
          </w:p>
        </w:tc>
      </w:tr>
      <w:tr>
        <w:trPr>
          <w:trHeight w:val="1247"/>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调料类</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鸡精、 盐、糖、陈醋、生抽、老抽、辣油、蒸鱼豉油、黄豆酱、郫县豆瓣酱、豆豉、生粉、料酒等</w:t>
            </w:r>
            <w:r/>
          </w:p>
        </w:tc>
        <w:tc>
          <w:tcPr>
            <w:tcBorders>
              <w:top w:val="single" w:color="000000" w:sz="4" w:space="0"/>
              <w:left w:val="single" w:color="000000" w:sz="2" w:space="0"/>
              <w:bottom w:val="single" w:color="000000" w:sz="4" w:space="0"/>
              <w:right w:val="single" w:color="000000" w:sz="2" w:space="0"/>
            </w:tcBorders>
            <w:tcW w:w="6095"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包括但不限于符合白砂糖（白砂糖国家标准GB/T 317-2018）；食用盐（食用盐国家标准GB/T 5461-2016 、食用盐卫生标准GB 2721-2015）；酱油（酿造酱油国家标准GB18186-2000、酱油卫生标准GB 2717-2018）；味精（味精卫生标准GB 2720-2015）；生粉（淀粉制品卫生标准NY/T 1039-2014）；绵白糖（绵白糖国家标准GB1445-2018）；香醋（食醋卫生标准GB2719-2018），剩余保存期不少于原有保质期的三分之二。</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①食盐：味咸，呈现白色晶体，无杂质，无苦味及其他异味，外包装无漏无污，印刷清晰，有防伪标识；</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②食糖：色泽洁白光亮，颗粒均匀整齐，无粘结块现象，无 异味无杂质，包装完好；</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③食醋：正常色泽，琥珀色气味，不得有酸、苦、涩等异味 和霉味，不浑浊，不沉淀，无霉花浮膜，外包装无漏无污，印刷清晰，无胀袋现象；</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④酱油：正常色泽，红褐色气味的滋味，无不良气味，不得有酸、苦、涩等异味和霉味，不浑浊，不沉淀，无霉花浮膜，外包装无漏无污，印刷清晰，无胀袋现象；</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⑤味精：无色或白色结晶，无杂质污物，允许有少量碎晶及少量粉末状物质；</w:t>
            </w:r>
            <w:r/>
          </w:p>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⑥生粉及炸粉：色洁白，颗粒均匀，手感滑爽，干燥无杂质，气味正常；</w:t>
            </w:r>
            <w:r/>
          </w:p>
          <w:p>
            <w:pP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en-US" w:eastAsia="zh-CN"/>
              </w:rPr>
              <w:t xml:space="preserve">⑦粉状香辛料：颗粒均匀无杂质，干燥无结块，具有固有的颜色和气味。</w:t>
            </w:r>
            <w:r/>
          </w:p>
        </w:tc>
        <w:tc>
          <w:tcPr>
            <w:tcBorders>
              <w:top w:val="single" w:color="000000" w:sz="4" w:space="0"/>
              <w:left w:val="single" w:color="000000" w:sz="2" w:space="0"/>
              <w:bottom w:val="single" w:color="000000" w:sz="4" w:space="0"/>
              <w:right w:val="single" w:color="000000" w:sz="2" w:space="0"/>
            </w:tcBorders>
            <w:tcW w:w="1564"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按需供应（中标供应商须根据与采购人协商的 数量、地点进行供货）</w:t>
            </w:r>
            <w:r/>
          </w:p>
        </w:tc>
      </w:tr>
      <w:tr>
        <w:trPr>
          <w:trHeight w:val="1247"/>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奶类</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酸奶、牛奶</w:t>
            </w:r>
            <w:r>
              <w:rPr>
                <w:rFonts w:hint="eastAsia" w:asciiTheme="minorEastAsia" w:hAnsiTheme="minorEastAsia" w:eastAsiaTheme="minorEastAsia" w:cstheme="minorEastAsia"/>
                <w:sz w:val="21"/>
                <w:szCs w:val="21"/>
                <w:lang w:val="en-US" w:eastAsia="zh-CN"/>
              </w:rPr>
              <w:t xml:space="preserve">等</w:t>
            </w:r>
            <w:r/>
          </w:p>
        </w:tc>
        <w:tc>
          <w:tcPr>
            <w:tcBorders>
              <w:top w:val="single" w:color="000000" w:sz="4" w:space="0"/>
              <w:left w:val="single" w:color="000000" w:sz="2" w:space="0"/>
              <w:bottom w:val="single" w:color="000000" w:sz="4" w:space="0"/>
              <w:right w:val="single" w:color="000000" w:sz="2" w:space="0"/>
            </w:tcBorders>
            <w:tcW w:w="6095"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酸奶（小塑杯）必须符合GB19302-2010标准，并拥有“QS”食品质量安全认证；鲜奶类（巴氏奶）：必须符合GB19301-2010标准，并拥有“QS”食品质量安全认证；当天生产，当天送货，冷链运输，安全储存。</w:t>
            </w:r>
            <w:r/>
          </w:p>
        </w:tc>
        <w:tc>
          <w:tcPr>
            <w:tcBorders>
              <w:top w:val="single" w:color="000000" w:sz="4" w:space="0"/>
              <w:left w:val="single" w:color="000000" w:sz="2" w:space="0"/>
              <w:bottom w:val="single" w:color="000000" w:sz="2" w:space="0"/>
              <w:right w:val="single" w:color="000000" w:sz="2" w:space="0"/>
            </w:tcBorders>
            <w:tcW w:w="1564" w:type="dxa"/>
            <w:vAlign w:val="center"/>
            <w:textDirection w:val="lrTb"/>
            <w:noWrap w:val="false"/>
          </w:tcPr>
          <w:p>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按天供应（根据采购人前一天出具的货品清单，中标供应商次日清晨 07：00 前送达）</w:t>
            </w:r>
            <w:r/>
          </w:p>
        </w:tc>
      </w:tr>
    </w:tbl>
    <w:p>
      <w:pPr>
        <w:pStyle w:val="1033"/>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说明：以上明细仅为采购人所采购部分产品，其他未列明产品以采购人需求为准。</w:t>
      </w:r>
      <w:bookmarkStart w:id="133" w:name="_Toc11059"/>
      <w:r/>
      <w:bookmarkEnd w:id="133"/>
      <w:r/>
      <w:bookmarkStart w:id="134" w:name="_Toc95824775"/>
      <w:r/>
      <w:bookmarkEnd w:id="134"/>
      <w:r/>
      <w:bookmarkStart w:id="135" w:name="_Toc18534"/>
      <w:r/>
      <w:bookmarkEnd w:id="135"/>
      <w:r/>
      <w:r/>
    </w:p>
    <w:p>
      <w:pPr>
        <w:pStyle w:val="1020"/>
        <w:numPr>
          <w:ilvl w:val="0"/>
          <w:numId w:val="0"/>
        </w:numPr>
        <w:jc w:val="left"/>
        <w:spacing w:line="300" w:lineRule="auto"/>
        <w:widowControl/>
        <w:rPr>
          <w:rFonts w:hint="eastAsia" w:asciiTheme="minorEastAsia" w:hAnsiTheme="minorEastAsia" w:eastAsiaTheme="minorEastAsia" w:cstheme="minorEastAsia"/>
          <w:sz w:val="24"/>
          <w:szCs w:val="24"/>
        </w:rPr>
        <w:outlineLvl w:val="2"/>
      </w:pPr>
      <w:r>
        <w:rPr>
          <w:rFonts w:hint="eastAsia" w:asciiTheme="minorEastAsia" w:hAnsiTheme="minorEastAsia" w:eastAsiaTheme="minorEastAsia" w:cstheme="minorEastAsia"/>
          <w:b/>
          <w:bCs/>
          <w:sz w:val="24"/>
          <w:szCs w:val="24"/>
          <w:lang w:val="en-US" w:eastAsia="zh-CN"/>
        </w:rPr>
        <w:t xml:space="preserve">四</w:t>
      </w:r>
      <w:r>
        <w:rPr>
          <w:rFonts w:hint="eastAsia" w:asciiTheme="minorEastAsia" w:hAnsiTheme="minorEastAsia" w:eastAsiaTheme="minorEastAsia" w:cstheme="minorEastAsia"/>
          <w:b/>
          <w:bCs/>
          <w:sz w:val="24"/>
          <w:szCs w:val="24"/>
        </w:rPr>
        <w:t xml:space="preserve">、食材质量要求</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中标供应商应承诺其所供的食材均符合《食品安全法》、《食品安全法实施条例》、《农产品质量安全法》等相关法律法规及政策规定要求，符合国家食品安全标准与卫生检测标准，达到本次招标项目技术要求，保证卫生安全，具备相应的色、香、味等感官性状。同等条件下，通过认证的绿色食品、有机食品优先。</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中标供应商严禁配送变质、过期、假冒、伪劣、有毒、有害的货物，不得弄虚作假或以次充好，否则采购人有权要求退货或换货。因所供货物质量达不到国家有关食品安全标准而造成食物中毒或其它后果，由此所产生的一</w:t>
      </w:r>
      <w:r>
        <w:rPr>
          <w:rFonts w:hint="eastAsia" w:asciiTheme="minorEastAsia" w:hAnsiTheme="minorEastAsia" w:eastAsiaTheme="minorEastAsia" w:cstheme="minorEastAsia"/>
          <w:sz w:val="24"/>
          <w:szCs w:val="24"/>
          <w:lang w:val="en-US" w:eastAsia="zh-CN"/>
        </w:rPr>
        <w:t xml:space="preserve">切</w:t>
      </w:r>
      <w:r>
        <w:rPr>
          <w:rFonts w:hint="eastAsia" w:asciiTheme="minorEastAsia" w:hAnsiTheme="minorEastAsia" w:eastAsiaTheme="minorEastAsia" w:cstheme="minorEastAsia"/>
          <w:sz w:val="24"/>
          <w:szCs w:val="24"/>
        </w:rPr>
        <w:t xml:space="preserve">法律责任和经济责任均由中标供应商承担。</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4、一经发现供应以下食材，中标供应商除全部退货，同时还应承担由此造成的经济责任和法律责任：</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（1）腐败变质、霉变、生虫、污秽不洁、混有异物或者其他感官性状异常，对人体健康有害的；</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（2）含有毒、有害物质或者被有害物质污染，对人体健康有害的；含有严重超出标准限量的农药残留、重金属、污染物质以及其他危害人体健康的；</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（3）含有致病性寄生虫、微生物或者微生物含量超过国家限定标准的；</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（4）掺假、掺杂、伪造，影响营养、卫生的；</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（5）超过保质期限的；</w:t>
      </w:r>
      <w:r/>
    </w:p>
    <w:p>
      <w:pPr>
        <w:pStyle w:val="1020"/>
        <w:ind w:left="0" w:firstLine="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（6）未经动物检疫部门检疫、检验或者检疫、检验不合格的肉类及其制品</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5、产品标准：若在服务期间，国家相关部门出台最新的或更高的标准要求，则按最新的或更高的标准执行。</w:t>
      </w:r>
      <w:r/>
    </w:p>
    <w:p>
      <w:pPr>
        <w:ind w:firstLine="241"/>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五</w:t>
      </w:r>
      <w:r>
        <w:rPr>
          <w:rFonts w:hint="eastAsia" w:asciiTheme="minorEastAsia" w:hAnsiTheme="minorEastAsia" w:eastAsiaTheme="minorEastAsia" w:cstheme="minorEastAsia"/>
          <w:b/>
          <w:bCs/>
          <w:sz w:val="24"/>
          <w:szCs w:val="24"/>
        </w:rPr>
        <w:t xml:space="preserve">、人员管理及仓储要求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bookmarkStart w:id="136" w:name="_Hlk156649609"/>
      <w:r>
        <w:rPr>
          <w:rFonts w:hint="eastAsia" w:asciiTheme="minorEastAsia" w:hAnsiTheme="minorEastAsia" w:eastAsiaTheme="minorEastAsia" w:cstheme="minorEastAsia"/>
          <w:sz w:val="24"/>
          <w:szCs w:val="24"/>
        </w:rPr>
        <w:t xml:space="preserve">1、中标供应商应具有一定食品安全法律知识及食品管理技能的专职或者兼职食品安全管理人。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2、中标供应商须建立健全食品安全管理十项制度和从业人员健康管理制度。</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3、中标供应商应具有与所供应配送的食材品种、数量相适应的仓储设备及相关条件；保持仓库环境整洁，同时仓库内食材应排放有序并与有毒、有害场所以及其他污染源保持规定的距离。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4、配送人员必须取得卫生部门出具的健康证，工作时做到个人仪表整洁。且送货时必须按采购人要求进行着装。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5、配送车辆上必须粘贴配送标识，车辆要保持清洁，在食材配送过程中不得与其他产品混装。</w:t>
      </w:r>
      <w:bookmarkEnd w:id="136"/>
      <w:r/>
      <w:r/>
    </w:p>
    <w:p>
      <w:pPr>
        <w:ind w:firstLine="241"/>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六</w:t>
      </w:r>
      <w:r>
        <w:rPr>
          <w:rFonts w:hint="eastAsia" w:asciiTheme="minorEastAsia" w:hAnsiTheme="minorEastAsia" w:eastAsiaTheme="minorEastAsia" w:cstheme="minorEastAsia"/>
          <w:b/>
          <w:bCs/>
          <w:sz w:val="24"/>
          <w:szCs w:val="24"/>
        </w:rPr>
        <w:t xml:space="preserve">、食材配送及交货要求</w:t>
      </w:r>
      <w:bookmarkStart w:id="137" w:name="_Hlk156649618"/>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中标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2、食材供货配送必须建立完善的质量承诺制度，并具有与该承诺相适应的财务保障。</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日常情况下，采购人提前12小时或24小时以传真、邮件或电话、微信等形式告知中标供应商供应的食材种类、数量及交货地点，中标供应商应对订单进行确认；中标供应商未于下单日当天明确表示不能配送的，则视为确认。</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中标供应商须于交货日按照采购人通知的时间、数量、品种、品质要求准时送货，经验收合格后签字确认并进行卸货，运费自理，不能以任何理由推托，一旦影响到食堂正常供应，中标供应商应承担相应的经济赔偿。</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6、交货地点：采购人指定地点</w:t>
      </w:r>
      <w:r>
        <w:rPr>
          <w:rFonts w:hint="eastAsia" w:asciiTheme="minorEastAsia" w:hAnsiTheme="minorEastAsia" w:eastAsiaTheme="minorEastAsia" w:cstheme="minorEastAsia"/>
          <w:sz w:val="24"/>
          <w:szCs w:val="24"/>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pStyle w:val="1020"/>
        <w:ind w:firstLine="439"/>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pStyle w:val="1020"/>
        <w:ind w:firstLine="439"/>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9、中标供应商须随时接受采购人或相关单位的随机抽样检查，检验费用由中标供应商支付。</w:t>
      </w:r>
      <w:r/>
    </w:p>
    <w:p>
      <w:pPr>
        <w:pStyle w:val="1020"/>
        <w:ind w:firstLine="439"/>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10、采购人对食材提出的质量异议时，保证在30分钟以内作出答复，并妥善商处。无法在30分钟内解决的，应在1个小时内提供备用产品，使采购人能够正常使用。</w:t>
      </w:r>
      <w:r/>
    </w:p>
    <w:p>
      <w:pPr>
        <w:pStyle w:val="1020"/>
        <w:ind w:firstLine="439"/>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11、规格包装的食材交付时，必须原包装完好无损，否则采购人有权拒收。</w:t>
      </w:r>
      <w:bookmarkEnd w:id="137"/>
      <w:r/>
      <w:r/>
    </w:p>
    <w:p>
      <w:pPr>
        <w:pStyle w:val="1020"/>
        <w:numPr>
          <w:ilvl w:val="0"/>
          <w:numId w:val="0"/>
        </w:numPr>
        <w:keepLines w:val="0"/>
        <w:keepNext w:val="0"/>
        <w:pageBreakBefore w:val="0"/>
        <w:spacing w:line="360" w:lineRule="auto"/>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lang w:val="en-US" w:eastAsia="zh-CN"/>
        </w:rPr>
        <w:t xml:space="preserve">七</w:t>
      </w:r>
      <w:r>
        <w:rPr>
          <w:rFonts w:hint="eastAsia" w:asciiTheme="minorEastAsia" w:hAnsiTheme="minorEastAsia" w:eastAsiaTheme="minorEastAsia" w:cstheme="minorEastAsia"/>
          <w:b/>
          <w:bCs/>
          <w:sz w:val="24"/>
          <w:szCs w:val="24"/>
        </w:rPr>
        <w:t xml:space="preserve">、服务承诺及措施</w:t>
      </w:r>
      <w:r/>
    </w:p>
    <w:p>
      <w:pPr>
        <w:pStyle w:val="102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1、中标供应商做好食材供应服务，切实做到人员到位，服务到位，切实保障采购人合法权益。</w:t>
      </w:r>
      <w:r/>
    </w:p>
    <w:p>
      <w:pPr>
        <w:pStyle w:val="102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2、中标供应商保证产品在采购人规定时间内送达指定地点，由采购人指定专人进行验收，验收合格签字认可。</w:t>
      </w:r>
      <w:r/>
    </w:p>
    <w:p>
      <w:pPr>
        <w:pStyle w:val="102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3、中标供应商严格按照《产品质量法》等相关规定，严格保证食材质量符合国家相关产品质量标准，在供应过程中如出现因食用其提供食材导致食物中毒的事故发生，中标供应商对此承担一切法律责任。</w:t>
      </w:r>
      <w:r/>
    </w:p>
    <w:p>
      <w:pPr>
        <w:pStyle w:val="102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4、如采购人或相关部门对中标供应商产品质量有异议，有权提出改进意见。</w:t>
      </w:r>
      <w:r/>
    </w:p>
    <w:p>
      <w:pPr>
        <w:pStyle w:val="1020"/>
        <w:numPr>
          <w:ilvl w:val="0"/>
          <w:numId w:val="0"/>
        </w:numPr>
        <w:keepLines w:val="0"/>
        <w:keepNext w:val="0"/>
        <w:pageBreakBefore w:val="0"/>
        <w:spacing w:line="360" w:lineRule="auto"/>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lang w:val="en-US" w:eastAsia="zh-CN"/>
        </w:rPr>
        <w:t xml:space="preserve">八</w:t>
      </w:r>
      <w:r>
        <w:rPr>
          <w:rFonts w:hint="eastAsia" w:asciiTheme="minorEastAsia" w:hAnsiTheme="minorEastAsia" w:eastAsiaTheme="minorEastAsia" w:cstheme="minorEastAsia"/>
          <w:b/>
          <w:bCs/>
          <w:sz w:val="24"/>
          <w:szCs w:val="24"/>
        </w:rPr>
        <w:t xml:space="preserve">、报价要求</w:t>
      </w:r>
      <w:r/>
    </w:p>
    <w:p>
      <w:pPr>
        <w:pStyle w:val="1020"/>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1、本项目采购食材清单由采购人根据每批次需要自主选定，本次报价包含：商品价、运输费（含装卸费）、人工费</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需深加工食材加工费</w:t>
      </w:r>
      <w:r>
        <w:rPr>
          <w:rFonts w:hint="eastAsia" w:asciiTheme="minorEastAsia" w:hAnsiTheme="minorEastAsia" w:eastAsiaTheme="minorEastAsia" w:cstheme="minorEastAsia"/>
          <w:sz w:val="24"/>
          <w:szCs w:val="24"/>
        </w:rPr>
        <w:t xml:space="preserve">、保险费、税费、货物送到采购人指定地点等的所有费用。</w:t>
      </w:r>
      <w:r/>
    </w:p>
    <w:p>
      <w:pPr>
        <w:pStyle w:val="1020"/>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bookmarkStart w:id="138" w:name="_Hlk156643333"/>
      <w:r>
        <w:rPr>
          <w:rFonts w:hint="eastAsia" w:asciiTheme="minorEastAsia" w:hAnsiTheme="minorEastAsia" w:eastAsiaTheme="minorEastAsia" w:cstheme="minorEastAsia"/>
          <w:sz w:val="24"/>
          <w:szCs w:val="24"/>
        </w:rPr>
        <w:t xml:space="preserve">查询价格基数</w:t>
      </w:r>
      <w:bookmarkEnd w:id="138"/>
      <w:r>
        <w:rPr>
          <w:rFonts w:hint="eastAsia" w:asciiTheme="minorEastAsia" w:hAnsiTheme="minorEastAsia" w:eastAsiaTheme="minorEastAsia" w:cstheme="minorEastAsia"/>
          <w:sz w:val="24"/>
          <w:szCs w:val="24"/>
        </w:rPr>
        <w:t xml:space="preserve">：①中标供应商供应的食材种类列入在</w:t>
      </w:r>
      <w:r>
        <w:rPr>
          <w:rFonts w:hint="eastAsia" w:asciiTheme="minorEastAsia" w:hAnsiTheme="minorEastAsia" w:eastAsiaTheme="minorEastAsia" w:cstheme="minorEastAsia"/>
          <w:b/>
          <w:sz w:val="24"/>
          <w:szCs w:val="24"/>
          <w:u w:val="single"/>
        </w:rPr>
        <w:t xml:space="preserve">南京市发展和改革委员会网站“政府信息公开”“价格信息”（https://fgw.nanjing.gov.cn/njsfzhggwyh/?id=xxgkgknr）中的</w:t>
      </w:r>
      <w:r>
        <w:rPr>
          <w:rFonts w:hint="eastAsia" w:asciiTheme="minorEastAsia" w:hAnsiTheme="minorEastAsia" w:eastAsiaTheme="minorEastAsia" w:cstheme="minorEastAsia"/>
          <w:sz w:val="24"/>
          <w:szCs w:val="24"/>
        </w:rPr>
        <w:t xml:space="preserve">，则按照采购人</w:t>
      </w:r>
      <w:r>
        <w:rPr>
          <w:rFonts w:hint="eastAsia" w:asciiTheme="minorEastAsia" w:hAnsiTheme="minorEastAsia" w:eastAsiaTheme="minorEastAsia" w:cstheme="minorEastAsia"/>
          <w:b/>
          <w:bCs/>
          <w:sz w:val="24"/>
          <w:szCs w:val="24"/>
          <w:u w:val="single"/>
        </w:rPr>
        <w:t xml:space="preserve">查询当</w:t>
      </w:r>
      <w:r>
        <w:rPr>
          <w:rFonts w:hint="eastAsia" w:asciiTheme="minorEastAsia" w:hAnsiTheme="minorEastAsia" w:eastAsiaTheme="minorEastAsia" w:cstheme="minorEastAsia"/>
          <w:b/>
          <w:bCs/>
          <w:sz w:val="24"/>
          <w:szCs w:val="24"/>
          <w:u w:val="single"/>
          <w:lang w:val="en-US" w:eastAsia="zh-CN"/>
        </w:rPr>
        <w:t xml:space="preserve">月</w:t>
      </w:r>
      <w:r>
        <w:rPr>
          <w:rFonts w:hint="eastAsia" w:asciiTheme="minorEastAsia" w:hAnsiTheme="minorEastAsia" w:eastAsiaTheme="minorEastAsia" w:cstheme="minorEastAsia"/>
          <w:b/>
          <w:sz w:val="24"/>
          <w:szCs w:val="24"/>
          <w:u w:val="single"/>
        </w:rPr>
        <w:t xml:space="preserve">第一周南京市发展和改革委员会网站中</w:t>
      </w:r>
      <w:r>
        <w:rPr>
          <w:rFonts w:hint="eastAsia" w:asciiTheme="minorEastAsia" w:hAnsiTheme="minorEastAsia" w:eastAsiaTheme="minorEastAsia" w:cstheme="minorEastAsia"/>
          <w:b/>
          <w:bCs/>
          <w:sz w:val="24"/>
          <w:szCs w:val="24"/>
          <w:u w:val="single"/>
        </w:rPr>
        <w:t xml:space="preserve">价格</w:t>
      </w:r>
      <w:r>
        <w:rPr>
          <w:rFonts w:hint="eastAsia" w:asciiTheme="minorEastAsia" w:hAnsiTheme="minorEastAsia" w:eastAsiaTheme="minorEastAsia" w:cstheme="minorEastAsia"/>
          <w:b/>
          <w:bCs/>
          <w:sz w:val="24"/>
          <w:szCs w:val="24"/>
          <w:u w:val="single"/>
        </w:rPr>
        <w:t xml:space="preserve">作为食材查询价格基数</w:t>
      </w:r>
      <w:r>
        <w:rPr>
          <w:rFonts w:hint="eastAsia" w:asciiTheme="minorEastAsia" w:hAnsiTheme="minorEastAsia" w:eastAsiaTheme="minorEastAsia" w:cstheme="minorEastAsia"/>
          <w:sz w:val="24"/>
          <w:szCs w:val="24"/>
        </w:rPr>
        <w:t xml:space="preserve">。</w:t>
      </w:r>
      <w:r/>
    </w:p>
    <w:p>
      <w:pPr>
        <w:pStyle w:val="102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②其他未列入</w:t>
      </w:r>
      <w:r>
        <w:rPr>
          <w:rFonts w:hint="eastAsia" w:asciiTheme="minorEastAsia" w:hAnsiTheme="minorEastAsia" w:eastAsiaTheme="minorEastAsia" w:cstheme="minorEastAsia"/>
          <w:b/>
          <w:sz w:val="24"/>
          <w:szCs w:val="24"/>
          <w:u w:val="single"/>
        </w:rPr>
        <w:t xml:space="preserve">南京市发展和改革委员会网站中可查询品种</w:t>
      </w:r>
      <w:r>
        <w:rPr>
          <w:rFonts w:hint="eastAsia" w:asciiTheme="minorEastAsia" w:hAnsiTheme="minorEastAsia" w:eastAsiaTheme="minorEastAsia" w:cstheme="minorEastAsia"/>
          <w:sz w:val="24"/>
          <w:szCs w:val="24"/>
        </w:rPr>
        <w:t xml:space="preserve">的，则按照采购人</w:t>
      </w:r>
      <w:r>
        <w:rPr>
          <w:rFonts w:hint="eastAsia" w:asciiTheme="minorEastAsia" w:hAnsiTheme="minorEastAsia" w:eastAsiaTheme="minorEastAsia" w:cstheme="minorEastAsia"/>
          <w:b/>
          <w:bCs/>
          <w:sz w:val="24"/>
          <w:szCs w:val="24"/>
          <w:u w:val="single"/>
          <w:lang w:eastAsia="zh-CN"/>
        </w:rPr>
        <w:t xml:space="preserve">以苏果超市和永辉超市查询</w:t>
      </w:r>
      <w:r>
        <w:rPr>
          <w:rFonts w:hint="eastAsia" w:asciiTheme="minorEastAsia" w:hAnsiTheme="minorEastAsia" w:eastAsiaTheme="minorEastAsia" w:cstheme="minorEastAsia"/>
          <w:b/>
          <w:sz w:val="24"/>
          <w:szCs w:val="24"/>
          <w:u w:val="single"/>
          <w:lang w:eastAsia="zh-CN"/>
        </w:rPr>
        <w:t xml:space="preserve">的当</w:t>
      </w:r>
      <w:r>
        <w:rPr>
          <w:rFonts w:hint="eastAsia" w:asciiTheme="minorEastAsia" w:hAnsiTheme="minorEastAsia" w:eastAsiaTheme="minorEastAsia" w:cstheme="minorEastAsia"/>
          <w:b/>
          <w:sz w:val="24"/>
          <w:szCs w:val="24"/>
          <w:u w:val="single"/>
          <w:lang w:val="en-US" w:eastAsia="zh-CN"/>
        </w:rPr>
        <w:t xml:space="preserve">月</w:t>
      </w:r>
      <w:r>
        <w:rPr>
          <w:rFonts w:hint="eastAsia" w:asciiTheme="minorEastAsia" w:hAnsiTheme="minorEastAsia" w:eastAsiaTheme="minorEastAsia" w:cstheme="minorEastAsia"/>
          <w:b/>
          <w:sz w:val="24"/>
          <w:szCs w:val="24"/>
          <w:u w:val="single"/>
          <w:lang w:eastAsia="zh-CN"/>
        </w:rPr>
        <w:t xml:space="preserve">第一周该</w:t>
      </w:r>
      <w:r>
        <w:rPr>
          <w:rFonts w:hint="eastAsia" w:asciiTheme="minorEastAsia" w:hAnsiTheme="minorEastAsia" w:eastAsiaTheme="minorEastAsia" w:cstheme="minorEastAsia"/>
          <w:b/>
          <w:bCs/>
          <w:sz w:val="24"/>
          <w:szCs w:val="24"/>
          <w:u w:val="single"/>
          <w:lang w:eastAsia="zh-CN"/>
        </w:rPr>
        <w:t xml:space="preserve">产品</w:t>
      </w:r>
      <w:r>
        <w:rPr>
          <w:rFonts w:hint="eastAsia" w:asciiTheme="minorEastAsia" w:hAnsiTheme="minorEastAsia" w:eastAsiaTheme="minorEastAsia" w:cstheme="minorEastAsia"/>
          <w:b/>
          <w:bCs/>
          <w:sz w:val="24"/>
          <w:szCs w:val="24"/>
          <w:u w:val="single"/>
          <w:lang w:val="en-US" w:eastAsia="zh-CN"/>
        </w:rPr>
        <w:t xml:space="preserve">最低</w:t>
      </w:r>
      <w:r>
        <w:rPr>
          <w:rFonts w:hint="eastAsia" w:asciiTheme="minorEastAsia" w:hAnsiTheme="minorEastAsia" w:eastAsiaTheme="minorEastAsia" w:cstheme="minorEastAsia"/>
          <w:b/>
          <w:bCs/>
          <w:sz w:val="24"/>
          <w:szCs w:val="24"/>
          <w:u w:val="single"/>
          <w:lang w:eastAsia="zh-CN"/>
        </w:rPr>
        <w:t xml:space="preserve">零售价格作为食材查询价格基数（</w:t>
      </w:r>
      <w:r>
        <w:rPr>
          <w:rFonts w:hint="eastAsia" w:asciiTheme="minorEastAsia" w:hAnsiTheme="minorEastAsia" w:eastAsiaTheme="minorEastAsia" w:cstheme="minorEastAsia"/>
          <w:b/>
          <w:bCs/>
          <w:sz w:val="24"/>
          <w:szCs w:val="24"/>
          <w:u w:val="single"/>
          <w:lang w:val="en-US" w:eastAsia="zh-CN"/>
        </w:rPr>
        <w:t xml:space="preserve">不含促销打折价格</w:t>
      </w:r>
      <w:r>
        <w:rPr>
          <w:rFonts w:hint="eastAsia" w:asciiTheme="minorEastAsia" w:hAnsiTheme="minorEastAsia" w:eastAsiaTheme="minorEastAsia" w:cstheme="minorEastAsia"/>
          <w:b/>
          <w:bCs/>
          <w:sz w:val="24"/>
          <w:szCs w:val="24"/>
          <w:u w:val="single"/>
          <w:lang w:eastAsia="zh-CN"/>
        </w:rPr>
        <w:t xml:space="preserve">）</w:t>
      </w:r>
      <w:r>
        <w:rPr>
          <w:rFonts w:hint="eastAsia" w:asciiTheme="minorEastAsia" w:hAnsiTheme="minorEastAsia" w:eastAsiaTheme="minorEastAsia" w:cstheme="minorEastAsia"/>
          <w:sz w:val="21"/>
          <w:szCs w:val="21"/>
        </w:rPr>
        <w:t xml:space="preserve">。</w:t>
      </w:r>
      <w:r/>
    </w:p>
    <w:p>
      <w:pPr>
        <w:pStyle w:val="1020"/>
        <w:jc w:val="left"/>
        <w:keepLines w:val="0"/>
        <w:keepNext w:val="0"/>
        <w:pageBreakBefore w:val="0"/>
        <w:spacing w:line="360" w:lineRule="auto"/>
        <w:widowControl/>
        <w:rPr>
          <w:rFonts w:hint="eastAsia" w:asciiTheme="minorEastAsia" w:hAnsiTheme="minorEastAsia" w:eastAsiaTheme="minorEastAsia" w:cstheme="minorEastAsia"/>
          <w:b w:val="0"/>
          <w:bCs/>
          <w:sz w:val="24"/>
          <w:szCs w:val="24"/>
          <w:u w:val="singl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b w:val="0"/>
          <w:bCs/>
          <w:sz w:val="24"/>
          <w:szCs w:val="24"/>
          <w:highlight w:val="none"/>
          <w:u w:val="none"/>
          <w:lang w:val="en-US" w:eastAsia="zh-CN"/>
        </w:rPr>
        <w:t xml:space="preserve">当</w:t>
      </w:r>
      <w:r>
        <w:rPr>
          <w:rFonts w:hint="eastAsia" w:asciiTheme="minorEastAsia" w:hAnsiTheme="minorEastAsia" w:eastAsiaTheme="minorEastAsia" w:cstheme="minorEastAsia"/>
          <w:sz w:val="24"/>
          <w:szCs w:val="24"/>
          <w:highlight w:val="none"/>
          <w:lang w:val="en-US" w:eastAsia="zh-CN"/>
        </w:rPr>
        <w:t xml:space="preserve">月</w:t>
      </w:r>
      <w:r>
        <w:rPr>
          <w:rFonts w:hint="eastAsia" w:asciiTheme="minorEastAsia" w:hAnsiTheme="minorEastAsia" w:eastAsiaTheme="minorEastAsia" w:cstheme="minorEastAsia"/>
          <w:sz w:val="24"/>
          <w:szCs w:val="24"/>
          <w:highlight w:val="none"/>
          <w:lang w:eastAsia="zh-CN"/>
        </w:rPr>
        <w:t xml:space="preserve">中标供</w:t>
      </w:r>
      <w:r>
        <w:rPr>
          <w:rFonts w:hint="eastAsia" w:asciiTheme="minorEastAsia" w:hAnsiTheme="minorEastAsia" w:eastAsiaTheme="minorEastAsia" w:cstheme="minorEastAsia"/>
          <w:sz w:val="24"/>
          <w:szCs w:val="24"/>
          <w:lang w:eastAsia="zh-CN"/>
        </w:rPr>
        <w:t xml:space="preserve">应商食材结算单价=当</w:t>
      </w:r>
      <w:r>
        <w:rPr>
          <w:rFonts w:hint="eastAsia" w:asciiTheme="minorEastAsia" w:hAnsiTheme="minorEastAsia" w:eastAsiaTheme="minorEastAsia" w:cstheme="minorEastAsia"/>
          <w:sz w:val="24"/>
          <w:szCs w:val="24"/>
          <w:lang w:val="en-US" w:eastAsia="zh-CN"/>
        </w:rPr>
        <w:t xml:space="preserve">月</w:t>
      </w:r>
      <w:r>
        <w:rPr>
          <w:rFonts w:hint="eastAsia" w:asciiTheme="minorEastAsia" w:hAnsiTheme="minorEastAsia" w:eastAsiaTheme="minorEastAsia" w:cstheme="minorEastAsia"/>
          <w:sz w:val="24"/>
          <w:szCs w:val="24"/>
          <w:lang w:eastAsia="zh-CN"/>
        </w:rPr>
        <w:t xml:space="preserve">查询价格基数*本项目中标折扣</w:t>
      </w:r>
      <w:r>
        <w:rPr>
          <w:rFonts w:hint="eastAsia" w:asciiTheme="minorEastAsia" w:hAnsiTheme="minorEastAsia" w:eastAsiaTheme="minorEastAsia" w:cstheme="minorEastAsia"/>
          <w:sz w:val="24"/>
          <w:szCs w:val="24"/>
          <w:lang w:val="en-US" w:eastAsia="zh-CN"/>
        </w:rPr>
        <w:t xml:space="preserve">(中标</w:t>
      </w:r>
      <w:r>
        <w:rPr>
          <w:rFonts w:hint="eastAsia" w:asciiTheme="minorEastAsia" w:hAnsiTheme="minorEastAsia" w:eastAsiaTheme="minorEastAsia" w:cstheme="minorEastAsia"/>
          <w:b w:val="0"/>
          <w:bCs/>
          <w:sz w:val="24"/>
          <w:szCs w:val="24"/>
          <w:u w:val="single"/>
          <w:lang w:val="en-US" w:eastAsia="zh-CN"/>
        </w:rPr>
        <w:t xml:space="preserve">折扣=1-投标优惠率）</w:t>
      </w:r>
      <w:r>
        <w:rPr>
          <w:rFonts w:hint="eastAsia" w:asciiTheme="minorEastAsia" w:hAnsiTheme="minorEastAsia" w:eastAsiaTheme="minorEastAsia" w:cstheme="minorEastAsia"/>
          <w:b w:val="0"/>
          <w:bCs/>
          <w:sz w:val="24"/>
          <w:szCs w:val="24"/>
          <w:u w:val="single"/>
        </w:rPr>
        <w:t xml:space="preserve">。</w:t>
      </w:r>
      <w:r/>
    </w:p>
    <w:p>
      <w:pPr>
        <w:pStyle w:val="1020"/>
        <w:jc w:val="left"/>
        <w:keepLines w:val="0"/>
        <w:keepNext w:val="0"/>
        <w:pageBreakBefore w:val="0"/>
        <w:spacing w:line="360" w:lineRule="auto"/>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sz w:val="24"/>
          <w:szCs w:val="24"/>
        </w:rPr>
        <w:t xml:space="preserve">4、</w:t>
      </w:r>
      <w:bookmarkStart w:id="139" w:name="_Hlk157535268"/>
      <w:r/>
      <w:bookmarkEnd w:id="139"/>
      <w:r>
        <w:rPr>
          <w:rFonts w:hint="eastAsia" w:asciiTheme="minorEastAsia" w:hAnsiTheme="minorEastAsia" w:eastAsiaTheme="minorEastAsia" w:cstheme="minorEastAsia"/>
          <w:sz w:val="24"/>
          <w:szCs w:val="24"/>
        </w:rPr>
        <w:t xml:space="preserve">甲方所需货物</w:t>
      </w:r>
      <w:r>
        <w:rPr>
          <w:rFonts w:hint="eastAsia" w:asciiTheme="minorEastAsia" w:hAnsiTheme="minorEastAsia" w:eastAsiaTheme="minorEastAsia" w:cstheme="minorEastAsia"/>
          <w:color w:val="auto"/>
          <w:sz w:val="24"/>
          <w:szCs w:val="24"/>
          <w:lang w:eastAsia="zh-CN"/>
        </w:rPr>
        <w:t xml:space="preserve">及</w:t>
      </w:r>
      <w:r>
        <w:rPr>
          <w:rFonts w:hint="eastAsia" w:asciiTheme="minorEastAsia" w:hAnsiTheme="minorEastAsia" w:eastAsiaTheme="minorEastAsia" w:cstheme="minorEastAsia"/>
          <w:color w:val="auto"/>
          <w:sz w:val="24"/>
          <w:szCs w:val="24"/>
          <w:lang w:val="en-US" w:eastAsia="zh-CN"/>
        </w:rPr>
        <w:t xml:space="preserve">需深加工食材</w:t>
      </w:r>
      <w:r>
        <w:rPr>
          <w:rFonts w:hint="eastAsia" w:asciiTheme="minorEastAsia" w:hAnsiTheme="minorEastAsia" w:eastAsiaTheme="minorEastAsia" w:cstheme="minorEastAsia"/>
          <w:color w:val="auto"/>
          <w:sz w:val="24"/>
          <w:szCs w:val="24"/>
        </w:rPr>
        <w:t xml:space="preserve">无</w:t>
      </w:r>
      <w:r>
        <w:rPr>
          <w:rFonts w:hint="eastAsia" w:asciiTheme="minorEastAsia" w:hAnsiTheme="minorEastAsia" w:eastAsiaTheme="minorEastAsia" w:cstheme="minorEastAsia"/>
          <w:sz w:val="24"/>
          <w:szCs w:val="24"/>
        </w:rPr>
        <w:t xml:space="preserve">对应基准价格的，由乙方报价后甲方根据市场价格综合确定采购价格。</w:t>
      </w:r>
      <w:r/>
    </w:p>
    <w:p>
      <w:pPr>
        <w:pStyle w:val="1020"/>
        <w:numPr>
          <w:ilvl w:val="0"/>
          <w:numId w:val="0"/>
        </w:numPr>
        <w:spacing w:line="300" w:lineRule="auto"/>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
          <w:bCs/>
          <w:sz w:val="24"/>
          <w:szCs w:val="24"/>
          <w:lang w:val="en-US" w:eastAsia="zh-CN"/>
        </w:rPr>
        <w:t xml:space="preserve">九</w:t>
      </w:r>
      <w:r>
        <w:rPr>
          <w:rFonts w:hint="eastAsia" w:asciiTheme="minorEastAsia" w:hAnsiTheme="minorEastAsia" w:eastAsiaTheme="minorEastAsia" w:cstheme="minorEastAsia"/>
          <w:b/>
          <w:bCs/>
          <w:sz w:val="24"/>
          <w:szCs w:val="24"/>
        </w:rPr>
        <w:t xml:space="preserve">、付款方式</w:t>
      </w:r>
      <w:r/>
    </w:p>
    <w:p>
      <w:pPr>
        <w:pStyle w:val="102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1、采购人与中标供应商每月15日前后进行食材价款（次月结算上月）结算，由各中标供应商每月自行提出书面申请，并提供以下相关资料：</w:t>
      </w:r>
      <w:r/>
    </w:p>
    <w:p>
      <w:pPr>
        <w:pStyle w:val="102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（1）中标供应商每月供货明细（含每批次供应货物的种类、数量、下订单日期）；</w:t>
      </w:r>
      <w:r/>
    </w:p>
    <w:p>
      <w:pPr>
        <w:pStyle w:val="102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（2）经采购人相关人员验收签收凭证（一式三份，双方签字）；</w:t>
      </w:r>
      <w:r/>
    </w:p>
    <w:p>
      <w:pPr>
        <w:pStyle w:val="102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（3）采购人根据实际情况要求的其他材料等。</w:t>
      </w:r>
      <w:r/>
    </w:p>
    <w:p>
      <w:pPr>
        <w:pStyle w:val="102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2、上述材料经双方核实确认无误后，由中标供应商提供相应的等额发票，采购人在收到发票后15个工作日内支付上月食材供应价款</w:t>
      </w:r>
      <w:r>
        <w:rPr>
          <w:rFonts w:hint="eastAsia" w:asciiTheme="minorEastAsia" w:hAnsiTheme="minorEastAsia" w:eastAsiaTheme="minorEastAsia" w:cstheme="minorEastAsia"/>
          <w:sz w:val="24"/>
          <w:szCs w:val="24"/>
          <w:highlight w:val="none"/>
        </w:rPr>
        <w:t xml:space="preserve">。若发票户名、开户行、账号与供货单位不一致，甲方可拒付货款。</w:t>
      </w:r>
      <w:r/>
    </w:p>
    <w:p>
      <w:pPr>
        <w:pStyle w:val="102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各中标供应商每月结算食材价款时须严格按照采购人所确定之价格进行计算申报，其提供的所有结算资料均须真实有效、准确详实、有迹可循，如经采购人发现弄虚作假，一经查实，采购人将解除合同，并依法追究中标供应商的经济和法律责任。</w:t>
      </w:r>
      <w:r/>
    </w:p>
    <w:p>
      <w:pPr>
        <w:pStyle w:val="1020"/>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sz w:val="24"/>
          <w:szCs w:val="24"/>
          <w:lang w:eastAsia="zh-CN"/>
        </w:rPr>
        <w:outlineLvl w:val="2"/>
      </w:pPr>
      <w:r>
        <w:rPr>
          <w:rFonts w:hint="eastAsia" w:asciiTheme="minorEastAsia" w:hAnsiTheme="minorEastAsia" w:eastAsiaTheme="minorEastAsia" w:cstheme="minorEastAsia"/>
          <w:b/>
          <w:bCs/>
          <w:sz w:val="24"/>
          <w:szCs w:val="24"/>
          <w:lang w:eastAsia="zh-CN"/>
        </w:rPr>
        <w:t xml:space="preserve">十、中标供应商日常考核标准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1、采购人制定考核细则，对服务项目实行百分制考核，每月组织一次考核，考核结果双方代表签字确认。</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2、平时检查纳入考核计分。每日由采购人委派管理人对服务项目进行检查，发现问题即作为日常考核评分依据。每月考核累计扣分数作为当月最终考核结果。</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3、服务过程中发现问题时，中标供应商应按要求及时整改并按本细则扣除相应分数。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4、考核分数运用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90-100分：无奖惩； 80-89分：罚款1000元 ；70-79分：罚款3000元； 60-69分：罚款5000元；60分以下：则终止合同。</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eastAsia="zh-CN"/>
        </w:rPr>
        <w:t xml:space="preserve"> 其他考核内容</w:t>
      </w:r>
      <w:r/>
    </w:p>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eastAsia="zh-CN"/>
        </w:rPr>
        <w:t xml:space="preserve">）因食材验收不合格，影响甲方正常工作，视情节轻重，给予</w:t>
      </w:r>
      <w:r>
        <w:rPr>
          <w:rFonts w:hint="eastAsia" w:asciiTheme="minorEastAsia" w:hAnsiTheme="minorEastAsia" w:eastAsia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lang w:eastAsia="zh-CN"/>
        </w:rPr>
        <w:t xml:space="preserve">00-</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eastAsia="zh-CN"/>
        </w:rPr>
        <w:t xml:space="preserve">000元经济处罚。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eastAsia="zh-CN"/>
        </w:rPr>
        <w:t xml:space="preserve">）食材乙方负责人员及车辆必须相对固定，不得随意转岗、流动、如果变化，乙方需提前和甲方沟通，说明原因经同意后方可调换。若发现乙方在甲方不知情的情况下随意变更人员或车辆，以及甲方在检查过程中发现乙方变更人员或车辆现象，每检查发现一人/次，甲方扣除乙方费用500元/人次。</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eastAsia="zh-CN"/>
        </w:rPr>
        <w:t xml:space="preserve">）乙方在合同期间及服务过程中，因食品安全、安全生产、人身安全等工作管理不严导致事故，但未造成重大人身伤害及财产损失，未给甲方造成恶劣社会影响的，所有责任及经济损失由乙方承担，且甲方将在当月考核分值中直接扣除30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lang w:eastAsia="zh-CN"/>
        </w:rPr>
        <w:t xml:space="preserve">）乙方在合同期间及服务过程中， 给甲方造成损失时，甲方有权从合同款项中直接扣除。乙方服务期间造成重大责任（食品安全、生产安全、人</w:t>
      </w:r>
      <w:r>
        <w:rPr>
          <w:rFonts w:hint="eastAsia" w:asciiTheme="minorEastAsia" w:hAnsiTheme="minorEastAsia" w:eastAsiaTheme="minorEastAsia" w:cstheme="minorEastAsia"/>
          <w:sz w:val="24"/>
          <w:szCs w:val="24"/>
          <w:lang w:val="en-US" w:eastAsia="zh-CN"/>
        </w:rPr>
        <w:t xml:space="preserve">身</w:t>
      </w:r>
      <w:r>
        <w:rPr>
          <w:rFonts w:hint="eastAsia" w:asciiTheme="minorEastAsia" w:hAnsiTheme="minorEastAsia" w:eastAsiaTheme="minorEastAsia" w:cstheme="minorEastAsia"/>
          <w:sz w:val="24"/>
          <w:szCs w:val="24"/>
          <w:lang w:eastAsia="zh-CN"/>
        </w:rPr>
        <w:t xml:space="preserve">安全等）事故或恶劣社会影响，甲方将通过法律程序维权，甲方可无条件终止合同，造成的所有损失由乙方承担。</w:t>
      </w:r>
      <w:r/>
    </w:p>
    <w:p>
      <w:pPr>
        <w:pStyle w:val="1020"/>
        <w:numPr>
          <w:ilvl w:val="0"/>
          <w:numId w:val="0"/>
        </w:numPr>
        <w:ind w:firstLine="241"/>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outlineLvl w:val="2"/>
      </w:pPr>
      <w:r>
        <w:rPr>
          <w:rFonts w:hint="eastAsia" w:asciiTheme="minorEastAsia" w:hAnsiTheme="minorEastAsia" w:eastAsiaTheme="minorEastAsia" w:cstheme="minorEastAsia"/>
          <w:b/>
          <w:bCs/>
          <w:sz w:val="24"/>
          <w:szCs w:val="24"/>
          <w:lang w:val="en-US" w:eastAsia="zh-CN"/>
        </w:rPr>
        <w:t xml:space="preserve">十一、其他</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ascii="宋体" w:hAnsi="宋体" w:eastAsia="宋体" w:cs="宋体"/>
          <w:sz w:val="24"/>
          <w:szCs w:val="24"/>
        </w:rPr>
        <w:t xml:space="preserve">★</w:t>
      </w:r>
      <w:r>
        <w:rPr>
          <w:rFonts w:hint="eastAsia" w:asciiTheme="minorEastAsia" w:hAnsiTheme="minorEastAsia" w:eastAsiaTheme="minorEastAsia" w:cstheme="minorEastAsia"/>
          <w:sz w:val="24"/>
          <w:szCs w:val="24"/>
          <w:lang w:val="en-US" w:eastAsia="zh-CN"/>
        </w:rPr>
        <w:t xml:space="preserve">1.本章要求均为实质性要求，不允许负偏离，否则作无效投标处理；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sectPr>
          <w:headerReference w:type="default" r:id="rId11"/>
          <w:footerReference w:type="default" r:id="rId17"/>
          <w:footnotePr/>
          <w:endnotePr/>
          <w:type w:val="nextPage"/>
          <w:pgSz w:w="11906" w:h="16838" w:orient="portrait"/>
          <w:pgMar w:top="1985" w:right="1416" w:bottom="964" w:left="1304" w:header="1276" w:footer="907" w:gutter="0"/>
          <w:cols w:num="1" w:sep="0" w:space="720" w:equalWidth="1"/>
          <w:docGrid w:linePitch="360"/>
        </w:sectPr>
      </w:pPr>
      <w:r>
        <w:rPr>
          <w:rFonts w:hint="eastAsia" w:asciiTheme="minorEastAsia" w:hAnsiTheme="minorEastAsia" w:eastAsiaTheme="minorEastAsia" w:cstheme="minorEastAsia"/>
          <w:sz w:val="24"/>
          <w:szCs w:val="24"/>
          <w:lang w:val="en-US" w:eastAsia="zh-CN"/>
        </w:rPr>
        <w:t xml:space="preserve">2.如有疑问请及时与采购人联系。</w:t>
      </w:r>
      <w:r/>
    </w:p>
    <w:p>
      <w:pPr>
        <w:pStyle w:val="1020"/>
        <w:ind w:left="0" w:firstLine="0"/>
        <w:jc w:val="center"/>
        <w:spacing w:line="30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表一《南京市</w:t>
      </w:r>
      <w:r>
        <w:rPr>
          <w:rFonts w:hint="eastAsia" w:asciiTheme="minorEastAsia" w:hAnsiTheme="minorEastAsia" w:eastAsiaTheme="minorEastAsia" w:cstheme="minorEastAsia"/>
          <w:sz w:val="21"/>
          <w:szCs w:val="21"/>
          <w:lang w:val="en-US" w:eastAsia="zh-CN"/>
        </w:rPr>
        <w:t xml:space="preserve">六合区机关事务管理中心</w:t>
      </w:r>
      <w:r>
        <w:rPr>
          <w:rFonts w:hint="eastAsia" w:asciiTheme="minorEastAsia" w:hAnsiTheme="minorEastAsia" w:eastAsiaTheme="minorEastAsia" w:cstheme="minorEastAsia"/>
          <w:sz w:val="21"/>
          <w:szCs w:val="21"/>
          <w:lang w:eastAsia="zh-CN"/>
        </w:rPr>
        <w:t xml:space="preserve">食堂食材供应管理考核表》</w:t>
      </w:r>
      <w:r>
        <w:rPr>
          <w:rFonts w:hint="eastAsia" w:asciiTheme="minorEastAsia" w:hAnsiTheme="minorEastAsia" w:eastAsiaTheme="minorEastAsia" w:cstheme="minorEastAsia"/>
          <w:sz w:val="21"/>
          <w:szCs w:val="21"/>
        </w:rPr>
        <w:t xml:space="preserve">（模板）</w:t>
      </w:r>
      <w:r/>
    </w:p>
    <w:p>
      <w:pPr>
        <w:pStyle w:val="1019"/>
        <w:ind w:left="1260" w:firstLine="420"/>
        <w:jc w:val="righ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      月份</w:t>
      </w:r>
      <w:r>
        <w:rPr>
          <w:rFonts w:hint="eastAsia" w:asciiTheme="minorEastAsia" w:hAnsiTheme="minorEastAsia" w:eastAsiaTheme="minorEastAsia" w:cstheme="minorEastAsia"/>
          <w:sz w:val="21"/>
          <w:szCs w:val="21"/>
          <w:lang w:eastAsia="zh-CN"/>
        </w:rPr>
        <w:t xml:space="preserve">）</w:t>
      </w:r>
      <w:r/>
    </w:p>
    <w:tbl>
      <w:tblPr>
        <w:tblStyle w:val="1018"/>
        <w:tblW w:w="10421" w:type="dxa"/>
        <w:tblInd w:w="-276" w:type="dxa"/>
        <w:tblLayout w:type="fixed"/>
        <w:tblCellMar>
          <w:left w:w="108" w:type="dxa"/>
          <w:top w:w="0" w:type="dxa"/>
          <w:right w:w="108" w:type="dxa"/>
          <w:bottom w:w="0" w:type="dxa"/>
        </w:tblCellMar>
        <w:tblLook w:val="04A0" w:firstRow="1" w:lastRow="0" w:firstColumn="1" w:lastColumn="0" w:noHBand="0" w:noVBand="1"/>
      </w:tblPr>
      <w:tblGrid>
        <w:gridCol w:w="828"/>
        <w:gridCol w:w="3982"/>
        <w:gridCol w:w="940"/>
        <w:gridCol w:w="3009"/>
        <w:gridCol w:w="698"/>
        <w:gridCol w:w="964"/>
      </w:tblGrid>
      <w:tr>
        <w:trPr>
          <w:trHeight w:val="528"/>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0"/>
              <w:ind w:left="0" w:firstLine="0"/>
              <w:jc w:val="both"/>
              <w:spacing w:beforeAutospacing="0" w:afterAutospacing="0" w:line="30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考核要求</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0"/>
              <w:ind w:left="0" w:firstLine="0"/>
              <w:jc w:val="both"/>
              <w:spacing w:beforeAutospacing="0" w:afterAutospacing="0" w:line="30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考核扣分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ind w:left="0" w:firstLine="0"/>
              <w:jc w:val="both"/>
              <w:spacing w:beforeAutospacing="0" w:afterAutospacing="0" w:line="30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ind w:left="0" w:firstLine="0"/>
              <w:jc w:val="both"/>
              <w:spacing w:beforeAutospacing="0" w:afterAutospacing="0" w:line="30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r>
      <w:tr>
        <w:trPr>
          <w:cantSplit/>
          <w:trHeight w:val="400"/>
        </w:trPr>
        <w:tc>
          <w:tcPr>
            <w:gridSpan w:val="6"/>
            <w:tcBorders>
              <w:top w:val="single" w:color="000000" w:sz="4" w:space="0"/>
              <w:left w:val="single" w:color="000000" w:sz="4" w:space="0"/>
              <w:bottom w:val="single" w:color="000000" w:sz="4" w:space="0"/>
              <w:right w:val="single" w:color="000000" w:sz="4" w:space="0"/>
            </w:tcBorders>
            <w:tcW w:w="10421"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一、日常基本要求：（</w:t>
            </w:r>
            <w:r>
              <w:rPr>
                <w:rFonts w:hint="eastAsia" w:asciiTheme="minorEastAsia" w:hAnsiTheme="minorEastAsia" w:eastAsiaTheme="minorEastAsia" w:cstheme="minorEastAsia"/>
                <w:sz w:val="21"/>
                <w:szCs w:val="21"/>
                <w:lang w:val="en-US" w:eastAsia="zh-CN"/>
              </w:rPr>
              <w:t xml:space="preserve">30</w:t>
            </w:r>
            <w:r>
              <w:rPr>
                <w:rFonts w:hint="eastAsia" w:asciiTheme="minorEastAsia" w:hAnsiTheme="minorEastAsia" w:eastAsiaTheme="minorEastAsia" w:cstheme="minorEastAsia"/>
                <w:sz w:val="21"/>
                <w:szCs w:val="21"/>
                <w:lang w:val="zh-CN" w:eastAsia="zh-CN"/>
              </w:rPr>
              <w:t xml:space="preserve">分）</w:t>
            </w:r>
            <w:r/>
          </w:p>
        </w:tc>
      </w:tr>
      <w:tr>
        <w:trPr>
          <w:trHeight w:val="81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1</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书面记录的内容：外来物品进货、送货单是否书写规范</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5分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不符一次扣0.5分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r>
      <w:tr>
        <w:trPr>
          <w:trHeight w:val="134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color w:val="auto"/>
                <w:sz w:val="21"/>
                <w:szCs w:val="21"/>
                <w:lang w:val="zh-CN" w:eastAsia="zh-CN"/>
              </w:rPr>
            </w:pPr>
            <w:r>
              <w:rPr>
                <w:rFonts w:hint="eastAsia" w:asciiTheme="minorEastAsia" w:hAnsiTheme="minorEastAsia" w:eastAsiaTheme="minorEastAsia" w:cstheme="minorEastAsia"/>
                <w:color w:val="auto"/>
                <w:sz w:val="21"/>
                <w:szCs w:val="21"/>
                <w:lang w:val="zh-CN" w:eastAsia="zh-CN"/>
              </w:rPr>
              <w:t xml:space="preserve">2</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jc w:val="cente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供货质量是否符合要求，是否按规定时间到达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en-US" w:eastAsia="zh-CN"/>
              </w:rPr>
              <w:t xml:space="preserve">13</w:t>
            </w:r>
            <w:r>
              <w:rPr>
                <w:rFonts w:hint="eastAsia" w:asciiTheme="minorEastAsia" w:hAnsiTheme="minorEastAsia" w:eastAsia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zh-CN" w:eastAsia="zh-CN"/>
              </w:rPr>
              <w:t xml:space="preserve">供货质量不符一次扣</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lang w:val="zh-CN" w:eastAsia="zh-CN"/>
              </w:rPr>
              <w:t xml:space="preserve">分。未按规定时间送达的，每次迟到 在10 分钟内扣1分，超过10分钟</w:t>
            </w:r>
            <w:r>
              <w:rPr>
                <w:rFonts w:hint="eastAsia" w:asciiTheme="minorEastAsia" w:hAnsiTheme="minorEastAsia" w:eastAsiaTheme="minorEastAsia" w:cstheme="minorEastAsia"/>
                <w:sz w:val="21"/>
                <w:szCs w:val="21"/>
                <w:lang w:val="en-US" w:eastAsia="zh-CN"/>
              </w:rPr>
              <w:t xml:space="preserve">但未超30分钟</w:t>
            </w:r>
            <w:r>
              <w:rPr>
                <w:rFonts w:hint="eastAsia" w:asciiTheme="minorEastAsia" w:hAnsiTheme="minorEastAsia" w:eastAsiaTheme="minorEastAsia" w:cstheme="minorEastAsia"/>
                <w:sz w:val="21"/>
                <w:szCs w:val="21"/>
                <w:lang w:val="zh-CN" w:eastAsia="zh-CN"/>
              </w:rPr>
              <w:t xml:space="preserve">的扣</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lang w:val="zh-CN" w:eastAsia="zh-CN"/>
              </w:rPr>
              <w:t xml:space="preserve">分，</w:t>
            </w:r>
            <w:r>
              <w:rPr>
                <w:rFonts w:hint="eastAsia" w:asciiTheme="minorEastAsia" w:hAnsiTheme="minorEastAsia" w:eastAsiaTheme="minorEastAsia" w:cstheme="minorEastAsia"/>
                <w:sz w:val="21"/>
                <w:szCs w:val="21"/>
                <w:lang w:val="en-US" w:eastAsia="zh-CN"/>
              </w:rPr>
              <w:t xml:space="preserve">超过30分钟的扣5分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r>
      <w:tr>
        <w:trPr>
          <w:trHeight w:val="748"/>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4</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jc w:val="cente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送货人员是否按要求规定着装，是否服从现场人员管理。</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4分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jc w:val="cente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不符一次扣0.5分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r>
      <w:tr>
        <w:trPr>
          <w:trHeight w:val="6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5</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现场加工人员是否按要求着装，是否按时完成加工任务。</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4分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不符一</w:t>
            </w:r>
            <w:r>
              <w:rPr>
                <w:rFonts w:hint="eastAsia" w:asciiTheme="minorEastAsia" w:hAnsiTheme="minorEastAsia" w:eastAsiaTheme="minorEastAsia" w:cstheme="minorEastAsia"/>
                <w:sz w:val="21"/>
                <w:szCs w:val="21"/>
                <w:lang w:val="en-US" w:eastAsia="zh-CN"/>
              </w:rPr>
              <w:t xml:space="preserve">次</w:t>
            </w:r>
            <w:r>
              <w:rPr>
                <w:rFonts w:hint="eastAsia" w:asciiTheme="minorEastAsia" w:hAnsiTheme="minorEastAsia" w:eastAsiaTheme="minorEastAsia" w:cstheme="minorEastAsia"/>
                <w:sz w:val="21"/>
                <w:szCs w:val="21"/>
                <w:lang w:val="zh-CN" w:eastAsia="zh-CN"/>
              </w:rPr>
              <w:t xml:space="preserve">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r>
      <w:tr>
        <w:trPr>
          <w:trHeight w:val="56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6</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是否按照要求提供检测报告</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4分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不符一</w:t>
            </w:r>
            <w:r>
              <w:rPr>
                <w:rFonts w:hint="eastAsia" w:asciiTheme="minorEastAsia" w:hAnsiTheme="minorEastAsia" w:eastAsiaTheme="minorEastAsia" w:cstheme="minorEastAsia"/>
                <w:sz w:val="21"/>
                <w:szCs w:val="21"/>
                <w:lang w:val="en-US" w:eastAsia="zh-CN"/>
              </w:rPr>
              <w:t xml:space="preserve">次</w:t>
            </w:r>
            <w:r>
              <w:rPr>
                <w:rFonts w:hint="eastAsia" w:asciiTheme="minorEastAsia" w:hAnsiTheme="minorEastAsia" w:eastAsiaTheme="minorEastAsia" w:cstheme="minorEastAsia"/>
                <w:sz w:val="21"/>
                <w:szCs w:val="21"/>
                <w:lang w:val="zh-CN" w:eastAsia="zh-CN"/>
              </w:rPr>
              <w:t xml:space="preserve">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r>
      <w:tr>
        <w:trPr>
          <w:cantSplit/>
          <w:trHeight w:val="459"/>
        </w:trPr>
        <w:tc>
          <w:tcPr>
            <w:gridSpan w:val="6"/>
            <w:tcBorders>
              <w:top w:val="single" w:color="000000" w:sz="4" w:space="0"/>
              <w:left w:val="single" w:color="000000" w:sz="4" w:space="0"/>
              <w:bottom w:val="single" w:color="000000" w:sz="4" w:space="0"/>
              <w:right w:val="single" w:color="000000" w:sz="4" w:space="0"/>
            </w:tcBorders>
            <w:tcW w:w="10421"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二、现场卫生整洁维护（5</w:t>
            </w:r>
            <w:r>
              <w:rPr>
                <w:rFonts w:hint="eastAsia" w:asciiTheme="minorEastAsia" w:hAnsiTheme="minorEastAsia" w:eastAsiaTheme="minorEastAsia" w:cstheme="minorEastAsia"/>
                <w:sz w:val="21"/>
                <w:szCs w:val="21"/>
                <w:lang w:val="en-US" w:eastAsia="zh-CN"/>
              </w:rPr>
              <w:t xml:space="preserve">0</w:t>
            </w:r>
            <w:r>
              <w:rPr>
                <w:rFonts w:hint="eastAsia" w:asciiTheme="minorEastAsia" w:hAnsiTheme="minorEastAsia" w:eastAsiaTheme="minorEastAsia" w:cstheme="minorEastAsia"/>
                <w:sz w:val="21"/>
                <w:szCs w:val="21"/>
                <w:lang w:val="zh-CN" w:eastAsia="zh-CN"/>
              </w:rPr>
              <w:t xml:space="preserve">分）</w:t>
            </w:r>
            <w:r/>
          </w:p>
        </w:tc>
      </w:tr>
      <w:tr>
        <w:trPr>
          <w:trHeight w:val="477"/>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1</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送货现场卫生是否打扫干净</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en-US" w:eastAsia="zh-CN"/>
              </w:rPr>
              <w:t xml:space="preserve">15</w:t>
            </w:r>
            <w:r>
              <w:rPr>
                <w:rFonts w:hint="eastAsia" w:asciiTheme="minorEastAsia" w:hAnsiTheme="minorEastAsia" w:eastAsia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2</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送货后外包装是否清理</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10分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r>
      <w:tr>
        <w:trPr>
          <w:trHeight w:val="5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3</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车辆是否按照规定停放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10分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r>
      <w:tr>
        <w:trPr>
          <w:trHeight w:val="48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4</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货品是否按要求摆放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10分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r>
      <w:tr>
        <w:trPr>
          <w:trHeight w:val="72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5</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送货或加工完成后，对现场使用的工具</w:t>
            </w:r>
            <w:r>
              <w:rPr>
                <w:rFonts w:hint="eastAsia" w:asciiTheme="minorEastAsia" w:hAnsiTheme="minorEastAsia" w:eastAsiaTheme="minorEastAsia" w:cstheme="minorEastAsia"/>
                <w:sz w:val="21"/>
                <w:szCs w:val="21"/>
                <w:lang w:val="en-US" w:eastAsia="zh-CN"/>
              </w:rPr>
              <w:t xml:space="preserve">及场地</w:t>
            </w:r>
            <w:r>
              <w:rPr>
                <w:rFonts w:hint="eastAsia" w:asciiTheme="minorEastAsia" w:hAnsiTheme="minorEastAsia" w:eastAsiaTheme="minorEastAsia" w:cstheme="minorEastAsia"/>
                <w:sz w:val="21"/>
                <w:szCs w:val="21"/>
                <w:lang w:val="zh-CN" w:eastAsia="zh-CN"/>
              </w:rPr>
              <w:t xml:space="preserve">是否清洗并按规定摆放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5分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r>
      <w:tr>
        <w:trPr>
          <w:trHeight w:val="423"/>
        </w:trPr>
        <w:tc>
          <w:tcPr>
            <w:gridSpan w:val="6"/>
            <w:tcBorders>
              <w:top w:val="single" w:color="000000" w:sz="4" w:space="0"/>
              <w:left w:val="single" w:color="000000" w:sz="4" w:space="0"/>
              <w:bottom w:val="single" w:color="000000" w:sz="4" w:space="0"/>
              <w:right w:val="single" w:color="000000" w:sz="4" w:space="0"/>
            </w:tcBorders>
            <w:tcW w:w="10421"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三、其他情况（20分）</w:t>
            </w:r>
            <w:r/>
          </w:p>
        </w:tc>
      </w:tr>
      <w:tr>
        <w:trPr>
          <w:trHeight w:val="695"/>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1</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是否按甲方格式和其他要求在规定时间内提供报价单等调价相关材料。</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10分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r>
      <w:tr>
        <w:trPr>
          <w:trHeight w:val="50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2</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临时补货是否及时送达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5分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不符一次扣0.5分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r>
      <w:tr>
        <w:trPr>
          <w:trHeight w:val="47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3</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发票是否在规定时间送达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0"/>
              <w:ind w:left="0" w:firstLine="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5分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0"/>
              <w:jc w:val="center"/>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t xml:space="preserve">不符一次扣0.5分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zh-CN" w:eastAsia="zh-CN"/>
              </w:rPr>
            </w:r>
            <w:r/>
          </w:p>
        </w:tc>
      </w:tr>
      <w:tr>
        <w:trPr>
          <w:cantSplit/>
          <w:trHeight w:val="412"/>
        </w:trPr>
        <w:tc>
          <w:tcPr>
            <w:gridSpan w:val="4"/>
            <w:tcBorders>
              <w:top w:val="single" w:color="000000" w:sz="4" w:space="0"/>
              <w:left w:val="single" w:color="000000" w:sz="4" w:space="0"/>
              <w:bottom w:val="single" w:color="000000" w:sz="4" w:space="0"/>
              <w:right w:val="single" w:color="000000" w:sz="4" w:space="0"/>
            </w:tcBorders>
            <w:tcW w:w="8759" w:type="dxa"/>
            <w:vAlign w:val="center"/>
            <w:textDirection w:val="lrTb"/>
            <w:noWrap w:val="false"/>
          </w:tcPr>
          <w:p>
            <w:pPr>
              <w:pStyle w:val="1020"/>
              <w:jc w:val="both"/>
              <w:spacing w:beforeAutospacing="0" w:afterAutospacing="0" w:line="30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得   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0"/>
              <w:spacing w:beforeAutospacing="0" w:afterAutospacing="0" w:line="30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pStyle w:val="1020"/>
        <w:ind w:left="0" w:firstLine="0"/>
        <w:jc w:val="left"/>
        <w:spacing w:line="30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考核期限：      年     月    日至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   年    月    日  </w:t>
      </w:r>
      <w:r/>
    </w:p>
    <w:p>
      <w:pPr>
        <w:pStyle w:val="1020"/>
        <w:ind w:left="0" w:firstLine="0"/>
        <w:jc w:val="left"/>
        <w:spacing w:line="30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甲方签名：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乙方签名： </w:t>
      </w:r>
      <w:r/>
    </w:p>
    <w:p>
      <w:pPr>
        <w:pStyle w:val="1020"/>
        <w:jc w:val="center"/>
        <w:spacing w:line="30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乙方单位名称：</w:t>
      </w:r>
      <w:bookmarkStart w:id="140" w:name="_Hlk134438215"/>
      <w:r/>
      <w:bookmarkEnd w:id="140"/>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0"/>
        <w:numPr>
          <w:ilvl w:val="0"/>
          <w:numId w:val="0"/>
        </w:numPr>
        <w:jc w:val="center"/>
        <w:keepLines w:val="0"/>
        <w:keepNext w:val="0"/>
        <w:pageBreakBefore w:val="0"/>
        <w:spacing w:line="360" w:lineRule="auto"/>
        <w:widowControl w:val="off"/>
        <w:rPr>
          <w:rFonts w:hint="eastAsia" w:asciiTheme="minorEastAsia" w:hAnsiTheme="minorEastAsia" w:eastAsiaTheme="minorEastAsia" w:cstheme="minorEastAsia"/>
          <w:b/>
          <w:bCs/>
          <w:sz w:val="28"/>
          <w:szCs w:val="28"/>
        </w:rPr>
        <w:outlineLvl w:val="0"/>
      </w:pPr>
      <w:r>
        <w:rPr>
          <w:rFonts w:hint="eastAsia" w:asciiTheme="minorEastAsia" w:hAnsiTheme="minorEastAsia" w:eastAsiaTheme="minorEastAsia" w:cstheme="minorEastAsia"/>
          <w:b/>
          <w:bCs/>
          <w:sz w:val="28"/>
          <w:szCs w:val="28"/>
        </w:rPr>
        <w:t xml:space="preserve">第</w:t>
      </w:r>
      <w:r>
        <w:rPr>
          <w:rFonts w:hint="eastAsia" w:asciiTheme="minorEastAsia" w:hAnsiTheme="minorEastAsia" w:eastAsiaTheme="minorEastAsia" w:cstheme="minorEastAsia"/>
          <w:b/>
          <w:bCs/>
          <w:sz w:val="28"/>
          <w:szCs w:val="28"/>
          <w:lang w:val="en-US" w:eastAsia="zh-CN"/>
        </w:rPr>
        <w:t xml:space="preserve">五</w:t>
      </w:r>
      <w:r>
        <w:rPr>
          <w:rFonts w:hint="eastAsia" w:asciiTheme="minorEastAsia" w:hAnsiTheme="minorEastAsia" w:eastAsiaTheme="minorEastAsia" w:cstheme="minorEastAsia"/>
          <w:b/>
          <w:bCs/>
          <w:sz w:val="28"/>
          <w:szCs w:val="28"/>
        </w:rPr>
        <w:t xml:space="preserve">章评标标准</w:t>
      </w:r>
      <w:r/>
    </w:p>
    <w:p>
      <w:pPr>
        <w:pStyle w:val="1020"/>
        <w:ind w:firstLine="482"/>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一、评标方法</w:t>
      </w:r>
      <w:r/>
    </w:p>
    <w:p>
      <w:pPr>
        <w:pStyle w:val="1020"/>
        <w:ind w:firstLine="480"/>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color w:val="auto"/>
          <w:sz w:val="24"/>
          <w:szCs w:val="24"/>
        </w:rPr>
        <w:t xml:space="preserve">项目采用综合评分法，评分统计方法采用百分制（满分 100 分），将全部评委评分直接进行算术平均，小数点后保留 2 位。按评审后得分由高到低顺序排列，得分相同的，按投标报价由低到高顺序排列，得分且投标报价相同的，按技术指标优劣顺序排列，按照评审得分由高到低选取中标人。</w:t>
      </w:r>
      <w:r/>
    </w:p>
    <w:p>
      <w:pPr>
        <w:pStyle w:val="1020"/>
        <w:ind w:firstLine="241"/>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二、政府采购政策功能落实</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1、小微型企业价格扣除</w:t>
      </w:r>
      <w:r/>
    </w:p>
    <w:p>
      <w:pPr>
        <w:pStyle w:val="1020"/>
        <w:ind w:firstLine="480"/>
        <w:keepLines w:val="0"/>
        <w:keepNext w:val="0"/>
        <w:pageBreakBefore w:val="0"/>
        <w:spacing w:line="288"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zh-CN"/>
        </w:rPr>
        <w:t xml:space="preserve">本项目全部货物制造商为小微企业</w:t>
      </w:r>
      <w:r>
        <w:rPr>
          <w:rFonts w:hint="eastAsia" w:asciiTheme="minorEastAsia" w:hAnsiTheme="minorEastAsia" w:eastAsiaTheme="minorEastAsia" w:cstheme="minorEastAsia"/>
          <w:sz w:val="24"/>
          <w:szCs w:val="24"/>
          <w:lang w:val="zh-CN" w:eastAsia="zh-CN"/>
        </w:rPr>
        <w:t xml:space="preserve">的，</w:t>
      </w:r>
      <w:r>
        <w:rPr>
          <w:rFonts w:hint="eastAsia" w:asciiTheme="minorEastAsia" w:hAnsiTheme="minorEastAsia" w:eastAsiaTheme="minorEastAsia" w:cstheme="minorEastAsia"/>
          <w:sz w:val="24"/>
          <w:szCs w:val="24"/>
        </w:rPr>
        <w:t xml:space="preserve">对报价给予</w:t>
      </w:r>
      <w:r>
        <w:rPr>
          <w:rFonts w:hint="eastAsia" w:asciiTheme="minorEastAsia" w:hAnsiTheme="minorEastAsia" w:eastAsiaTheme="minorEastAsia" w:cstheme="minorEastAsia"/>
          <w:b/>
          <w:bCs/>
          <w:sz w:val="24"/>
          <w:szCs w:val="24"/>
          <w:highlight w:val="none"/>
          <w:u w:val="single"/>
          <w:lang w:val="en-US" w:eastAsia="zh-CN"/>
        </w:rPr>
        <w:t xml:space="preserve"> 20 %</w:t>
      </w:r>
      <w:r>
        <w:rPr>
          <w:rFonts w:hint="eastAsia" w:asciiTheme="minorEastAsia" w:hAnsiTheme="minorEastAsia" w:eastAsiaTheme="minorEastAsia" w:cstheme="minorEastAsia"/>
          <w:sz w:val="24"/>
          <w:szCs w:val="24"/>
          <w:highlight w:val="none"/>
        </w:rPr>
        <w:t xml:space="preserve">的</w:t>
      </w:r>
      <w:r>
        <w:rPr>
          <w:rFonts w:hint="eastAsia" w:asciiTheme="minorEastAsia" w:hAnsiTheme="minorEastAsia" w:eastAsiaTheme="minorEastAsia" w:cstheme="minorEastAsia"/>
          <w:sz w:val="24"/>
          <w:szCs w:val="24"/>
        </w:rPr>
        <w:t xml:space="preserve">扣除，用扣除后的价格参与评审。</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（2）企业按照采购文件的要求提供相应的《中小企业声明函》。</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（3）企业标准请参照《关于印发中小企业划型标准规定的通知》（工信部联企业[2011]300号）文件规定自行填写。</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2、残疾人福利单位价格扣除</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（1）本项目对残疾人福利性单位视同小型、微型企业，给予与小微企业相同的价格扣除，用扣除后的价格参与评审。</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（2）残疾人福利单位需按照采购文件的要求提供《残疾人福利性单位声明函》。</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（3）残疾人福利单位标准请参照《关于促进残疾人就业政府采购政策的通知》（财库〔2017〕141号）。</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3、监狱和戒毒企业价格扣除</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（1）本项目对监狱和戒毒企业（简称监狱企业）视同小型、微型企业，给予与小微企业相同的价格扣除，用扣除后的价格参与评审。</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（2）监狱企业参加政府采购活动时，需提供由省级以上监狱管理局、戒毒管理局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含新疆生产建设兵团</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出具的属于监狱企业的证明文件。</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（3）监狱企业标准请参照《关于政府采购支持监狱企业发展有关问题的通知》（财库[2014]68号）。</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4、残疾人福利单位、监狱企业属于小型、微型企业的，不重复享受政策。上述价格扣除政策仅适用“</w:t>
      </w:r>
      <w:r>
        <w:rPr>
          <w:rFonts w:hint="eastAsia" w:asciiTheme="minorEastAsia" w:hAnsiTheme="minorEastAsia" w:eastAsiaTheme="minorEastAsia" w:cstheme="minorEastAsia"/>
          <w:color w:val="auto"/>
          <w:sz w:val="24"/>
          <w:szCs w:val="24"/>
          <w:lang w:val="en-US" w:eastAsia="zh-CN"/>
        </w:rPr>
        <w:t xml:space="preserve">非</w:t>
      </w:r>
      <w:r>
        <w:rPr>
          <w:rFonts w:hint="eastAsia" w:asciiTheme="minorEastAsia" w:hAnsiTheme="minorEastAsia" w:eastAsiaTheme="minorEastAsia" w:cstheme="minorEastAsia"/>
          <w:color w:val="auto"/>
          <w:sz w:val="24"/>
          <w:szCs w:val="24"/>
        </w:rPr>
        <w:t xml:space="preserve">专门面向中小微企业采购项目”。</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5、绿色采购要求 </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pStyle w:val="1021"/>
        <w:ind w:left="0" w:firstLine="0"/>
        <w:keepLines w:val="0"/>
        <w:keepNext w:val="0"/>
        <w:pageBreakBefore w:val="0"/>
        <w:spacing w:line="240" w:lineRule="atLeast"/>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三、评标标准</w:t>
      </w:r>
      <w:r/>
    </w:p>
    <w:tbl>
      <w:tblPr>
        <w:tblStyle w:val="1043"/>
        <w:tblpPr w:horzAnchor="page" w:tblpXSpec="center" w:vertAnchor="text" w:tblpY="386" w:leftFromText="180" w:topFromText="0" w:rightFromText="180" w:bottomFromText="0"/>
        <w:tblW w:w="10894" w:type="dxa"/>
        <w:jc w:val="center"/>
        <w:tblLayout w:type="fixed"/>
        <w:tblCellMar>
          <w:left w:w="7" w:type="dxa"/>
          <w:top w:w="0" w:type="dxa"/>
          <w:right w:w="7" w:type="dxa"/>
          <w:bottom w:w="0" w:type="dxa"/>
        </w:tblCellMar>
        <w:tblLook w:val="04A0" w:firstRow="1" w:lastRow="0" w:firstColumn="1" w:lastColumn="0" w:noHBand="0" w:noVBand="1"/>
      </w:tblPr>
      <w:tblGrid>
        <w:gridCol w:w="717"/>
        <w:gridCol w:w="1165"/>
        <w:gridCol w:w="7092"/>
        <w:gridCol w:w="780"/>
        <w:gridCol w:w="1140"/>
      </w:tblGrid>
      <w:tr>
        <w:trPr>
          <w:jc w:val="center"/>
          <w:trHeight w:val="712"/>
          <w:tblHeader/>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评审因素</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评审细则</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分值</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类型</w:t>
            </w:r>
            <w:r/>
          </w:p>
        </w:tc>
      </w:tr>
      <w:tr>
        <w:trPr>
          <w:jc w:val="center"/>
          <w:trHeight w:val="411"/>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价格</w:t>
            </w:r>
            <w:r/>
          </w:p>
        </w:tc>
      </w:tr>
      <w:tr>
        <w:trPr>
          <w:jc w:val="center"/>
          <w:trHeight w:val="2659"/>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价格分</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jc w:val="left"/>
              <w:rPr>
                <w:rFonts w:hint="eastAsia" w:cs="Times New Roman"/>
                <w:sz w:val="24"/>
                <w:szCs w:val="24"/>
                <w:lang w:val="en-US" w:eastAsia="zh-CN"/>
              </w:rPr>
            </w:pPr>
            <w:r>
              <w:rPr>
                <w:rFonts w:hint="eastAsia" w:ascii="Times New Roman" w:hAnsi="Times New Roman" w:eastAsia="宋体" w:cs="Times New Roman"/>
                <w:sz w:val="24"/>
                <w:szCs w:val="24"/>
                <w:lang w:val="en-US" w:eastAsia="zh-CN"/>
              </w:rPr>
              <w:t xml:space="preserve">采用低价优先法计算，</w:t>
            </w:r>
            <w:r>
              <w:rPr>
                <w:rFonts w:hint="eastAsia" w:cs="Times New Roman"/>
                <w:sz w:val="24"/>
                <w:szCs w:val="24"/>
                <w:lang w:val="en-US" w:eastAsia="zh-CN"/>
              </w:rPr>
              <w:t xml:space="preserve">即投标报价=（1-最高投标优惠率评审价）的为评标基准价，得满分30分，其他</w:t>
            </w:r>
            <w:r>
              <w:rPr>
                <w:rFonts w:hint="eastAsia" w:ascii="Times New Roman" w:hAnsi="Times New Roman" w:eastAsia="宋体" w:cs="Times New Roman"/>
                <w:sz w:val="24"/>
                <w:szCs w:val="24"/>
                <w:lang w:val="en-US" w:eastAsia="zh-CN"/>
              </w:rPr>
              <w:t xml:space="preserve">投标报价得分=(1-最高优惠率评审价)/(1-优惠率评审价)×30</w:t>
            </w:r>
            <w:r>
              <w:rPr>
                <w:rFonts w:hint="eastAsia" w:cs="Times New Roman"/>
                <w:sz w:val="24"/>
                <w:szCs w:val="24"/>
                <w:lang w:val="en-US" w:eastAsia="zh-CN"/>
              </w:rPr>
              <w:t xml:space="preserve">分</w:t>
            </w:r>
            <w:r>
              <w:rPr>
                <w:rFonts w:hint="eastAsia" w:ascii="Times New Roman" w:hAnsi="Times New Roman" w:eastAsia="宋体" w:cs="Times New Roman"/>
                <w:sz w:val="24"/>
                <w:szCs w:val="24"/>
                <w:lang w:val="en-US" w:eastAsia="zh-CN"/>
              </w:rPr>
              <w:t xml:space="preserve"> </w:t>
            </w:r>
            <w:r>
              <w:rPr>
                <w:rFonts w:hint="eastAsia" w:cs="Times New Roman"/>
                <w:sz w:val="24"/>
                <w:szCs w:val="24"/>
                <w:lang w:val="en-US" w:eastAsia="zh-CN"/>
              </w:rPr>
              <w:t xml:space="preserve">。</w:t>
            </w:r>
            <w:r/>
          </w:p>
          <w:p>
            <w:pPr>
              <w:jc w:val="left"/>
              <w:rPr>
                <w:rFonts w:hint="eastAsia" w:cs="Times New Roman"/>
                <w:sz w:val="24"/>
                <w:szCs w:val="24"/>
                <w:lang w:val="en-US" w:eastAsia="zh-CN"/>
              </w:rPr>
            </w:pPr>
            <w:r>
              <w:rPr>
                <w:rFonts w:hint="eastAsia" w:cs="Times New Roman"/>
                <w:sz w:val="24"/>
                <w:szCs w:val="24"/>
                <w:lang w:val="en-US" w:eastAsia="zh-CN"/>
              </w:rPr>
              <w:t xml:space="preserve">如投标人 A、B、C 的投标优惠率分别为 10%、15%、20%，那么投标人 C 所投 20%的（1-20%）为评标基准价，投标人 C 的投标报价得分为 30 分；</w:t>
            </w:r>
            <w:r/>
          </w:p>
          <w:p>
            <w:pPr>
              <w:jc w:val="left"/>
              <w:rPr>
                <w:rFonts w:hint="eastAsia" w:cs="Times New Roman"/>
                <w:sz w:val="24"/>
                <w:szCs w:val="24"/>
                <w:lang w:val="en-US" w:eastAsia="zh-CN"/>
              </w:rPr>
            </w:pPr>
            <w:r>
              <w:rPr>
                <w:rFonts w:hint="eastAsia" w:cs="Times New Roman"/>
                <w:sz w:val="24"/>
                <w:szCs w:val="24"/>
                <w:lang w:val="en-US" w:eastAsia="zh-CN"/>
              </w:rPr>
              <w:t xml:space="preserve">投标人 A的投标报价得分为（1-20%）/（1-10%）*30=26.67分；</w:t>
            </w:r>
            <w:r/>
          </w:p>
          <w:p>
            <w:pPr>
              <w:jc w:val="left"/>
              <w:rPr>
                <w:rFonts w:hint="eastAsia" w:asciiTheme="minorEastAsia" w:hAnsiTheme="minorEastAsia" w:eastAsiaTheme="minorEastAsia" w:cstheme="minorEastAsia"/>
                <w:sz w:val="24"/>
                <w:szCs w:val="24"/>
                <w:lang w:val="en-US" w:eastAsia="zh-CN"/>
              </w:rPr>
            </w:pPr>
            <w:r>
              <w:rPr>
                <w:rFonts w:hint="eastAsia" w:cs="Times New Roman"/>
                <w:sz w:val="24"/>
                <w:szCs w:val="24"/>
                <w:lang w:val="en-US" w:eastAsia="zh-CN"/>
              </w:rPr>
              <w:t xml:space="preserve">投标人 B 的投标报价得分（1-20%）/（1-15%）*30=28.24 分。</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30</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价格分</w:t>
            </w:r>
            <w:r/>
          </w:p>
        </w:tc>
      </w:tr>
      <w:tr>
        <w:trPr>
          <w:jc w:val="center"/>
          <w:trHeight w:val="486"/>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 xml:space="preserve">2服务</w:t>
            </w:r>
            <w:r/>
          </w:p>
        </w:tc>
      </w:tr>
      <w:tr>
        <w:trPr>
          <w:jc w:val="center"/>
          <w:trHeight w:val="2030"/>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配送方案</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评委根据投标人提供的食材配送方案（包括日常配送的人员、保障，法定节假日食材准备）综合评分：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（1）方案合理性、针对性强的得4分；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（2）方案合理性、针对性较强的得2分；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（3）方案合理性、针对性一般的得1分；</w:t>
            </w:r>
            <w:r/>
          </w:p>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（4）投标人未提供日常配送方案的不得分；</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4分</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主观</w:t>
            </w:r>
            <w:r>
              <w:rPr>
                <w:rFonts w:hint="eastAsia" w:asciiTheme="minorEastAsia" w:hAnsiTheme="minorEastAsia" w:eastAsiaTheme="minorEastAsia" w:cstheme="minorEastAsia"/>
                <w:sz w:val="24"/>
                <w:szCs w:val="24"/>
                <w:lang w:eastAsia="zh-CN"/>
              </w:rPr>
              <w:t xml:space="preserve">分</w:t>
            </w:r>
            <w:r/>
          </w:p>
        </w:tc>
      </w:tr>
      <w:tr>
        <w:trPr>
          <w:jc w:val="center"/>
          <w:trHeight w:val="2576"/>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食品安全保障措施</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评委根据投标人提供的保障食品安全制度方案评分: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（1）投标人根据自身对食品安全重要性的理解，提供在配送过程中对食品安全的保障措施健全完善，针对性强的得4分；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（2）投标人根据自身对食品安全重要性的理解，提供在配送过程中对食品安全的保障措施较为健全完善，针对性较强的得2分；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（3）投标人根据自身对食品安全重要性的理解，提供在配送过程中对食品安全的保障措施健全完善，针对性一般的得1分；</w:t>
            </w:r>
            <w:r/>
          </w:p>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（4）投标人未提供保障食品安全的制度方案的不得分。</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4分</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主观</w:t>
            </w:r>
            <w:r>
              <w:rPr>
                <w:rFonts w:hint="eastAsia" w:asciiTheme="minorEastAsia" w:hAnsiTheme="minorEastAsia" w:eastAsiaTheme="minorEastAsia" w:cstheme="minorEastAsia"/>
                <w:sz w:val="24"/>
                <w:szCs w:val="24"/>
                <w:lang w:eastAsia="zh-CN"/>
              </w:rPr>
              <w:t xml:space="preserve">分</w:t>
            </w:r>
            <w:r/>
          </w:p>
        </w:tc>
      </w:tr>
      <w:tr>
        <w:trPr>
          <w:jc w:val="center"/>
          <w:trHeight w:val="2058"/>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2.3</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应急服务方案</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投标人为满足采购人临时需求，能够提供包括临时人员、车辆确保食材品质和及时送达验收使用，有应急管理机构、应急工作队伍、应急联系方式、应急处置措施等内容，不影响正常工作的承诺和服务方案。评委根据投标人提供的应急承诺和服务方案评分：</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（1）应急服务承诺和服务方案内容完整，处置措施得力的得4分；</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（2）应急服务承诺和服务方案内容较为完整，处置措施较得力的得2分；</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（3）应急服务承诺和服务方案内容完整性和处置措施得力一般的得1分；</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（4）投标人未提供应急承诺和服务方案的不得分。</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4分</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主观</w:t>
            </w:r>
            <w:r>
              <w:rPr>
                <w:rFonts w:hint="eastAsia" w:asciiTheme="minorEastAsia" w:hAnsiTheme="minorEastAsia" w:eastAsiaTheme="minorEastAsia" w:cstheme="minorEastAsia"/>
                <w:sz w:val="24"/>
                <w:szCs w:val="24"/>
                <w:lang w:eastAsia="zh-CN"/>
              </w:rPr>
              <w:t xml:space="preserve">分</w:t>
            </w:r>
            <w:r/>
          </w:p>
        </w:tc>
      </w:tr>
      <w:tr>
        <w:trPr>
          <w:jc w:val="center"/>
          <w:trHeight w:val="1512"/>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2.4</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售后服务方案</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评委根据投标人提供的售后服务方案评分: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（1）售后服务方案内容完整，措施得力，针对性强的得4分；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（2）售后服务方案内容较完整，措施较为得力，针对性较强的得2分；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（3）售后服务方案内容完整性和措施力一般的得1分；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（4）投标人未提供售后服务方案的不得分。</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4分</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主观</w:t>
            </w:r>
            <w:r>
              <w:rPr>
                <w:rFonts w:hint="eastAsia" w:asciiTheme="minorEastAsia" w:hAnsiTheme="minorEastAsia" w:eastAsiaTheme="minorEastAsia" w:cstheme="minorEastAsia"/>
                <w:sz w:val="24"/>
                <w:szCs w:val="24"/>
                <w:lang w:eastAsia="zh-CN"/>
              </w:rPr>
              <w:t xml:space="preserve">分</w:t>
            </w:r>
            <w:r/>
          </w:p>
        </w:tc>
      </w:tr>
      <w:tr>
        <w:trPr>
          <w:jc w:val="center"/>
          <w:trHeight w:val="242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2.5</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意见反馈处理方案</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评委根据投标人提供的意见反馈及处置方案评分：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（1）对服务过程中采购人发现问题的意见反馈及时，处置方法妥善的得4分；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（2）对服务过程中采购人发现问题的意见反馈较及时，处理方法较妥善的得2分；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（3）对服务过程中采购人发现问题的意见反馈不及时，处理方案不够妥善的得1分；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（4）投标人未提供意见反馈处置方案的不得分。</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4分</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主观</w:t>
            </w:r>
            <w:r>
              <w:rPr>
                <w:rFonts w:hint="eastAsia" w:asciiTheme="minorEastAsia" w:hAnsiTheme="minorEastAsia" w:eastAsiaTheme="minorEastAsia" w:cstheme="minorEastAsia"/>
                <w:sz w:val="24"/>
                <w:szCs w:val="24"/>
                <w:lang w:eastAsia="zh-CN"/>
              </w:rPr>
              <w:t xml:space="preserve">分</w:t>
            </w:r>
            <w:r/>
          </w:p>
        </w:tc>
      </w:tr>
      <w:tr>
        <w:trPr>
          <w:jc w:val="center"/>
          <w:trHeight w:val="575"/>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3业绩</w:t>
            </w:r>
            <w:r/>
          </w:p>
        </w:tc>
      </w:tr>
      <w:tr>
        <w:trPr>
          <w:jc w:val="center"/>
          <w:trHeight w:val="1390"/>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投标人业绩</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投标人自2020年1月1日（以合同签订日期为准）以来具有的类似项目（至少包含肉类或水产类或家禽类和蔬菜类），每提供一份合同得3分，最多得9分。（同一业主合同或证明材料只能算一个业绩。）</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eastAsia="zh-CN"/>
              </w:rPr>
              <w:t xml:space="preserve">注：提供有效合同</w:t>
            </w:r>
            <w:r>
              <w:rPr>
                <w:rFonts w:hint="eastAsia" w:asciiTheme="minorEastAsia" w:hAnsiTheme="minorEastAsia" w:eastAsiaTheme="minorEastAsia" w:cstheme="minorEastAsia"/>
                <w:sz w:val="24"/>
                <w:szCs w:val="24"/>
                <w:lang w:val="en-US" w:eastAsia="zh-CN"/>
              </w:rPr>
              <w:t xml:space="preserve">及服务期任意一次结算发票</w:t>
            </w:r>
            <w:r>
              <w:rPr>
                <w:rFonts w:hint="eastAsia" w:asciiTheme="minorEastAsia" w:hAnsiTheme="minorEastAsia" w:eastAsiaTheme="minorEastAsia" w:cstheme="minorEastAsia"/>
                <w:sz w:val="24"/>
                <w:szCs w:val="24"/>
                <w:lang w:val="zh-CN" w:eastAsia="zh-CN"/>
              </w:rPr>
              <w:t xml:space="preserve">，缺项或未提供的不得分</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ind w:firstLine="24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9分</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客观分</w:t>
            </w:r>
            <w:r/>
          </w:p>
        </w:tc>
      </w:tr>
      <w:tr>
        <w:trPr>
          <w:jc w:val="center"/>
          <w:trHeight w:val="628"/>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4履约能力</w:t>
            </w:r>
            <w:r/>
          </w:p>
        </w:tc>
      </w:tr>
      <w:tr>
        <w:trPr>
          <w:jc w:val="center"/>
          <w:trHeight w:val="1910"/>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履约能力1</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投标人自有或租赁的冷库且面积200平方米（含）-300平方米（不含）得3分，面积300平方米及以上得6分，面积400平方米及以上得9分。</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注:如</w:t>
            </w:r>
            <w:r>
              <w:rPr>
                <w:rFonts w:hint="eastAsia" w:asciiTheme="minorEastAsia" w:hAnsiTheme="minorEastAsia" w:eastAsiaTheme="minorEastAsia" w:cstheme="minorEastAsia"/>
                <w:sz w:val="24"/>
                <w:szCs w:val="24"/>
                <w:lang w:val="zh-CN"/>
              </w:rPr>
              <w:t xml:space="preserve">自有的须提供房产证（产权证）</w:t>
            </w:r>
            <w:r>
              <w:rPr>
                <w:rFonts w:hint="eastAsia" w:asciiTheme="minorEastAsia" w:hAnsiTheme="minorEastAsia" w:eastAsiaTheme="minorEastAsia" w:cstheme="minorEastAsia"/>
                <w:sz w:val="24"/>
                <w:szCs w:val="24"/>
                <w:lang w:val="en-US" w:eastAsia="zh-CN"/>
              </w:rPr>
              <w:t xml:space="preserve">及冷库设备发票</w:t>
            </w:r>
            <w:r>
              <w:rPr>
                <w:rFonts w:hint="eastAsia" w:asciiTheme="minorEastAsia" w:hAnsiTheme="minorEastAsia" w:eastAsiaTheme="minorEastAsia" w:cstheme="minorEastAsia"/>
                <w:sz w:val="24"/>
                <w:szCs w:val="24"/>
                <w:lang w:val="zh-CN"/>
              </w:rPr>
              <w:t xml:space="preserve">，如租赁的须提供租赁合同（须明确体现建筑面积）</w:t>
            </w:r>
            <w:r>
              <w:rPr>
                <w:rFonts w:hint="eastAsia" w:asciiTheme="minorEastAsia" w:hAnsiTheme="minorEastAsia" w:eastAsiaTheme="minorEastAsia" w:cstheme="minorEastAsia"/>
                <w:sz w:val="24"/>
                <w:szCs w:val="24"/>
                <w:lang w:val="en-US" w:eastAsia="zh-CN"/>
              </w:rPr>
              <w:t xml:space="preserve">及冷库设备发票</w:t>
            </w:r>
            <w:r>
              <w:rPr>
                <w:rFonts w:hint="eastAsia" w:asciiTheme="minorEastAsia" w:hAnsiTheme="minorEastAsia" w:eastAsiaTheme="minorEastAsia" w:cstheme="minorEastAsia"/>
                <w:sz w:val="24"/>
                <w:szCs w:val="24"/>
                <w:lang w:val="zh-CN"/>
              </w:rPr>
              <w:t xml:space="preserve">，否则不得</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合同和发票内容需清晰可见。租赁合同的租赁期不得少于本次采购合同期</w:t>
            </w:r>
            <w:r>
              <w:rPr>
                <w:rFonts w:hint="eastAsia" w:asciiTheme="minorEastAsia" w:hAnsiTheme="minorEastAsia" w:eastAsiaTheme="minorEastAsia" w:cstheme="minorEastAsia"/>
                <w:sz w:val="24"/>
                <w:szCs w:val="24"/>
                <w:lang w:val="zh-CN"/>
              </w:rPr>
              <w:t xml:space="preserve">）</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9分</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客观分</w:t>
            </w:r>
            <w:r/>
          </w:p>
        </w:tc>
      </w:tr>
      <w:tr>
        <w:trPr>
          <w:jc w:val="center"/>
          <w:trHeight w:val="241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4.2</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履约能力2</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供应商拥有长期自有或合作的种植/养殖基地总面积情况：</w:t>
            </w:r>
            <w:r/>
          </w:p>
          <w:p>
            <w:pPr>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800</w:t>
            </w:r>
            <w:r>
              <w:rPr>
                <w:rFonts w:hint="eastAsia" w:asciiTheme="minorEastAsia" w:hAnsiTheme="minorEastAsia" w:eastAsiaTheme="minorEastAsia" w:cstheme="minorEastAsia"/>
                <w:sz w:val="24"/>
                <w:szCs w:val="24"/>
                <w:lang w:val="zh-CN"/>
              </w:rPr>
              <w:t xml:space="preserve">亩（含）以上的得</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lang w:val="zh-CN"/>
              </w:rPr>
              <w:t xml:space="preserve">分；</w:t>
            </w:r>
            <w:r/>
          </w:p>
          <w:p>
            <w:pPr>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val="zh-CN"/>
              </w:rPr>
              <w:t xml:space="preserve">）500亩(含)--</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lang w:val="zh-CN"/>
              </w:rPr>
              <w:t xml:space="preserve">00亩（不含）的得</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lang w:val="zh-CN"/>
              </w:rPr>
              <w:t xml:space="preserve">分；</w:t>
            </w:r>
            <w:r/>
          </w:p>
          <w:p>
            <w:pPr>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）500亩（不含）以下的得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分；</w:t>
            </w:r>
            <w:r/>
          </w:p>
          <w:p>
            <w:pPr>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lang w:val="zh-CN"/>
              </w:rPr>
              <w:t xml:space="preserve">）无种植/养殖基地的得0分。</w:t>
            </w:r>
            <w:r/>
          </w:p>
          <w:p>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如自有种养植基地须提供土地证明</w:t>
            </w:r>
            <w:r>
              <w:rPr>
                <w:rFonts w:hint="eastAsia" w:asciiTheme="minorEastAsia" w:hAnsiTheme="minorEastAsia" w:eastAsiaTheme="minorEastAsia" w:cstheme="minorEastAsia"/>
                <w:sz w:val="24"/>
                <w:szCs w:val="24"/>
                <w:lang w:val="en-US" w:eastAsia="zh-CN"/>
              </w:rPr>
              <w:t xml:space="preserve">材料</w:t>
            </w:r>
            <w:r>
              <w:rPr>
                <w:rFonts w:hint="eastAsia" w:asciiTheme="minorEastAsia" w:hAnsiTheme="minorEastAsia" w:eastAsiaTheme="minorEastAsia" w:cstheme="minorEastAsia"/>
                <w:sz w:val="24"/>
                <w:szCs w:val="24"/>
                <w:lang w:val="zh-CN"/>
              </w:rPr>
              <w:t xml:space="preserve">，如种养植基地为租赁须提供土地租赁合同</w:t>
            </w:r>
            <w:r>
              <w:rPr>
                <w:rFonts w:hint="eastAsia" w:asciiTheme="minorEastAsia" w:hAnsiTheme="minorEastAsia" w:eastAsiaTheme="minorEastAsia" w:cstheme="minorEastAsia"/>
                <w:sz w:val="24"/>
                <w:szCs w:val="24"/>
                <w:lang w:val="en-US" w:eastAsia="zh-CN"/>
              </w:rPr>
              <w:t xml:space="preserve">及土地证明材料</w:t>
            </w:r>
            <w:r>
              <w:rPr>
                <w:rFonts w:hint="eastAsia" w:asciiTheme="minorEastAsia" w:hAnsiTheme="minorEastAsia" w:eastAsiaTheme="minorEastAsia" w:cstheme="minorEastAsia"/>
                <w:sz w:val="24"/>
                <w:szCs w:val="24"/>
                <w:lang w:val="zh-CN"/>
              </w:rPr>
              <w:t xml:space="preserve">，且材料里须明确体现种养植基地面积，否则不得分</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9分</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客观分</w:t>
            </w:r>
            <w:r/>
          </w:p>
        </w:tc>
      </w:tr>
      <w:tr>
        <w:trPr>
          <w:jc w:val="center"/>
          <w:trHeight w:val="1536"/>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4.3</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履约能力3</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lang w:val="zh-CN"/>
              </w:rPr>
              <w:t xml:space="preserve">自有或租赁厢式货车的，每具备一辆得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val="zh-CN"/>
              </w:rPr>
              <w:t xml:space="preserve">分，最</w:t>
            </w:r>
            <w:r>
              <w:rPr>
                <w:rFonts w:hint="eastAsia" w:asciiTheme="minorEastAsia" w:hAnsiTheme="minorEastAsia" w:eastAsiaTheme="minorEastAsia" w:cstheme="minorEastAsia"/>
                <w:sz w:val="24"/>
                <w:szCs w:val="24"/>
                <w:lang w:val="en-US" w:eastAsia="zh-CN"/>
              </w:rPr>
              <w:t xml:space="preserve">多得3</w:t>
            </w:r>
            <w:r>
              <w:rPr>
                <w:rFonts w:hint="eastAsia" w:asciiTheme="minorEastAsia" w:hAnsiTheme="minorEastAsia" w:eastAsiaTheme="minorEastAsia" w:cstheme="minorEastAsia"/>
                <w:sz w:val="24"/>
                <w:szCs w:val="24"/>
                <w:lang w:val="zh-CN"/>
              </w:rPr>
              <w:t xml:space="preserve">分。</w:t>
            </w:r>
            <w:r/>
          </w:p>
          <w:p>
            <w:pP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lang w:val="zh-CN"/>
              </w:rPr>
              <w:t xml:space="preserve">自有或租赁冷藏车的，每具备一辆得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val="zh-CN"/>
              </w:rPr>
              <w:t xml:space="preserve">分，最</w:t>
            </w:r>
            <w:r>
              <w:rPr>
                <w:rFonts w:hint="eastAsia" w:asciiTheme="minorEastAsia" w:hAnsiTheme="minorEastAsia" w:eastAsiaTheme="minorEastAsia" w:cstheme="minorEastAsia"/>
                <w:sz w:val="24"/>
                <w:szCs w:val="24"/>
                <w:lang w:val="en-US" w:eastAsia="zh-CN"/>
              </w:rPr>
              <w:t xml:space="preserve">多得3</w:t>
            </w:r>
            <w:r>
              <w:rPr>
                <w:rFonts w:hint="eastAsia" w:asciiTheme="minorEastAsia" w:hAnsiTheme="minorEastAsia" w:eastAsiaTheme="minorEastAsia" w:cstheme="minorEastAsia"/>
                <w:sz w:val="24"/>
                <w:szCs w:val="24"/>
                <w:lang w:val="zh-CN"/>
              </w:rPr>
              <w:t xml:space="preserve">分。</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需提供车辆的权属证明、行驶证及车辆照片，如车辆为租赁的，需提供租赁合同及发票、行驶证及车辆照片。（</w:t>
            </w:r>
            <w:r>
              <w:rPr>
                <w:rFonts w:hint="eastAsia" w:asciiTheme="minorEastAsia" w:hAnsiTheme="minorEastAsia" w:eastAsiaTheme="minorEastAsia" w:cstheme="minorEastAsia"/>
                <w:sz w:val="24"/>
                <w:szCs w:val="24"/>
                <w:lang w:val="en-US" w:eastAsia="zh-CN"/>
              </w:rPr>
              <w:t xml:space="preserve">其中租赁合同的租赁期不得少于本次采购合同期）</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6分</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客观分</w:t>
            </w:r>
            <w:r/>
          </w:p>
        </w:tc>
      </w:tr>
      <w:tr>
        <w:trPr>
          <w:jc w:val="center"/>
          <w:trHeight w:val="484"/>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5服务质量</w:t>
            </w:r>
            <w:r/>
          </w:p>
        </w:tc>
      </w:tr>
      <w:tr>
        <w:trPr>
          <w:jc w:val="center"/>
          <w:trHeight w:val="1488"/>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服务质量</w:t>
            </w:r>
            <w:r/>
          </w:p>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评价</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 xml:space="preserve">自2020年1月1日以来</w:t>
            </w:r>
            <w:r>
              <w:rPr>
                <w:rFonts w:hint="eastAsia" w:asciiTheme="minorEastAsia" w:hAnsiTheme="minorEastAsia" w:eastAsiaTheme="minorEastAsia" w:cstheme="minorEastAsia"/>
                <w:sz w:val="24"/>
                <w:szCs w:val="24"/>
                <w:lang w:val="zh-CN"/>
              </w:rPr>
              <w:t xml:space="preserve">供应商提供服务单位出具的满意度证明材料（材料加盖服务单位公章）和与服务单位签订的服务合同，二者缺一不可，证明材料能够证明履约情况达到良好及以上的，每提供1份得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val="zh-CN"/>
              </w:rPr>
              <w:t xml:space="preserve">分，最多得</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lang w:val="zh-CN"/>
              </w:rPr>
              <w:t xml:space="preserve">分。</w:t>
            </w:r>
            <w:r>
              <w:rPr>
                <w:rFonts w:hint="eastAsia" w:asciiTheme="minorEastAsia" w:hAnsiTheme="minorEastAsia" w:eastAsiaTheme="minorEastAsia" w:cstheme="minorEastAsia"/>
                <w:sz w:val="24"/>
                <w:szCs w:val="24"/>
                <w:lang w:val="en-US" w:eastAsia="zh-CN"/>
              </w:rPr>
              <w:t xml:space="preserve">（时间以满意度评价表为准，同一业主的证明材料、合同只能算一个评价。）</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6分</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客观分</w:t>
            </w:r>
            <w:r/>
          </w:p>
        </w:tc>
      </w:tr>
      <w:tr>
        <w:trPr>
          <w:jc w:val="center"/>
          <w:trHeight w:val="416"/>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 食品保险承诺</w:t>
            </w:r>
            <w:r/>
          </w:p>
        </w:tc>
      </w:tr>
      <w:tr>
        <w:trPr>
          <w:jc w:val="center"/>
          <w:trHeight w:val="88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食品保险</w:t>
            </w:r>
            <w:r/>
          </w:p>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承诺</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color w:val="auto"/>
                <w:spacing w:val="3"/>
                <w:sz w:val="24"/>
                <w:szCs w:val="24"/>
                <w:lang w:val="en-US" w:eastAsia="zh-CN" w:bidi="ar-SA"/>
              </w:rPr>
              <w:t xml:space="preserve">投标人承诺，签订服务合同时必须购买食品安全责任险，累计赔付金额≧</w:t>
            </w:r>
            <w:r>
              <w:rPr>
                <w:rFonts w:hint="eastAsia" w:asciiTheme="minorEastAsia" w:hAnsiTheme="minorEastAsia" w:eastAsiaTheme="minorEastAsia" w:cstheme="minorEastAsia"/>
                <w:color w:val="auto"/>
                <w:spacing w:val="3"/>
                <w:sz w:val="24"/>
                <w:szCs w:val="24"/>
                <w:highlight w:val="none"/>
                <w:lang w:val="en-US" w:eastAsia="zh-CN" w:bidi="ar-SA"/>
              </w:rPr>
              <w:t xml:space="preserve">1000万，并且投保期和合同期限一致。</w:t>
            </w:r>
            <w:r>
              <w:rPr>
                <w:rFonts w:hint="eastAsia" w:asciiTheme="minorEastAsia" w:hAnsiTheme="minorEastAsia" w:eastAsiaTheme="minorEastAsia" w:cstheme="minorEastAsia"/>
                <w:sz w:val="24"/>
                <w:szCs w:val="24"/>
                <w:lang w:val="en-US" w:eastAsia="zh-CN"/>
              </w:rPr>
              <w:t xml:space="preserve">提供承诺的得3分，未提供不得分。（提供承诺书加盖公章，承诺书格式自</w:t>
            </w:r>
            <w:r>
              <w:rPr>
                <w:rFonts w:hint="eastAsia" w:asciiTheme="minorEastAsia" w:hAnsiTheme="minorEastAsia" w:eastAsiaTheme="minorEastAsia" w:cstheme="minorEastAsia"/>
                <w:color w:val="auto"/>
                <w:spacing w:val="3"/>
                <w:sz w:val="24"/>
                <w:szCs w:val="24"/>
                <w:highlight w:val="none"/>
                <w:lang w:val="en-US" w:eastAsia="zh-CN" w:bidi="ar-SA"/>
              </w:rPr>
              <w:t xml:space="preserve">拟）</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3分</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客观分</w:t>
            </w:r>
            <w:r/>
          </w:p>
        </w:tc>
      </w:tr>
      <w:tr>
        <w:trPr>
          <w:jc w:val="center"/>
          <w:trHeight w:val="458"/>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7人员配备</w:t>
            </w:r>
            <w:r/>
          </w:p>
        </w:tc>
      </w:tr>
      <w:tr>
        <w:trPr>
          <w:jc w:val="center"/>
          <w:trHeight w:val="88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人员配备</w:t>
            </w:r>
            <w:r/>
          </w:p>
        </w:tc>
        <w:tc>
          <w:tcPr>
            <w:tcBorders>
              <w:top w:val="single" w:color="000000" w:sz="2" w:space="0"/>
              <w:left w:val="single" w:color="000000" w:sz="6" w:space="0"/>
              <w:bottom w:val="single" w:color="000000" w:sz="2" w:space="0"/>
              <w:right w:val="single" w:color="000000" w:sz="6" w:space="0"/>
            </w:tcBorders>
            <w:tcW w:w="7092" w:type="dxa"/>
            <w:vAlign w:val="center"/>
            <w:textDirection w:val="lrTb"/>
            <w:noWrap w:val="false"/>
          </w:tcPr>
          <w:p>
            <w:pP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针对本项目的人员配置情况，投标文件中须提供人员证书扫描件。</w:t>
            </w:r>
            <w:r/>
          </w:p>
          <w:p>
            <w:pP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val="zh-CN"/>
              </w:rPr>
              <w:t xml:space="preserve">）服务团队人员中具有食品检验员（高级）证书的有1个得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val="zh-CN"/>
              </w:rPr>
              <w:t xml:space="preserve">分，最高得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val="zh-CN"/>
              </w:rPr>
              <w:t xml:space="preserve">分。</w:t>
            </w:r>
            <w:r/>
          </w:p>
          <w:p>
            <w:pP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val="zh-CN"/>
              </w:rPr>
              <w:t xml:space="preserve">）服务团队人员中具有</w:t>
            </w:r>
            <w:r>
              <w:rPr>
                <w:rFonts w:hint="eastAsia" w:asciiTheme="minorEastAsia" w:hAnsiTheme="minorEastAsia" w:eastAsiaTheme="minorEastAsia" w:cstheme="minorEastAsia"/>
                <w:sz w:val="24"/>
                <w:szCs w:val="24"/>
                <w:lang w:val="en-US" w:eastAsia="zh-CN"/>
              </w:rPr>
              <w:t xml:space="preserve">健康证</w:t>
            </w:r>
            <w:r>
              <w:rPr>
                <w:rFonts w:hint="eastAsia" w:asciiTheme="minorEastAsia" w:hAnsiTheme="minorEastAsia" w:eastAsiaTheme="minorEastAsia" w:cstheme="minorEastAsia"/>
                <w:sz w:val="24"/>
                <w:szCs w:val="24"/>
                <w:lang w:val="zh-CN"/>
              </w:rPr>
              <w:t xml:space="preserve">的有1个得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val="zh-CN"/>
              </w:rPr>
              <w:t xml:space="preserve">分，最高得</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lang w:val="zh-CN"/>
              </w:rPr>
              <w:t xml:space="preserve">分。</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提供证书及投标人为其缴纳的2023年10月以来任意一个月社保证明，缺项或未提供的不得分。</w:t>
            </w:r>
            <w:r/>
          </w:p>
        </w:tc>
        <w:tc>
          <w:tcPr>
            <w:tcBorders>
              <w:top w:val="single" w:color="000000" w:sz="2" w:space="0"/>
              <w:left w:val="single" w:color="000000" w:sz="6" w:space="0"/>
              <w:bottom w:val="single" w:color="000000" w:sz="2" w:space="0"/>
              <w:right w:val="single" w:color="000000" w:sz="6" w:space="0"/>
            </w:tcBorders>
            <w:tcW w:w="78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8分</w:t>
            </w:r>
            <w:r/>
          </w:p>
        </w:tc>
        <w:tc>
          <w:tcPr>
            <w:tcBorders>
              <w:top w:val="single" w:color="000000" w:sz="2" w:space="0"/>
              <w:left w:val="single" w:color="000000" w:sz="6" w:space="0"/>
              <w:bottom w:val="single" w:color="000000" w:sz="2" w:space="0"/>
              <w:right w:val="single" w:color="000000" w:sz="6" w:space="0"/>
            </w:tcBorders>
            <w:tcW w:w="114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客观分</w:t>
            </w:r>
            <w:r/>
          </w:p>
        </w:tc>
      </w:tr>
      <w:tr>
        <w:trPr>
          <w:jc w:val="center"/>
          <w:trHeight w:val="596"/>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合计</w:t>
            </w:r>
            <w:r/>
          </w:p>
        </w:tc>
        <w:tc>
          <w:tcPr>
            <w:gridSpan w:val="2"/>
            <w:tcBorders>
              <w:top w:val="single" w:color="000000" w:sz="2" w:space="0"/>
              <w:left w:val="single" w:color="000000" w:sz="6" w:space="0"/>
              <w:bottom w:val="single" w:color="000000" w:sz="2" w:space="0"/>
              <w:right w:val="single" w:color="000000" w:sz="6" w:space="0"/>
            </w:tcBorders>
            <w:tcW w:w="825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tc>
        <w:tc>
          <w:tcPr>
            <w:gridSpan w:val="2"/>
            <w:tcBorders>
              <w:top w:val="single" w:color="000000" w:sz="2" w:space="0"/>
              <w:left w:val="single" w:color="000000" w:sz="6" w:space="0"/>
              <w:bottom w:val="single" w:color="000000" w:sz="2" w:space="0"/>
              <w:right w:val="single" w:color="000000" w:sz="6" w:space="0"/>
            </w:tcBorders>
            <w:tcW w:w="192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100分</w:t>
            </w:r>
            <w:r/>
          </w:p>
        </w:tc>
      </w:tr>
    </w:tbl>
    <w:p>
      <w:pPr>
        <w:pStyle w:val="1029"/>
        <w:ind w:left="0" w:firstLine="0"/>
        <w:jc w:val="center"/>
        <w:rPr>
          <w:rFonts w:hint="eastAsia" w:asciiTheme="minorEastAsia" w:hAnsiTheme="minorEastAsia" w:eastAsiaTheme="minorEastAsia" w:cstheme="minorEastAsia"/>
          <w:sz w:val="32"/>
          <w:szCs w:val="32"/>
        </w:rPr>
        <w:sectPr>
          <w:headerReference w:type="default" r:id="rId12"/>
          <w:footerReference w:type="default" r:id="rId18"/>
          <w:footnotePr/>
          <w:endnotePr/>
          <w:type w:val="nextPage"/>
          <w:pgSz w:w="11906" w:h="16838" w:orient="portrait"/>
          <w:pgMar w:top="1440" w:right="1083" w:bottom="1440" w:left="1083" w:header="851" w:footer="992" w:gutter="0"/>
          <w:pgNumType w:start="0"/>
          <w:cols w:num="1" w:sep="0" w:space="720" w:equalWidth="1"/>
          <w:docGrid w:linePitch="360"/>
        </w:sectPr>
      </w:pPr>
      <w:r/>
      <w:bookmarkStart w:id="141" w:name="_Toc11326"/>
      <w:r/>
      <w:bookmarkStart w:id="142" w:name="_Toc13101"/>
      <w:r/>
      <w:bookmarkStart w:id="143" w:name="_Toc11219"/>
      <w:r/>
      <w:bookmarkStart w:id="144" w:name="_Toc19"/>
      <w:r/>
      <w:bookmarkStart w:id="145" w:name="_Toc95824777"/>
      <w:r/>
      <w:r/>
    </w:p>
    <w:p>
      <w:pPr>
        <w:pStyle w:val="1029"/>
        <w:ind w:left="0" w:firstLine="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第六章投标文件格式及附件</w:t>
      </w:r>
      <w:bookmarkEnd w:id="141"/>
      <w:r/>
      <w:bookmarkEnd w:id="142"/>
      <w:r/>
      <w:bookmarkEnd w:id="143"/>
      <w:r/>
      <w:bookmarkEnd w:id="144"/>
      <w:r/>
      <w:bookmarkEnd w:id="145"/>
      <w:r/>
      <w:r/>
    </w:p>
    <w:p>
      <w:pPr>
        <w:pStyle w:val="1020"/>
        <w:jc w:val="center"/>
        <w:rPr>
          <w:rFonts w:hint="eastAsia" w:asciiTheme="minorEastAsia" w:hAnsiTheme="minorEastAsia" w:eastAsiaTheme="minorEastAsia" w:cstheme="minorEastAsia"/>
          <w:sz w:val="56"/>
          <w:szCs w:val="100"/>
          <w:lang w:val="zh-CN"/>
        </w:rPr>
      </w:pPr>
      <w:r>
        <w:rPr>
          <w:rFonts w:hint="eastAsia" w:asciiTheme="minorEastAsia" w:hAnsiTheme="minorEastAsia" w:eastAsiaTheme="minorEastAsia" w:cstheme="minorEastAsia"/>
          <w:sz w:val="56"/>
          <w:szCs w:val="100"/>
          <w:lang w:val="zh-CN"/>
        </w:rPr>
      </w:r>
      <w:r/>
    </w:p>
    <w:p>
      <w:pPr>
        <w:pStyle w:val="1020"/>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u w:val="single"/>
          <w:lang w:val="zh-CN"/>
        </w:rPr>
        <w:t xml:space="preserve">南京市六合区沿河路166号办公区食堂食材采购及配送项目</w:t>
      </w:r>
      <w:r/>
    </w:p>
    <w:p>
      <w:pPr>
        <w:pStyle w:val="1020"/>
        <w:ind w:firstLine="3481"/>
        <w:rPr>
          <w:rFonts w:hint="eastAsia" w:asciiTheme="minorEastAsia" w:hAnsiTheme="minorEastAsia" w:eastAsiaTheme="minorEastAsia" w:cstheme="minorEastAsia"/>
          <w:b/>
          <w:bCs/>
          <w:sz w:val="44"/>
        </w:rPr>
      </w:pPr>
      <w:r>
        <w:rPr>
          <w:rFonts w:hint="eastAsia" w:asciiTheme="minorEastAsia" w:hAnsiTheme="minorEastAsia" w:eastAsiaTheme="minorEastAsia" w:cstheme="minorEastAsia"/>
          <w:b/>
          <w:bCs/>
          <w:sz w:val="44"/>
        </w:rPr>
      </w:r>
      <w:r/>
    </w:p>
    <w:p>
      <w:pPr>
        <w:pStyle w:val="1020"/>
        <w:ind w:firstLine="3481"/>
        <w:rPr>
          <w:rFonts w:hint="eastAsia" w:asciiTheme="minorEastAsia" w:hAnsiTheme="minorEastAsia" w:eastAsiaTheme="minorEastAsia" w:cstheme="minorEastAsia"/>
          <w:b/>
          <w:bCs/>
          <w:sz w:val="44"/>
        </w:rPr>
      </w:pPr>
      <w:r>
        <w:rPr>
          <w:rFonts w:hint="eastAsia" w:asciiTheme="minorEastAsia" w:hAnsiTheme="minorEastAsia" w:eastAsiaTheme="minorEastAsia" w:cstheme="minorEastAsia"/>
          <w:b/>
          <w:bCs/>
          <w:sz w:val="44"/>
        </w:rPr>
      </w:r>
      <w:r/>
    </w:p>
    <w:p>
      <w:pPr>
        <w:pStyle w:val="1020"/>
        <w:ind w:firstLine="1807"/>
        <w:spacing w:line="360" w:lineRule="auto"/>
        <w:rPr>
          <w:rFonts w:hint="eastAsia" w:asciiTheme="minorEastAsia" w:hAnsiTheme="minorEastAsia" w:eastAsiaTheme="minorEastAsia" w:cstheme="minorEastAsia"/>
          <w:b/>
          <w:color w:val="auto"/>
          <w:sz w:val="36"/>
        </w:rPr>
      </w:pPr>
      <w:r>
        <w:rPr>
          <w:rFonts w:hint="eastAsia" w:asciiTheme="minorEastAsia" w:hAnsiTheme="minorEastAsia" w:eastAsiaTheme="minorEastAsia" w:cstheme="minorEastAsia"/>
          <w:b/>
          <w:color w:val="auto"/>
          <w:sz w:val="36"/>
        </w:rPr>
        <w:t xml:space="preserve">项</w:t>
      </w:r>
      <w:bookmarkStart w:id="146" w:name="_Toc3854"/>
      <w:r>
        <w:rPr>
          <w:rFonts w:hint="eastAsia" w:asciiTheme="minorEastAsia" w:hAnsiTheme="minorEastAsia" w:eastAsiaTheme="minorEastAsia" w:cstheme="minorEastAsia"/>
          <w:b/>
          <w:color w:val="auto"/>
          <w:sz w:val="36"/>
        </w:rPr>
        <w:t xml:space="preserve"> 目 名 称：</w:t>
      </w:r>
      <w:r>
        <w:rPr>
          <w:rFonts w:hint="eastAsia" w:asciiTheme="minorEastAsia" w:hAnsiTheme="minorEastAsia" w:eastAsiaTheme="minorEastAsia" w:cstheme="minorEastAsia"/>
          <w:b/>
          <w:color w:val="auto"/>
          <w:sz w:val="36"/>
          <w:u w:val="single"/>
        </w:rPr>
        <w:t xml:space="preserve">                   </w:t>
      </w:r>
      <w:r/>
    </w:p>
    <w:p>
      <w:pPr>
        <w:pStyle w:val="1020"/>
        <w:rPr>
          <w:rFonts w:hint="eastAsia" w:asciiTheme="minorEastAsia" w:hAnsiTheme="minorEastAsia" w:eastAsiaTheme="minorEastAsia" w:cstheme="minorEastAsia"/>
          <w:b/>
          <w:bCs/>
          <w:sz w:val="32"/>
        </w:rPr>
        <w:framePr w:w="23" w:h="622" w:hSpace="90" w:wrap="around" w:vAnchor="text" w:hAnchor="margin" w:x="9717" w:y="321" w:hRule="exact"/>
      </w:pPr>
      <w:r>
        <w:rPr>
          <w:rFonts w:hint="eastAsia" w:asciiTheme="minorEastAsia" w:hAnsiTheme="minorEastAsia" w:eastAsiaTheme="minorEastAsia" w:cstheme="minorEastAsia"/>
          <w:b/>
          <w:bCs/>
          <w:sz w:val="32"/>
        </w:rPr>
      </w:r>
      <w:r/>
    </w:p>
    <w:p>
      <w:pPr>
        <w:pStyle w:val="1020"/>
        <w:ind w:firstLine="1807"/>
        <w:spacing w:line="360" w:lineRule="auto"/>
        <w:rPr>
          <w:rFonts w:hint="eastAsia" w:asciiTheme="minorEastAsia" w:hAnsiTheme="minorEastAsia" w:eastAsiaTheme="minorEastAsia" w:cstheme="minorEastAsia"/>
          <w:b/>
          <w:color w:val="auto"/>
          <w:sz w:val="36"/>
          <w:u w:val="single"/>
        </w:rPr>
      </w:pPr>
      <w:r>
        <w:rPr>
          <w:rFonts w:hint="eastAsia" w:asciiTheme="minorEastAsia" w:hAnsiTheme="minorEastAsia" w:eastAsiaTheme="minorEastAsia" w:cstheme="minorEastAsia"/>
          <w:b/>
          <w:color w:val="auto"/>
          <w:sz w:val="36"/>
        </w:rPr>
        <w:t xml:space="preserve">项 目 编 号：</w:t>
      </w:r>
      <w:r>
        <w:rPr>
          <w:rFonts w:hint="eastAsia" w:asciiTheme="minorEastAsia" w:hAnsiTheme="minorEastAsia" w:eastAsiaTheme="minorEastAsia" w:cstheme="minorEastAsia"/>
          <w:b/>
          <w:color w:val="auto"/>
          <w:sz w:val="36"/>
          <w:u w:val="single"/>
        </w:rPr>
        <w:t xml:space="preserve">                   </w:t>
      </w:r>
      <w:r/>
    </w:p>
    <w:p>
      <w:pPr>
        <w:pStyle w:val="1020"/>
        <w:ind w:firstLine="723"/>
        <w:spacing w:line="360" w:lineRule="auto"/>
        <w:rPr>
          <w:rFonts w:hint="eastAsia" w:asciiTheme="minorEastAsia" w:hAnsiTheme="minorEastAsia" w:eastAsiaTheme="minorEastAsia" w:cstheme="minorEastAsia"/>
          <w:b/>
          <w:color w:val="auto"/>
          <w:sz w:val="36"/>
          <w:u w:val="single"/>
        </w:rPr>
      </w:pPr>
      <w:r>
        <w:rPr>
          <w:rFonts w:hint="eastAsia" w:asciiTheme="minorEastAsia" w:hAnsiTheme="minorEastAsia" w:eastAsiaTheme="minorEastAsia" w:cstheme="minorEastAsia"/>
          <w:b/>
          <w:color w:val="auto"/>
          <w:sz w:val="36"/>
        </w:rPr>
        <w:t xml:space="preserve">      投标人名称 ：</w:t>
      </w:r>
      <w:r>
        <w:rPr>
          <w:rFonts w:hint="eastAsia" w:asciiTheme="minorEastAsia" w:hAnsiTheme="minorEastAsia" w:eastAsiaTheme="minorEastAsia" w:cstheme="minorEastAsia"/>
          <w:b/>
          <w:color w:val="auto"/>
          <w:sz w:val="36"/>
          <w:u w:val="single"/>
        </w:rPr>
        <w:t xml:space="preserve">（加盖CA电子公章）</w:t>
      </w:r>
      <w:r/>
    </w:p>
    <w:p>
      <w:pPr>
        <w:pStyle w:val="1020"/>
        <w:ind w:firstLine="723"/>
        <w:spacing w:line="360" w:lineRule="auto"/>
        <w:rPr>
          <w:rFonts w:hint="eastAsia" w:asciiTheme="minorEastAsia" w:hAnsiTheme="minorEastAsia" w:eastAsiaTheme="minorEastAsia" w:cstheme="minorEastAsia"/>
          <w:b/>
          <w:color w:val="auto"/>
          <w:sz w:val="36"/>
          <w:u w:val="single"/>
        </w:rPr>
      </w:pPr>
      <w:r>
        <w:rPr>
          <w:rFonts w:hint="eastAsia" w:asciiTheme="minorEastAsia" w:hAnsiTheme="minorEastAsia" w:eastAsiaTheme="minorEastAsia" w:cstheme="minorEastAsia"/>
          <w:b/>
          <w:color w:val="auto"/>
          <w:sz w:val="36"/>
        </w:rPr>
        <w:t xml:space="preserve">      日      期 ：</w:t>
      </w:r>
      <w:r>
        <w:rPr>
          <w:rFonts w:hint="eastAsia" w:asciiTheme="minorEastAsia" w:hAnsiTheme="minorEastAsia" w:eastAsiaTheme="minorEastAsia" w:cstheme="minorEastAsia"/>
          <w:b/>
          <w:color w:val="auto"/>
          <w:sz w:val="36"/>
          <w:u w:val="single"/>
        </w:rPr>
        <w:t xml:space="preserve">                   </w:t>
      </w:r>
      <w:r/>
    </w:p>
    <w:p>
      <w:pPr>
        <w:pStyle w:val="1020"/>
        <w:ind w:firstLine="48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1033"/>
        <w:rPr>
          <w:rFonts w:hint="eastAsia" w:asciiTheme="minorEastAsia" w:hAnsiTheme="minorEastAsia" w:eastAsiaTheme="minorEastAsia" w:cstheme="minorEastAsia"/>
          <w:lang w:val="en-US" w:eastAsia="zh-CN"/>
        </w:rPr>
      </w:pPr>
      <w:r/>
      <w:bookmarkStart w:id="147" w:name="_Toc4387"/>
      <w:r/>
      <w:bookmarkEnd w:id="147"/>
      <w:r>
        <w:rPr>
          <w:rFonts w:hint="eastAsia" w:asciiTheme="minorEastAsia" w:hAnsiTheme="minorEastAsia" w:eastAsiaTheme="minorEastAsia" w:cstheme="minorEastAsia"/>
        </w:rPr>
        <w:br w:type="page" w:clear="all"/>
      </w:r>
      <w:r/>
    </w:p>
    <w:p>
      <w:pPr>
        <w:pStyle w:val="1020"/>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投标文件目录</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一、供应商信用承诺函</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二、满足特定资格要求的证明文件（如果设置特定资格要求，则需要提供）</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三、法人授权书</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四、投标函</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五、开标一览表</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六、中小企业声明函</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七、残疾人福利性单位声明函</w:t>
      </w:r>
      <w:r/>
    </w:p>
    <w:p>
      <w:pPr>
        <w:pStyle w:val="102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八、</w:t>
      </w:r>
      <w:r>
        <w:rPr>
          <w:rFonts w:hint="eastAsia" w:asciiTheme="minorEastAsia" w:hAnsiTheme="minorEastAsia" w:eastAsiaTheme="minorEastAsia" w:cstheme="minorEastAsia"/>
          <w:color w:val="auto"/>
          <w:sz w:val="24"/>
          <w:szCs w:val="24"/>
        </w:rPr>
        <w:t xml:space="preserve">实质性要求响应及偏离表</w:t>
      </w:r>
      <w:r/>
    </w:p>
    <w:p>
      <w:pPr>
        <w:pStyle w:val="102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102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102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1037"/>
        <w:ind w:left="1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1037"/>
        <w:ind w:left="1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1037"/>
        <w:ind w:left="1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1037"/>
        <w:ind w:left="1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1037"/>
        <w:ind w:left="1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1037"/>
        <w:ind w:left="1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1037"/>
        <w:ind w:left="1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1037"/>
        <w:ind w:left="120"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1037"/>
        <w:ind w:left="120"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1037"/>
        <w:ind w:left="120"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1037"/>
        <w:ind w:left="120"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1037"/>
        <w:ind w:left="120"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1020"/>
        <w:ind w:left="0" w:firstLine="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1020"/>
        <w:numPr>
          <w:ilvl w:val="0"/>
          <w:numId w:val="0"/>
        </w:numPr>
        <w:jc w:val="left"/>
        <w:spacing w:line="240" w:lineRule="auto"/>
        <w:widowControl/>
        <w:rPr>
          <w:rFonts w:hint="eastAsia" w:asciiTheme="minorEastAsia" w:hAnsiTheme="minorEastAsia" w:eastAsiaTheme="minorEastAsia" w:cstheme="minorEastAsia"/>
          <w:i/>
          <w:color w:val="auto"/>
          <w:sz w:val="32"/>
          <w:szCs w:val="32"/>
          <w:u w:val="single"/>
          <w:lang w:val="en-US" w:eastAsia="zh-CN" w:bidi="hi-IN"/>
        </w:rPr>
        <w:outlineLvl w:val="1"/>
      </w:pPr>
      <w:r>
        <w:rPr>
          <w:rFonts w:hint="eastAsia" w:asciiTheme="minorEastAsia" w:hAnsiTheme="minorEastAsia" w:eastAsiaTheme="minorEastAsia" w:cstheme="minorEastAsia"/>
          <w:i/>
          <w:color w:val="auto"/>
          <w:sz w:val="32"/>
          <w:szCs w:val="32"/>
          <w:u w:val="single"/>
          <w:lang w:val="en-US" w:eastAsia="zh-CN" w:bidi="hi-IN"/>
        </w:rPr>
        <w:t xml:space="preserve">一、供应商信用承诺函</w:t>
      </w:r>
      <w:r/>
    </w:p>
    <w:p>
      <w:pPr>
        <w:pStyle w:val="1020"/>
        <w:ind w:firstLine="480"/>
        <w:jc w:val="cente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供应商信用承诺函</w:t>
      </w:r>
      <w:r/>
    </w:p>
    <w:p>
      <w:pPr>
        <w:pStyle w:val="1020"/>
        <w:ind w:firstLine="48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南京市公共资源交易中心六合分中心：</w:t>
      </w:r>
      <w:r/>
    </w:p>
    <w:p>
      <w:pPr>
        <w:pStyle w:val="102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我公司</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（供应商名称）郑重承诺：</w:t>
      </w:r>
      <w:r/>
    </w:p>
    <w:p>
      <w:pPr>
        <w:pStyle w:val="102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我公司符合下列要求：</w:t>
      </w:r>
      <w:r/>
    </w:p>
    <w:p>
      <w:pPr>
        <w:pStyle w:val="102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具有独立承担民事责任的能力；</w:t>
      </w:r>
      <w:r/>
    </w:p>
    <w:p>
      <w:pPr>
        <w:pStyle w:val="102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具有良好的商业信誉和健全的财务会计制度；</w:t>
      </w:r>
      <w:r/>
    </w:p>
    <w:p>
      <w:pPr>
        <w:pStyle w:val="102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具有履行合同所必需的设备和专业技术能力；</w:t>
      </w:r>
      <w:r/>
    </w:p>
    <w:p>
      <w:pPr>
        <w:pStyle w:val="102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有依法缴纳税收和社会保障资金的良好记录；</w:t>
      </w:r>
      <w:r/>
    </w:p>
    <w:p>
      <w:pPr>
        <w:pStyle w:val="102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参加政府采购活动前三年内，在经营活动中没有重大违法记录。</w:t>
      </w:r>
      <w:r/>
    </w:p>
    <w:p>
      <w:pPr>
        <w:pStyle w:val="102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如果我公司中标（成交），将在中标（成交）结果公示后七个工作日内向采购人提供下列材料核验：</w:t>
      </w:r>
      <w:r/>
    </w:p>
    <w:p>
      <w:pPr>
        <w:pStyle w:val="102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（1）营业执照副本或事业单位法人登记证书；</w:t>
      </w:r>
      <w:r/>
    </w:p>
    <w:p>
      <w:pPr>
        <w:pStyle w:val="102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102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（3）履行合同所必需的设备和专业技术能力证明材料；</w:t>
      </w:r>
      <w:r/>
    </w:p>
    <w:p>
      <w:pPr>
        <w:pStyle w:val="102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（4）参加本次政府采购活动前一年内至少一个月依法缴纳税收和社会保障资金的证明材料。</w:t>
      </w:r>
      <w:r/>
    </w:p>
    <w:p>
      <w:pPr>
        <w:pStyle w:val="102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本公司对上述承诺内容的真实性、合法性、有效性负责，如有虚假，将依法承担相应责任。</w:t>
      </w:r>
      <w:r/>
    </w:p>
    <w:p>
      <w:pPr>
        <w:pStyle w:val="1020"/>
        <w:ind w:right="180"/>
        <w:jc w:val="right"/>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供应商名称：（加盖CA电子公章）</w:t>
      </w:r>
      <w:r/>
    </w:p>
    <w:p>
      <w:pPr>
        <w:pStyle w:val="1020"/>
        <w:jc w:val="right"/>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  期：</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年___月___日</w:t>
      </w:r>
      <w:r/>
    </w:p>
    <w:p>
      <w:pPr>
        <w:pStyle w:val="1020"/>
        <w:ind w:firstLine="482"/>
        <w:keepLines w:val="0"/>
        <w:keepNext w:val="0"/>
        <w:pageBreakBefore w:val="0"/>
        <w:spacing w:line="500" w:lineRule="exact"/>
        <w:widowControl w:val="off"/>
        <w:rPr>
          <w:rFonts w:hint="eastAsia" w:asciiTheme="minorEastAsia" w:hAnsiTheme="minorEastAsia" w:eastAsiaTheme="minorEastAsia" w:cstheme="minorEastAsia"/>
          <w:b/>
          <w:bCs/>
          <w:i w:val="0"/>
          <w:iCs w:val="0"/>
          <w:color w:val="auto"/>
          <w:sz w:val="24"/>
          <w:szCs w:val="24"/>
        </w:rPr>
      </w:pPr>
      <w:r>
        <w:rPr>
          <w:rFonts w:hint="eastAsia" w:asciiTheme="minorEastAsia" w:hAnsiTheme="minorEastAsia" w:eastAsiaTheme="minorEastAsia" w:cstheme="minorEastAsia"/>
          <w:b/>
          <w:bCs/>
          <w:color w:val="auto"/>
          <w:sz w:val="24"/>
          <w:szCs w:val="24"/>
        </w:rPr>
        <w:t xml:space="preserve">说明：执行南京市财政局《关于在政府采购活动中推行信用承诺制的通知》（宁财购通</w:t>
      </w:r>
      <w:r>
        <w:rPr>
          <w:rFonts w:hint="eastAsia" w:asciiTheme="minorEastAsia" w:hAnsiTheme="minorEastAsia" w:eastAsiaTheme="minorEastAsia" w:cstheme="minorEastAsia"/>
          <w:b/>
          <w:bCs/>
          <w:i w:val="0"/>
          <w:iCs w:val="0"/>
          <w:color w:val="auto"/>
          <w:sz w:val="24"/>
          <w:szCs w:val="24"/>
          <w:lang w:val="zh-CN"/>
        </w:rPr>
        <w:t xml:space="preserve">〔202</w:t>
      </w:r>
      <w:r>
        <w:rPr>
          <w:rFonts w:hint="eastAsia" w:asciiTheme="minorEastAsia" w:hAnsiTheme="minorEastAsia" w:eastAsiaTheme="minorEastAsia" w:cstheme="minorEastAsia"/>
          <w:b/>
          <w:bCs/>
          <w:i w:val="0"/>
          <w:iCs w:val="0"/>
          <w:color w:val="auto"/>
          <w:sz w:val="24"/>
          <w:szCs w:val="24"/>
        </w:rPr>
        <w:t xml:space="preserve">1</w:t>
      </w:r>
      <w:r>
        <w:rPr>
          <w:rFonts w:hint="eastAsia" w:asciiTheme="minorEastAsia" w:hAnsiTheme="minorEastAsia" w:eastAsiaTheme="minorEastAsia" w:cstheme="minorEastAsia"/>
          <w:b/>
          <w:bCs/>
          <w:i w:val="0"/>
          <w:iCs w:val="0"/>
          <w:color w:val="auto"/>
          <w:sz w:val="24"/>
          <w:szCs w:val="24"/>
          <w:lang w:val="zh-CN"/>
        </w:rPr>
        <w:t xml:space="preserve">〕5号</w:t>
      </w:r>
      <w:r>
        <w:rPr>
          <w:rFonts w:hint="eastAsia" w:asciiTheme="minorEastAsia" w:hAnsiTheme="minorEastAsia" w:eastAsiaTheme="minorEastAsia" w:cstheme="minorEastAsia"/>
          <w:b/>
          <w:bCs/>
          <w:i w:val="0"/>
          <w:iCs w:val="0"/>
          <w:color w:val="auto"/>
          <w:sz w:val="24"/>
          <w:szCs w:val="24"/>
        </w:rPr>
        <w:t xml:space="preserve">）要求。</w:t>
      </w:r>
      <w:r/>
    </w:p>
    <w:p>
      <w:pPr>
        <w:pStyle w:val="1020"/>
        <w:ind w:firstLine="48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1020"/>
        <w:numPr>
          <w:ilvl w:val="0"/>
          <w:numId w:val="0"/>
        </w:numPr>
        <w:jc w:val="left"/>
        <w:spacing w:line="240" w:lineRule="auto"/>
        <w:widowControl/>
        <w:rPr>
          <w:rFonts w:hint="eastAsia" w:asciiTheme="minorEastAsia" w:hAnsiTheme="minorEastAsia" w:eastAsiaTheme="minorEastAsia" w:cstheme="minorEastAsia"/>
          <w:i/>
          <w:color w:val="auto"/>
          <w:sz w:val="32"/>
          <w:szCs w:val="32"/>
          <w:u w:val="single"/>
          <w:lang w:val="en-US" w:eastAsia="zh-CN" w:bidi="hi-IN"/>
        </w:rPr>
        <w:outlineLvl w:val="1"/>
      </w:pPr>
      <w:r>
        <w:rPr>
          <w:rFonts w:hint="eastAsia" w:asciiTheme="minorEastAsia" w:hAnsiTheme="minorEastAsia" w:eastAsiaTheme="minorEastAsia" w:cstheme="minorEastAsia"/>
          <w:i/>
          <w:color w:val="auto"/>
          <w:sz w:val="32"/>
          <w:szCs w:val="32"/>
          <w:u w:val="single"/>
          <w:lang w:val="en-US" w:eastAsia="zh-CN" w:bidi="hi-IN"/>
        </w:rPr>
        <w:t xml:space="preserve">二、满足特定资格要求的证明文件</w:t>
      </w:r>
      <w:r/>
    </w:p>
    <w:p>
      <w:pPr>
        <w:pStyle w:val="1039"/>
        <w:spacing w:line="360" w:lineRule="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rPr>
        <w:t xml:space="preserve"> 如果本项目申请人的特定资格要求中要求提供的，必须提供。</w:t>
      </w:r>
      <w:r/>
    </w:p>
    <w:p>
      <w:pPr>
        <w:pStyle w:val="1020"/>
        <w:ind w:firstLine="480"/>
        <w:spacing w:line="360" w:lineRule="auto"/>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i/>
          <w:color w:val="auto"/>
          <w:sz w:val="24"/>
          <w:szCs w:val="24"/>
          <w:u w:val="single"/>
        </w:rPr>
      </w:r>
      <w:r/>
    </w:p>
    <w:p>
      <w:pPr>
        <w:pStyle w:val="104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1020"/>
        <w:spacing w:line="360" w:lineRule="auto"/>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i/>
          <w:color w:val="auto"/>
          <w:sz w:val="24"/>
          <w:szCs w:val="24"/>
          <w:u w:val="single"/>
        </w:rPr>
      </w:r>
      <w:r/>
    </w:p>
    <w:p>
      <w:pPr>
        <w:pStyle w:val="1020"/>
        <w:ind w:firstLine="480"/>
        <w:spacing w:line="360" w:lineRule="auto"/>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i/>
          <w:color w:val="auto"/>
          <w:sz w:val="24"/>
          <w:szCs w:val="24"/>
          <w:u w:val="single"/>
        </w:rPr>
      </w:r>
      <w:r/>
    </w:p>
    <w:p>
      <w:pPr>
        <w:pStyle w:val="1020"/>
        <w:numPr>
          <w:ilvl w:val="0"/>
          <w:numId w:val="0"/>
        </w:numPr>
        <w:jc w:val="left"/>
        <w:spacing w:line="240" w:lineRule="auto"/>
        <w:widowControl/>
        <w:rPr>
          <w:rFonts w:hint="eastAsia" w:asciiTheme="minorEastAsia" w:hAnsiTheme="minorEastAsia" w:eastAsiaTheme="minorEastAsia" w:cstheme="minorEastAsia"/>
          <w:i/>
          <w:color w:val="auto"/>
          <w:sz w:val="32"/>
          <w:szCs w:val="32"/>
          <w:u w:val="single"/>
          <w:lang w:val="en-US" w:eastAsia="zh-CN" w:bidi="hi-IN"/>
        </w:rPr>
        <w:outlineLvl w:val="1"/>
      </w:pPr>
      <w:r>
        <w:rPr>
          <w:rFonts w:hint="eastAsia" w:asciiTheme="minorEastAsia" w:hAnsiTheme="minorEastAsia" w:eastAsiaTheme="minorEastAsia" w:cstheme="minorEastAsia"/>
          <w:i/>
          <w:color w:val="auto"/>
          <w:sz w:val="32"/>
          <w:szCs w:val="32"/>
          <w:u w:val="single"/>
          <w:lang w:val="en-US" w:eastAsia="zh-CN" w:bidi="hi-IN"/>
        </w:rPr>
        <w:t xml:space="preserve">三、法人授权书</w:t>
      </w:r>
      <w:r/>
    </w:p>
    <w:p>
      <w:pPr>
        <w:pStyle w:val="1020"/>
        <w:ind w:firstLine="482"/>
        <w:jc w:val="cente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zh-CN"/>
        </w:rPr>
        <w:t xml:space="preserve">法人授权书</w:t>
      </w:r>
      <w:r/>
    </w:p>
    <w:p>
      <w:pPr>
        <w:pStyle w:val="1039"/>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本授权书声明：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（投标人名称）授权</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（被授权人的姓名）为我方就</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号项目采购活动的合法代理人，以本单位名义全权处理一切与该项目采购有关的事务。</w:t>
      </w:r>
      <w:r/>
    </w:p>
    <w:p>
      <w:pPr>
        <w:pStyle w:val="1039"/>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本授权书于______年____月____日起生效，特此声明。</w:t>
      </w:r>
      <w:r/>
    </w:p>
    <w:p>
      <w:pPr>
        <w:pStyle w:val="1039"/>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被授权人身份证号码：</w:t>
      </w:r>
      <w:r>
        <w:rPr>
          <w:rFonts w:hint="eastAsia" w:asciiTheme="minorEastAsia" w:hAnsiTheme="minorEastAsia" w:eastAsiaTheme="minorEastAsia" w:cstheme="minorEastAsia"/>
          <w:color w:val="auto"/>
          <w:sz w:val="24"/>
          <w:szCs w:val="24"/>
          <w:u w:val="single"/>
        </w:rPr>
        <w:t xml:space="preserve">                           </w:t>
      </w:r>
      <w:r/>
    </w:p>
    <w:p>
      <w:pPr>
        <w:pStyle w:val="1039"/>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被授权人联系电话：（手机）</w:t>
      </w:r>
      <w:r>
        <w:rPr>
          <w:rFonts w:hint="eastAsia" w:asciiTheme="minorEastAsia" w:hAnsiTheme="minorEastAsia" w:eastAsiaTheme="minorEastAsia" w:cstheme="minorEastAsia"/>
          <w:color w:val="auto"/>
          <w:sz w:val="24"/>
          <w:szCs w:val="24"/>
          <w:u w:val="single"/>
        </w:rPr>
        <w:t xml:space="preserve">                     </w:t>
      </w:r>
      <w:r/>
    </w:p>
    <w:p>
      <w:pPr>
        <w:pStyle w:val="1039"/>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授权单位名称：</w:t>
      </w:r>
      <w:r>
        <w:rPr>
          <w:rFonts w:hint="eastAsia" w:asciiTheme="minorEastAsia" w:hAnsiTheme="minorEastAsia" w:eastAsiaTheme="minorEastAsia" w:cstheme="minorEastAsia"/>
          <w:color w:val="auto"/>
          <w:sz w:val="24"/>
          <w:szCs w:val="24"/>
          <w:u w:val="single"/>
        </w:rPr>
        <w:t xml:space="preserve">（加盖CA电子公章）              </w:t>
      </w:r>
      <w:r/>
    </w:p>
    <w:p>
      <w:pPr>
        <w:pStyle w:val="1039"/>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单位地址：</w:t>
      </w:r>
      <w:r>
        <w:rPr>
          <w:rFonts w:hint="eastAsia" w:asciiTheme="minorEastAsia" w:hAnsiTheme="minorEastAsia" w:eastAsiaTheme="minorEastAsia" w:cstheme="minorEastAsia"/>
          <w:color w:val="auto"/>
          <w:sz w:val="24"/>
          <w:szCs w:val="24"/>
          <w:u w:val="single"/>
        </w:rPr>
        <w:t xml:space="preserve">                                     </w:t>
      </w:r>
      <w:r/>
    </w:p>
    <w:p>
      <w:pPr>
        <w:pStyle w:val="1039"/>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    期：</w:t>
      </w:r>
      <w:bookmarkStart w:id="148" w:name="_Hlt26955070"/>
      <w:r/>
      <w:bookmarkEnd w:id="148"/>
      <w:r/>
      <w:bookmarkStart w:id="149" w:name="_Hlt26671380"/>
      <w:r/>
      <w:bookmarkEnd w:id="149"/>
      <w:r/>
      <w:bookmarkStart w:id="150" w:name="_格式3__银行出具的资信证明"/>
      <w:r/>
      <w:bookmarkEnd w:id="150"/>
      <w:r>
        <w:rPr>
          <w:rFonts w:hint="eastAsia" w:asciiTheme="minorEastAsia" w:hAnsiTheme="minorEastAsia" w:eastAsiaTheme="minorEastAsia" w:cstheme="minorEastAsia"/>
          <w:color w:val="auto"/>
          <w:sz w:val="24"/>
          <w:szCs w:val="24"/>
          <w:u w:val="single"/>
        </w:rPr>
        <w:t xml:space="preserve">                                     </w:t>
      </w:r>
      <w:r/>
    </w:p>
    <w:p>
      <w:pPr>
        <w:pStyle w:val="1027"/>
        <w:spacing w:line="360" w:lineRule="auto"/>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i/>
          <w:color w:val="auto"/>
          <w:sz w:val="24"/>
          <w:szCs w:val="24"/>
          <w:u w:val="single"/>
        </w:rPr>
      </w:r>
      <w:r/>
    </w:p>
    <w:p>
      <w:pPr>
        <w:pStyle w:val="1027"/>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1020"/>
        <w:ind w:firstLine="480"/>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r>
      <w:r/>
    </w:p>
    <w:p>
      <w:pPr>
        <w:pStyle w:val="10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019"/>
        <w:ind w:left="1260"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020"/>
        <w:ind w:firstLine="480"/>
        <w:rPr>
          <w:rFonts w:hint="eastAsia" w:asciiTheme="minorEastAsia" w:hAnsiTheme="minorEastAsia" w:eastAsiaTheme="minorEastAsia" w:cstheme="minorEastAsia"/>
          <w:lang w:val="en-US" w:eastAsia="zh-CN"/>
        </w:rPr>
      </w:pPr>
      <w:r/>
      <w:bookmarkStart w:id="151" w:name="_Toc95824780"/>
      <w:r/>
      <w:bookmarkEnd w:id="151"/>
      <w:r/>
      <w:r/>
    </w:p>
    <w:p>
      <w:pPr>
        <w:pStyle w:val="1020"/>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End w:id="146"/>
      <w:r/>
      <w:r/>
    </w:p>
    <w:p>
      <w:pPr>
        <w:pStyle w:val="1020"/>
        <w:numPr>
          <w:ilvl w:val="0"/>
          <w:numId w:val="0"/>
        </w:numPr>
        <w:jc w:val="left"/>
        <w:spacing w:line="240" w:lineRule="auto"/>
        <w:widowControl/>
        <w:rPr>
          <w:rFonts w:hint="eastAsia" w:asciiTheme="minorEastAsia" w:hAnsiTheme="minorEastAsia" w:eastAsiaTheme="minorEastAsia" w:cstheme="minorEastAsia"/>
          <w:i/>
          <w:color w:val="auto"/>
          <w:sz w:val="32"/>
          <w:szCs w:val="32"/>
          <w:u w:val="single"/>
          <w:lang w:val="en-US" w:eastAsia="zh-CN" w:bidi="hi-IN"/>
        </w:rPr>
        <w:outlineLvl w:val="1"/>
      </w:pPr>
      <w:r>
        <w:rPr>
          <w:rFonts w:hint="eastAsia" w:asciiTheme="minorEastAsia" w:hAnsiTheme="minorEastAsia" w:eastAsiaTheme="minorEastAsia" w:cstheme="minorEastAsia"/>
          <w:i/>
          <w:iCs/>
          <w:lang w:val="en-US" w:eastAsia="zh-CN"/>
        </w:rPr>
        <w:t xml:space="preserve"> </w:t>
      </w:r>
      <w:r>
        <w:rPr>
          <w:rFonts w:hint="eastAsia" w:asciiTheme="minorEastAsia" w:hAnsiTheme="minorEastAsia" w:eastAsiaTheme="minorEastAsia" w:cstheme="minorEastAsia"/>
          <w:i/>
          <w:color w:val="auto"/>
          <w:sz w:val="32"/>
          <w:szCs w:val="32"/>
          <w:u w:val="single"/>
          <w:lang w:val="en-US" w:eastAsia="zh-CN" w:bidi="hi-IN"/>
        </w:rPr>
        <w:t xml:space="preserve"> 四、投标函</w:t>
      </w:r>
      <w:r/>
    </w:p>
    <w:p>
      <w:pPr>
        <w:pStyle w:val="1020"/>
        <w:ind w:firstLine="482"/>
        <w:jc w:val="center"/>
        <w:keepLines w:val="0"/>
        <w:keepNext w:val="0"/>
        <w:pageBreakBefore w:val="0"/>
        <w:spacing w:line="500" w:lineRule="exact"/>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投标函</w:t>
      </w:r>
      <w:r/>
    </w:p>
    <w:p>
      <w:pPr>
        <w:pStyle w:val="1041"/>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致：南京市公共资源交易中心六合分中心</w:t>
      </w:r>
      <w:r/>
    </w:p>
    <w:p>
      <w:pPr>
        <w:pStyle w:val="1041"/>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根据贵方的</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lang w:val="zh-CN"/>
        </w:rPr>
        <w:t xml:space="preserve">（项目编号）</w:t>
      </w:r>
      <w:r>
        <w:rPr>
          <w:rFonts w:hint="eastAsia" w:asciiTheme="minorEastAsia" w:hAnsiTheme="minorEastAsia" w:eastAsiaTheme="minorEastAsia" w:cstheme="minorEastAsia"/>
          <w:color w:val="auto"/>
          <w:sz w:val="24"/>
          <w:szCs w:val="24"/>
        </w:rPr>
        <w:t xml:space="preserve">招标文件，正式授权下述签字人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姓名</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（投标人的名称），全权处理本次项目投标的有关事宜。</w:t>
      </w:r>
      <w:r/>
    </w:p>
    <w:p>
      <w:pPr>
        <w:pStyle w:val="1041"/>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据此函，</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签字人兹宣布同意如下：</w:t>
      </w:r>
      <w:r/>
    </w:p>
    <w:p>
      <w:pPr>
        <w:pStyle w:val="1041"/>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1.按招标文件规定的各项要求，向买方提供所需服务（包含与服务相关的货物）。</w:t>
      </w:r>
      <w:r/>
    </w:p>
    <w:p>
      <w:pPr>
        <w:pStyle w:val="1041"/>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2.我们完全理解贵方不一定将合同授予最低报价的投标人。</w:t>
      </w:r>
      <w:r/>
    </w:p>
    <w:p>
      <w:pPr>
        <w:pStyle w:val="1041"/>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3.我们已详细审核全部招标文件及其有效补充文件，我们知道必须放弃提出含糊不清或误解问题的权利。</w:t>
      </w:r>
      <w:r/>
    </w:p>
    <w:p>
      <w:pPr>
        <w:pStyle w:val="1041"/>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4.我们同意从规定的开标日期起遵循本投标文件，并在规定的投标有效期期满之前均具有约束力。</w:t>
      </w:r>
      <w:r/>
    </w:p>
    <w:p>
      <w:pPr>
        <w:pStyle w:val="1041"/>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5.同意向贵方提供贵方可能另外要求的与投标有关的任何证据或资料，并保证我方已提供和将要提供的文件是真实的、准确的。</w:t>
      </w:r>
      <w:r/>
    </w:p>
    <w:p>
      <w:pPr>
        <w:pStyle w:val="1041"/>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6.一旦我方中标，我方将根据招标文件的规定，严格履行合同的责任和义务,并保证在招标文件规定的时间完成项目，交付买方验收、使用。</w:t>
      </w:r>
      <w:r/>
    </w:p>
    <w:p>
      <w:pPr>
        <w:pStyle w:val="102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7.我方为：</w:t>
      </w:r>
      <w:r>
        <w:rPr>
          <w:rFonts w:hint="eastAsia" w:asciiTheme="minorEastAsia" w:hAnsiTheme="minorEastAsia" w:eastAsiaTheme="minorEastAsia" w:cstheme="minorEastAsia"/>
          <w:color w:val="auto"/>
          <w:sz w:val="24"/>
          <w:szCs w:val="24"/>
          <w:lang w:val="zh-CN"/>
        </w:rPr>
        <w:t xml:space="preserve">£</w:t>
      </w:r>
      <w:r>
        <w:rPr>
          <w:rFonts w:hint="eastAsia" w:asciiTheme="minorEastAsia" w:hAnsiTheme="minorEastAsia" w:eastAsiaTheme="minorEastAsia" w:cstheme="minorEastAsia"/>
          <w:color w:val="auto"/>
          <w:sz w:val="24"/>
          <w:szCs w:val="24"/>
        </w:rPr>
        <w:t xml:space="preserve">大型企业 </w:t>
      </w:r>
      <w:r>
        <w:rPr>
          <w:rFonts w:hint="eastAsia" w:asciiTheme="minorEastAsia" w:hAnsiTheme="minorEastAsia" w:eastAsiaTheme="minorEastAsia" w:cstheme="minorEastAsia"/>
          <w:color w:val="auto"/>
          <w:sz w:val="24"/>
          <w:szCs w:val="24"/>
          <w:lang w:val="zh-CN"/>
        </w:rPr>
        <w:t xml:space="preserve">£</w:t>
      </w:r>
      <w:r>
        <w:rPr>
          <w:rFonts w:hint="eastAsia" w:asciiTheme="minorEastAsia" w:hAnsiTheme="minorEastAsia" w:eastAsiaTheme="minorEastAsia" w:cstheme="minorEastAsia"/>
          <w:color w:val="auto"/>
          <w:sz w:val="24"/>
          <w:szCs w:val="24"/>
        </w:rPr>
        <w:t xml:space="preserve">中型企业 </w:t>
      </w:r>
      <w:r>
        <w:rPr>
          <w:rFonts w:hint="eastAsia" w:asciiTheme="minorEastAsia" w:hAnsiTheme="minorEastAsia" w:eastAsiaTheme="minorEastAsia" w:cstheme="minorEastAsia"/>
          <w:color w:val="auto"/>
          <w:sz w:val="24"/>
          <w:szCs w:val="24"/>
          <w:lang w:val="zh-CN"/>
        </w:rPr>
        <w:t xml:space="preserve">£</w:t>
      </w:r>
      <w:r>
        <w:rPr>
          <w:rFonts w:hint="eastAsia" w:asciiTheme="minorEastAsia" w:hAnsiTheme="minorEastAsia" w:eastAsiaTheme="minorEastAsia" w:cstheme="minorEastAsia"/>
          <w:color w:val="auto"/>
          <w:sz w:val="24"/>
          <w:szCs w:val="24"/>
        </w:rPr>
        <w:t xml:space="preserve">小型企业 </w:t>
      </w:r>
      <w:r>
        <w:rPr>
          <w:rFonts w:hint="eastAsia" w:asciiTheme="minorEastAsia" w:hAnsiTheme="minorEastAsia" w:eastAsiaTheme="minorEastAsia" w:cstheme="minorEastAsia"/>
          <w:color w:val="auto"/>
          <w:sz w:val="24"/>
          <w:szCs w:val="24"/>
          <w:lang w:val="zh-CN"/>
        </w:rPr>
        <w:t xml:space="preserve">£</w:t>
      </w:r>
      <w:r>
        <w:rPr>
          <w:rFonts w:hint="eastAsia" w:asciiTheme="minorEastAsia" w:hAnsiTheme="minorEastAsia" w:eastAsiaTheme="minorEastAsia" w:cstheme="minorEastAsia"/>
          <w:color w:val="auto"/>
          <w:sz w:val="24"/>
          <w:szCs w:val="24"/>
        </w:rPr>
        <w:t xml:space="preserve">微型企业（对应</w:t>
      </w:r>
      <w:r>
        <w:rPr>
          <w:rFonts w:hint="eastAsia" w:asciiTheme="minorEastAsia" w:hAnsiTheme="minorEastAsia" w:eastAsiaTheme="minorEastAsia" w:cstheme="minorEastAsia"/>
          <w:color w:val="auto"/>
          <w:sz w:val="24"/>
          <w:szCs w:val="24"/>
          <w:lang w:val="zh-CN"/>
        </w:rPr>
        <w:t xml:space="preserve">£上打“√”</w:t>
      </w:r>
      <w:r>
        <w:rPr>
          <w:rFonts w:hint="eastAsia" w:asciiTheme="minorEastAsia" w:hAnsiTheme="minorEastAsia" w:eastAsiaTheme="minorEastAsia" w:cstheme="minorEastAsia"/>
          <w:color w:val="auto"/>
          <w:sz w:val="24"/>
          <w:szCs w:val="24"/>
        </w:rPr>
        <w:t xml:space="preserve">）</w:t>
      </w:r>
      <w:r/>
    </w:p>
    <w:p>
      <w:pPr>
        <w:pStyle w:val="1041"/>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8.与本投标有关的正式通讯地址为：</w:t>
      </w:r>
      <w:r/>
    </w:p>
    <w:p>
      <w:pPr>
        <w:pStyle w:val="1041"/>
        <w:ind w:left="420" w:firstLine="480"/>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投标人名称：</w:t>
      </w:r>
      <w:r>
        <w:rPr>
          <w:rFonts w:hint="eastAsia" w:asciiTheme="minorEastAsia" w:hAnsiTheme="minorEastAsia" w:eastAsiaTheme="minorEastAsia" w:cstheme="minorEastAsia"/>
          <w:color w:val="auto"/>
          <w:sz w:val="24"/>
          <w:szCs w:val="24"/>
          <w:u w:val="single"/>
        </w:rPr>
        <w:t xml:space="preserve">（加盖CA电子公章）     </w:t>
      </w:r>
      <w:r/>
    </w:p>
    <w:p>
      <w:pPr>
        <w:pStyle w:val="1041"/>
        <w:ind w:left="420" w:firstLine="480"/>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地      址：</w:t>
      </w:r>
      <w:r>
        <w:rPr>
          <w:rFonts w:hint="eastAsia" w:asciiTheme="minorEastAsia" w:hAnsiTheme="minorEastAsia" w:eastAsiaTheme="minorEastAsia" w:cstheme="minorEastAsia"/>
          <w:color w:val="auto"/>
          <w:sz w:val="24"/>
          <w:szCs w:val="24"/>
          <w:u w:val="single"/>
        </w:rPr>
        <w:t xml:space="preserve">                        </w:t>
      </w:r>
      <w:r/>
    </w:p>
    <w:p>
      <w:pPr>
        <w:pStyle w:val="1041"/>
        <w:ind w:left="420" w:firstLine="480"/>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邮      编：</w:t>
      </w:r>
      <w:r>
        <w:rPr>
          <w:rFonts w:hint="eastAsia" w:asciiTheme="minorEastAsia" w:hAnsiTheme="minorEastAsia" w:eastAsiaTheme="minorEastAsia" w:cstheme="minorEastAsia"/>
          <w:color w:val="auto"/>
          <w:sz w:val="24"/>
          <w:szCs w:val="24"/>
          <w:u w:val="single"/>
        </w:rPr>
        <w:t xml:space="preserve">                        </w:t>
      </w:r>
      <w:r/>
    </w:p>
    <w:p>
      <w:pPr>
        <w:pStyle w:val="1041"/>
        <w:ind w:left="420" w:firstLine="480"/>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电      话：</w:t>
      </w:r>
      <w:r>
        <w:rPr>
          <w:rFonts w:hint="eastAsia" w:asciiTheme="minorEastAsia" w:hAnsiTheme="minorEastAsia" w:eastAsiaTheme="minorEastAsia" w:cstheme="minorEastAsia"/>
          <w:color w:val="auto"/>
          <w:sz w:val="24"/>
          <w:szCs w:val="24"/>
          <w:u w:val="single"/>
        </w:rPr>
        <w:t xml:space="preserve">                        </w:t>
      </w:r>
      <w:r/>
    </w:p>
    <w:p>
      <w:pPr>
        <w:pStyle w:val="1041"/>
        <w:ind w:left="420" w:firstLine="480"/>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传      真：</w:t>
      </w:r>
      <w:r>
        <w:rPr>
          <w:rFonts w:hint="eastAsia" w:asciiTheme="minorEastAsia" w:hAnsiTheme="minorEastAsia" w:eastAsiaTheme="minorEastAsia" w:cstheme="minorEastAsia"/>
          <w:color w:val="auto"/>
          <w:sz w:val="24"/>
          <w:szCs w:val="24"/>
          <w:u w:val="single"/>
        </w:rPr>
        <w:t xml:space="preserve">                        </w:t>
      </w:r>
      <w:r/>
    </w:p>
    <w:p>
      <w:pPr>
        <w:pStyle w:val="1041"/>
        <w:ind w:left="420" w:firstLine="480"/>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投标人开户行：</w:t>
      </w:r>
      <w:r>
        <w:rPr>
          <w:rFonts w:hint="eastAsia" w:asciiTheme="minorEastAsia" w:hAnsiTheme="minorEastAsia" w:eastAsiaTheme="minorEastAsia" w:cstheme="minorEastAsia"/>
          <w:color w:val="auto"/>
          <w:sz w:val="24"/>
          <w:szCs w:val="24"/>
          <w:u w:val="single"/>
        </w:rPr>
        <w:t xml:space="preserve">                      </w:t>
      </w:r>
      <w:r/>
    </w:p>
    <w:p>
      <w:pPr>
        <w:pStyle w:val="1041"/>
        <w:ind w:left="420" w:firstLine="480"/>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账      号：</w:t>
      </w:r>
      <w:r>
        <w:rPr>
          <w:rFonts w:hint="eastAsia" w:asciiTheme="minorEastAsia" w:hAnsiTheme="minorEastAsia" w:eastAsiaTheme="minorEastAsia" w:cstheme="minorEastAsia"/>
          <w:color w:val="auto"/>
          <w:sz w:val="24"/>
          <w:szCs w:val="24"/>
          <w:u w:val="single"/>
        </w:rPr>
        <w:t xml:space="preserve">                        </w:t>
      </w:r>
      <w:r/>
    </w:p>
    <w:p>
      <w:pPr>
        <w:pStyle w:val="1041"/>
        <w:ind w:left="420" w:firstLine="480"/>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日      期：</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日</w:t>
      </w:r>
      <w:r/>
    </w:p>
    <w:p>
      <w:pPr>
        <w:rPr>
          <w:rFonts w:hint="eastAsia" w:asciiTheme="minorEastAsia" w:hAnsiTheme="minorEastAsia" w:eastAsiaTheme="minorEastAsia" w:cstheme="minorEastAsia"/>
          <w:i/>
          <w:sz w:val="32"/>
          <w:szCs w:val="32"/>
          <w:u w:val="single"/>
          <w:lang w:val="en-US" w:eastAsia="zh-CN"/>
        </w:rPr>
      </w:pPr>
      <w:r>
        <w:rPr>
          <w:rFonts w:hint="eastAsia" w:asciiTheme="minorEastAsia" w:hAnsiTheme="minorEastAsia" w:eastAsiaTheme="minorEastAsia" w:cstheme="minorEastAsia"/>
          <w:i/>
          <w:sz w:val="32"/>
          <w:szCs w:val="32"/>
          <w:u w:val="single"/>
          <w:lang w:val="en-US" w:eastAsia="zh-CN"/>
        </w:rPr>
        <w:t xml:space="preserve">五、开标一览表</w:t>
      </w:r>
      <w:r/>
    </w:p>
    <w:p>
      <w:pPr>
        <w:pStyle w:val="10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lang w:eastAsia="zh-CN"/>
        </w:rPr>
        <w:t xml:space="preserve">名</w:t>
      </w:r>
      <w:r>
        <w:rPr>
          <w:rFonts w:hint="eastAsia" w:asciiTheme="minorEastAsia" w:hAnsiTheme="minorEastAsia" w:eastAsiaTheme="minorEastAsia" w:cstheme="minorEastAsia"/>
          <w:sz w:val="24"/>
          <w:szCs w:val="24"/>
        </w:rPr>
        <w:t xml:space="preserve">称（加盖CA电子签章）：</w:t>
      </w:r>
      <w:r/>
    </w:p>
    <w:p>
      <w:pPr>
        <w:pStyle w:val="10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pStyle w:val="10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招标编号：                                   分包号：</w:t>
      </w:r>
      <w:r/>
    </w:p>
    <w:tbl>
      <w:tblPr>
        <w:tblStyle w:val="1018"/>
        <w:tblW w:w="8220" w:type="dxa"/>
        <w:tblInd w:w="108" w:type="dxa"/>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20"/>
              <w:ind w:firstLine="480"/>
              <w:jc w:val="center"/>
              <w:spacing w:beforeAutospacing="0" w:afterAutospacing="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投标优惠率</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41"/>
              <w:spacing w:before="0" w:beforeAutospacing="0" w:after="0" w:afterAutospacing="0" w:line="5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t xml:space="preserve">小写：                             （%）</w:t>
            </w:r>
            <w:r/>
          </w:p>
        </w:tc>
      </w:tr>
    </w:tbl>
    <w:p>
      <w:pPr>
        <w:pStyle w:val="1020"/>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日期：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w:t>
      </w:r>
      <w:r/>
    </w:p>
    <w:p>
      <w:pPr>
        <w:pStyle w:val="1020"/>
        <w:spacing w:line="360" w:lineRule="auto"/>
        <w:rPr>
          <w:rFonts w:hint="eastAsia" w:asciiTheme="minorEastAsia" w:hAnsiTheme="minorEastAsia" w:eastAsiaTheme="minorEastAsia" w:cstheme="minorEastAsia"/>
          <w:b/>
          <w:i/>
          <w:color w:val="auto"/>
          <w:sz w:val="32"/>
          <w:szCs w:val="32"/>
          <w:u w:val="single"/>
        </w:rPr>
        <w:sectPr>
          <w:footnotePr/>
          <w:endnotePr/>
          <w:type w:val="nextPage"/>
          <w:pgSz w:w="11906" w:h="16838" w:orient="portrait"/>
          <w:pgMar w:top="1440" w:right="1083" w:bottom="1440" w:left="1083" w:header="851" w:footer="992" w:gutter="0"/>
          <w:pgNumType w:start="0"/>
          <w:cols w:num="1" w:sep="0" w:space="720" w:equalWidth="1"/>
          <w:docGrid w:linePitch="360"/>
        </w:sectPr>
      </w:pPr>
      <w:r>
        <w:rPr>
          <w:rFonts w:hint="eastAsia" w:asciiTheme="minorEastAsia" w:hAnsiTheme="minorEastAsia" w:eastAsiaTheme="minorEastAsia" w:cstheme="minorEastAsia"/>
          <w:b/>
          <w:i/>
          <w:color w:val="auto"/>
          <w:sz w:val="32"/>
          <w:szCs w:val="32"/>
          <w:u w:val="single"/>
        </w:rPr>
      </w:r>
      <w:r/>
    </w:p>
    <w:p>
      <w:pPr>
        <w:pStyle w:val="1020"/>
        <w:numPr>
          <w:ilvl w:val="0"/>
          <w:numId w:val="0"/>
        </w:numPr>
        <w:ind w:firstLine="480"/>
        <w:spacing w:line="360" w:lineRule="auto"/>
        <w:rPr>
          <w:rFonts w:hint="eastAsia" w:asciiTheme="minorEastAsia" w:hAnsiTheme="minorEastAsia" w:eastAsiaTheme="minorEastAsia" w:cstheme="minorEastAsia"/>
          <w:iCs/>
          <w:color w:val="auto"/>
          <w:sz w:val="24"/>
          <w:szCs w:val="24"/>
        </w:rPr>
        <w:outlineLvl w:val="2"/>
      </w:pPr>
      <w:r>
        <w:rPr>
          <w:rFonts w:hint="eastAsia" w:asciiTheme="minorEastAsia" w:hAnsiTheme="minorEastAsia" w:eastAsiaTheme="minorEastAsia" w:cstheme="minorEastAsia"/>
          <w:iCs/>
          <w:color w:val="auto"/>
          <w:sz w:val="24"/>
          <w:szCs w:val="24"/>
        </w:rPr>
        <w:t xml:space="preserve">六、中小企业声明函</w:t>
      </w:r>
      <w:r/>
    </w:p>
    <w:p>
      <w:pPr>
        <w:pStyle w:val="1020"/>
        <w:jc w:val="center"/>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 xml:space="preserve">中小企业声明函（</w:t>
      </w:r>
      <w:r>
        <w:rPr>
          <w:rFonts w:hint="eastAsia" w:asciiTheme="minorEastAsia" w:hAnsiTheme="minorEastAsia" w:eastAsiaTheme="minorEastAsia" w:cstheme="minorEastAsia"/>
          <w:color w:val="auto"/>
          <w:sz w:val="30"/>
          <w:szCs w:val="30"/>
          <w:lang w:val="en-US" w:eastAsia="zh-CN"/>
        </w:rPr>
        <w:t xml:space="preserve">货物</w:t>
      </w:r>
      <w:r>
        <w:rPr>
          <w:rFonts w:hint="eastAsia" w:asciiTheme="minorEastAsia" w:hAnsiTheme="minorEastAsia" w:eastAsiaTheme="minorEastAsia" w:cstheme="minorEastAsia"/>
          <w:color w:val="auto"/>
          <w:sz w:val="30"/>
          <w:szCs w:val="30"/>
        </w:rPr>
        <w:t xml:space="preserve">）</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本公司（联合体）郑重声明，根据《政府采购促进中小企业发展管理办法》</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财库[2020]46号</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的规定，本公司（联合体）参加南京市公共资源交易中心六合分中心组织的</w:t>
      </w:r>
      <w:r>
        <w:rPr>
          <w:rFonts w:hint="eastAsia" w:asciiTheme="minorEastAsia" w:hAnsiTheme="minorEastAsia" w:eastAsiaTheme="minorEastAsia" w:cstheme="minorEastAsia"/>
          <w:color w:val="auto"/>
          <w:sz w:val="24"/>
          <w:szCs w:val="24"/>
          <w:u w:val="single"/>
        </w:rPr>
        <w:t xml:space="preserve">（单位名称）</w:t>
      </w:r>
      <w:r>
        <w:rPr>
          <w:rFonts w:hint="eastAsia" w:asciiTheme="minorEastAsia" w:hAnsiTheme="minorEastAsia" w:eastAsiaTheme="minorEastAsia" w:cstheme="minorEastAsia"/>
          <w:color w:val="auto"/>
          <w:sz w:val="24"/>
          <w:szCs w:val="24"/>
        </w:rPr>
        <w:t xml:space="preserve">采购编号为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u w:val="single"/>
        </w:rPr>
        <w:t xml:space="preserve">（项目名称）</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的采购活动，服务全部由符合政策的中小企业承接。根据《工业和信息化部、国家统计局、国家发展和改革委员会、财政部关于印发中小企业划型标准规定的通知》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工信部联企业[2011]300号</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的规定，相关企业（含联合体中的小微企业、签订分包意向协议的中小企业）的具体情况如下：</w:t>
      </w:r>
      <w:r/>
    </w:p>
    <w:p>
      <w:pPr>
        <w:pStyle w:val="1020"/>
        <w:spacing w:line="360" w:lineRule="auto"/>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color w:val="auto"/>
          <w:sz w:val="24"/>
          <w:szCs w:val="24"/>
        </w:rPr>
        <w:t xml:space="preserve">1.</w:t>
      </w:r>
      <w:r>
        <w:rPr>
          <w:rFonts w:hint="eastAsia" w:asciiTheme="minorEastAsia" w:hAnsiTheme="minorEastAsia" w:eastAsiaTheme="minorEastAsia" w:cstheme="minorEastAsia"/>
          <w:color w:val="auto"/>
          <w:sz w:val="24"/>
          <w:szCs w:val="24"/>
          <w:u w:val="single"/>
        </w:rPr>
        <w:t xml:space="preserve">（标的名称）</w:t>
      </w:r>
      <w:r>
        <w:rPr>
          <w:rFonts w:hint="eastAsia" w:asciiTheme="minorEastAsia" w:hAnsiTheme="minorEastAsia" w:eastAsiaTheme="minorEastAsia" w:cstheme="minorEastAsia"/>
          <w:i/>
          <w:color w:val="auto"/>
          <w:sz w:val="24"/>
          <w:szCs w:val="24"/>
        </w:rPr>
        <w:t xml:space="preserve">，</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行业；承接企业为</w:t>
      </w:r>
      <w:r>
        <w:rPr>
          <w:rFonts w:hint="eastAsia" w:asciiTheme="minorEastAsia" w:hAnsiTheme="minorEastAsia" w:eastAsiaTheme="minorEastAsia" w:cstheme="minorEastAsia"/>
          <w:color w:val="auto"/>
          <w:sz w:val="24"/>
          <w:szCs w:val="24"/>
          <w:u w:val="single"/>
        </w:rPr>
        <w:t xml:space="preserve">（企业名称）</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w:t>
      </w:r>
      <w:r>
        <w:rPr>
          <w:rFonts w:hint="eastAsia" w:asciiTheme="minorEastAsia" w:hAnsiTheme="minorEastAsia" w:eastAsiaTheme="minorEastAsia" w:cstheme="minorEastAsia"/>
          <w:color w:val="auto"/>
          <w:sz w:val="24"/>
          <w:szCs w:val="24"/>
          <w:vertAlign w:val="superscript"/>
        </w:rPr>
        <w:t xml:space="preserve">1</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（中型企业、小型企业、微型企业）；</w:t>
      </w:r>
      <w:r/>
    </w:p>
    <w:p>
      <w:pPr>
        <w:pStyle w:val="1020"/>
        <w:spacing w:line="360" w:lineRule="auto"/>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color w:val="auto"/>
          <w:sz w:val="24"/>
          <w:szCs w:val="24"/>
        </w:rPr>
        <w:t xml:space="preserve">2.</w:t>
      </w:r>
      <w:r>
        <w:rPr>
          <w:rFonts w:hint="eastAsia" w:asciiTheme="minorEastAsia" w:hAnsiTheme="minorEastAsia" w:eastAsiaTheme="minorEastAsia" w:cstheme="minorEastAsia"/>
          <w:color w:val="auto"/>
          <w:sz w:val="24"/>
          <w:szCs w:val="24"/>
          <w:u w:val="single"/>
        </w:rPr>
        <w:t xml:space="preserve">（标的名称）</w:t>
      </w:r>
      <w:r>
        <w:rPr>
          <w:rFonts w:hint="eastAsia" w:asciiTheme="minorEastAsia" w:hAnsiTheme="minorEastAsia" w:eastAsiaTheme="minorEastAsia" w:cstheme="minorEastAsia"/>
          <w:i/>
          <w:color w:val="auto"/>
          <w:sz w:val="24"/>
          <w:szCs w:val="24"/>
        </w:rPr>
        <w:t xml:space="preserve">，</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行业；承接企业为</w:t>
      </w:r>
      <w:r>
        <w:rPr>
          <w:rFonts w:hint="eastAsia" w:asciiTheme="minorEastAsia" w:hAnsiTheme="minorEastAsia" w:eastAsiaTheme="minorEastAsia" w:cstheme="minorEastAsia"/>
          <w:color w:val="auto"/>
          <w:sz w:val="24"/>
          <w:szCs w:val="24"/>
          <w:u w:val="single"/>
        </w:rPr>
        <w:t xml:space="preserve">（企业名称）</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w:t>
      </w:r>
      <w:r>
        <w:rPr>
          <w:rFonts w:hint="eastAsia" w:asciiTheme="minorEastAsia" w:hAnsiTheme="minorEastAsia" w:eastAsiaTheme="minorEastAsia" w:cstheme="minorEastAsia"/>
          <w:color w:val="auto"/>
          <w:sz w:val="24"/>
          <w:szCs w:val="24"/>
          <w:vertAlign w:val="superscript"/>
        </w:rPr>
        <w:t xml:space="preserve">1</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（中型企业、小型企业、微型企业）；</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以上企业，不属于大企业的分支机构，不存在控股股东为大企业的情形，也不存在与大企业的负责人为同一人的情形。</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本企业对上述声明内容的真实性负责。如有虚假，将依法承担相应责任。</w:t>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102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pStyle w:val="1020"/>
        <w:ind w:right="720"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1020"/>
        <w:ind w:right="180"/>
        <w:jc w:val="righ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企业名称：（加盖CA电子公章）</w:t>
      </w:r>
      <w:r/>
    </w:p>
    <w:p>
      <w:pPr>
        <w:pStyle w:val="1020"/>
        <w:jc w:val="righ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  期：</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年___月___日</w:t>
      </w:r>
      <w:r/>
    </w:p>
    <w:p>
      <w:pPr>
        <w:pStyle w:val="1020"/>
        <w:ind w:firstLine="640"/>
        <w:rPr>
          <w:rFonts w:hint="eastAsia" w:asciiTheme="minorEastAsia" w:hAnsiTheme="minorEastAsia" w:eastAsiaTheme="minorEastAsia" w:cstheme="minorEastAsia"/>
          <w:iCs/>
          <w:color w:val="auto"/>
          <w:sz w:val="32"/>
          <w:szCs w:val="32"/>
        </w:rPr>
      </w:pPr>
      <w:r>
        <w:rPr>
          <w:rFonts w:hint="eastAsia" w:asciiTheme="minorEastAsia" w:hAnsiTheme="minorEastAsia" w:eastAsiaTheme="minorEastAsia" w:cstheme="minorEastAsia"/>
          <w:iCs/>
          <w:color w:val="auto"/>
          <w:sz w:val="32"/>
          <w:szCs w:val="32"/>
        </w:rPr>
      </w:r>
      <w:r/>
    </w:p>
    <w:p>
      <w:pPr>
        <w:pStyle w:val="1020"/>
        <w:numPr>
          <w:ilvl w:val="0"/>
          <w:numId w:val="0"/>
        </w:numPr>
        <w:ind w:firstLine="640"/>
        <w:spacing w:line="360" w:lineRule="auto"/>
        <w:rPr>
          <w:rFonts w:hint="eastAsia" w:asciiTheme="minorEastAsia" w:hAnsiTheme="minorEastAsia" w:eastAsiaTheme="minorEastAsia" w:cstheme="minorEastAsia"/>
          <w:iCs/>
          <w:color w:val="auto"/>
          <w:sz w:val="32"/>
          <w:szCs w:val="32"/>
        </w:rPr>
        <w:outlineLvl w:val="2"/>
      </w:pPr>
      <w:r>
        <w:rPr>
          <w:rFonts w:hint="eastAsia" w:asciiTheme="minorEastAsia" w:hAnsiTheme="minorEastAsia" w:eastAsiaTheme="minorEastAsia" w:cstheme="minorEastAsia"/>
          <w:iCs/>
          <w:color w:val="auto"/>
          <w:sz w:val="32"/>
          <w:szCs w:val="32"/>
        </w:rPr>
        <w:t xml:space="preserve">七、残疾人福利性单位声明函</w:t>
      </w:r>
      <w:r/>
    </w:p>
    <w:p>
      <w:pPr>
        <w:pStyle w:val="1020"/>
        <w:ind w:firstLine="640"/>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残疾人福利性单位声明函</w:t>
      </w:r>
      <w:r/>
    </w:p>
    <w:p>
      <w:pPr>
        <w:pStyle w:val="102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rPr>
        <w:t xml:space="preserve">的</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项目（分包号：**）采购活动由本单位提供服务。</w:t>
      </w:r>
      <w:r/>
    </w:p>
    <w:p>
      <w:pPr>
        <w:pStyle w:val="102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本单位对上述声明的真实性负责。如有虚假，将依法承担相应责任。</w:t>
      </w:r>
      <w:r/>
    </w:p>
    <w:p>
      <w:pPr>
        <w:pStyle w:val="102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102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（备注：1、供应商如不提供此声明函，价格将不做相应扣除。2、中标人为残疾人福利单位的，此声明函将随中标结果同时公告，接受社会监督。）</w:t>
      </w:r>
      <w:r/>
    </w:p>
    <w:p>
      <w:pPr>
        <w:pStyle w:val="1020"/>
        <w:spacing w:line="360" w:lineRule="auto"/>
        <w:rPr>
          <w:rFonts w:hint="eastAsia" w:asciiTheme="minorEastAsia" w:hAnsiTheme="minorEastAsia" w:eastAsiaTheme="minorEastAsia" w:cstheme="minorEastAsia"/>
          <w:color w:val="auto"/>
          <w:spacing w:val="6"/>
          <w:sz w:val="30"/>
          <w:szCs w:val="30"/>
        </w:rPr>
      </w:pPr>
      <w:r>
        <w:rPr>
          <w:rFonts w:hint="eastAsia" w:asciiTheme="minorEastAsia" w:hAnsiTheme="minorEastAsia" w:eastAsiaTheme="minorEastAsia" w:cstheme="minorEastAsia"/>
          <w:color w:val="auto"/>
          <w:spacing w:val="6"/>
          <w:sz w:val="30"/>
          <w:szCs w:val="30"/>
        </w:rPr>
      </w:r>
      <w:r/>
    </w:p>
    <w:p>
      <w:pPr>
        <w:pStyle w:val="1037"/>
        <w:ind w:left="120" w:firstLine="42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1020"/>
        <w:ind w:right="180"/>
        <w:jc w:val="righ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企业名称：（加盖CA电子公章）</w:t>
      </w:r>
      <w:r/>
    </w:p>
    <w:p>
      <w:pPr>
        <w:pStyle w:val="1020"/>
        <w:jc w:val="righ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  期：</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___月___日</w:t>
      </w:r>
      <w:r/>
    </w:p>
    <w:p>
      <w:pPr>
        <w:pStyle w:val="1020"/>
        <w:ind w:firstLine="640"/>
        <w:jc w:val="right"/>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1020"/>
        <w:ind w:firstLine="480"/>
        <w:jc w:val="both"/>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rPr>
        <w:br w:type="page" w:clear="all"/>
      </w:r>
      <w:r/>
    </w:p>
    <w:p>
      <w:pPr>
        <w:rPr>
          <w:rFonts w:hint="eastAsia" w:asciiTheme="minorEastAsia" w:hAnsiTheme="minorEastAsia" w:eastAsiaTheme="minorEastAsia" w:cstheme="minorEastAsia"/>
          <w:i/>
          <w:sz w:val="32"/>
          <w:szCs w:val="32"/>
          <w:highlight w:val="none"/>
          <w:u w:val="single"/>
          <w:lang w:val="en-US" w:eastAsia="zh-CN"/>
        </w:rPr>
      </w:pPr>
      <w:r>
        <w:rPr>
          <w:rFonts w:hint="eastAsia" w:asciiTheme="minorEastAsia" w:hAnsiTheme="minorEastAsia" w:eastAsiaTheme="minorEastAsia" w:cstheme="minorEastAsia"/>
          <w:i/>
          <w:sz w:val="32"/>
          <w:szCs w:val="32"/>
          <w:highlight w:val="none"/>
          <w:u w:val="single"/>
          <w:lang w:val="en-US" w:eastAsia="zh-CN"/>
        </w:rPr>
        <w:t xml:space="preserve">八、实质性要求响应及偏离表</w:t>
      </w:r>
      <w:r/>
    </w:p>
    <w:p>
      <w:pPr>
        <w:jc w:val="center"/>
        <w:spacing w:line="360" w:lineRule="auto"/>
        <w:rPr>
          <w:rFonts w:hint="eastAsia" w:asciiTheme="minorEastAsia" w:hAnsiTheme="minorEastAsia" w:eastAsiaTheme="minorEastAsia" w:cstheme="minorEastAsia"/>
          <w:color w:val="000000"/>
          <w:sz w:val="32"/>
          <w:szCs w:val="32"/>
          <w:lang w:val="en-US" w:eastAsia="zh-CN"/>
        </w:rPr>
        <w:outlineLvl w:val="0"/>
      </w:pPr>
      <w:r>
        <w:rPr>
          <w:rFonts w:hint="eastAsia" w:asciiTheme="minorEastAsia" w:hAnsiTheme="minorEastAsia" w:eastAsiaTheme="minorEastAsia" w:cstheme="minorEastAsia"/>
          <w:color w:val="000000"/>
          <w:sz w:val="32"/>
          <w:szCs w:val="32"/>
          <w:lang w:val="en-US" w:eastAsia="zh-CN"/>
        </w:rPr>
        <w:t xml:space="preserve">实质性要求响应及偏离表</w:t>
      </w:r>
      <w:r/>
    </w:p>
    <w:tbl>
      <w:tblPr>
        <w:tblStyle w:val="1018"/>
        <w:tblW w:w="9749" w:type="dxa"/>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780"/>
        <w:gridCol w:w="4444"/>
        <w:gridCol w:w="2242"/>
        <w:gridCol w:w="2283"/>
      </w:tblGrid>
      <w:tr>
        <w:trPr>
          <w:tblCellSpacing w:w="0" w:type="dxa"/>
          <w:trHeight w:val="685"/>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4444"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技术要求和商务要求中的实质性要求（</w:t>
            </w:r>
            <w:r>
              <w:rPr>
                <w:rFonts w:hint="eastAsia" w:asciiTheme="majorEastAsia" w:hAnsiTheme="majorEastAsia" w:eastAsiaTheme="majorEastAsia" w:cstheme="majorEastAsia"/>
                <w:i/>
                <w:iCs/>
                <w:sz w:val="24"/>
                <w:szCs w:val="24"/>
                <w:u w:val="single"/>
              </w:rPr>
              <w:t xml:space="preserve">加斜体下划线内容或</w:t>
            </w:r>
            <w:r>
              <w:rPr>
                <w:rFonts w:hint="eastAsia" w:asciiTheme="majorEastAsia" w:hAnsiTheme="majorEastAsia" w:eastAsiaTheme="majorEastAsia" w:cstheme="majorEastAsia"/>
                <w:sz w:val="24"/>
                <w:szCs w:val="24"/>
              </w:rPr>
              <w:t xml:space="preserve">打“★”内容）</w:t>
            </w:r>
            <w:r/>
          </w:p>
        </w:tc>
        <w:tc>
          <w:tcPr>
            <w:tcBorders>
              <w:top w:val="single" w:color="000000" w:sz="8" w:space="0"/>
              <w:left w:val="none" w:color="000000" w:sz="4" w:space="0"/>
              <w:bottom w:val="single" w:color="000000" w:sz="8" w:space="0"/>
              <w:right w:val="single" w:color="000000" w:sz="8" w:space="0"/>
            </w:tcBorders>
            <w:tcW w:w="2242"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响应情况（填报“响应或完全响应”）</w:t>
            </w:r>
            <w:r/>
          </w:p>
        </w:tc>
        <w:tc>
          <w:tcPr>
            <w:tcBorders>
              <w:top w:val="single" w:color="000000" w:sz="8" w:space="0"/>
              <w:left w:val="none" w:color="000000" w:sz="4" w:space="0"/>
              <w:bottom w:val="single" w:color="000000" w:sz="8" w:space="0"/>
              <w:right w:val="single" w:color="000000" w:sz="8" w:space="0"/>
            </w:tcBorders>
            <w:tcW w:w="2283"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偏离（填报“正偏离、无偏离或负偏离”）</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w:t>
            </w:r>
            <w:r/>
          </w:p>
        </w:tc>
        <w:tc>
          <w:tcPr>
            <w:tcBorders>
              <w:top w:val="none" w:color="000000" w:sz="4" w:space="0"/>
              <w:left w:val="none" w:color="000000" w:sz="4" w:space="0"/>
              <w:bottom w:val="single" w:color="000000" w:sz="8" w:space="0"/>
              <w:right w:val="single" w:color="000000" w:sz="8" w:space="0"/>
            </w:tcBorders>
            <w:tcW w:w="4444"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W w:w="2283"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w:t>
            </w:r>
            <w:r/>
          </w:p>
        </w:tc>
        <w:tc>
          <w:tcPr>
            <w:tcBorders>
              <w:top w:val="none" w:color="000000" w:sz="4" w:space="0"/>
              <w:left w:val="none" w:color="000000" w:sz="4" w:space="0"/>
              <w:bottom w:val="single" w:color="000000" w:sz="8" w:space="0"/>
              <w:right w:val="single" w:color="000000" w:sz="8" w:space="0"/>
            </w:tcBorders>
            <w:tcW w:w="4444"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W w:w="2283"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W w:w="4444"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w:t>
            </w:r>
            <w:r/>
          </w:p>
        </w:tc>
        <w:tc>
          <w:tcPr>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W w:w="2283"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W w:w="4444"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w:t>
            </w:r>
            <w:r/>
          </w:p>
        </w:tc>
        <w:tc>
          <w:tcPr>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W w:w="2283"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W w:w="4444"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w:t>
            </w:r>
            <w:r/>
          </w:p>
        </w:tc>
        <w:tc>
          <w:tcPr>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c>
          <w:tcPr>
            <w:tcBorders>
              <w:top w:val="none" w:color="000000" w:sz="4" w:space="0"/>
              <w:left w:val="none" w:color="000000" w:sz="4" w:space="0"/>
              <w:bottom w:val="single" w:color="000000" w:sz="8" w:space="0"/>
              <w:right w:val="single" w:color="000000" w:sz="8" w:space="0"/>
            </w:tcBorders>
            <w:tcW w:w="2283" w:type="dxa"/>
            <w:vAlign w:val="center"/>
            <w:textDirection w:val="lrTb"/>
            <w:noWrap w:val="false"/>
          </w:tcPr>
          <w:p>
            <w:pPr>
              <w:pStyle w:val="1025"/>
              <w:jc w:val="center"/>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p>
        </w:tc>
      </w:tr>
    </w:tbl>
    <w:p>
      <w:pPr>
        <w:pStyle w:val="1025"/>
        <w:jc w:val="both"/>
        <w:spacing w:before="0" w:beforeAutospacing="0" w:after="0" w:afterAutospacing="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备注： </w:t>
      </w:r>
      <w:r/>
    </w:p>
    <w:p>
      <w:pPr>
        <w:pStyle w:val="1025"/>
        <w:jc w:val="both"/>
        <w:spacing w:before="0" w:beforeAutospacing="0" w:after="0" w:afterAutospacing="0" w:line="400" w:lineRule="atLeas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1.供应商必须对技术要求和商务要求中的实质性要求（加斜体下划线内容或打“★”内容）做出明确响应，否则作无效响应处理。</w:t>
      </w:r>
      <w:r/>
    </w:p>
    <w:p>
      <w:pPr>
        <w:pStyle w:val="1025"/>
        <w:jc w:val="both"/>
        <w:spacing w:before="0" w:beforeAutospacing="0" w:after="0" w:afterAutospacing="0" w:line="400" w:lineRule="atLeas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2.如果采购文件要求提供证明材料，供应商必须将证明材料列于该表之下。</w:t>
      </w:r>
      <w:r/>
    </w:p>
    <w:p>
      <w:pPr>
        <w:pStyle w:val="1025"/>
        <w:jc w:val="both"/>
        <w:spacing w:before="0" w:beforeAutospacing="0" w:after="0" w:afterAutospacing="0" w:line="400" w:lineRule="atLeas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3.供应商未对实质性要求作出明确响应的，或未按采购文件要求提供证明材料的，该分包作无效响应处理。</w:t>
      </w:r>
      <w:r/>
    </w:p>
    <w:p>
      <w:pPr>
        <w:pStyle w:val="1025"/>
        <w:jc w:val="both"/>
        <w:spacing w:before="0" w:beforeAutospacing="0" w:after="0" w:afterAutospacing="0" w:line="400" w:lineRule="atLeas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4.行数不够，可自行添加。</w:t>
      </w:r>
      <w:r/>
    </w:p>
    <w:p>
      <w:pPr>
        <w:pStyle w:val="10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i/>
          <w:sz w:val="32"/>
          <w:szCs w:val="32"/>
          <w:u w:val="single"/>
          <w:lang w:val="en-US" w:eastAsia="zh-CN"/>
        </w:rPr>
      </w:pPr>
      <w:r/>
      <w:bookmarkStart w:id="152" w:name="_Hlt26955054"/>
      <w:r/>
      <w:bookmarkEnd w:id="152"/>
      <w:r/>
      <w:r/>
    </w:p>
    <w:p>
      <w:pPr>
        <w:rPr>
          <w:rFonts w:hint="eastAsia" w:asciiTheme="minorEastAsia" w:hAnsiTheme="minorEastAsia" w:eastAsiaTheme="minorEastAsia" w:cstheme="minorEastAsia"/>
          <w:i/>
          <w:sz w:val="32"/>
          <w:szCs w:val="32"/>
          <w:u w:val="single"/>
          <w:lang w:val="en-US" w:eastAsia="zh-CN"/>
        </w:rPr>
      </w:pPr>
      <w:r>
        <w:rPr>
          <w:rFonts w:hint="eastAsia" w:asciiTheme="minorEastAsia" w:hAnsiTheme="minorEastAsia" w:eastAsiaTheme="minorEastAsia" w:cstheme="minorEastAsia"/>
          <w:i/>
          <w:sz w:val="32"/>
          <w:szCs w:val="32"/>
          <w:u w:val="single"/>
          <w:lang w:val="en-US" w:eastAsia="zh-CN"/>
        </w:rPr>
      </w:r>
      <w:r/>
    </w:p>
    <w:p>
      <w:pPr>
        <w:rPr>
          <w:rFonts w:hint="eastAsia" w:asciiTheme="minorEastAsia" w:hAnsiTheme="minorEastAsia" w:eastAsiaTheme="minorEastAsia" w:cstheme="minorEastAsia"/>
          <w:i/>
          <w:sz w:val="32"/>
          <w:szCs w:val="32"/>
          <w:u w:val="single"/>
          <w:lang w:val="en-US" w:eastAsia="zh-CN"/>
        </w:rPr>
      </w:pPr>
      <w:r>
        <w:rPr>
          <w:rFonts w:hint="eastAsia" w:asciiTheme="minorEastAsia" w:hAnsiTheme="minorEastAsia" w:eastAsiaTheme="minorEastAsia" w:cstheme="minorEastAsia"/>
          <w:i/>
          <w:sz w:val="32"/>
          <w:szCs w:val="32"/>
          <w:u w:val="single"/>
          <w:lang w:val="en-US" w:eastAsia="zh-CN"/>
        </w:rPr>
      </w:r>
      <w:r/>
    </w:p>
    <w:p>
      <w:pPr>
        <w:rPr>
          <w:rFonts w:hint="eastAsia" w:asciiTheme="minorEastAsia" w:hAnsiTheme="minorEastAsia" w:eastAsiaTheme="minorEastAsia" w:cstheme="minorEastAsia"/>
          <w:i/>
          <w:sz w:val="32"/>
          <w:szCs w:val="32"/>
          <w:u w:val="single"/>
          <w:lang w:val="en-US" w:eastAsia="zh-CN"/>
        </w:rPr>
      </w:pPr>
      <w:r>
        <w:rPr>
          <w:rFonts w:hint="eastAsia" w:asciiTheme="minorEastAsia" w:hAnsiTheme="minorEastAsia" w:eastAsiaTheme="minorEastAsia" w:cstheme="minorEastAsia"/>
          <w:i/>
          <w:sz w:val="32"/>
          <w:szCs w:val="32"/>
          <w:u w:val="single"/>
          <w:lang w:val="en-US" w:eastAsia="zh-CN"/>
        </w:rPr>
      </w:r>
      <w:r/>
    </w:p>
    <w:p>
      <w:pPr>
        <w:rPr>
          <w:rFonts w:hint="eastAsia" w:asciiTheme="minorEastAsia" w:hAnsiTheme="minorEastAsia" w:eastAsiaTheme="minorEastAsia" w:cstheme="minorEastAsia"/>
          <w:i/>
          <w:sz w:val="32"/>
          <w:szCs w:val="32"/>
          <w:u w:val="single"/>
          <w:lang w:val="en-US" w:eastAsia="zh-CN"/>
        </w:rPr>
      </w:pPr>
      <w:r>
        <w:rPr>
          <w:rFonts w:hint="eastAsia" w:asciiTheme="minorEastAsia" w:hAnsiTheme="minorEastAsia" w:eastAsiaTheme="minorEastAsia" w:cstheme="minorEastAsia"/>
          <w:i/>
          <w:sz w:val="32"/>
          <w:szCs w:val="32"/>
          <w:u w:val="single"/>
          <w:lang w:val="en-US" w:eastAsia="zh-CN"/>
        </w:rPr>
      </w:r>
      <w:r/>
    </w:p>
    <w:p>
      <w:pPr>
        <w:rPr>
          <w:rFonts w:hint="eastAsia" w:asciiTheme="minorEastAsia" w:hAnsiTheme="minorEastAsia" w:eastAsiaTheme="minorEastAsia" w:cstheme="minorEastAsia"/>
          <w:i/>
          <w:sz w:val="32"/>
          <w:szCs w:val="32"/>
          <w:u w:val="single"/>
          <w:lang w:val="en-US" w:eastAsia="zh-CN"/>
        </w:rPr>
      </w:pPr>
      <w:r>
        <w:rPr>
          <w:rFonts w:hint="eastAsia" w:asciiTheme="minorEastAsia" w:hAnsiTheme="minorEastAsia" w:eastAsiaTheme="minorEastAsia" w:cstheme="minorEastAsia"/>
          <w:i/>
          <w:sz w:val="32"/>
          <w:szCs w:val="32"/>
          <w:u w:val="single"/>
          <w:lang w:val="en-US" w:eastAsia="zh-CN"/>
        </w:rPr>
      </w:r>
      <w:r/>
    </w:p>
    <w:p>
      <w:pPr>
        <w:rPr>
          <w:rFonts w:hint="eastAsia" w:asciiTheme="minorEastAsia" w:hAnsiTheme="minorEastAsia" w:eastAsiaTheme="minorEastAsia" w:cstheme="minorEastAsia"/>
          <w:i/>
          <w:sz w:val="32"/>
          <w:szCs w:val="32"/>
          <w:u w:val="single"/>
          <w:lang w:val="en-US" w:eastAsia="zh-CN"/>
        </w:rPr>
      </w:pPr>
      <w:r>
        <w:rPr>
          <w:rFonts w:hint="eastAsia" w:asciiTheme="minorEastAsia" w:hAnsiTheme="minorEastAsia" w:eastAsiaTheme="minorEastAsia" w:cstheme="minorEastAsia"/>
          <w:i/>
          <w:sz w:val="32"/>
          <w:szCs w:val="32"/>
          <w:u w:val="single"/>
          <w:lang w:val="en-US" w:eastAsia="zh-CN"/>
        </w:rPr>
      </w:r>
      <w:r/>
    </w:p>
    <w:p>
      <w:pPr>
        <w:pStyle w:val="1020"/>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质疑函范本</w:t>
      </w:r>
      <w:r/>
    </w:p>
    <w:p>
      <w:pPr>
        <w:pStyle w:val="1020"/>
        <w:ind w:firstLine="480"/>
        <w:spacing w:before="290" w:beforeAutospacing="0" w:afterAutospacing="0"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一、质疑供应商基本信息</w:t>
      </w:r>
      <w:r/>
    </w:p>
    <w:p>
      <w:pPr>
        <w:pStyle w:val="1020"/>
        <w:ind w:firstLine="48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质疑供应商：</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地址：</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邮编：</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联系电话：</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授权代表：</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联系电话：</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地址：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邮编：</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二、质疑项目基本情况</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质疑项目的名称：</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质疑项目的编号：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包号：</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采购人名称：</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采购文件获取日期：</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三、质疑事项具体内容</w:t>
      </w:r>
      <w:r/>
    </w:p>
    <w:p>
      <w:pPr>
        <w:pStyle w:val="1020"/>
        <w:ind w:firstLine="48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质疑事项1：</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事实依据：</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法律依据：</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质疑事项2</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p>
    <w:p>
      <w:pPr>
        <w:pStyle w:val="1020"/>
        <w:ind w:firstLine="480"/>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四、与质疑事项相关的质疑请求</w:t>
      </w:r>
      <w:r/>
    </w:p>
    <w:p>
      <w:pPr>
        <w:pStyle w:val="1020"/>
        <w:ind w:firstLine="480"/>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请求：</w:t>
      </w:r>
      <w:r>
        <w:rPr>
          <w:rFonts w:hint="eastAsia" w:asciiTheme="minorEastAsia" w:hAnsiTheme="minorEastAsia" w:eastAsiaTheme="minorEastAsia" w:cstheme="minorEastAsia"/>
          <w:color w:val="auto"/>
          <w:sz w:val="24"/>
          <w:szCs w:val="24"/>
          <w:u w:val="single"/>
        </w:rPr>
        <w:t xml:space="preserve">                                                                    </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签字</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签章</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                   公章：                      </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w:t>
      </w:r>
      <w:r/>
    </w:p>
    <w:p>
      <w:pPr>
        <w:pStyle w:val="1020"/>
        <w:ind w:firstLine="482"/>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质疑函制作说明：</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1.供应商提出质疑时，应提交质疑函和必要的证明材料。</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3.质疑供应商若对项目的某一分包进行质疑，质疑函中应列明具体分包号。</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4.质疑函的质疑事项应具体、明确，并有必要的事实依据和法律依据。</w:t>
      </w:r>
      <w:r/>
    </w:p>
    <w:p>
      <w:pPr>
        <w:pStyle w:val="1020"/>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5.质疑函的质疑请求应与质疑事项相关。</w:t>
      </w:r>
      <w:r/>
    </w:p>
    <w:p>
      <w:pPr>
        <w:pStyle w:val="1020"/>
        <w:ind w:firstLine="48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20"/>
        <w:ind w:firstLine="48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1033"/>
        <w:ind w:firstLine="640"/>
        <w:rPr>
          <w:rFonts w:hint="eastAsia" w:asciiTheme="minorEastAsia" w:hAnsiTheme="minorEastAsia" w:eastAsiaTheme="minorEastAsia" w:cstheme="minorEastAsia"/>
          <w:iCs/>
          <w:color w:val="auto"/>
          <w:sz w:val="32"/>
          <w:szCs w:val="32"/>
        </w:rPr>
      </w:pPr>
      <w:r>
        <w:rPr>
          <w:rFonts w:hint="eastAsia" w:asciiTheme="minorEastAsia" w:hAnsiTheme="minorEastAsia" w:eastAsiaTheme="minorEastAsia" w:cstheme="minorEastAsia"/>
          <w:iCs/>
          <w:color w:val="auto"/>
          <w:sz w:val="32"/>
          <w:szCs w:val="32"/>
        </w:rPr>
      </w:r>
      <w:r/>
    </w:p>
    <w:sectPr>
      <w:headerReference w:type="default" r:id="rId13"/>
      <w:footerReference w:type="default" r:id="rId19"/>
      <w:footnotePr/>
      <w:endnotePr/>
      <w:type w:val="nextPage"/>
      <w:pgSz w:w="11906" w:h="16838" w:orient="portrait"/>
      <w:pgMar w:top="1440" w:right="1083" w:bottom="1440" w:left="1083" w:header="851" w:footer="992" w:gutter="0"/>
      <w:pgNumType w:start="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rPr>
        <w:rFonts w:eastAsia="宋体"/>
        <w:lang w:val="en-US" w:eastAsia="zh-CN"/>
      </w:rPr>
    </w:pPr>
    <w:r>
      <w:rPr>
        <w:rFonts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4800"/>
      <w:rPr>
        <w:rFonts w:eastAsia="宋体"/>
        <w:lang w:val="en-US" w:eastAsia="zh-CN"/>
      </w:rPr>
    </w:pPr>
    <w:r>
      <w:rPr>
        <w:rFonts w:eastAsia="宋体"/>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360"/>
      <w:jc w:val="center"/>
    </w:pPr>
    <w:r/>
    <w:r/>
  </w:p>
  <w:p>
    <w:pPr>
      <w:pStyle w:val="103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360"/>
      <w:jc w:val="center"/>
    </w:pPr>
    <w:r/>
    <w:r/>
  </w:p>
  <w:p>
    <w:pPr>
      <w:pStyle w:val="1034"/>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1829435" cy="196215"/>
              <wp:effectExtent l="0" t="0" r="0" b="0"/>
              <wp:wrapNone/>
              <wp:docPr id="1" name="文本框 49"/>
              <wp:cNvGraphicFramePr/>
              <a:graphic xmlns:a="http://schemas.openxmlformats.org/drawingml/2006/main">
                <a:graphicData uri="http://schemas.microsoft.com/office/word/2010/wordprocessingShape">
                  <wps:wsp>
                    <wps:cNvPr id="0" name=""/>
                    <wps:cNvSpPr/>
                    <wps:spPr bwMode="auto">
                      <a:xfrm>
                        <a:off x="0" y="0"/>
                        <a:ext cx="1828800" cy="195480"/>
                      </a:xfrm>
                      <a:prstGeom prst="rect">
                        <a:avLst/>
                      </a:prstGeom>
                      <a:noFill/>
                      <a:ln w="6350">
                        <a:noFill/>
                      </a:ln>
                    </wps:spPr>
                    <wps:style>
                      <a:lnRef idx="0">
                        <a:schemeClr val="accent1"/>
                      </a:lnRef>
                      <a:fillRef idx="0">
                        <a:schemeClr val="accent1"/>
                      </a:fillRef>
                      <a:effectRef idx="0">
                        <a:schemeClr val="accent1"/>
                      </a:effectRef>
                      <a:fontRef idx="minor"/>
                    </wps:style>
                    <wps:txbx>
                      <w:txbxContent>
                        <w:p>
                          <w:pPr>
                            <w:pStyle w:val="1034"/>
                            <w:ind w:firstLine="360"/>
                            <w:rPr>
                              <w:rFonts w:eastAsia="宋体"/>
                              <w:lang w:val="en-US" w:eastAsia="zh-CN"/>
                            </w:rPr>
                          </w:pPr>
                          <w:r>
                            <w:rPr>
                              <w:rFonts w:eastAsia="宋体"/>
                              <w:color w:val="000000"/>
                              <w:lang w:val="en-US" w:eastAsia="zh-CN"/>
                            </w:rPr>
                            <w:t xml:space="preserve">·</w:t>
                          </w:r>
                          <w:r/>
                        </w:p>
                      </w:txbxContent>
                    </wps:txbx>
                    <wps:bodyPr lIns="0" tIns="0" rIns="0" bIns="0">
                      <a:spAutoFit/>
                    </wps:bodyPr>
                  </wps:wsp>
                </a:graphicData>
              </a:graphic>
            </wp:anchor>
          </w:drawing>
        </mc:Choice>
        <mc:Fallback>
          <w:pict>
            <v:shape id="shape 0" o:spid="_x0000_s0" o:spt="1" type="#_x0000_t1" style="position:absolute;z-index:-251659264;o:allowoverlap:true;o:allowincell:false;mso-position-horizontal-relative:margin;mso-position-horizontal:center;mso-position-vertical-relative:text;margin-top:0.0pt;mso-position-vertical:absolute;width:144.0pt;height:15.4pt;mso-wrap-distance-left:0.0pt;mso-wrap-distance-top:0.0pt;mso-wrap-distance-right:0.0pt;mso-wrap-distance-bottom:0.0pt;visibility:visible;" filled="f" stroked="f" strokeweight="0.50pt">
              <v:textbox inset="0,0,0,0">
                <w:txbxContent>
                  <w:p>
                    <w:pPr>
                      <w:pStyle w:val="1034"/>
                      <w:ind w:firstLine="360"/>
                      <w:rPr>
                        <w:rFonts w:eastAsia="宋体"/>
                        <w:lang w:val="en-US" w:eastAsia="zh-CN"/>
                      </w:rPr>
                    </w:pPr>
                    <w:r>
                      <w:rPr>
                        <w:rFonts w:eastAsia="宋体"/>
                        <w:color w:val="000000"/>
                        <w:lang w:val="en-US" w:eastAsia="zh-CN"/>
                      </w:rPr>
                      <w:t xml:space="preserve">·</w:t>
                    </w:r>
                    <w:r/>
                  </w:p>
                </w:txbxContent>
              </v:textbox>
            </v:shape>
          </w:pict>
        </mc:Fallback>
      </mc:AlternateContent>
    </w:r>
    <w:r/>
  </w:p>
  <w:p>
    <w:pPr>
      <w:pStyle w:val="1034"/>
    </w:pPr>
    <w:r/>
    <w:r/>
  </w:p>
  <w:p>
    <w:pPr>
      <w:pStyle w:val="10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1829435" cy="196215"/>
              <wp:effectExtent l="0" t="0" r="0" b="0"/>
              <wp:wrapNone/>
              <wp:docPr id="2" name="文本框 49_0"/>
              <wp:cNvGraphicFramePr/>
              <a:graphic xmlns:a="http://schemas.openxmlformats.org/drawingml/2006/main">
                <a:graphicData uri="http://schemas.microsoft.com/office/word/2010/wordprocessingShape">
                  <wps:wsp>
                    <wps:cNvPr id="0" name=""/>
                    <wps:cNvSpPr/>
                    <wps:spPr bwMode="auto">
                      <a:xfrm>
                        <a:off x="0" y="0"/>
                        <a:ext cx="1828800" cy="195480"/>
                      </a:xfrm>
                      <a:prstGeom prst="rect">
                        <a:avLst/>
                      </a:prstGeom>
                      <a:noFill/>
                      <a:ln w="6350">
                        <a:noFill/>
                      </a:ln>
                    </wps:spPr>
                    <wps:style>
                      <a:lnRef idx="0">
                        <a:schemeClr val="accent1"/>
                      </a:lnRef>
                      <a:fillRef idx="0">
                        <a:schemeClr val="accent1"/>
                      </a:fillRef>
                      <a:effectRef idx="0">
                        <a:schemeClr val="accent1"/>
                      </a:effectRef>
                      <a:fontRef idx="minor"/>
                    </wps:style>
                    <wps:txbx>
                      <w:txbxContent>
                        <w:p>
                          <w:pPr>
                            <w:pStyle w:val="1034"/>
                            <w:ind w:firstLine="360"/>
                            <w:rPr>
                              <w:rFonts w:eastAsia="宋体"/>
                              <w:lang w:val="en-US" w:eastAsia="zh-CN"/>
                            </w:rPr>
                          </w:pPr>
                          <w:r>
                            <w:rPr>
                              <w:rFonts w:eastAsia="宋体"/>
                              <w:color w:val="000000"/>
                              <w:lang w:val="en-US" w:eastAsia="zh-CN"/>
                            </w:rPr>
                            <w:t xml:space="preserve">·</w:t>
                          </w:r>
                          <w:r/>
                        </w:p>
                      </w:txbxContent>
                    </wps:txbx>
                    <wps:bodyPr lIns="0" tIns="0" rIns="0" bIns="0">
                      <a:spAutoFit/>
                    </wps:bodyPr>
                  </wps:wsp>
                </a:graphicData>
              </a:graphic>
            </wp:anchor>
          </w:drawing>
        </mc:Choice>
        <mc:Fallback>
          <w:pict>
            <v:shape id="shape 1" o:spid="_x0000_s1" o:spt="1" type="#_x0000_t1" style="position:absolute;z-index:-251659264;o:allowoverlap:true;o:allowincell:false;mso-position-horizontal-relative:margin;mso-position-horizontal:center;mso-position-vertical-relative:text;margin-top:0.0pt;mso-position-vertical:absolute;width:144.0pt;height:15.4pt;mso-wrap-distance-left:0.0pt;mso-wrap-distance-top:0.0pt;mso-wrap-distance-right:0.0pt;mso-wrap-distance-bottom:0.0pt;visibility:visible;" filled="f" stroked="f" strokeweight="0.50pt">
              <v:textbox inset="0,0,0,0">
                <w:txbxContent>
                  <w:p>
                    <w:pPr>
                      <w:pStyle w:val="1034"/>
                      <w:ind w:firstLine="360"/>
                      <w:rPr>
                        <w:rFonts w:eastAsia="宋体"/>
                        <w:lang w:val="en-US" w:eastAsia="zh-CN"/>
                      </w:rPr>
                    </w:pPr>
                    <w:r>
                      <w:rPr>
                        <w:rFonts w:eastAsia="宋体"/>
                        <w:color w:val="000000"/>
                        <w:lang w:val="en-US" w:eastAsia="zh-CN"/>
                      </w:rPr>
                      <w:t xml:space="preserve">·</w:t>
                    </w:r>
                    <w:r/>
                  </w:p>
                </w:txbxContent>
              </v:textbox>
            </v:shape>
          </w:pict>
        </mc:Fallback>
      </mc:AlternateContent>
    </w:r>
    <w:r/>
  </w:p>
  <w:p>
    <w:pPr>
      <w:pStyle w:val="1034"/>
    </w:pPr>
    <w:r/>
    <w:r/>
  </w:p>
  <w:p>
    <w:pPr>
      <w:pStyle w:val="10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Pr>
        <w:rFonts w:hint="eastAsia" w:ascii="宋体" w:hAnsi="宋体" w:cs="宋体"/>
        <w:bCs/>
        <w:szCs w:val="21"/>
        <w:lang w:eastAsia="zh-CN"/>
      </w:rPr>
      <w:t xml:space="preserve">南京市六合区沿河路166号办公区食堂食材采购及配送项目</w:t>
    </w:r>
    <w:r>
      <w:rPr>
        <w:rFonts w:ascii="宋体" w:hAnsi="宋体" w:cs="宋体"/>
        <w:bCs/>
        <w:szCs w:val="21"/>
      </w:rPr>
      <w:t xml:space="preserve">招标文件</w:t>
    </w:r>
    <w:r/>
  </w:p>
  <w:p>
    <w:pPr>
      <w:pStyle w:val="10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Pr>
        <w:rFonts w:hint="eastAsia" w:ascii="宋体" w:hAnsi="宋体" w:cs="宋体"/>
        <w:bCs/>
        <w:szCs w:val="21"/>
        <w:lang w:eastAsia="zh-CN"/>
      </w:rPr>
      <w:t xml:space="preserve">南京市六合区沿河路166号办公区食堂食材采购及配送项目</w:t>
    </w:r>
    <w:r>
      <w:rPr>
        <w:rFonts w:ascii="宋体" w:hAnsi="宋体" w:cs="宋体"/>
        <w:bCs/>
        <w:szCs w:val="21"/>
      </w:rPr>
      <w:t xml:space="preserve">招标文件</w:t>
    </w:r>
    <w:r/>
  </w:p>
  <w:p>
    <w:pPr>
      <w:pStyle w:val="10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Pr>
        <w:rFonts w:hint="eastAsia" w:ascii="宋体" w:hAnsi="宋体" w:cs="宋体"/>
        <w:bCs/>
        <w:szCs w:val="21"/>
        <w:lang w:eastAsia="zh-CN"/>
      </w:rPr>
      <w:t xml:space="preserve">南京市六合区沿河路166号办公区食堂食材采购及配送项目</w:t>
    </w:r>
    <w:r>
      <w:rPr>
        <w:rFonts w:ascii="宋体" w:hAnsi="宋体" w:cs="宋体"/>
        <w:bCs/>
        <w:szCs w:val="21"/>
      </w:rPr>
      <w:t xml:space="preserve">招标文件</w:t>
    </w:r>
    <w:r/>
  </w:p>
  <w:p>
    <w:pPr>
      <w:pStyle w:val="10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Pr>
        <w:rFonts w:hint="eastAsia" w:ascii="宋体" w:hAnsi="宋体" w:cs="宋体"/>
        <w:bCs/>
        <w:szCs w:val="21"/>
        <w:lang w:eastAsia="zh-CN"/>
      </w:rPr>
      <w:t xml:space="preserve">南京市六合区沿河路166号办公区食堂食材采购及配送项目</w:t>
    </w:r>
    <w:r>
      <w:rPr>
        <w:rFonts w:ascii="宋体" w:hAnsi="宋体" w:cs="宋体"/>
        <w:bCs/>
        <w:szCs w:val="21"/>
      </w:rPr>
      <w:t xml:space="preserve">招标文件</w:t>
    </w:r>
    <w:r/>
  </w:p>
  <w:p>
    <w:pPr>
      <w:pStyle w:val="10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Pr>
        <w:rFonts w:hint="eastAsia" w:ascii="宋体" w:hAnsi="宋体" w:cs="宋体"/>
        <w:bCs/>
        <w:szCs w:val="21"/>
        <w:lang w:eastAsia="zh-CN"/>
      </w:rPr>
      <w:t xml:space="preserve">南京市六合区沿河路166号办公区食堂食材采购及配送项目</w:t>
    </w:r>
    <w:r>
      <w:rPr>
        <w:rFonts w:ascii="宋体" w:hAnsi="宋体" w:cs="宋体"/>
        <w:bCs/>
        <w:szCs w:val="21"/>
      </w:rPr>
      <w:t xml:space="preserve">招标文件</w:t>
    </w:r>
    <w:r/>
  </w:p>
  <w:p>
    <w:pPr>
      <w:pStyle w:val="10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taiwaneseCountingThousand"/>
      <w:isLgl w:val="false"/>
      <w:suff w:val="space"/>
      <w:lvlText w:val="第%1章"/>
      <w:lvlJc w:val="left"/>
      <w:pPr>
        <w:ind w:left="0" w:firstLine="0"/>
        <w:tabs>
          <w:tab w:val="left" w:pos="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440" w:hanging="360"/>
        <w:tabs>
          <w:tab w:val="left" w:pos="1440" w:leader="none"/>
        </w:tabs>
      </w:pPr>
    </w:lvl>
    <w:lvl w:ilvl="3">
      <w:start w:val="1"/>
      <w:numFmt w:val="decimal"/>
      <w:isLgl w:val="false"/>
      <w:suff w:val="tab"/>
      <w:lvlText w:val="%4."/>
      <w:lvlJc w:val="left"/>
      <w:pPr>
        <w:ind w:left="1800" w:hanging="360"/>
        <w:tabs>
          <w:tab w:val="left" w:pos="1800" w:leader="none"/>
        </w:tabs>
      </w:pPr>
    </w:lvl>
    <w:lvl w:ilvl="4">
      <w:start w:val="1"/>
      <w:numFmt w:val="decimal"/>
      <w:isLgl w:val="false"/>
      <w:suff w:val="tab"/>
      <w:lvlText w:val="%5."/>
      <w:lvlJc w:val="left"/>
      <w:pPr>
        <w:ind w:left="2160" w:hanging="360"/>
        <w:tabs>
          <w:tab w:val="left" w:pos="2160" w:leader="none"/>
        </w:tabs>
      </w:pPr>
    </w:lvl>
    <w:lvl w:ilvl="5">
      <w:start w:val="1"/>
      <w:numFmt w:val="decimal"/>
      <w:isLgl w:val="false"/>
      <w:suff w:val="tab"/>
      <w:lvlText w:val="%6."/>
      <w:lvlJc w:val="left"/>
      <w:pPr>
        <w:ind w:left="2520" w:hanging="360"/>
        <w:tabs>
          <w:tab w:val="left" w:pos="2520" w:leader="none"/>
        </w:tabs>
      </w:pPr>
    </w:lvl>
    <w:lvl w:ilvl="6">
      <w:start w:val="1"/>
      <w:numFmt w:val="decimal"/>
      <w:isLgl w:val="false"/>
      <w:suff w:val="tab"/>
      <w:lvlText w:val="%7."/>
      <w:lvlJc w:val="left"/>
      <w:pPr>
        <w:ind w:left="2880" w:hanging="360"/>
        <w:tabs>
          <w:tab w:val="left" w:pos="2880" w:leader="none"/>
        </w:tabs>
      </w:pPr>
    </w:lvl>
    <w:lvl w:ilvl="7">
      <w:start w:val="1"/>
      <w:numFmt w:val="decimal"/>
      <w:isLgl w:val="false"/>
      <w:suff w:val="tab"/>
      <w:lvlText w:val="%8."/>
      <w:lvlJc w:val="left"/>
      <w:pPr>
        <w:ind w:left="3240" w:hanging="360"/>
        <w:tabs>
          <w:tab w:val="left" w:pos="3240" w:leader="none"/>
        </w:tabs>
      </w:pPr>
    </w:lvl>
    <w:lvl w:ilvl="8">
      <w:start w:val="1"/>
      <w:numFmt w:val="decimal"/>
      <w:isLgl w:val="false"/>
      <w:suff w:val="tab"/>
      <w:lvlText w:val="%9."/>
      <w:lvlJc w:val="left"/>
      <w:pPr>
        <w:ind w:left="3600" w:hanging="360"/>
        <w:tabs>
          <w:tab w:val="left" w:pos="3600" w:leader="none"/>
        </w:tabs>
      </w:pPr>
    </w:lvl>
  </w:abstractNum>
  <w:abstractNum w:abstractNumId="1">
    <w:multiLevelType w:val="hybridMultilevel"/>
    <w:lvl w:ilvl="0">
      <w:start w:val="2"/>
      <w:numFmt w:val="taiwaneseCountingThousand"/>
      <w:isLgl w:val="false"/>
      <w:suff w:val="nothing"/>
      <w:lvlText w:val="%1、"/>
      <w:lvlJc w:val="left"/>
      <w:pPr>
        <w:ind w:left="0" w:firstLine="0"/>
        <w:tabs>
          <w:tab w:val="left" w:pos="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440" w:hanging="360"/>
        <w:tabs>
          <w:tab w:val="left" w:pos="1440" w:leader="none"/>
        </w:tabs>
      </w:pPr>
    </w:lvl>
    <w:lvl w:ilvl="3">
      <w:start w:val="1"/>
      <w:numFmt w:val="decimal"/>
      <w:isLgl w:val="false"/>
      <w:suff w:val="tab"/>
      <w:lvlText w:val="%4."/>
      <w:lvlJc w:val="left"/>
      <w:pPr>
        <w:ind w:left="1800" w:hanging="360"/>
        <w:tabs>
          <w:tab w:val="left" w:pos="1800" w:leader="none"/>
        </w:tabs>
      </w:pPr>
    </w:lvl>
    <w:lvl w:ilvl="4">
      <w:start w:val="1"/>
      <w:numFmt w:val="decimal"/>
      <w:isLgl w:val="false"/>
      <w:suff w:val="tab"/>
      <w:lvlText w:val="%5."/>
      <w:lvlJc w:val="left"/>
      <w:pPr>
        <w:ind w:left="2160" w:hanging="360"/>
        <w:tabs>
          <w:tab w:val="left" w:pos="2160" w:leader="none"/>
        </w:tabs>
      </w:pPr>
    </w:lvl>
    <w:lvl w:ilvl="5">
      <w:start w:val="1"/>
      <w:numFmt w:val="decimal"/>
      <w:isLgl w:val="false"/>
      <w:suff w:val="tab"/>
      <w:lvlText w:val="%6."/>
      <w:lvlJc w:val="left"/>
      <w:pPr>
        <w:ind w:left="2520" w:hanging="360"/>
        <w:tabs>
          <w:tab w:val="left" w:pos="2520" w:leader="none"/>
        </w:tabs>
      </w:pPr>
    </w:lvl>
    <w:lvl w:ilvl="6">
      <w:start w:val="1"/>
      <w:numFmt w:val="decimal"/>
      <w:isLgl w:val="false"/>
      <w:suff w:val="tab"/>
      <w:lvlText w:val="%7."/>
      <w:lvlJc w:val="left"/>
      <w:pPr>
        <w:ind w:left="2880" w:hanging="360"/>
        <w:tabs>
          <w:tab w:val="left" w:pos="2880" w:leader="none"/>
        </w:tabs>
      </w:pPr>
    </w:lvl>
    <w:lvl w:ilvl="7">
      <w:start w:val="1"/>
      <w:numFmt w:val="decimal"/>
      <w:isLgl w:val="false"/>
      <w:suff w:val="tab"/>
      <w:lvlText w:val="%8."/>
      <w:lvlJc w:val="left"/>
      <w:pPr>
        <w:ind w:left="3240" w:hanging="360"/>
        <w:tabs>
          <w:tab w:val="left" w:pos="3240" w:leader="none"/>
        </w:tabs>
      </w:pPr>
    </w:lvl>
    <w:lvl w:ilvl="8">
      <w:start w:val="1"/>
      <w:numFmt w:val="decimal"/>
      <w:isLgl w:val="false"/>
      <w:suff w:val="tab"/>
      <w:lvlText w:val="%9."/>
      <w:lvlJc w:val="left"/>
      <w:pPr>
        <w:ind w:left="3600" w:hanging="360"/>
        <w:tabs>
          <w:tab w:val="left" w:pos="3600" w:leader="none"/>
        </w:tabs>
      </w:pPr>
    </w:lvl>
  </w:abstractNum>
  <w:abstractNum w:abstractNumId="2">
    <w:multiLevelType w:val="hybridMultilevel"/>
    <w:lvl w:ilvl="0">
      <w:start w:val="3"/>
      <w:numFmt w:val="taiwaneseCountingThousand"/>
      <w:isLgl w:val="false"/>
      <w:suff w:val="nothing"/>
      <w:lvlText w:val="%1、"/>
      <w:lvlJc w:val="left"/>
      <w:pPr>
        <w:ind w:left="0" w:firstLine="0"/>
        <w:tabs>
          <w:tab w:val="left" w:pos="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440" w:hanging="360"/>
        <w:tabs>
          <w:tab w:val="left" w:pos="1440" w:leader="none"/>
        </w:tabs>
      </w:pPr>
    </w:lvl>
    <w:lvl w:ilvl="3">
      <w:start w:val="1"/>
      <w:numFmt w:val="decimal"/>
      <w:isLgl w:val="false"/>
      <w:suff w:val="tab"/>
      <w:lvlText w:val="%4."/>
      <w:lvlJc w:val="left"/>
      <w:pPr>
        <w:ind w:left="1800" w:hanging="360"/>
        <w:tabs>
          <w:tab w:val="left" w:pos="1800" w:leader="none"/>
        </w:tabs>
      </w:pPr>
    </w:lvl>
    <w:lvl w:ilvl="4">
      <w:start w:val="1"/>
      <w:numFmt w:val="decimal"/>
      <w:isLgl w:val="false"/>
      <w:suff w:val="tab"/>
      <w:lvlText w:val="%5."/>
      <w:lvlJc w:val="left"/>
      <w:pPr>
        <w:ind w:left="2160" w:hanging="360"/>
        <w:tabs>
          <w:tab w:val="left" w:pos="2160" w:leader="none"/>
        </w:tabs>
      </w:pPr>
    </w:lvl>
    <w:lvl w:ilvl="5">
      <w:start w:val="1"/>
      <w:numFmt w:val="decimal"/>
      <w:isLgl w:val="false"/>
      <w:suff w:val="tab"/>
      <w:lvlText w:val="%6."/>
      <w:lvlJc w:val="left"/>
      <w:pPr>
        <w:ind w:left="2520" w:hanging="360"/>
        <w:tabs>
          <w:tab w:val="left" w:pos="2520" w:leader="none"/>
        </w:tabs>
      </w:pPr>
    </w:lvl>
    <w:lvl w:ilvl="6">
      <w:start w:val="1"/>
      <w:numFmt w:val="decimal"/>
      <w:isLgl w:val="false"/>
      <w:suff w:val="tab"/>
      <w:lvlText w:val="%7."/>
      <w:lvlJc w:val="left"/>
      <w:pPr>
        <w:ind w:left="2880" w:hanging="360"/>
        <w:tabs>
          <w:tab w:val="left" w:pos="2880" w:leader="none"/>
        </w:tabs>
      </w:pPr>
    </w:lvl>
    <w:lvl w:ilvl="7">
      <w:start w:val="1"/>
      <w:numFmt w:val="decimal"/>
      <w:isLgl w:val="false"/>
      <w:suff w:val="tab"/>
      <w:lvlText w:val="%8."/>
      <w:lvlJc w:val="left"/>
      <w:pPr>
        <w:ind w:left="3240" w:hanging="360"/>
        <w:tabs>
          <w:tab w:val="left" w:pos="3240" w:leader="none"/>
        </w:tabs>
      </w:pPr>
    </w:lvl>
    <w:lvl w:ilvl="8">
      <w:start w:val="1"/>
      <w:numFmt w:val="decimal"/>
      <w:isLgl w:val="false"/>
      <w:suff w:val="tab"/>
      <w:lvlText w:val="%9."/>
      <w:lvlJc w:val="left"/>
      <w:pPr>
        <w:ind w:left="3600" w:hanging="360"/>
        <w:tabs>
          <w:tab w:val="left" w:pos="3600" w:leader="none"/>
        </w:tabs>
      </w:pPr>
    </w:lvl>
  </w:abstractNum>
  <w:abstractNum w:abstractNumId="3">
    <w:multiLevelType w:val="hybridMultilevel"/>
    <w:lvl w:ilvl="0">
      <w:start w:val="4"/>
      <w:numFmt w:val="taiwaneseCountingThousand"/>
      <w:isLgl w:val="false"/>
      <w:suff w:val="space"/>
      <w:lvlText w:val="第%1章"/>
      <w:lvlJc w:val="left"/>
      <w:pPr>
        <w:ind w:left="0" w:firstLine="0"/>
        <w:tabs>
          <w:tab w:val="left" w:pos="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440" w:hanging="360"/>
        <w:tabs>
          <w:tab w:val="left" w:pos="1440" w:leader="none"/>
        </w:tabs>
      </w:pPr>
    </w:lvl>
    <w:lvl w:ilvl="3">
      <w:start w:val="1"/>
      <w:numFmt w:val="decimal"/>
      <w:isLgl w:val="false"/>
      <w:suff w:val="tab"/>
      <w:lvlText w:val="%4."/>
      <w:lvlJc w:val="left"/>
      <w:pPr>
        <w:ind w:left="1800" w:hanging="360"/>
        <w:tabs>
          <w:tab w:val="left" w:pos="1800" w:leader="none"/>
        </w:tabs>
      </w:pPr>
    </w:lvl>
    <w:lvl w:ilvl="4">
      <w:start w:val="1"/>
      <w:numFmt w:val="decimal"/>
      <w:isLgl w:val="false"/>
      <w:suff w:val="tab"/>
      <w:lvlText w:val="%5."/>
      <w:lvlJc w:val="left"/>
      <w:pPr>
        <w:ind w:left="2160" w:hanging="360"/>
        <w:tabs>
          <w:tab w:val="left" w:pos="2160" w:leader="none"/>
        </w:tabs>
      </w:pPr>
    </w:lvl>
    <w:lvl w:ilvl="5">
      <w:start w:val="1"/>
      <w:numFmt w:val="decimal"/>
      <w:isLgl w:val="false"/>
      <w:suff w:val="tab"/>
      <w:lvlText w:val="%6."/>
      <w:lvlJc w:val="left"/>
      <w:pPr>
        <w:ind w:left="2520" w:hanging="360"/>
        <w:tabs>
          <w:tab w:val="left" w:pos="2520" w:leader="none"/>
        </w:tabs>
      </w:pPr>
    </w:lvl>
    <w:lvl w:ilvl="6">
      <w:start w:val="1"/>
      <w:numFmt w:val="decimal"/>
      <w:isLgl w:val="false"/>
      <w:suff w:val="tab"/>
      <w:lvlText w:val="%7."/>
      <w:lvlJc w:val="left"/>
      <w:pPr>
        <w:ind w:left="2880" w:hanging="360"/>
        <w:tabs>
          <w:tab w:val="left" w:pos="2880" w:leader="none"/>
        </w:tabs>
      </w:pPr>
    </w:lvl>
    <w:lvl w:ilvl="7">
      <w:start w:val="1"/>
      <w:numFmt w:val="decimal"/>
      <w:isLgl w:val="false"/>
      <w:suff w:val="tab"/>
      <w:lvlText w:val="%8."/>
      <w:lvlJc w:val="left"/>
      <w:pPr>
        <w:ind w:left="3240" w:hanging="360"/>
        <w:tabs>
          <w:tab w:val="left" w:pos="3240" w:leader="none"/>
        </w:tabs>
      </w:pPr>
    </w:lvl>
    <w:lvl w:ilvl="8">
      <w:start w:val="1"/>
      <w:numFmt w:val="decimal"/>
      <w:isLgl w:val="false"/>
      <w:suff w:val="tab"/>
      <w:lvlText w:val="%9."/>
      <w:lvlJc w:val="left"/>
      <w:pPr>
        <w:ind w:left="3600" w:hanging="360"/>
        <w:tabs>
          <w:tab w:val="left" w:pos="3600" w:leader="none"/>
        </w:tabs>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1">
    <w:name w:val="Heading 1 Char"/>
    <w:basedOn w:val="1017"/>
    <w:link w:val="1016"/>
    <w:uiPriority w:val="9"/>
    <w:rPr>
      <w:rFonts w:ascii="Arial" w:hAnsi="Arial" w:eastAsia="Arial" w:cs="Arial"/>
      <w:sz w:val="40"/>
      <w:szCs w:val="40"/>
    </w:rPr>
  </w:style>
  <w:style w:type="paragraph" w:styleId="842">
    <w:name w:val="Heading 2"/>
    <w:basedOn w:val="1015"/>
    <w:next w:val="1015"/>
    <w:link w:val="843"/>
    <w:uiPriority w:val="9"/>
    <w:unhideWhenUsed/>
    <w:qFormat/>
    <w:pPr>
      <w:keepLines/>
      <w:keepNext/>
      <w:spacing w:before="360" w:after="200"/>
      <w:outlineLvl w:val="1"/>
    </w:pPr>
    <w:rPr>
      <w:rFonts w:ascii="Arial" w:hAnsi="Arial" w:eastAsia="Arial" w:cs="Arial"/>
      <w:sz w:val="34"/>
    </w:rPr>
  </w:style>
  <w:style w:type="character" w:styleId="843">
    <w:name w:val="Heading 2 Char"/>
    <w:basedOn w:val="1017"/>
    <w:link w:val="842"/>
    <w:uiPriority w:val="9"/>
    <w:rPr>
      <w:rFonts w:ascii="Arial" w:hAnsi="Arial" w:eastAsia="Arial" w:cs="Arial"/>
      <w:sz w:val="34"/>
    </w:rPr>
  </w:style>
  <w:style w:type="paragraph" w:styleId="844">
    <w:name w:val="Heading 3"/>
    <w:basedOn w:val="1015"/>
    <w:next w:val="1015"/>
    <w:link w:val="845"/>
    <w:uiPriority w:val="9"/>
    <w:unhideWhenUsed/>
    <w:qFormat/>
    <w:pPr>
      <w:keepLines/>
      <w:keepNext/>
      <w:spacing w:before="320" w:after="200"/>
      <w:outlineLvl w:val="2"/>
    </w:pPr>
    <w:rPr>
      <w:rFonts w:ascii="Arial" w:hAnsi="Arial" w:eastAsia="Arial" w:cs="Arial"/>
      <w:sz w:val="30"/>
      <w:szCs w:val="30"/>
    </w:rPr>
  </w:style>
  <w:style w:type="character" w:styleId="845">
    <w:name w:val="Heading 3 Char"/>
    <w:basedOn w:val="1017"/>
    <w:link w:val="844"/>
    <w:uiPriority w:val="9"/>
    <w:rPr>
      <w:rFonts w:ascii="Arial" w:hAnsi="Arial" w:eastAsia="Arial" w:cs="Arial"/>
      <w:sz w:val="30"/>
      <w:szCs w:val="30"/>
    </w:rPr>
  </w:style>
  <w:style w:type="paragraph" w:styleId="846">
    <w:name w:val="Heading 4"/>
    <w:basedOn w:val="1015"/>
    <w:next w:val="1015"/>
    <w:link w:val="847"/>
    <w:uiPriority w:val="9"/>
    <w:unhideWhenUsed/>
    <w:qFormat/>
    <w:pPr>
      <w:keepLines/>
      <w:keepNext/>
      <w:spacing w:before="320" w:after="200"/>
      <w:outlineLvl w:val="3"/>
    </w:pPr>
    <w:rPr>
      <w:rFonts w:ascii="Arial" w:hAnsi="Arial" w:eastAsia="Arial" w:cs="Arial"/>
      <w:b/>
      <w:bCs/>
      <w:sz w:val="26"/>
      <w:szCs w:val="26"/>
    </w:rPr>
  </w:style>
  <w:style w:type="character" w:styleId="847">
    <w:name w:val="Heading 4 Char"/>
    <w:basedOn w:val="1017"/>
    <w:link w:val="846"/>
    <w:uiPriority w:val="9"/>
    <w:rPr>
      <w:rFonts w:ascii="Arial" w:hAnsi="Arial" w:eastAsia="Arial" w:cs="Arial"/>
      <w:b/>
      <w:bCs/>
      <w:sz w:val="26"/>
      <w:szCs w:val="26"/>
    </w:rPr>
  </w:style>
  <w:style w:type="paragraph" w:styleId="848">
    <w:name w:val="Heading 5"/>
    <w:basedOn w:val="1015"/>
    <w:next w:val="1015"/>
    <w:link w:val="849"/>
    <w:uiPriority w:val="9"/>
    <w:unhideWhenUsed/>
    <w:qFormat/>
    <w:pPr>
      <w:keepLines/>
      <w:keepNext/>
      <w:spacing w:before="320" w:after="200"/>
      <w:outlineLvl w:val="4"/>
    </w:pPr>
    <w:rPr>
      <w:rFonts w:ascii="Arial" w:hAnsi="Arial" w:eastAsia="Arial" w:cs="Arial"/>
      <w:b/>
      <w:bCs/>
      <w:sz w:val="24"/>
      <w:szCs w:val="24"/>
    </w:rPr>
  </w:style>
  <w:style w:type="character" w:styleId="849">
    <w:name w:val="Heading 5 Char"/>
    <w:basedOn w:val="1017"/>
    <w:link w:val="848"/>
    <w:uiPriority w:val="9"/>
    <w:rPr>
      <w:rFonts w:ascii="Arial" w:hAnsi="Arial" w:eastAsia="Arial" w:cs="Arial"/>
      <w:b/>
      <w:bCs/>
      <w:sz w:val="24"/>
      <w:szCs w:val="24"/>
    </w:rPr>
  </w:style>
  <w:style w:type="paragraph" w:styleId="850">
    <w:name w:val="Heading 6"/>
    <w:basedOn w:val="1015"/>
    <w:next w:val="1015"/>
    <w:link w:val="851"/>
    <w:uiPriority w:val="9"/>
    <w:unhideWhenUsed/>
    <w:qFormat/>
    <w:pPr>
      <w:keepLines/>
      <w:keepNext/>
      <w:spacing w:before="320" w:after="200"/>
      <w:outlineLvl w:val="5"/>
    </w:pPr>
    <w:rPr>
      <w:rFonts w:ascii="Arial" w:hAnsi="Arial" w:eastAsia="Arial" w:cs="Arial"/>
      <w:b/>
      <w:bCs/>
      <w:sz w:val="22"/>
      <w:szCs w:val="22"/>
    </w:rPr>
  </w:style>
  <w:style w:type="character" w:styleId="851">
    <w:name w:val="Heading 6 Char"/>
    <w:basedOn w:val="1017"/>
    <w:link w:val="850"/>
    <w:uiPriority w:val="9"/>
    <w:rPr>
      <w:rFonts w:ascii="Arial" w:hAnsi="Arial" w:eastAsia="Arial" w:cs="Arial"/>
      <w:b/>
      <w:bCs/>
      <w:sz w:val="22"/>
      <w:szCs w:val="22"/>
    </w:rPr>
  </w:style>
  <w:style w:type="paragraph" w:styleId="852">
    <w:name w:val="Heading 7"/>
    <w:basedOn w:val="1015"/>
    <w:next w:val="1015"/>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name w:val="Heading 7 Char"/>
    <w:basedOn w:val="1017"/>
    <w:link w:val="852"/>
    <w:uiPriority w:val="9"/>
    <w:rPr>
      <w:rFonts w:ascii="Arial" w:hAnsi="Arial" w:eastAsia="Arial" w:cs="Arial"/>
      <w:b/>
      <w:bCs/>
      <w:i/>
      <w:iCs/>
      <w:sz w:val="22"/>
      <w:szCs w:val="22"/>
    </w:rPr>
  </w:style>
  <w:style w:type="paragraph" w:styleId="854">
    <w:name w:val="Heading 8"/>
    <w:basedOn w:val="1015"/>
    <w:next w:val="1015"/>
    <w:link w:val="855"/>
    <w:uiPriority w:val="9"/>
    <w:unhideWhenUsed/>
    <w:qFormat/>
    <w:pPr>
      <w:keepLines/>
      <w:keepNext/>
      <w:spacing w:before="320" w:after="200"/>
      <w:outlineLvl w:val="7"/>
    </w:pPr>
    <w:rPr>
      <w:rFonts w:ascii="Arial" w:hAnsi="Arial" w:eastAsia="Arial" w:cs="Arial"/>
      <w:i/>
      <w:iCs/>
      <w:sz w:val="22"/>
      <w:szCs w:val="22"/>
    </w:rPr>
  </w:style>
  <w:style w:type="character" w:styleId="855">
    <w:name w:val="Heading 8 Char"/>
    <w:basedOn w:val="1017"/>
    <w:link w:val="854"/>
    <w:uiPriority w:val="9"/>
    <w:rPr>
      <w:rFonts w:ascii="Arial" w:hAnsi="Arial" w:eastAsia="Arial" w:cs="Arial"/>
      <w:i/>
      <w:iCs/>
      <w:sz w:val="22"/>
      <w:szCs w:val="22"/>
    </w:rPr>
  </w:style>
  <w:style w:type="paragraph" w:styleId="856">
    <w:name w:val="Heading 9"/>
    <w:basedOn w:val="1015"/>
    <w:next w:val="1015"/>
    <w:link w:val="857"/>
    <w:uiPriority w:val="9"/>
    <w:unhideWhenUsed/>
    <w:qFormat/>
    <w:pPr>
      <w:keepLines/>
      <w:keepNext/>
      <w:spacing w:before="320" w:after="200"/>
      <w:outlineLvl w:val="8"/>
    </w:pPr>
    <w:rPr>
      <w:rFonts w:ascii="Arial" w:hAnsi="Arial" w:eastAsia="Arial" w:cs="Arial"/>
      <w:i/>
      <w:iCs/>
      <w:sz w:val="21"/>
      <w:szCs w:val="21"/>
    </w:rPr>
  </w:style>
  <w:style w:type="character" w:styleId="857">
    <w:name w:val="Heading 9 Char"/>
    <w:basedOn w:val="1017"/>
    <w:link w:val="856"/>
    <w:uiPriority w:val="9"/>
    <w:rPr>
      <w:rFonts w:ascii="Arial" w:hAnsi="Arial" w:eastAsia="Arial" w:cs="Arial"/>
      <w:i/>
      <w:iCs/>
      <w:sz w:val="21"/>
      <w:szCs w:val="21"/>
    </w:rPr>
  </w:style>
  <w:style w:type="paragraph" w:styleId="858">
    <w:name w:val="List Paragraph"/>
    <w:basedOn w:val="1015"/>
    <w:uiPriority w:val="34"/>
    <w:qFormat/>
    <w:pPr>
      <w:contextualSpacing/>
      <w:ind w:left="720"/>
    </w:pPr>
  </w:style>
  <w:style w:type="paragraph" w:styleId="859">
    <w:name w:val="No Spacing"/>
    <w:uiPriority w:val="1"/>
    <w:qFormat/>
    <w:pPr>
      <w:spacing w:before="0" w:after="0" w:line="240" w:lineRule="auto"/>
    </w:pPr>
  </w:style>
  <w:style w:type="paragraph" w:styleId="860">
    <w:name w:val="Title"/>
    <w:basedOn w:val="1015"/>
    <w:next w:val="1015"/>
    <w:link w:val="861"/>
    <w:uiPriority w:val="10"/>
    <w:qFormat/>
    <w:pPr>
      <w:contextualSpacing/>
      <w:spacing w:before="300" w:after="200"/>
    </w:pPr>
    <w:rPr>
      <w:sz w:val="48"/>
      <w:szCs w:val="48"/>
    </w:rPr>
  </w:style>
  <w:style w:type="character" w:styleId="861">
    <w:name w:val="Title Char"/>
    <w:basedOn w:val="1017"/>
    <w:link w:val="860"/>
    <w:uiPriority w:val="10"/>
    <w:rPr>
      <w:sz w:val="48"/>
      <w:szCs w:val="48"/>
    </w:rPr>
  </w:style>
  <w:style w:type="paragraph" w:styleId="862">
    <w:name w:val="Subtitle"/>
    <w:basedOn w:val="1015"/>
    <w:next w:val="1015"/>
    <w:link w:val="863"/>
    <w:uiPriority w:val="11"/>
    <w:qFormat/>
    <w:pPr>
      <w:spacing w:before="200" w:after="200"/>
    </w:pPr>
    <w:rPr>
      <w:sz w:val="24"/>
      <w:szCs w:val="24"/>
    </w:rPr>
  </w:style>
  <w:style w:type="character" w:styleId="863">
    <w:name w:val="Subtitle Char"/>
    <w:basedOn w:val="1017"/>
    <w:link w:val="862"/>
    <w:uiPriority w:val="11"/>
    <w:rPr>
      <w:sz w:val="24"/>
      <w:szCs w:val="24"/>
    </w:rPr>
  </w:style>
  <w:style w:type="paragraph" w:styleId="864">
    <w:name w:val="Quote"/>
    <w:basedOn w:val="1015"/>
    <w:next w:val="1015"/>
    <w:link w:val="865"/>
    <w:uiPriority w:val="29"/>
    <w:qFormat/>
    <w:pPr>
      <w:ind w:left="720" w:right="720"/>
    </w:pPr>
    <w:rPr>
      <w:i/>
    </w:rPr>
  </w:style>
  <w:style w:type="character" w:styleId="865">
    <w:name w:val="Quote Char"/>
    <w:link w:val="864"/>
    <w:uiPriority w:val="29"/>
    <w:rPr>
      <w:i/>
    </w:rPr>
  </w:style>
  <w:style w:type="paragraph" w:styleId="866">
    <w:name w:val="Intense Quote"/>
    <w:basedOn w:val="1015"/>
    <w:next w:val="1015"/>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Intense Quote Char"/>
    <w:link w:val="866"/>
    <w:uiPriority w:val="30"/>
    <w:rPr>
      <w:i/>
    </w:rPr>
  </w:style>
  <w:style w:type="character" w:styleId="868">
    <w:name w:val="Header Char"/>
    <w:basedOn w:val="1017"/>
    <w:link w:val="1024"/>
    <w:uiPriority w:val="99"/>
  </w:style>
  <w:style w:type="character" w:styleId="869">
    <w:name w:val="Footer Char"/>
    <w:basedOn w:val="1017"/>
    <w:link w:val="1023"/>
    <w:uiPriority w:val="99"/>
  </w:style>
  <w:style w:type="paragraph" w:styleId="870">
    <w:name w:val="Caption"/>
    <w:basedOn w:val="1015"/>
    <w:next w:val="1015"/>
    <w:uiPriority w:val="35"/>
    <w:semiHidden/>
    <w:unhideWhenUsed/>
    <w:qFormat/>
    <w:pPr>
      <w:spacing w:line="276" w:lineRule="auto"/>
    </w:pPr>
    <w:rPr>
      <w:b/>
      <w:bCs/>
      <w:color w:val="4f81bd" w:themeColor="accent1"/>
      <w:sz w:val="18"/>
      <w:szCs w:val="18"/>
    </w:rPr>
  </w:style>
  <w:style w:type="character" w:styleId="871">
    <w:name w:val="Caption Char"/>
    <w:basedOn w:val="870"/>
    <w:link w:val="1023"/>
    <w:uiPriority w:val="99"/>
  </w:style>
  <w:style w:type="table" w:styleId="872">
    <w:name w:val="Table Grid Light"/>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3">
    <w:name w:val="Plain Table 1"/>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basedOn w:val="10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basedOn w:val="10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1 Light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0">
    <w:name w:val="Grid Table 1 Light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1">
    <w:name w:val="Grid Table 1 Light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2">
    <w:name w:val="Grid Table 1 Light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3">
    <w:name w:val="Grid Table 1 Light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4">
    <w:name w:val="Grid Table 1 Light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5">
    <w:name w:val="Grid Table 2"/>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6">
    <w:name w:val="Grid Table 2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7">
    <w:name w:val="Grid Table 2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2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2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2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1">
    <w:name w:val="Grid Table 2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2">
    <w:name w:val="Grid Table 3"/>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basedOn w:val="10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4 - Accent 1"/>
    <w:basedOn w:val="10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1">
    <w:name w:val="Grid Table 4 - Accent 2"/>
    <w:basedOn w:val="10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2">
    <w:name w:val="Grid Table 4 - Accent 3"/>
    <w:basedOn w:val="10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3">
    <w:name w:val="Grid Table 4 - Accent 4"/>
    <w:basedOn w:val="10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4">
    <w:name w:val="Grid Table 4 - Accent 5"/>
    <w:basedOn w:val="10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5">
    <w:name w:val="Grid Table 4 - Accent 6"/>
    <w:basedOn w:val="10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6">
    <w:name w:val="Grid Table 5 Dark"/>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5 Dark- Accent 1"/>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8">
    <w:name w:val="Grid Table 5 Dark - Accent 2"/>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9">
    <w:name w:val="Grid Table 5 Dark - Accent 3"/>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0">
    <w:name w:val="Grid Table 5 Dark- Accent 4"/>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1">
    <w:name w:val="Grid Table 5 Dark - Accent 5"/>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2">
    <w:name w:val="Grid Table 5 Dark - Accent 6"/>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3">
    <w:name w:val="Grid Table 6 Colorful"/>
    <w:basedOn w:val="10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6 Colorful - Accent 1"/>
    <w:basedOn w:val="10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5">
    <w:name w:val="Grid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6">
    <w:name w:val="Grid Table 6 Colorful - Accent 3"/>
    <w:basedOn w:val="10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7">
    <w:name w:val="Grid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8">
    <w:name w:val="Grid Table 6 Colorful - Accent 5"/>
    <w:basedOn w:val="10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9">
    <w:name w:val="Grid Table 6 Colorful - Accent 6"/>
    <w:basedOn w:val="10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0">
    <w:name w:val="Grid Table 7 Colorful"/>
    <w:basedOn w:val="10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Grid Table 7 Colorful - Accent 1"/>
    <w:basedOn w:val="10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2">
    <w:name w:val="Grid Table 7 Colorful - Accent 2"/>
    <w:basedOn w:val="10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7 Colorful - Accent 3"/>
    <w:basedOn w:val="10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7 Colorful - Accent 4"/>
    <w:basedOn w:val="10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7 Colorful - Accent 5"/>
    <w:basedOn w:val="10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6">
    <w:name w:val="Grid Table 7 Colorful - Accent 6"/>
    <w:basedOn w:val="10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7">
    <w:name w:val="List Table 1 Light"/>
    <w:basedOn w:val="10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1 Light - Accent 1"/>
    <w:basedOn w:val="10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9">
    <w:name w:val="List Table 1 Light - Accent 2"/>
    <w:basedOn w:val="10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0">
    <w:name w:val="List Table 1 Light - Accent 3"/>
    <w:basedOn w:val="10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1">
    <w:name w:val="List Table 1 Light - Accent 4"/>
    <w:basedOn w:val="10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2">
    <w:name w:val="List Table 1 Light - Accent 5"/>
    <w:basedOn w:val="10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3">
    <w:name w:val="List Table 1 Light - Accent 6"/>
    <w:basedOn w:val="10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4">
    <w:name w:val="List Table 2"/>
    <w:basedOn w:val="10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2 - Accent 1"/>
    <w:basedOn w:val="10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6">
    <w:name w:val="List Table 2 - Accent 2"/>
    <w:basedOn w:val="10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7">
    <w:name w:val="List Table 2 - Accent 3"/>
    <w:basedOn w:val="10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8">
    <w:name w:val="List Table 2 - Accent 4"/>
    <w:basedOn w:val="10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9">
    <w:name w:val="List Table 2 - Accent 5"/>
    <w:basedOn w:val="10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0">
    <w:name w:val="List Table 2 - Accent 6"/>
    <w:basedOn w:val="10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1">
    <w:name w:val="List Table 3"/>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3 - Accent 1"/>
    <w:basedOn w:val="10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3">
    <w:name w:val="List Table 3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4">
    <w:name w:val="List Table 3 - Accent 3"/>
    <w:basedOn w:val="10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5">
    <w:name w:val="List Table 3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6">
    <w:name w:val="List Table 3 - Accent 5"/>
    <w:basedOn w:val="10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7">
    <w:name w:val="List Table 3 - Accent 6"/>
    <w:basedOn w:val="10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8">
    <w:name w:val="List Table 4"/>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4 - Accent 1"/>
    <w:basedOn w:val="10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0">
    <w:name w:val="List Table 4 - Accent 2"/>
    <w:basedOn w:val="10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1">
    <w:name w:val="List Table 4 - Accent 3"/>
    <w:basedOn w:val="10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2">
    <w:name w:val="List Table 4 - Accent 4"/>
    <w:basedOn w:val="10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3">
    <w:name w:val="List Table 4 - Accent 5"/>
    <w:basedOn w:val="10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4">
    <w:name w:val="List Table 4 - Accent 6"/>
    <w:basedOn w:val="10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5">
    <w:name w:val="List Table 5 Dark"/>
    <w:basedOn w:val="10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1"/>
    <w:basedOn w:val="10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2"/>
    <w:basedOn w:val="10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3"/>
    <w:basedOn w:val="10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4"/>
    <w:basedOn w:val="10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5"/>
    <w:basedOn w:val="10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6"/>
    <w:basedOn w:val="10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6 Colorful"/>
    <w:basedOn w:val="10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3">
    <w:name w:val="List Table 6 Colorful - Accent 1"/>
    <w:basedOn w:val="10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4">
    <w:name w:val="List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5">
    <w:name w:val="List Table 6 Colorful - Accent 3"/>
    <w:basedOn w:val="10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6">
    <w:name w:val="List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7">
    <w:name w:val="List Table 6 Colorful - Accent 5"/>
    <w:basedOn w:val="10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8">
    <w:name w:val="List Table 6 Colorful - Accent 6"/>
    <w:basedOn w:val="10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9">
    <w:name w:val="List Table 7 Colorful"/>
    <w:basedOn w:val="10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0">
    <w:name w:val="List Table 7 Colorful - Accent 1"/>
    <w:basedOn w:val="10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1">
    <w:name w:val="List Table 7 Colorful - Accent 2"/>
    <w:basedOn w:val="10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2">
    <w:name w:val="List Table 7 Colorful - Accent 3"/>
    <w:basedOn w:val="10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3">
    <w:name w:val="List Table 7 Colorful - Accent 4"/>
    <w:basedOn w:val="10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4">
    <w:name w:val="List Table 7 Colorful - Accent 5"/>
    <w:basedOn w:val="10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5">
    <w:name w:val="List Table 7 Colorful - Accent 6"/>
    <w:basedOn w:val="10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6">
    <w:name w:val="Lined - Accent"/>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Lined - Accent 1"/>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8">
    <w:name w:val="Lined - Accent 2"/>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9">
    <w:name w:val="Lined - Accent 3"/>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0">
    <w:name w:val="Lined - Accent 4"/>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1">
    <w:name w:val="Lined - Accent 5"/>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2">
    <w:name w:val="Lined - Accent 6"/>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3">
    <w:name w:val="Bordered &amp; Lined - Accent"/>
    <w:basedOn w:val="10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Bordered &amp; Lined - Accent 1"/>
    <w:basedOn w:val="10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5">
    <w:name w:val="Bordered &amp; Lined - Accent 2"/>
    <w:basedOn w:val="10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6">
    <w:name w:val="Bordered &amp; Lined - Accent 3"/>
    <w:basedOn w:val="10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7">
    <w:name w:val="Bordered &amp; Lined - Accent 4"/>
    <w:basedOn w:val="10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8">
    <w:name w:val="Bordered &amp; Lined - Accent 5"/>
    <w:basedOn w:val="10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9">
    <w:name w:val="Bordered &amp; Lined - Accent 6"/>
    <w:basedOn w:val="10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0">
    <w:name w:val="Bordered"/>
    <w:basedOn w:val="10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1">
    <w:name w:val="Bordered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2">
    <w:name w:val="Bordered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3">
    <w:name w:val="Bordered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4">
    <w:name w:val="Bordered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5">
    <w:name w:val="Bordered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6">
    <w:name w:val="Bordered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7">
    <w:name w:val="Hyperlink"/>
    <w:uiPriority w:val="99"/>
    <w:unhideWhenUsed/>
    <w:rPr>
      <w:color w:val="0000ff" w:themeColor="hyperlink"/>
      <w:u w:val="single"/>
    </w:rPr>
  </w:style>
  <w:style w:type="paragraph" w:styleId="998">
    <w:name w:val="footnote text"/>
    <w:basedOn w:val="1015"/>
    <w:link w:val="999"/>
    <w:uiPriority w:val="99"/>
    <w:semiHidden/>
    <w:unhideWhenUsed/>
    <w:pPr>
      <w:spacing w:after="40" w:line="240" w:lineRule="auto"/>
    </w:pPr>
    <w:rPr>
      <w:sz w:val="18"/>
    </w:rPr>
  </w:style>
  <w:style w:type="character" w:styleId="999">
    <w:name w:val="Footnote Text Char"/>
    <w:link w:val="998"/>
    <w:uiPriority w:val="99"/>
    <w:rPr>
      <w:sz w:val="18"/>
    </w:rPr>
  </w:style>
  <w:style w:type="character" w:styleId="1000">
    <w:name w:val="footnote reference"/>
    <w:basedOn w:val="1017"/>
    <w:uiPriority w:val="99"/>
    <w:unhideWhenUsed/>
    <w:rPr>
      <w:vertAlign w:val="superscript"/>
    </w:rPr>
  </w:style>
  <w:style w:type="paragraph" w:styleId="1001">
    <w:name w:val="endnote text"/>
    <w:basedOn w:val="1015"/>
    <w:link w:val="1002"/>
    <w:uiPriority w:val="99"/>
    <w:semiHidden/>
    <w:unhideWhenUsed/>
    <w:pPr>
      <w:spacing w:after="0" w:line="240" w:lineRule="auto"/>
    </w:pPr>
    <w:rPr>
      <w:sz w:val="20"/>
    </w:rPr>
  </w:style>
  <w:style w:type="character" w:styleId="1002">
    <w:name w:val="Endnote Text Char"/>
    <w:link w:val="1001"/>
    <w:uiPriority w:val="99"/>
    <w:rPr>
      <w:sz w:val="20"/>
    </w:rPr>
  </w:style>
  <w:style w:type="character" w:styleId="1003">
    <w:name w:val="endnote reference"/>
    <w:basedOn w:val="1017"/>
    <w:uiPriority w:val="99"/>
    <w:semiHidden/>
    <w:unhideWhenUsed/>
    <w:rPr>
      <w:vertAlign w:val="superscript"/>
    </w:rPr>
  </w:style>
  <w:style w:type="paragraph" w:styleId="1004">
    <w:name w:val="toc 1"/>
    <w:basedOn w:val="1015"/>
    <w:next w:val="1015"/>
    <w:uiPriority w:val="39"/>
    <w:unhideWhenUsed/>
    <w:pPr>
      <w:ind w:left="0" w:right="0" w:firstLine="0"/>
      <w:spacing w:after="57"/>
    </w:pPr>
  </w:style>
  <w:style w:type="paragraph" w:styleId="1005">
    <w:name w:val="toc 2"/>
    <w:basedOn w:val="1015"/>
    <w:next w:val="1015"/>
    <w:uiPriority w:val="39"/>
    <w:unhideWhenUsed/>
    <w:pPr>
      <w:ind w:left="283" w:right="0" w:firstLine="0"/>
      <w:spacing w:after="57"/>
    </w:pPr>
  </w:style>
  <w:style w:type="paragraph" w:styleId="1006">
    <w:name w:val="toc 3"/>
    <w:basedOn w:val="1015"/>
    <w:next w:val="1015"/>
    <w:uiPriority w:val="39"/>
    <w:unhideWhenUsed/>
    <w:pPr>
      <w:ind w:left="567" w:right="0" w:firstLine="0"/>
      <w:spacing w:after="57"/>
    </w:pPr>
  </w:style>
  <w:style w:type="paragraph" w:styleId="1007">
    <w:name w:val="toc 4"/>
    <w:basedOn w:val="1015"/>
    <w:next w:val="1015"/>
    <w:uiPriority w:val="39"/>
    <w:unhideWhenUsed/>
    <w:pPr>
      <w:ind w:left="850" w:right="0" w:firstLine="0"/>
      <w:spacing w:after="57"/>
    </w:pPr>
  </w:style>
  <w:style w:type="paragraph" w:styleId="1008">
    <w:name w:val="toc 5"/>
    <w:basedOn w:val="1015"/>
    <w:next w:val="1015"/>
    <w:uiPriority w:val="39"/>
    <w:unhideWhenUsed/>
    <w:pPr>
      <w:ind w:left="1134" w:right="0" w:firstLine="0"/>
      <w:spacing w:after="57"/>
    </w:pPr>
  </w:style>
  <w:style w:type="paragraph" w:styleId="1009">
    <w:name w:val="toc 6"/>
    <w:basedOn w:val="1015"/>
    <w:next w:val="1015"/>
    <w:uiPriority w:val="39"/>
    <w:unhideWhenUsed/>
    <w:pPr>
      <w:ind w:left="1417" w:right="0" w:firstLine="0"/>
      <w:spacing w:after="57"/>
    </w:pPr>
  </w:style>
  <w:style w:type="paragraph" w:styleId="1010">
    <w:name w:val="toc 7"/>
    <w:basedOn w:val="1015"/>
    <w:next w:val="1015"/>
    <w:uiPriority w:val="39"/>
    <w:unhideWhenUsed/>
    <w:pPr>
      <w:ind w:left="1701" w:right="0" w:firstLine="0"/>
      <w:spacing w:after="57"/>
    </w:pPr>
  </w:style>
  <w:style w:type="paragraph" w:styleId="1011">
    <w:name w:val="toc 8"/>
    <w:basedOn w:val="1015"/>
    <w:next w:val="1015"/>
    <w:uiPriority w:val="39"/>
    <w:unhideWhenUsed/>
    <w:pPr>
      <w:ind w:left="1984" w:right="0" w:firstLine="0"/>
      <w:spacing w:after="57"/>
    </w:pPr>
  </w:style>
  <w:style w:type="paragraph" w:styleId="1012">
    <w:name w:val="toc 9"/>
    <w:basedOn w:val="1015"/>
    <w:next w:val="1015"/>
    <w:uiPriority w:val="39"/>
    <w:unhideWhenUsed/>
    <w:pPr>
      <w:ind w:left="2268" w:right="0" w:firstLine="0"/>
      <w:spacing w:after="57"/>
    </w:pPr>
  </w:style>
  <w:style w:type="paragraph" w:styleId="1013">
    <w:name w:val="TOC Heading"/>
    <w:uiPriority w:val="39"/>
    <w:unhideWhenUsed/>
  </w:style>
  <w:style w:type="paragraph" w:styleId="1014">
    <w:name w:val="table of figures"/>
    <w:basedOn w:val="1015"/>
    <w:next w:val="1015"/>
    <w:uiPriority w:val="99"/>
    <w:unhideWhenUsed/>
    <w:pPr>
      <w:spacing w:after="0" w:afterAutospacing="0"/>
    </w:pPr>
  </w:style>
  <w:style w:type="paragraph" w:styleId="1015" w:default="1">
    <w:name w:val="Normal"/>
    <w:next w:val="1019"/>
    <w:uiPriority w:val="0"/>
    <w:qFormat/>
    <w:pPr>
      <w:jc w:val="both"/>
      <w:widowControl w:val="off"/>
    </w:pPr>
    <w:rPr>
      <w:rFonts w:ascii="Times New Roman" w:hAnsi="Times New Roman" w:eastAsia="宋体" w:cs="Times New Roman"/>
      <w:lang w:val="en-US" w:eastAsia="zh-CN" w:bidi="hi-IN"/>
    </w:rPr>
  </w:style>
  <w:style w:type="paragraph" w:styleId="1016">
    <w:name w:val="Heading 1"/>
    <w:basedOn w:val="1015"/>
    <w:next w:val="1015"/>
    <w:link w:val="1044"/>
    <w:uiPriority w:val="0"/>
    <w:qFormat/>
    <w:pPr>
      <w:keepLines/>
      <w:keepNext/>
      <w:spacing w:before="340" w:beforeAutospacing="0" w:after="330" w:afterAutospacing="0" w:line="576" w:lineRule="auto"/>
      <w:outlineLvl w:val="0"/>
    </w:pPr>
    <w:rPr>
      <w:b/>
      <w:sz w:val="44"/>
    </w:rPr>
  </w:style>
  <w:style w:type="character" w:styleId="1017" w:default="1">
    <w:name w:val="Default Paragraph Font"/>
    <w:uiPriority w:val="1"/>
    <w:semiHidden/>
    <w:unhideWhenUsed/>
    <w:qFormat/>
  </w:style>
  <w:style w:type="table" w:styleId="1018" w:default="1">
    <w:name w:val="Normal Table"/>
    <w:uiPriority w:val="99"/>
    <w:semiHidden/>
    <w:unhideWhenUsed/>
    <w:qFormat/>
    <w:tblPr>
      <w:tblCellMar>
        <w:left w:w="108" w:type="dxa"/>
        <w:top w:w="0" w:type="dxa"/>
        <w:right w:w="108" w:type="dxa"/>
        <w:bottom w:w="0" w:type="dxa"/>
      </w:tblCellMar>
    </w:tblPr>
  </w:style>
  <w:style w:type="paragraph" w:styleId="1019" w:customStyle="1">
    <w:name w:val="索引 41"/>
    <w:basedOn w:val="1020"/>
    <w:next w:val="1015"/>
    <w:uiPriority w:val="0"/>
    <w:semiHidden/>
    <w:qFormat/>
    <w:pPr>
      <w:ind w:left="1260" w:firstLine="0"/>
    </w:pPr>
    <w:rPr>
      <w:rFonts w:ascii="Calibri" w:hAnsi="Calibri" w:eastAsia="Calibri" w:cs="宋体"/>
      <w:sz w:val="20"/>
      <w:lang w:val="zh-CN"/>
    </w:rPr>
  </w:style>
  <w:style w:type="paragraph" w:styleId="1020" w:customStyle="1">
    <w:name w:val="正文1"/>
    <w:next w:val="1019"/>
    <w:uiPriority w:val="0"/>
    <w:qFormat/>
    <w:pPr>
      <w:ind w:firstLine="0"/>
      <w:jc w:val="both"/>
      <w:spacing w:beforeAutospacing="0" w:afterAutospacing="0" w:line="360" w:lineRule="auto"/>
      <w:widowControl w:val="off"/>
    </w:pPr>
    <w:rPr>
      <w:rFonts w:ascii="Times New Roman" w:hAnsi="Times New Roman" w:eastAsia="宋体" w:cstheme="minorBidi"/>
      <w:color w:val="auto"/>
      <w:sz w:val="24"/>
      <w:szCs w:val="22"/>
      <w:lang w:val="en-US" w:eastAsia="zh-CN" w:bidi="ar-SA"/>
    </w:rPr>
  </w:style>
  <w:style w:type="paragraph" w:styleId="1021">
    <w:name w:val="index 4"/>
    <w:basedOn w:val="1015"/>
    <w:next w:val="1015"/>
    <w:uiPriority w:val="0"/>
    <w:qFormat/>
    <w:pPr>
      <w:ind w:left="600" w:firstLine="0"/>
    </w:pPr>
    <w:rPr>
      <w:rFonts w:ascii="Calibri" w:hAnsi="Calibri"/>
      <w:szCs w:val="24"/>
    </w:rPr>
  </w:style>
  <w:style w:type="paragraph" w:styleId="1022">
    <w:name w:val="Plain Text"/>
    <w:basedOn w:val="1020"/>
    <w:uiPriority w:val="99"/>
    <w:qFormat/>
    <w:pPr>
      <w:spacing w:line="240" w:lineRule="auto"/>
    </w:pPr>
    <w:rPr>
      <w:rFonts w:ascii="宋体" w:hAnsi="宋体" w:cs="Times New Roman"/>
      <w:sz w:val="21"/>
      <w:szCs w:val="21"/>
    </w:rPr>
  </w:style>
  <w:style w:type="paragraph" w:styleId="1023">
    <w:name w:val="Footer"/>
    <w:basedOn w:val="1015"/>
    <w:uiPriority w:val="99"/>
    <w:qFormat/>
    <w:pPr>
      <w:jc w:val="left"/>
      <w:tabs>
        <w:tab w:val="center" w:pos="4153" w:leader="none"/>
        <w:tab w:val="right" w:pos="8306" w:leader="none"/>
      </w:tabs>
    </w:pPr>
    <w:rPr>
      <w:sz w:val="18"/>
    </w:rPr>
  </w:style>
  <w:style w:type="paragraph" w:styleId="1024">
    <w:name w:val="Header"/>
    <w:basedOn w:val="1015"/>
    <w:uiPriority w:val="99"/>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25">
    <w:name w:val="Normal (Web)"/>
    <w:basedOn w:val="1015"/>
    <w:uiPriority w:val="99"/>
    <w:qFormat/>
    <w:pPr>
      <w:jc w:val="left"/>
      <w:spacing w:beforeAutospacing="1" w:afterAutospacing="1"/>
      <w:widowControl/>
    </w:pPr>
    <w:rPr>
      <w:rFonts w:ascii="Arial Unicode MS" w:hAnsi="Arial Unicode MS" w:eastAsia="Arial Unicode MS"/>
      <w:color w:val="000000"/>
      <w:szCs w:val="24"/>
    </w:rPr>
  </w:style>
  <w:style w:type="paragraph" w:styleId="1026">
    <w:name w:val="Body Text First Indent 2"/>
    <w:basedOn w:val="1027"/>
    <w:uiPriority w:val="0"/>
    <w:qFormat/>
    <w:rPr>
      <w:rFonts w:cs="Times New Roman"/>
      <w:u w:val="single"/>
    </w:rPr>
  </w:style>
  <w:style w:type="paragraph" w:styleId="1027" w:customStyle="1">
    <w:name w:val="正文缩进1"/>
    <w:basedOn w:val="1020"/>
    <w:uiPriority w:val="0"/>
    <w:qFormat/>
    <w:rPr>
      <w:rFonts w:ascii="宋体" w:hAnsi="宋体"/>
    </w:rPr>
  </w:style>
  <w:style w:type="table" w:styleId="1028">
    <w:name w:val="Table Grid"/>
    <w:basedOn w:val="101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9" w:customStyle="1">
    <w:name w:val="标题 11"/>
    <w:basedOn w:val="1020"/>
    <w:next w:val="1020"/>
    <w:uiPriority w:val="0"/>
    <w:qFormat/>
    <w:pPr>
      <w:jc w:val="center"/>
      <w:keepLines/>
      <w:keepNext/>
      <w:spacing w:before="340" w:beforeAutospacing="0" w:after="330" w:afterAutospacing="0"/>
      <w:outlineLvl w:val="0"/>
    </w:pPr>
    <w:rPr>
      <w:b/>
      <w:bCs/>
      <w:sz w:val="28"/>
      <w:szCs w:val="44"/>
    </w:rPr>
  </w:style>
  <w:style w:type="paragraph" w:styleId="1030" w:customStyle="1">
    <w:name w:val="标题 21"/>
    <w:basedOn w:val="1020"/>
    <w:next w:val="1020"/>
    <w:uiPriority w:val="0"/>
    <w:unhideWhenUsed/>
    <w:qFormat/>
    <w:pPr>
      <w:jc w:val="center"/>
      <w:keepLines/>
      <w:keepNext/>
      <w:spacing w:before="260" w:beforeAutospacing="0" w:after="260" w:afterAutospacing="0"/>
      <w:outlineLvl w:val="1"/>
    </w:pPr>
    <w:rPr>
      <w:b/>
      <w:bCs/>
      <w:sz w:val="32"/>
      <w:szCs w:val="32"/>
    </w:rPr>
  </w:style>
  <w:style w:type="paragraph" w:styleId="1031" w:customStyle="1">
    <w:name w:val="标题 31"/>
    <w:basedOn w:val="1020"/>
    <w:next w:val="1027"/>
    <w:uiPriority w:val="0"/>
    <w:unhideWhenUsed/>
    <w:qFormat/>
    <w:pPr>
      <w:ind w:left="480"/>
      <w:jc w:val="center"/>
      <w:keepNext/>
      <w:spacing w:line="400" w:lineRule="exact"/>
      <w:tabs>
        <w:tab w:val="left" w:pos="480" w:leader="none"/>
      </w:tabs>
      <w:outlineLvl w:val="2"/>
    </w:pPr>
    <w:rPr>
      <w:rFonts w:ascii="仿宋_GB2312" w:hAnsi="仿宋_GB2312" w:eastAsia="仿宋_GB2312"/>
      <w:sz w:val="32"/>
    </w:rPr>
  </w:style>
  <w:style w:type="paragraph" w:styleId="1032" w:customStyle="1">
    <w:name w:val="标题 41"/>
    <w:basedOn w:val="1020"/>
    <w:next w:val="1027"/>
    <w:uiPriority w:val="9"/>
    <w:unhideWhenUsed/>
    <w:qFormat/>
    <w:pPr>
      <w:keepLines/>
      <w:keepNext/>
      <w:spacing w:before="280" w:beforeAutospacing="0" w:after="290" w:afterAutospacing="0" w:line="372" w:lineRule="auto"/>
      <w:outlineLvl w:val="3"/>
    </w:pPr>
    <w:rPr>
      <w:rFonts w:ascii="Arial" w:hAnsi="Arial" w:eastAsia="黑体" w:cs="Arial"/>
      <w:b/>
      <w:bCs/>
      <w:sz w:val="28"/>
      <w:szCs w:val="28"/>
    </w:rPr>
  </w:style>
  <w:style w:type="paragraph" w:styleId="1033" w:customStyle="1">
    <w:name w:val="正文文本11"/>
    <w:basedOn w:val="1020"/>
    <w:next w:val="1020"/>
    <w:uiPriority w:val="0"/>
    <w:qFormat/>
    <w:rPr>
      <w:rFonts w:ascii="宋体" w:hAnsi="宋体"/>
      <w:sz w:val="28"/>
    </w:rPr>
  </w:style>
  <w:style w:type="paragraph" w:styleId="1034" w:customStyle="1">
    <w:name w:val="页脚1"/>
    <w:basedOn w:val="1020"/>
    <w:uiPriority w:val="99"/>
    <w:qFormat/>
    <w:pPr>
      <w:jc w:val="left"/>
      <w:tabs>
        <w:tab w:val="center" w:pos="4153" w:leader="none"/>
        <w:tab w:val="right" w:pos="8306" w:leader="none"/>
      </w:tabs>
    </w:pPr>
    <w:rPr>
      <w:sz w:val="18"/>
    </w:rPr>
  </w:style>
  <w:style w:type="paragraph" w:styleId="1035" w:customStyle="1">
    <w:name w:val="页眉1"/>
    <w:basedOn w:val="1020"/>
    <w:uiPriority w:val="99"/>
    <w:qFormat/>
    <w:pPr>
      <w:jc w:val="center"/>
      <w:tabs>
        <w:tab w:val="center" w:pos="4153" w:leader="none"/>
        <w:tab w:val="right" w:pos="8306" w:leader="none"/>
      </w:tabs>
      <w:pBdr>
        <w:bottom w:val="single" w:color="000000" w:sz="6" w:space="1"/>
      </w:pBdr>
    </w:pPr>
    <w:rPr>
      <w:sz w:val="18"/>
    </w:rPr>
  </w:style>
  <w:style w:type="paragraph" w:styleId="1036" w:customStyle="1">
    <w:name w:val="列表段落"/>
    <w:basedOn w:val="1020"/>
    <w:uiPriority w:val="99"/>
    <w:qFormat/>
  </w:style>
  <w:style w:type="paragraph" w:styleId="1037" w:customStyle="1">
    <w:name w:val="正文文本12"/>
    <w:basedOn w:val="1020"/>
    <w:uiPriority w:val="1"/>
    <w:qFormat/>
    <w:pPr>
      <w:ind w:left="120" w:firstLine="0"/>
    </w:pPr>
    <w:rPr>
      <w:rFonts w:ascii="宋体" w:hAnsi="宋体" w:eastAsia="宋体" w:cs="宋体"/>
      <w:sz w:val="21"/>
      <w:szCs w:val="21"/>
      <w:lang w:val="zh-CN" w:eastAsia="zh-CN" w:bidi="zh-CN"/>
    </w:rPr>
  </w:style>
  <w:style w:type="paragraph" w:styleId="1038" w:customStyle="1">
    <w:name w:val="正文文本 211"/>
    <w:basedOn w:val="1020"/>
    <w:uiPriority w:val="99"/>
    <w:qFormat/>
    <w:pPr>
      <w:jc w:val="center"/>
    </w:pPr>
    <w:rPr>
      <w:b/>
      <w:bCs/>
      <w:sz w:val="20"/>
      <w:szCs w:val="20"/>
    </w:rPr>
  </w:style>
  <w:style w:type="paragraph" w:styleId="1039" w:customStyle="1">
    <w:name w:val="Char"/>
    <w:basedOn w:val="1020"/>
    <w:uiPriority w:val="0"/>
    <w:qFormat/>
    <w:pPr>
      <w:tabs>
        <w:tab w:val="left" w:pos="360" w:leader="none"/>
      </w:tabs>
    </w:pPr>
    <w:rPr>
      <w:sz w:val="28"/>
      <w:szCs w:val="30"/>
    </w:rPr>
  </w:style>
  <w:style w:type="paragraph" w:styleId="1040" w:customStyle="1">
    <w:name w:val="正文文本1"/>
    <w:basedOn w:val="1020"/>
    <w:next w:val="1020"/>
    <w:uiPriority w:val="0"/>
    <w:semiHidden/>
    <w:qFormat/>
    <w:rPr>
      <w:rFonts w:ascii="Arial" w:hAnsi="Arial" w:eastAsia="Arial" w:cs="Arial"/>
      <w:sz w:val="21"/>
      <w:szCs w:val="21"/>
      <w:lang w:val="en-US" w:eastAsia="en-US" w:bidi="ar-SA"/>
    </w:rPr>
  </w:style>
  <w:style w:type="paragraph" w:styleId="1041" w:customStyle="1">
    <w:name w:val="普通正文"/>
    <w:basedOn w:val="1020"/>
    <w:uiPriority w:val="0"/>
    <w:qFormat/>
    <w:pPr>
      <w:jc w:val="left"/>
      <w:spacing w:before="120" w:beforeAutospacing="0" w:after="120" w:afterAutospacing="0" w:line="360" w:lineRule="auto"/>
    </w:pPr>
    <w:rPr>
      <w:rFonts w:ascii="Arial" w:hAnsi="Arial"/>
      <w:sz w:val="24"/>
      <w:szCs w:val="24"/>
    </w:rPr>
  </w:style>
  <w:style w:type="paragraph" w:styleId="1042" w:customStyle="1">
    <w:name w:val="Table Text"/>
    <w:basedOn w:val="1020"/>
    <w:uiPriority w:val="0"/>
    <w:semiHidden/>
    <w:qFormat/>
    <w:rPr>
      <w:rFonts w:ascii="宋体" w:hAnsi="宋体" w:eastAsia="宋体" w:cs="宋体"/>
      <w:sz w:val="20"/>
      <w:szCs w:val="20"/>
      <w:lang w:val="en-US" w:eastAsia="en-US" w:bidi="ar-SA"/>
    </w:rPr>
  </w:style>
  <w:style w:type="table" w:styleId="1043" w:customStyle="1">
    <w:name w:val="Table Normal"/>
    <w:uiPriority w:val="0"/>
    <w:semiHidden/>
    <w:unhideWhenUsed/>
    <w:qFormat/>
    <w:tblPr>
      <w:tblCellMar>
        <w:left w:w="0" w:type="dxa"/>
        <w:top w:w="0" w:type="dxa"/>
        <w:right w:w="0" w:type="dxa"/>
        <w:bottom w:w="0" w:type="dxa"/>
      </w:tblCellMar>
    </w:tblPr>
  </w:style>
  <w:style w:type="character" w:styleId="1044" w:customStyle="1">
    <w:name w:val="标题 1 Char"/>
    <w:link w:val="1016"/>
    <w:uiPriority w:val="0"/>
    <w:qFormat/>
    <w:rPr>
      <w:b/>
      <w:sz w:val="44"/>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6A46A96-70F6-4567-AB7D-9B4235F9EE2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IET</Compan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温学梅</cp:lastModifiedBy>
  <cp:revision>32</cp:revision>
  <dcterms:created xsi:type="dcterms:W3CDTF">2024-01-20T03:54:00Z</dcterms:created>
  <dcterms:modified xsi:type="dcterms:W3CDTF">2024-04-19T06:15:11Z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0DEBF8B9B4774435A464D7B7379EEF05_13</vt:lpwstr>
  </property>
  <property fmtid="{D5CDD505-2E9C-101B-9397-08002B2CF9AE}" pid="3" name="KSOProductBuildVer">
    <vt:lpwstr>2052-12.1.0.16388</vt:lpwstr>
  </property>
</Properties>
</file>