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2026F">
      <w:pPr>
        <w:pStyle w:val="11"/>
        <w:spacing w:before="120" w:beforeAutospacing="0" w:after="120" w:afterAutospacing="0" w:line="360" w:lineRule="auto"/>
      </w:pPr>
      <w:r>
        <w:t> </w:t>
      </w:r>
    </w:p>
    <w:p w14:paraId="250CE295">
      <w:pPr>
        <w:pStyle w:val="11"/>
        <w:spacing w:before="120" w:beforeAutospacing="0" w:after="120" w:afterAutospacing="0" w:line="360" w:lineRule="auto"/>
        <w:jc w:val="center"/>
      </w:pPr>
      <w:r>
        <w:rPr>
          <w:rFonts w:ascii="Arial" w:hAnsi="Arial" w:cs="Arial"/>
          <w:b/>
          <w:color w:val="000000"/>
          <w:sz w:val="84"/>
          <w:szCs w:val="84"/>
        </w:rPr>
        <w:t>招 标 文 件</w:t>
      </w:r>
    </w:p>
    <w:p w14:paraId="05A7BDC6">
      <w:pPr>
        <w:pStyle w:val="11"/>
        <w:spacing w:before="120" w:beforeAutospacing="0" w:after="120" w:afterAutospacing="0" w:line="360" w:lineRule="auto"/>
        <w:ind w:firstLine="2249"/>
        <w:rPr>
          <w:rFonts w:ascii="Arial" w:hAnsi="Arial" w:cs="Arial"/>
          <w:b/>
          <w:color w:val="000000"/>
          <w:sz w:val="32"/>
          <w:szCs w:val="32"/>
        </w:rPr>
      </w:pPr>
    </w:p>
    <w:p w14:paraId="2BF7DE0A">
      <w:pPr>
        <w:pStyle w:val="11"/>
        <w:spacing w:before="120" w:beforeAutospacing="0" w:after="120" w:afterAutospacing="0" w:line="360" w:lineRule="auto"/>
        <w:ind w:firstLine="2249"/>
        <w:rPr>
          <w:rFonts w:ascii="Arial" w:hAnsi="Arial" w:cs="Arial"/>
          <w:b/>
          <w:color w:val="000000"/>
          <w:sz w:val="32"/>
          <w:szCs w:val="32"/>
        </w:rPr>
      </w:pPr>
    </w:p>
    <w:p w14:paraId="5689050D">
      <w:pPr>
        <w:pStyle w:val="11"/>
        <w:spacing w:before="120" w:beforeAutospacing="0" w:after="120" w:afterAutospacing="0" w:line="360" w:lineRule="auto"/>
        <w:ind w:firstLine="2249"/>
        <w:rPr>
          <w:rFonts w:ascii="Arial" w:hAnsi="Arial" w:cs="Arial"/>
          <w:b/>
          <w:color w:val="000000"/>
          <w:sz w:val="32"/>
          <w:szCs w:val="32"/>
        </w:rPr>
      </w:pPr>
    </w:p>
    <w:p w14:paraId="03F9C4B4">
      <w:pPr>
        <w:pStyle w:val="11"/>
        <w:spacing w:before="120" w:beforeAutospacing="0" w:after="120" w:afterAutospacing="0" w:line="360" w:lineRule="auto"/>
        <w:ind w:right="-733" w:rightChars="-349"/>
        <w:rPr>
          <w:rFonts w:ascii="Times New Roman" w:hAnsi="Times New Roman"/>
          <w:b/>
          <w:color w:val="000000"/>
          <w:sz w:val="32"/>
          <w:szCs w:val="32"/>
        </w:rPr>
      </w:pPr>
      <w:r>
        <w:rPr>
          <w:rFonts w:ascii="Arial" w:hAnsi="Arial" w:cs="Arial"/>
          <w:b/>
          <w:color w:val="000000"/>
          <w:sz w:val="32"/>
          <w:szCs w:val="32"/>
        </w:rPr>
        <w:t>项目名称：</w:t>
      </w:r>
      <w:bookmarkStart w:id="0" w:name="OLE_LINK8"/>
      <w:r>
        <w:rPr>
          <w:rFonts w:hint="eastAsia" w:ascii="宋体" w:hAnsi="宋体" w:eastAsia="宋体" w:cs="宋体"/>
          <w:color w:val="000000"/>
          <w:sz w:val="32"/>
          <w:szCs w:val="32"/>
          <w:lang w:val="en-US" w:eastAsia="zh-CN"/>
        </w:rPr>
        <w:t>响水县2024年耕地占补平衡项目新增耕地状况调查评估报告编制</w:t>
      </w:r>
      <w:bookmarkEnd w:id="0"/>
    </w:p>
    <w:p w14:paraId="6ED6E6E6">
      <w:pPr>
        <w:pStyle w:val="11"/>
        <w:spacing w:beforeAutospacing="0" w:afterAutospacing="0"/>
        <w:jc w:val="both"/>
        <w:rPr>
          <w:rFonts w:hint="eastAsia" w:eastAsiaTheme="minorEastAsia"/>
          <w:lang w:eastAsia="zh-CN"/>
        </w:rPr>
      </w:pPr>
      <w:r>
        <w:rPr>
          <w:rFonts w:ascii="Times New Roman" w:hAnsi="Times New Roman"/>
          <w:b/>
          <w:color w:val="000000"/>
          <w:sz w:val="32"/>
          <w:szCs w:val="32"/>
        </w:rPr>
        <w:t>项目编号：</w:t>
      </w:r>
      <w:r>
        <w:rPr>
          <w:rFonts w:hint="eastAsia" w:ascii="Times New Roman" w:hAnsi="Times New Roman"/>
          <w:color w:val="000000"/>
          <w:sz w:val="32"/>
          <w:szCs w:val="32"/>
          <w:lang w:val="en-US" w:eastAsia="zh-CN"/>
        </w:rPr>
        <w:t xml:space="preserve"> </w:t>
      </w:r>
      <w:r>
        <w:rPr>
          <w:rFonts w:ascii="Segoe UI" w:hAnsi="Segoe UI" w:eastAsia="Segoe UI" w:cs="Segoe UI"/>
          <w:i w:val="0"/>
          <w:iCs w:val="0"/>
          <w:caps w:val="0"/>
          <w:spacing w:val="0"/>
          <w:sz w:val="32"/>
          <w:szCs w:val="32"/>
          <w:shd w:val="clear" w:fill="FFFFFF"/>
        </w:rPr>
        <w:t>JSZC-320921-DXGC-G2024-0005</w:t>
      </w:r>
    </w:p>
    <w:p w14:paraId="38BFE3D7">
      <w:pPr>
        <w:pStyle w:val="11"/>
        <w:spacing w:beforeAutospacing="0" w:afterAutospacing="0" w:line="360" w:lineRule="auto"/>
      </w:pPr>
      <w:r>
        <w:t> </w:t>
      </w:r>
    </w:p>
    <w:p w14:paraId="781E470B">
      <w:pPr>
        <w:pStyle w:val="11"/>
        <w:spacing w:beforeAutospacing="0" w:afterAutospacing="0" w:line="360" w:lineRule="auto"/>
      </w:pPr>
      <w:r>
        <w:t> </w:t>
      </w:r>
    </w:p>
    <w:p w14:paraId="1926C199">
      <w:pPr>
        <w:pStyle w:val="11"/>
        <w:spacing w:beforeAutospacing="0" w:afterAutospacing="0" w:line="360" w:lineRule="auto"/>
      </w:pPr>
      <w:r>
        <w:t> </w:t>
      </w:r>
    </w:p>
    <w:p w14:paraId="0E127BAA">
      <w:pPr>
        <w:pStyle w:val="11"/>
        <w:spacing w:beforeAutospacing="0" w:afterAutospacing="0" w:line="360" w:lineRule="auto"/>
      </w:pPr>
      <w:r>
        <w:t> </w:t>
      </w:r>
    </w:p>
    <w:p w14:paraId="5C55D5DC">
      <w:pPr>
        <w:pStyle w:val="11"/>
        <w:spacing w:beforeAutospacing="0" w:afterAutospacing="0" w:line="360" w:lineRule="auto"/>
      </w:pPr>
      <w:r>
        <w:t> </w:t>
      </w:r>
    </w:p>
    <w:p w14:paraId="3A3A0F60">
      <w:pPr>
        <w:pStyle w:val="11"/>
        <w:spacing w:beforeAutospacing="0" w:afterAutospacing="0" w:line="360" w:lineRule="auto"/>
      </w:pPr>
      <w:r>
        <w:t> </w:t>
      </w:r>
    </w:p>
    <w:p w14:paraId="2CE3E852">
      <w:pPr>
        <w:pStyle w:val="11"/>
        <w:spacing w:before="120" w:beforeAutospacing="0" w:after="120" w:afterAutospacing="0" w:line="360" w:lineRule="auto"/>
        <w:jc w:val="both"/>
        <w:rPr>
          <w:rFonts w:hint="eastAsia" w:ascii="Arial" w:hAnsi="Arial" w:cs="Arial"/>
          <w:b/>
          <w:color w:val="000000"/>
          <w:sz w:val="32"/>
          <w:szCs w:val="32"/>
          <w:lang w:val="en-US"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w:t>
      </w:r>
      <w:r>
        <w:rPr>
          <w:rFonts w:hint="eastAsia" w:ascii="Arial" w:hAnsi="Arial" w:cs="Arial"/>
          <w:b/>
          <w:color w:val="000000"/>
          <w:sz w:val="32"/>
          <w:szCs w:val="32"/>
          <w:lang w:val="en-US" w:eastAsia="zh-CN"/>
        </w:rPr>
        <w:t>响水县自然资源和规划局</w:t>
      </w:r>
    </w:p>
    <w:p w14:paraId="501884A9">
      <w:pPr>
        <w:pStyle w:val="11"/>
        <w:spacing w:before="120" w:beforeAutospacing="0" w:after="120" w:afterAutospacing="0" w:line="360" w:lineRule="auto"/>
        <w:jc w:val="both"/>
        <w:rPr>
          <w:rFonts w:hint="default" w:ascii="Arial" w:hAnsi="Arial" w:cs="Arial"/>
          <w:b/>
          <w:color w:val="000000"/>
          <w:sz w:val="32"/>
          <w:szCs w:val="32"/>
          <w:lang w:val="en-US" w:eastAsia="zh-CN"/>
        </w:rPr>
      </w:pPr>
      <w:r>
        <w:rPr>
          <w:rFonts w:hint="eastAsia" w:ascii="Arial" w:hAnsi="Arial" w:cs="Arial"/>
          <w:b/>
          <w:color w:val="000000"/>
          <w:sz w:val="32"/>
          <w:szCs w:val="32"/>
          <w:lang w:val="en-US" w:eastAsia="zh-CN"/>
        </w:rPr>
        <w:t>采购代理机构：江苏导向工程咨询有限责任公司</w:t>
      </w:r>
    </w:p>
    <w:p w14:paraId="6C109B3C">
      <w:pPr>
        <w:pStyle w:val="11"/>
        <w:spacing w:before="120" w:beforeAutospacing="0" w:after="120" w:afterAutospacing="0" w:line="360" w:lineRule="auto"/>
        <w:jc w:val="center"/>
        <w:rPr>
          <w:rFonts w:hint="eastAsia" w:ascii="Arial" w:hAnsi="Arial" w:cs="Arial"/>
          <w:b/>
          <w:color w:val="000000"/>
          <w:sz w:val="32"/>
          <w:szCs w:val="32"/>
          <w:lang w:eastAsia="zh-CN"/>
        </w:rPr>
      </w:pPr>
    </w:p>
    <w:p w14:paraId="745B2039">
      <w:pPr>
        <w:pStyle w:val="11"/>
        <w:spacing w:before="120" w:beforeAutospacing="0" w:after="120" w:afterAutospacing="0" w:line="360" w:lineRule="auto"/>
        <w:jc w:val="center"/>
      </w:pPr>
      <w:r>
        <w:rPr>
          <w:rFonts w:hint="eastAsia" w:ascii="Arial" w:hAnsi="Arial" w:cs="Arial"/>
          <w:b/>
          <w:color w:val="000000"/>
          <w:sz w:val="32"/>
          <w:szCs w:val="32"/>
          <w:lang w:val="en-US" w:eastAsia="zh-CN"/>
        </w:rPr>
        <w:t>2024</w:t>
      </w:r>
      <w:r>
        <w:rPr>
          <w:rFonts w:ascii="Arial" w:hAnsi="Arial" w:cs="Arial"/>
          <w:b/>
          <w:color w:val="000000"/>
          <w:sz w:val="32"/>
          <w:szCs w:val="32"/>
        </w:rPr>
        <w:t>年</w:t>
      </w:r>
      <w:r>
        <w:rPr>
          <w:rFonts w:hint="eastAsia" w:ascii="Arial" w:hAnsi="Arial" w:cs="Arial"/>
          <w:b/>
          <w:color w:val="000000"/>
          <w:sz w:val="32"/>
          <w:szCs w:val="32"/>
          <w:lang w:val="en-US" w:eastAsia="zh-CN"/>
        </w:rPr>
        <w:t>9</w:t>
      </w:r>
      <w:r>
        <w:rPr>
          <w:rFonts w:ascii="Arial" w:hAnsi="Arial" w:cs="Arial"/>
          <w:b/>
          <w:color w:val="000000"/>
          <w:sz w:val="32"/>
          <w:szCs w:val="32"/>
        </w:rPr>
        <w:t>月</w:t>
      </w:r>
      <w:r>
        <w:rPr>
          <w:rFonts w:hint="eastAsia" w:ascii="Arial" w:hAnsi="Arial" w:cs="Arial"/>
          <w:b/>
          <w:color w:val="000000"/>
          <w:sz w:val="32"/>
          <w:szCs w:val="32"/>
          <w:lang w:val="en-US" w:eastAsia="zh-CN"/>
        </w:rPr>
        <w:t>12</w:t>
      </w:r>
      <w:r>
        <w:rPr>
          <w:rFonts w:ascii="Arial" w:hAnsi="Arial" w:cs="Arial"/>
          <w:b/>
          <w:color w:val="000000"/>
          <w:sz w:val="32"/>
          <w:szCs w:val="32"/>
        </w:rPr>
        <w:t>日</w:t>
      </w:r>
    </w:p>
    <w:p w14:paraId="4C642AE1">
      <w:pPr>
        <w:pStyle w:val="11"/>
        <w:spacing w:before="120" w:beforeAutospacing="0" w:after="120" w:afterAutospacing="0" w:line="360" w:lineRule="auto"/>
      </w:pPr>
      <w:r>
        <w:rPr>
          <w:rFonts w:ascii="Arial" w:hAnsi="Arial" w:cs="Arial"/>
          <w:color w:val="000000"/>
        </w:rPr>
        <w:t xml:space="preserve">                        </w:t>
      </w:r>
    </w:p>
    <w:p w14:paraId="34C63810">
      <w:pPr>
        <w:pStyle w:val="11"/>
        <w:spacing w:before="120" w:beforeAutospacing="0" w:after="120" w:afterAutospacing="0" w:line="360" w:lineRule="auto"/>
        <w:jc w:val="center"/>
      </w:pPr>
      <w:r>
        <w:t> </w:t>
      </w:r>
    </w:p>
    <w:p w14:paraId="2588B924">
      <w:pPr>
        <w:pStyle w:val="11"/>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1" w:name="_Toc513029200"/>
      <w:bookmarkStart w:id="2" w:name="_Toc120614210"/>
      <w:bookmarkStart w:id="3" w:name="_Toc479757206"/>
      <w:bookmarkStart w:id="4" w:name="_Toc20823272"/>
      <w:bookmarkStart w:id="5" w:name="_Toc16938516"/>
      <w:bookmarkStart w:id="6" w:name="_Toc523127445"/>
      <w:r>
        <w:rPr>
          <w:rFonts w:ascii="Times New Roman" w:hAnsi="Times New Roman"/>
          <w:color w:val="000000"/>
          <w:sz w:val="21"/>
          <w:szCs w:val="21"/>
        </w:rPr>
        <w:t> </w:t>
      </w:r>
      <w:r>
        <w:rPr>
          <w:rFonts w:ascii="黑体" w:hAnsi="宋体" w:eastAsia="黑体" w:cs="黑体"/>
          <w:b/>
          <w:color w:val="000000"/>
          <w:sz w:val="44"/>
          <w:szCs w:val="44"/>
        </w:rPr>
        <w:t>总  目  录</w:t>
      </w:r>
      <w:bookmarkEnd w:id="1"/>
      <w:bookmarkEnd w:id="2"/>
      <w:bookmarkEnd w:id="3"/>
      <w:bookmarkEnd w:id="4"/>
      <w:bookmarkEnd w:id="5"/>
      <w:bookmarkEnd w:id="6"/>
    </w:p>
    <w:p w14:paraId="3A23D7B8">
      <w:pPr>
        <w:pStyle w:val="11"/>
        <w:spacing w:beforeAutospacing="0" w:afterAutospacing="0" w:line="480" w:lineRule="auto"/>
        <w:jc w:val="both"/>
      </w:pPr>
      <w:r>
        <w:t> </w:t>
      </w:r>
    </w:p>
    <w:p w14:paraId="56CDA6C6">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lang w:val="en-US" w:eastAsia="zh-CN"/>
        </w:rPr>
        <w:t>招标公告</w:t>
      </w:r>
      <w:r>
        <w:rPr>
          <w:rFonts w:hint="eastAsia" w:ascii="黑体" w:hAnsi="宋体" w:eastAsia="黑体" w:cs="黑体"/>
          <w:color w:val="000000"/>
          <w:sz w:val="36"/>
          <w:szCs w:val="36"/>
        </w:rPr>
        <w:t xml:space="preserve">…………………………………… </w:t>
      </w:r>
    </w:p>
    <w:p w14:paraId="63AC40E4">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329B9B9B">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1E17E954">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0A204D49">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05D955AB">
      <w:pPr>
        <w:pStyle w:val="11"/>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240A8582">
      <w:pPr>
        <w:pStyle w:val="11"/>
        <w:spacing w:beforeAutospacing="0" w:afterAutospacing="0"/>
        <w:jc w:val="both"/>
      </w:pPr>
      <w:r>
        <w:t> </w:t>
      </w:r>
    </w:p>
    <w:p w14:paraId="39204EDE">
      <w:pPr>
        <w:pStyle w:val="11"/>
        <w:spacing w:beforeAutospacing="0" w:afterAutospacing="0"/>
        <w:jc w:val="both"/>
      </w:pPr>
      <w:r>
        <w:t> </w:t>
      </w:r>
    </w:p>
    <w:p w14:paraId="45CD04BE">
      <w:pPr>
        <w:pStyle w:val="11"/>
        <w:spacing w:beforeAutospacing="0" w:afterAutospacing="0"/>
        <w:jc w:val="both"/>
      </w:pPr>
      <w:r>
        <w:t> </w:t>
      </w:r>
    </w:p>
    <w:p w14:paraId="1AF3E277">
      <w:pPr>
        <w:pStyle w:val="11"/>
        <w:spacing w:beforeAutospacing="0" w:afterAutospacing="0"/>
        <w:jc w:val="both"/>
      </w:pPr>
      <w:r>
        <w:t> </w:t>
      </w:r>
    </w:p>
    <w:p w14:paraId="7D71A96B">
      <w:pPr>
        <w:pStyle w:val="11"/>
        <w:spacing w:beforeAutospacing="0" w:afterAutospacing="0"/>
        <w:jc w:val="both"/>
      </w:pPr>
      <w:r>
        <w:t> </w:t>
      </w:r>
    </w:p>
    <w:p w14:paraId="27989627">
      <w:pPr>
        <w:pStyle w:val="11"/>
        <w:spacing w:beforeAutospacing="0" w:afterAutospacing="0"/>
        <w:jc w:val="both"/>
      </w:pPr>
      <w:r>
        <w:t> </w:t>
      </w:r>
    </w:p>
    <w:p w14:paraId="61DC50FF">
      <w:pPr>
        <w:pStyle w:val="11"/>
        <w:spacing w:beforeAutospacing="0" w:afterAutospacing="0"/>
        <w:jc w:val="both"/>
      </w:pPr>
      <w:r>
        <w:t> </w:t>
      </w:r>
    </w:p>
    <w:p w14:paraId="5824AECB">
      <w:pPr>
        <w:pStyle w:val="11"/>
        <w:spacing w:beforeAutospacing="0" w:afterAutospacing="0"/>
        <w:jc w:val="both"/>
      </w:pPr>
      <w:r>
        <w:t> </w:t>
      </w:r>
    </w:p>
    <w:p w14:paraId="2797B333">
      <w:pPr>
        <w:pStyle w:val="11"/>
        <w:spacing w:beforeAutospacing="0" w:afterAutospacing="0"/>
        <w:jc w:val="both"/>
      </w:pPr>
      <w:r>
        <w:t> </w:t>
      </w:r>
    </w:p>
    <w:p w14:paraId="73750AAC">
      <w:pPr>
        <w:pStyle w:val="11"/>
        <w:spacing w:beforeAutospacing="0" w:afterAutospacing="0"/>
        <w:jc w:val="both"/>
      </w:pPr>
      <w:r>
        <w:t> </w:t>
      </w:r>
    </w:p>
    <w:p w14:paraId="57966A65">
      <w:pPr>
        <w:pStyle w:val="11"/>
        <w:spacing w:beforeAutospacing="0" w:afterAutospacing="0"/>
        <w:jc w:val="both"/>
      </w:pPr>
      <w:r>
        <w:t> </w:t>
      </w:r>
    </w:p>
    <w:p w14:paraId="45FB5CA5">
      <w:pPr>
        <w:pStyle w:val="11"/>
        <w:spacing w:beforeAutospacing="0" w:afterAutospacing="0"/>
        <w:jc w:val="both"/>
      </w:pPr>
      <w:r>
        <w:t> </w:t>
      </w:r>
    </w:p>
    <w:p w14:paraId="2EF4640E">
      <w:pPr>
        <w:pStyle w:val="11"/>
        <w:spacing w:beforeAutospacing="0" w:afterAutospacing="0"/>
        <w:jc w:val="both"/>
      </w:pPr>
      <w:r>
        <w:t> </w:t>
      </w:r>
    </w:p>
    <w:p w14:paraId="6B5A9FF2">
      <w:pPr>
        <w:pStyle w:val="11"/>
        <w:spacing w:beforeAutospacing="0" w:afterAutospacing="0"/>
        <w:jc w:val="both"/>
      </w:pPr>
      <w:r>
        <w:t> </w:t>
      </w:r>
    </w:p>
    <w:p w14:paraId="7F3EEEAA">
      <w:pPr>
        <w:pStyle w:val="11"/>
        <w:spacing w:beforeAutospacing="0" w:afterAutospacing="0"/>
        <w:jc w:val="both"/>
      </w:pPr>
      <w:r>
        <w:t> </w:t>
      </w:r>
    </w:p>
    <w:p w14:paraId="2C664B32">
      <w:pPr>
        <w:pStyle w:val="11"/>
        <w:spacing w:beforeAutospacing="0" w:afterAutospacing="0"/>
        <w:jc w:val="both"/>
      </w:pPr>
      <w:r>
        <w:t> </w:t>
      </w:r>
    </w:p>
    <w:p w14:paraId="5E29D839">
      <w:pPr>
        <w:pStyle w:val="11"/>
        <w:spacing w:beforeAutospacing="0" w:afterAutospacing="0"/>
        <w:jc w:val="both"/>
      </w:pPr>
      <w:r>
        <w:t> </w:t>
      </w:r>
    </w:p>
    <w:p w14:paraId="51B3E6BB">
      <w:pPr>
        <w:pStyle w:val="11"/>
        <w:spacing w:beforeAutospacing="0" w:afterAutospacing="0"/>
        <w:jc w:val="both"/>
      </w:pPr>
      <w:r>
        <w:t> </w:t>
      </w:r>
    </w:p>
    <w:p w14:paraId="55C42E55">
      <w:pPr>
        <w:pStyle w:val="11"/>
        <w:spacing w:beforeAutospacing="0" w:afterAutospacing="0"/>
        <w:jc w:val="both"/>
      </w:pPr>
      <w:r>
        <w:t> </w:t>
      </w:r>
    </w:p>
    <w:p w14:paraId="24B93A6E">
      <w:pPr>
        <w:pStyle w:val="11"/>
        <w:spacing w:beforeAutospacing="0" w:afterAutospacing="0"/>
        <w:jc w:val="both"/>
      </w:pPr>
      <w:r>
        <w:t> </w:t>
      </w:r>
    </w:p>
    <w:p w14:paraId="5C84D08D">
      <w:pPr>
        <w:pStyle w:val="11"/>
        <w:spacing w:beforeAutospacing="0" w:afterAutospacing="0"/>
        <w:jc w:val="both"/>
      </w:pPr>
      <w:r>
        <w:t> </w:t>
      </w:r>
    </w:p>
    <w:p w14:paraId="06181146">
      <w:pPr>
        <w:pStyle w:val="11"/>
        <w:spacing w:beforeAutospacing="0" w:afterAutospacing="0"/>
        <w:jc w:val="both"/>
      </w:pPr>
      <w:r>
        <w:t> </w:t>
      </w:r>
    </w:p>
    <w:p w14:paraId="68E82669">
      <w:pPr>
        <w:pStyle w:val="11"/>
        <w:spacing w:beforeAutospacing="0" w:afterAutospacing="0"/>
        <w:jc w:val="both"/>
      </w:pPr>
      <w:r>
        <w:t> </w:t>
      </w:r>
    </w:p>
    <w:p w14:paraId="757C9E5A">
      <w:pPr>
        <w:pStyle w:val="11"/>
        <w:spacing w:beforeAutospacing="0" w:afterAutospacing="0"/>
        <w:jc w:val="both"/>
      </w:pPr>
      <w:r>
        <w:t> </w:t>
      </w:r>
    </w:p>
    <w:p w14:paraId="6886D9D3">
      <w:pPr>
        <w:pStyle w:val="11"/>
        <w:spacing w:beforeAutospacing="0" w:afterAutospacing="0"/>
        <w:jc w:val="both"/>
      </w:pPr>
      <w:r>
        <w:t> </w:t>
      </w:r>
    </w:p>
    <w:p w14:paraId="6BF0DD07">
      <w:pPr>
        <w:pStyle w:val="11"/>
        <w:spacing w:beforeAutospacing="0" w:afterAutospacing="0"/>
        <w:jc w:val="both"/>
      </w:pPr>
      <w:r>
        <w:t> </w:t>
      </w:r>
    </w:p>
    <w:p w14:paraId="59078BC8">
      <w:pPr>
        <w:pStyle w:val="11"/>
        <w:spacing w:beforeAutospacing="0" w:afterAutospacing="0"/>
        <w:jc w:val="both"/>
      </w:pPr>
      <w:r>
        <w:t> </w:t>
      </w:r>
    </w:p>
    <w:p w14:paraId="07310877">
      <w:pPr>
        <w:pStyle w:val="11"/>
        <w:spacing w:beforeAutospacing="0" w:afterAutospacing="0"/>
        <w:jc w:val="both"/>
      </w:pPr>
      <w:r>
        <w:t> </w:t>
      </w:r>
    </w:p>
    <w:p w14:paraId="0BC549E0">
      <w:pPr>
        <w:pStyle w:val="11"/>
        <w:keepNext/>
        <w:spacing w:beforeAutospacing="0" w:afterAutospacing="0"/>
        <w:jc w:val="center"/>
        <w:rPr>
          <w:rFonts w:hint="default" w:eastAsia="黑体"/>
          <w:lang w:val="en-US" w:eastAsia="zh-CN"/>
        </w:rPr>
      </w:pPr>
      <w:r>
        <w:rPr>
          <w:rFonts w:hint="eastAsia" w:ascii="黑体" w:hAnsi="宋体" w:eastAsia="黑体" w:cs="黑体"/>
          <w:color w:val="000000"/>
          <w:sz w:val="44"/>
          <w:szCs w:val="44"/>
        </w:rPr>
        <w:t>第一章 </w:t>
      </w:r>
      <w:r>
        <w:rPr>
          <w:rFonts w:hint="eastAsia" w:ascii="黑体" w:hAnsi="宋体" w:eastAsia="黑体" w:cs="黑体"/>
          <w:color w:val="000000"/>
          <w:sz w:val="44"/>
          <w:szCs w:val="44"/>
          <w:lang w:val="en-US" w:eastAsia="zh-CN"/>
        </w:rPr>
        <w:t>招标公告</w:t>
      </w:r>
    </w:p>
    <w:p w14:paraId="2A760EF2">
      <w:pPr>
        <w:pStyle w:val="11"/>
        <w:pBdr>
          <w:top w:val="single" w:color="000000" w:sz="4" w:space="0"/>
          <w:left w:val="single" w:color="000000" w:sz="4" w:space="0"/>
          <w:bottom w:val="single" w:color="000000" w:sz="4" w:space="0"/>
          <w:right w:val="single" w:color="000000" w:sz="4" w:space="0"/>
        </w:pBdr>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项目概况</w:t>
      </w:r>
    </w:p>
    <w:p w14:paraId="544CAC4F">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u w:val="single"/>
          <w:lang w:val="en-US" w:eastAsia="zh-CN"/>
        </w:rPr>
        <w:t>响水县2024年耕地占补平衡项目新增耕地状况调查评估报告编制</w:t>
      </w:r>
      <w:r>
        <w:rPr>
          <w:rFonts w:hint="eastAsia" w:ascii="仿宋" w:hAnsi="仿宋" w:eastAsia="仿宋" w:cs="仿宋"/>
          <w:color w:val="000000"/>
          <w:sz w:val="28"/>
          <w:szCs w:val="28"/>
        </w:rPr>
        <w:t>招标项目的潜在投标人可在</w:t>
      </w:r>
      <w:r>
        <w:rPr>
          <w:rFonts w:hint="eastAsia" w:ascii="仿宋" w:hAnsi="仿宋" w:eastAsia="仿宋" w:cs="仿宋"/>
          <w:color w:val="000000"/>
          <w:sz w:val="28"/>
          <w:szCs w:val="28"/>
          <w:u w:val="single"/>
        </w:rPr>
        <w:t>“</w:t>
      </w:r>
      <w:r>
        <w:rPr>
          <w:rFonts w:hint="eastAsia" w:ascii="仿宋" w:hAnsi="仿宋" w:eastAsia="仿宋" w:cs="仿宋"/>
          <w:color w:val="000000"/>
          <w:kern w:val="0"/>
          <w:sz w:val="28"/>
          <w:szCs w:val="28"/>
          <w:u w:val="single"/>
          <w:lang w:val="en-US" w:eastAsia="zh-CN" w:bidi="ar-SA"/>
        </w:rPr>
        <w:t>中国政府采购网</w:t>
      </w:r>
      <w:r>
        <w:rPr>
          <w:rFonts w:hint="eastAsia" w:ascii="仿宋" w:hAnsi="仿宋" w:eastAsia="仿宋" w:cs="仿宋"/>
          <w:color w:val="000000"/>
          <w:sz w:val="28"/>
          <w:szCs w:val="28"/>
          <w:u w:val="single"/>
          <w:lang w:eastAsia="zh-CN"/>
        </w:rPr>
        <w:t>、</w:t>
      </w:r>
      <w:r>
        <w:rPr>
          <w:rFonts w:hint="eastAsia" w:ascii="仿宋" w:hAnsi="仿宋" w:eastAsia="仿宋" w:cs="仿宋"/>
          <w:color w:val="000000"/>
          <w:sz w:val="28"/>
          <w:szCs w:val="28"/>
          <w:u w:val="single"/>
        </w:rPr>
        <w:t>江苏政府采购网、盐城市政府采购网”</w:t>
      </w:r>
      <w:r>
        <w:rPr>
          <w:rFonts w:hint="eastAsia" w:ascii="仿宋" w:hAnsi="仿宋" w:eastAsia="仿宋" w:cs="仿宋"/>
          <w:color w:val="000000"/>
          <w:sz w:val="28"/>
          <w:szCs w:val="28"/>
          <w:lang w:val="en-US" w:eastAsia="zh-CN"/>
        </w:rPr>
        <w:t>获取</w:t>
      </w:r>
      <w:r>
        <w:rPr>
          <w:rFonts w:hint="eastAsia" w:ascii="仿宋" w:hAnsi="仿宋" w:eastAsia="仿宋" w:cs="仿宋"/>
          <w:color w:val="000000"/>
          <w:sz w:val="28"/>
          <w:szCs w:val="28"/>
        </w:rPr>
        <w:t>招标文件，并</w:t>
      </w:r>
      <w:r>
        <w:rPr>
          <w:rFonts w:hint="eastAsia" w:ascii="仿宋" w:hAnsi="仿宋" w:eastAsia="仿宋" w:cs="仿宋"/>
          <w:color w:val="000000"/>
          <w:sz w:val="28"/>
          <w:szCs w:val="28"/>
          <w:u w:val="single"/>
          <w:lang w:val="en-US" w:eastAsia="zh-CN"/>
        </w:rPr>
        <w:t>2024</w:t>
      </w:r>
      <w:r>
        <w:rPr>
          <w:rFonts w:hint="eastAsia" w:ascii="仿宋" w:hAnsi="仿宋" w:eastAsia="仿宋" w:cs="仿宋"/>
          <w:color w:val="000000"/>
          <w:sz w:val="28"/>
          <w:szCs w:val="28"/>
          <w:u w:val="single"/>
        </w:rPr>
        <w:t>年</w:t>
      </w:r>
      <w:r>
        <w:rPr>
          <w:rFonts w:hint="eastAsia" w:ascii="仿宋" w:hAnsi="仿宋" w:eastAsia="仿宋" w:cs="仿宋"/>
          <w:color w:val="000000"/>
          <w:sz w:val="28"/>
          <w:szCs w:val="28"/>
          <w:u w:val="single"/>
          <w:lang w:val="en-US" w:eastAsia="zh-CN"/>
        </w:rPr>
        <w:t>10</w:t>
      </w:r>
      <w:r>
        <w:rPr>
          <w:rFonts w:hint="eastAsia" w:ascii="仿宋" w:hAnsi="仿宋" w:eastAsia="仿宋" w:cs="仿宋"/>
          <w:color w:val="000000"/>
          <w:sz w:val="28"/>
          <w:szCs w:val="28"/>
          <w:u w:val="single"/>
        </w:rPr>
        <w:t>月</w:t>
      </w:r>
      <w:r>
        <w:rPr>
          <w:rFonts w:hint="eastAsia" w:ascii="仿宋" w:hAnsi="仿宋" w:eastAsia="仿宋" w:cs="仿宋"/>
          <w:color w:val="000000"/>
          <w:sz w:val="28"/>
          <w:szCs w:val="28"/>
          <w:u w:val="single"/>
          <w:lang w:val="en-US" w:eastAsia="zh-CN"/>
        </w:rPr>
        <w:t>11</w:t>
      </w:r>
      <w:r>
        <w:rPr>
          <w:rFonts w:hint="eastAsia" w:ascii="仿宋" w:hAnsi="仿宋" w:eastAsia="仿宋" w:cs="仿宋"/>
          <w:color w:val="000000"/>
          <w:sz w:val="28"/>
          <w:szCs w:val="28"/>
          <w:u w:val="single"/>
        </w:rPr>
        <w:t>日</w:t>
      </w:r>
      <w:r>
        <w:rPr>
          <w:rFonts w:hint="eastAsia" w:ascii="仿宋" w:hAnsi="仿宋" w:eastAsia="仿宋" w:cs="仿宋"/>
          <w:color w:val="000000"/>
          <w:sz w:val="28"/>
          <w:szCs w:val="28"/>
          <w:u w:val="single"/>
          <w:lang w:val="en-US" w:eastAsia="zh-CN"/>
        </w:rPr>
        <w:t>9</w:t>
      </w:r>
      <w:r>
        <w:rPr>
          <w:rFonts w:hint="eastAsia" w:ascii="仿宋" w:hAnsi="仿宋" w:eastAsia="仿宋" w:cs="仿宋"/>
          <w:color w:val="000000"/>
          <w:sz w:val="28"/>
          <w:szCs w:val="28"/>
          <w:u w:val="single"/>
        </w:rPr>
        <w:t>点</w:t>
      </w:r>
      <w:r>
        <w:rPr>
          <w:rFonts w:hint="eastAsia" w:ascii="仿宋" w:hAnsi="仿宋" w:eastAsia="仿宋" w:cs="仿宋"/>
          <w:color w:val="000000"/>
          <w:sz w:val="28"/>
          <w:szCs w:val="28"/>
          <w:u w:val="single"/>
          <w:lang w:val="en-US" w:eastAsia="zh-CN"/>
        </w:rPr>
        <w:t>00</w:t>
      </w:r>
      <w:r>
        <w:rPr>
          <w:rFonts w:hint="eastAsia" w:ascii="仿宋" w:hAnsi="仿宋" w:eastAsia="仿宋" w:cs="仿宋"/>
          <w:color w:val="000000"/>
          <w:sz w:val="28"/>
          <w:szCs w:val="28"/>
          <w:u w:val="single"/>
        </w:rPr>
        <w:t>分（</w:t>
      </w:r>
      <w:r>
        <w:rPr>
          <w:rFonts w:hint="eastAsia" w:ascii="仿宋" w:hAnsi="仿宋" w:eastAsia="仿宋" w:cs="仿宋"/>
          <w:color w:val="000000"/>
          <w:sz w:val="28"/>
          <w:szCs w:val="28"/>
        </w:rPr>
        <w:t>北京时间）前递交投标文件。</w:t>
      </w:r>
    </w:p>
    <w:p w14:paraId="03CE39A4">
      <w:pPr>
        <w:pStyle w:val="11"/>
        <w:keepNext/>
        <w:keepLines/>
        <w:spacing w:before="145" w:beforeAutospacing="0" w:after="145" w:afterAutospacing="0" w:line="360" w:lineRule="auto"/>
        <w:ind w:firstLine="498"/>
        <w:jc w:val="both"/>
      </w:pPr>
      <w:bookmarkStart w:id="7" w:name="_Hlk24379207"/>
      <w:bookmarkStart w:id="8" w:name="_Toc35393621"/>
      <w:bookmarkStart w:id="9" w:name="_Toc38985263"/>
      <w:bookmarkStart w:id="10" w:name="_Toc35393790"/>
      <w:bookmarkStart w:id="11" w:name="_Toc28359002"/>
      <w:bookmarkStart w:id="12" w:name="_Toc28359079"/>
      <w:r>
        <w:rPr>
          <w:rFonts w:ascii="Times New Roman" w:hAnsi="Times New Roman"/>
          <w:b/>
          <w:color w:val="000000"/>
          <w:sz w:val="32"/>
          <w:szCs w:val="32"/>
        </w:rPr>
        <w:t>一、项目基本情况</w:t>
      </w:r>
      <w:bookmarkEnd w:id="7"/>
      <w:bookmarkEnd w:id="8"/>
      <w:bookmarkEnd w:id="9"/>
      <w:bookmarkEnd w:id="10"/>
      <w:bookmarkEnd w:id="11"/>
      <w:bookmarkEnd w:id="12"/>
    </w:p>
    <w:p w14:paraId="104F945D">
      <w:pPr>
        <w:pStyle w:val="11"/>
        <w:spacing w:beforeAutospacing="0" w:afterAutospacing="0"/>
        <w:ind w:firstLine="480"/>
        <w:jc w:val="both"/>
        <w:rPr>
          <w:rFonts w:ascii="Segoe UI" w:hAnsi="Segoe UI" w:eastAsia="Segoe UI" w:cs="Segoe UI"/>
          <w:i w:val="0"/>
          <w:iCs w:val="0"/>
          <w:caps w:val="0"/>
          <w:spacing w:val="0"/>
          <w:sz w:val="21"/>
          <w:szCs w:val="21"/>
          <w:shd w:val="clear" w:fill="FFFFFF"/>
        </w:rPr>
      </w:pPr>
      <w:r>
        <w:rPr>
          <w:rFonts w:hint="eastAsia" w:ascii="仿宋" w:hAnsi="仿宋" w:eastAsia="仿宋" w:cs="仿宋"/>
          <w:color w:val="000000"/>
          <w:sz w:val="28"/>
          <w:szCs w:val="28"/>
        </w:rPr>
        <w:t>1.项目编号：JSZC-320921-DXGC-G2024-0005</w:t>
      </w:r>
    </w:p>
    <w:p w14:paraId="02803B8D">
      <w:pPr>
        <w:pStyle w:val="11"/>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2.项目名称：</w:t>
      </w:r>
      <w:bookmarkStart w:id="13" w:name="OLE_LINK2"/>
      <w:r>
        <w:rPr>
          <w:rFonts w:hint="eastAsia" w:ascii="仿宋" w:hAnsi="仿宋" w:eastAsia="仿宋" w:cs="仿宋"/>
          <w:color w:val="000000"/>
          <w:sz w:val="28"/>
          <w:szCs w:val="28"/>
          <w:lang w:val="en-US" w:eastAsia="zh-CN"/>
        </w:rPr>
        <w:t>响水县2024年耕地占补平衡项目新增耕地状况调查评估报告编制</w:t>
      </w:r>
    </w:p>
    <w:bookmarkEnd w:id="13"/>
    <w:p w14:paraId="7302FDEB">
      <w:pPr>
        <w:pStyle w:val="11"/>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fill="FFFFFF"/>
          <w:lang w:val="en-US" w:eastAsia="zh-CN"/>
        </w:rPr>
        <w:t>3.</w:t>
      </w:r>
      <w:r>
        <w:rPr>
          <w:rFonts w:hint="eastAsia" w:ascii="仿宋" w:hAnsi="仿宋" w:eastAsia="仿宋" w:cs="仿宋"/>
          <w:i w:val="0"/>
          <w:iCs w:val="0"/>
          <w:caps w:val="0"/>
          <w:color w:val="333333"/>
          <w:spacing w:val="0"/>
          <w:sz w:val="28"/>
          <w:szCs w:val="28"/>
          <w:shd w:val="clear" w:fill="FFFFFF"/>
        </w:rPr>
        <w:t>采购方式：</w:t>
      </w:r>
      <w:r>
        <w:rPr>
          <w:rFonts w:hint="eastAsia" w:ascii="仿宋" w:hAnsi="仿宋" w:eastAsia="仿宋" w:cs="仿宋"/>
          <w:i w:val="0"/>
          <w:iCs w:val="0"/>
          <w:caps w:val="0"/>
          <w:color w:val="333333"/>
          <w:spacing w:val="0"/>
          <w:sz w:val="28"/>
          <w:szCs w:val="28"/>
          <w:shd w:val="clear" w:fill="FFFFFF"/>
          <w:lang w:val="en-US" w:eastAsia="zh-CN"/>
        </w:rPr>
        <w:t>公开招标</w:t>
      </w:r>
    </w:p>
    <w:p w14:paraId="38B10A5F">
      <w:pPr>
        <w:pStyle w:val="11"/>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bookmarkStart w:id="14" w:name="OLE_LINK16"/>
      <w:r>
        <w:rPr>
          <w:rFonts w:hint="eastAsia" w:ascii="仿宋" w:hAnsi="仿宋" w:eastAsia="仿宋" w:cs="仿宋"/>
          <w:color w:val="000000"/>
          <w:sz w:val="28"/>
          <w:szCs w:val="28"/>
        </w:rPr>
        <w:t>预算金额：</w:t>
      </w:r>
      <w:r>
        <w:rPr>
          <w:rFonts w:hint="eastAsia" w:ascii="仿宋" w:hAnsi="仿宋" w:eastAsia="仿宋" w:cs="仿宋"/>
          <w:color w:val="000000"/>
          <w:sz w:val="28"/>
          <w:szCs w:val="28"/>
          <w:lang w:val="en-US" w:eastAsia="zh-CN"/>
        </w:rPr>
        <w:t>120万</w:t>
      </w:r>
      <w:r>
        <w:rPr>
          <w:rFonts w:hint="eastAsia" w:ascii="仿宋" w:hAnsi="仿宋" w:eastAsia="仿宋" w:cs="仿宋"/>
          <w:color w:val="000000"/>
          <w:sz w:val="28"/>
          <w:szCs w:val="28"/>
        </w:rPr>
        <w:t>元</w:t>
      </w:r>
    </w:p>
    <w:p w14:paraId="4D05CB7D">
      <w:pPr>
        <w:pStyle w:val="11"/>
        <w:spacing w:beforeAutospacing="0" w:afterAutospacing="0"/>
        <w:ind w:firstLine="480"/>
        <w:jc w:val="both"/>
        <w:rPr>
          <w:rFonts w:hint="default" w:ascii="仿宋" w:hAnsi="仿宋" w:eastAsia="仿宋" w:cs="仿宋"/>
          <w:color w:val="000000"/>
          <w:sz w:val="28"/>
          <w:szCs w:val="28"/>
          <w:shd w:val="clear" w:color="auto" w:fill="FFFF00"/>
          <w:lang w:val="en-US" w:eastAsia="zh-CN"/>
        </w:rPr>
      </w:pP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最高限价：</w:t>
      </w:r>
      <w:r>
        <w:rPr>
          <w:rFonts w:hint="eastAsia" w:ascii="仿宋" w:hAnsi="仿宋" w:eastAsia="仿宋" w:cs="仿宋"/>
          <w:i w:val="0"/>
          <w:iCs w:val="0"/>
          <w:caps w:val="0"/>
          <w:color w:val="333333"/>
          <w:spacing w:val="0"/>
          <w:sz w:val="28"/>
          <w:szCs w:val="28"/>
          <w:shd w:val="clear" w:fill="FFFFFF"/>
          <w:lang w:val="en-US" w:eastAsia="zh-CN"/>
        </w:rPr>
        <w:t>120万元</w:t>
      </w:r>
    </w:p>
    <w:bookmarkEnd w:id="14"/>
    <w:p w14:paraId="380FB0F9">
      <w:pPr>
        <w:pStyle w:val="11"/>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.采购需求（简介）：</w:t>
      </w:r>
      <w:bookmarkStart w:id="15" w:name="OLE_LINK14"/>
      <w:r>
        <w:rPr>
          <w:rFonts w:hint="eastAsia" w:ascii="仿宋" w:hAnsi="仿宋" w:eastAsia="仿宋" w:cs="仿宋"/>
          <w:color w:val="000000"/>
          <w:sz w:val="28"/>
          <w:szCs w:val="28"/>
        </w:rPr>
        <w:t>按照</w:t>
      </w:r>
      <w:r>
        <w:rPr>
          <w:rFonts w:hint="eastAsia" w:ascii="仿宋" w:hAnsi="仿宋" w:eastAsia="仿宋" w:cs="仿宋"/>
          <w:color w:val="000000"/>
          <w:sz w:val="28"/>
          <w:szCs w:val="28"/>
          <w:highlight w:val="none"/>
        </w:rPr>
        <w:t>《拟开垦为耕地的复垦土地及未利用地土壤污染状况调查技术指南（试行）》要求</w:t>
      </w:r>
      <w:r>
        <w:rPr>
          <w:rFonts w:hint="eastAsia" w:ascii="仿宋" w:hAnsi="仿宋" w:eastAsia="仿宋" w:cs="仿宋"/>
          <w:color w:val="000000"/>
          <w:sz w:val="28"/>
          <w:szCs w:val="28"/>
        </w:rPr>
        <w:t>，对响水县2024年度通过市局立项的耕地占补平衡项目新增耕地</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预计4000亩</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进行实地取样调查评估，并编制报告。配合县局、自然资源所做好县级、市级验收工作并整理制作装订完善电子资料。</w:t>
      </w:r>
      <w:bookmarkEnd w:id="15"/>
      <w:bookmarkStart w:id="16" w:name="OLE_LINK15"/>
      <w:r>
        <w:rPr>
          <w:rFonts w:hint="eastAsia" w:ascii="仿宋" w:hAnsi="仿宋" w:eastAsia="仿宋" w:cs="仿宋"/>
          <w:color w:val="000000"/>
          <w:sz w:val="28"/>
          <w:szCs w:val="28"/>
        </w:rPr>
        <w:t>（详细内容见本</w:t>
      </w:r>
      <w:r>
        <w:rPr>
          <w:rFonts w:hint="eastAsia" w:ascii="仿宋" w:hAnsi="仿宋" w:eastAsia="仿宋" w:cs="仿宋"/>
          <w:color w:val="000000"/>
          <w:sz w:val="28"/>
          <w:szCs w:val="28"/>
          <w:lang w:val="en-US" w:eastAsia="zh-CN"/>
        </w:rPr>
        <w:t>招标</w:t>
      </w:r>
      <w:r>
        <w:rPr>
          <w:rFonts w:hint="eastAsia" w:ascii="仿宋" w:hAnsi="仿宋" w:eastAsia="仿宋" w:cs="仿宋"/>
          <w:color w:val="000000"/>
          <w:sz w:val="28"/>
          <w:szCs w:val="28"/>
        </w:rPr>
        <w:t>文件第四章）</w:t>
      </w:r>
    </w:p>
    <w:bookmarkEnd w:id="16"/>
    <w:p w14:paraId="33E1B2D3">
      <w:pPr>
        <w:pStyle w:val="11"/>
        <w:spacing w:beforeAutospacing="0" w:afterAutospacing="0"/>
        <w:ind w:firstLine="480"/>
        <w:jc w:val="both"/>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.合同履行期限：</w:t>
      </w:r>
      <w:r>
        <w:rPr>
          <w:rFonts w:hint="eastAsia" w:ascii="仿宋" w:hAnsi="仿宋" w:eastAsia="仿宋" w:cs="仿宋"/>
          <w:color w:val="000000"/>
          <w:sz w:val="28"/>
          <w:szCs w:val="28"/>
          <w:lang w:val="en-US" w:eastAsia="zh-CN"/>
        </w:rPr>
        <w:t>一年。</w:t>
      </w:r>
    </w:p>
    <w:p w14:paraId="7D6B30BF">
      <w:pPr>
        <w:pStyle w:val="11"/>
        <w:spacing w:beforeAutospacing="0" w:afterAutospacing="0" w:line="360" w:lineRule="auto"/>
        <w:ind w:firstLine="480"/>
        <w:jc w:val="both"/>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fill="FFFFFF"/>
          <w:lang w:val="en-US" w:eastAsia="zh-CN"/>
        </w:rPr>
        <w:t>8.</w:t>
      </w:r>
      <w:r>
        <w:rPr>
          <w:rFonts w:hint="eastAsia" w:ascii="仿宋" w:hAnsi="仿宋" w:eastAsia="仿宋" w:cs="仿宋"/>
          <w:color w:val="000000"/>
          <w:sz w:val="28"/>
          <w:szCs w:val="28"/>
        </w:rPr>
        <w:t>本项目</w:t>
      </w:r>
      <w:r>
        <w:rPr>
          <w:rFonts w:hint="eastAsia" w:ascii="仿宋" w:hAnsi="仿宋" w:eastAsia="仿宋" w:cs="仿宋"/>
          <w:color w:val="000000"/>
          <w:sz w:val="28"/>
          <w:szCs w:val="28"/>
          <w:lang w:val="en-US" w:eastAsia="zh-CN"/>
        </w:rPr>
        <w:t>不</w:t>
      </w:r>
      <w:r>
        <w:rPr>
          <w:rFonts w:hint="eastAsia" w:ascii="仿宋" w:hAnsi="仿宋" w:eastAsia="仿宋" w:cs="仿宋"/>
          <w:color w:val="000000"/>
          <w:sz w:val="28"/>
          <w:szCs w:val="28"/>
        </w:rPr>
        <w:t>接受联合体参与</w:t>
      </w:r>
      <w:r>
        <w:rPr>
          <w:rFonts w:hint="eastAsia" w:ascii="仿宋" w:hAnsi="仿宋" w:eastAsia="仿宋" w:cs="仿宋"/>
          <w:color w:val="000000"/>
          <w:sz w:val="28"/>
          <w:szCs w:val="28"/>
          <w:lang w:val="en-US" w:eastAsia="zh-CN"/>
        </w:rPr>
        <w:t>招标。</w:t>
      </w:r>
      <w:bookmarkStart w:id="17" w:name="_Toc35393791"/>
      <w:bookmarkStart w:id="18" w:name="_Toc28359080"/>
      <w:bookmarkStart w:id="19" w:name="_Toc35393622"/>
      <w:bookmarkStart w:id="20" w:name="_Toc28359003"/>
      <w:bookmarkStart w:id="21" w:name="_Toc38985264"/>
    </w:p>
    <w:p w14:paraId="6E073062">
      <w:pPr>
        <w:pStyle w:val="11"/>
        <w:spacing w:beforeAutospacing="0" w:afterAutospacing="0" w:line="360" w:lineRule="auto"/>
        <w:ind w:firstLine="480"/>
        <w:jc w:val="both"/>
      </w:pPr>
      <w:r>
        <w:rPr>
          <w:rFonts w:ascii="Times New Roman" w:hAnsi="Times New Roman"/>
          <w:b/>
          <w:color w:val="000000"/>
          <w:sz w:val="32"/>
          <w:szCs w:val="32"/>
        </w:rPr>
        <w:t>二、申请人的资格要求：</w:t>
      </w:r>
      <w:bookmarkEnd w:id="17"/>
      <w:bookmarkEnd w:id="18"/>
      <w:bookmarkEnd w:id="19"/>
      <w:bookmarkEnd w:id="20"/>
      <w:bookmarkEnd w:id="21"/>
    </w:p>
    <w:p w14:paraId="006F80F0">
      <w:pPr>
        <w:pStyle w:val="11"/>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1.满足《中华人民共和国政府采购法》第二十二条规定，并提供下列材料：</w:t>
      </w:r>
    </w:p>
    <w:p w14:paraId="70A4DD92">
      <w:pPr>
        <w:pStyle w:val="11"/>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法人或者其他组织的营业执照等证明文件，自然人的身份证明；</w:t>
      </w:r>
    </w:p>
    <w:p w14:paraId="5E4D8B5B">
      <w:pPr>
        <w:pStyle w:val="11"/>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1.2上一年度的财务状况报</w:t>
      </w:r>
      <w:r>
        <w:rPr>
          <w:rFonts w:hint="eastAsia" w:ascii="仿宋" w:hAnsi="仿宋" w:eastAsia="仿宋" w:cs="仿宋"/>
          <w:color w:val="auto"/>
          <w:sz w:val="28"/>
          <w:szCs w:val="28"/>
          <w:highlight w:val="none"/>
        </w:rPr>
        <w:t>表</w:t>
      </w:r>
      <w:r>
        <w:rPr>
          <w:rFonts w:hint="eastAsia" w:ascii="仿宋" w:hAnsi="仿宋" w:eastAsia="仿宋" w:cs="仿宋"/>
          <w:color w:val="000000"/>
          <w:sz w:val="28"/>
          <w:szCs w:val="28"/>
        </w:rPr>
        <w:t>（成立不满一年无需提供）；</w:t>
      </w:r>
    </w:p>
    <w:p w14:paraId="365E6E2B">
      <w:pPr>
        <w:pStyle w:val="11"/>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w:t>
      </w:r>
      <w:r>
        <w:rPr>
          <w:rFonts w:hint="eastAsia" w:ascii="仿宋" w:hAnsi="仿宋" w:eastAsia="仿宋" w:cs="仿宋"/>
          <w:color w:val="000000"/>
          <w:sz w:val="28"/>
          <w:szCs w:val="28"/>
        </w:rPr>
        <w:t>具备履行合同所必需的设备和专业技术能力的书面声明；</w:t>
      </w:r>
    </w:p>
    <w:p w14:paraId="53B6CB07">
      <w:pPr>
        <w:pStyle w:val="11"/>
        <w:spacing w:beforeAutospacing="0" w:afterAutospacing="0"/>
        <w:ind w:firstLine="480"/>
        <w:jc w:val="both"/>
        <w:rPr>
          <w:rFonts w:hint="eastAsia" w:ascii="仿宋" w:hAnsi="仿宋" w:eastAsia="仿宋" w:cs="仿宋"/>
          <w:sz w:val="28"/>
          <w:szCs w:val="28"/>
          <w:highlight w:val="none"/>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color w:val="000000"/>
          <w:sz w:val="28"/>
          <w:szCs w:val="28"/>
          <w:highlight w:val="none"/>
        </w:rPr>
        <w:t>）；</w:t>
      </w:r>
    </w:p>
    <w:p w14:paraId="311BFC0E">
      <w:pPr>
        <w:pStyle w:val="11"/>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.5参加政府采购活动前3年内在经营活动中没有重大违法记录的书面声明。</w:t>
      </w:r>
    </w:p>
    <w:p w14:paraId="50BAEF3F">
      <w:pPr>
        <w:pStyle w:val="11"/>
        <w:spacing w:beforeAutospacing="0" w:afterAutospacing="0"/>
        <w:ind w:firstLine="480"/>
        <w:jc w:val="both"/>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1.6</w:t>
      </w:r>
      <w:bookmarkStart w:id="22" w:name="OLE_LINK18"/>
      <w:r>
        <w:rPr>
          <w:rFonts w:hint="eastAsia" w:ascii="仿宋" w:hAnsi="仿宋" w:eastAsia="仿宋" w:cs="仿宋"/>
          <w:color w:val="000000"/>
          <w:sz w:val="28"/>
          <w:szCs w:val="28"/>
          <w:lang w:val="en-US" w:eastAsia="zh-CN"/>
        </w:rPr>
        <w:t>法律、行政法规规定的其他条件。</w:t>
      </w:r>
      <w:bookmarkEnd w:id="22"/>
    </w:p>
    <w:p w14:paraId="3A23E2E9">
      <w:pPr>
        <w:pStyle w:val="11"/>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1.7</w:t>
      </w:r>
      <w:bookmarkStart w:id="23" w:name="OLE_LINK19"/>
      <w:r>
        <w:rPr>
          <w:rFonts w:hint="eastAsia" w:ascii="仿宋" w:hAnsi="仿宋" w:eastAsia="仿宋" w:cs="仿宋"/>
          <w:color w:val="000000"/>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bookmarkEnd w:id="23"/>
    <w:p w14:paraId="13F3FBEE">
      <w:pPr>
        <w:pStyle w:val="11"/>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1.8</w:t>
      </w:r>
      <w:bookmarkStart w:id="24" w:name="OLE_LINK20"/>
      <w:r>
        <w:rPr>
          <w:rFonts w:hint="eastAsia" w:ascii="仿宋" w:hAnsi="仿宋" w:eastAsia="仿宋" w:cs="仿宋"/>
          <w:color w:val="000000"/>
          <w:sz w:val="28"/>
          <w:szCs w:val="28"/>
        </w:rPr>
        <w:t>单位负责人为同一人或者存在直接控股、管理关系的不同供应商，不得参加同一合同项下的政府采购活动。</w:t>
      </w:r>
      <w:bookmarkEnd w:id="24"/>
    </w:p>
    <w:p w14:paraId="08224D1A">
      <w:pPr>
        <w:pStyle w:val="11"/>
        <w:pageBreakBefore w:val="0"/>
        <w:numPr>
          <w:ilvl w:val="0"/>
          <w:numId w:val="1"/>
        </w:numPr>
        <w:kinsoku/>
        <w:wordWrap/>
        <w:overflowPunct/>
        <w:topLinePunct w:val="0"/>
        <w:autoSpaceDE/>
        <w:autoSpaceDN/>
        <w:bidi w:val="0"/>
        <w:snapToGrid/>
        <w:spacing w:before="120" w:beforeAutospacing="0" w:after="120" w:afterAutospacing="0" w:line="480" w:lineRule="exact"/>
        <w:ind w:firstLine="48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落实政府采购政策需满足的资格要求：</w:t>
      </w:r>
    </w:p>
    <w:p w14:paraId="56D39EED">
      <w:pPr>
        <w:pStyle w:val="11"/>
        <w:pageBreakBefore w:val="0"/>
        <w:numPr>
          <w:ilvl w:val="0"/>
          <w:numId w:val="0"/>
        </w:numPr>
        <w:kinsoku/>
        <w:wordWrap/>
        <w:overflowPunct/>
        <w:topLinePunct w:val="0"/>
        <w:autoSpaceDE/>
        <w:autoSpaceDN/>
        <w:bidi w:val="0"/>
        <w:snapToGrid/>
        <w:spacing w:before="120" w:beforeAutospacing="0" w:after="120" w:afterAutospacing="0" w:line="480" w:lineRule="exact"/>
        <w:ind w:firstLine="560" w:firstLineChars="200"/>
        <w:textAlignment w:val="auto"/>
        <w:rPr>
          <w:rFonts w:hint="eastAsia" w:ascii="仿宋" w:hAnsi="仿宋" w:eastAsia="仿宋" w:cs="仿宋"/>
          <w:color w:val="000000"/>
          <w:sz w:val="28"/>
          <w:szCs w:val="28"/>
        </w:rPr>
      </w:pPr>
      <w:bookmarkStart w:id="25" w:name="OLE_LINK21"/>
      <w:r>
        <w:rPr>
          <w:rFonts w:hint="eastAsia" w:ascii="仿宋" w:hAnsi="仿宋" w:eastAsia="仿宋" w:cs="仿宋"/>
          <w:color w:val="000000"/>
          <w:sz w:val="28"/>
          <w:szCs w:val="28"/>
        </w:rPr>
        <w:t>本项目对小微型企业产品给予20%的扣除价格，用扣除后的价格参与评审。监狱和戒毒企业</w:t>
      </w:r>
      <w:r>
        <w:rPr>
          <w:rFonts w:hint="eastAsia" w:ascii="仿宋" w:hAnsi="仿宋" w:eastAsia="仿宋" w:cs="仿宋"/>
          <w:color w:val="000000"/>
          <w:sz w:val="28"/>
          <w:szCs w:val="28"/>
          <w:lang w:val="en-US" w:eastAsia="zh-CN"/>
        </w:rPr>
        <w:t>或</w:t>
      </w:r>
      <w:r>
        <w:rPr>
          <w:rFonts w:hint="eastAsia" w:ascii="仿宋" w:hAnsi="仿宋" w:eastAsia="仿宋" w:cs="仿宋"/>
          <w:color w:val="000000"/>
          <w:sz w:val="28"/>
          <w:szCs w:val="28"/>
        </w:rPr>
        <w:t>残疾人福利性单位视同小型、微型企业，给予20%的价格扣除，用扣除后的价格参与评审。残疾人福利单位、监狱企业属于小型、微型企业的，不重复享受政策。</w:t>
      </w:r>
    </w:p>
    <w:bookmarkEnd w:id="25"/>
    <w:p w14:paraId="5E4792D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本项目的特定资格要求</w:t>
      </w:r>
      <w:r>
        <w:rPr>
          <w:rFonts w:hint="eastAsia" w:ascii="仿宋" w:hAnsi="仿宋" w:eastAsia="仿宋" w:cs="仿宋"/>
          <w:color w:val="000000"/>
          <w:sz w:val="28"/>
          <w:szCs w:val="28"/>
          <w:lang w:eastAsia="zh-CN"/>
        </w:rPr>
        <w:t>：</w:t>
      </w:r>
    </w:p>
    <w:p w14:paraId="146D0363">
      <w:pPr>
        <w:spacing w:line="360" w:lineRule="auto"/>
        <w:ind w:left="559" w:leftChars="266" w:firstLine="0" w:firstLineChars="0"/>
        <w:rPr>
          <w:rFonts w:ascii="Times New Roman" w:hAnsi="Times New Roman"/>
          <w:b/>
          <w:color w:val="000000"/>
          <w:sz w:val="32"/>
          <w:szCs w:val="32"/>
        </w:rPr>
      </w:pPr>
      <w:r>
        <w:rPr>
          <w:rFonts w:hint="eastAsia" w:ascii="仿宋" w:hAnsi="仿宋" w:eastAsia="仿宋" w:cs="仿宋"/>
          <w:color w:val="000000"/>
          <w:kern w:val="0"/>
          <w:sz w:val="28"/>
          <w:szCs w:val="28"/>
          <w:lang w:val="en-US" w:eastAsia="zh-CN" w:bidi="ar-SA"/>
        </w:rPr>
        <w:t>3.1</w:t>
      </w:r>
      <w:bookmarkStart w:id="26" w:name="OLE_LINK22"/>
      <w:r>
        <w:rPr>
          <w:rFonts w:hint="eastAsia" w:ascii="仿宋" w:hAnsi="仿宋" w:eastAsia="仿宋" w:cs="仿宋"/>
          <w:color w:val="000000"/>
          <w:kern w:val="0"/>
          <w:sz w:val="28"/>
          <w:szCs w:val="28"/>
          <w:lang w:val="en-US" w:eastAsia="zh-CN" w:bidi="ar-SA"/>
        </w:rPr>
        <w:t>投标人须具备土地整治项目规划设计二级及以上资质证书。</w:t>
      </w:r>
      <w:bookmarkEnd w:id="26"/>
      <w:r>
        <w:rPr>
          <w:rFonts w:ascii="Times New Roman" w:hAnsi="Times New Roman"/>
          <w:b/>
          <w:color w:val="000000"/>
          <w:sz w:val="32"/>
          <w:szCs w:val="32"/>
        </w:rPr>
        <w:t>三、获取招标文件</w:t>
      </w:r>
      <w:bookmarkStart w:id="27" w:name="_Toc35393793"/>
      <w:bookmarkStart w:id="28" w:name="_Toc28359005"/>
      <w:bookmarkStart w:id="29" w:name="_Toc35393624"/>
      <w:bookmarkStart w:id="30" w:name="_Toc28359082"/>
      <w:bookmarkStart w:id="31" w:name="_Toc38985266"/>
    </w:p>
    <w:p w14:paraId="5E823C53">
      <w:pPr>
        <w:spacing w:line="360" w:lineRule="auto"/>
        <w:ind w:left="559" w:leftChars="266" w:firstLine="0" w:firstLineChars="0"/>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1.时间：</w:t>
      </w:r>
      <w:bookmarkEnd w:id="27"/>
      <w:bookmarkEnd w:id="28"/>
      <w:bookmarkEnd w:id="29"/>
      <w:bookmarkEnd w:id="30"/>
      <w:bookmarkEnd w:id="31"/>
      <w:r>
        <w:rPr>
          <w:rFonts w:hint="eastAsia" w:ascii="仿宋" w:hAnsi="仿宋" w:eastAsia="仿宋" w:cs="仿宋"/>
          <w:color w:val="000000"/>
          <w:kern w:val="2"/>
          <w:sz w:val="28"/>
          <w:szCs w:val="28"/>
          <w:highlight w:val="none"/>
          <w:lang w:val="en-US" w:eastAsia="zh-CN" w:bidi="ar-SA"/>
        </w:rPr>
        <w:t>2024年9月12日至2024年9月20日（提供期限自本公告发布之日起不得少于5个工作日），每天上午0点00分至12点00分，下午12点00分至23点59分（北京时间，法定节假日除外 ）。</w:t>
      </w:r>
    </w:p>
    <w:p w14:paraId="4D2A6291">
      <w:pPr>
        <w:widowControl/>
        <w:spacing w:line="560" w:lineRule="exact"/>
        <w:ind w:firstLine="48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2.地点：</w:t>
      </w:r>
      <w:r>
        <w:rPr>
          <w:rFonts w:hint="eastAsia" w:ascii="仿宋" w:hAnsi="仿宋" w:eastAsia="仿宋" w:cs="仿宋"/>
          <w:color w:val="000000"/>
          <w:kern w:val="0"/>
          <w:sz w:val="28"/>
          <w:szCs w:val="28"/>
          <w:lang w:val="en-US" w:eastAsia="zh-CN" w:bidi="ar-SA"/>
        </w:rPr>
        <w:t>中国政府采购网、</w:t>
      </w:r>
      <w:r>
        <w:rPr>
          <w:rFonts w:hint="eastAsia" w:ascii="仿宋" w:hAnsi="仿宋" w:eastAsia="仿宋" w:cs="仿宋"/>
          <w:color w:val="000000"/>
          <w:sz w:val="28"/>
          <w:szCs w:val="28"/>
          <w:highlight w:val="none"/>
          <w:lang w:val="en-US" w:eastAsia="zh-CN"/>
        </w:rPr>
        <w:t>江苏政府采购网、盐城市政府采购网</w:t>
      </w:r>
    </w:p>
    <w:p w14:paraId="4F1894C5">
      <w:pPr>
        <w:pStyle w:val="11"/>
        <w:spacing w:beforeAutospacing="0" w:afterAutospacing="0" w:line="360" w:lineRule="auto"/>
        <w:ind w:firstLine="54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.方式：在</w:t>
      </w:r>
      <w:r>
        <w:rPr>
          <w:rFonts w:hint="eastAsia" w:ascii="仿宋" w:hAnsi="仿宋" w:eastAsia="仿宋" w:cs="仿宋"/>
          <w:color w:val="000000"/>
          <w:sz w:val="28"/>
          <w:szCs w:val="28"/>
        </w:rPr>
        <w:t>“</w:t>
      </w:r>
      <w:r>
        <w:rPr>
          <w:rFonts w:hint="eastAsia" w:ascii="仿宋" w:hAnsi="仿宋" w:eastAsia="仿宋" w:cs="仿宋"/>
          <w:color w:val="000000"/>
          <w:kern w:val="0"/>
          <w:sz w:val="28"/>
          <w:szCs w:val="28"/>
          <w:lang w:val="en-US" w:eastAsia="zh-CN" w:bidi="ar-SA"/>
        </w:rPr>
        <w:t>中国政府采购网</w:t>
      </w:r>
      <w:r>
        <w:rPr>
          <w:rFonts w:hint="eastAsia" w:ascii="仿宋" w:hAnsi="仿宋" w:eastAsia="仿宋" w:cs="仿宋"/>
          <w:color w:val="000000"/>
          <w:sz w:val="28"/>
          <w:szCs w:val="28"/>
        </w:rPr>
        <w:t>”</w:t>
      </w:r>
      <w:r>
        <w:rPr>
          <w:rFonts w:hint="eastAsia" w:ascii="仿宋" w:hAnsi="仿宋" w:eastAsia="仿宋" w:cs="仿宋"/>
          <w:color w:val="000000"/>
          <w:sz w:val="28"/>
          <w:szCs w:val="28"/>
          <w:highlight w:val="none"/>
        </w:rPr>
        <w:t>“江苏政府采购网”“盐城市政府采购网”自行免费下载</w:t>
      </w:r>
      <w:r>
        <w:rPr>
          <w:rFonts w:hint="eastAsia" w:ascii="仿宋" w:hAnsi="仿宋" w:eastAsia="仿宋" w:cs="仿宋"/>
          <w:color w:val="000000"/>
          <w:sz w:val="28"/>
          <w:szCs w:val="28"/>
          <w:highlight w:val="none"/>
          <w:lang w:val="en-US" w:eastAsia="zh-CN"/>
        </w:rPr>
        <w:t>招标</w:t>
      </w:r>
      <w:r>
        <w:rPr>
          <w:rFonts w:hint="eastAsia" w:ascii="仿宋" w:hAnsi="仿宋" w:eastAsia="仿宋" w:cs="仿宋"/>
          <w:color w:val="000000"/>
          <w:sz w:val="28"/>
          <w:szCs w:val="28"/>
          <w:highlight w:val="none"/>
        </w:rPr>
        <w:t>文件。</w:t>
      </w:r>
    </w:p>
    <w:p w14:paraId="6741DFBE">
      <w:pPr>
        <w:widowControl/>
        <w:spacing w:line="560" w:lineRule="exact"/>
        <w:ind w:firstLine="480"/>
        <w:jc w:val="left"/>
      </w:pPr>
      <w:r>
        <w:rPr>
          <w:rFonts w:hint="eastAsia" w:ascii="仿宋" w:hAnsi="仿宋" w:eastAsia="仿宋" w:cs="仿宋"/>
          <w:color w:val="000000"/>
          <w:sz w:val="28"/>
          <w:szCs w:val="28"/>
          <w:highlight w:val="none"/>
          <w:lang w:val="en-US" w:eastAsia="zh-CN"/>
        </w:rPr>
        <w:t>4.售价：0元</w:t>
      </w:r>
    </w:p>
    <w:p w14:paraId="7526D832">
      <w:pPr>
        <w:pStyle w:val="11"/>
        <w:keepNext/>
        <w:keepLines/>
        <w:spacing w:before="145" w:beforeAutospacing="0" w:after="145" w:afterAutospacing="0" w:line="360" w:lineRule="auto"/>
        <w:ind w:firstLine="498"/>
        <w:jc w:val="both"/>
      </w:pPr>
      <w:r>
        <w:rPr>
          <w:rFonts w:ascii="Times New Roman" w:hAnsi="Times New Roman"/>
          <w:b/>
          <w:color w:val="000000"/>
          <w:sz w:val="32"/>
          <w:szCs w:val="32"/>
        </w:rPr>
        <w:t>四、提交投标文件截止时间、开标时间和地点</w:t>
      </w:r>
    </w:p>
    <w:p w14:paraId="6A29B87B">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仿宋" w:hAnsi="仿宋" w:eastAsia="仿宋" w:cs="仿宋"/>
          <w:sz w:val="28"/>
          <w:szCs w:val="28"/>
        </w:rPr>
      </w:pPr>
      <w:r>
        <w:rPr>
          <w:rFonts w:hint="eastAsia" w:ascii="仿宋" w:hAnsi="仿宋" w:eastAsia="仿宋" w:cs="仿宋"/>
          <w:color w:val="000000"/>
          <w:sz w:val="28"/>
          <w:szCs w:val="28"/>
        </w:rPr>
        <w:t>1.时间：</w:t>
      </w:r>
      <w:r>
        <w:rPr>
          <w:rFonts w:hint="eastAsia" w:ascii="仿宋" w:hAnsi="仿宋" w:eastAsia="仿宋" w:cs="仿宋"/>
          <w:i w:val="0"/>
          <w:iCs w:val="0"/>
          <w:caps w:val="0"/>
          <w:color w:val="333333"/>
          <w:spacing w:val="0"/>
          <w:sz w:val="28"/>
          <w:szCs w:val="28"/>
          <w:u w:val="none"/>
          <w:shd w:val="clear" w:fill="FFFFFF"/>
          <w:lang w:val="en-US" w:eastAsia="zh-CN"/>
        </w:rPr>
        <w:t>2024年10月11日9点00分</w:t>
      </w:r>
      <w:r>
        <w:rPr>
          <w:rFonts w:hint="eastAsia" w:ascii="仿宋" w:hAnsi="仿宋" w:eastAsia="仿宋" w:cs="仿宋"/>
          <w:color w:val="000000"/>
          <w:sz w:val="28"/>
          <w:szCs w:val="28"/>
          <w:u w:val="none"/>
        </w:rPr>
        <w:t>（</w:t>
      </w:r>
      <w:r>
        <w:rPr>
          <w:rFonts w:hint="eastAsia" w:ascii="仿宋" w:hAnsi="仿宋" w:eastAsia="仿宋" w:cs="仿宋"/>
          <w:color w:val="000000"/>
          <w:sz w:val="28"/>
          <w:szCs w:val="28"/>
        </w:rPr>
        <w:t>北京时间）</w:t>
      </w:r>
    </w:p>
    <w:p w14:paraId="18613E3E">
      <w:pPr>
        <w:pStyle w:val="11"/>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2.地点：</w:t>
      </w:r>
      <w:r>
        <w:rPr>
          <w:rFonts w:hint="eastAsia" w:ascii="仿宋" w:hAnsi="仿宋" w:eastAsia="仿宋" w:cs="仿宋"/>
          <w:color w:val="auto"/>
          <w:sz w:val="28"/>
          <w:szCs w:val="28"/>
        </w:rPr>
        <w:t>“苏采云”政府采购交易系统网上开标大厅。</w:t>
      </w:r>
    </w:p>
    <w:p w14:paraId="3D0A26DF">
      <w:pPr>
        <w:pStyle w:val="11"/>
        <w:keepNext/>
        <w:keepLines/>
        <w:spacing w:before="145" w:beforeAutospacing="0" w:after="145" w:afterAutospacing="0" w:line="360" w:lineRule="auto"/>
        <w:ind w:firstLine="498"/>
        <w:jc w:val="both"/>
      </w:pPr>
      <w:bookmarkStart w:id="32" w:name="_Toc38985267"/>
      <w:bookmarkStart w:id="33" w:name="_Toc35393625"/>
      <w:bookmarkStart w:id="34" w:name="_Toc28359084"/>
      <w:bookmarkStart w:id="35" w:name="_Toc35393794"/>
      <w:bookmarkStart w:id="36" w:name="_Toc28359007"/>
      <w:r>
        <w:rPr>
          <w:rFonts w:ascii="Times New Roman" w:hAnsi="Times New Roman"/>
          <w:b/>
          <w:color w:val="000000"/>
          <w:sz w:val="32"/>
          <w:szCs w:val="32"/>
        </w:rPr>
        <w:t>五、公告期限</w:t>
      </w:r>
      <w:bookmarkEnd w:id="32"/>
      <w:bookmarkEnd w:id="33"/>
      <w:bookmarkEnd w:id="34"/>
      <w:bookmarkEnd w:id="35"/>
      <w:bookmarkEnd w:id="36"/>
    </w:p>
    <w:p w14:paraId="759BEA0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bookmarkStart w:id="37" w:name="_Toc35393795"/>
      <w:bookmarkStart w:id="38" w:name="_Toc35393626"/>
      <w:bookmarkStart w:id="39" w:name="_Toc38985268"/>
      <w:r>
        <w:rPr>
          <w:rFonts w:hint="eastAsia" w:ascii="仿宋" w:hAnsi="仿宋" w:eastAsia="仿宋" w:cs="仿宋"/>
          <w:i w:val="0"/>
          <w:iCs w:val="0"/>
          <w:caps w:val="0"/>
          <w:color w:val="333333"/>
          <w:spacing w:val="0"/>
          <w:sz w:val="28"/>
          <w:szCs w:val="28"/>
          <w:shd w:val="clear" w:fill="FFFFFF"/>
          <w:lang w:val="en-US" w:eastAsia="zh-CN"/>
        </w:rPr>
        <w:t>自本公告发布之日起5个工作日。</w:t>
      </w:r>
      <w:bookmarkEnd w:id="37"/>
      <w:bookmarkEnd w:id="38"/>
      <w:bookmarkEnd w:id="39"/>
    </w:p>
    <w:p w14:paraId="1E957D7F">
      <w:pPr>
        <w:pStyle w:val="11"/>
        <w:keepNext/>
        <w:keepLines/>
        <w:spacing w:before="145" w:beforeAutospacing="0" w:after="145" w:afterAutospacing="0" w:line="360" w:lineRule="auto"/>
        <w:ind w:firstLine="498"/>
        <w:jc w:val="both"/>
      </w:pPr>
      <w:r>
        <w:rPr>
          <w:rFonts w:ascii="Times New Roman" w:hAnsi="Times New Roman"/>
          <w:b/>
          <w:color w:val="000000"/>
          <w:sz w:val="32"/>
          <w:szCs w:val="32"/>
        </w:rPr>
        <w:t>六、其他补充事宜</w:t>
      </w:r>
    </w:p>
    <w:p w14:paraId="459DCD23">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bookmarkStart w:id="40" w:name="_Toc28359018"/>
      <w:r>
        <w:rPr>
          <w:rFonts w:hint="eastAsia" w:ascii="仿宋" w:hAnsi="仿宋" w:eastAsia="仿宋" w:cs="仿宋"/>
          <w:i w:val="0"/>
          <w:iCs w:val="0"/>
          <w:caps w:val="0"/>
          <w:color w:val="333333"/>
          <w:spacing w:val="0"/>
          <w:sz w:val="28"/>
          <w:szCs w:val="28"/>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647484D">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http://www.ccgp-jiangsu.gov.cn/jiangsu/zlxz/ee/ee3a4bc5a3454aa2b0d9312230633ce9.html。</w:t>
      </w:r>
    </w:p>
    <w:p w14:paraId="158475BE">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48C0DF50">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2.有关本次招标的事项若存在变动或修改，敬请及时关注江苏导向工程咨询有限责任公司在“</w:t>
      </w:r>
      <w:r>
        <w:rPr>
          <w:rFonts w:hint="eastAsia" w:ascii="仿宋" w:hAnsi="仿宋" w:eastAsia="仿宋" w:cs="仿宋"/>
          <w:color w:val="000000"/>
          <w:kern w:val="0"/>
          <w:sz w:val="28"/>
          <w:szCs w:val="28"/>
          <w:lang w:val="en-US" w:eastAsia="zh-CN" w:bidi="ar-SA"/>
        </w:rPr>
        <w:t>中国政府采购网</w:t>
      </w:r>
      <w:r>
        <w:rPr>
          <w:rFonts w:hint="eastAsia" w:ascii="仿宋" w:hAnsi="仿宋" w:eastAsia="仿宋" w:cs="仿宋"/>
          <w:i w:val="0"/>
          <w:iCs w:val="0"/>
          <w:caps w:val="0"/>
          <w:color w:val="333333"/>
          <w:spacing w:val="0"/>
          <w:sz w:val="28"/>
          <w:szCs w:val="28"/>
          <w:shd w:val="clear" w:fill="FFFFFF"/>
          <w:lang w:val="en-US" w:eastAsia="zh-CN"/>
        </w:rPr>
        <w:t>”“江苏政府采购网”“盐城市政府采购网”发布的更正公告。</w:t>
      </w:r>
    </w:p>
    <w:p w14:paraId="0742954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3.本次招标不收取投标保证金，不收取质量保证金。</w:t>
      </w:r>
    </w:p>
    <w:p w14:paraId="286EBC7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4.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14:paraId="46FAD510">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5.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14:paraId="15353D53">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6、因供应商的系统环境、操作等原因导致报名、开评标过程中出现问题由供应商自行承担负责。</w:t>
      </w:r>
    </w:p>
    <w:p w14:paraId="0F6761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60" w:firstLineChars="200"/>
        <w:jc w:val="both"/>
        <w:rPr>
          <w:rFonts w:hint="eastAsia" w:ascii="微软雅黑" w:hAnsi="微软雅黑" w:eastAsia="微软雅黑" w:cs="微软雅黑"/>
          <w:b w:val="0"/>
          <w:bCs w:val="0"/>
          <w:i w:val="0"/>
          <w:iCs w:val="0"/>
          <w:caps w:val="0"/>
          <w:color w:val="333333"/>
          <w:spacing w:val="0"/>
          <w:sz w:val="27"/>
          <w:szCs w:val="27"/>
        </w:rPr>
      </w:pPr>
      <w:r>
        <w:rPr>
          <w:rFonts w:hint="eastAsia" w:ascii="黑体" w:eastAsia="黑体" w:cs="黑体"/>
          <w:b w:val="0"/>
          <w:bCs w:val="0"/>
          <w:i w:val="0"/>
          <w:iCs w:val="0"/>
          <w:caps w:val="0"/>
          <w:color w:val="333333"/>
          <w:spacing w:val="0"/>
          <w:sz w:val="28"/>
          <w:szCs w:val="28"/>
          <w:u w:val="none"/>
          <w:shd w:val="clear" w:fill="FFFFFF"/>
          <w:lang w:val="en-US" w:eastAsia="zh-CN"/>
        </w:rPr>
        <w:t>七</w:t>
      </w:r>
      <w:r>
        <w:rPr>
          <w:rFonts w:hint="eastAsia" w:ascii="黑体" w:hAnsi="宋体" w:eastAsia="黑体" w:cs="黑体"/>
          <w:b w:val="0"/>
          <w:bCs w:val="0"/>
          <w:i w:val="0"/>
          <w:iCs w:val="0"/>
          <w:caps w:val="0"/>
          <w:color w:val="333333"/>
          <w:spacing w:val="0"/>
          <w:sz w:val="28"/>
          <w:szCs w:val="28"/>
          <w:u w:val="none"/>
          <w:shd w:val="clear" w:fill="FFFFFF"/>
        </w:rPr>
        <w:t>、对本次</w:t>
      </w:r>
      <w:r>
        <w:rPr>
          <w:rFonts w:hint="eastAsia" w:ascii="黑体" w:eastAsia="黑体" w:cs="黑体"/>
          <w:b w:val="0"/>
          <w:bCs w:val="0"/>
          <w:i w:val="0"/>
          <w:iCs w:val="0"/>
          <w:caps w:val="0"/>
          <w:color w:val="333333"/>
          <w:spacing w:val="0"/>
          <w:sz w:val="28"/>
          <w:szCs w:val="28"/>
          <w:u w:val="none"/>
          <w:shd w:val="clear" w:fill="FFFFFF"/>
          <w:lang w:val="en-US" w:eastAsia="zh-CN"/>
        </w:rPr>
        <w:t>招标</w:t>
      </w:r>
      <w:r>
        <w:rPr>
          <w:rFonts w:hint="eastAsia" w:ascii="黑体" w:hAnsi="宋体" w:eastAsia="黑体" w:cs="黑体"/>
          <w:b w:val="0"/>
          <w:bCs w:val="0"/>
          <w:i w:val="0"/>
          <w:iCs w:val="0"/>
          <w:caps w:val="0"/>
          <w:color w:val="333333"/>
          <w:spacing w:val="0"/>
          <w:sz w:val="28"/>
          <w:szCs w:val="28"/>
          <w:u w:val="none"/>
          <w:shd w:val="clear" w:fill="FFFFFF"/>
        </w:rPr>
        <w:t>提出询问，请按以下方式联系。</w:t>
      </w:r>
      <w:bookmarkEnd w:id="40"/>
    </w:p>
    <w:p w14:paraId="725D70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ascii="仿宋" w:hAnsi="仿宋" w:eastAsia="仿宋" w:cs="仿宋"/>
          <w:color w:val="000000"/>
          <w:sz w:val="28"/>
          <w:szCs w:val="28"/>
        </w:rPr>
        <w:t>  </w:t>
      </w:r>
      <w:bookmarkStart w:id="41" w:name="_Toc28359009"/>
      <w:r>
        <w:rPr>
          <w:rFonts w:hint="eastAsia" w:ascii="仿宋" w:hAnsi="仿宋" w:eastAsia="仿宋" w:cs="仿宋"/>
          <w:i w:val="0"/>
          <w:iCs w:val="0"/>
          <w:caps w:val="0"/>
          <w:color w:val="333333"/>
          <w:spacing w:val="0"/>
          <w:sz w:val="28"/>
          <w:szCs w:val="28"/>
          <w:shd w:val="clear" w:fill="FFFFFF"/>
          <w:lang w:val="en-US" w:eastAsia="zh-CN"/>
        </w:rPr>
        <w:t>1.采购人信息</w:t>
      </w:r>
    </w:p>
    <w:p w14:paraId="19FD384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名 称： 响水县自然资源和规划局</w:t>
      </w:r>
    </w:p>
    <w:p w14:paraId="1F4E882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 xml:space="preserve">地址： 响水县长江中路296号 </w:t>
      </w:r>
    </w:p>
    <w:p w14:paraId="6A9ED2B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highlight w:val="none"/>
          <w:shd w:val="clear" w:fill="FFFFFF"/>
          <w:lang w:val="en-US" w:eastAsia="zh-CN"/>
        </w:rPr>
      </w:pPr>
      <w:r>
        <w:rPr>
          <w:rFonts w:hint="eastAsia" w:ascii="仿宋" w:hAnsi="仿宋" w:eastAsia="仿宋" w:cs="仿宋"/>
          <w:i w:val="0"/>
          <w:iCs w:val="0"/>
          <w:caps w:val="0"/>
          <w:color w:val="333333"/>
          <w:spacing w:val="0"/>
          <w:sz w:val="28"/>
          <w:szCs w:val="28"/>
          <w:highlight w:val="none"/>
          <w:shd w:val="clear" w:fill="FFFFFF"/>
          <w:lang w:val="en-US" w:eastAsia="zh-CN"/>
        </w:rPr>
        <w:t>联系人： </w:t>
      </w:r>
      <w:bookmarkStart w:id="42" w:name="OLE_LINK17"/>
      <w:r>
        <w:rPr>
          <w:rFonts w:hint="eastAsia" w:ascii="仿宋" w:hAnsi="仿宋" w:eastAsia="仿宋" w:cs="仿宋"/>
          <w:i w:val="0"/>
          <w:iCs w:val="0"/>
          <w:caps w:val="0"/>
          <w:color w:val="333333"/>
          <w:spacing w:val="0"/>
          <w:sz w:val="28"/>
          <w:szCs w:val="28"/>
          <w:highlight w:val="none"/>
          <w:shd w:val="clear" w:fill="FFFFFF"/>
          <w:lang w:val="en-US" w:eastAsia="zh-CN"/>
        </w:rPr>
        <w:t>黄金岩 </w:t>
      </w:r>
      <w:bookmarkEnd w:id="42"/>
      <w:r>
        <w:rPr>
          <w:rFonts w:hint="eastAsia" w:ascii="仿宋" w:hAnsi="仿宋" w:eastAsia="仿宋" w:cs="仿宋"/>
          <w:i w:val="0"/>
          <w:iCs w:val="0"/>
          <w:caps w:val="0"/>
          <w:color w:val="333333"/>
          <w:spacing w:val="0"/>
          <w:sz w:val="28"/>
          <w:szCs w:val="28"/>
          <w:highlight w:val="none"/>
          <w:shd w:val="clear" w:fill="FFFFFF"/>
          <w:lang w:val="en-US" w:eastAsia="zh-CN"/>
        </w:rPr>
        <w:t xml:space="preserve">            </w:t>
      </w:r>
    </w:p>
    <w:p w14:paraId="58E843D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highlight w:val="none"/>
          <w:shd w:val="clear" w:fill="FFFFFF"/>
          <w:lang w:val="en-US" w:eastAsia="zh-CN"/>
        </w:rPr>
        <w:t>联系方式：</w:t>
      </w:r>
      <w:bookmarkStart w:id="43" w:name="OLE_LINK9"/>
      <w:r>
        <w:rPr>
          <w:rFonts w:hint="eastAsia" w:ascii="仿宋" w:hAnsi="仿宋" w:eastAsia="仿宋" w:cs="仿宋"/>
          <w:i w:val="0"/>
          <w:iCs w:val="0"/>
          <w:caps w:val="0"/>
          <w:color w:val="333333"/>
          <w:spacing w:val="0"/>
          <w:sz w:val="28"/>
          <w:szCs w:val="28"/>
          <w:highlight w:val="none"/>
          <w:shd w:val="clear" w:fill="FFFFFF"/>
          <w:lang w:val="en-US" w:eastAsia="zh-CN"/>
        </w:rPr>
        <w:t>17625459576  </w:t>
      </w:r>
      <w:bookmarkEnd w:id="43"/>
      <w:r>
        <w:rPr>
          <w:rFonts w:hint="eastAsia" w:ascii="仿宋" w:hAnsi="仿宋" w:eastAsia="仿宋" w:cs="仿宋"/>
          <w:i w:val="0"/>
          <w:iCs w:val="0"/>
          <w:caps w:val="0"/>
          <w:color w:val="333333"/>
          <w:spacing w:val="0"/>
          <w:sz w:val="28"/>
          <w:szCs w:val="28"/>
          <w:highlight w:val="none"/>
          <w:shd w:val="clear" w:fill="FFFFFF"/>
          <w:lang w:val="en-US" w:eastAsia="zh-CN"/>
        </w:rPr>
        <w:t xml:space="preserve">     </w:t>
      </w:r>
      <w:r>
        <w:rPr>
          <w:rFonts w:hint="eastAsia" w:ascii="仿宋" w:hAnsi="仿宋" w:eastAsia="仿宋" w:cs="仿宋"/>
          <w:i w:val="0"/>
          <w:iCs w:val="0"/>
          <w:caps w:val="0"/>
          <w:color w:val="333333"/>
          <w:spacing w:val="0"/>
          <w:sz w:val="28"/>
          <w:szCs w:val="28"/>
          <w:shd w:val="clear" w:fill="FFFFFF"/>
          <w:lang w:val="en-US" w:eastAsia="zh-CN"/>
        </w:rPr>
        <w:t xml:space="preserve">    </w:t>
      </w:r>
    </w:p>
    <w:p w14:paraId="715CE0C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2.采购代理机构信息</w:t>
      </w:r>
    </w:p>
    <w:p w14:paraId="3731114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default"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名 称： 江苏导向工程咨询有限责任公司</w:t>
      </w:r>
    </w:p>
    <w:p w14:paraId="1B751B7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地 址：江苏导向工程咨询有限责任公司</w:t>
      </w:r>
    </w:p>
    <w:p w14:paraId="1E410F6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 xml:space="preserve">联系人： 张淼                    </w:t>
      </w:r>
    </w:p>
    <w:p w14:paraId="512163E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联系方式：</w:t>
      </w:r>
      <w:bookmarkStart w:id="44" w:name="_Toc28359010"/>
      <w:bookmarkStart w:id="45" w:name="_Toc28359087"/>
      <w:r>
        <w:rPr>
          <w:rFonts w:hint="eastAsia" w:ascii="仿宋" w:hAnsi="仿宋" w:eastAsia="仿宋" w:cs="仿宋"/>
          <w:i w:val="0"/>
          <w:iCs w:val="0"/>
          <w:caps w:val="0"/>
          <w:color w:val="333333"/>
          <w:spacing w:val="0"/>
          <w:sz w:val="28"/>
          <w:szCs w:val="28"/>
          <w:shd w:val="clear" w:fill="FFFFFF"/>
          <w:lang w:val="en-US" w:eastAsia="zh-CN"/>
        </w:rPr>
        <w:t>15851107492       </w:t>
      </w:r>
      <w:bookmarkEnd w:id="44"/>
      <w:bookmarkEnd w:id="45"/>
      <w:r>
        <w:rPr>
          <w:rFonts w:hint="eastAsia" w:ascii="仿宋" w:hAnsi="仿宋" w:eastAsia="仿宋" w:cs="仿宋"/>
          <w:i w:val="0"/>
          <w:iCs w:val="0"/>
          <w:caps w:val="0"/>
          <w:color w:val="333333"/>
          <w:spacing w:val="0"/>
          <w:sz w:val="28"/>
          <w:szCs w:val="28"/>
          <w:shd w:val="clear" w:fill="FFFFFF"/>
          <w:lang w:val="en-US" w:eastAsia="zh-CN"/>
        </w:rPr>
        <w:t xml:space="preserve">            </w:t>
      </w:r>
    </w:p>
    <w:p w14:paraId="7A00D7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eastAsia" w:ascii="仿宋" w:hAnsi="仿宋" w:eastAsia="仿宋" w:cs="仿宋"/>
          <w:i w:val="0"/>
          <w:iCs w:val="0"/>
          <w:caps w:val="0"/>
          <w:color w:val="333333"/>
          <w:spacing w:val="0"/>
          <w:sz w:val="28"/>
          <w:szCs w:val="28"/>
          <w:shd w:val="clear" w:fill="FFFFFF"/>
          <w:lang w:val="en-US" w:eastAsia="zh-CN"/>
        </w:rPr>
      </w:pPr>
      <w:bookmarkStart w:id="46" w:name="_Toc28359021"/>
      <w:r>
        <w:rPr>
          <w:rFonts w:hint="eastAsia" w:ascii="仿宋" w:hAnsi="仿宋" w:eastAsia="仿宋" w:cs="仿宋"/>
          <w:i w:val="0"/>
          <w:iCs w:val="0"/>
          <w:caps w:val="0"/>
          <w:color w:val="333333"/>
          <w:spacing w:val="0"/>
          <w:sz w:val="28"/>
          <w:szCs w:val="28"/>
          <w:shd w:val="clear" w:fill="FFFFFF"/>
          <w:lang w:val="en-US" w:eastAsia="zh-CN"/>
        </w:rPr>
        <w:t>3.</w:t>
      </w:r>
      <w:bookmarkEnd w:id="46"/>
      <w:r>
        <w:rPr>
          <w:rFonts w:hint="eastAsia" w:ascii="仿宋" w:hAnsi="仿宋" w:eastAsia="仿宋" w:cs="仿宋"/>
          <w:i w:val="0"/>
          <w:iCs w:val="0"/>
          <w:caps w:val="0"/>
          <w:color w:val="333333"/>
          <w:spacing w:val="0"/>
          <w:sz w:val="28"/>
          <w:szCs w:val="28"/>
          <w:shd w:val="clear" w:fill="FFFFFF"/>
          <w:lang w:val="en-US" w:eastAsia="zh-CN"/>
        </w:rPr>
        <w:t>项目联系方式</w:t>
      </w:r>
    </w:p>
    <w:p w14:paraId="3F6973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rPr>
          <w:rFonts w:hint="default"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项目联系人：张淼</w:t>
      </w:r>
    </w:p>
    <w:p w14:paraId="4F2395C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561"/>
        <w:jc w:val="both"/>
        <w:textAlignment w:val="auto"/>
      </w:pPr>
      <w:r>
        <w:rPr>
          <w:rFonts w:hint="eastAsia" w:ascii="仿宋" w:hAnsi="仿宋" w:eastAsia="仿宋" w:cs="仿宋"/>
          <w:i w:val="0"/>
          <w:iCs w:val="0"/>
          <w:caps w:val="0"/>
          <w:color w:val="333333"/>
          <w:spacing w:val="0"/>
          <w:sz w:val="28"/>
          <w:szCs w:val="28"/>
          <w:shd w:val="clear" w:fill="FFFFFF"/>
          <w:lang w:val="en-US" w:eastAsia="zh-CN"/>
        </w:rPr>
        <w:t>电　　 话：15851107492　　　　　　　　　　　</w:t>
      </w:r>
    </w:p>
    <w:p w14:paraId="03BD0515">
      <w:pPr>
        <w:pStyle w:val="11"/>
        <w:keepNext/>
        <w:keepLines/>
        <w:spacing w:before="260" w:beforeAutospacing="0" w:after="260" w:afterAutospacing="0" w:line="415" w:lineRule="auto"/>
        <w:ind w:firstLine="2429"/>
        <w:jc w:val="both"/>
      </w:pPr>
      <w:bookmarkStart w:id="47" w:name="_Toc120614211"/>
      <w:r>
        <w:rPr>
          <w:rFonts w:hint="eastAsia" w:ascii="黑体" w:hAnsi="宋体" w:eastAsia="黑体" w:cs="黑体"/>
          <w:b/>
          <w:color w:val="000000"/>
          <w:sz w:val="44"/>
          <w:szCs w:val="44"/>
        </w:rPr>
        <w:t xml:space="preserve">第二章  </w:t>
      </w:r>
      <w:bookmarkEnd w:id="47"/>
      <w:bookmarkStart w:id="48" w:name="_Toc16938518"/>
      <w:bookmarkStart w:id="49" w:name="_Toc120614213"/>
      <w:bookmarkStart w:id="50" w:name="_Toc20823274"/>
      <w:bookmarkStart w:id="51" w:name="_Toc513029202"/>
      <w:r>
        <w:rPr>
          <w:rFonts w:hint="eastAsia" w:ascii="黑体" w:hAnsi="宋体" w:eastAsia="黑体" w:cs="黑体"/>
          <w:b/>
          <w:color w:val="000000"/>
          <w:sz w:val="44"/>
          <w:szCs w:val="44"/>
        </w:rPr>
        <w:t>投标人须知</w:t>
      </w:r>
      <w:bookmarkEnd w:id="48"/>
      <w:bookmarkEnd w:id="49"/>
      <w:bookmarkEnd w:id="50"/>
      <w:bookmarkEnd w:id="51"/>
    </w:p>
    <w:p w14:paraId="4588997B">
      <w:pPr>
        <w:pStyle w:val="11"/>
        <w:keepNext/>
        <w:keepLines/>
        <w:spacing w:before="145" w:beforeAutospacing="0" w:after="145" w:afterAutospacing="0" w:line="360" w:lineRule="auto"/>
        <w:ind w:firstLine="498"/>
        <w:jc w:val="both"/>
      </w:pPr>
      <w:bookmarkStart w:id="52" w:name="_Toc513029203"/>
      <w:bookmarkStart w:id="53" w:name="_Toc16938519"/>
      <w:bookmarkStart w:id="54" w:name="_Toc20823275"/>
      <w:bookmarkStart w:id="55" w:name="_Toc120614214"/>
      <w:r>
        <w:rPr>
          <w:rFonts w:ascii="Times New Roman" w:hAnsi="Times New Roman"/>
          <w:b/>
          <w:color w:val="000000"/>
          <w:sz w:val="32"/>
          <w:szCs w:val="32"/>
        </w:rPr>
        <w:t>一、总则</w:t>
      </w:r>
      <w:bookmarkEnd w:id="52"/>
      <w:bookmarkEnd w:id="53"/>
      <w:bookmarkEnd w:id="54"/>
      <w:bookmarkEnd w:id="55"/>
    </w:p>
    <w:p w14:paraId="1D43C304">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56" w:name="_Toc16938520"/>
      <w:bookmarkStart w:id="57" w:name="_Toc20823276"/>
      <w:bookmarkStart w:id="58" w:name="_Toc458694821"/>
      <w:bookmarkStart w:id="59" w:name="_Toc513029204"/>
      <w:bookmarkStart w:id="60" w:name="_Hlt16619475"/>
      <w:r>
        <w:rPr>
          <w:rFonts w:ascii="Arial" w:hAnsi="Arial" w:cs="Arial"/>
          <w:color w:val="000000"/>
          <w:sz w:val="28"/>
          <w:szCs w:val="28"/>
        </w:rPr>
        <w:t>1</w:t>
      </w:r>
      <w:bookmarkEnd w:id="56"/>
      <w:r>
        <w:rPr>
          <w:rFonts w:ascii="Arial" w:hAnsi="Arial" w:cs="Arial"/>
          <w:color w:val="000000"/>
          <w:sz w:val="28"/>
          <w:szCs w:val="28"/>
        </w:rPr>
        <w:t>、招标方式</w:t>
      </w:r>
      <w:bookmarkEnd w:id="57"/>
      <w:bookmarkEnd w:id="58"/>
      <w:bookmarkEnd w:id="59"/>
    </w:p>
    <w:p w14:paraId="70B82F5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1.1本次招标采取公开招标方式，本招标文件仅适用于招标公告中所述项目。</w:t>
      </w:r>
    </w:p>
    <w:p w14:paraId="7DC96E1B">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61" w:name="_Toc513029205"/>
      <w:bookmarkStart w:id="62" w:name="_Toc16938521"/>
      <w:bookmarkStart w:id="63" w:name="_Toc20823277"/>
      <w:r>
        <w:rPr>
          <w:rFonts w:ascii="Arial" w:hAnsi="Arial" w:cs="Arial"/>
          <w:color w:val="000000"/>
          <w:sz w:val="28"/>
          <w:szCs w:val="28"/>
        </w:rPr>
        <w:t>2、合格的投标人</w:t>
      </w:r>
      <w:bookmarkEnd w:id="61"/>
      <w:bookmarkEnd w:id="62"/>
      <w:bookmarkEnd w:id="63"/>
    </w:p>
    <w:p w14:paraId="4CF7D68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2.1满足招标公告中供应商的资格要求的规定。</w:t>
      </w:r>
    </w:p>
    <w:p w14:paraId="51261CB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2.2满足本文件实质性要求和条件的规定。</w:t>
      </w:r>
    </w:p>
    <w:p w14:paraId="24F64922">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64" w:name="_Toc513029206"/>
      <w:bookmarkStart w:id="65" w:name="_Toc20823278"/>
      <w:bookmarkStart w:id="66" w:name="_Toc16938522"/>
      <w:r>
        <w:rPr>
          <w:rFonts w:ascii="Arial" w:hAnsi="Arial" w:cs="Arial"/>
          <w:color w:val="000000"/>
          <w:sz w:val="28"/>
          <w:szCs w:val="28"/>
        </w:rPr>
        <w:t>3、适用法律</w:t>
      </w:r>
      <w:bookmarkEnd w:id="64"/>
      <w:bookmarkEnd w:id="65"/>
      <w:bookmarkEnd w:id="66"/>
    </w:p>
    <w:p w14:paraId="7A3F87BE">
      <w:pPr>
        <w:pStyle w:val="11"/>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r>
        <w:rPr>
          <w:rFonts w:hint="eastAsia" w:ascii="宋体" w:hAnsi="宋体" w:eastAsia="宋体" w:cs="宋体"/>
          <w:color w:val="000000"/>
        </w:rPr>
        <w:t>3.1本次招标及由此产生的合同受中华人民共和国有关的法律法规制约和保护。</w:t>
      </w:r>
    </w:p>
    <w:p w14:paraId="43ECEB09">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67" w:name="_Toc462564067"/>
      <w:bookmarkStart w:id="68" w:name="_Toc16938523"/>
      <w:bookmarkStart w:id="69" w:name="_Toc20823279"/>
      <w:bookmarkStart w:id="70" w:name="_Toc513029207"/>
      <w:r>
        <w:rPr>
          <w:rFonts w:ascii="Arial" w:hAnsi="Arial" w:cs="Arial"/>
          <w:color w:val="000000"/>
          <w:sz w:val="28"/>
          <w:szCs w:val="28"/>
        </w:rPr>
        <w:t>4、投标费用</w:t>
      </w:r>
      <w:bookmarkEnd w:id="67"/>
      <w:bookmarkEnd w:id="68"/>
      <w:bookmarkEnd w:id="69"/>
      <w:bookmarkEnd w:id="70"/>
    </w:p>
    <w:p w14:paraId="01FA6A0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4.1投标人应自行承担所有与参加投标有关的费用，无论投标过程中的做法和结果如何，</w:t>
      </w:r>
      <w:r>
        <w:rPr>
          <w:rFonts w:hint="eastAsia" w:ascii="宋体" w:hAnsi="宋体" w:eastAsia="宋体" w:cs="宋体"/>
          <w:color w:val="000000"/>
          <w:lang w:val="en-US" w:eastAsia="zh-CN"/>
        </w:rPr>
        <w:t>采购人和采购代理机构</w:t>
      </w:r>
      <w:r>
        <w:rPr>
          <w:rFonts w:hint="eastAsia" w:ascii="宋体" w:hAnsi="宋体" w:eastAsia="宋体" w:cs="宋体"/>
          <w:color w:val="000000"/>
        </w:rPr>
        <w:t>在任何情况下均无义务和责任承担这些费用。</w:t>
      </w:r>
    </w:p>
    <w:p w14:paraId="77C496D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4.2本次招标采购</w:t>
      </w:r>
      <w:r>
        <w:rPr>
          <w:rFonts w:hint="eastAsia" w:ascii="宋体" w:hAnsi="宋体" w:eastAsia="宋体" w:cs="宋体"/>
          <w:color w:val="000000"/>
          <w:lang w:val="en-US" w:eastAsia="zh-CN"/>
        </w:rPr>
        <w:t>代理机构</w:t>
      </w:r>
      <w:r>
        <w:rPr>
          <w:rFonts w:hint="eastAsia" w:ascii="宋体" w:hAnsi="宋体" w:eastAsia="宋体" w:cs="宋体"/>
          <w:color w:val="000000"/>
        </w:rPr>
        <w:t>和采购人不收取标书工本费与中标服务费。</w:t>
      </w:r>
    </w:p>
    <w:p w14:paraId="5A641259">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2"/>
        <w:jc w:val="both"/>
        <w:textAlignment w:val="auto"/>
      </w:pPr>
      <w:r>
        <w:rPr>
          <w:rFonts w:hint="eastAsia" w:ascii="宋体" w:hAnsi="宋体" w:eastAsia="宋体" w:cs="宋体"/>
          <w:b/>
          <w:color w:val="000000"/>
          <w:sz w:val="30"/>
          <w:szCs w:val="30"/>
        </w:rPr>
        <w:t>5、</w:t>
      </w:r>
      <w:r>
        <w:rPr>
          <w:rFonts w:hint="eastAsia" w:ascii="黑体" w:hAnsi="宋体" w:eastAsia="黑体" w:cs="黑体"/>
          <w:color w:val="000000"/>
          <w:sz w:val="28"/>
          <w:szCs w:val="28"/>
        </w:rPr>
        <w:t>招标文件的约束力</w:t>
      </w:r>
    </w:p>
    <w:p w14:paraId="3904F48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5.1投标人一旦参加本项目采购活动，即被认为接受了本招标文件的规定和约束。</w:t>
      </w:r>
    </w:p>
    <w:p w14:paraId="0F44FA12">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321"/>
        <w:jc w:val="both"/>
        <w:textAlignment w:val="auto"/>
      </w:pPr>
      <w:bookmarkStart w:id="71" w:name="_Toc16938525"/>
      <w:bookmarkStart w:id="72" w:name="_Toc120614215"/>
      <w:bookmarkStart w:id="73" w:name="_Toc20823281"/>
      <w:bookmarkStart w:id="74" w:name="_Toc513029209"/>
      <w:r>
        <w:rPr>
          <w:rFonts w:ascii="Times New Roman" w:hAnsi="Times New Roman"/>
          <w:b/>
          <w:color w:val="000000"/>
          <w:sz w:val="32"/>
          <w:szCs w:val="32"/>
        </w:rPr>
        <w:t>二、招标文件</w:t>
      </w:r>
      <w:bookmarkEnd w:id="71"/>
      <w:bookmarkEnd w:id="72"/>
      <w:bookmarkEnd w:id="73"/>
      <w:bookmarkEnd w:id="74"/>
    </w:p>
    <w:p w14:paraId="0C917F84">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75" w:name="_Toc16938526"/>
      <w:bookmarkStart w:id="76" w:name="_Toc513029210"/>
      <w:bookmarkStart w:id="77" w:name="_Toc20823282"/>
      <w:r>
        <w:rPr>
          <w:rFonts w:ascii="Arial" w:hAnsi="Arial" w:cs="Arial"/>
          <w:color w:val="000000"/>
          <w:sz w:val="28"/>
          <w:szCs w:val="28"/>
        </w:rPr>
        <w:t>6、招标文件构成</w:t>
      </w:r>
      <w:bookmarkEnd w:id="75"/>
      <w:bookmarkEnd w:id="76"/>
      <w:bookmarkEnd w:id="77"/>
    </w:p>
    <w:p w14:paraId="07E5757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6.1 招标文件由以下部分组成：</w:t>
      </w:r>
    </w:p>
    <w:p w14:paraId="71CAA6DB">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rPr>
          <w:rFonts w:hint="default" w:eastAsia="宋体"/>
          <w:lang w:val="en-US" w:eastAsia="zh-CN"/>
        </w:rPr>
      </w:pPr>
      <w:r>
        <w:rPr>
          <w:rFonts w:hint="eastAsia" w:ascii="宋体" w:hAnsi="宋体" w:eastAsia="宋体" w:cs="宋体"/>
          <w:color w:val="000000"/>
        </w:rPr>
        <w:t>（1）</w:t>
      </w:r>
      <w:r>
        <w:rPr>
          <w:rFonts w:hint="eastAsia" w:ascii="宋体" w:hAnsi="宋体" w:eastAsia="宋体" w:cs="宋体"/>
          <w:color w:val="000000"/>
          <w:lang w:val="en-US" w:eastAsia="zh-CN"/>
        </w:rPr>
        <w:t>招标公告</w:t>
      </w:r>
    </w:p>
    <w:p w14:paraId="372C20FA">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（2）投标人须知</w:t>
      </w:r>
    </w:p>
    <w:p w14:paraId="194C1E1B">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（3）合同文本</w:t>
      </w:r>
    </w:p>
    <w:p w14:paraId="7BAA2FCE">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（4）采购需求</w:t>
      </w:r>
    </w:p>
    <w:p w14:paraId="669AA26D">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（5）</w:t>
      </w:r>
      <w:r>
        <w:rPr>
          <w:rFonts w:ascii="Times New Roman" w:hAnsi="Times New Roman"/>
          <w:color w:val="000000"/>
        </w:rPr>
        <w:t>评标方法与评标标准</w:t>
      </w:r>
    </w:p>
    <w:p w14:paraId="260306FA">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（6）投标文件格式</w:t>
      </w:r>
    </w:p>
    <w:p w14:paraId="4212D4B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请仔细检查招标文件是否齐全，如有缺漏请立即与</w:t>
      </w:r>
      <w:r>
        <w:rPr>
          <w:rFonts w:hint="eastAsia" w:ascii="宋体" w:hAnsi="宋体" w:eastAsia="宋体" w:cs="宋体"/>
          <w:color w:val="000000"/>
          <w:lang w:val="en-US" w:eastAsia="zh-CN"/>
        </w:rPr>
        <w:t>采购代理机构</w:t>
      </w:r>
      <w:r>
        <w:rPr>
          <w:rFonts w:hint="eastAsia" w:ascii="宋体" w:hAnsi="宋体" w:eastAsia="宋体" w:cs="宋体"/>
          <w:color w:val="000000"/>
        </w:rPr>
        <w:t>联系解决。</w:t>
      </w:r>
    </w:p>
    <w:p w14:paraId="2216BD7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1B3443">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560"/>
        <w:jc w:val="both"/>
        <w:textAlignment w:val="auto"/>
      </w:pPr>
      <w:bookmarkStart w:id="78" w:name="_Toc462564070"/>
      <w:bookmarkStart w:id="79" w:name="_Toc20823283"/>
      <w:bookmarkStart w:id="80" w:name="_Toc513029211"/>
      <w:bookmarkStart w:id="81" w:name="_Toc16938527"/>
      <w:r>
        <w:rPr>
          <w:rFonts w:ascii="Arial" w:hAnsi="Arial" w:cs="Arial"/>
          <w:color w:val="000000"/>
          <w:sz w:val="28"/>
          <w:szCs w:val="28"/>
        </w:rPr>
        <w:t>7、招标文件的澄清</w:t>
      </w:r>
      <w:bookmarkEnd w:id="78"/>
      <w:bookmarkEnd w:id="79"/>
      <w:bookmarkEnd w:id="80"/>
      <w:bookmarkEnd w:id="81"/>
    </w:p>
    <w:p w14:paraId="1DBE186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7.1任何要求对招标文件进行澄清的投标人，应在投标截止期</w:t>
      </w:r>
      <w:r>
        <w:rPr>
          <w:rFonts w:ascii="仿宋_GB2312" w:eastAsia="仿宋_GB2312" w:cs="仿宋_GB2312"/>
          <w:b/>
          <w:color w:val="000000"/>
        </w:rPr>
        <w:t>十日</w:t>
      </w:r>
      <w:r>
        <w:rPr>
          <w:rFonts w:ascii="仿宋_GB2312" w:eastAsia="仿宋_GB2312" w:cs="仿宋_GB2312"/>
          <w:color w:val="000000"/>
        </w:rPr>
        <w:t>前</w:t>
      </w:r>
      <w:r>
        <w:rPr>
          <w:rFonts w:hint="eastAsia" w:ascii="宋体" w:hAnsi="宋体" w:eastAsia="宋体" w:cs="宋体"/>
          <w:color w:val="000000"/>
        </w:rPr>
        <w:t>按招标公告中的通讯地址，以书面形式通知</w:t>
      </w:r>
      <w:r>
        <w:rPr>
          <w:rFonts w:hint="eastAsia" w:ascii="宋体" w:hAnsi="宋体" w:eastAsia="宋体" w:cs="宋体"/>
          <w:color w:val="000000"/>
          <w:lang w:val="en-US" w:eastAsia="zh-CN"/>
        </w:rPr>
        <w:t>采购人和采购代理机构</w:t>
      </w:r>
      <w:r>
        <w:rPr>
          <w:rFonts w:hint="eastAsia" w:ascii="宋体" w:hAnsi="宋体" w:eastAsia="宋体" w:cs="宋体"/>
          <w:color w:val="000000"/>
        </w:rPr>
        <w:t>。</w:t>
      </w:r>
    </w:p>
    <w:p w14:paraId="4937C730">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560"/>
        <w:jc w:val="both"/>
        <w:textAlignment w:val="auto"/>
      </w:pPr>
      <w:bookmarkStart w:id="82" w:name="_Toc20823284"/>
      <w:bookmarkStart w:id="83" w:name="_Toc462564071"/>
      <w:bookmarkStart w:id="84" w:name="_Toc513029212"/>
      <w:bookmarkStart w:id="85" w:name="_Toc16938528"/>
      <w:r>
        <w:rPr>
          <w:rFonts w:ascii="Arial" w:hAnsi="Arial" w:cs="Arial"/>
          <w:color w:val="000000"/>
          <w:sz w:val="28"/>
          <w:szCs w:val="28"/>
        </w:rPr>
        <w:t>8、招标文件的修改</w:t>
      </w:r>
      <w:bookmarkEnd w:id="82"/>
      <w:bookmarkEnd w:id="83"/>
      <w:bookmarkEnd w:id="84"/>
      <w:bookmarkEnd w:id="85"/>
    </w:p>
    <w:p w14:paraId="3457FBE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8.1在投标截止时间前，</w:t>
      </w:r>
      <w:r>
        <w:rPr>
          <w:rFonts w:hint="eastAsia" w:ascii="宋体" w:hAnsi="宋体" w:eastAsia="宋体" w:cs="宋体"/>
          <w:color w:val="000000"/>
          <w:lang w:val="en-US" w:eastAsia="zh-CN"/>
        </w:rPr>
        <w:t>采购人</w:t>
      </w:r>
      <w:r>
        <w:rPr>
          <w:rFonts w:hint="eastAsia" w:ascii="宋体" w:hAnsi="宋体" w:eastAsia="宋体" w:cs="宋体"/>
          <w:color w:val="000000"/>
        </w:rPr>
        <w:t>可以对招标文件进行修改。</w:t>
      </w:r>
    </w:p>
    <w:p w14:paraId="328C1CD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8.2采购</w:t>
      </w:r>
      <w:r>
        <w:rPr>
          <w:rFonts w:hint="eastAsia" w:ascii="宋体" w:hAnsi="宋体" w:eastAsia="宋体" w:cs="宋体"/>
          <w:color w:val="000000"/>
          <w:lang w:val="en-US" w:eastAsia="zh-CN"/>
        </w:rPr>
        <w:t>人</w:t>
      </w:r>
      <w:r>
        <w:rPr>
          <w:rFonts w:hint="eastAsia" w:ascii="宋体" w:hAnsi="宋体" w:eastAsia="宋体" w:cs="宋体"/>
          <w:color w:val="000000"/>
        </w:rPr>
        <w:t>有权按照法定的要求推迟投标截止日期和开标日期。</w:t>
      </w:r>
    </w:p>
    <w:p w14:paraId="28A7644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8.3招标文件的修改将在</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w:t>
      </w:r>
      <w:r>
        <w:rPr>
          <w:rFonts w:hint="eastAsia" w:ascii="宋体" w:hAnsi="宋体" w:eastAsia="宋体" w:cs="宋体"/>
          <w:color w:val="000000"/>
          <w:lang w:eastAsia="zh-CN"/>
        </w:rPr>
        <w:t>、</w:t>
      </w:r>
      <w:r>
        <w:rPr>
          <w:rFonts w:hint="eastAsia" w:ascii="宋体" w:hAnsi="宋体" w:eastAsia="宋体" w:cs="宋体"/>
          <w:color w:val="000000"/>
          <w:highlight w:val="none"/>
        </w:rPr>
        <w:t>盐城市政府采购网</w:t>
      </w:r>
      <w:r>
        <w:rPr>
          <w:rFonts w:hint="eastAsia" w:ascii="宋体" w:hAnsi="宋体" w:eastAsia="宋体" w:cs="宋体"/>
          <w:color w:val="000000"/>
        </w:rPr>
        <w:t>公布，补充文件将作为招标文件的组成部分，并对投标人具有约束力。</w:t>
      </w:r>
    </w:p>
    <w:p w14:paraId="738E0543">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pPr>
      <w:bookmarkStart w:id="86" w:name="_Toc20823285"/>
      <w:bookmarkStart w:id="87" w:name="_Toc120614216"/>
      <w:bookmarkStart w:id="88" w:name="_Toc462564072"/>
      <w:bookmarkStart w:id="89" w:name="_Toc16938529"/>
      <w:bookmarkStart w:id="90" w:name="_Toc513029213"/>
      <w:r>
        <w:rPr>
          <w:rFonts w:ascii="Times New Roman" w:hAnsi="Times New Roman"/>
          <w:b/>
          <w:color w:val="000000"/>
          <w:sz w:val="32"/>
          <w:szCs w:val="32"/>
        </w:rPr>
        <w:t>三、投标文件的编制</w:t>
      </w:r>
      <w:bookmarkEnd w:id="86"/>
      <w:bookmarkEnd w:id="87"/>
      <w:bookmarkEnd w:id="88"/>
      <w:bookmarkEnd w:id="89"/>
      <w:bookmarkEnd w:id="90"/>
    </w:p>
    <w:p w14:paraId="2FE6908E">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560"/>
        <w:jc w:val="both"/>
        <w:textAlignment w:val="auto"/>
      </w:pPr>
      <w:bookmarkStart w:id="91" w:name="_Toc20823286"/>
      <w:bookmarkStart w:id="92" w:name="_Toc16938530"/>
      <w:bookmarkStart w:id="93" w:name="_Toc462564073"/>
      <w:bookmarkStart w:id="94" w:name="_Toc513029214"/>
      <w:r>
        <w:rPr>
          <w:rFonts w:ascii="Arial" w:hAnsi="Arial" w:cs="Arial"/>
          <w:color w:val="000000"/>
          <w:sz w:val="28"/>
          <w:szCs w:val="28"/>
        </w:rPr>
        <w:t>9、投标文件的语言及度量衡单位</w:t>
      </w:r>
      <w:bookmarkEnd w:id="91"/>
      <w:bookmarkEnd w:id="92"/>
      <w:bookmarkEnd w:id="93"/>
      <w:bookmarkEnd w:id="94"/>
    </w:p>
    <w:p w14:paraId="77B1258D">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9.1投标人提交的投标文件以及投标人与</w:t>
      </w:r>
      <w:r>
        <w:rPr>
          <w:rFonts w:hint="eastAsia" w:ascii="宋体" w:hAnsi="宋体" w:eastAsia="宋体" w:cs="宋体"/>
          <w:color w:val="000000"/>
          <w:lang w:val="en-US" w:eastAsia="zh-CN"/>
        </w:rPr>
        <w:t>采购人和采购代理机构</w:t>
      </w:r>
      <w:r>
        <w:rPr>
          <w:rFonts w:hint="eastAsia" w:ascii="宋体" w:hAnsi="宋体" w:eastAsia="宋体" w:cs="宋体"/>
          <w:color w:val="000000"/>
        </w:rPr>
        <w:t>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7EEB1D7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9.2除技术性能另有规定外，投标文件所使用的度量衡单位，均须采用国家法定计量单位。</w:t>
      </w:r>
    </w:p>
    <w:p w14:paraId="59F2903D">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95" w:name="_Toc462564074"/>
      <w:bookmarkStart w:id="96" w:name="_Toc16938531"/>
      <w:bookmarkStart w:id="97" w:name="_Toc513029215"/>
      <w:bookmarkStart w:id="98" w:name="_Toc20823287"/>
      <w:r>
        <w:rPr>
          <w:rFonts w:ascii="Arial" w:hAnsi="Arial" w:cs="Arial"/>
          <w:color w:val="000000"/>
          <w:sz w:val="28"/>
          <w:szCs w:val="28"/>
        </w:rPr>
        <w:t>10、投标文件构成</w:t>
      </w:r>
      <w:bookmarkEnd w:id="95"/>
      <w:bookmarkEnd w:id="96"/>
      <w:bookmarkEnd w:id="97"/>
      <w:bookmarkEnd w:id="98"/>
    </w:p>
    <w:p w14:paraId="1076FAF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43A7D77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highlight w:val="none"/>
        </w:rPr>
      </w:pPr>
      <w:r>
        <w:rPr>
          <w:rFonts w:hint="eastAsia" w:ascii="宋体" w:hAnsi="宋体" w:eastAsia="宋体" w:cs="宋体"/>
          <w:color w:val="000000"/>
        </w:rPr>
        <w:t>10.2如标书制作工</w:t>
      </w:r>
      <w:r>
        <w:rPr>
          <w:rFonts w:hint="eastAsia" w:ascii="宋体" w:hAnsi="宋体" w:eastAsia="宋体" w:cs="宋体"/>
          <w:color w:val="000000"/>
          <w:highlight w:val="none"/>
        </w:rPr>
        <w:t>具中格式和内容与</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“江苏政府采购网”“盐城市政府采购网”发布的招标文件不一致，请以</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“江苏政府采购网”“盐城市政府采购网”发布的招标文件为准。</w:t>
      </w:r>
    </w:p>
    <w:p w14:paraId="17C84245">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99" w:name="_Toc49090509"/>
      <w:bookmarkStart w:id="100" w:name="_Toc513029216"/>
      <w:bookmarkStart w:id="101" w:name="_Toc14577357"/>
      <w:bookmarkStart w:id="102" w:name="_Toc14577354"/>
      <w:bookmarkStart w:id="103" w:name="_Toc49090507"/>
      <w:bookmarkStart w:id="104" w:name="_Toc513029219"/>
      <w:bookmarkStart w:id="105" w:name="_Hlt26668975"/>
      <w:bookmarkStart w:id="106" w:name="_Hlt26954838"/>
      <w:bookmarkStart w:id="107" w:name="_Hlt26670360"/>
      <w:r>
        <w:rPr>
          <w:rFonts w:ascii="Arial" w:hAnsi="Arial" w:cs="Arial"/>
          <w:color w:val="000000"/>
          <w:sz w:val="28"/>
          <w:szCs w:val="28"/>
        </w:rPr>
        <w:t>11、证明投标人及投标标的符合招标文件规定的文件</w:t>
      </w:r>
      <w:bookmarkEnd w:id="99"/>
      <w:bookmarkEnd w:id="100"/>
      <w:bookmarkEnd w:id="101"/>
      <w:bookmarkEnd w:id="102"/>
      <w:bookmarkEnd w:id="103"/>
      <w:bookmarkEnd w:id="104"/>
    </w:p>
    <w:p w14:paraId="26E3B9FB">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bookmarkStart w:id="108" w:name="_Toc49090508"/>
      <w:bookmarkStart w:id="109" w:name="_Toc14577355"/>
      <w:r>
        <w:rPr>
          <w:rFonts w:hint="eastAsia" w:ascii="宋体" w:hAnsi="宋体" w:eastAsia="宋体" w:cs="宋体"/>
          <w:color w:val="000000"/>
        </w:rPr>
        <w:t>    11.1投标人应按照</w:t>
      </w:r>
      <w:r>
        <w:rPr>
          <w:rFonts w:hint="eastAsia" w:ascii="宋体" w:hAnsi="宋体" w:eastAsia="宋体" w:cs="宋体"/>
          <w:color w:val="000000"/>
          <w:lang w:eastAsia="zh-CN"/>
        </w:rPr>
        <w:t>法律法规</w:t>
      </w:r>
      <w:r>
        <w:rPr>
          <w:rFonts w:hint="eastAsia" w:ascii="宋体" w:hAnsi="宋体" w:eastAsia="宋体" w:cs="宋体"/>
          <w:color w:val="000000"/>
        </w:rPr>
        <w:t>、规章和规范性文件以及招标文件要求提交证明文件，证明其及投标标的符合招标文件规定。</w:t>
      </w:r>
      <w:bookmarkEnd w:id="108"/>
      <w:bookmarkEnd w:id="109"/>
    </w:p>
    <w:p w14:paraId="3845982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11.2招标文件对证明文件无明确形式要求的，证明文件可以以文字资料、图纸和数据等形式提交。</w:t>
      </w:r>
    </w:p>
    <w:p w14:paraId="3DCADE4E">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r>
        <w:rPr>
          <w:rFonts w:ascii="Arial" w:hAnsi="Arial" w:cs="Arial"/>
          <w:color w:val="000000"/>
          <w:sz w:val="28"/>
          <w:szCs w:val="28"/>
        </w:rPr>
        <w:t>12、投标分项报价</w:t>
      </w:r>
      <w:bookmarkStart w:id="110" w:name="_Hlt26670373"/>
      <w:r>
        <w:rPr>
          <w:rFonts w:ascii="Arial" w:hAnsi="Arial" w:cs="Arial"/>
          <w:color w:val="000000"/>
          <w:sz w:val="28"/>
          <w:szCs w:val="28"/>
        </w:rPr>
        <w:t>表</w:t>
      </w:r>
    </w:p>
    <w:p w14:paraId="0E29FD6D">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12.1投</w:t>
      </w:r>
      <w:bookmarkStart w:id="111" w:name="_Hlt26954840"/>
      <w:r>
        <w:rPr>
          <w:rFonts w:hint="eastAsia" w:ascii="宋体" w:hAnsi="宋体" w:eastAsia="宋体" w:cs="宋体"/>
          <w:color w:val="000000"/>
        </w:rPr>
        <w:t>标人应按照招标文件规定格式填报投标分项报价表</w:t>
      </w:r>
      <w:bookmarkStart w:id="112" w:name="_Hlt26670399"/>
      <w:r>
        <w:rPr>
          <w:rFonts w:hint="eastAsia" w:ascii="宋体" w:hAnsi="宋体" w:eastAsia="宋体" w:cs="宋体"/>
          <w:color w:val="000000"/>
        </w:rPr>
        <w:t>。</w:t>
      </w:r>
    </w:p>
    <w:p w14:paraId="2D6F778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4493BD9A">
      <w:pPr>
        <w:spacing w:line="440" w:lineRule="exact"/>
        <w:ind w:firstLine="480"/>
        <w:rPr>
          <w:rFonts w:hint="eastAsia" w:ascii="宋体" w:hAnsi="宋体" w:eastAsia="宋体" w:cs="宋体"/>
          <w:color w:val="000000"/>
        </w:rPr>
      </w:pPr>
      <w:r>
        <w:rPr>
          <w:rFonts w:hint="eastAsia" w:ascii="宋体" w:hAnsi="宋体"/>
          <w:b/>
          <w:bCs/>
          <w:color w:val="auto"/>
          <w:sz w:val="24"/>
          <w:szCs w:val="21"/>
          <w:highlight w:val="none"/>
          <w:lang w:val="en-US" w:eastAsia="zh-CN"/>
        </w:rPr>
        <w:t>12.3</w:t>
      </w:r>
      <w:r>
        <w:rPr>
          <w:rFonts w:hint="eastAsia" w:ascii="宋体" w:hAnsi="宋体"/>
          <w:b/>
          <w:bCs/>
          <w:color w:val="auto"/>
          <w:sz w:val="24"/>
          <w:szCs w:val="21"/>
          <w:highlight w:val="none"/>
        </w:rPr>
        <w:t>本项目采购代理服务费按照苏招协【2022】002号文件规定标准计取</w:t>
      </w:r>
      <w:r>
        <w:rPr>
          <w:rFonts w:hint="eastAsia" w:ascii="宋体" w:hAnsi="宋体"/>
          <w:b/>
          <w:bCs/>
          <w:color w:val="auto"/>
          <w:sz w:val="24"/>
          <w:szCs w:val="21"/>
          <w:highlight w:val="none"/>
          <w:lang w:val="en-US" w:eastAsia="zh-CN"/>
        </w:rPr>
        <w:t>服务费用</w:t>
      </w:r>
      <w:r>
        <w:rPr>
          <w:rFonts w:hint="eastAsia" w:ascii="宋体" w:hAnsi="宋体"/>
          <w:b/>
          <w:bCs/>
          <w:color w:val="auto"/>
          <w:sz w:val="24"/>
          <w:szCs w:val="21"/>
          <w:highlight w:val="none"/>
        </w:rPr>
        <w:t>，由成交供应商在领取成交通知书前一次性支付。（本条不单独列表报价，自行综合考虑在投标报价中，中标后采购人不再另行支付）。</w:t>
      </w:r>
    </w:p>
    <w:p w14:paraId="4BC62259">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13" w:name="_Hlt26954846"/>
      <w:bookmarkStart w:id="114" w:name="_Hlt26670486"/>
      <w:bookmarkStart w:id="115" w:name="_Hlt26954842"/>
      <w:bookmarkStart w:id="116" w:name="_Hlt26670403"/>
      <w:bookmarkStart w:id="117" w:name="_Hlt26954731"/>
      <w:bookmarkStart w:id="118" w:name="_Hlt26670425"/>
      <w:bookmarkStart w:id="119" w:name="_Hlt26668983"/>
      <w:bookmarkStart w:id="120" w:name="_Hlt26954844"/>
      <w:bookmarkStart w:id="121" w:name="_Hlt26954848"/>
      <w:bookmarkStart w:id="122" w:name="_Hlt26670482"/>
      <w:r>
        <w:rPr>
          <w:rFonts w:ascii="Arial" w:hAnsi="Arial" w:cs="Arial"/>
          <w:color w:val="000000"/>
          <w:sz w:val="28"/>
          <w:szCs w:val="28"/>
        </w:rPr>
        <w:t>13、技术要求响应及偏离表、商务要求响应及偏离表</w:t>
      </w:r>
    </w:p>
    <w:p w14:paraId="4ECF1A2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13.1投标人需对招标文件中的技术要求与商务要求逐项作出响应或偏离，并说明原因。</w:t>
      </w:r>
    </w:p>
    <w:p w14:paraId="69F65C91">
      <w:pPr>
        <w:pStyle w:val="11"/>
        <w:pageBreakBefore w:val="0"/>
        <w:widowControl w:val="0"/>
        <w:tabs>
          <w:tab w:val="left" w:pos="1036"/>
        </w:tabs>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13.2投标人可在投标文件中提供认为需要的其他技术文件或说明。</w:t>
      </w:r>
    </w:p>
    <w:p w14:paraId="076FF80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23" w:name="_Toc14577359"/>
      <w:bookmarkStart w:id="124" w:name="_Toc49090510"/>
      <w:r>
        <w:rPr>
          <w:rFonts w:ascii="Arial" w:hAnsi="Arial" w:cs="Arial"/>
          <w:color w:val="000000"/>
          <w:sz w:val="28"/>
          <w:szCs w:val="28"/>
        </w:rPr>
        <w:t>14、投标函和开标一览表</w:t>
      </w:r>
      <w:bookmarkEnd w:id="123"/>
      <w:bookmarkEnd w:id="124"/>
    </w:p>
    <w:p w14:paraId="2CFB7F1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14.1投标人应按照招标文件中提供的格式完整、正确填写投标函、开标一览表。</w:t>
      </w:r>
    </w:p>
    <w:p w14:paraId="4399C22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2CBA6399">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25" w:name="_Toc14577360"/>
      <w:bookmarkStart w:id="126" w:name="_Toc49090511"/>
      <w:bookmarkStart w:id="127" w:name="_Hlt26670489"/>
      <w:bookmarkStart w:id="128" w:name="_Hlt26954734"/>
      <w:bookmarkStart w:id="129" w:name="_Hlt26954850"/>
      <w:r>
        <w:rPr>
          <w:rFonts w:ascii="Arial" w:hAnsi="Arial" w:cs="Arial"/>
          <w:color w:val="000000"/>
          <w:sz w:val="28"/>
          <w:szCs w:val="28"/>
        </w:rPr>
        <w:t>15、投标有效期</w:t>
      </w:r>
      <w:bookmarkEnd w:id="125"/>
      <w:bookmarkEnd w:id="126"/>
    </w:p>
    <w:p w14:paraId="348DFD8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15.1投标有效期为采购</w:t>
      </w:r>
      <w:r>
        <w:rPr>
          <w:rFonts w:hint="eastAsia" w:ascii="宋体" w:hAnsi="宋体" w:eastAsia="宋体" w:cs="宋体"/>
          <w:color w:val="000000"/>
          <w:lang w:val="en-US" w:eastAsia="zh-CN"/>
        </w:rPr>
        <w:t>人</w:t>
      </w:r>
      <w:r>
        <w:rPr>
          <w:rFonts w:hint="eastAsia" w:ascii="宋体" w:hAnsi="宋体" w:eastAsia="宋体" w:cs="宋体"/>
          <w:color w:val="000000"/>
        </w:rPr>
        <w:t>规定的开标之日后</w:t>
      </w:r>
      <w:r>
        <w:rPr>
          <w:rFonts w:ascii="仿宋_GB2312" w:eastAsia="仿宋_GB2312" w:cs="仿宋_GB2312"/>
          <w:b/>
          <w:color w:val="000000"/>
          <w:u w:val="single"/>
        </w:rPr>
        <w:t>六十（60）天</w:t>
      </w:r>
      <w:r>
        <w:rPr>
          <w:rFonts w:hint="eastAsia" w:ascii="宋体" w:hAnsi="宋体" w:eastAsia="宋体" w:cs="宋体"/>
          <w:color w:val="000000"/>
        </w:rPr>
        <w:t>。投标有效期比规定短的将被视为未实质性响应招标文件而予以拒绝。</w:t>
      </w:r>
    </w:p>
    <w:p w14:paraId="64D79994">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r>
        <w:rPr>
          <w:rFonts w:ascii="Arial" w:hAnsi="Arial" w:cs="Arial"/>
          <w:color w:val="000000"/>
          <w:sz w:val="28"/>
          <w:szCs w:val="28"/>
        </w:rPr>
        <w:t>16、投标有效期的延长</w:t>
      </w:r>
    </w:p>
    <w:p w14:paraId="534BA73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16.1在特殊情况下，采购</w:t>
      </w:r>
      <w:r>
        <w:rPr>
          <w:rFonts w:hint="eastAsia" w:ascii="宋体" w:hAnsi="宋体" w:eastAsia="宋体" w:cs="宋体"/>
          <w:color w:val="000000"/>
          <w:lang w:val="en-US" w:eastAsia="zh-CN"/>
        </w:rPr>
        <w:t>人</w:t>
      </w:r>
      <w:r>
        <w:rPr>
          <w:rFonts w:hint="eastAsia" w:ascii="宋体" w:hAnsi="宋体" w:eastAsia="宋体" w:cs="宋体"/>
          <w:color w:val="000000"/>
        </w:rPr>
        <w:t>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人</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69B8F164">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pPr>
      <w:bookmarkStart w:id="130" w:name="_Toc513029224"/>
      <w:bookmarkStart w:id="131" w:name="_Toc20823296"/>
      <w:bookmarkStart w:id="132" w:name="_Toc16938540"/>
      <w:bookmarkStart w:id="133" w:name="_Toc120614217"/>
      <w:bookmarkStart w:id="134" w:name="_Hlt26954852"/>
      <w:bookmarkStart w:id="135" w:name="_Hlt26954739"/>
      <w:r>
        <w:rPr>
          <w:rFonts w:ascii="Times New Roman" w:hAnsi="Times New Roman"/>
          <w:b/>
          <w:color w:val="000000"/>
          <w:sz w:val="32"/>
          <w:szCs w:val="32"/>
        </w:rPr>
        <w:t>四、投标文件的递交</w:t>
      </w:r>
      <w:bookmarkEnd w:id="130"/>
      <w:bookmarkEnd w:id="131"/>
      <w:bookmarkEnd w:id="132"/>
      <w:bookmarkEnd w:id="133"/>
    </w:p>
    <w:p w14:paraId="57E4D42E">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560"/>
        <w:jc w:val="both"/>
        <w:textAlignment w:val="auto"/>
      </w:pPr>
      <w:bookmarkStart w:id="136" w:name="_Toc20823297"/>
      <w:bookmarkStart w:id="137" w:name="_Toc16938541"/>
      <w:bookmarkStart w:id="138" w:name="_Toc462564084"/>
      <w:bookmarkStart w:id="139" w:name="_Toc513029225"/>
      <w:r>
        <w:rPr>
          <w:rFonts w:ascii="Arial" w:hAnsi="Arial" w:cs="Arial"/>
          <w:color w:val="000000"/>
          <w:sz w:val="28"/>
          <w:szCs w:val="28"/>
        </w:rPr>
        <w:t>17、</w:t>
      </w:r>
      <w:r>
        <w:rPr>
          <w:rFonts w:hint="eastAsia" w:ascii="黑体" w:hAnsi="宋体" w:eastAsia="黑体" w:cs="黑体"/>
          <w:color w:val="000000"/>
          <w:sz w:val="28"/>
          <w:szCs w:val="28"/>
        </w:rPr>
        <w:t>投标文件</w:t>
      </w:r>
      <w:bookmarkEnd w:id="136"/>
      <w:bookmarkEnd w:id="137"/>
      <w:bookmarkEnd w:id="138"/>
      <w:bookmarkEnd w:id="139"/>
      <w:r>
        <w:rPr>
          <w:rFonts w:hint="eastAsia" w:ascii="黑体" w:hAnsi="宋体" w:eastAsia="黑体" w:cs="黑体"/>
          <w:color w:val="000000"/>
          <w:sz w:val="28"/>
          <w:szCs w:val="28"/>
        </w:rPr>
        <w:t>的递交</w:t>
      </w:r>
    </w:p>
    <w:p w14:paraId="7BFFD91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17.1 电子投标文件的递交</w:t>
      </w:r>
    </w:p>
    <w:p w14:paraId="1FFB4F07">
      <w:pPr>
        <w:pStyle w:val="11"/>
        <w:pageBreakBefore w:val="0"/>
        <w:widowControl w:val="0"/>
        <w:kinsoku/>
        <w:wordWrap/>
        <w:overflowPunct/>
        <w:topLinePunct w:val="0"/>
        <w:autoSpaceDE/>
        <w:autoSpaceDN/>
        <w:bidi w:val="0"/>
        <w:adjustRightInd/>
        <w:snapToGrid/>
        <w:spacing w:beforeAutospacing="0" w:afterAutospacing="0" w:line="480" w:lineRule="exact"/>
        <w:ind w:left="525"/>
        <w:jc w:val="both"/>
        <w:textAlignment w:val="auto"/>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w:t>
      </w:r>
    </w:p>
    <w:p w14:paraId="3D5C2156">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r>
        <w:rPr>
          <w:rFonts w:hint="eastAsia" w:ascii="宋体" w:hAnsi="宋体" w:eastAsia="宋体" w:cs="宋体"/>
          <w:color w:val="000000"/>
        </w:rPr>
        <w:t>标文件。</w:t>
      </w:r>
      <w:bookmarkStart w:id="140" w:name="_Toc16938542"/>
      <w:bookmarkEnd w:id="140"/>
      <w:bookmarkStart w:id="141" w:name="_Toc20823298"/>
      <w:bookmarkEnd w:id="141"/>
      <w:bookmarkStart w:id="142" w:name="_Toc513029226"/>
    </w:p>
    <w:p w14:paraId="6055B3DA">
      <w:pPr>
        <w:pStyle w:val="11"/>
        <w:keepNext/>
        <w:keepLines/>
        <w:pageBreakBefore w:val="0"/>
        <w:widowControl w:val="0"/>
        <w:kinsoku/>
        <w:wordWrap/>
        <w:overflowPunct/>
        <w:topLinePunct w:val="0"/>
        <w:autoSpaceDE/>
        <w:autoSpaceDN/>
        <w:bidi w:val="0"/>
        <w:adjustRightInd/>
        <w:snapToGrid/>
        <w:spacing w:before="280" w:beforeAutospacing="0" w:after="290" w:afterAutospacing="0" w:line="480" w:lineRule="exact"/>
        <w:ind w:firstLine="420"/>
        <w:jc w:val="both"/>
        <w:textAlignment w:val="auto"/>
      </w:pPr>
      <w:r>
        <w:rPr>
          <w:rFonts w:ascii="Arial" w:hAnsi="Arial" w:cs="Arial"/>
          <w:color w:val="000000"/>
          <w:sz w:val="28"/>
          <w:szCs w:val="28"/>
        </w:rPr>
        <w:t>18、投标截止时间</w:t>
      </w:r>
    </w:p>
    <w:p w14:paraId="4DCA62B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i/>
          <w:color w:val="000000"/>
          <w:u w:val="single"/>
        </w:rPr>
        <w:t>18.1投标人上传电子投标文件的时间不得迟于招标公告中规定的投标截止时间。</w:t>
      </w:r>
    </w:p>
    <w:p w14:paraId="28F24B8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投标人应</w:t>
      </w:r>
      <w:r>
        <w:rPr>
          <w:rFonts w:hint="eastAsia" w:ascii="宋体" w:hAnsi="宋体" w:eastAsia="宋体" w:cs="宋体"/>
          <w:color w:val="000000"/>
          <w:lang w:eastAsia="zh-CN"/>
        </w:rPr>
        <w:t>充分考虑</w:t>
      </w:r>
      <w:r>
        <w:rPr>
          <w:rFonts w:hint="eastAsia" w:ascii="宋体" w:hAnsi="宋体" w:eastAsia="宋体" w:cs="宋体"/>
          <w:color w:val="000000"/>
        </w:rPr>
        <w:t>网络环境、网络带宽等风险因素，如因投标人自身原因造成的电子投标文件上传不成功的按照本招标文件第二章第26.1.2条 规定做无效投标处理。</w:t>
      </w:r>
    </w:p>
    <w:p w14:paraId="5B70790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18.2采购</w:t>
      </w:r>
      <w:r>
        <w:rPr>
          <w:rFonts w:hint="eastAsia" w:ascii="宋体" w:hAnsi="宋体" w:eastAsia="宋体" w:cs="宋体"/>
          <w:color w:val="000000"/>
          <w:lang w:val="en-US" w:eastAsia="zh-CN"/>
        </w:rPr>
        <w:t>人</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717C8A4E">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43" w:name="_Toc513029227"/>
      <w:bookmarkStart w:id="144" w:name="_Toc20823299"/>
      <w:bookmarkStart w:id="145" w:name="_Toc16938543"/>
      <w:r>
        <w:rPr>
          <w:rFonts w:ascii="Arial" w:hAnsi="Arial" w:cs="Arial"/>
          <w:color w:val="000000"/>
          <w:sz w:val="28"/>
          <w:szCs w:val="28"/>
        </w:rPr>
        <w:t>19、投标文件</w:t>
      </w:r>
      <w:bookmarkEnd w:id="143"/>
      <w:bookmarkEnd w:id="144"/>
      <w:bookmarkEnd w:id="145"/>
      <w:r>
        <w:rPr>
          <w:rFonts w:ascii="Arial" w:hAnsi="Arial" w:cs="Arial"/>
          <w:color w:val="000000"/>
          <w:sz w:val="28"/>
          <w:szCs w:val="28"/>
        </w:rPr>
        <w:t>的拒收</w:t>
      </w:r>
    </w:p>
    <w:p w14:paraId="6200607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19.1采购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拒绝接收在其规定的投标截止时间后上传的任何投标文件。</w:t>
      </w:r>
    </w:p>
    <w:p w14:paraId="1674E184">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46" w:name="_Toc20823300"/>
      <w:bookmarkStart w:id="147" w:name="_Toc513029228"/>
      <w:bookmarkStart w:id="148" w:name="_Toc16938544"/>
      <w:r>
        <w:rPr>
          <w:rFonts w:ascii="Arial" w:hAnsi="Arial" w:cs="Arial"/>
          <w:color w:val="000000"/>
          <w:sz w:val="28"/>
          <w:szCs w:val="28"/>
        </w:rPr>
        <w:t>20、投标文件的撤回和修改</w:t>
      </w:r>
      <w:bookmarkEnd w:id="146"/>
      <w:bookmarkEnd w:id="147"/>
      <w:bookmarkEnd w:id="148"/>
    </w:p>
    <w:p w14:paraId="079618E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20.1投标文件的撤回</w:t>
      </w:r>
    </w:p>
    <w:p w14:paraId="6E1765F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21.1.1电子投标文件的撤回</w:t>
      </w:r>
    </w:p>
    <w:p w14:paraId="3F5B197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投标人可在投标截止时间前，撤回其电子投标文件，具体操作方法见《操作手册》。</w:t>
      </w:r>
    </w:p>
    <w:p w14:paraId="13A8BD9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21.1.2投标人撤回电子投标文件，则认为其不再参与本项目投标活动。</w:t>
      </w:r>
    </w:p>
    <w:p w14:paraId="3D5EB5D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20.2 投标文件的修改</w:t>
      </w:r>
    </w:p>
    <w:p w14:paraId="4D83180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20.2.1投标人可在投标截止时间前，对其电子投标文件进行修改，具体操作方法见《操作手册》。</w:t>
      </w:r>
    </w:p>
    <w:p w14:paraId="7674179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20.2.2在投标截止时间之后，投标人不得对其电子投标文件作任何修改。</w:t>
      </w:r>
    </w:p>
    <w:p w14:paraId="7B7695F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20.3在投标截止时间至招标文件中规定的投标有效期满之间的这段时间内，投标人不得撤回其投标。</w:t>
      </w:r>
    </w:p>
    <w:p w14:paraId="1575146C">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pPr>
      <w:bookmarkStart w:id="149" w:name="_Toc16938545"/>
      <w:bookmarkStart w:id="150" w:name="_Toc20823301"/>
      <w:bookmarkStart w:id="151" w:name="_Toc120614218"/>
      <w:bookmarkStart w:id="152" w:name="_Toc513029229"/>
      <w:r>
        <w:rPr>
          <w:rFonts w:ascii="Times New Roman" w:hAnsi="Times New Roman"/>
          <w:b/>
          <w:color w:val="000000"/>
          <w:sz w:val="32"/>
          <w:szCs w:val="32"/>
        </w:rPr>
        <w:t>五、开标与评标</w:t>
      </w:r>
      <w:bookmarkEnd w:id="149"/>
      <w:bookmarkEnd w:id="150"/>
      <w:bookmarkEnd w:id="151"/>
      <w:bookmarkEnd w:id="152"/>
    </w:p>
    <w:p w14:paraId="530FA441">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53" w:name="_Toc20823302"/>
      <w:bookmarkStart w:id="154" w:name="_Toc16938546"/>
      <w:bookmarkStart w:id="155" w:name="_Toc513029230"/>
      <w:r>
        <w:rPr>
          <w:rFonts w:ascii="Arial" w:hAnsi="Arial" w:cs="Arial"/>
          <w:color w:val="000000"/>
          <w:sz w:val="28"/>
          <w:szCs w:val="28"/>
        </w:rPr>
        <w:t>21、开标</w:t>
      </w:r>
      <w:bookmarkEnd w:id="153"/>
      <w:bookmarkEnd w:id="154"/>
      <w:bookmarkEnd w:id="155"/>
    </w:p>
    <w:p w14:paraId="4F9D141F">
      <w:pPr>
        <w:pStyle w:val="11"/>
        <w:pageBreakBefore w:val="0"/>
        <w:widowControl w:val="0"/>
        <w:kinsoku/>
        <w:wordWrap/>
        <w:overflowPunct/>
        <w:topLinePunct w:val="0"/>
        <w:autoSpaceDE/>
        <w:autoSpaceDN/>
        <w:bidi w:val="0"/>
        <w:adjustRightInd/>
        <w:snapToGrid/>
        <w:spacing w:beforeAutospacing="0" w:afterAutospacing="0" w:line="480" w:lineRule="exact"/>
        <w:ind w:firstLine="360"/>
        <w:jc w:val="both"/>
        <w:textAlignment w:val="auto"/>
      </w:pPr>
      <w:r>
        <w:rPr>
          <w:rFonts w:hint="eastAsia" w:ascii="宋体" w:hAnsi="宋体" w:eastAsia="宋体" w:cs="宋体"/>
          <w:color w:val="000000"/>
        </w:rPr>
        <w:t>21.1采购</w:t>
      </w:r>
      <w:r>
        <w:rPr>
          <w:rFonts w:hint="eastAsia" w:ascii="宋体" w:hAnsi="宋体" w:eastAsia="宋体" w:cs="宋体"/>
          <w:color w:val="000000"/>
          <w:lang w:val="en-US" w:eastAsia="zh-CN"/>
        </w:rPr>
        <w:t>人</w:t>
      </w:r>
      <w:r>
        <w:rPr>
          <w:rFonts w:hint="eastAsia" w:ascii="宋体" w:hAnsi="宋体" w:eastAsia="宋体" w:cs="宋体"/>
          <w:color w:val="000000"/>
        </w:rPr>
        <w:t>将在招标公告中规定的时间和地点组织公开开标。投标人应当按照《操作手册》规定，参加开标活动和</w:t>
      </w:r>
      <w:r>
        <w:rPr>
          <w:rFonts w:hint="eastAsia" w:ascii="宋体" w:hAnsi="宋体" w:eastAsia="宋体" w:cs="宋体"/>
          <w:color w:val="auto"/>
        </w:rPr>
        <w:t>在苏采云系统规定的</w:t>
      </w:r>
      <w:r>
        <w:rPr>
          <w:rFonts w:hint="eastAsia" w:ascii="宋体" w:hAnsi="宋体" w:eastAsia="宋体" w:cs="宋体"/>
          <w:color w:val="000000"/>
        </w:rPr>
        <w:t>时间内对投标文件进行解密。</w:t>
      </w:r>
    </w:p>
    <w:p w14:paraId="72DC794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color w:val="auto"/>
        </w:rPr>
      </w:pPr>
      <w:r>
        <w:rPr>
          <w:rFonts w:hint="eastAsia" w:ascii="宋体" w:hAnsi="宋体" w:eastAsia="宋体" w:cs="宋体"/>
          <w:color w:val="000000"/>
        </w:rPr>
        <w:t>21.2开标仪式由采购</w:t>
      </w:r>
      <w:r>
        <w:rPr>
          <w:rFonts w:hint="eastAsia" w:ascii="宋体" w:hAnsi="宋体" w:eastAsia="宋体" w:cs="宋体"/>
          <w:color w:val="000000"/>
          <w:lang w:val="en-US" w:eastAsia="zh-CN"/>
        </w:rPr>
        <w:t>人</w:t>
      </w:r>
      <w:r>
        <w:rPr>
          <w:rFonts w:hint="eastAsia" w:ascii="宋体" w:hAnsi="宋体" w:eastAsia="宋体" w:cs="宋体"/>
          <w:color w:val="000000"/>
        </w:rPr>
        <w:t>组</w:t>
      </w:r>
      <w:r>
        <w:rPr>
          <w:rFonts w:hint="eastAsia" w:ascii="宋体" w:hAnsi="宋体" w:eastAsia="宋体" w:cs="宋体"/>
          <w:color w:val="auto"/>
        </w:rPr>
        <w:t>织。苏采云系统将自动对项目进行开标，并宣布各投标人名称和投标价格。</w:t>
      </w:r>
    </w:p>
    <w:p w14:paraId="5A83FC9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21.3投标人在开标过程中</w:t>
      </w:r>
      <w:r>
        <w:rPr>
          <w:rFonts w:hint="eastAsia" w:ascii="宋体" w:hAnsi="宋体" w:eastAsia="宋体" w:cs="宋体"/>
          <w:color w:val="000000"/>
          <w:lang w:eastAsia="zh-CN"/>
        </w:rPr>
        <w:t>涉及的</w:t>
      </w:r>
      <w:r>
        <w:rPr>
          <w:rFonts w:hint="eastAsia" w:ascii="宋体" w:hAnsi="宋体" w:eastAsia="宋体" w:cs="宋体"/>
          <w:color w:val="000000"/>
        </w:rPr>
        <w:t>投标文件解密、开标结果确认等工作，应按照《操作手册》规定执行。</w:t>
      </w:r>
    </w:p>
    <w:p w14:paraId="6C029FE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21.4投标人如果对开标过程和开标记录有疑义，应当根据《操作手册》规定提出，</w:t>
      </w:r>
      <w:r>
        <w:rPr>
          <w:rFonts w:hint="eastAsia" w:ascii="宋体" w:hAnsi="宋体" w:eastAsia="宋体" w:cs="宋体"/>
          <w:color w:val="auto"/>
        </w:rPr>
        <w:t>如苏采云系统中</w:t>
      </w:r>
      <w:r>
        <w:rPr>
          <w:rFonts w:hint="eastAsia" w:ascii="宋体" w:hAnsi="宋体" w:eastAsia="宋体" w:cs="宋体"/>
          <w:color w:val="000000"/>
        </w:rPr>
        <w:t>《开标记录表》宣布后5分钟内未提出的，视同认可开标结果。</w:t>
      </w:r>
    </w:p>
    <w:p w14:paraId="08532D6D">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56" w:name="_Toc20823303"/>
      <w:bookmarkStart w:id="157" w:name="_Toc513029231"/>
      <w:bookmarkStart w:id="158" w:name="_Toc16938547"/>
      <w:r>
        <w:rPr>
          <w:rFonts w:ascii="Arial" w:hAnsi="Arial" w:cs="Arial"/>
          <w:color w:val="000000"/>
          <w:sz w:val="28"/>
          <w:szCs w:val="28"/>
        </w:rPr>
        <w:t>22、评标委员会</w:t>
      </w:r>
      <w:bookmarkEnd w:id="156"/>
      <w:bookmarkEnd w:id="157"/>
      <w:bookmarkEnd w:id="158"/>
    </w:p>
    <w:p w14:paraId="7C64AEBF">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r>
        <w:rPr>
          <w:rFonts w:hint="eastAsia" w:ascii="宋体" w:hAnsi="宋体" w:eastAsia="宋体" w:cs="宋体"/>
          <w:b/>
          <w:color w:val="000000"/>
        </w:rPr>
        <w:t xml:space="preserve">  </w:t>
      </w:r>
      <w:r>
        <w:rPr>
          <w:rFonts w:hint="eastAsia" w:ascii="宋体" w:hAnsi="宋体" w:eastAsia="宋体" w:cs="宋体"/>
          <w:color w:val="000000"/>
        </w:rPr>
        <w:t>22.1开标后，采购</w:t>
      </w:r>
      <w:r>
        <w:rPr>
          <w:rFonts w:hint="eastAsia" w:ascii="宋体" w:hAnsi="宋体" w:eastAsia="宋体" w:cs="宋体"/>
          <w:color w:val="000000"/>
          <w:lang w:val="en-US" w:eastAsia="zh-CN"/>
        </w:rPr>
        <w:t>人</w:t>
      </w:r>
      <w:r>
        <w:rPr>
          <w:rFonts w:hint="eastAsia" w:ascii="宋体" w:hAnsi="宋体" w:eastAsia="宋体" w:cs="宋体"/>
          <w:color w:val="000000"/>
        </w:rPr>
        <w:t>将立即组织评标委员会（以下简称评委会）进行评标。</w:t>
      </w:r>
    </w:p>
    <w:p w14:paraId="53EF9EDB">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3A63E26F">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w:t>
      </w:r>
      <w:r>
        <w:rPr>
          <w:rFonts w:hint="eastAsia" w:ascii="宋体" w:hAnsi="宋体" w:eastAsia="宋体" w:cs="宋体"/>
          <w:color w:val="000000"/>
          <w:lang w:eastAsia="zh-CN"/>
        </w:rPr>
        <w:t>候选人</w:t>
      </w:r>
      <w:r>
        <w:rPr>
          <w:rFonts w:hint="eastAsia" w:ascii="宋体" w:hAnsi="宋体" w:eastAsia="宋体" w:cs="宋体"/>
          <w:color w:val="000000"/>
        </w:rPr>
        <w:t>。</w:t>
      </w:r>
    </w:p>
    <w:p w14:paraId="719DF6A6">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r>
        <w:rPr>
          <w:rFonts w:hint="eastAsia" w:ascii="黑体" w:hAnsi="宋体" w:eastAsia="黑体" w:cs="黑体"/>
          <w:color w:val="000000"/>
          <w:sz w:val="28"/>
          <w:szCs w:val="28"/>
        </w:rPr>
        <w:t>23、评标过程的保密与公正</w:t>
      </w:r>
    </w:p>
    <w:p w14:paraId="3008DA5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23.1凡是与审查、澄清、评价和比较投标的有关资料以及授标建议等，采购人、评委、采购</w:t>
      </w:r>
      <w:r>
        <w:rPr>
          <w:rFonts w:hint="eastAsia" w:ascii="宋体" w:hAnsi="宋体" w:eastAsia="宋体" w:cs="宋体"/>
          <w:color w:val="000000"/>
          <w:lang w:val="en-US" w:eastAsia="zh-CN"/>
        </w:rPr>
        <w:t>代理机构</w:t>
      </w:r>
      <w:r>
        <w:rPr>
          <w:rFonts w:hint="eastAsia" w:ascii="宋体" w:hAnsi="宋体" w:eastAsia="宋体" w:cs="宋体"/>
          <w:color w:val="000000"/>
        </w:rPr>
        <w:t>均不得向投标人或与评标无关的其他人员透露。</w:t>
      </w:r>
    </w:p>
    <w:p w14:paraId="4917B60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23.2在评标过程中，投标人不得以任何行为影响评标过程，否则其投标文件将被作为无效投标文件。</w:t>
      </w:r>
    </w:p>
    <w:p w14:paraId="1F8F7BA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23.3采购</w:t>
      </w:r>
      <w:r>
        <w:rPr>
          <w:rFonts w:hint="eastAsia" w:ascii="宋体" w:hAnsi="宋体" w:eastAsia="宋体" w:cs="宋体"/>
          <w:color w:val="000000"/>
          <w:lang w:val="en-US" w:eastAsia="zh-CN"/>
        </w:rPr>
        <w:t>人</w:t>
      </w:r>
      <w:r>
        <w:rPr>
          <w:rFonts w:hint="eastAsia" w:ascii="宋体" w:hAnsi="宋体" w:eastAsia="宋体" w:cs="宋体"/>
          <w:color w:val="000000"/>
        </w:rPr>
        <w:t>和评标委员会不向未中标的投标人解释未中标原因，也不公布评标过程中的相关细节。</w:t>
      </w:r>
    </w:p>
    <w:p w14:paraId="66B3E98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23.4采用综合评分法的项目，未中标的投标人可于中标结果公告期限届满之日起通</w:t>
      </w:r>
      <w:r>
        <w:rPr>
          <w:rFonts w:hint="eastAsia" w:ascii="宋体" w:hAnsi="宋体" w:eastAsia="宋体" w:cs="宋体"/>
          <w:color w:val="auto"/>
        </w:rPr>
        <w:t>过苏采云系统</w:t>
      </w:r>
      <w:r>
        <w:rPr>
          <w:rFonts w:hint="eastAsia" w:ascii="宋体" w:hAnsi="宋体" w:eastAsia="宋体" w:cs="宋体"/>
          <w:color w:val="000000"/>
        </w:rPr>
        <w:t>查看自己的评审得分及排序情况。</w:t>
      </w:r>
    </w:p>
    <w:p w14:paraId="7E893D07">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59" w:name="_Toc513029232"/>
      <w:bookmarkStart w:id="160" w:name="_Toc16938548"/>
      <w:bookmarkStart w:id="161" w:name="_Toc20823304"/>
      <w:r>
        <w:rPr>
          <w:rFonts w:ascii="Arial" w:hAnsi="Arial" w:cs="Arial"/>
          <w:color w:val="000000"/>
          <w:sz w:val="28"/>
          <w:szCs w:val="28"/>
        </w:rPr>
        <w:t>24、投标文件的澄清</w:t>
      </w:r>
      <w:bookmarkEnd w:id="159"/>
      <w:bookmarkEnd w:id="160"/>
      <w:bookmarkEnd w:id="161"/>
    </w:p>
    <w:p w14:paraId="0C4BA7BF">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681D021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投标人的澄清、说明或者补正不得超出投标文件的范围或者改变投标文件的实质性内容。</w:t>
      </w:r>
    </w:p>
    <w:p w14:paraId="2B9ADD1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评标委员会并非对每个投标人都做澄清要求。</w:t>
      </w:r>
    </w:p>
    <w:p w14:paraId="57F4A11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24.2需要供应商进行澄清、说明和补正的，评委会将通过</w:t>
      </w:r>
      <w:r>
        <w:rPr>
          <w:rFonts w:hint="eastAsia" w:ascii="宋体" w:hAnsi="宋体" w:eastAsia="宋体" w:cs="宋体"/>
          <w:color w:val="auto"/>
        </w:rPr>
        <w:t>苏采云系统</w:t>
      </w:r>
      <w:r>
        <w:rPr>
          <w:rFonts w:hint="eastAsia" w:ascii="宋体" w:hAnsi="宋体" w:eastAsia="宋体" w:cs="宋体"/>
          <w:color w:val="000000"/>
        </w:rPr>
        <w:t>向供应商发出“澄清要求函”，接到“澄清要求函”的投标人应当按照要求在</w:t>
      </w:r>
      <w:r>
        <w:rPr>
          <w:rFonts w:hint="eastAsia" w:ascii="宋体" w:hAnsi="宋体" w:eastAsia="宋体" w:cs="宋体"/>
          <w:color w:val="auto"/>
        </w:rPr>
        <w:t>苏采云系统中提交“澄清响应函”并加盖CA电子公章。澄</w:t>
      </w:r>
      <w:r>
        <w:rPr>
          <w:rFonts w:hint="eastAsia" w:ascii="宋体" w:hAnsi="宋体" w:eastAsia="宋体" w:cs="宋体"/>
          <w:color w:val="000000"/>
        </w:rPr>
        <w:t>清、说明和补正的内容作为投标文件的补充部分，具体操作方式见《操作手册》。</w:t>
      </w:r>
    </w:p>
    <w:p w14:paraId="603C0958">
      <w:pPr>
        <w:pStyle w:val="11"/>
        <w:pageBreakBefore w:val="0"/>
        <w:widowControl w:val="0"/>
        <w:kinsoku/>
        <w:wordWrap/>
        <w:overflowPunct/>
        <w:topLinePunct w:val="0"/>
        <w:autoSpaceDE/>
        <w:autoSpaceDN/>
        <w:bidi w:val="0"/>
        <w:adjustRightInd/>
        <w:snapToGrid/>
        <w:spacing w:beforeAutospacing="0" w:afterAutospacing="0" w:line="480" w:lineRule="exact"/>
        <w:jc w:val="both"/>
        <w:textAlignment w:val="auto"/>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24.3接到评委会澄清、说明和补正要求的投标人如未按规定</w:t>
      </w:r>
      <w:r>
        <w:rPr>
          <w:rFonts w:hint="eastAsia" w:ascii="宋体" w:hAnsi="宋体" w:eastAsia="宋体" w:cs="宋体"/>
          <w:color w:val="000000"/>
          <w:lang w:eastAsia="zh-CN"/>
        </w:rPr>
        <w:t>作出</w:t>
      </w:r>
      <w:r>
        <w:rPr>
          <w:rFonts w:hint="eastAsia" w:ascii="宋体" w:hAnsi="宋体" w:eastAsia="宋体" w:cs="宋体"/>
          <w:color w:val="000000"/>
        </w:rPr>
        <w:t>澄清、说明和补正，其风险由投标人自行承担。</w:t>
      </w:r>
    </w:p>
    <w:p w14:paraId="42E7C3F3">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62" w:name="_Toc513029233"/>
      <w:bookmarkStart w:id="163" w:name="_Toc20823305"/>
      <w:bookmarkStart w:id="164" w:name="_Toc16938549"/>
      <w:r>
        <w:rPr>
          <w:rFonts w:ascii="Arial" w:hAnsi="Arial" w:cs="Arial"/>
          <w:color w:val="000000"/>
          <w:sz w:val="28"/>
          <w:szCs w:val="28"/>
        </w:rPr>
        <w:t>25、对投标文件的初审</w:t>
      </w:r>
      <w:bookmarkEnd w:id="162"/>
      <w:bookmarkEnd w:id="163"/>
      <w:bookmarkEnd w:id="164"/>
    </w:p>
    <w:p w14:paraId="41CD1BB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25.1投标文件初审分为资格审查和符合性审查。</w:t>
      </w:r>
    </w:p>
    <w:p w14:paraId="0878B66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55A67A75">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采购人在进行资格性审查的同时，将在“信用中国”网站（www.creditchina.gov.cn）查询投标人的信用记录，以确定投标人是否具备投标资格</w:t>
      </w:r>
      <w:r>
        <w:rPr>
          <w:rFonts w:hint="eastAsia" w:ascii="宋体" w:hAnsi="宋体" w:eastAsia="宋体" w:cs="宋体"/>
          <w:color w:val="000000"/>
          <w:lang w:eastAsia="zh-CN"/>
        </w:rPr>
        <w:t>，</w:t>
      </w:r>
      <w:r>
        <w:rPr>
          <w:rFonts w:hint="eastAsia" w:ascii="宋体" w:hAnsi="宋体" w:eastAsia="宋体" w:cs="宋体"/>
          <w:color w:val="000000"/>
        </w:rPr>
        <w:t>查询结果留存并归档。</w:t>
      </w:r>
    </w:p>
    <w:p w14:paraId="517F464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接受联合体的项目，两个以上的自然人、法人或者其他组织组成一个联合体，以一个供应商的身份共同参加政府采购活动的</w:t>
      </w:r>
      <w:r>
        <w:rPr>
          <w:rFonts w:hint="eastAsia" w:ascii="宋体" w:hAnsi="宋体" w:eastAsia="宋体" w:cs="宋体"/>
          <w:color w:val="000000"/>
          <w:lang w:eastAsia="zh-CN"/>
        </w:rPr>
        <w:t>，</w:t>
      </w:r>
      <w:r>
        <w:rPr>
          <w:rFonts w:hint="eastAsia" w:ascii="宋体" w:hAnsi="宋体" w:eastAsia="宋体" w:cs="宋体"/>
          <w:color w:val="000000"/>
        </w:rPr>
        <w:t>联合体成员存在不良信用记录的，视同联合体存在不良应用记录。</w:t>
      </w:r>
    </w:p>
    <w:p w14:paraId="587EFEB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07AC50A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25.1.3未通过资格审查或符合性审查的投标人，采购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将在</w:t>
      </w:r>
      <w:r>
        <w:rPr>
          <w:rFonts w:hint="eastAsia" w:ascii="宋体" w:hAnsi="宋体" w:eastAsia="宋体" w:cs="宋体"/>
          <w:color w:val="auto"/>
        </w:rPr>
        <w:t>苏采云系统</w:t>
      </w:r>
      <w:r>
        <w:rPr>
          <w:rFonts w:hint="eastAsia" w:ascii="宋体" w:hAnsi="宋体" w:eastAsia="宋体" w:cs="宋体"/>
          <w:color w:val="000000"/>
        </w:rPr>
        <w:t>中告知未通过资格审查或符合性审查的原因，评标结束后，采购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将不再告知未通过资格审查和符合性审查的原因。</w:t>
      </w:r>
    </w:p>
    <w:p w14:paraId="43BBC46D">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4D91340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val="en-US" w:eastAsia="zh-CN"/>
        </w:rPr>
        <w:t>人</w:t>
      </w:r>
      <w:r>
        <w:rPr>
          <w:rFonts w:hint="eastAsia" w:ascii="宋体" w:hAnsi="宋体" w:eastAsia="宋体" w:cs="宋体"/>
          <w:color w:val="000000"/>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D6A3A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3784BE2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353F6AC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（1）投标文件中开标一览表内容与投标文件中相应内容不一致的，以开标一览表为准。</w:t>
      </w:r>
    </w:p>
    <w:p w14:paraId="23E758E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（2）大写金额和小写金额不一致的，以大写金额为准。</w:t>
      </w:r>
    </w:p>
    <w:p w14:paraId="70210A1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（3）单价金额小数点或者百分比有明显错位的，以开标一览表的总价为准，并修改单价。</w:t>
      </w:r>
    </w:p>
    <w:p w14:paraId="2FC0317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（4）总价金额与按单价汇总金额不一致的，以单价金额计算结果为准。</w:t>
      </w:r>
    </w:p>
    <w:p w14:paraId="0478928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同时出现两种以上错误的，按照前款规定的顺序修正。</w:t>
      </w:r>
    </w:p>
    <w:p w14:paraId="3955AC7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25.5评委会将按上述修正错误的方法调整投标文件中的投标报价，并通过</w:t>
      </w:r>
      <w:r>
        <w:rPr>
          <w:rFonts w:hint="eastAsia" w:ascii="宋体" w:hAnsi="宋体" w:eastAsia="宋体" w:cs="宋体"/>
          <w:color w:val="auto"/>
        </w:rPr>
        <w:t>苏采云系统告知</w:t>
      </w:r>
      <w:r>
        <w:rPr>
          <w:rFonts w:hint="eastAsia" w:ascii="宋体" w:hAnsi="宋体" w:eastAsia="宋体" w:cs="宋体"/>
          <w:color w:val="000000"/>
        </w:rPr>
        <w:t>投标人，调整后的价格</w:t>
      </w:r>
      <w:r>
        <w:rPr>
          <w:rFonts w:hint="eastAsia" w:ascii="宋体" w:hAnsi="宋体" w:eastAsia="宋体" w:cs="宋体"/>
          <w:color w:val="000000"/>
          <w:lang w:eastAsia="zh-CN"/>
        </w:rPr>
        <w:t>对</w:t>
      </w:r>
      <w:r>
        <w:rPr>
          <w:rFonts w:hint="eastAsia" w:ascii="宋体" w:hAnsi="宋体" w:eastAsia="宋体" w:cs="宋体"/>
          <w:color w:val="000000"/>
        </w:rPr>
        <w:t>投标人具有约束力。如果投标人不接受修正后的价格，则其投标将被拒绝。</w:t>
      </w:r>
    </w:p>
    <w:p w14:paraId="70FA7680">
      <w:pPr>
        <w:pStyle w:val="11"/>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165" w:name="_Toc20823306"/>
      <w:bookmarkStart w:id="166" w:name="_Toc16938550"/>
      <w:bookmarkStart w:id="167" w:name="_Toc513029234"/>
      <w:r>
        <w:rPr>
          <w:rFonts w:hint="eastAsia" w:ascii="宋体" w:hAnsi="宋体" w:eastAsia="宋体" w:cs="宋体"/>
          <w:color w:val="000000"/>
        </w:rPr>
        <w:t>25.6投标人在开、评标全过程中应保持通讯畅通，及时登录</w:t>
      </w:r>
      <w:r>
        <w:rPr>
          <w:rFonts w:hint="eastAsia" w:ascii="宋体" w:hAnsi="宋体" w:eastAsia="宋体" w:cs="宋体"/>
          <w:color w:val="auto"/>
        </w:rPr>
        <w:t>苏采云系统查</w:t>
      </w:r>
      <w:r>
        <w:rPr>
          <w:rFonts w:hint="eastAsia" w:ascii="宋体" w:hAnsi="宋体" w:eastAsia="宋体" w:cs="宋体"/>
          <w:color w:val="000000"/>
        </w:rPr>
        <w:t>阅、答复相关信息，并安排专人与采购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及评标委员会联系。</w:t>
      </w:r>
      <w:bookmarkEnd w:id="165"/>
      <w:bookmarkEnd w:id="166"/>
      <w:bookmarkEnd w:id="167"/>
    </w:p>
    <w:p w14:paraId="6E10DFD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r>
        <w:rPr>
          <w:rFonts w:ascii="Arial" w:hAnsi="Arial" w:cs="Arial"/>
          <w:color w:val="000000"/>
          <w:sz w:val="28"/>
          <w:szCs w:val="28"/>
        </w:rPr>
        <w:t>26、无效投标条款和废标条款</w:t>
      </w:r>
    </w:p>
    <w:p w14:paraId="1F740B74">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bookmarkStart w:id="168" w:name="_Toc16938551"/>
      <w:bookmarkStart w:id="169" w:name="_Toc20823307"/>
      <w:bookmarkStart w:id="170" w:name="_Toc513029235"/>
      <w:r>
        <w:rPr>
          <w:rFonts w:hint="eastAsia" w:ascii="宋体" w:hAnsi="宋体" w:eastAsia="宋体" w:cs="宋体"/>
          <w:color w:val="000000"/>
        </w:rPr>
        <w:t>26.1无效投标条款</w:t>
      </w:r>
      <w:bookmarkEnd w:id="168"/>
      <w:bookmarkEnd w:id="169"/>
      <w:bookmarkEnd w:id="170"/>
    </w:p>
    <w:p w14:paraId="372E823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26.1.1投标人在</w:t>
      </w:r>
      <w:r>
        <w:rPr>
          <w:rFonts w:hint="eastAsia" w:ascii="宋体" w:hAnsi="宋体" w:eastAsia="宋体" w:cs="宋体"/>
          <w:color w:val="auto"/>
        </w:rPr>
        <w:t>苏采云系统规</w:t>
      </w:r>
      <w:r>
        <w:rPr>
          <w:rFonts w:hint="eastAsia" w:ascii="宋体" w:hAnsi="宋体" w:eastAsia="宋体" w:cs="宋体"/>
          <w:color w:val="000000"/>
        </w:rPr>
        <w:t>定的时间内未成功解密电子投标文件的。</w:t>
      </w:r>
    </w:p>
    <w:p w14:paraId="7CFF5713">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26.1.2投标人未按照招标文件要求上传电子投标文件的。</w:t>
      </w:r>
    </w:p>
    <w:p w14:paraId="08C55604">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26.1.3同一投标人提交两个（含两个）以上不同的投标报价的。</w:t>
      </w:r>
    </w:p>
    <w:p w14:paraId="6F838C55">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26.1.4投标人不具备招标文件中规定资格要求的。</w:t>
      </w:r>
    </w:p>
    <w:p w14:paraId="038A3D3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26.1.5投标人的报价超过了采购预算或最高限价的。</w:t>
      </w:r>
    </w:p>
    <w:p w14:paraId="664182E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26.1.6未通过符合性审查的。</w:t>
      </w:r>
    </w:p>
    <w:p w14:paraId="5EE9AA5F">
      <w:pPr>
        <w:pStyle w:val="11"/>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2D3C594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2F36CB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26.1.9投标文件含有采购人不能接受的附加条件的。</w:t>
      </w:r>
    </w:p>
    <w:p w14:paraId="0D379F3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26.1.10评标委员会认为投标人的报价明显低于其他通过符合性审</w:t>
      </w:r>
      <w:r>
        <w:rPr>
          <w:rFonts w:hint="eastAsia" w:ascii="宋体" w:hAnsi="宋体" w:eastAsia="宋体" w:cs="宋体"/>
          <w:color w:val="000000"/>
          <w:lang w:eastAsia="zh-CN"/>
        </w:rPr>
        <w:t>查的</w:t>
      </w:r>
      <w:r>
        <w:rPr>
          <w:rFonts w:hint="eastAsia" w:ascii="宋体" w:hAnsi="宋体" w:eastAsia="宋体" w:cs="宋体"/>
          <w:color w:val="000000"/>
        </w:rPr>
        <w:t>投标人的报价，有可能影响产品质量或者不能诚信履约的，将通</w:t>
      </w:r>
      <w:r>
        <w:rPr>
          <w:rFonts w:hint="eastAsia" w:ascii="宋体" w:hAnsi="宋体" w:eastAsia="宋体" w:cs="宋体"/>
          <w:color w:val="auto"/>
        </w:rPr>
        <w:t>过苏采云系统要</w:t>
      </w:r>
      <w:r>
        <w:rPr>
          <w:rFonts w:hint="eastAsia" w:ascii="宋体" w:hAnsi="宋体" w:eastAsia="宋体" w:cs="宋体"/>
          <w:color w:val="000000"/>
        </w:rPr>
        <w:t>求其在合理的时间内提供说明，必要时提交相关证明材料；投标人不能证明其报价合理性的，评标委员会应当将其作为无效投标处理。</w:t>
      </w:r>
    </w:p>
    <w:p w14:paraId="6F470D9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26.1.11投标文件未按照招标文件要求加盖CA电子公章的。</w:t>
      </w:r>
    </w:p>
    <w:p w14:paraId="27C4CDE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26.1.12其他</w:t>
      </w:r>
      <w:r>
        <w:rPr>
          <w:rFonts w:hint="eastAsia" w:ascii="宋体" w:hAnsi="宋体" w:eastAsia="宋体" w:cs="宋体"/>
          <w:color w:val="000000"/>
          <w:lang w:eastAsia="zh-CN"/>
        </w:rPr>
        <w:t>法律法规</w:t>
      </w:r>
      <w:r>
        <w:rPr>
          <w:rFonts w:hint="eastAsia" w:ascii="宋体" w:hAnsi="宋体" w:eastAsia="宋体" w:cs="宋体"/>
          <w:color w:val="000000"/>
        </w:rPr>
        <w:t>及本招标文件规定的属无效投标的情形。</w:t>
      </w:r>
    </w:p>
    <w:p w14:paraId="437FDA53">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26.2废标条款</w:t>
      </w:r>
    </w:p>
    <w:p w14:paraId="21D56397">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rPr>
          <w:rFonts w:hint="eastAsia" w:ascii="宋体" w:hAnsi="宋体" w:eastAsia="宋体" w:cs="宋体"/>
          <w:color w:val="000000"/>
        </w:rPr>
      </w:pPr>
      <w:r>
        <w:rPr>
          <w:rFonts w:hint="eastAsia" w:ascii="宋体" w:hAnsi="宋体" w:eastAsia="宋体" w:cs="宋体"/>
          <w:color w:val="000000"/>
        </w:rPr>
        <w:t>26.2.1符合专业条件的供应商或者对招标文件</w:t>
      </w:r>
      <w:r>
        <w:rPr>
          <w:rFonts w:hint="eastAsia" w:ascii="宋体" w:hAnsi="宋体" w:eastAsia="宋体" w:cs="宋体"/>
          <w:color w:val="000000"/>
          <w:lang w:eastAsia="zh-CN"/>
        </w:rPr>
        <w:t>做</w:t>
      </w:r>
      <w:r>
        <w:rPr>
          <w:rFonts w:hint="eastAsia" w:ascii="宋体" w:hAnsi="宋体" w:eastAsia="宋体" w:cs="宋体"/>
          <w:color w:val="000000"/>
        </w:rPr>
        <w:t>实质响应的供应商不足三家的。</w:t>
      </w:r>
    </w:p>
    <w:p w14:paraId="2C5522EB">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26.2.2出现影响采购公正的违法、违规行为的。</w:t>
      </w:r>
    </w:p>
    <w:p w14:paraId="513580E1">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26.2.3因重大变故，采购任务取消的。</w:t>
      </w:r>
    </w:p>
    <w:p w14:paraId="0654CC89">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26.2.4评标委员会认定招标文件存在歧义、重大缺陷导致评审工作无法进行。</w:t>
      </w:r>
    </w:p>
    <w:p w14:paraId="60194E7F">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26.2.5</w:t>
      </w:r>
      <w:r>
        <w:rPr>
          <w:rFonts w:hint="eastAsia" w:ascii="宋体" w:hAnsi="宋体" w:eastAsia="宋体" w:cs="宋体"/>
          <w:color w:val="auto"/>
        </w:rPr>
        <w:t>因苏采云</w:t>
      </w:r>
      <w:r>
        <w:rPr>
          <w:rFonts w:hint="eastAsia" w:ascii="宋体" w:hAnsi="宋体" w:eastAsia="宋体" w:cs="宋体"/>
          <w:color w:val="auto"/>
          <w:lang w:eastAsia="zh-CN"/>
        </w:rPr>
        <w:t>系统故障</w:t>
      </w:r>
      <w:r>
        <w:rPr>
          <w:rFonts w:hint="eastAsia" w:ascii="宋体" w:hAnsi="宋体" w:eastAsia="宋体" w:cs="宋体"/>
          <w:color w:val="000000"/>
        </w:rPr>
        <w:t>原因造成开标不成功的。</w:t>
      </w:r>
    </w:p>
    <w:p w14:paraId="178AEAB2">
      <w:pPr>
        <w:pStyle w:val="11"/>
        <w:pageBreakBefore w:val="0"/>
        <w:widowControl w:val="0"/>
        <w:kinsoku/>
        <w:wordWrap/>
        <w:overflowPunct/>
        <w:topLinePunct w:val="0"/>
        <w:autoSpaceDE/>
        <w:autoSpaceDN/>
        <w:bidi w:val="0"/>
        <w:adjustRightInd/>
        <w:snapToGrid/>
        <w:spacing w:beforeAutospacing="0" w:afterAutospacing="0" w:line="480" w:lineRule="exact"/>
        <w:ind w:left="479"/>
        <w:jc w:val="both"/>
        <w:textAlignment w:val="auto"/>
      </w:pPr>
      <w:r>
        <w:rPr>
          <w:rFonts w:hint="eastAsia" w:ascii="宋体" w:hAnsi="宋体" w:eastAsia="宋体" w:cs="宋体"/>
          <w:color w:val="000000"/>
        </w:rPr>
        <w:t>26.3 投标截止时间结束后参加投标的供应商不足三家的处理：</w:t>
      </w:r>
    </w:p>
    <w:p w14:paraId="7034442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3B0C5917">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pPr>
      <w:bookmarkStart w:id="171" w:name="_Toc120614219"/>
      <w:r>
        <w:rPr>
          <w:rFonts w:ascii="Times New Roman" w:hAnsi="Times New Roman"/>
          <w:b/>
          <w:color w:val="000000"/>
          <w:sz w:val="32"/>
          <w:szCs w:val="32"/>
        </w:rPr>
        <w:t>六、定标</w:t>
      </w:r>
      <w:bookmarkEnd w:id="171"/>
    </w:p>
    <w:p w14:paraId="0EF7F7ED">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bookmarkStart w:id="172" w:name="_Toc20823310"/>
      <w:bookmarkStart w:id="173" w:name="_Toc16938554"/>
      <w:bookmarkStart w:id="174" w:name="_Toc513029238"/>
      <w:r>
        <w:rPr>
          <w:rFonts w:hint="eastAsia" w:ascii="黑体" w:hAnsi="宋体" w:eastAsia="黑体" w:cs="黑体"/>
          <w:color w:val="000000"/>
          <w:sz w:val="30"/>
          <w:szCs w:val="30"/>
        </w:rPr>
        <w:t>27、</w:t>
      </w:r>
      <w:bookmarkEnd w:id="172"/>
      <w:r>
        <w:rPr>
          <w:rFonts w:hint="eastAsia" w:ascii="黑体" w:hAnsi="宋体" w:eastAsia="黑体" w:cs="黑体"/>
          <w:color w:val="000000"/>
          <w:sz w:val="30"/>
          <w:szCs w:val="30"/>
        </w:rPr>
        <w:t>确定</w:t>
      </w:r>
      <w:bookmarkEnd w:id="173"/>
      <w:bookmarkEnd w:id="174"/>
      <w:r>
        <w:rPr>
          <w:rFonts w:hint="eastAsia" w:ascii="黑体" w:hAnsi="宋体" w:eastAsia="黑体" w:cs="黑体"/>
          <w:color w:val="000000"/>
          <w:sz w:val="30"/>
          <w:szCs w:val="30"/>
        </w:rPr>
        <w:t>中标单位</w:t>
      </w:r>
    </w:p>
    <w:p w14:paraId="4D98063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 xml:space="preserve">27.1中标候选人的选取原则和数量见招标文件第五章规定。 </w:t>
      </w:r>
    </w:p>
    <w:p w14:paraId="3257288F">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27.2采购人应根据评委会推荐的中标候选人确定中标人。</w:t>
      </w:r>
    </w:p>
    <w:p w14:paraId="3CAE4E75">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highlight w:val="none"/>
        </w:rPr>
      </w:pPr>
      <w:r>
        <w:rPr>
          <w:rFonts w:hint="eastAsia" w:ascii="宋体" w:hAnsi="宋体" w:eastAsia="宋体" w:cs="宋体"/>
          <w:color w:val="000000"/>
        </w:rPr>
        <w:t>27.3采购</w:t>
      </w:r>
      <w:r>
        <w:rPr>
          <w:rFonts w:hint="eastAsia" w:ascii="宋体" w:hAnsi="宋体" w:eastAsia="宋体" w:cs="宋体"/>
          <w:color w:val="000000"/>
          <w:lang w:val="en-US" w:eastAsia="zh-CN"/>
        </w:rPr>
        <w:t>人</w:t>
      </w:r>
      <w:r>
        <w:rPr>
          <w:rFonts w:hint="eastAsia" w:ascii="宋体" w:hAnsi="宋体" w:eastAsia="宋体" w:cs="宋体"/>
          <w:color w:val="000000"/>
        </w:rPr>
        <w:t>将</w:t>
      </w:r>
      <w:r>
        <w:rPr>
          <w:rFonts w:hint="eastAsia" w:ascii="宋体" w:hAnsi="宋体" w:eastAsia="宋体" w:cs="宋体"/>
          <w:color w:val="000000"/>
          <w:highlight w:val="none"/>
        </w:rPr>
        <w:t>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“江苏政府采购网”“盐城市政府采购网”发布中标公告，公告期限为1个工作日。</w:t>
      </w:r>
    </w:p>
    <w:p w14:paraId="616EE58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27.4若有充分证据证明，中标人出现下列情况之一的，一经查实，将被取消中标资格：</w:t>
      </w:r>
    </w:p>
    <w:p w14:paraId="3AFA852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27.4.1提供虚假材料谋取中标的。</w:t>
      </w:r>
    </w:p>
    <w:p w14:paraId="1960CE9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27.4.2向采购人、采购</w:t>
      </w:r>
      <w:r>
        <w:rPr>
          <w:rFonts w:hint="eastAsia" w:ascii="宋体" w:hAnsi="宋体" w:eastAsia="宋体" w:cs="宋体"/>
          <w:color w:val="000000"/>
          <w:lang w:val="en-US" w:eastAsia="zh-CN"/>
        </w:rPr>
        <w:t>代理机构</w:t>
      </w:r>
      <w:r>
        <w:rPr>
          <w:rFonts w:hint="eastAsia" w:ascii="宋体" w:hAnsi="宋体" w:eastAsia="宋体" w:cs="宋体"/>
          <w:color w:val="000000"/>
        </w:rPr>
        <w:t>行贿或者提供其他不正当利益的。</w:t>
      </w:r>
    </w:p>
    <w:p w14:paraId="3584B9C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27.4.3属于本文件规定的无效条件，但在评标过程中又未被评委会发现的。</w:t>
      </w:r>
    </w:p>
    <w:p w14:paraId="1259A32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27.4.4与采购人或者其他供应商恶意串通的。</w:t>
      </w:r>
    </w:p>
    <w:p w14:paraId="6A2017A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27.4.5采取不正当手段诋毁、排挤其他供应商的。</w:t>
      </w:r>
    </w:p>
    <w:p w14:paraId="14A5C92E">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bookmarkStart w:id="175" w:name="_Toc200451960"/>
      <w:r>
        <w:rPr>
          <w:rFonts w:hint="eastAsia" w:ascii="宋体" w:hAnsi="宋体" w:eastAsia="宋体" w:cs="宋体"/>
          <w:color w:val="000000"/>
        </w:rPr>
        <w:t xml:space="preserve">27.5 </w:t>
      </w:r>
      <w:r>
        <w:rPr>
          <w:rFonts w:ascii="Times New Roman" w:hAnsi="Times New Roman"/>
          <w:color w:val="000000"/>
        </w:rPr>
        <w:t>有下列情形之一的，视为投标人串通投标，投标无效：</w:t>
      </w:r>
      <w:bookmarkEnd w:id="175"/>
    </w:p>
    <w:p w14:paraId="594E20D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27.5.1不同投标人的投标文件由同一单位或者个人编制。</w:t>
      </w:r>
    </w:p>
    <w:p w14:paraId="11A2144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27.5.2不同投标人委托同一单位或者个人办理投标事宜。</w:t>
      </w:r>
    </w:p>
    <w:p w14:paraId="68EF493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27.5.3不同投标人的投标文件载明的项目管理成员或者联系人员为同一人。</w:t>
      </w:r>
    </w:p>
    <w:p w14:paraId="2AA7519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27.5.4不同投标人的投标文件异常一致或者投标报价呈规律性差异。</w:t>
      </w:r>
    </w:p>
    <w:p w14:paraId="4D60418A">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黑体" w:hAnsi="宋体" w:eastAsia="黑体" w:cs="黑体"/>
          <w:color w:val="000000"/>
          <w:sz w:val="30"/>
          <w:szCs w:val="30"/>
        </w:rPr>
        <w:t>28、质疑处理</w:t>
      </w:r>
    </w:p>
    <w:p w14:paraId="05618BB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109063FF">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lang w:val="en-US" w:eastAsia="zh-CN"/>
        </w:rPr>
        <w:t>代理机构</w:t>
      </w:r>
      <w:r>
        <w:rPr>
          <w:rFonts w:hint="eastAsia" w:ascii="宋体" w:hAnsi="宋体" w:eastAsia="宋体" w:cs="宋体"/>
          <w:color w:val="000000"/>
        </w:rPr>
        <w:t>或采购人提出质疑。上述应知其权益受到损害之日，是指：</w:t>
      </w:r>
    </w:p>
    <w:p w14:paraId="1309E23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28.2.1</w:t>
      </w:r>
      <w:r>
        <w:rPr>
          <w:rFonts w:ascii="Times New Roman" w:hAnsi="Times New Roman"/>
          <w:color w:val="000000"/>
        </w:rPr>
        <w:t>对可以质疑的采购文件提出质疑的，为收到采购文件之日或者采购文件公告期限届满之日；</w:t>
      </w:r>
    </w:p>
    <w:p w14:paraId="0F0AAC4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28.2.2</w:t>
      </w:r>
      <w:r>
        <w:rPr>
          <w:rFonts w:ascii="Times New Roman" w:hAnsi="Times New Roman"/>
          <w:color w:val="000000"/>
        </w:rPr>
        <w:t>对采购过程提出质疑的，为各采购程序环节结束之日；</w:t>
      </w:r>
    </w:p>
    <w:p w14:paraId="23E6D875">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28.2.3</w:t>
      </w:r>
      <w:r>
        <w:rPr>
          <w:rFonts w:ascii="Times New Roman" w:hAnsi="Times New Roman"/>
          <w:color w:val="000000"/>
        </w:rPr>
        <w:t>对中标或者成交结果提出质疑的，为中标或者成交结果公告期限届满之日。</w:t>
      </w:r>
    </w:p>
    <w:p w14:paraId="2FC4388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ascii="Times New Roman" w:hAnsi="Times New Roman"/>
          <w:color w:val="000000"/>
        </w:rPr>
        <w:t>供应商应当在法定质疑期内一次性提出针对同一采购程序环节的质疑。供应商如在法定期限内对同一采购程序环节提出多次质疑的，采购</w:t>
      </w:r>
      <w:r>
        <w:rPr>
          <w:rFonts w:hint="eastAsia" w:ascii="Times New Roman" w:hAnsi="Times New Roman"/>
          <w:color w:val="000000"/>
          <w:lang w:val="en-US" w:eastAsia="zh-CN"/>
        </w:rPr>
        <w:t>代理机构</w:t>
      </w:r>
      <w:r>
        <w:rPr>
          <w:rFonts w:ascii="Times New Roman" w:hAnsi="Times New Roman"/>
          <w:color w:val="000000"/>
        </w:rPr>
        <w:t>、采购人将只对供应商第一次质疑作出答复。</w:t>
      </w:r>
    </w:p>
    <w:p w14:paraId="3E7C237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6D7EF0A6">
      <w:pPr>
        <w:pStyle w:val="11"/>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提出，由采购</w:t>
      </w:r>
      <w:r>
        <w:rPr>
          <w:rFonts w:hint="eastAsia" w:ascii="宋体" w:hAnsi="宋体" w:eastAsia="宋体" w:cs="宋体"/>
          <w:color w:val="000000"/>
          <w:lang w:val="en-US" w:eastAsia="zh-CN"/>
        </w:rPr>
        <w:t>人和采购代理机构</w:t>
      </w:r>
      <w:r>
        <w:rPr>
          <w:rFonts w:hint="eastAsia" w:ascii="宋体" w:hAnsi="宋体" w:eastAsia="宋体" w:cs="宋体"/>
          <w:color w:val="000000"/>
        </w:rPr>
        <w:t>负责答复。</w:t>
      </w:r>
    </w:p>
    <w:p w14:paraId="04431C2B">
      <w:pPr>
        <w:pageBreakBefore w:val="0"/>
        <w:widowControl w:val="0"/>
        <w:tabs>
          <w:tab w:val="left" w:pos="1331"/>
        </w:tabs>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采购代理机构及采购人只接收以纸质原件形式送达的质疑，采购人和采购代理机构不接受未填写快递运单的快件。</w:t>
      </w:r>
      <w:r>
        <w:rPr>
          <w:rFonts w:hint="eastAsia" w:ascii="宋体" w:hAnsi="宋体" w:eastAsia="宋体" w:cs="宋体"/>
          <w:color w:val="000000"/>
          <w:kern w:val="0"/>
          <w:sz w:val="24"/>
          <w:szCs w:val="24"/>
          <w:highlight w:val="none"/>
          <w:lang w:val="en-US" w:eastAsia="zh-CN" w:bidi="ar-SA"/>
        </w:rPr>
        <w:t>质疑接收部门为江苏导向工程咨询有限责任公司，</w:t>
      </w:r>
      <w:r>
        <w:rPr>
          <w:rFonts w:hint="eastAsia" w:ascii="宋体" w:hAnsi="宋体" w:eastAsia="宋体" w:cs="宋体"/>
          <w:color w:val="000000"/>
          <w:kern w:val="0"/>
          <w:sz w:val="24"/>
          <w:szCs w:val="24"/>
          <w:lang w:val="en-US" w:eastAsia="zh-CN" w:bidi="ar-SA"/>
        </w:rPr>
        <w:t>联系地址：响水县黄海路177号，联系电话：15851107492。</w:t>
      </w:r>
    </w:p>
    <w:p w14:paraId="4DBAE31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 以下情形的质疑不予受理</w:t>
      </w:r>
    </w:p>
    <w:p w14:paraId="3B2D9DD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28.5.1内容不符合《政府采购质疑和投诉办法》第十二条规定的质疑。</w:t>
      </w:r>
    </w:p>
    <w:p w14:paraId="6C3F222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28.5.2超出政府采购法定期限的质疑。</w:t>
      </w:r>
    </w:p>
    <w:p w14:paraId="30B9F544">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28.5.3以传真、电子邮件等方式递交的非原件形式的质疑。</w:t>
      </w:r>
    </w:p>
    <w:p w14:paraId="098E284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28.5.4未参加投标活动的供应商或在投标活动中自身权益未受到损害的供应商所提出的质疑。</w:t>
      </w:r>
    </w:p>
    <w:p w14:paraId="71E137AB">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28.5.5供应商组成联合体参加投标，联合体中任何一方或多方未按要求签字、盖章、加盖公章的质疑。</w:t>
      </w:r>
    </w:p>
    <w:p w14:paraId="2A5FFB8D">
      <w:pPr>
        <w:pStyle w:val="11"/>
        <w:pageBreakBefore w:val="0"/>
        <w:widowControl w:val="0"/>
        <w:kinsoku/>
        <w:wordWrap/>
        <w:overflowPunct/>
        <w:topLinePunct w:val="0"/>
        <w:autoSpaceDE/>
        <w:autoSpaceDN/>
        <w:bidi w:val="0"/>
        <w:adjustRightInd/>
        <w:snapToGrid/>
        <w:spacing w:beforeAutospacing="0" w:afterAutospacing="0" w:line="480" w:lineRule="exact"/>
        <w:ind w:firstLine="468"/>
        <w:jc w:val="both"/>
        <w:textAlignment w:val="auto"/>
      </w:pPr>
      <w:r>
        <w:rPr>
          <w:rFonts w:hint="eastAsia" w:ascii="宋体" w:hAnsi="宋体" w:eastAsia="宋体" w:cs="宋体"/>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3A1B07C">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黑体" w:hAnsi="宋体" w:eastAsia="黑体" w:cs="黑体"/>
          <w:color w:val="000000"/>
          <w:sz w:val="30"/>
          <w:szCs w:val="30"/>
        </w:rPr>
        <w:t>29、中标通知书</w:t>
      </w:r>
    </w:p>
    <w:p w14:paraId="2B45EF5B">
      <w:pPr>
        <w:pStyle w:val="11"/>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rPr>
          <w:color w:val="auto"/>
        </w:rPr>
      </w:pPr>
      <w:r>
        <w:rPr>
          <w:rFonts w:hint="eastAsia" w:ascii="宋体" w:hAnsi="宋体" w:eastAsia="宋体" w:cs="宋体"/>
          <w:color w:val="000000"/>
        </w:rPr>
        <w:t>29.l中标结果确定后，采购中心将向中标人发出中标通知书。请中标人在中标结果公告届满之日起30日内</w:t>
      </w:r>
      <w:r>
        <w:rPr>
          <w:rFonts w:hint="eastAsia" w:ascii="宋体" w:hAnsi="宋体" w:eastAsia="宋体" w:cs="宋体"/>
          <w:color w:val="000000"/>
          <w:lang w:eastAsia="zh-CN"/>
        </w:rPr>
        <w:t>，</w:t>
      </w:r>
      <w:r>
        <w:rPr>
          <w:rFonts w:hint="eastAsia" w:ascii="宋体" w:hAnsi="宋体" w:eastAsia="宋体" w:cs="宋体"/>
          <w:color w:val="000000"/>
        </w:rPr>
        <w:t>使用CA数字证书登</w:t>
      </w:r>
      <w:r>
        <w:rPr>
          <w:rFonts w:hint="eastAsia" w:ascii="宋体" w:hAnsi="宋体" w:eastAsia="宋体" w:cs="宋体"/>
          <w:color w:val="auto"/>
        </w:rPr>
        <w:t>录苏采云系统及时</w:t>
      </w:r>
      <w:r>
        <w:rPr>
          <w:rFonts w:hint="eastAsia" w:ascii="宋体" w:hAnsi="宋体" w:eastAsia="宋体" w:cs="宋体"/>
          <w:color w:val="000000"/>
        </w:rPr>
        <w:t>下载中标通知书。因系统存储空间有限，自中标结果公告届满之日起30日后</w:t>
      </w:r>
      <w:r>
        <w:rPr>
          <w:rFonts w:hint="eastAsia" w:ascii="宋体" w:hAnsi="宋体" w:eastAsia="宋体" w:cs="宋体"/>
          <w:color w:val="auto"/>
        </w:rPr>
        <w:t>，苏采云系统不再保证提供下载中标通知书服务</w:t>
      </w:r>
      <w:r>
        <w:rPr>
          <w:rFonts w:hint="eastAsia" w:ascii="宋体" w:hAnsi="宋体" w:eastAsia="宋体" w:cs="宋体"/>
          <w:color w:val="auto"/>
          <w:lang w:eastAsia="zh-CN"/>
        </w:rPr>
        <w:t>，</w:t>
      </w:r>
      <w:r>
        <w:rPr>
          <w:rFonts w:hint="eastAsia" w:ascii="宋体" w:hAnsi="宋体" w:eastAsia="宋体" w:cs="宋体"/>
          <w:color w:val="auto"/>
        </w:rPr>
        <w:t>因未及时下载而造成的不利后果由中标人自行承担。</w:t>
      </w:r>
    </w:p>
    <w:p w14:paraId="54A7B2B8">
      <w:pPr>
        <w:pStyle w:val="11"/>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4CB8BC9A">
      <w:pPr>
        <w:pStyle w:val="11"/>
        <w:keepNext/>
        <w:keepLines/>
        <w:pageBreakBefore w:val="0"/>
        <w:widowControl w:val="0"/>
        <w:kinsoku/>
        <w:wordWrap/>
        <w:overflowPunct/>
        <w:topLinePunct w:val="0"/>
        <w:autoSpaceDE/>
        <w:autoSpaceDN/>
        <w:bidi w:val="0"/>
        <w:adjustRightInd/>
        <w:snapToGrid/>
        <w:spacing w:before="145" w:beforeAutospacing="0" w:after="145" w:afterAutospacing="0" w:line="480" w:lineRule="exact"/>
        <w:jc w:val="both"/>
        <w:textAlignment w:val="auto"/>
      </w:pPr>
      <w:bookmarkStart w:id="176" w:name="_Toc120614220"/>
      <w:bookmarkStart w:id="177" w:name="_Toc20823308"/>
      <w:bookmarkStart w:id="178" w:name="_Toc513029236"/>
      <w:bookmarkStart w:id="179" w:name="_Toc16938552"/>
      <w:r>
        <w:rPr>
          <w:rFonts w:ascii="Times New Roman" w:hAnsi="Times New Roman"/>
          <w:b/>
          <w:color w:val="000000"/>
          <w:sz w:val="32"/>
          <w:szCs w:val="32"/>
        </w:rPr>
        <w:t>七、授予合同</w:t>
      </w:r>
      <w:bookmarkEnd w:id="176"/>
      <w:bookmarkEnd w:id="177"/>
      <w:bookmarkEnd w:id="178"/>
      <w:bookmarkEnd w:id="179"/>
    </w:p>
    <w:p w14:paraId="42E1FA6C">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bookmarkStart w:id="180" w:name="_Toc20823309"/>
      <w:bookmarkStart w:id="181" w:name="_Toc513029237"/>
      <w:bookmarkStart w:id="182" w:name="_Toc16938553"/>
      <w:r>
        <w:rPr>
          <w:rFonts w:hint="eastAsia" w:ascii="黑体" w:hAnsi="宋体" w:eastAsia="黑体" w:cs="黑体"/>
          <w:color w:val="000000"/>
          <w:sz w:val="30"/>
          <w:szCs w:val="30"/>
        </w:rPr>
        <w:t>30.签订合同</w:t>
      </w:r>
      <w:bookmarkEnd w:id="180"/>
      <w:bookmarkEnd w:id="181"/>
      <w:bookmarkEnd w:id="182"/>
    </w:p>
    <w:p w14:paraId="34270841">
      <w:pPr>
        <w:pStyle w:val="11"/>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宋体" w:hAnsi="宋体" w:eastAsia="宋体" w:cs="宋体"/>
          <w:color w:val="000000"/>
        </w:rPr>
        <w:t>30.l中标人应当在中标通知书发出之日起三十日内，按照招标文件确定的事项与采购人签订政府采购合同。</w:t>
      </w:r>
    </w:p>
    <w:p w14:paraId="3179AAE1">
      <w:pPr>
        <w:pStyle w:val="11"/>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宋体" w:hAnsi="宋体" w:eastAsia="宋体" w:cs="宋体"/>
          <w:color w:val="000000"/>
        </w:rPr>
        <w:t>30.2招标文件、中标人的投标文件及招标过程中有关澄清、承诺文件均应作为合同附件。</w:t>
      </w:r>
    </w:p>
    <w:p w14:paraId="77E05417">
      <w:pPr>
        <w:pStyle w:val="11"/>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4E58452D">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r>
        <w:rPr>
          <w:rFonts w:hint="eastAsia" w:ascii="黑体" w:hAnsi="宋体" w:eastAsia="黑体" w:cs="黑体"/>
          <w:color w:val="000000"/>
          <w:sz w:val="30"/>
          <w:szCs w:val="30"/>
        </w:rPr>
        <w:t>31、服务（包含与服务相关的货物）的追加</w:t>
      </w:r>
    </w:p>
    <w:p w14:paraId="677CE9C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000000"/>
          <w:lang w:eastAsia="zh-CN"/>
        </w:rPr>
        <w:t>额的</w:t>
      </w:r>
      <w:r>
        <w:rPr>
          <w:rFonts w:hint="eastAsia" w:ascii="宋体" w:hAnsi="宋体" w:eastAsia="宋体" w:cs="宋体"/>
          <w:color w:val="000000"/>
        </w:rPr>
        <w:t>10%。</w:t>
      </w:r>
    </w:p>
    <w:p w14:paraId="29E9019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pPr>
      <w:bookmarkStart w:id="183" w:name="_Toc513029242"/>
      <w:bookmarkStart w:id="184" w:name="_Toc16938558"/>
      <w:bookmarkStart w:id="185" w:name="_Toc479757207"/>
      <w:bookmarkStart w:id="186" w:name="_Toc20823314"/>
      <w:bookmarkStart w:id="187" w:name="_Toc120614221"/>
      <w:r>
        <w:rPr>
          <w:rFonts w:hint="eastAsia" w:ascii="黑体" w:hAnsi="宋体" w:eastAsia="黑体" w:cs="黑体"/>
          <w:color w:val="000000"/>
          <w:sz w:val="30"/>
          <w:szCs w:val="30"/>
        </w:rPr>
        <w:t>32、政府采购履约资金扶持政策</w:t>
      </w:r>
      <w:bookmarkEnd w:id="183"/>
      <w:bookmarkEnd w:id="184"/>
      <w:bookmarkEnd w:id="185"/>
      <w:bookmarkEnd w:id="186"/>
      <w:bookmarkEnd w:id="187"/>
    </w:p>
    <w:p w14:paraId="4CB064D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根据《转发江苏省财政厅中国人民银行南京分行</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关于深入推进政府采购线上合同信用融资工作的通知</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color w:val="000000"/>
          <w:highlight w:val="none"/>
          <w:lang w:val="en-US" w:eastAsia="zh-CN"/>
        </w:rPr>
        <w:t>。</w:t>
      </w:r>
    </w:p>
    <w:p w14:paraId="62B254E0">
      <w:pPr>
        <w:pStyle w:val="11"/>
        <w:spacing w:beforeAutospacing="0" w:afterAutospacing="0"/>
        <w:ind w:firstLine="420"/>
        <w:jc w:val="both"/>
        <w:rPr>
          <w:rFonts w:hint="eastAsia" w:eastAsia="黑体"/>
          <w:highlight w:val="none"/>
          <w:lang w:eastAsia="zh-CN"/>
        </w:rPr>
      </w:pPr>
      <w:r>
        <w:rPr>
          <w:highlight w:val="none"/>
        </w:rPr>
        <w:t> </w:t>
      </w:r>
      <w:r>
        <w:rPr>
          <w:rFonts w:hint="eastAsia" w:ascii="黑体" w:hAnsi="宋体" w:eastAsia="黑体" w:cs="黑体"/>
          <w:color w:val="000000"/>
          <w:sz w:val="30"/>
          <w:szCs w:val="30"/>
          <w:highlight w:val="none"/>
        </w:rPr>
        <w:t>3</w:t>
      </w:r>
      <w:r>
        <w:rPr>
          <w:rFonts w:hint="eastAsia" w:ascii="黑体" w:hAnsi="宋体" w:eastAsia="黑体" w:cs="黑体"/>
          <w:color w:val="000000"/>
          <w:sz w:val="30"/>
          <w:szCs w:val="30"/>
          <w:highlight w:val="none"/>
          <w:lang w:val="en-US" w:eastAsia="zh-CN"/>
        </w:rPr>
        <w:t>4</w:t>
      </w:r>
      <w:r>
        <w:rPr>
          <w:rFonts w:hint="eastAsia" w:ascii="黑体" w:hAnsi="宋体" w:eastAsia="黑体" w:cs="黑体"/>
          <w:color w:val="000000"/>
          <w:sz w:val="30"/>
          <w:szCs w:val="30"/>
          <w:highlight w:val="none"/>
        </w:rPr>
        <w:t>、</w:t>
      </w:r>
      <w:r>
        <w:rPr>
          <w:rFonts w:hint="eastAsia" w:ascii="黑体" w:hAnsi="宋体" w:eastAsia="黑体" w:cs="黑体"/>
          <w:color w:val="000000"/>
          <w:sz w:val="30"/>
          <w:szCs w:val="30"/>
          <w:highlight w:val="none"/>
          <w:lang w:eastAsia="zh-CN"/>
        </w:rPr>
        <w:t>其他</w:t>
      </w:r>
    </w:p>
    <w:p w14:paraId="4908FAE5">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34.1</w:t>
      </w:r>
      <w:r>
        <w:rPr>
          <w:rFonts w:hint="eastAsia" w:ascii="宋体" w:hAnsi="宋体" w:eastAsia="宋体" w:cs="宋体"/>
          <w:color w:val="000000"/>
          <w:highlight w:val="none"/>
        </w:rPr>
        <w:t>供应商对于投标产品的商品包装、快递包装应按照《关于印发《商品包装政府采购需求标准（试行）</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快递包装政府采购需求标准（试行）》的通知》</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财办库〔2020〕123号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执行。</w:t>
      </w:r>
    </w:p>
    <w:p w14:paraId="7319E65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34.2</w:t>
      </w:r>
      <w:r>
        <w:rPr>
          <w:rFonts w:hint="eastAsia" w:ascii="宋体" w:hAnsi="宋体" w:eastAsia="宋体" w:cs="宋体"/>
          <w:color w:val="000000"/>
          <w:highlight w:val="none"/>
        </w:rPr>
        <w:t>本文件中若</w:t>
      </w:r>
      <w:r>
        <w:rPr>
          <w:rFonts w:hint="eastAsia" w:ascii="宋体" w:hAnsi="宋体" w:eastAsia="宋体" w:cs="宋体"/>
          <w:color w:val="000000"/>
          <w:highlight w:val="none"/>
          <w:lang w:eastAsia="zh-CN"/>
        </w:rPr>
        <w:t>涉及</w:t>
      </w:r>
      <w:r>
        <w:rPr>
          <w:rFonts w:hint="eastAsia" w:ascii="宋体" w:hAnsi="宋体" w:eastAsia="宋体" w:cs="宋体"/>
          <w:color w:val="000000"/>
          <w:highlight w:val="none"/>
        </w:rPr>
        <w:t>数据中心采购，应按照《</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绿色数据中心政府采购需求标准（试行）</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的通知》（财库〔2023〕7号）执行。</w:t>
      </w:r>
    </w:p>
    <w:p w14:paraId="1AC23ED5">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34.3 本项目落实预付款制度，预付款比例为30%。在签订合同时，中标、成交供应商明确书面表示无需预付款或者主动要求降低预付款比例的，采购人可就预付款比例做相应调整。</w:t>
      </w:r>
    </w:p>
    <w:p w14:paraId="4366F442">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34.4 确需收取履约保证金的，履约保证金的缴纳形式：</w:t>
      </w:r>
    </w:p>
    <w:p w14:paraId="6CFAF4B6">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F98AA70">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p>
    <w:p w14:paraId="52D21CD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1AA68C2F">
      <w:pPr>
        <w:pStyle w:val="11"/>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 </w:t>
      </w:r>
    </w:p>
    <w:p w14:paraId="1DEE2D78">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69511CB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0CBD4EEC">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5F4406F7">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13B4B1DA">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78DC8C4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4695AFC9">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78E3D4FD">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14B46851">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highlight w:val="none"/>
          <w:lang w:val="en-US" w:eastAsia="zh-CN"/>
        </w:rPr>
      </w:pPr>
    </w:p>
    <w:p w14:paraId="637FAD9B">
      <w:pPr>
        <w:pStyle w:val="11"/>
        <w:keepNext/>
        <w:spacing w:beforeAutospacing="0" w:afterAutospacing="0"/>
        <w:jc w:val="center"/>
      </w:pPr>
      <w:r>
        <w:rPr>
          <w:rFonts w:hint="eastAsia" w:ascii="黑体" w:hAnsi="宋体" w:eastAsia="黑体" w:cs="黑体"/>
          <w:color w:val="000000"/>
          <w:sz w:val="44"/>
          <w:szCs w:val="44"/>
        </w:rPr>
        <w:t>第三章  合同文本</w:t>
      </w:r>
    </w:p>
    <w:p w14:paraId="467E1644">
      <w:pPr>
        <w:pStyle w:val="11"/>
        <w:spacing w:beforeAutospacing="0" w:afterAutospacing="0" w:line="0" w:lineRule="atLeast"/>
        <w:ind w:firstLine="480"/>
        <w:jc w:val="both"/>
      </w:pPr>
      <w:bookmarkStart w:id="188" w:name="_Toc20823315"/>
      <w:bookmarkStart w:id="189" w:name="_Toc513029243"/>
      <w:bookmarkStart w:id="190" w:name="_Toc16938559"/>
      <w:r>
        <w:rPr>
          <w:rFonts w:hint="eastAsia" w:ascii="宋体" w:hAnsi="宋体" w:eastAsia="宋体" w:cs="宋体"/>
          <w:color w:val="000000"/>
        </w:rPr>
        <w:t>以下为中标后</w:t>
      </w:r>
      <w:r>
        <w:rPr>
          <w:rFonts w:hint="eastAsia" w:ascii="宋体" w:hAnsi="宋体" w:eastAsia="宋体" w:cs="宋体"/>
          <w:color w:val="000000"/>
          <w:lang w:eastAsia="zh-CN"/>
        </w:rPr>
        <w:t>签订</w:t>
      </w:r>
      <w:r>
        <w:rPr>
          <w:rFonts w:hint="eastAsia" w:ascii="宋体" w:hAnsi="宋体" w:eastAsia="宋体" w:cs="宋体"/>
          <w:color w:val="000000"/>
        </w:rPr>
        <w:t>本项目合同的通用条款，中标人不得提出实质性的修改。</w:t>
      </w:r>
      <w:bookmarkEnd w:id="188"/>
      <w:bookmarkEnd w:id="189"/>
      <w:bookmarkEnd w:id="190"/>
    </w:p>
    <w:p w14:paraId="49A7A875">
      <w:pPr>
        <w:spacing w:line="360" w:lineRule="auto"/>
        <w:rPr>
          <w:rFonts w:ascii="仿宋" w:hAnsi="仿宋" w:eastAsia="仿宋" w:cs="仿宋"/>
          <w:color w:val="000000"/>
          <w:sz w:val="24"/>
          <w:highlight w:val="none"/>
          <w:u w:val="single"/>
        </w:rPr>
      </w:pPr>
      <w:bookmarkStart w:id="191" w:name="OLE_LINK1"/>
      <w:bookmarkStart w:id="192" w:name="_Toc479757211"/>
      <w:bookmarkStart w:id="193" w:name="_Toc120614244"/>
      <w:bookmarkStart w:id="194" w:name="_Toc20823346"/>
      <w:bookmarkStart w:id="195" w:name="_Hlt16619350"/>
      <w:bookmarkStart w:id="196" w:name="_Toc16938590"/>
      <w:bookmarkStart w:id="197" w:name="_Toc462564139"/>
      <w:bookmarkStart w:id="198" w:name="_Hlt16619369"/>
      <w:r>
        <w:rPr>
          <w:rFonts w:hint="eastAsia" w:ascii="仿宋" w:hAnsi="仿宋" w:eastAsia="仿宋" w:cs="仿宋"/>
          <w:color w:val="000000"/>
          <w:sz w:val="24"/>
          <w:highlight w:val="none"/>
        </w:rPr>
        <w:t>采购人：</w:t>
      </w:r>
    </w:p>
    <w:p w14:paraId="5EC7298A">
      <w:pPr>
        <w:spacing w:line="360" w:lineRule="auto"/>
        <w:rPr>
          <w:rFonts w:ascii="仿宋" w:hAnsi="仿宋" w:eastAsia="仿宋" w:cs="仿宋"/>
          <w:color w:val="000000"/>
          <w:sz w:val="24"/>
          <w:highlight w:val="none"/>
          <w:u w:val="single"/>
        </w:rPr>
      </w:pPr>
      <w:r>
        <w:rPr>
          <w:rFonts w:hint="eastAsia" w:ascii="仿宋" w:hAnsi="仿宋" w:eastAsia="仿宋" w:cs="仿宋"/>
          <w:color w:val="000000"/>
          <w:sz w:val="24"/>
          <w:highlight w:val="none"/>
        </w:rPr>
        <w:t>供应商：</w:t>
      </w:r>
    </w:p>
    <w:p w14:paraId="031100CE">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根据《中华人民共和国政府采购法</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中华人民共和国民法典》等法律法规的规定，遵循平等、自愿、公平和诚实信用的原则，双方就</w:t>
      </w:r>
      <w:r>
        <w:rPr>
          <w:rFonts w:hint="eastAsia" w:ascii="仿宋" w:hAnsi="仿宋" w:eastAsia="仿宋" w:cs="仿宋"/>
          <w:color w:val="000000"/>
          <w:sz w:val="24"/>
          <w:highlight w:val="none"/>
          <w:u w:val="single"/>
        </w:rPr>
        <w:t xml:space="preserve">    （项目名称）  </w:t>
      </w:r>
      <w:r>
        <w:rPr>
          <w:rFonts w:hint="eastAsia" w:ascii="仿宋" w:hAnsi="仿宋" w:eastAsia="仿宋" w:cs="仿宋"/>
          <w:color w:val="000000"/>
          <w:sz w:val="24"/>
          <w:highlight w:val="none"/>
        </w:rPr>
        <w:t>及有关事项协商一致，共同达成如下协议：</w:t>
      </w:r>
    </w:p>
    <w:p w14:paraId="11072B16">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第一条：合同标的</w:t>
      </w:r>
    </w:p>
    <w:p w14:paraId="065F96F4">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乙方根据甲方需求提供下列服务：</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行数不够，自行添加）</w:t>
      </w:r>
      <w:r>
        <w:rPr>
          <w:rFonts w:hint="eastAsia" w:ascii="仿宋" w:hAnsi="仿宋" w:eastAsia="仿宋" w:cs="仿宋"/>
          <w:color w:val="000000"/>
          <w:sz w:val="24"/>
          <w:highlight w:val="none"/>
        </w:rPr>
        <w:t>，具体服务内容详见乙方响应性文件等。</w:t>
      </w:r>
    </w:p>
    <w:p w14:paraId="650CD528">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第二条：合同总价款</w:t>
      </w:r>
    </w:p>
    <w:p w14:paraId="1D92F74A">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金额（大写）</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人民币</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       ；￥：     元。</w:t>
      </w:r>
    </w:p>
    <w:p w14:paraId="1BB86D3A">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第三条：组成本合同的有关文件</w:t>
      </w:r>
    </w:p>
    <w:p w14:paraId="0934D8C6">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下列关于</w:t>
      </w:r>
      <w:r>
        <w:rPr>
          <w:rFonts w:hint="eastAsia" w:ascii="仿宋" w:hAnsi="仿宋" w:eastAsia="仿宋" w:cs="仿宋"/>
          <w:color w:val="000000"/>
          <w:sz w:val="24"/>
          <w:highlight w:val="none"/>
          <w:u w:val="single"/>
          <w:lang w:val="en-US" w:eastAsia="zh-CN"/>
        </w:rPr>
        <w:t xml:space="preserve"> （采购编号）   </w:t>
      </w:r>
      <w:r>
        <w:rPr>
          <w:rFonts w:hint="eastAsia" w:ascii="仿宋" w:hAnsi="仿宋" w:eastAsia="仿宋" w:cs="仿宋"/>
          <w:color w:val="000000"/>
          <w:sz w:val="24"/>
          <w:highlight w:val="none"/>
        </w:rPr>
        <w:t xml:space="preserve">标的采购文件或与本次采购活动方式相适应的文件及有关附件是本合同不可分割的组成部分，与本合同具有同等法律效力，这些文件包括但不限于： </w:t>
      </w:r>
    </w:p>
    <w:p w14:paraId="3EF22ABD">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（1）乙方提供的</w:t>
      </w:r>
      <w:r>
        <w:rPr>
          <w:rFonts w:hint="eastAsia" w:ascii="仿宋" w:hAnsi="仿宋" w:eastAsia="仿宋" w:cs="仿宋"/>
          <w:color w:val="000000"/>
          <w:sz w:val="24"/>
          <w:highlight w:val="none"/>
          <w:lang w:val="en-US" w:eastAsia="zh-CN"/>
        </w:rPr>
        <w:t>投标</w:t>
      </w:r>
      <w:r>
        <w:rPr>
          <w:rFonts w:hint="eastAsia" w:ascii="仿宋" w:hAnsi="仿宋" w:eastAsia="仿宋" w:cs="仿宋"/>
          <w:color w:val="000000"/>
          <w:sz w:val="24"/>
          <w:highlight w:val="none"/>
        </w:rPr>
        <w:t xml:space="preserve">文件；  </w:t>
      </w:r>
    </w:p>
    <w:p w14:paraId="226020AC">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 xml:space="preserve">）成交通知书； </w:t>
      </w:r>
    </w:p>
    <w:p w14:paraId="51286E77">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 xml:space="preserve">）甲乙双方商定的其他文件等。 </w:t>
      </w:r>
    </w:p>
    <w:p w14:paraId="46A968A4">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第四条：权利保证 </w:t>
      </w:r>
    </w:p>
    <w:p w14:paraId="0B243A60">
      <w:pPr>
        <w:spacing w:line="360" w:lineRule="auto"/>
        <w:ind w:firstLine="600" w:firstLineChars="2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乙方应保证甲方在使用该服务或其任何一部分时不受第三方提出侵犯其专利权、版权、商标权或其他权利的起诉。一旦出现侵权，乙方应承担全部责任。 </w:t>
      </w:r>
    </w:p>
    <w:p w14:paraId="0F218150">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第五条：质量保证 </w:t>
      </w:r>
    </w:p>
    <w:p w14:paraId="1E06529C">
      <w:pPr>
        <w:spacing w:line="360" w:lineRule="auto"/>
        <w:ind w:firstLine="600" w:firstLineChars="250"/>
        <w:rPr>
          <w:rFonts w:ascii="仿宋" w:hAnsi="仿宋" w:eastAsia="仿宋" w:cs="仿宋"/>
          <w:color w:val="000000"/>
          <w:sz w:val="24"/>
          <w:highlight w:val="none"/>
        </w:rPr>
      </w:pPr>
      <w:r>
        <w:rPr>
          <w:rFonts w:hint="eastAsia" w:ascii="仿宋" w:hAnsi="仿宋" w:eastAsia="仿宋" w:cs="仿宋"/>
          <w:color w:val="000000"/>
          <w:sz w:val="24"/>
          <w:highlight w:val="none"/>
        </w:rPr>
        <w:t>乙方所提供的服务的技术规格应与采购文件规定的技术规格及所附的“技术条款偏离表”相一致；若技术性能无特殊说明，则按国家有关部门最新颁布的标准及规范为准。</w:t>
      </w:r>
    </w:p>
    <w:p w14:paraId="2D142C29">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第六条：交付和验收</w:t>
      </w:r>
    </w:p>
    <w:p w14:paraId="42D570C6">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1、服务时间：</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日至</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日</w:t>
      </w:r>
    </w:p>
    <w:p w14:paraId="5C442717">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2、乙方应当在</w:t>
      </w:r>
      <w:r>
        <w:rPr>
          <w:rFonts w:hint="eastAsia" w:ascii="仿宋" w:hAnsi="仿宋" w:eastAsia="仿宋" w:cs="仿宋"/>
          <w:b/>
          <w:color w:val="000000"/>
          <w:sz w:val="24"/>
          <w:highlight w:val="none"/>
          <w:u w:val="single"/>
        </w:rPr>
        <w:t>合同签订后</w:t>
      </w:r>
      <w:r>
        <w:rPr>
          <w:rFonts w:hint="eastAsia" w:ascii="仿宋" w:hAnsi="仿宋" w:eastAsia="仿宋" w:cs="仿宋"/>
          <w:b/>
          <w:color w:val="000000"/>
          <w:sz w:val="24"/>
          <w:highlight w:val="none"/>
          <w:u w:val="single"/>
          <w:lang w:val="en-US" w:eastAsia="zh-CN"/>
        </w:rPr>
        <w:t xml:space="preserve">   </w:t>
      </w:r>
      <w:r>
        <w:rPr>
          <w:rFonts w:hint="eastAsia" w:ascii="仿宋" w:hAnsi="仿宋" w:eastAsia="仿宋" w:cs="仿宋"/>
          <w:b/>
          <w:color w:val="000000"/>
          <w:sz w:val="24"/>
          <w:highlight w:val="none"/>
          <w:u w:val="single"/>
          <w:lang w:val="en-US"/>
        </w:rPr>
        <w:t>日历天</w:t>
      </w:r>
      <w:r>
        <w:rPr>
          <w:rFonts w:hint="eastAsia" w:ascii="仿宋" w:hAnsi="仿宋" w:eastAsia="仿宋" w:cs="仿宋"/>
          <w:b/>
          <w:color w:val="000000"/>
          <w:sz w:val="24"/>
          <w:highlight w:val="none"/>
          <w:u w:val="single"/>
        </w:rPr>
        <w:t>内</w:t>
      </w:r>
      <w:r>
        <w:rPr>
          <w:rFonts w:hint="eastAsia" w:ascii="仿宋" w:hAnsi="仿宋" w:eastAsia="仿宋" w:cs="仿宋"/>
          <w:color w:val="000000"/>
          <w:sz w:val="24"/>
          <w:highlight w:val="none"/>
        </w:rPr>
        <w:t>完成服务事项。</w:t>
      </w:r>
    </w:p>
    <w:p w14:paraId="0E3E33A9">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3、验收标准：按行业通行标准和乙方</w:t>
      </w:r>
      <w:r>
        <w:rPr>
          <w:rFonts w:hint="eastAsia" w:ascii="仿宋" w:hAnsi="仿宋" w:eastAsia="仿宋" w:cs="仿宋"/>
          <w:color w:val="000000"/>
          <w:sz w:val="24"/>
          <w:highlight w:val="none"/>
          <w:lang w:val="en-US" w:eastAsia="zh-CN"/>
        </w:rPr>
        <w:t>投标</w:t>
      </w:r>
      <w:r>
        <w:rPr>
          <w:rFonts w:hint="eastAsia" w:ascii="仿宋" w:hAnsi="仿宋" w:eastAsia="仿宋" w:cs="仿宋"/>
          <w:color w:val="000000"/>
          <w:sz w:val="24"/>
          <w:highlight w:val="none"/>
        </w:rPr>
        <w:t>文件的承诺。</w:t>
      </w:r>
    </w:p>
    <w:p w14:paraId="04871D9E">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第七条：合同款支付</w:t>
      </w:r>
    </w:p>
    <w:p w14:paraId="037B09EF">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1、本合同项下所有款项均以人民币支付。</w:t>
      </w:r>
    </w:p>
    <w:p w14:paraId="2347ECB2">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2、本合同项下的采购资金由甲方自行支付，乙方向甲方开具发票。</w:t>
      </w:r>
    </w:p>
    <w:p w14:paraId="649301AA">
      <w:pPr>
        <w:spacing w:line="360" w:lineRule="auto"/>
        <w:ind w:firstLine="361" w:firstLineChars="150"/>
        <w:rPr>
          <w:rFonts w:hint="eastAsia" w:ascii="仿宋" w:hAnsi="仿宋" w:eastAsia="仿宋" w:cs="仿宋"/>
          <w:b/>
          <w:bCs/>
          <w:color w:val="000000"/>
          <w:sz w:val="24"/>
          <w:highlight w:val="none"/>
          <w:lang w:val="en-US"/>
        </w:rPr>
      </w:pPr>
      <w:r>
        <w:rPr>
          <w:rFonts w:hint="eastAsia" w:ascii="仿宋" w:hAnsi="仿宋" w:eastAsia="仿宋" w:cs="仿宋"/>
          <w:b/>
          <w:bCs/>
          <w:color w:val="000000"/>
          <w:sz w:val="24"/>
          <w:highlight w:val="none"/>
          <w:lang w:val="en-US"/>
        </w:rPr>
        <w:t>3、付款方式：</w:t>
      </w:r>
      <w:r>
        <w:rPr>
          <w:rFonts w:hint="eastAsia" w:ascii="仿宋" w:hAnsi="仿宋" w:eastAsia="仿宋" w:cs="仿宋"/>
          <w:b/>
          <w:bCs/>
          <w:color w:val="000000"/>
          <w:sz w:val="24"/>
          <w:highlight w:val="none"/>
          <w:lang w:val="en-US" w:eastAsia="zh-CN"/>
        </w:rPr>
        <w:t>合同签订后30天内付合同价款的30%作为预付款，</w:t>
      </w:r>
      <w:r>
        <w:rPr>
          <w:rFonts w:hint="eastAsia" w:ascii="仿宋" w:hAnsi="仿宋" w:eastAsia="仿宋" w:cs="仿宋"/>
          <w:b/>
          <w:bCs/>
          <w:color w:val="000000"/>
          <w:sz w:val="24"/>
          <w:highlight w:val="none"/>
          <w:lang w:val="en-US"/>
        </w:rPr>
        <w:t>完成合同服务内容并提交经确认的成果件后支付</w:t>
      </w:r>
      <w:r>
        <w:rPr>
          <w:rFonts w:hint="eastAsia" w:ascii="仿宋" w:hAnsi="仿宋" w:eastAsia="仿宋" w:cs="仿宋"/>
          <w:b/>
          <w:bCs/>
          <w:color w:val="000000"/>
          <w:sz w:val="24"/>
          <w:highlight w:val="none"/>
          <w:lang w:val="en-US" w:eastAsia="zh-CN"/>
        </w:rPr>
        <w:t>至合同价款</w:t>
      </w:r>
      <w:r>
        <w:rPr>
          <w:rFonts w:hint="eastAsia" w:ascii="仿宋" w:hAnsi="仿宋" w:eastAsia="仿宋" w:cs="仿宋"/>
          <w:b/>
          <w:bCs/>
          <w:color w:val="000000"/>
          <w:sz w:val="24"/>
          <w:highlight w:val="none"/>
          <w:lang w:val="en-US"/>
        </w:rPr>
        <w:t>的</w:t>
      </w:r>
      <w:r>
        <w:rPr>
          <w:rFonts w:hint="eastAsia" w:ascii="仿宋" w:hAnsi="仿宋" w:eastAsia="仿宋" w:cs="仿宋"/>
          <w:b/>
          <w:bCs/>
          <w:color w:val="000000"/>
          <w:sz w:val="24"/>
          <w:highlight w:val="none"/>
          <w:lang w:val="en-US" w:eastAsia="zh-CN"/>
        </w:rPr>
        <w:t>7</w:t>
      </w:r>
      <w:r>
        <w:rPr>
          <w:rFonts w:hint="eastAsia" w:ascii="仿宋" w:hAnsi="仿宋" w:eastAsia="仿宋" w:cs="仿宋"/>
          <w:b/>
          <w:bCs/>
          <w:color w:val="000000"/>
          <w:sz w:val="24"/>
          <w:highlight w:val="none"/>
          <w:lang w:val="en-US"/>
        </w:rPr>
        <w:t>0%，</w:t>
      </w:r>
      <w:r>
        <w:rPr>
          <w:rFonts w:hint="eastAsia" w:ascii="仿宋" w:hAnsi="仿宋" w:eastAsia="仿宋" w:cs="仿宋"/>
          <w:b/>
          <w:bCs/>
          <w:color w:val="000000"/>
          <w:sz w:val="24"/>
          <w:highlight w:val="none"/>
          <w:lang w:val="en-US" w:eastAsia="zh-CN"/>
        </w:rPr>
        <w:t>剩余尾款待服务项目取得市级验收批复后一次性拨付</w:t>
      </w:r>
      <w:r>
        <w:rPr>
          <w:rFonts w:hint="eastAsia" w:ascii="仿宋" w:hAnsi="仿宋" w:eastAsia="仿宋" w:cs="仿宋"/>
          <w:b/>
          <w:bCs/>
          <w:color w:val="000000"/>
          <w:sz w:val="24"/>
          <w:highlight w:val="none"/>
          <w:lang w:val="en-US"/>
        </w:rPr>
        <w:t>。</w:t>
      </w:r>
    </w:p>
    <w:p w14:paraId="295191DD">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第八条：违约责任 </w:t>
      </w:r>
    </w:p>
    <w:p w14:paraId="4EDFDE19">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１、甲方无正当理由拒收服务、拒付服务款的，由甲方向乙方偿付合同总价的5%违约金。 </w:t>
      </w:r>
    </w:p>
    <w:p w14:paraId="1DAB2667">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２、甲方未按合同规定的期限向乙方支付服务款的，每逾期 1 天甲方向乙方偿付欠款总额的5‰滞纳金，但累计滞纳金总额不超过欠款总额的5% 。 </w:t>
      </w:r>
    </w:p>
    <w:p w14:paraId="609F0EE7">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３、如乙方不能交付服务的，乙方应向甲方支付合同总价 5%的违约金。 </w:t>
      </w:r>
    </w:p>
    <w:p w14:paraId="3D6343CB">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４、乙方逾期交付的，每逾期</w:t>
      </w: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天，乙方向甲方偿付合同总额的5‰的滞纳金。如乙方逾期交付达10天，甲方有权解除合同，解除合同的通知自到达乙方时生效。</w:t>
      </w:r>
    </w:p>
    <w:p w14:paraId="5BA05628">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５、乙方所交付的服务不符合合同规定的，甲方有权拒收。乙方应按合同规定整改，整改后仍不符合合同规定的向甲方支付合同总款5%的违约金。 </w:t>
      </w:r>
    </w:p>
    <w:p w14:paraId="2F385CF9">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6、乙方未按本合同的规定和“服务承诺”提供伴随服务/售后服务的，应按合同总价款的5%向甲方承担违约责任。</w:t>
      </w:r>
    </w:p>
    <w:p w14:paraId="0488B7DB">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7、乙方在承担上述 4-6 款一项或多项违约责任后，仍应继续履行合同规定的义务（甲方解除合同的除外）。甲方未能及时追究乙方的任何一项违约责任并不表明甲方放弃追究乙方该项或其他违约责任。</w:t>
      </w:r>
    </w:p>
    <w:p w14:paraId="6D4EC402">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8、乙方投标属虚假承诺，或经权威部门监测提供的服务不能满足招标文件要求，或是由于乙方的过错造成合同无法继续履行的，乙方应向甲方支付不少于合同总价30%赔偿金。 </w:t>
      </w:r>
    </w:p>
    <w:p w14:paraId="1193D3CB">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第九条：合同的变更和终止</w:t>
      </w:r>
    </w:p>
    <w:p w14:paraId="6342CE9E">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1、除《政府采购法》第 50 条第二款规定的情形外，本合同一经签订，甲乙双方不得擅自变更、中止或终止合同。</w:t>
      </w:r>
    </w:p>
    <w:p w14:paraId="2734DD9E">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2、除发生法律规定的不能预见、不能避免并不能克服的客观情况外，甲乙双方不得放弃或拒绝履行合同。乙方放弃或拒绝履行合同，保证金不予退还。 </w:t>
      </w:r>
    </w:p>
    <w:p w14:paraId="45904EA4">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第十条：合同的转让</w:t>
      </w:r>
    </w:p>
    <w:p w14:paraId="6646D078">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乙方不得擅自部分或全部转让其应履行的合同义务。 </w:t>
      </w:r>
    </w:p>
    <w:p w14:paraId="3763B487">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第十一条：争议的解决 </w:t>
      </w:r>
    </w:p>
    <w:p w14:paraId="620AF730">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1、因服务的质量问题发生争议的，应当邀请国家认可的质量检测机构对服务质量进行鉴定。符合标准的，鉴定费由甲方承担；不符合质量标准的，鉴定费由乙方承担。</w:t>
      </w:r>
    </w:p>
    <w:p w14:paraId="2E8E5AF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2、因履行本合同引起的或与本合同有关的争议，甲、乙双方应首先通过友好协商解决，如果协商不能解决争议，则采取以下第（1）种方式解决争议： </w:t>
      </w:r>
    </w:p>
    <w:p w14:paraId="0E1419D6">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（1）向甲方所在地有管辖权的人民法院提起诉讼； </w:t>
      </w:r>
    </w:p>
    <w:p w14:paraId="5A151ECE">
      <w:pPr>
        <w:spacing w:line="360" w:lineRule="auto"/>
        <w:ind w:firstLine="240" w:firstLineChars="100"/>
        <w:rPr>
          <w:rFonts w:ascii="仿宋" w:hAnsi="仿宋" w:eastAsia="仿宋" w:cs="仿宋"/>
          <w:color w:val="000000"/>
          <w:sz w:val="24"/>
          <w:highlight w:val="none"/>
        </w:rPr>
      </w:pPr>
      <w:r>
        <w:rPr>
          <w:rFonts w:hint="eastAsia" w:ascii="仿宋" w:hAnsi="仿宋" w:eastAsia="仿宋" w:cs="仿宋"/>
          <w:color w:val="000000"/>
          <w:sz w:val="24"/>
          <w:highlight w:val="none"/>
        </w:rPr>
        <w:t>（2）向</w:t>
      </w:r>
      <w:r>
        <w:rPr>
          <w:rFonts w:hint="eastAsia" w:ascii="仿宋" w:hAnsi="仿宋" w:eastAsia="仿宋" w:cs="仿宋"/>
          <w:color w:val="000000"/>
          <w:sz w:val="24"/>
          <w:highlight w:val="none"/>
          <w:lang w:val="en-US" w:eastAsia="zh-CN"/>
        </w:rPr>
        <w:t>甲方所在地的</w:t>
      </w:r>
      <w:r>
        <w:rPr>
          <w:rFonts w:hint="eastAsia" w:ascii="仿宋" w:hAnsi="仿宋" w:eastAsia="仿宋" w:cs="仿宋"/>
          <w:color w:val="000000"/>
          <w:sz w:val="24"/>
          <w:highlight w:val="none"/>
        </w:rPr>
        <w:t xml:space="preserve">仲裁委员会按其仲裁规则申请仲裁。 如没有约定，默认采取第 2 种方式解决争议。 </w:t>
      </w:r>
    </w:p>
    <w:p w14:paraId="1CCAF967">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3、在仲裁期间，本合同应继续履行。 </w:t>
      </w:r>
    </w:p>
    <w:p w14:paraId="017CE4E5">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第十二条：诚实信用 </w:t>
      </w:r>
    </w:p>
    <w:p w14:paraId="15E8F52F">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乙方应诚实信用，严格按照招标文件要求和投标承诺履行合同，不向甲方进行商业贿赂或者提供不正当利益。 </w:t>
      </w:r>
    </w:p>
    <w:p w14:paraId="251B0247">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第十三条：合同生效及其他 </w:t>
      </w:r>
    </w:p>
    <w:p w14:paraId="4C351102">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1、本合同自双方签字盖章之日起生效。 </w:t>
      </w:r>
    </w:p>
    <w:p w14:paraId="29C7CA99">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2、本合同一式</w:t>
      </w:r>
      <w:r>
        <w:rPr>
          <w:rFonts w:hint="eastAsia" w:ascii="仿宋" w:hAnsi="仿宋" w:eastAsia="仿宋" w:cs="仿宋"/>
          <w:color w:val="000000"/>
          <w:sz w:val="24"/>
          <w:highlight w:val="none"/>
          <w:lang w:val="en-US"/>
        </w:rPr>
        <w:t>陆</w:t>
      </w:r>
      <w:r>
        <w:rPr>
          <w:rFonts w:hint="eastAsia" w:ascii="仿宋" w:hAnsi="仿宋" w:eastAsia="仿宋" w:cs="仿宋"/>
          <w:color w:val="000000"/>
          <w:sz w:val="24"/>
          <w:highlight w:val="none"/>
        </w:rPr>
        <w:t>份，甲乙双方各执</w:t>
      </w:r>
      <w:r>
        <w:rPr>
          <w:rFonts w:hint="eastAsia" w:ascii="仿宋" w:hAnsi="仿宋" w:eastAsia="仿宋" w:cs="仿宋"/>
          <w:color w:val="000000"/>
          <w:sz w:val="24"/>
          <w:highlight w:val="none"/>
          <w:lang w:val="en-US"/>
        </w:rPr>
        <w:t>叁</w:t>
      </w:r>
      <w:r>
        <w:rPr>
          <w:rFonts w:hint="eastAsia" w:ascii="仿宋" w:hAnsi="仿宋" w:eastAsia="仿宋" w:cs="仿宋"/>
          <w:color w:val="000000"/>
          <w:sz w:val="24"/>
          <w:highlight w:val="none"/>
        </w:rPr>
        <w:t>份，具有同等法律效力。</w:t>
      </w:r>
    </w:p>
    <w:p w14:paraId="7808D2B1">
      <w:pPr>
        <w:spacing w:line="360" w:lineRule="auto"/>
        <w:ind w:firstLine="360" w:firstLineChars="150"/>
        <w:rPr>
          <w:rFonts w:ascii="仿宋" w:hAnsi="仿宋" w:eastAsia="仿宋" w:cs="仿宋"/>
          <w:color w:val="000000"/>
          <w:sz w:val="24"/>
          <w:highlight w:val="none"/>
        </w:rPr>
      </w:pPr>
      <w:r>
        <w:rPr>
          <w:rFonts w:hint="eastAsia" w:ascii="仿宋" w:hAnsi="仿宋" w:eastAsia="仿宋" w:cs="仿宋"/>
          <w:color w:val="000000"/>
          <w:sz w:val="24"/>
          <w:highlight w:val="none"/>
        </w:rPr>
        <w:t>3、本合同应按照中华人民共和国的现行法律进行解释。</w:t>
      </w:r>
    </w:p>
    <w:p w14:paraId="30025DC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甲方（采购人）：（盖章）                  乙方（供应商）：（盖章） </w:t>
      </w:r>
    </w:p>
    <w:p w14:paraId="095A045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代表人：                                  代表人： </w:t>
      </w:r>
    </w:p>
    <w:p w14:paraId="2BA9350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电话：                                    电话： </w:t>
      </w:r>
    </w:p>
    <w:p w14:paraId="257E7739">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开户银行：                                开户银行： </w:t>
      </w:r>
    </w:p>
    <w:p w14:paraId="465227E8">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eastAsia="zh-CN"/>
        </w:rPr>
        <w:t>账号</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账号</w:t>
      </w:r>
      <w:r>
        <w:rPr>
          <w:rFonts w:hint="eastAsia" w:ascii="仿宋" w:hAnsi="仿宋" w:eastAsia="仿宋" w:cs="仿宋"/>
          <w:color w:val="000000"/>
          <w:sz w:val="24"/>
          <w:highlight w:val="none"/>
        </w:rPr>
        <w:t>：</w:t>
      </w:r>
    </w:p>
    <w:bookmarkEnd w:id="191"/>
    <w:p w14:paraId="58C79013">
      <w:pPr>
        <w:pStyle w:val="11"/>
        <w:spacing w:before="120" w:beforeAutospacing="0" w:after="120" w:afterAutospacing="0" w:line="0" w:lineRule="atLeast"/>
        <w:jc w:val="center"/>
      </w:pPr>
      <w:r>
        <w:rPr>
          <w:rFonts w:hint="eastAsia" w:ascii="黑体" w:hAnsi="宋体" w:eastAsia="黑体" w:cs="黑体"/>
          <w:color w:val="000000"/>
          <w:sz w:val="44"/>
          <w:szCs w:val="44"/>
        </w:rPr>
        <w:br w:type="page"/>
      </w:r>
      <w:r>
        <w:rPr>
          <w:rFonts w:hint="eastAsia" w:ascii="黑体" w:hAnsi="宋体" w:eastAsia="黑体" w:cs="黑体"/>
          <w:color w:val="000000"/>
          <w:sz w:val="44"/>
          <w:szCs w:val="44"/>
        </w:rPr>
        <w:t> 第</w:t>
      </w:r>
      <w:bookmarkEnd w:id="192"/>
      <w:r>
        <w:rPr>
          <w:rFonts w:hint="eastAsia" w:ascii="黑体" w:hAnsi="宋体" w:eastAsia="黑体" w:cs="黑体"/>
          <w:color w:val="000000"/>
          <w:sz w:val="44"/>
          <w:szCs w:val="44"/>
        </w:rPr>
        <w:t>四章 采购需求</w:t>
      </w:r>
      <w:bookmarkEnd w:id="193"/>
      <w:bookmarkEnd w:id="194"/>
      <w:bookmarkEnd w:id="195"/>
      <w:bookmarkEnd w:id="196"/>
      <w:bookmarkEnd w:id="197"/>
    </w:p>
    <w:p w14:paraId="5A2229C0">
      <w:pPr>
        <w:pStyle w:val="11"/>
        <w:spacing w:beforeAutospacing="0" w:afterAutospacing="0" w:line="0" w:lineRule="atLeast"/>
        <w:jc w:val="both"/>
        <w:rPr>
          <w:rFonts w:hint="eastAsia" w:ascii="宋体" w:hAnsi="宋体" w:eastAsia="宋体" w:cs="宋体"/>
          <w:color w:val="000000"/>
        </w:rPr>
      </w:pPr>
      <w:bookmarkStart w:id="199" w:name="_Toc49090575"/>
      <w:bookmarkStart w:id="200" w:name="_Toc26554093"/>
      <w:r>
        <w:rPr>
          <w:rFonts w:hint="eastAsia" w:ascii="宋体" w:hAnsi="宋体" w:eastAsia="宋体" w:cs="宋体"/>
          <w:color w:val="000000"/>
        </w:rPr>
        <w:t>项目属性</w:t>
      </w:r>
      <w:r>
        <w:rPr>
          <w:rFonts w:hint="eastAsia" w:ascii="宋体" w:hAnsi="宋体" w:eastAsia="宋体" w:cs="宋体"/>
          <w:color w:val="000000"/>
          <w:lang w:eastAsia="zh-CN"/>
        </w:rPr>
        <w:t>：</w:t>
      </w:r>
      <w:r>
        <w:rPr>
          <w:rFonts w:hint="eastAsia" w:ascii="宋体" w:hAnsi="宋体" w:eastAsia="宋体" w:cs="宋体"/>
          <w:color w:val="000000"/>
        </w:rPr>
        <w:t>服务类项目。</w:t>
      </w:r>
      <w:bookmarkEnd w:id="199"/>
      <w:bookmarkEnd w:id="200"/>
    </w:p>
    <w:p w14:paraId="4178D05C">
      <w:pPr>
        <w:autoSpaceDE w:val="0"/>
        <w:autoSpaceDN w:val="0"/>
        <w:adjustRightInd w:val="0"/>
        <w:spacing w:line="360" w:lineRule="auto"/>
        <w:ind w:firstLine="482" w:firstLineChars="200"/>
        <w:rPr>
          <w:rStyle w:val="21"/>
          <w:rFonts w:ascii="宋体" w:hAnsi="宋体" w:eastAsia="宋体" w:cs="Times New Roman"/>
          <w:b/>
          <w:sz w:val="24"/>
          <w:highlight w:val="none"/>
        </w:rPr>
      </w:pPr>
      <w:r>
        <w:rPr>
          <w:rStyle w:val="21"/>
          <w:rFonts w:hint="eastAsia" w:ascii="宋体" w:hAnsi="宋体" w:eastAsia="宋体" w:cs="Times New Roman"/>
          <w:b/>
          <w:sz w:val="24"/>
          <w:highlight w:val="none"/>
        </w:rPr>
        <w:t>一、工作内容</w:t>
      </w:r>
    </w:p>
    <w:p w14:paraId="75A996FA">
      <w:pPr>
        <w:spacing w:line="360" w:lineRule="auto"/>
        <w:ind w:firstLine="480" w:firstLineChars="200"/>
        <w:rPr>
          <w:rFonts w:ascii="宋体" w:hAnsi="宋体"/>
          <w:sz w:val="24"/>
          <w:highlight w:val="none"/>
        </w:rPr>
      </w:pPr>
      <w:r>
        <w:rPr>
          <w:rFonts w:hint="eastAsia" w:ascii="宋体" w:hAnsi="宋体"/>
          <w:sz w:val="24"/>
          <w:highlight w:val="none"/>
        </w:rPr>
        <w:t>按照江苏省农业农村厅、江苏省生态环境厅、江苏省自然资源厅《拟开垦为耕地的复垦土地及未利用地土壤污染状况调查技术指南（试行）》要求，对响水县2024年度通过市局立项的耕地占补平衡项目新增耕地</w:t>
      </w:r>
      <w:r>
        <w:rPr>
          <w:rFonts w:hint="eastAsia" w:ascii="宋体" w:hAnsi="宋体"/>
          <w:sz w:val="24"/>
          <w:highlight w:val="none"/>
          <w:lang w:eastAsia="zh-CN"/>
        </w:rPr>
        <w:t>（</w:t>
      </w:r>
      <w:r>
        <w:rPr>
          <w:rFonts w:hint="eastAsia" w:ascii="宋体" w:hAnsi="宋体"/>
          <w:sz w:val="24"/>
          <w:highlight w:val="none"/>
        </w:rPr>
        <w:t>预计4000亩</w:t>
      </w:r>
      <w:r>
        <w:rPr>
          <w:rFonts w:hint="eastAsia" w:ascii="宋体" w:hAnsi="宋体"/>
          <w:sz w:val="24"/>
          <w:highlight w:val="none"/>
          <w:lang w:eastAsia="zh-CN"/>
        </w:rPr>
        <w:t>）</w:t>
      </w:r>
      <w:r>
        <w:rPr>
          <w:rFonts w:hint="eastAsia" w:ascii="宋体" w:hAnsi="宋体"/>
          <w:sz w:val="24"/>
          <w:highlight w:val="none"/>
        </w:rPr>
        <w:t>进行实地取样调查评估，并编制报告。配合县局、自然资源所做好县级、市级验收工作并整理制作装订完善电子资料。</w:t>
      </w:r>
    </w:p>
    <w:p w14:paraId="48680AE5">
      <w:pPr>
        <w:autoSpaceDE w:val="0"/>
        <w:autoSpaceDN w:val="0"/>
        <w:adjustRightInd w:val="0"/>
        <w:spacing w:line="360" w:lineRule="auto"/>
        <w:ind w:firstLine="482" w:firstLineChars="200"/>
        <w:rPr>
          <w:rStyle w:val="21"/>
          <w:rFonts w:ascii="宋体" w:hAnsi="宋体" w:eastAsia="宋体" w:cs="Times New Roman"/>
          <w:b/>
          <w:sz w:val="24"/>
          <w:highlight w:val="none"/>
        </w:rPr>
      </w:pPr>
      <w:r>
        <w:rPr>
          <w:rStyle w:val="21"/>
          <w:rFonts w:hint="eastAsia" w:ascii="宋体" w:hAnsi="宋体" w:eastAsia="宋体" w:cs="Times New Roman"/>
          <w:b/>
          <w:sz w:val="24"/>
          <w:highlight w:val="none"/>
        </w:rPr>
        <w:t>二、主要技术要求</w:t>
      </w:r>
    </w:p>
    <w:p w14:paraId="7296B942">
      <w:pPr>
        <w:snapToGrid w:val="0"/>
        <w:spacing w:line="360" w:lineRule="auto"/>
        <w:ind w:firstLine="480" w:firstLineChars="200"/>
        <w:rPr>
          <w:rFonts w:hint="eastAsia" w:ascii="宋体" w:hAnsi="宋体"/>
          <w:sz w:val="24"/>
          <w:highlight w:val="none"/>
        </w:rPr>
      </w:pPr>
      <w:r>
        <w:rPr>
          <w:rFonts w:hint="eastAsia" w:ascii="宋体" w:hAnsi="宋体"/>
          <w:sz w:val="24"/>
          <w:highlight w:val="none"/>
        </w:rPr>
        <w:t>1.按照《拟开垦为耕地的复垦土地及未利用地土壤污染状况调查技术指南（试行）》（苏农建〔2023〕1号）（以下简称“指南”）等相关规范和指南开展本次招标范围内耕地占补平衡项目新增耕地立项前土壤污染状况调查工作。</w:t>
      </w:r>
    </w:p>
    <w:p w14:paraId="13C30C3C">
      <w:pPr>
        <w:pStyle w:val="12"/>
        <w:spacing w:after="0" w:line="360" w:lineRule="auto"/>
        <w:ind w:firstLine="480" w:firstLineChars="200"/>
        <w:rPr>
          <w:rFonts w:hint="eastAsia" w:ascii="宋体" w:hAnsi="宋体" w:eastAsiaTheme="minorEastAsia"/>
          <w:sz w:val="24"/>
          <w:szCs w:val="24"/>
          <w:highlight w:val="none"/>
        </w:rPr>
      </w:pPr>
      <w:r>
        <w:rPr>
          <w:rFonts w:hint="eastAsia" w:ascii="宋体" w:hAnsi="宋体" w:eastAsiaTheme="minorEastAsia"/>
          <w:sz w:val="24"/>
          <w:szCs w:val="24"/>
          <w:highlight w:val="none"/>
        </w:rPr>
        <w:t>（1）第一阶段污染状况调查。根据调查对象，按照“指南”开展第一阶段污染状况调查，进行资料收集、现场踏勘、周边污染影响分析及人员访谈，初步分析判断污染状况。同时需填写好现场踏勘和人员访谈记录等材料。</w:t>
      </w:r>
    </w:p>
    <w:p w14:paraId="3CB91DFB">
      <w:pPr>
        <w:pStyle w:val="12"/>
        <w:spacing w:after="0" w:line="360" w:lineRule="auto"/>
        <w:ind w:firstLine="480" w:firstLineChars="200"/>
        <w:rPr>
          <w:rFonts w:hint="eastAsia" w:ascii="宋体" w:hAnsi="宋体" w:eastAsiaTheme="minorEastAsia"/>
          <w:sz w:val="24"/>
          <w:szCs w:val="24"/>
          <w:highlight w:val="none"/>
        </w:rPr>
      </w:pPr>
      <w:r>
        <w:rPr>
          <w:rFonts w:hint="eastAsia" w:ascii="宋体" w:hAnsi="宋体" w:eastAsiaTheme="minorEastAsia"/>
          <w:sz w:val="24"/>
          <w:szCs w:val="24"/>
          <w:highlight w:val="none"/>
        </w:rPr>
        <w:t>（2）第二阶段污染状况调查。对需要进入第二阶段的所有地块均布设点位采样。严格按照“指南”分类编制布点采样调查方案，开展土壤样品采集、保存、存储、分析测试，并开展全流程质控，开展数据评价。</w:t>
      </w:r>
    </w:p>
    <w:p w14:paraId="5D915A1D">
      <w:pPr>
        <w:pStyle w:val="12"/>
        <w:spacing w:after="0" w:line="360" w:lineRule="auto"/>
        <w:ind w:firstLine="240"/>
        <w:rPr>
          <w:rFonts w:hint="eastAsia" w:ascii="宋体" w:hAnsi="宋体"/>
          <w:sz w:val="24"/>
          <w:highlight w:val="none"/>
        </w:rPr>
      </w:pPr>
      <w:r>
        <w:rPr>
          <w:rFonts w:hint="eastAsia" w:ascii="宋体" w:hAnsi="宋体" w:eastAsiaTheme="minorEastAsia"/>
          <w:sz w:val="24"/>
          <w:szCs w:val="24"/>
          <w:highlight w:val="none"/>
        </w:rPr>
        <w:t xml:space="preserve"> </w:t>
      </w:r>
      <w:r>
        <w:rPr>
          <w:rFonts w:hint="eastAsia" w:ascii="宋体" w:hAnsi="宋体"/>
          <w:sz w:val="24"/>
          <w:highlight w:val="none"/>
        </w:rPr>
        <w:t>2.样品检测严格按照《拟开垦为耕地的复垦土地及未利用地土壤污染状况调查技术指南（试行）》执行，土壤样品检测机构需具备相关检测项认证。土壤样品测试项目应包括《土壤环境质量 农用地土壤污染风险管控标准</w:t>
      </w:r>
      <w:r>
        <w:rPr>
          <w:rFonts w:hint="eastAsia" w:ascii="宋体" w:hAnsi="宋体"/>
          <w:sz w:val="24"/>
          <w:highlight w:val="none"/>
          <w:lang w:eastAsia="zh-CN"/>
        </w:rPr>
        <w:t>（</w:t>
      </w:r>
      <w:r>
        <w:rPr>
          <w:rFonts w:hint="eastAsia" w:ascii="宋体" w:hAnsi="宋体"/>
          <w:sz w:val="24"/>
          <w:highlight w:val="none"/>
        </w:rPr>
        <w:t>试行）》</w:t>
      </w:r>
      <w:r>
        <w:rPr>
          <w:rFonts w:hint="eastAsia" w:ascii="宋体" w:hAnsi="宋体"/>
          <w:sz w:val="24"/>
          <w:highlight w:val="none"/>
          <w:lang w:eastAsia="zh-CN"/>
        </w:rPr>
        <w:t>（</w:t>
      </w:r>
      <w:r>
        <w:rPr>
          <w:rFonts w:hint="eastAsia" w:ascii="宋体" w:hAnsi="宋体"/>
          <w:sz w:val="24"/>
          <w:highlight w:val="none"/>
        </w:rPr>
        <w:t>GB 15618）中的基本项目及地块特征污染物。</w:t>
      </w:r>
    </w:p>
    <w:p w14:paraId="1636F70B">
      <w:pPr>
        <w:autoSpaceDE w:val="0"/>
        <w:autoSpaceDN w:val="0"/>
        <w:adjustRightInd w:val="0"/>
        <w:spacing w:line="360" w:lineRule="auto"/>
        <w:ind w:firstLine="482" w:firstLineChars="200"/>
        <w:rPr>
          <w:rStyle w:val="21"/>
          <w:rFonts w:eastAsia="宋体" w:cs="Times New Roman"/>
          <w:b/>
          <w:sz w:val="24"/>
          <w:highlight w:val="none"/>
        </w:rPr>
      </w:pPr>
      <w:r>
        <w:rPr>
          <w:rStyle w:val="21"/>
          <w:rFonts w:eastAsia="宋体" w:cs="Times New Roman"/>
          <w:b/>
          <w:sz w:val="24"/>
          <w:highlight w:val="none"/>
        </w:rPr>
        <w:t>三、成果要求</w:t>
      </w:r>
    </w:p>
    <w:p w14:paraId="7CD2DF5A">
      <w:pPr>
        <w:snapToGrid w:val="0"/>
        <w:spacing w:line="360" w:lineRule="auto"/>
        <w:ind w:firstLine="480" w:firstLineChars="200"/>
        <w:rPr>
          <w:rFonts w:hint="eastAsia" w:ascii="宋体" w:hAnsi="宋体"/>
          <w:sz w:val="24"/>
          <w:highlight w:val="none"/>
        </w:rPr>
      </w:pPr>
      <w:r>
        <w:rPr>
          <w:rFonts w:hint="eastAsia" w:ascii="宋体" w:hAnsi="宋体"/>
          <w:sz w:val="24"/>
          <w:highlight w:val="none"/>
        </w:rPr>
        <w:t>依照调查情况、土样检测情况等，结合 “指南”要求，编制耕地占补平衡新增耕地土壤污染状况调查报告，并通过主管部门组织的专家评审。</w:t>
      </w:r>
    </w:p>
    <w:p w14:paraId="7A006A70">
      <w:pPr>
        <w:keepNext w:val="0"/>
        <w:keepLines w:val="0"/>
        <w:pageBreakBefore w:val="0"/>
        <w:widowControl w:val="0"/>
        <w:kinsoku/>
        <w:wordWrap/>
        <w:overflowPunct/>
        <w:topLinePunct w:val="0"/>
        <w:autoSpaceDE w:val="0"/>
        <w:autoSpaceDN w:val="0"/>
        <w:bidi w:val="0"/>
        <w:adjustRightInd w:val="0"/>
        <w:spacing w:line="560" w:lineRule="exact"/>
        <w:ind w:firstLine="482" w:firstLineChars="200"/>
        <w:textAlignment w:val="auto"/>
        <w:rPr>
          <w:rStyle w:val="21"/>
          <w:rFonts w:hint="eastAsia" w:ascii="宋体" w:hAnsi="宋体" w:eastAsia="宋体" w:cs="Times New Roman"/>
          <w:b/>
          <w:i w:val="0"/>
          <w:caps w:val="0"/>
          <w:spacing w:val="0"/>
          <w:w w:val="100"/>
          <w:kern w:val="2"/>
          <w:sz w:val="24"/>
          <w:szCs w:val="24"/>
          <w:lang w:val="en-US" w:eastAsia="zh-CN" w:bidi="ar-SA"/>
        </w:rPr>
      </w:pPr>
      <w:r>
        <w:rPr>
          <w:rStyle w:val="21"/>
          <w:rFonts w:hint="eastAsia" w:ascii="宋体" w:hAnsi="宋体" w:eastAsia="宋体" w:cs="Times New Roman"/>
          <w:b/>
          <w:i w:val="0"/>
          <w:caps w:val="0"/>
          <w:spacing w:val="0"/>
          <w:w w:val="100"/>
          <w:kern w:val="2"/>
          <w:sz w:val="24"/>
          <w:szCs w:val="24"/>
          <w:lang w:val="en-US" w:eastAsia="zh-CN" w:bidi="ar-SA"/>
        </w:rPr>
        <w:t>四、保密措施要求</w:t>
      </w:r>
    </w:p>
    <w:p w14:paraId="7873CC36">
      <w:pPr>
        <w:keepNext w:val="0"/>
        <w:keepLines w:val="0"/>
        <w:pageBreakBefore w:val="0"/>
        <w:widowControl w:val="0"/>
        <w:kinsoku/>
        <w:wordWrap/>
        <w:overflowPunct/>
        <w:topLinePunct w:val="0"/>
        <w:bidi w:val="0"/>
        <w:snapToGrid w:val="0"/>
        <w:spacing w:line="560" w:lineRule="exact"/>
        <w:ind w:firstLine="480" w:firstLineChars="200"/>
        <w:textAlignment w:val="auto"/>
        <w:rPr>
          <w:rFonts w:hint="eastAsia" w:ascii="宋体" w:hAnsi="宋体"/>
          <w:sz w:val="24"/>
          <w:lang w:eastAsia="zh-CN"/>
        </w:rPr>
      </w:pPr>
      <w:r>
        <w:rPr>
          <w:rFonts w:hint="eastAsia" w:ascii="宋体" w:hAnsi="宋体"/>
          <w:sz w:val="24"/>
        </w:rPr>
        <w:t>建立工作保密责任制，参与耕地占补</w:t>
      </w:r>
      <w:r>
        <w:rPr>
          <w:rFonts w:hint="eastAsia" w:ascii="宋体" w:hAnsi="宋体"/>
          <w:sz w:val="24"/>
          <w:lang w:eastAsia="zh-CN"/>
        </w:rPr>
        <w:t>平衡</w:t>
      </w:r>
      <w:r>
        <w:rPr>
          <w:rFonts w:hint="eastAsia" w:ascii="宋体" w:hAnsi="宋体"/>
          <w:sz w:val="24"/>
        </w:rPr>
        <w:t>项目新增耕地土壤检测与数据汇总等环节的人员，签订检测数据保密协议</w:t>
      </w:r>
      <w:r>
        <w:rPr>
          <w:rFonts w:hint="eastAsia" w:ascii="宋体" w:hAnsi="宋体"/>
          <w:sz w:val="24"/>
          <w:lang w:eastAsia="zh-CN"/>
        </w:rPr>
        <w:t>。</w:t>
      </w:r>
    </w:p>
    <w:p w14:paraId="6BE44917">
      <w:pPr>
        <w:pStyle w:val="11"/>
        <w:spacing w:beforeAutospacing="0" w:afterAutospacing="0" w:line="0" w:lineRule="atLeast"/>
        <w:jc w:val="both"/>
      </w:pPr>
    </w:p>
    <w:p w14:paraId="15E057B9">
      <w:pPr>
        <w:pStyle w:val="11"/>
        <w:spacing w:beforeAutospacing="0" w:afterAutospacing="0" w:line="0" w:lineRule="atLeast"/>
        <w:ind w:firstLine="241" w:firstLineChars="100"/>
        <w:jc w:val="both"/>
        <w:rPr>
          <w:rStyle w:val="21"/>
          <w:rFonts w:hint="eastAsia" w:ascii="宋体" w:hAnsi="宋体" w:eastAsia="宋体" w:cs="Times New Roman"/>
          <w:b/>
          <w:i w:val="0"/>
          <w:caps w:val="0"/>
          <w:spacing w:val="0"/>
          <w:w w:val="100"/>
          <w:sz w:val="24"/>
        </w:rPr>
      </w:pPr>
      <w:r>
        <w:rPr>
          <w:rStyle w:val="21"/>
          <w:rFonts w:hint="eastAsia" w:ascii="宋体" w:hAnsi="宋体" w:eastAsia="宋体" w:cs="Times New Roman"/>
          <w:b/>
          <w:i w:val="0"/>
          <w:caps w:val="0"/>
          <w:spacing w:val="0"/>
          <w:w w:val="100"/>
          <w:sz w:val="24"/>
          <w:lang w:val="en-US" w:eastAsia="zh-CN"/>
        </w:rPr>
        <w:t>五</w:t>
      </w:r>
      <w:r>
        <w:rPr>
          <w:rStyle w:val="21"/>
          <w:rFonts w:hint="eastAsia" w:ascii="宋体" w:hAnsi="宋体" w:eastAsia="宋体" w:cs="Times New Roman"/>
          <w:b/>
          <w:i w:val="0"/>
          <w:caps w:val="0"/>
          <w:spacing w:val="0"/>
          <w:w w:val="100"/>
          <w:sz w:val="24"/>
        </w:rPr>
        <w:t>、采购标的对应的中小企业划分标准所属行业一览表</w:t>
      </w:r>
    </w:p>
    <w:tbl>
      <w:tblPr>
        <w:tblStyle w:val="14"/>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4E0BDC31">
        <w:tblPrEx>
          <w:tblCellMar>
            <w:top w:w="0" w:type="dxa"/>
            <w:left w:w="108" w:type="dxa"/>
            <w:bottom w:w="0" w:type="dxa"/>
            <w:right w:w="108" w:type="dxa"/>
          </w:tblCellMar>
        </w:tblPrEx>
        <w:trPr>
          <w:trHeight w:val="90"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EB0E">
            <w:pPr>
              <w:pStyle w:val="11"/>
              <w:spacing w:beforeAutospacing="0" w:afterAutospacing="0" w:line="0" w:lineRule="atLeast"/>
              <w:jc w:val="center"/>
              <w:rPr>
                <w:color w:val="auto"/>
              </w:rPr>
            </w:pPr>
            <w:r>
              <w:rPr>
                <w:rFonts w:hint="eastAsia" w:ascii="宋体" w:hAnsi="宋体" w:eastAsia="宋体" w:cs="宋体"/>
                <w:color w:val="auto"/>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D56B">
            <w:pPr>
              <w:pStyle w:val="11"/>
              <w:spacing w:beforeAutospacing="0" w:afterAutospacing="0" w:line="0" w:lineRule="atLeast"/>
              <w:jc w:val="center"/>
              <w:rPr>
                <w:color w:val="auto"/>
              </w:rPr>
            </w:pPr>
            <w:r>
              <w:rPr>
                <w:rFonts w:hint="eastAsia" w:ascii="宋体" w:hAnsi="宋体" w:eastAsia="宋体" w:cs="宋体"/>
                <w:color w:val="auto"/>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31F1">
            <w:pPr>
              <w:pStyle w:val="11"/>
              <w:spacing w:beforeAutospacing="0" w:afterAutospacing="0" w:line="0" w:lineRule="atLeast"/>
              <w:jc w:val="center"/>
              <w:rPr>
                <w:color w:val="auto"/>
              </w:rPr>
            </w:pPr>
            <w:r>
              <w:rPr>
                <w:rFonts w:hint="eastAsia" w:ascii="宋体" w:hAnsi="宋体" w:eastAsia="宋体" w:cs="宋体"/>
                <w:color w:val="auto"/>
              </w:rPr>
              <w:t>对应中小企业划分标准所属行业</w:t>
            </w:r>
          </w:p>
        </w:tc>
      </w:tr>
      <w:tr w14:paraId="27BCD109">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20F2">
            <w:pPr>
              <w:pStyle w:val="11"/>
              <w:spacing w:beforeAutospacing="0" w:afterAutospacing="0" w:line="0" w:lineRule="atLeast"/>
              <w:jc w:val="center"/>
              <w:rPr>
                <w:color w:val="auto"/>
              </w:rPr>
            </w:pPr>
            <w:r>
              <w:rPr>
                <w:rFonts w:hint="eastAsia" w:ascii="宋体" w:hAnsi="宋体" w:eastAsia="宋体" w:cs="宋体"/>
                <w:color w:val="auto"/>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D806">
            <w:pPr>
              <w:pStyle w:val="11"/>
              <w:spacing w:beforeAutospacing="0" w:afterAutospacing="0" w:line="0" w:lineRule="atLeast"/>
              <w:jc w:val="center"/>
              <w:rPr>
                <w:color w:val="auto"/>
              </w:rPr>
            </w:pPr>
            <w:r>
              <w:rPr>
                <w:rFonts w:hint="eastAsia"/>
                <w:color w:val="auto"/>
                <w:lang w:val="en-US" w:eastAsia="zh-CN"/>
              </w:rPr>
              <w:t>新增耕地状况调查评估</w:t>
            </w:r>
            <w:r>
              <w:rPr>
                <w:color w:val="auto"/>
              </w:rP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4444">
            <w:pPr>
              <w:pStyle w:val="11"/>
              <w:spacing w:beforeAutospacing="0" w:afterAutospacing="0" w:line="0" w:lineRule="atLeast"/>
              <w:jc w:val="center"/>
              <w:rPr>
                <w:rFonts w:hint="default" w:eastAsiaTheme="minorEastAsia"/>
                <w:color w:val="auto"/>
                <w:lang w:val="en-US" w:eastAsia="zh-CN"/>
              </w:rPr>
            </w:pPr>
            <w:r>
              <w:rPr>
                <w:color w:val="auto"/>
              </w:rPr>
              <w:t> </w:t>
            </w:r>
            <w:r>
              <w:rPr>
                <w:rFonts w:hint="eastAsia"/>
                <w:color w:val="auto"/>
                <w:lang w:val="en-US" w:eastAsia="zh-CN"/>
              </w:rPr>
              <w:t>其他未列明行业</w:t>
            </w:r>
          </w:p>
        </w:tc>
      </w:tr>
    </w:tbl>
    <w:p w14:paraId="3CF5098F">
      <w:pPr>
        <w:pStyle w:val="11"/>
        <w:spacing w:beforeAutospacing="0" w:afterAutospacing="0" w:line="0" w:lineRule="atLeast"/>
        <w:ind w:firstLine="480"/>
        <w:jc w:val="both"/>
      </w:pPr>
      <w:r>
        <w:t> </w:t>
      </w:r>
    </w:p>
    <w:p w14:paraId="7D1661EC">
      <w:pPr>
        <w:pStyle w:val="11"/>
        <w:spacing w:beforeAutospacing="0" w:afterAutospacing="0"/>
        <w:ind w:firstLine="602"/>
        <w:jc w:val="both"/>
      </w:pPr>
      <w:r>
        <w:t> </w:t>
      </w:r>
    </w:p>
    <w:p w14:paraId="02C08671">
      <w:pPr>
        <w:pStyle w:val="11"/>
        <w:spacing w:beforeAutospacing="0" w:afterAutospacing="0"/>
        <w:jc w:val="both"/>
      </w:pPr>
      <w:r>
        <w:t> </w:t>
      </w:r>
    </w:p>
    <w:p w14:paraId="5C177525">
      <w:pPr>
        <w:pStyle w:val="11"/>
        <w:tabs>
          <w:tab w:val="left" w:pos="6205"/>
        </w:tabs>
        <w:spacing w:beforeAutospacing="0" w:afterAutospacing="0"/>
        <w:jc w:val="both"/>
      </w:pPr>
      <w:r>
        <w:t> </w:t>
      </w:r>
    </w:p>
    <w:p w14:paraId="633E5F8E">
      <w:pPr>
        <w:pStyle w:val="11"/>
        <w:keepNext/>
        <w:spacing w:beforeAutospacing="0" w:afterAutospacing="0"/>
        <w:jc w:val="center"/>
      </w:pPr>
      <w:bookmarkStart w:id="201" w:name="_Toc120614281"/>
      <w:r>
        <w:t> </w:t>
      </w:r>
    </w:p>
    <w:p w14:paraId="6E30FB77">
      <w:pPr>
        <w:pStyle w:val="11"/>
        <w:spacing w:beforeAutospacing="0" w:afterAutospacing="0"/>
        <w:jc w:val="both"/>
      </w:pPr>
      <w:r>
        <w:t> </w:t>
      </w:r>
    </w:p>
    <w:p w14:paraId="14C36B26">
      <w:pPr>
        <w:pStyle w:val="11"/>
        <w:spacing w:beforeAutospacing="0" w:afterAutospacing="0"/>
        <w:jc w:val="both"/>
      </w:pPr>
    </w:p>
    <w:p w14:paraId="7F6D74FE">
      <w:pPr>
        <w:pStyle w:val="11"/>
        <w:spacing w:beforeAutospacing="0" w:afterAutospacing="0"/>
        <w:jc w:val="both"/>
      </w:pPr>
    </w:p>
    <w:p w14:paraId="0C20522C">
      <w:pPr>
        <w:pStyle w:val="11"/>
        <w:spacing w:beforeAutospacing="0" w:afterAutospacing="0"/>
        <w:jc w:val="both"/>
      </w:pPr>
    </w:p>
    <w:p w14:paraId="1B0A270C">
      <w:pPr>
        <w:pStyle w:val="11"/>
        <w:spacing w:beforeAutospacing="0" w:afterAutospacing="0"/>
        <w:jc w:val="both"/>
      </w:pPr>
    </w:p>
    <w:p w14:paraId="7B00B142">
      <w:pPr>
        <w:pStyle w:val="11"/>
        <w:spacing w:beforeAutospacing="0" w:afterAutospacing="0"/>
        <w:jc w:val="both"/>
      </w:pPr>
    </w:p>
    <w:p w14:paraId="5E39FAAA">
      <w:pPr>
        <w:pStyle w:val="11"/>
        <w:spacing w:beforeAutospacing="0" w:afterAutospacing="0"/>
        <w:jc w:val="both"/>
      </w:pPr>
    </w:p>
    <w:p w14:paraId="1E537002">
      <w:pPr>
        <w:pStyle w:val="11"/>
        <w:spacing w:beforeAutospacing="0" w:afterAutospacing="0"/>
        <w:jc w:val="both"/>
      </w:pPr>
    </w:p>
    <w:p w14:paraId="2A4D12D4">
      <w:pPr>
        <w:pStyle w:val="11"/>
        <w:spacing w:beforeAutospacing="0" w:afterAutospacing="0"/>
        <w:jc w:val="both"/>
      </w:pPr>
    </w:p>
    <w:p w14:paraId="04B59675">
      <w:pPr>
        <w:pStyle w:val="11"/>
        <w:spacing w:beforeAutospacing="0" w:afterAutospacing="0"/>
        <w:jc w:val="both"/>
      </w:pPr>
    </w:p>
    <w:p w14:paraId="6F05F7D0">
      <w:pPr>
        <w:pStyle w:val="11"/>
        <w:spacing w:beforeAutospacing="0" w:afterAutospacing="0"/>
        <w:jc w:val="both"/>
      </w:pPr>
    </w:p>
    <w:p w14:paraId="18F86B07">
      <w:pPr>
        <w:pStyle w:val="11"/>
        <w:spacing w:beforeAutospacing="0" w:afterAutospacing="0"/>
        <w:jc w:val="both"/>
      </w:pPr>
    </w:p>
    <w:p w14:paraId="0C9EE40E">
      <w:pPr>
        <w:pStyle w:val="11"/>
        <w:spacing w:beforeAutospacing="0" w:afterAutospacing="0"/>
        <w:jc w:val="both"/>
      </w:pPr>
    </w:p>
    <w:p w14:paraId="184C6477">
      <w:pPr>
        <w:pStyle w:val="11"/>
        <w:spacing w:beforeAutospacing="0" w:afterAutospacing="0"/>
        <w:jc w:val="both"/>
      </w:pPr>
    </w:p>
    <w:p w14:paraId="39808FA8">
      <w:pPr>
        <w:pStyle w:val="11"/>
        <w:spacing w:beforeAutospacing="0" w:afterAutospacing="0"/>
        <w:jc w:val="both"/>
      </w:pPr>
    </w:p>
    <w:p w14:paraId="1E22D70A">
      <w:pPr>
        <w:pStyle w:val="11"/>
        <w:spacing w:beforeAutospacing="0" w:afterAutospacing="0"/>
        <w:jc w:val="both"/>
      </w:pPr>
    </w:p>
    <w:p w14:paraId="41EC42ED">
      <w:pPr>
        <w:pStyle w:val="11"/>
        <w:spacing w:beforeAutospacing="0" w:afterAutospacing="0"/>
        <w:jc w:val="both"/>
      </w:pPr>
    </w:p>
    <w:p w14:paraId="5AFCEBB8">
      <w:pPr>
        <w:pStyle w:val="11"/>
        <w:spacing w:beforeAutospacing="0" w:afterAutospacing="0"/>
        <w:jc w:val="both"/>
      </w:pPr>
    </w:p>
    <w:p w14:paraId="3B07CA40">
      <w:pPr>
        <w:pStyle w:val="11"/>
        <w:spacing w:beforeAutospacing="0" w:afterAutospacing="0"/>
        <w:jc w:val="both"/>
      </w:pPr>
    </w:p>
    <w:p w14:paraId="5E1DFE6A">
      <w:pPr>
        <w:pStyle w:val="11"/>
        <w:spacing w:beforeAutospacing="0" w:afterAutospacing="0"/>
        <w:jc w:val="both"/>
      </w:pPr>
    </w:p>
    <w:p w14:paraId="078A984D">
      <w:pPr>
        <w:pStyle w:val="11"/>
        <w:spacing w:beforeAutospacing="0" w:afterAutospacing="0"/>
        <w:jc w:val="both"/>
      </w:pPr>
    </w:p>
    <w:p w14:paraId="5ADB9DBC">
      <w:pPr>
        <w:pStyle w:val="11"/>
        <w:spacing w:beforeAutospacing="0" w:afterAutospacing="0"/>
        <w:jc w:val="both"/>
      </w:pPr>
    </w:p>
    <w:p w14:paraId="76ABE123">
      <w:pPr>
        <w:pStyle w:val="11"/>
        <w:spacing w:beforeAutospacing="0" w:afterAutospacing="0"/>
        <w:jc w:val="both"/>
      </w:pPr>
    </w:p>
    <w:p w14:paraId="2530B58C">
      <w:pPr>
        <w:pStyle w:val="11"/>
        <w:spacing w:beforeAutospacing="0" w:afterAutospacing="0"/>
        <w:jc w:val="both"/>
      </w:pPr>
    </w:p>
    <w:p w14:paraId="5892136E">
      <w:pPr>
        <w:pStyle w:val="11"/>
        <w:spacing w:beforeAutospacing="0" w:afterAutospacing="0"/>
        <w:jc w:val="both"/>
      </w:pPr>
    </w:p>
    <w:p w14:paraId="7721982E">
      <w:pPr>
        <w:pStyle w:val="11"/>
        <w:spacing w:beforeAutospacing="0" w:afterAutospacing="0"/>
        <w:jc w:val="both"/>
      </w:pPr>
    </w:p>
    <w:p w14:paraId="65894E7C">
      <w:pPr>
        <w:pStyle w:val="11"/>
        <w:spacing w:beforeAutospacing="0" w:afterAutospacing="0"/>
        <w:jc w:val="both"/>
      </w:pPr>
    </w:p>
    <w:p w14:paraId="7D0B2E6D">
      <w:pPr>
        <w:pStyle w:val="11"/>
        <w:spacing w:beforeAutospacing="0" w:afterAutospacing="0"/>
        <w:jc w:val="both"/>
      </w:pPr>
    </w:p>
    <w:p w14:paraId="79A3C8F6">
      <w:pPr>
        <w:pStyle w:val="11"/>
        <w:spacing w:beforeAutospacing="0" w:afterAutospacing="0"/>
        <w:jc w:val="both"/>
      </w:pPr>
    </w:p>
    <w:p w14:paraId="3F7576E4">
      <w:pPr>
        <w:pStyle w:val="11"/>
        <w:spacing w:beforeAutospacing="0" w:afterAutospacing="0"/>
        <w:jc w:val="both"/>
      </w:pPr>
    </w:p>
    <w:p w14:paraId="4A3FF9AF">
      <w:pPr>
        <w:pStyle w:val="11"/>
        <w:spacing w:beforeAutospacing="0" w:afterAutospacing="0"/>
        <w:jc w:val="both"/>
      </w:pPr>
    </w:p>
    <w:p w14:paraId="5CAC8120">
      <w:pPr>
        <w:pStyle w:val="11"/>
        <w:spacing w:beforeAutospacing="0" w:afterAutospacing="0"/>
        <w:jc w:val="both"/>
      </w:pPr>
      <w:r>
        <w:t> </w:t>
      </w:r>
    </w:p>
    <w:p w14:paraId="2086BB84">
      <w:pPr>
        <w:pStyle w:val="11"/>
        <w:keepNext/>
        <w:spacing w:beforeAutospacing="0" w:afterAutospacing="0"/>
        <w:jc w:val="center"/>
      </w:pPr>
      <w:r>
        <w:t> </w:t>
      </w:r>
    </w:p>
    <w:p w14:paraId="44B59BC6">
      <w:pPr>
        <w:pStyle w:val="11"/>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137B254E">
      <w:pPr>
        <w:pStyle w:val="11"/>
        <w:spacing w:beforeAutospacing="0" w:afterAutospacing="0"/>
        <w:ind w:firstLine="480" w:firstLineChars="200"/>
        <w:jc w:val="both"/>
        <w:rPr>
          <w:rFonts w:hint="default" w:eastAsiaTheme="minorEastAsia"/>
          <w:lang w:val="en-US" w:eastAsia="zh-CN"/>
        </w:rPr>
      </w:pPr>
      <w:r>
        <w:t> </w:t>
      </w:r>
      <w:r>
        <w:rPr>
          <w:rFonts w:hint="eastAsia" w:ascii="宋体" w:hAnsi="宋体" w:eastAsia="宋体" w:cs="宋体"/>
          <w:b/>
          <w:color w:val="000000"/>
          <w:lang w:val="en-US" w:eastAsia="zh-CN"/>
        </w:rPr>
        <w:t>一、定标原则</w:t>
      </w:r>
    </w:p>
    <w:p w14:paraId="2D49EA5D">
      <w:pPr>
        <w:pStyle w:val="11"/>
        <w:spacing w:before="120" w:beforeAutospacing="0" w:after="120" w:afterAutospacing="0" w:line="360" w:lineRule="auto"/>
        <w:ind w:firstLine="439"/>
      </w:pPr>
      <w:r>
        <w:rPr>
          <w:rFonts w:ascii="Arial" w:hAnsi="Arial"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12E5A5DB">
      <w:pPr>
        <w:pStyle w:val="11"/>
        <w:spacing w:before="120" w:beforeAutospacing="0" w:after="120" w:afterAutospacing="0" w:line="360" w:lineRule="auto"/>
        <w:ind w:firstLine="441"/>
      </w:pPr>
      <w:r>
        <w:rPr>
          <w:rFonts w:hint="eastAsia" w:ascii="宋体" w:hAnsi="宋体" w:eastAsia="宋体" w:cs="宋体"/>
          <w:b/>
          <w:color w:val="000000"/>
          <w:lang w:val="en-US" w:eastAsia="zh-CN"/>
        </w:rPr>
        <w:t>二、</w:t>
      </w:r>
      <w:r>
        <w:rPr>
          <w:rFonts w:hint="eastAsia" w:ascii="宋体" w:hAnsi="宋体" w:eastAsia="宋体" w:cs="宋体"/>
          <w:b/>
          <w:color w:val="000000"/>
        </w:rPr>
        <w:t>政府采购政策功能落实</w:t>
      </w:r>
    </w:p>
    <w:p w14:paraId="1413DDDA">
      <w:pPr>
        <w:pStyle w:val="11"/>
        <w:spacing w:before="120" w:beforeAutospacing="0" w:after="120" w:afterAutospacing="0" w:line="0" w:lineRule="atLeast"/>
        <w:ind w:firstLine="480"/>
      </w:pPr>
      <w:r>
        <w:rPr>
          <w:rFonts w:hint="eastAsia" w:ascii="宋体" w:hAnsi="宋体" w:eastAsia="宋体" w:cs="宋体"/>
          <w:color w:val="000000"/>
        </w:rPr>
        <w:t>1、小微型企业价格扣除</w:t>
      </w:r>
    </w:p>
    <w:p w14:paraId="7529C3DD">
      <w:pPr>
        <w:pStyle w:val="11"/>
        <w:spacing w:before="120" w:beforeAutospacing="0" w:after="120" w:afterAutospacing="0" w:line="0" w:lineRule="atLeast"/>
        <w:ind w:firstLine="360"/>
        <w:rPr>
          <w:rFonts w:ascii="宋体" w:hAnsi="宋体" w:eastAsia="宋体" w:cs="宋体"/>
          <w:color w:val="000000"/>
        </w:rPr>
      </w:pPr>
      <w:r>
        <w:rPr>
          <w:rFonts w:hint="eastAsia" w:ascii="宋体" w:hAnsi="宋体" w:eastAsia="宋体" w:cs="宋体"/>
          <w:color w:val="000000"/>
        </w:rPr>
        <w:t>（1）本项目对小型和微型企业提供的服务给予</w:t>
      </w:r>
      <w:r>
        <w:rPr>
          <w:rFonts w:hint="eastAsia" w:ascii="宋体" w:hAnsi="宋体" w:eastAsia="宋体" w:cs="宋体"/>
          <w:color w:val="auto"/>
          <w:highlight w:val="none"/>
          <w:u w:val="single"/>
        </w:rPr>
        <w:t>20%</w:t>
      </w:r>
      <w:r>
        <w:rPr>
          <w:rFonts w:hint="eastAsia" w:ascii="宋体" w:hAnsi="宋体" w:eastAsia="宋体" w:cs="宋体"/>
          <w:color w:val="000000"/>
        </w:rPr>
        <w:t>的扣除价格，用扣除后的价格参与评审。</w:t>
      </w:r>
    </w:p>
    <w:p w14:paraId="3D784530">
      <w:pPr>
        <w:pStyle w:val="11"/>
        <w:spacing w:before="120" w:beforeAutospacing="0" w:after="120" w:afterAutospacing="0" w:line="0" w:lineRule="atLeast"/>
        <w:ind w:firstLine="360"/>
      </w:pPr>
      <w:r>
        <w:rPr>
          <w:rFonts w:hint="eastAsia" w:ascii="宋体" w:hAnsi="宋体" w:eastAsia="宋体" w:cs="宋体"/>
          <w:color w:val="000000"/>
        </w:rPr>
        <w:t>（2）供应商需按照采购文件的要求提供相应的《小微企业声明函》。</w:t>
      </w:r>
    </w:p>
    <w:p w14:paraId="374BE6DD">
      <w:pPr>
        <w:pStyle w:val="11"/>
        <w:spacing w:before="120" w:beforeAutospacing="0" w:after="120" w:afterAutospacing="0" w:line="0" w:lineRule="atLeast"/>
        <w:ind w:firstLine="360"/>
      </w:pPr>
      <w:r>
        <w:rPr>
          <w:rFonts w:hint="eastAsia" w:ascii="宋体" w:hAnsi="宋体" w:eastAsia="宋体" w:cs="宋体"/>
          <w:color w:val="000000"/>
        </w:rPr>
        <w:t>（3）企业标准请参照《关于印发中小企业划型标准规定的通知》（工信部联企业[2011]300号）文件规定自行填写。</w:t>
      </w:r>
    </w:p>
    <w:p w14:paraId="426BBE4A">
      <w:pPr>
        <w:pStyle w:val="11"/>
        <w:spacing w:before="120" w:beforeAutospacing="0" w:after="120" w:afterAutospacing="0" w:line="0" w:lineRule="atLeast"/>
        <w:ind w:firstLine="480"/>
      </w:pPr>
      <w:r>
        <w:rPr>
          <w:rFonts w:hint="eastAsia" w:ascii="宋体" w:hAnsi="宋体" w:eastAsia="宋体" w:cs="宋体"/>
          <w:color w:val="000000"/>
        </w:rPr>
        <w:t>2、残疾人福利单位价格扣除</w:t>
      </w:r>
    </w:p>
    <w:p w14:paraId="614AC541">
      <w:pPr>
        <w:pStyle w:val="11"/>
        <w:spacing w:before="120" w:beforeAutospacing="0" w:after="120" w:afterAutospacing="0" w:line="0" w:lineRule="atLeast"/>
        <w:ind w:left="120" w:firstLine="360"/>
        <w:rPr>
          <w:rFonts w:ascii="宋体" w:hAnsi="宋体" w:eastAsia="宋体" w:cs="宋体"/>
          <w:color w:val="000000"/>
          <w:highlight w:val="none"/>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highlight w:val="none"/>
          <w:u w:val="single"/>
        </w:rPr>
        <w:t>20%</w:t>
      </w:r>
    </w:p>
    <w:p w14:paraId="7F46A794">
      <w:pPr>
        <w:pStyle w:val="11"/>
        <w:spacing w:before="120" w:beforeAutospacing="0" w:after="120" w:afterAutospacing="0" w:line="0" w:lineRule="atLeast"/>
        <w:ind w:left="120" w:firstLine="360"/>
      </w:pPr>
      <w:r>
        <w:rPr>
          <w:rFonts w:hint="eastAsia" w:ascii="宋体" w:hAnsi="宋体" w:eastAsia="宋体" w:cs="宋体"/>
          <w:color w:val="000000"/>
        </w:rPr>
        <w:t>（2）残疾人福利单位需按照采购文件的要求提供《残疾人福利性单位声明函》。</w:t>
      </w:r>
    </w:p>
    <w:p w14:paraId="402E35C2">
      <w:pPr>
        <w:pStyle w:val="11"/>
        <w:spacing w:before="120" w:beforeAutospacing="0" w:after="120" w:afterAutospacing="0" w:line="0" w:lineRule="atLeast"/>
        <w:ind w:left="120" w:firstLine="360"/>
      </w:pPr>
      <w:r>
        <w:rPr>
          <w:rFonts w:hint="eastAsia" w:ascii="宋体" w:hAnsi="宋体" w:eastAsia="宋体" w:cs="宋体"/>
          <w:color w:val="000000"/>
        </w:rPr>
        <w:t>（3）残疾人福利单位标准请参照《关于促进残疾人就业政府采购政策的通知》（财库〔2017〕141号）。</w:t>
      </w:r>
    </w:p>
    <w:p w14:paraId="4719C26D">
      <w:pPr>
        <w:pStyle w:val="11"/>
        <w:spacing w:before="120" w:beforeAutospacing="0" w:after="120" w:afterAutospacing="0" w:line="0" w:lineRule="atLeast"/>
        <w:ind w:firstLine="480"/>
      </w:pPr>
      <w:r>
        <w:rPr>
          <w:rFonts w:hint="eastAsia" w:ascii="宋体" w:hAnsi="宋体" w:eastAsia="宋体" w:cs="宋体"/>
          <w:color w:val="000000"/>
        </w:rPr>
        <w:t>3、监狱和戒毒企业价格扣除</w:t>
      </w:r>
    </w:p>
    <w:p w14:paraId="601538A6">
      <w:pPr>
        <w:pStyle w:val="11"/>
        <w:spacing w:before="120" w:beforeAutospacing="0" w:after="120" w:afterAutospacing="0" w:line="0" w:lineRule="atLeast"/>
        <w:ind w:firstLine="480"/>
        <w:rPr>
          <w:rFonts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p>
    <w:p w14:paraId="66954FB1">
      <w:pPr>
        <w:pStyle w:val="11"/>
        <w:spacing w:before="120" w:beforeAutospacing="0" w:after="120" w:afterAutospacing="0" w:line="0" w:lineRule="atLeast"/>
        <w:ind w:firstLine="480"/>
      </w:pPr>
      <w:r>
        <w:rPr>
          <w:rFonts w:hint="eastAsia" w:ascii="宋体" w:hAnsi="宋体" w:eastAsia="宋体" w:cs="宋体"/>
          <w:color w:val="000000"/>
        </w:rPr>
        <w:t>（2）监狱企业参加政府采购活动时，需提供由省级以上监狱管理局、戒毒管理局</w:t>
      </w:r>
      <w:r>
        <w:rPr>
          <w:rFonts w:hint="eastAsia" w:ascii="宋体" w:hAnsi="宋体" w:eastAsia="宋体" w:cs="宋体"/>
          <w:color w:val="000000"/>
          <w:lang w:eastAsia="zh-CN"/>
        </w:rPr>
        <w:t>（</w:t>
      </w:r>
      <w:r>
        <w:rPr>
          <w:rFonts w:hint="eastAsia" w:ascii="宋体" w:hAnsi="宋体" w:eastAsia="宋体" w:cs="宋体"/>
          <w:color w:val="000000"/>
        </w:rPr>
        <w:t>含新疆生产建设兵团</w:t>
      </w:r>
      <w:r>
        <w:rPr>
          <w:rFonts w:hint="eastAsia" w:ascii="宋体" w:hAnsi="宋体" w:eastAsia="宋体" w:cs="宋体"/>
          <w:color w:val="000000"/>
          <w:lang w:eastAsia="zh-CN"/>
        </w:rPr>
        <w:t>）</w:t>
      </w:r>
      <w:r>
        <w:rPr>
          <w:rFonts w:hint="eastAsia" w:ascii="宋体" w:hAnsi="宋体" w:eastAsia="宋体" w:cs="宋体"/>
          <w:color w:val="000000"/>
        </w:rPr>
        <w:t>出具的属于监狱企业的证明文件。供应商如不提供上述证明文件，价格将不做相应扣除。</w:t>
      </w:r>
    </w:p>
    <w:p w14:paraId="1A380168">
      <w:pPr>
        <w:pStyle w:val="11"/>
        <w:spacing w:before="120" w:beforeAutospacing="0" w:after="120" w:afterAutospacing="0" w:line="0" w:lineRule="atLeast"/>
        <w:ind w:firstLine="480"/>
      </w:pPr>
      <w:r>
        <w:rPr>
          <w:rFonts w:hint="eastAsia" w:ascii="宋体" w:hAnsi="宋体" w:eastAsia="宋体" w:cs="宋体"/>
          <w:color w:val="000000"/>
        </w:rPr>
        <w:t>（3）监狱企业标准请参照《关于政府采购支持监狱企业发展有关问题的通知》（财库[2014]68号）。</w:t>
      </w:r>
    </w:p>
    <w:p w14:paraId="5A543845">
      <w:pPr>
        <w:pStyle w:val="11"/>
        <w:spacing w:before="120" w:beforeAutospacing="0" w:after="120" w:afterAutospacing="0" w:line="0" w:lineRule="atLeast"/>
        <w:ind w:firstLine="480"/>
      </w:pPr>
      <w:r>
        <w:rPr>
          <w:rFonts w:hint="eastAsia" w:ascii="宋体" w:hAnsi="宋体" w:eastAsia="宋体" w:cs="宋体"/>
          <w:color w:val="000000"/>
        </w:rPr>
        <w:t>4、残疾人福利单位、监狱企业属于小型、微型企业的，不重复享受政策。</w:t>
      </w:r>
    </w:p>
    <w:p w14:paraId="68288767">
      <w:pPr>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由国家确定的认证机构出具的、处于有效期之内的节能产品、环境标志产品认证证书</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8571748">
      <w:pPr>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、供应商对于投标产品的商品包装、快递包装应按照《关于印发《商品包装政府采购需求标准（试行）</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快递包装政府采购需求标准（试行）》的通知》</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财办库〔2020〕123号</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执行。</w:t>
      </w:r>
    </w:p>
    <w:p w14:paraId="0302781B">
      <w:pPr>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、本文件中若</w:t>
      </w:r>
      <w:r>
        <w:rPr>
          <w:rFonts w:hint="eastAsia" w:ascii="宋体" w:hAnsi="宋体" w:eastAsia="宋体" w:cs="宋体"/>
          <w:color w:val="auto"/>
          <w:kern w:val="0"/>
          <w:sz w:val="24"/>
          <w:highlight w:val="none"/>
          <w:lang w:eastAsia="zh-CN"/>
        </w:rPr>
        <w:t>涉及</w:t>
      </w:r>
      <w:r>
        <w:rPr>
          <w:rFonts w:hint="eastAsia" w:ascii="宋体" w:hAnsi="宋体" w:eastAsia="宋体" w:cs="宋体"/>
          <w:color w:val="auto"/>
          <w:kern w:val="0"/>
          <w:sz w:val="24"/>
          <w:highlight w:val="none"/>
        </w:rPr>
        <w:t>数据中心采购，应按照《</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绿色数据中心政府采购需求标准（试行）</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的通知》（财库〔2023〕7号）执行。</w:t>
      </w:r>
    </w:p>
    <w:p w14:paraId="45AA2BFD">
      <w:pPr>
        <w:pStyle w:val="11"/>
        <w:spacing w:before="120" w:beforeAutospacing="0" w:after="120" w:afterAutospacing="0" w:line="0" w:lineRule="atLeast"/>
        <w:ind w:firstLine="473"/>
      </w:pPr>
      <w:r>
        <w:rPr>
          <w:rFonts w:hint="eastAsia" w:ascii="宋体" w:hAnsi="宋体" w:eastAsia="宋体" w:cs="宋体"/>
          <w:color w:val="000000"/>
          <w:lang w:val="en-US" w:eastAsia="zh-CN"/>
        </w:rPr>
        <w:t>8</w:t>
      </w:r>
      <w:r>
        <w:rPr>
          <w:rFonts w:hint="eastAsia" w:ascii="宋体" w:hAnsi="宋体" w:eastAsia="宋体" w:cs="宋体"/>
          <w:color w:val="000000"/>
        </w:rPr>
        <w:t>、根据《江苏省政府采购信用管理暂行办法》的规定，供应商信用评价结果为三星的扣2分，评价结果为二星的扣3分，评价结果为一星的扣4分。</w:t>
      </w:r>
    </w:p>
    <w:p w14:paraId="220FD06A">
      <w:pPr>
        <w:pStyle w:val="11"/>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lang w:val="en-US" w:eastAsia="zh-CN"/>
        </w:rPr>
        <w:t>三、</w:t>
      </w:r>
      <w:r>
        <w:rPr>
          <w:rFonts w:hint="eastAsia" w:ascii="宋体" w:hAnsi="宋体" w:eastAsia="宋体" w:cs="宋体"/>
          <w:b/>
          <w:color w:val="000000"/>
        </w:rPr>
        <w:t>评标方法与评标标准</w:t>
      </w:r>
    </w:p>
    <w:tbl>
      <w:tblPr>
        <w:tblStyle w:val="14"/>
        <w:tblpPr w:leftFromText="180" w:rightFromText="180" w:vertAnchor="text" w:horzAnchor="page" w:tblpX="1372" w:tblpY="456"/>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134"/>
        <w:gridCol w:w="7796"/>
        <w:gridCol w:w="567"/>
      </w:tblGrid>
      <w:tr w14:paraId="7FCA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tcBorders>
              <w:top w:val="single" w:color="auto" w:sz="4" w:space="0"/>
              <w:left w:val="single" w:color="auto" w:sz="4" w:space="0"/>
              <w:bottom w:val="single" w:color="auto" w:sz="4" w:space="0"/>
              <w:right w:val="single" w:color="auto" w:sz="4" w:space="0"/>
            </w:tcBorders>
            <w:vAlign w:val="center"/>
          </w:tcPr>
          <w:p w14:paraId="5028AB86">
            <w:pPr>
              <w:pStyle w:val="19"/>
              <w:snapToGrid w:val="0"/>
              <w:spacing w:line="276" w:lineRule="auto"/>
              <w:contextualSpacing/>
              <w:jc w:val="center"/>
              <w:rPr>
                <w:rFonts w:ascii="宋体" w:hAnsi="宋体"/>
                <w:szCs w:val="21"/>
              </w:rPr>
            </w:pPr>
            <w:r>
              <w:rPr>
                <w:rFonts w:hint="eastAsia" w:ascii="宋体" w:hAnsi="宋体"/>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2D8FA56C">
            <w:pPr>
              <w:pStyle w:val="19"/>
              <w:snapToGrid w:val="0"/>
              <w:spacing w:line="276" w:lineRule="auto"/>
              <w:contextualSpacing/>
              <w:jc w:val="center"/>
              <w:rPr>
                <w:rFonts w:ascii="宋体" w:hAnsi="宋体"/>
                <w:szCs w:val="21"/>
              </w:rPr>
            </w:pPr>
            <w:r>
              <w:rPr>
                <w:rFonts w:hint="eastAsia" w:ascii="宋体" w:hAnsi="宋体"/>
                <w:szCs w:val="21"/>
              </w:rPr>
              <w:t>评分</w:t>
            </w:r>
          </w:p>
          <w:p w14:paraId="7EE793C7">
            <w:pPr>
              <w:pStyle w:val="19"/>
              <w:snapToGrid w:val="0"/>
              <w:spacing w:line="276" w:lineRule="auto"/>
              <w:contextualSpacing/>
              <w:jc w:val="center"/>
              <w:rPr>
                <w:rFonts w:ascii="宋体" w:hAnsi="宋体"/>
                <w:szCs w:val="21"/>
              </w:rPr>
            </w:pPr>
            <w:r>
              <w:rPr>
                <w:rFonts w:hint="eastAsia" w:ascii="宋体" w:hAnsi="宋体"/>
                <w:szCs w:val="21"/>
              </w:rPr>
              <w:t>内容</w:t>
            </w:r>
          </w:p>
        </w:tc>
        <w:tc>
          <w:tcPr>
            <w:tcW w:w="7796" w:type="dxa"/>
            <w:tcBorders>
              <w:top w:val="single" w:color="auto" w:sz="4" w:space="0"/>
              <w:left w:val="single" w:color="auto" w:sz="4" w:space="0"/>
              <w:bottom w:val="single" w:color="auto" w:sz="4" w:space="0"/>
              <w:right w:val="single" w:color="auto" w:sz="4" w:space="0"/>
            </w:tcBorders>
            <w:vAlign w:val="center"/>
          </w:tcPr>
          <w:p w14:paraId="4E6D4C0B">
            <w:pPr>
              <w:pStyle w:val="19"/>
              <w:snapToGrid w:val="0"/>
              <w:spacing w:line="276" w:lineRule="auto"/>
              <w:contextualSpacing/>
              <w:jc w:val="center"/>
              <w:rPr>
                <w:rFonts w:ascii="宋体" w:hAnsi="宋体"/>
                <w:szCs w:val="21"/>
              </w:rPr>
            </w:pPr>
            <w:r>
              <w:rPr>
                <w:rFonts w:hint="eastAsia" w:ascii="宋体" w:hAnsi="宋体"/>
                <w:szCs w:val="21"/>
              </w:rPr>
              <w:t>评分细则</w:t>
            </w:r>
          </w:p>
        </w:tc>
        <w:tc>
          <w:tcPr>
            <w:tcW w:w="567" w:type="dxa"/>
            <w:tcBorders>
              <w:top w:val="single" w:color="auto" w:sz="4" w:space="0"/>
              <w:left w:val="single" w:color="auto" w:sz="4" w:space="0"/>
              <w:bottom w:val="single" w:color="auto" w:sz="4" w:space="0"/>
              <w:right w:val="single" w:color="auto" w:sz="4" w:space="0"/>
            </w:tcBorders>
            <w:vAlign w:val="center"/>
          </w:tcPr>
          <w:p w14:paraId="16851182">
            <w:pPr>
              <w:pStyle w:val="19"/>
              <w:snapToGrid w:val="0"/>
              <w:spacing w:line="276" w:lineRule="auto"/>
              <w:contextualSpacing/>
              <w:jc w:val="center"/>
              <w:rPr>
                <w:rFonts w:ascii="宋体" w:hAnsi="宋体"/>
                <w:szCs w:val="21"/>
              </w:rPr>
            </w:pPr>
            <w:r>
              <w:rPr>
                <w:rFonts w:hint="eastAsia" w:ascii="宋体" w:hAnsi="宋体"/>
                <w:szCs w:val="21"/>
              </w:rPr>
              <w:t>分值</w:t>
            </w:r>
          </w:p>
        </w:tc>
      </w:tr>
      <w:tr w14:paraId="1B45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tcBorders>
              <w:top w:val="single" w:color="auto" w:sz="4" w:space="0"/>
              <w:left w:val="single" w:color="auto" w:sz="4" w:space="0"/>
              <w:bottom w:val="single" w:color="auto" w:sz="4" w:space="0"/>
              <w:right w:val="single" w:color="auto" w:sz="4" w:space="0"/>
            </w:tcBorders>
            <w:vAlign w:val="center"/>
          </w:tcPr>
          <w:p w14:paraId="1445C93B">
            <w:pPr>
              <w:pStyle w:val="19"/>
              <w:snapToGrid w:val="0"/>
              <w:spacing w:line="276" w:lineRule="auto"/>
              <w:contextualSpacing/>
              <w:jc w:val="center"/>
              <w:rPr>
                <w:rFonts w:ascii="宋体" w:hAnsi="宋体"/>
                <w:szCs w:val="21"/>
              </w:rPr>
            </w:pPr>
            <w:r>
              <w:rPr>
                <w:rFonts w:hint="eastAsia" w:ascii="宋体" w:hAnsi="宋体"/>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3D757118">
            <w:pPr>
              <w:spacing w:line="276" w:lineRule="auto"/>
              <w:jc w:val="center"/>
              <w:rPr>
                <w:rFonts w:ascii="宋体" w:hAnsi="宋体"/>
                <w:szCs w:val="21"/>
              </w:rPr>
            </w:pPr>
            <w:r>
              <w:rPr>
                <w:rFonts w:hint="eastAsia" w:ascii="宋体" w:hAnsi="宋体"/>
                <w:szCs w:val="21"/>
              </w:rPr>
              <w:t>价格</w:t>
            </w:r>
          </w:p>
          <w:p w14:paraId="1AA2075D">
            <w:pPr>
              <w:spacing w:line="276" w:lineRule="auto"/>
              <w:jc w:val="center"/>
              <w:rPr>
                <w:rFonts w:ascii="宋体" w:hAnsi="宋体"/>
                <w:szCs w:val="21"/>
              </w:rPr>
            </w:pPr>
            <w:r>
              <w:rPr>
                <w:rFonts w:hint="eastAsia" w:ascii="宋体" w:hAnsi="宋体"/>
                <w:szCs w:val="21"/>
              </w:rPr>
              <w:t>（10分）</w:t>
            </w:r>
          </w:p>
        </w:tc>
        <w:tc>
          <w:tcPr>
            <w:tcW w:w="7796" w:type="dxa"/>
            <w:tcBorders>
              <w:top w:val="single" w:color="auto" w:sz="4" w:space="0"/>
              <w:left w:val="single" w:color="auto" w:sz="4" w:space="0"/>
              <w:bottom w:val="single" w:color="auto" w:sz="4" w:space="0"/>
              <w:right w:val="single" w:color="auto" w:sz="4" w:space="0"/>
            </w:tcBorders>
            <w:vAlign w:val="center"/>
          </w:tcPr>
          <w:p w14:paraId="538C6E28">
            <w:pPr>
              <w:spacing w:line="276" w:lineRule="auto"/>
              <w:rPr>
                <w:rFonts w:ascii="宋体" w:hAnsi="宋体"/>
                <w:szCs w:val="21"/>
              </w:rPr>
            </w:pPr>
            <w:bookmarkStart w:id="202" w:name="OLE_LINK23"/>
            <w:r>
              <w:rPr>
                <w:rFonts w:hint="eastAsia" w:ascii="宋体" w:hAnsi="宋体"/>
                <w:szCs w:val="21"/>
              </w:rPr>
              <w:t>采用低价优先法计算，即满足磋商文件要求且最后报价最低的</w:t>
            </w:r>
            <w:r>
              <w:rPr>
                <w:rFonts w:hint="eastAsia" w:ascii="宋体" w:hAnsi="宋体"/>
                <w:szCs w:val="21"/>
                <w:lang w:eastAsia="zh-CN"/>
              </w:rPr>
              <w:t>供应商</w:t>
            </w:r>
            <w:r>
              <w:rPr>
                <w:rFonts w:hint="eastAsia" w:ascii="宋体" w:hAnsi="宋体"/>
                <w:szCs w:val="21"/>
              </w:rPr>
              <w:t>的价格为磋商基准价，其价格分为满分。其他</w:t>
            </w:r>
            <w:r>
              <w:rPr>
                <w:rFonts w:hint="eastAsia" w:ascii="宋体" w:hAnsi="宋体"/>
                <w:szCs w:val="21"/>
                <w:lang w:eastAsia="zh-CN"/>
              </w:rPr>
              <w:t>供应商</w:t>
            </w:r>
            <w:r>
              <w:rPr>
                <w:rFonts w:hint="eastAsia" w:ascii="宋体" w:hAnsi="宋体"/>
                <w:szCs w:val="21"/>
              </w:rPr>
              <w:t>的价格分统一按照下列公式计算：磋商报价得分=（磋商基准价/最后磋商报价）×10（小数点保留两位，</w:t>
            </w:r>
            <w:r>
              <w:rPr>
                <w:rFonts w:ascii="宋体" w:hAnsi="宋体"/>
                <w:szCs w:val="21"/>
              </w:rPr>
              <w:t>第三位四舍五入</w:t>
            </w:r>
            <w:r>
              <w:rPr>
                <w:rFonts w:hint="eastAsia" w:ascii="宋体" w:hAnsi="宋体"/>
                <w:szCs w:val="21"/>
              </w:rPr>
              <w:t>）。</w:t>
            </w:r>
            <w:bookmarkEnd w:id="202"/>
          </w:p>
        </w:tc>
        <w:tc>
          <w:tcPr>
            <w:tcW w:w="567" w:type="dxa"/>
            <w:tcBorders>
              <w:top w:val="single" w:color="auto" w:sz="4" w:space="0"/>
              <w:left w:val="single" w:color="auto" w:sz="4" w:space="0"/>
              <w:bottom w:val="single" w:color="auto" w:sz="4" w:space="0"/>
              <w:right w:val="single" w:color="auto" w:sz="4" w:space="0"/>
            </w:tcBorders>
            <w:vAlign w:val="center"/>
          </w:tcPr>
          <w:p w14:paraId="7F88110A">
            <w:pPr>
              <w:pStyle w:val="19"/>
              <w:spacing w:line="276" w:lineRule="auto"/>
              <w:jc w:val="center"/>
              <w:rPr>
                <w:rFonts w:ascii="宋体" w:hAnsi="宋体"/>
                <w:szCs w:val="21"/>
              </w:rPr>
            </w:pPr>
            <w:r>
              <w:rPr>
                <w:rFonts w:hint="eastAsia" w:ascii="宋体" w:hAnsi="宋体"/>
                <w:szCs w:val="21"/>
              </w:rPr>
              <w:t>10</w:t>
            </w:r>
          </w:p>
        </w:tc>
      </w:tr>
      <w:tr w14:paraId="56EA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restart"/>
            <w:tcBorders>
              <w:left w:val="single" w:color="auto" w:sz="4" w:space="0"/>
              <w:right w:val="single" w:color="auto" w:sz="4" w:space="0"/>
            </w:tcBorders>
            <w:vAlign w:val="center"/>
          </w:tcPr>
          <w:p w14:paraId="24BDC06D">
            <w:pPr>
              <w:pStyle w:val="19"/>
              <w:snapToGrid w:val="0"/>
              <w:spacing w:line="276" w:lineRule="auto"/>
              <w:contextualSpacing/>
              <w:jc w:val="center"/>
              <w:rPr>
                <w:rFonts w:ascii="宋体" w:hAnsi="宋体"/>
                <w:szCs w:val="21"/>
              </w:rPr>
            </w:pPr>
            <w:r>
              <w:rPr>
                <w:rFonts w:hint="eastAsia" w:ascii="宋体" w:hAnsi="宋体"/>
                <w:szCs w:val="21"/>
              </w:rPr>
              <w:t>2</w:t>
            </w:r>
          </w:p>
        </w:tc>
        <w:tc>
          <w:tcPr>
            <w:tcW w:w="1134" w:type="dxa"/>
            <w:vMerge w:val="restart"/>
            <w:tcBorders>
              <w:left w:val="single" w:color="auto" w:sz="4" w:space="0"/>
              <w:right w:val="single" w:color="auto" w:sz="4" w:space="0"/>
            </w:tcBorders>
            <w:vAlign w:val="center"/>
          </w:tcPr>
          <w:p w14:paraId="4D1D1875">
            <w:pPr>
              <w:spacing w:line="276" w:lineRule="auto"/>
              <w:jc w:val="center"/>
              <w:rPr>
                <w:rFonts w:ascii="宋体" w:hAnsi="宋体"/>
                <w:szCs w:val="21"/>
              </w:rPr>
            </w:pPr>
            <w:r>
              <w:rPr>
                <w:rFonts w:hint="eastAsia" w:ascii="宋体" w:hAnsi="宋体"/>
                <w:szCs w:val="21"/>
              </w:rPr>
              <w:t>服务方案</w:t>
            </w:r>
          </w:p>
          <w:p w14:paraId="2C6FE334">
            <w:pPr>
              <w:spacing w:line="276" w:lineRule="auto"/>
              <w:jc w:val="center"/>
              <w:rPr>
                <w:rFonts w:ascii="宋体" w:hAnsi="宋体"/>
                <w:szCs w:val="21"/>
              </w:rPr>
            </w:pPr>
            <w:r>
              <w:rPr>
                <w:rFonts w:ascii="宋体" w:hAnsi="宋体"/>
                <w:szCs w:val="21"/>
              </w:rPr>
              <w:t>（</w:t>
            </w:r>
            <w:r>
              <w:rPr>
                <w:rFonts w:hint="eastAsia" w:ascii="宋体" w:hAnsi="宋体"/>
                <w:szCs w:val="21"/>
                <w:lang w:val="en-US" w:eastAsia="zh-CN"/>
              </w:rPr>
              <w:t>57分</w:t>
            </w:r>
            <w:r>
              <w:rPr>
                <w:rFonts w:ascii="宋体" w:hAnsi="宋体"/>
                <w:szCs w:val="21"/>
              </w:rPr>
              <w:t>）</w:t>
            </w:r>
          </w:p>
        </w:tc>
        <w:tc>
          <w:tcPr>
            <w:tcW w:w="7796" w:type="dxa"/>
            <w:tcBorders>
              <w:top w:val="single" w:color="auto" w:sz="4" w:space="0"/>
              <w:left w:val="single" w:color="auto" w:sz="4" w:space="0"/>
              <w:right w:val="single" w:color="auto" w:sz="4" w:space="0"/>
            </w:tcBorders>
            <w:vAlign w:val="center"/>
          </w:tcPr>
          <w:p w14:paraId="51AD26FB">
            <w:pPr>
              <w:tabs>
                <w:tab w:val="left" w:pos="5400"/>
              </w:tabs>
              <w:spacing w:line="276" w:lineRule="auto"/>
              <w:jc w:val="left"/>
              <w:rPr>
                <w:rFonts w:ascii="宋体" w:hAnsi="宋体"/>
                <w:color w:val="000000"/>
                <w:szCs w:val="21"/>
              </w:rPr>
            </w:pPr>
            <w:bookmarkStart w:id="203" w:name="OLE_LINK30"/>
            <w:r>
              <w:rPr>
                <w:rFonts w:ascii="宋体" w:hAnsi="宋体"/>
                <w:color w:val="000000"/>
                <w:szCs w:val="21"/>
              </w:rPr>
              <w:t>对项目</w:t>
            </w:r>
            <w:r>
              <w:rPr>
                <w:rFonts w:hint="eastAsia" w:ascii="宋体" w:hAnsi="宋体"/>
                <w:color w:val="000000"/>
                <w:szCs w:val="21"/>
              </w:rPr>
              <w:t>背景、工作思路、相关概念的</w:t>
            </w:r>
            <w:r>
              <w:rPr>
                <w:rFonts w:ascii="宋体" w:hAnsi="宋体"/>
                <w:color w:val="000000"/>
                <w:szCs w:val="21"/>
              </w:rPr>
              <w:t>诠释、理解。</w:t>
            </w:r>
          </w:p>
          <w:p w14:paraId="045D7601">
            <w:pPr>
              <w:tabs>
                <w:tab w:val="left" w:pos="5400"/>
              </w:tabs>
              <w:spacing w:line="276" w:lineRule="auto"/>
              <w:jc w:val="left"/>
              <w:rPr>
                <w:rFonts w:ascii="宋体" w:hAnsi="宋体"/>
                <w:szCs w:val="21"/>
              </w:rPr>
            </w:pPr>
            <w:r>
              <w:rPr>
                <w:rFonts w:hint="eastAsia" w:ascii="宋体" w:hAnsi="宋体"/>
                <w:color w:val="000000"/>
                <w:szCs w:val="21"/>
              </w:rPr>
              <w:t>诠释、理解，优于招标文件要求的得5分；符合招标文件要求的得4分；不满足招标文件或未提供的不得分。</w:t>
            </w:r>
            <w:bookmarkEnd w:id="203"/>
          </w:p>
        </w:tc>
        <w:tc>
          <w:tcPr>
            <w:tcW w:w="567" w:type="dxa"/>
            <w:tcBorders>
              <w:top w:val="single" w:color="auto" w:sz="4" w:space="0"/>
              <w:left w:val="single" w:color="auto" w:sz="4" w:space="0"/>
              <w:right w:val="single" w:color="auto" w:sz="4" w:space="0"/>
            </w:tcBorders>
            <w:vAlign w:val="center"/>
          </w:tcPr>
          <w:p w14:paraId="7ADAC842">
            <w:pPr>
              <w:pStyle w:val="19"/>
              <w:spacing w:line="276" w:lineRule="auto"/>
              <w:jc w:val="center"/>
              <w:rPr>
                <w:rFonts w:hint="default" w:ascii="宋体" w:hAnsi="宋体" w:eastAsia="宋体"/>
                <w:szCs w:val="21"/>
                <w:highlight w:val="yellow"/>
                <w:lang w:val="en-US" w:eastAsia="zh-CN"/>
              </w:rPr>
            </w:pPr>
            <w:r>
              <w:rPr>
                <w:rFonts w:hint="eastAsia" w:ascii="宋体" w:hAnsi="宋体"/>
                <w:szCs w:val="21"/>
                <w:lang w:val="en-US" w:eastAsia="zh-CN"/>
              </w:rPr>
              <w:t>5</w:t>
            </w:r>
          </w:p>
        </w:tc>
      </w:tr>
      <w:tr w14:paraId="2503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164D03D6">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1C73CE5D">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6150279C">
            <w:pPr>
              <w:tabs>
                <w:tab w:val="left" w:pos="5400"/>
              </w:tabs>
              <w:spacing w:line="276" w:lineRule="auto"/>
              <w:jc w:val="left"/>
              <w:rPr>
                <w:rFonts w:hint="eastAsia" w:ascii="宋体" w:hAnsi="宋体"/>
                <w:color w:val="000000"/>
                <w:szCs w:val="21"/>
                <w:lang w:eastAsia="zh-CN"/>
              </w:rPr>
            </w:pPr>
            <w:bookmarkStart w:id="204" w:name="OLE_LINK31"/>
            <w:r>
              <w:rPr>
                <w:rFonts w:hint="eastAsia" w:ascii="宋体" w:hAnsi="宋体"/>
                <w:color w:val="000000"/>
                <w:szCs w:val="21"/>
              </w:rPr>
              <w:t>对项目地块周边环境及土地利用现状情况分析</w:t>
            </w:r>
            <w:r>
              <w:rPr>
                <w:rFonts w:hint="eastAsia" w:ascii="宋体" w:hAnsi="宋体"/>
                <w:color w:val="000000"/>
                <w:szCs w:val="21"/>
                <w:lang w:eastAsia="zh-CN"/>
              </w:rPr>
              <w:t>。</w:t>
            </w:r>
          </w:p>
          <w:p w14:paraId="5FD6390C">
            <w:pPr>
              <w:tabs>
                <w:tab w:val="left" w:pos="5400"/>
              </w:tabs>
              <w:spacing w:line="276" w:lineRule="auto"/>
              <w:jc w:val="left"/>
              <w:rPr>
                <w:rFonts w:hint="default" w:ascii="宋体" w:hAnsi="宋体" w:eastAsiaTheme="minorEastAsia"/>
                <w:szCs w:val="21"/>
                <w:lang w:val="en-US" w:eastAsia="zh-CN"/>
              </w:rPr>
            </w:pPr>
            <w:r>
              <w:rPr>
                <w:rFonts w:hint="eastAsia" w:ascii="宋体" w:hAnsi="宋体"/>
                <w:color w:val="000000"/>
                <w:szCs w:val="21"/>
                <w:lang w:val="en-US" w:eastAsia="zh-CN"/>
              </w:rPr>
              <w:t>内容分析</w:t>
            </w:r>
            <w:r>
              <w:rPr>
                <w:rFonts w:hint="eastAsia" w:ascii="宋体" w:hAnsi="宋体"/>
                <w:color w:val="000000"/>
                <w:szCs w:val="21"/>
              </w:rPr>
              <w:t>详细、全面优于招标文件要求的得6分；符合招标文件要求的得5分；不满足招标文件或未提供的不得分。</w:t>
            </w:r>
            <w:bookmarkEnd w:id="204"/>
          </w:p>
        </w:tc>
        <w:tc>
          <w:tcPr>
            <w:tcW w:w="567" w:type="dxa"/>
            <w:tcBorders>
              <w:top w:val="single" w:color="auto" w:sz="4" w:space="0"/>
              <w:left w:val="single" w:color="auto" w:sz="4" w:space="0"/>
              <w:right w:val="single" w:color="auto" w:sz="4" w:space="0"/>
            </w:tcBorders>
            <w:vAlign w:val="center"/>
          </w:tcPr>
          <w:p w14:paraId="77AD356B">
            <w:pPr>
              <w:pStyle w:val="19"/>
              <w:spacing w:line="276" w:lineRule="auto"/>
              <w:jc w:val="center"/>
              <w:rPr>
                <w:rFonts w:hint="default" w:ascii="宋体" w:hAnsi="宋体" w:eastAsia="宋体"/>
                <w:szCs w:val="21"/>
                <w:lang w:val="en-US" w:eastAsia="zh-CN"/>
              </w:rPr>
            </w:pPr>
            <w:r>
              <w:rPr>
                <w:rFonts w:hint="eastAsia" w:ascii="宋体" w:hAnsi="宋体"/>
                <w:szCs w:val="21"/>
                <w:lang w:val="en-US" w:eastAsia="zh-CN"/>
              </w:rPr>
              <w:t>6</w:t>
            </w:r>
          </w:p>
        </w:tc>
      </w:tr>
      <w:tr w14:paraId="78241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34" w:type="dxa"/>
            <w:vMerge w:val="continue"/>
            <w:tcBorders>
              <w:left w:val="single" w:color="auto" w:sz="4" w:space="0"/>
              <w:right w:val="single" w:color="auto" w:sz="4" w:space="0"/>
            </w:tcBorders>
            <w:vAlign w:val="center"/>
          </w:tcPr>
          <w:p w14:paraId="0A1B068D">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1BB358EE">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37BF2E35">
            <w:pPr>
              <w:tabs>
                <w:tab w:val="left" w:pos="5400"/>
              </w:tabs>
              <w:spacing w:line="276" w:lineRule="auto"/>
              <w:jc w:val="left"/>
              <w:rPr>
                <w:rFonts w:ascii="宋体" w:hAnsi="宋体"/>
                <w:color w:val="000000"/>
                <w:szCs w:val="21"/>
              </w:rPr>
            </w:pPr>
            <w:bookmarkStart w:id="205" w:name="OLE_LINK32"/>
            <w:r>
              <w:rPr>
                <w:rFonts w:ascii="宋体" w:hAnsi="宋体"/>
                <w:color w:val="000000"/>
                <w:szCs w:val="21"/>
              </w:rPr>
              <w:t>项目技术流程</w:t>
            </w:r>
            <w:r>
              <w:rPr>
                <w:rFonts w:hint="eastAsia" w:ascii="宋体" w:hAnsi="宋体"/>
                <w:color w:val="000000"/>
                <w:szCs w:val="21"/>
              </w:rPr>
              <w:t>及</w:t>
            </w:r>
            <w:r>
              <w:rPr>
                <w:rFonts w:ascii="宋体" w:hAnsi="宋体"/>
                <w:color w:val="000000"/>
                <w:szCs w:val="21"/>
              </w:rPr>
              <w:t>总体工作程序</w:t>
            </w:r>
            <w:r>
              <w:rPr>
                <w:rFonts w:hint="eastAsia" w:ascii="宋体" w:hAnsi="宋体"/>
                <w:color w:val="000000"/>
                <w:szCs w:val="21"/>
              </w:rPr>
              <w:t>的全面性、合理性</w:t>
            </w:r>
            <w:r>
              <w:rPr>
                <w:rFonts w:ascii="宋体" w:hAnsi="宋体"/>
                <w:color w:val="000000"/>
                <w:szCs w:val="21"/>
              </w:rPr>
              <w:t>。</w:t>
            </w:r>
          </w:p>
          <w:p w14:paraId="57A54A98">
            <w:pPr>
              <w:tabs>
                <w:tab w:val="left" w:pos="5400"/>
              </w:tabs>
              <w:spacing w:line="276" w:lineRule="auto"/>
              <w:jc w:val="left"/>
              <w:rPr>
                <w:rFonts w:hint="eastAsia" w:ascii="宋体" w:hAnsi="宋体"/>
                <w:szCs w:val="21"/>
              </w:rPr>
            </w:pPr>
            <w:r>
              <w:rPr>
                <w:rFonts w:ascii="宋体" w:hAnsi="宋体"/>
                <w:color w:val="000000"/>
                <w:szCs w:val="21"/>
              </w:rPr>
              <w:t>技术流程</w:t>
            </w:r>
            <w:r>
              <w:rPr>
                <w:rFonts w:hint="eastAsia" w:ascii="宋体" w:hAnsi="宋体"/>
                <w:color w:val="000000"/>
                <w:szCs w:val="21"/>
              </w:rPr>
              <w:t>及工作程序的全面性和合理性优于招标要求的得8分；</w:t>
            </w:r>
            <w:bookmarkStart w:id="206" w:name="OLE_LINK3"/>
            <w:r>
              <w:rPr>
                <w:rFonts w:hint="eastAsia" w:ascii="宋体" w:hAnsi="宋体"/>
                <w:color w:val="000000"/>
                <w:szCs w:val="21"/>
              </w:rPr>
              <w:t>符合招标文件要求的得</w:t>
            </w:r>
            <w:r>
              <w:rPr>
                <w:rFonts w:hint="eastAsia" w:ascii="宋体" w:hAnsi="宋体"/>
                <w:color w:val="000000"/>
                <w:szCs w:val="21"/>
                <w:lang w:val="en-US" w:eastAsia="zh-CN"/>
              </w:rPr>
              <w:t>7</w:t>
            </w:r>
            <w:r>
              <w:rPr>
                <w:rFonts w:hint="eastAsia" w:ascii="宋体" w:hAnsi="宋体"/>
                <w:color w:val="000000"/>
                <w:szCs w:val="21"/>
              </w:rPr>
              <w:t>分；不满足招标文件或未提供的不得分。</w:t>
            </w:r>
            <w:bookmarkEnd w:id="205"/>
            <w:bookmarkEnd w:id="206"/>
          </w:p>
        </w:tc>
        <w:tc>
          <w:tcPr>
            <w:tcW w:w="567" w:type="dxa"/>
            <w:tcBorders>
              <w:top w:val="single" w:color="auto" w:sz="4" w:space="0"/>
              <w:left w:val="single" w:color="auto" w:sz="4" w:space="0"/>
              <w:right w:val="single" w:color="auto" w:sz="4" w:space="0"/>
            </w:tcBorders>
            <w:vAlign w:val="center"/>
          </w:tcPr>
          <w:p w14:paraId="64B19C3F">
            <w:pPr>
              <w:pStyle w:val="19"/>
              <w:spacing w:line="276" w:lineRule="auto"/>
              <w:jc w:val="center"/>
              <w:rPr>
                <w:rFonts w:hint="default" w:ascii="宋体" w:hAnsi="宋体" w:eastAsia="宋体"/>
                <w:szCs w:val="21"/>
                <w:lang w:val="en-US" w:eastAsia="zh-CN"/>
              </w:rPr>
            </w:pPr>
            <w:r>
              <w:rPr>
                <w:rFonts w:hint="eastAsia" w:ascii="宋体" w:hAnsi="宋体"/>
                <w:szCs w:val="21"/>
                <w:lang w:val="en-US" w:eastAsia="zh-CN"/>
              </w:rPr>
              <w:t>8</w:t>
            </w:r>
          </w:p>
        </w:tc>
      </w:tr>
      <w:tr w14:paraId="09C3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34" w:type="dxa"/>
            <w:vMerge w:val="continue"/>
            <w:tcBorders>
              <w:left w:val="single" w:color="auto" w:sz="4" w:space="0"/>
              <w:right w:val="single" w:color="auto" w:sz="4" w:space="0"/>
            </w:tcBorders>
            <w:vAlign w:val="center"/>
          </w:tcPr>
          <w:p w14:paraId="0B9EDCCA">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480A2464">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061FF959">
            <w:pPr>
              <w:tabs>
                <w:tab w:val="left" w:pos="5400"/>
              </w:tabs>
              <w:spacing w:line="276" w:lineRule="auto"/>
              <w:jc w:val="left"/>
              <w:rPr>
                <w:rFonts w:hint="eastAsia" w:ascii="宋体" w:hAnsi="宋体"/>
                <w:color w:val="000000"/>
                <w:szCs w:val="21"/>
              </w:rPr>
            </w:pPr>
            <w:bookmarkStart w:id="207" w:name="OLE_LINK33"/>
            <w:r>
              <w:rPr>
                <w:rFonts w:hint="eastAsia" w:ascii="宋体" w:hAnsi="宋体"/>
                <w:color w:val="000000"/>
                <w:szCs w:val="21"/>
              </w:rPr>
              <w:t>土壤采样布点方案全面</w:t>
            </w:r>
            <w:r>
              <w:rPr>
                <w:rFonts w:hint="eastAsia" w:ascii="宋体" w:hAnsi="宋体"/>
                <w:color w:val="000000"/>
                <w:szCs w:val="21"/>
                <w:lang w:val="en-US" w:eastAsia="zh-CN"/>
              </w:rPr>
              <w:t>性</w:t>
            </w:r>
            <w:r>
              <w:rPr>
                <w:rFonts w:hint="eastAsia" w:ascii="宋体" w:hAnsi="宋体"/>
                <w:color w:val="000000"/>
                <w:szCs w:val="21"/>
              </w:rPr>
              <w:t>、合理</w:t>
            </w:r>
            <w:r>
              <w:rPr>
                <w:rFonts w:hint="eastAsia" w:ascii="宋体" w:hAnsi="宋体"/>
                <w:color w:val="000000"/>
                <w:szCs w:val="21"/>
                <w:lang w:val="en-US" w:eastAsia="zh-CN"/>
              </w:rPr>
              <w:t>性</w:t>
            </w:r>
            <w:r>
              <w:rPr>
                <w:rFonts w:hint="eastAsia" w:ascii="宋体" w:hAnsi="宋体"/>
                <w:color w:val="000000"/>
                <w:szCs w:val="21"/>
              </w:rPr>
              <w:t>。</w:t>
            </w:r>
          </w:p>
          <w:p w14:paraId="6CC3A663">
            <w:pPr>
              <w:tabs>
                <w:tab w:val="left" w:pos="5400"/>
              </w:tabs>
              <w:spacing w:line="276" w:lineRule="auto"/>
              <w:jc w:val="left"/>
              <w:rPr>
                <w:rFonts w:hint="default" w:ascii="宋体" w:hAnsi="宋体" w:eastAsiaTheme="minorEastAsia"/>
                <w:szCs w:val="21"/>
                <w:lang w:val="en-US" w:eastAsia="zh-CN"/>
              </w:rPr>
            </w:pPr>
            <w:r>
              <w:rPr>
                <w:rFonts w:hint="eastAsia" w:ascii="宋体" w:hAnsi="宋体"/>
                <w:color w:val="000000"/>
                <w:szCs w:val="21"/>
              </w:rPr>
              <w:t>土壤采样布点原则、点位设置等相关方案优于招标文件要求的得5分；符合招标文件要求的得4分；不满足招标文件或未提供的不得分。</w:t>
            </w:r>
            <w:bookmarkEnd w:id="207"/>
          </w:p>
        </w:tc>
        <w:tc>
          <w:tcPr>
            <w:tcW w:w="567" w:type="dxa"/>
            <w:tcBorders>
              <w:top w:val="single" w:color="auto" w:sz="4" w:space="0"/>
              <w:left w:val="single" w:color="auto" w:sz="4" w:space="0"/>
              <w:right w:val="single" w:color="auto" w:sz="4" w:space="0"/>
            </w:tcBorders>
            <w:vAlign w:val="center"/>
          </w:tcPr>
          <w:p w14:paraId="4705B1D7">
            <w:pPr>
              <w:pStyle w:val="19"/>
              <w:spacing w:line="276" w:lineRule="auto"/>
              <w:jc w:val="center"/>
              <w:rPr>
                <w:rFonts w:hint="default" w:ascii="宋体" w:hAnsi="宋体" w:eastAsia="宋体"/>
                <w:szCs w:val="21"/>
                <w:lang w:val="en-US" w:eastAsia="zh-CN"/>
              </w:rPr>
            </w:pPr>
            <w:r>
              <w:rPr>
                <w:rFonts w:hint="eastAsia" w:ascii="宋体" w:hAnsi="宋体"/>
                <w:szCs w:val="21"/>
                <w:lang w:val="en-US" w:eastAsia="zh-CN"/>
              </w:rPr>
              <w:t>5</w:t>
            </w:r>
          </w:p>
        </w:tc>
      </w:tr>
      <w:tr w14:paraId="759A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0CC3EEC7">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276179B2">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574CB690">
            <w:pPr>
              <w:adjustRightInd w:val="0"/>
              <w:snapToGrid w:val="0"/>
              <w:spacing w:line="288" w:lineRule="auto"/>
              <w:rPr>
                <w:rFonts w:hint="eastAsia" w:ascii="宋体" w:hAnsi="宋体"/>
                <w:color w:val="000000"/>
                <w:szCs w:val="21"/>
              </w:rPr>
            </w:pPr>
            <w:bookmarkStart w:id="208" w:name="OLE_LINK34"/>
            <w:r>
              <w:rPr>
                <w:rFonts w:hint="eastAsia" w:ascii="宋体" w:hAnsi="宋体"/>
                <w:color w:val="000000"/>
                <w:szCs w:val="21"/>
              </w:rPr>
              <w:t>土样检测因子合理性、异常土样复检要求。</w:t>
            </w:r>
          </w:p>
          <w:p w14:paraId="76D9373C">
            <w:pPr>
              <w:adjustRightInd w:val="0"/>
              <w:snapToGrid w:val="0"/>
              <w:spacing w:line="288" w:lineRule="auto"/>
              <w:rPr>
                <w:rFonts w:hint="default" w:ascii="宋体" w:hAnsi="宋体" w:eastAsiaTheme="minorEastAsia"/>
                <w:szCs w:val="21"/>
                <w:lang w:val="en-US" w:eastAsia="zh-CN"/>
              </w:rPr>
            </w:pPr>
            <w:r>
              <w:rPr>
                <w:rFonts w:hint="eastAsia" w:ascii="宋体" w:hAnsi="宋体"/>
                <w:color w:val="000000"/>
                <w:szCs w:val="21"/>
              </w:rPr>
              <w:t>对土样检测因子分析的合理性、异常土样复检要求分析优于招标文件要求的得5分；符合招标文件要求的得4分；不满足招标文件或未提供的不得分。</w:t>
            </w:r>
            <w:bookmarkEnd w:id="208"/>
          </w:p>
        </w:tc>
        <w:tc>
          <w:tcPr>
            <w:tcW w:w="567" w:type="dxa"/>
            <w:tcBorders>
              <w:top w:val="single" w:color="auto" w:sz="4" w:space="0"/>
              <w:left w:val="single" w:color="auto" w:sz="4" w:space="0"/>
              <w:right w:val="single" w:color="auto" w:sz="4" w:space="0"/>
            </w:tcBorders>
            <w:vAlign w:val="center"/>
          </w:tcPr>
          <w:p w14:paraId="261A81AC">
            <w:pPr>
              <w:pStyle w:val="19"/>
              <w:spacing w:line="276" w:lineRule="auto"/>
              <w:jc w:val="center"/>
              <w:rPr>
                <w:rFonts w:hint="eastAsia" w:ascii="宋体" w:hAnsi="宋体" w:eastAsia="宋体"/>
                <w:szCs w:val="21"/>
                <w:lang w:val="en-US" w:eastAsia="zh-CN"/>
              </w:rPr>
            </w:pPr>
            <w:r>
              <w:rPr>
                <w:rFonts w:hint="eastAsia" w:ascii="宋体" w:hAnsi="宋体"/>
                <w:szCs w:val="21"/>
                <w:lang w:val="en-US" w:eastAsia="zh-CN"/>
              </w:rPr>
              <w:t>5</w:t>
            </w:r>
          </w:p>
        </w:tc>
      </w:tr>
      <w:tr w14:paraId="5C40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2DF313F3">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0302532E">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6CFEE8EB">
            <w:pPr>
              <w:spacing w:line="276" w:lineRule="auto"/>
              <w:rPr>
                <w:rFonts w:ascii="宋体" w:hAnsi="宋体"/>
                <w:color w:val="000000"/>
                <w:szCs w:val="21"/>
              </w:rPr>
            </w:pPr>
            <w:bookmarkStart w:id="209" w:name="OLE_LINK35"/>
            <w:r>
              <w:rPr>
                <w:rFonts w:hint="eastAsia" w:ascii="宋体" w:hAnsi="宋体"/>
                <w:color w:val="000000"/>
                <w:szCs w:val="21"/>
              </w:rPr>
              <w:t>项目</w:t>
            </w:r>
            <w:r>
              <w:rPr>
                <w:rFonts w:ascii="宋体" w:hAnsi="宋体"/>
                <w:color w:val="000000"/>
                <w:szCs w:val="21"/>
              </w:rPr>
              <w:t>难点、重点等描述与分析。</w:t>
            </w:r>
          </w:p>
          <w:p w14:paraId="0FB5DEFA">
            <w:pPr>
              <w:spacing w:line="276" w:lineRule="auto"/>
              <w:rPr>
                <w:rFonts w:hint="default"/>
                <w:lang w:val="en-US" w:eastAsia="zh-CN"/>
              </w:rPr>
            </w:pPr>
            <w:r>
              <w:rPr>
                <w:rFonts w:hint="eastAsia" w:ascii="宋体" w:hAnsi="宋体"/>
                <w:color w:val="000000"/>
                <w:szCs w:val="21"/>
              </w:rPr>
              <w:t>难点、重点描述与分析的全面性和合理性</w:t>
            </w:r>
            <w:bookmarkStart w:id="210" w:name="OLE_LINK4"/>
            <w:r>
              <w:rPr>
                <w:rFonts w:hint="eastAsia" w:ascii="宋体" w:hAnsi="宋体"/>
                <w:color w:val="000000"/>
                <w:szCs w:val="21"/>
              </w:rPr>
              <w:t>优于招标文件要求的得8分；符合招标文件要求的得</w:t>
            </w:r>
            <w:r>
              <w:rPr>
                <w:rFonts w:hint="eastAsia" w:ascii="宋体" w:hAnsi="宋体"/>
                <w:color w:val="000000"/>
                <w:szCs w:val="21"/>
                <w:lang w:val="en-US" w:eastAsia="zh-CN"/>
              </w:rPr>
              <w:t>7</w:t>
            </w:r>
            <w:r>
              <w:rPr>
                <w:rFonts w:hint="eastAsia" w:ascii="宋体" w:hAnsi="宋体"/>
                <w:color w:val="000000"/>
                <w:szCs w:val="21"/>
              </w:rPr>
              <w:t>分；不满足招标文件或未提供的不得分。</w:t>
            </w:r>
            <w:bookmarkEnd w:id="209"/>
            <w:bookmarkEnd w:id="210"/>
          </w:p>
        </w:tc>
        <w:tc>
          <w:tcPr>
            <w:tcW w:w="567" w:type="dxa"/>
            <w:tcBorders>
              <w:top w:val="single" w:color="auto" w:sz="4" w:space="0"/>
              <w:left w:val="single" w:color="auto" w:sz="4" w:space="0"/>
              <w:right w:val="single" w:color="auto" w:sz="4" w:space="0"/>
            </w:tcBorders>
            <w:vAlign w:val="center"/>
          </w:tcPr>
          <w:p w14:paraId="1DD8C859">
            <w:pPr>
              <w:pStyle w:val="19"/>
              <w:spacing w:line="276" w:lineRule="auto"/>
              <w:jc w:val="center"/>
              <w:rPr>
                <w:rFonts w:hint="eastAsia" w:ascii="宋体" w:hAnsi="宋体" w:eastAsia="宋体"/>
                <w:szCs w:val="21"/>
                <w:lang w:val="en-US" w:eastAsia="zh-CN"/>
              </w:rPr>
            </w:pPr>
            <w:r>
              <w:rPr>
                <w:rFonts w:hint="eastAsia" w:ascii="宋体" w:hAnsi="宋体"/>
                <w:szCs w:val="21"/>
                <w:lang w:val="en-US" w:eastAsia="zh-CN"/>
              </w:rPr>
              <w:t>8</w:t>
            </w:r>
          </w:p>
        </w:tc>
      </w:tr>
      <w:tr w14:paraId="0665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578A126E">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7C61B89D">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1C6F4DF2">
            <w:pPr>
              <w:spacing w:line="276" w:lineRule="auto"/>
              <w:rPr>
                <w:rFonts w:ascii="宋体" w:hAnsi="宋体"/>
                <w:color w:val="000000"/>
                <w:szCs w:val="21"/>
              </w:rPr>
            </w:pPr>
            <w:bookmarkStart w:id="211" w:name="OLE_LINK36"/>
            <w:r>
              <w:rPr>
                <w:rFonts w:ascii="宋体" w:hAnsi="宋体"/>
                <w:color w:val="000000"/>
                <w:szCs w:val="21"/>
              </w:rPr>
              <w:t>项目合理化建议的阐述。</w:t>
            </w:r>
          </w:p>
          <w:p w14:paraId="2876C777">
            <w:pPr>
              <w:spacing w:line="276" w:lineRule="auto"/>
              <w:rPr>
                <w:rFonts w:hint="eastAsia" w:ascii="宋体" w:hAnsi="宋体"/>
                <w:color w:val="000000"/>
                <w:szCs w:val="21"/>
              </w:rPr>
            </w:pPr>
            <w:r>
              <w:rPr>
                <w:rFonts w:ascii="宋体" w:hAnsi="宋体"/>
                <w:color w:val="000000"/>
                <w:szCs w:val="21"/>
              </w:rPr>
              <w:t>提供合理建议及解决方案的</w:t>
            </w:r>
            <w:r>
              <w:rPr>
                <w:rFonts w:hint="eastAsia" w:ascii="宋体" w:hAnsi="宋体"/>
                <w:color w:val="000000"/>
                <w:szCs w:val="21"/>
              </w:rPr>
              <w:t>优于招标文件要求的得5分；符合招标文件要求的得4分；不满足招标文件或未提供的不得分。</w:t>
            </w:r>
            <w:bookmarkEnd w:id="211"/>
          </w:p>
        </w:tc>
        <w:tc>
          <w:tcPr>
            <w:tcW w:w="567" w:type="dxa"/>
            <w:tcBorders>
              <w:top w:val="single" w:color="auto" w:sz="4" w:space="0"/>
              <w:left w:val="single" w:color="auto" w:sz="4" w:space="0"/>
              <w:right w:val="single" w:color="auto" w:sz="4" w:space="0"/>
            </w:tcBorders>
            <w:vAlign w:val="center"/>
          </w:tcPr>
          <w:p w14:paraId="0E6441EE">
            <w:pPr>
              <w:pStyle w:val="19"/>
              <w:spacing w:line="276" w:lineRule="auto"/>
              <w:jc w:val="center"/>
              <w:rPr>
                <w:rFonts w:hint="default" w:ascii="宋体" w:hAnsi="宋体"/>
                <w:szCs w:val="21"/>
                <w:lang w:val="en-US" w:eastAsia="zh-CN"/>
              </w:rPr>
            </w:pPr>
            <w:r>
              <w:rPr>
                <w:rFonts w:hint="eastAsia" w:ascii="宋体" w:hAnsi="宋体"/>
                <w:szCs w:val="21"/>
                <w:lang w:val="en-US" w:eastAsia="zh-CN"/>
              </w:rPr>
              <w:t>5</w:t>
            </w:r>
          </w:p>
        </w:tc>
      </w:tr>
      <w:tr w14:paraId="6C7C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69264F3B">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5172694A">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3DD8B472">
            <w:pPr>
              <w:tabs>
                <w:tab w:val="left" w:pos="5400"/>
              </w:tabs>
              <w:spacing w:line="276" w:lineRule="auto"/>
              <w:jc w:val="left"/>
              <w:rPr>
                <w:rFonts w:hint="eastAsia" w:ascii="宋体" w:hAnsi="宋体"/>
                <w:color w:val="000000"/>
                <w:szCs w:val="21"/>
              </w:rPr>
            </w:pPr>
            <w:bookmarkStart w:id="212" w:name="OLE_LINK37"/>
            <w:r>
              <w:rPr>
                <w:rFonts w:ascii="宋体" w:hAnsi="宋体"/>
                <w:color w:val="000000"/>
                <w:szCs w:val="21"/>
              </w:rPr>
              <w:t>项目</w:t>
            </w:r>
            <w:r>
              <w:rPr>
                <w:rFonts w:hint="eastAsia" w:ascii="宋体" w:hAnsi="宋体"/>
                <w:color w:val="000000"/>
                <w:szCs w:val="21"/>
              </w:rPr>
              <w:t>质量保障措施的可行性、合理性，提供详细的各项质量保障措施方案。</w:t>
            </w:r>
          </w:p>
          <w:p w14:paraId="68ECAFE4">
            <w:pPr>
              <w:spacing w:line="276" w:lineRule="auto"/>
              <w:rPr>
                <w:rFonts w:hint="eastAsia" w:ascii="宋体" w:hAnsi="宋体"/>
                <w:color w:val="000000"/>
                <w:szCs w:val="21"/>
              </w:rPr>
            </w:pPr>
            <w:bookmarkStart w:id="243" w:name="_GoBack"/>
            <w:bookmarkEnd w:id="243"/>
            <w:r>
              <w:rPr>
                <w:rFonts w:hint="eastAsia" w:ascii="宋体" w:hAnsi="宋体"/>
                <w:color w:val="000000"/>
                <w:szCs w:val="21"/>
              </w:rPr>
              <w:t>方案的可行性和合理性</w:t>
            </w:r>
            <w:bookmarkStart w:id="213" w:name="OLE_LINK5"/>
            <w:r>
              <w:rPr>
                <w:rFonts w:hint="eastAsia" w:ascii="宋体" w:hAnsi="宋体"/>
                <w:color w:val="000000"/>
                <w:szCs w:val="21"/>
              </w:rPr>
              <w:t>优于招标文件要求的得</w:t>
            </w:r>
            <w:bookmarkEnd w:id="213"/>
            <w:r>
              <w:rPr>
                <w:rFonts w:hint="eastAsia" w:ascii="宋体" w:hAnsi="宋体"/>
                <w:color w:val="000000"/>
                <w:szCs w:val="21"/>
              </w:rPr>
              <w:t>5分；</w:t>
            </w:r>
            <w:bookmarkStart w:id="214" w:name="OLE_LINK12"/>
            <w:r>
              <w:rPr>
                <w:rFonts w:hint="eastAsia" w:ascii="宋体" w:hAnsi="宋体"/>
                <w:color w:val="000000"/>
                <w:szCs w:val="21"/>
              </w:rPr>
              <w:t>符合招标文件要求的得4分；不满足招标文件或未提供的不得分。</w:t>
            </w:r>
            <w:bookmarkEnd w:id="212"/>
            <w:bookmarkEnd w:id="214"/>
          </w:p>
        </w:tc>
        <w:tc>
          <w:tcPr>
            <w:tcW w:w="567" w:type="dxa"/>
            <w:tcBorders>
              <w:top w:val="single" w:color="auto" w:sz="4" w:space="0"/>
              <w:left w:val="single" w:color="auto" w:sz="4" w:space="0"/>
              <w:right w:val="single" w:color="auto" w:sz="4" w:space="0"/>
            </w:tcBorders>
            <w:vAlign w:val="center"/>
          </w:tcPr>
          <w:p w14:paraId="7292A983">
            <w:pPr>
              <w:pStyle w:val="19"/>
              <w:spacing w:line="276" w:lineRule="auto"/>
              <w:jc w:val="center"/>
              <w:rPr>
                <w:rFonts w:hint="default" w:ascii="宋体" w:hAnsi="宋体"/>
                <w:szCs w:val="21"/>
                <w:lang w:val="en-US" w:eastAsia="zh-CN"/>
              </w:rPr>
            </w:pPr>
            <w:r>
              <w:rPr>
                <w:rFonts w:hint="eastAsia" w:ascii="宋体" w:hAnsi="宋体"/>
                <w:szCs w:val="21"/>
                <w:lang w:val="en-US" w:eastAsia="zh-CN"/>
              </w:rPr>
              <w:t>5</w:t>
            </w:r>
          </w:p>
        </w:tc>
      </w:tr>
      <w:tr w14:paraId="39A9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3764E335">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38F64230">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151CDBDA">
            <w:pPr>
              <w:tabs>
                <w:tab w:val="left" w:pos="5400"/>
              </w:tabs>
              <w:spacing w:line="276" w:lineRule="auto"/>
              <w:jc w:val="left"/>
              <w:rPr>
                <w:rFonts w:hint="eastAsia" w:ascii="宋体" w:hAnsi="宋体"/>
                <w:color w:val="000000"/>
                <w:szCs w:val="21"/>
              </w:rPr>
            </w:pPr>
            <w:bookmarkStart w:id="215" w:name="OLE_LINK39"/>
            <w:r>
              <w:rPr>
                <w:rFonts w:ascii="宋体" w:hAnsi="宋体"/>
                <w:color w:val="000000"/>
                <w:szCs w:val="21"/>
              </w:rPr>
              <w:t>项目进度安排科学合理、组织协调措施健全</w:t>
            </w:r>
            <w:r>
              <w:rPr>
                <w:rFonts w:hint="eastAsia" w:ascii="宋体" w:hAnsi="宋体"/>
                <w:color w:val="000000"/>
                <w:szCs w:val="21"/>
              </w:rPr>
              <w:t>，</w:t>
            </w:r>
            <w:r>
              <w:rPr>
                <w:rFonts w:ascii="宋体" w:hAnsi="宋体"/>
                <w:color w:val="000000"/>
                <w:szCs w:val="21"/>
              </w:rPr>
              <w:t>能满足需求的且详细完整、有可操作性</w:t>
            </w:r>
            <w:r>
              <w:rPr>
                <w:rFonts w:hint="eastAsia" w:ascii="宋体" w:hAnsi="宋体"/>
                <w:color w:val="000000"/>
                <w:szCs w:val="21"/>
              </w:rPr>
              <w:t>。</w:t>
            </w:r>
          </w:p>
          <w:p w14:paraId="4C84D4F6">
            <w:pPr>
              <w:spacing w:line="276" w:lineRule="auto"/>
              <w:rPr>
                <w:rFonts w:hint="eastAsia" w:ascii="宋体" w:hAnsi="宋体"/>
                <w:color w:val="000000"/>
                <w:szCs w:val="21"/>
              </w:rPr>
            </w:pPr>
            <w:bookmarkStart w:id="216" w:name="OLE_LINK6"/>
            <w:r>
              <w:rPr>
                <w:rFonts w:hint="eastAsia" w:ascii="宋体" w:hAnsi="宋体" w:cs="宋体"/>
                <w:color w:val="000000"/>
                <w:szCs w:val="21"/>
              </w:rPr>
              <w:t>进度安排</w:t>
            </w:r>
            <w:bookmarkStart w:id="217" w:name="OLE_LINK13"/>
            <w:r>
              <w:rPr>
                <w:rFonts w:hint="eastAsia" w:ascii="宋体" w:hAnsi="宋体" w:cs="宋体"/>
                <w:color w:val="000000"/>
                <w:szCs w:val="21"/>
              </w:rPr>
              <w:t>内容完整、详细具体、合理可行、具体得当、可操作性</w:t>
            </w:r>
            <w:r>
              <w:rPr>
                <w:rFonts w:hint="eastAsia" w:ascii="宋体" w:hAnsi="宋体"/>
                <w:color w:val="000000"/>
                <w:szCs w:val="21"/>
              </w:rPr>
              <w:t>优于招标文件要求的得</w:t>
            </w:r>
            <w:r>
              <w:rPr>
                <w:rFonts w:hint="eastAsia" w:ascii="宋体" w:hAnsi="宋体" w:cs="宋体"/>
                <w:color w:val="000000"/>
                <w:szCs w:val="21"/>
              </w:rPr>
              <w:t>5分；</w:t>
            </w:r>
            <w:bookmarkEnd w:id="216"/>
            <w:r>
              <w:rPr>
                <w:rFonts w:hint="eastAsia" w:ascii="宋体" w:hAnsi="宋体"/>
                <w:color w:val="000000"/>
                <w:szCs w:val="21"/>
              </w:rPr>
              <w:t>符合招标文件要求的得4分；不满足招标文件或未提供的不得分。</w:t>
            </w:r>
            <w:bookmarkEnd w:id="215"/>
            <w:bookmarkEnd w:id="217"/>
          </w:p>
        </w:tc>
        <w:tc>
          <w:tcPr>
            <w:tcW w:w="567" w:type="dxa"/>
            <w:tcBorders>
              <w:top w:val="single" w:color="auto" w:sz="4" w:space="0"/>
              <w:left w:val="single" w:color="auto" w:sz="4" w:space="0"/>
              <w:right w:val="single" w:color="auto" w:sz="4" w:space="0"/>
            </w:tcBorders>
            <w:vAlign w:val="center"/>
          </w:tcPr>
          <w:p w14:paraId="2C05CA26">
            <w:pPr>
              <w:pStyle w:val="19"/>
              <w:spacing w:line="276" w:lineRule="auto"/>
              <w:jc w:val="center"/>
              <w:rPr>
                <w:rFonts w:hint="default" w:ascii="宋体" w:hAnsi="宋体"/>
                <w:szCs w:val="21"/>
                <w:lang w:val="en-US" w:eastAsia="zh-CN"/>
              </w:rPr>
            </w:pPr>
            <w:r>
              <w:rPr>
                <w:rFonts w:hint="eastAsia" w:ascii="宋体" w:hAnsi="宋体"/>
                <w:szCs w:val="21"/>
                <w:lang w:val="en-US" w:eastAsia="zh-CN"/>
              </w:rPr>
              <w:t>5</w:t>
            </w:r>
          </w:p>
        </w:tc>
      </w:tr>
      <w:tr w14:paraId="1901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vMerge w:val="continue"/>
            <w:tcBorders>
              <w:left w:val="single" w:color="auto" w:sz="4" w:space="0"/>
              <w:right w:val="single" w:color="auto" w:sz="4" w:space="0"/>
            </w:tcBorders>
            <w:vAlign w:val="center"/>
          </w:tcPr>
          <w:p w14:paraId="79A0F547">
            <w:pPr>
              <w:pStyle w:val="19"/>
              <w:snapToGrid w:val="0"/>
              <w:spacing w:line="276" w:lineRule="auto"/>
              <w:contextualSpacing/>
              <w:jc w:val="center"/>
              <w:rPr>
                <w:rFonts w:hint="eastAsia" w:ascii="宋体" w:hAnsi="宋体"/>
                <w:szCs w:val="21"/>
              </w:rPr>
            </w:pPr>
          </w:p>
        </w:tc>
        <w:tc>
          <w:tcPr>
            <w:tcW w:w="1134" w:type="dxa"/>
            <w:vMerge w:val="continue"/>
            <w:tcBorders>
              <w:left w:val="single" w:color="auto" w:sz="4" w:space="0"/>
              <w:right w:val="single" w:color="auto" w:sz="4" w:space="0"/>
            </w:tcBorders>
            <w:vAlign w:val="center"/>
          </w:tcPr>
          <w:p w14:paraId="1954D08F">
            <w:pPr>
              <w:spacing w:line="276" w:lineRule="auto"/>
              <w:jc w:val="center"/>
              <w:rPr>
                <w:rFonts w:ascii="宋体" w:hAnsi="宋体"/>
                <w:szCs w:val="21"/>
              </w:rPr>
            </w:pPr>
          </w:p>
        </w:tc>
        <w:tc>
          <w:tcPr>
            <w:tcW w:w="7796" w:type="dxa"/>
            <w:tcBorders>
              <w:top w:val="single" w:color="auto" w:sz="4" w:space="0"/>
              <w:left w:val="single" w:color="auto" w:sz="4" w:space="0"/>
              <w:right w:val="single" w:color="auto" w:sz="4" w:space="0"/>
            </w:tcBorders>
            <w:vAlign w:val="center"/>
          </w:tcPr>
          <w:p w14:paraId="63D1A1C3">
            <w:pPr>
              <w:spacing w:line="276" w:lineRule="auto"/>
              <w:rPr>
                <w:rFonts w:hint="eastAsia" w:ascii="宋体" w:hAnsi="宋体"/>
                <w:color w:val="000000"/>
                <w:szCs w:val="21"/>
              </w:rPr>
            </w:pPr>
            <w:r>
              <w:rPr>
                <w:rFonts w:ascii="宋体" w:hAnsi="宋体"/>
                <w:color w:val="000000"/>
                <w:szCs w:val="21"/>
              </w:rPr>
              <w:t>安全保密措施（安全责任制度明确，制定数据资料保密制度），措施合理可行、</w:t>
            </w:r>
            <w:r>
              <w:rPr>
                <w:rFonts w:hint="eastAsia" w:ascii="宋体" w:hAnsi="宋体"/>
                <w:color w:val="000000"/>
                <w:szCs w:val="21"/>
              </w:rPr>
              <w:t>具体得当、操作性强。</w:t>
            </w:r>
          </w:p>
          <w:p w14:paraId="1403ABC9">
            <w:pPr>
              <w:spacing w:line="276" w:lineRule="auto"/>
              <w:rPr>
                <w:rFonts w:hint="eastAsia" w:ascii="宋体" w:hAnsi="宋体" w:cs="宋体"/>
                <w:color w:val="000000"/>
                <w:szCs w:val="21"/>
              </w:rPr>
            </w:pPr>
            <w:r>
              <w:rPr>
                <w:rFonts w:hint="eastAsia" w:ascii="宋体" w:hAnsi="宋体" w:cs="宋体"/>
                <w:color w:val="000000"/>
                <w:szCs w:val="21"/>
              </w:rPr>
              <w:t>内容完整、详细具体、合理可行、具体得当、可操作性</w:t>
            </w:r>
            <w:r>
              <w:rPr>
                <w:rFonts w:hint="eastAsia" w:ascii="宋体" w:hAnsi="宋体"/>
                <w:color w:val="000000"/>
                <w:szCs w:val="21"/>
              </w:rPr>
              <w:t>优于招标文件要求的得</w:t>
            </w:r>
            <w:r>
              <w:rPr>
                <w:rFonts w:hint="eastAsia" w:ascii="宋体" w:hAnsi="宋体" w:cs="宋体"/>
                <w:color w:val="000000"/>
                <w:szCs w:val="21"/>
              </w:rPr>
              <w:t>5分；</w:t>
            </w:r>
            <w:r>
              <w:rPr>
                <w:rFonts w:hint="eastAsia" w:ascii="宋体" w:hAnsi="宋体"/>
                <w:color w:val="000000"/>
                <w:szCs w:val="21"/>
              </w:rPr>
              <w:t>符合招标文件要求的得4分；不满足招标文件或未提供的不得分。</w:t>
            </w:r>
          </w:p>
        </w:tc>
        <w:tc>
          <w:tcPr>
            <w:tcW w:w="567" w:type="dxa"/>
            <w:tcBorders>
              <w:top w:val="single" w:color="auto" w:sz="4" w:space="0"/>
              <w:left w:val="single" w:color="auto" w:sz="4" w:space="0"/>
              <w:right w:val="single" w:color="auto" w:sz="4" w:space="0"/>
            </w:tcBorders>
            <w:vAlign w:val="center"/>
          </w:tcPr>
          <w:p w14:paraId="370BECCA">
            <w:pPr>
              <w:pStyle w:val="19"/>
              <w:spacing w:line="276" w:lineRule="auto"/>
              <w:jc w:val="center"/>
              <w:rPr>
                <w:rFonts w:hint="default" w:ascii="宋体" w:hAnsi="宋体"/>
                <w:szCs w:val="21"/>
                <w:lang w:val="en-US" w:eastAsia="zh-CN"/>
              </w:rPr>
            </w:pPr>
            <w:r>
              <w:rPr>
                <w:rFonts w:hint="eastAsia" w:ascii="宋体" w:hAnsi="宋体"/>
                <w:szCs w:val="21"/>
                <w:lang w:val="en-US" w:eastAsia="zh-CN"/>
              </w:rPr>
              <w:t>5</w:t>
            </w:r>
          </w:p>
        </w:tc>
      </w:tr>
      <w:tr w14:paraId="409C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tcBorders>
              <w:top w:val="single" w:color="auto" w:sz="4" w:space="0"/>
              <w:left w:val="single" w:color="auto" w:sz="4" w:space="0"/>
              <w:right w:val="single" w:color="auto" w:sz="4" w:space="0"/>
            </w:tcBorders>
            <w:vAlign w:val="center"/>
          </w:tcPr>
          <w:p w14:paraId="284F3B89">
            <w:pPr>
              <w:pStyle w:val="19"/>
              <w:snapToGrid w:val="0"/>
              <w:spacing w:line="276" w:lineRule="auto"/>
              <w:contextualSpacing/>
              <w:jc w:val="center"/>
              <w:rPr>
                <w:rFonts w:ascii="宋体" w:hAnsi="宋体"/>
                <w:szCs w:val="21"/>
              </w:rPr>
            </w:pPr>
            <w:r>
              <w:rPr>
                <w:rFonts w:hint="eastAsia" w:ascii="宋体" w:hAnsi="宋体"/>
                <w:szCs w:val="21"/>
              </w:rPr>
              <w:t>3</w:t>
            </w:r>
          </w:p>
        </w:tc>
        <w:tc>
          <w:tcPr>
            <w:tcW w:w="1134" w:type="dxa"/>
            <w:tcBorders>
              <w:top w:val="single" w:color="auto" w:sz="4" w:space="0"/>
              <w:left w:val="single" w:color="auto" w:sz="4" w:space="0"/>
              <w:right w:val="single" w:color="auto" w:sz="4" w:space="0"/>
            </w:tcBorders>
            <w:vAlign w:val="center"/>
          </w:tcPr>
          <w:p w14:paraId="696046C1">
            <w:pPr>
              <w:spacing w:line="276" w:lineRule="auto"/>
              <w:jc w:val="center"/>
              <w:rPr>
                <w:rFonts w:ascii="宋体" w:hAnsi="宋体"/>
                <w:bCs/>
                <w:szCs w:val="21"/>
              </w:rPr>
            </w:pPr>
            <w:bookmarkStart w:id="218" w:name="OLE_LINK24"/>
            <w:r>
              <w:rPr>
                <w:rFonts w:hint="eastAsia" w:ascii="宋体" w:hAnsi="宋体"/>
                <w:bCs/>
                <w:szCs w:val="21"/>
              </w:rPr>
              <w:t>项目组成人员</w:t>
            </w:r>
          </w:p>
          <w:bookmarkEnd w:id="218"/>
          <w:p w14:paraId="117B935B">
            <w:pPr>
              <w:spacing w:line="276" w:lineRule="auto"/>
              <w:jc w:val="center"/>
              <w:rPr>
                <w:rFonts w:ascii="宋体" w:hAnsi="宋体"/>
                <w:bCs/>
                <w:szCs w:val="21"/>
              </w:rPr>
            </w:pPr>
            <w:r>
              <w:rPr>
                <w:rFonts w:hint="eastAsia" w:ascii="宋体" w:hAnsi="宋体"/>
                <w:bCs/>
                <w:szCs w:val="21"/>
              </w:rPr>
              <w:t>（</w:t>
            </w:r>
            <w:r>
              <w:rPr>
                <w:rFonts w:hint="eastAsia" w:ascii="宋体" w:hAnsi="宋体"/>
                <w:bCs/>
                <w:szCs w:val="21"/>
                <w:lang w:val="en-US" w:eastAsia="zh-CN"/>
              </w:rPr>
              <w:t>15</w:t>
            </w:r>
            <w:r>
              <w:rPr>
                <w:rFonts w:hint="eastAsia" w:ascii="宋体" w:hAnsi="宋体"/>
                <w:bCs/>
                <w:szCs w:val="21"/>
              </w:rPr>
              <w:t>分）</w:t>
            </w:r>
          </w:p>
        </w:tc>
        <w:tc>
          <w:tcPr>
            <w:tcW w:w="7796" w:type="dxa"/>
            <w:tcBorders>
              <w:top w:val="single" w:color="auto" w:sz="4" w:space="0"/>
              <w:left w:val="single" w:color="auto" w:sz="4" w:space="0"/>
              <w:right w:val="single" w:color="auto" w:sz="4" w:space="0"/>
            </w:tcBorders>
            <w:vAlign w:val="center"/>
          </w:tcPr>
          <w:p w14:paraId="4A6F0313">
            <w:pPr>
              <w:spacing w:line="276" w:lineRule="auto"/>
            </w:pPr>
            <w:bookmarkStart w:id="219" w:name="OLE_LINK25"/>
            <w:r>
              <w:rPr>
                <w:rFonts w:hint="eastAsia"/>
                <w:lang w:val="en-US" w:eastAsia="zh-CN"/>
              </w:rPr>
              <w:t>1、拟派</w:t>
            </w:r>
            <w:r>
              <w:rPr>
                <w:rFonts w:hint="eastAsia"/>
              </w:rPr>
              <w:t>项目负责人具有工程师（</w:t>
            </w:r>
            <w:bookmarkStart w:id="220" w:name="OLE_LINK10"/>
            <w:r>
              <w:rPr>
                <w:rFonts w:hint="eastAsia"/>
              </w:rPr>
              <w:t>国土资源、自然资源、</w:t>
            </w:r>
            <w:bookmarkStart w:id="221" w:name="OLE_LINK11"/>
            <w:r>
              <w:rPr>
                <w:rFonts w:hint="eastAsia"/>
                <w:lang w:val="en-US" w:eastAsia="zh-CN"/>
              </w:rPr>
              <w:t>城乡规划、</w:t>
            </w:r>
            <w:bookmarkEnd w:id="221"/>
            <w:r>
              <w:rPr>
                <w:rFonts w:hint="eastAsia"/>
                <w:lang w:val="en-US" w:eastAsia="zh-CN"/>
              </w:rPr>
              <w:t>调查</w:t>
            </w:r>
            <w:r>
              <w:rPr>
                <w:rFonts w:hint="eastAsia"/>
              </w:rPr>
              <w:t>规划、</w:t>
            </w:r>
            <w:r>
              <w:rPr>
                <w:rFonts w:hint="eastAsia"/>
                <w:lang w:val="en-US" w:eastAsia="zh-CN"/>
              </w:rPr>
              <w:t>测绘等</w:t>
            </w:r>
            <w:r>
              <w:rPr>
                <w:rFonts w:hint="eastAsia"/>
              </w:rPr>
              <w:t>专业</w:t>
            </w:r>
            <w:bookmarkEnd w:id="220"/>
            <w:r>
              <w:rPr>
                <w:rFonts w:hint="eastAsia"/>
              </w:rPr>
              <w:t>）职称的得2分，具有高级工程师（国土资源、自然资源、</w:t>
            </w:r>
            <w:r>
              <w:rPr>
                <w:rFonts w:hint="eastAsia"/>
                <w:lang w:val="en-US" w:eastAsia="zh-CN"/>
              </w:rPr>
              <w:t>城乡规划、调查</w:t>
            </w:r>
            <w:r>
              <w:rPr>
                <w:rFonts w:hint="eastAsia"/>
              </w:rPr>
              <w:t>规划、</w:t>
            </w:r>
            <w:r>
              <w:rPr>
                <w:rFonts w:hint="eastAsia"/>
                <w:lang w:val="en-US" w:eastAsia="zh-CN"/>
              </w:rPr>
              <w:t>测绘等</w:t>
            </w:r>
            <w:r>
              <w:rPr>
                <w:rFonts w:hint="eastAsia"/>
              </w:rPr>
              <w:t>专业）职称的得4分，本项最多得4分。</w:t>
            </w:r>
          </w:p>
          <w:p w14:paraId="1F920711">
            <w:pPr>
              <w:spacing w:line="276" w:lineRule="auto"/>
            </w:pPr>
            <w:r>
              <w:rPr>
                <w:rFonts w:hint="eastAsia"/>
                <w:lang w:val="en-US" w:eastAsia="zh-CN"/>
              </w:rPr>
              <w:t>2、拟派项目</w:t>
            </w:r>
            <w:r>
              <w:rPr>
                <w:rFonts w:hint="eastAsia"/>
              </w:rPr>
              <w:t>技术负责人具有工程师职称的得2分，具有工业和信息化GIS应用技术证书（</w:t>
            </w:r>
            <w:r>
              <w:rPr>
                <w:rFonts w:hint="eastAsia"/>
                <w:lang w:val="en-US" w:eastAsia="zh-CN"/>
              </w:rPr>
              <w:t>一</w:t>
            </w:r>
            <w:r>
              <w:rPr>
                <w:rFonts w:hint="eastAsia"/>
              </w:rPr>
              <w:t>级</w:t>
            </w:r>
            <w:r>
              <w:rPr>
                <w:rFonts w:hint="eastAsia"/>
                <w:lang w:val="en-US" w:eastAsia="zh-CN"/>
              </w:rPr>
              <w:t>及</w:t>
            </w:r>
            <w:r>
              <w:rPr>
                <w:rFonts w:hint="eastAsia"/>
              </w:rPr>
              <w:t>以上）的得</w:t>
            </w:r>
            <w:r>
              <w:rPr>
                <w:rFonts w:hint="eastAsia"/>
                <w:lang w:val="en-US" w:eastAsia="zh-CN"/>
              </w:rPr>
              <w:t>4</w:t>
            </w:r>
            <w:r>
              <w:rPr>
                <w:rFonts w:hint="eastAsia"/>
              </w:rPr>
              <w:t>分，本项最多得</w:t>
            </w:r>
            <w:r>
              <w:rPr>
                <w:rFonts w:hint="eastAsia"/>
                <w:lang w:val="en-US" w:eastAsia="zh-CN"/>
              </w:rPr>
              <w:t>6</w:t>
            </w:r>
            <w:r>
              <w:rPr>
                <w:rFonts w:hint="eastAsia"/>
              </w:rPr>
              <w:t>分。</w:t>
            </w:r>
          </w:p>
          <w:p w14:paraId="33042B8C">
            <w:pPr>
              <w:spacing w:line="276" w:lineRule="auto"/>
              <w:rPr>
                <w:rFonts w:hint="eastAsia"/>
              </w:rPr>
            </w:pPr>
            <w:r>
              <w:rPr>
                <w:rFonts w:hint="eastAsia"/>
                <w:lang w:val="en-US" w:eastAsia="zh-CN"/>
              </w:rPr>
              <w:t>3、拟派</w:t>
            </w:r>
            <w:r>
              <w:rPr>
                <w:rFonts w:hint="eastAsia"/>
              </w:rPr>
              <w:t>项目组人员</w:t>
            </w:r>
            <w:r>
              <w:rPr>
                <w:rFonts w:hint="eastAsia"/>
                <w:lang w:eastAsia="zh-CN"/>
              </w:rPr>
              <w:t>（</w:t>
            </w:r>
            <w:r>
              <w:rPr>
                <w:rFonts w:hint="eastAsia"/>
                <w:lang w:val="en-US" w:eastAsia="zh-CN"/>
              </w:rPr>
              <w:t>除项目负责人和项目技术负责人外</w:t>
            </w:r>
            <w:r>
              <w:rPr>
                <w:rFonts w:hint="eastAsia"/>
                <w:lang w:eastAsia="zh-CN"/>
              </w:rPr>
              <w:t>）</w:t>
            </w:r>
            <w:r>
              <w:rPr>
                <w:rFonts w:hint="eastAsia"/>
              </w:rPr>
              <w:t>具有助理工程师或以上职称的，每人得1分，最多得</w:t>
            </w:r>
            <w:r>
              <w:rPr>
                <w:rFonts w:hint="eastAsia"/>
                <w:lang w:val="en-US" w:eastAsia="zh-CN"/>
              </w:rPr>
              <w:t>5</w:t>
            </w:r>
            <w:r>
              <w:rPr>
                <w:rFonts w:hint="eastAsia"/>
              </w:rPr>
              <w:t>分</w:t>
            </w:r>
            <w:r>
              <w:rPr>
                <w:rFonts w:hint="eastAsia"/>
                <w:lang w:eastAsia="zh-CN"/>
              </w:rPr>
              <w:t>，</w:t>
            </w:r>
            <w:r>
              <w:rPr>
                <w:rFonts w:hint="eastAsia"/>
              </w:rPr>
              <w:t>本项最多得</w:t>
            </w:r>
            <w:r>
              <w:rPr>
                <w:rFonts w:hint="eastAsia"/>
                <w:lang w:val="en-US" w:eastAsia="zh-CN"/>
              </w:rPr>
              <w:t>5</w:t>
            </w:r>
            <w:r>
              <w:rPr>
                <w:rFonts w:hint="eastAsia"/>
              </w:rPr>
              <w:t>分。</w:t>
            </w:r>
          </w:p>
          <w:p w14:paraId="6D0FE2BF">
            <w:pPr>
              <w:spacing w:line="276" w:lineRule="auto"/>
              <w:rPr>
                <w:rFonts w:ascii="宋体" w:hAnsi="宋体"/>
                <w:szCs w:val="21"/>
              </w:rPr>
            </w:pPr>
            <w:r>
              <w:rPr>
                <w:rFonts w:hint="eastAsia"/>
              </w:rPr>
              <w:t>注：上述①~③须提供专业证书原件</w:t>
            </w:r>
            <w:r>
              <w:rPr>
                <w:rFonts w:hint="eastAsia"/>
                <w:lang w:val="en-US" w:eastAsia="zh-CN"/>
              </w:rPr>
              <w:t>电子</w:t>
            </w:r>
            <w:r>
              <w:rPr>
                <w:rFonts w:hint="eastAsia"/>
              </w:rPr>
              <w:t>扫描件及在职员工</w:t>
            </w:r>
            <w:r>
              <w:rPr>
                <w:rFonts w:hint="eastAsia"/>
                <w:lang w:eastAsia="zh-CN"/>
              </w:rPr>
              <w:t>供应商</w:t>
            </w:r>
            <w:r>
              <w:rPr>
                <w:rFonts w:hint="eastAsia"/>
              </w:rPr>
              <w:t>为其缴纳的</w:t>
            </w:r>
            <w:r>
              <w:rPr>
                <w:rFonts w:hint="eastAsia"/>
                <w:lang w:val="en-US" w:eastAsia="zh-CN"/>
              </w:rPr>
              <w:t>2024年7月以来一个月的</w:t>
            </w:r>
            <w:r>
              <w:rPr>
                <w:rFonts w:hint="eastAsia"/>
              </w:rPr>
              <w:t>社会保险证明材料</w:t>
            </w:r>
            <w:r>
              <w:rPr>
                <w:rFonts w:hint="eastAsia"/>
                <w:lang w:val="en-US" w:eastAsia="zh-CN"/>
              </w:rPr>
              <w:t>原件电子扫描件</w:t>
            </w:r>
            <w:r>
              <w:rPr>
                <w:rFonts w:hint="eastAsia"/>
              </w:rPr>
              <w:t>，未提供或提供不全的不得分。上述人员一人多证不重复计分。</w:t>
            </w:r>
            <w:bookmarkEnd w:id="219"/>
          </w:p>
        </w:tc>
        <w:tc>
          <w:tcPr>
            <w:tcW w:w="567" w:type="dxa"/>
            <w:tcBorders>
              <w:top w:val="single" w:color="auto" w:sz="4" w:space="0"/>
              <w:left w:val="single" w:color="auto" w:sz="4" w:space="0"/>
              <w:right w:val="single" w:color="auto" w:sz="4" w:space="0"/>
            </w:tcBorders>
            <w:vAlign w:val="center"/>
          </w:tcPr>
          <w:p w14:paraId="682F3B5F">
            <w:pPr>
              <w:pStyle w:val="19"/>
              <w:spacing w:line="276" w:lineRule="auto"/>
              <w:jc w:val="center"/>
              <w:rPr>
                <w:rFonts w:hint="default" w:ascii="宋体" w:hAnsi="宋体" w:eastAsia="宋体"/>
                <w:szCs w:val="21"/>
                <w:lang w:val="en-US" w:eastAsia="zh-CN"/>
              </w:rPr>
            </w:pPr>
            <w:r>
              <w:rPr>
                <w:rFonts w:hint="eastAsia" w:ascii="宋体" w:hAnsi="宋体"/>
                <w:szCs w:val="21"/>
                <w:lang w:val="en-US" w:eastAsia="zh-CN"/>
              </w:rPr>
              <w:t>15</w:t>
            </w:r>
          </w:p>
        </w:tc>
      </w:tr>
      <w:tr w14:paraId="5E32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tcBorders>
              <w:top w:val="single" w:color="auto" w:sz="4" w:space="0"/>
              <w:left w:val="single" w:color="auto" w:sz="4" w:space="0"/>
              <w:right w:val="single" w:color="auto" w:sz="4" w:space="0"/>
            </w:tcBorders>
            <w:vAlign w:val="center"/>
          </w:tcPr>
          <w:p w14:paraId="0A3CA869">
            <w:pPr>
              <w:pStyle w:val="19"/>
              <w:snapToGrid w:val="0"/>
              <w:spacing w:line="276" w:lineRule="auto"/>
              <w:contextualSpacing/>
              <w:jc w:val="center"/>
              <w:rPr>
                <w:rFonts w:ascii="宋体" w:hAnsi="宋体"/>
                <w:szCs w:val="21"/>
              </w:rPr>
            </w:pPr>
            <w:r>
              <w:rPr>
                <w:rFonts w:hint="eastAsia" w:ascii="宋体" w:hAnsi="宋体"/>
                <w:szCs w:val="21"/>
              </w:rPr>
              <w:t>5</w:t>
            </w:r>
          </w:p>
        </w:tc>
        <w:tc>
          <w:tcPr>
            <w:tcW w:w="1134" w:type="dxa"/>
            <w:tcBorders>
              <w:top w:val="single" w:color="auto" w:sz="4" w:space="0"/>
              <w:left w:val="single" w:color="auto" w:sz="4" w:space="0"/>
              <w:right w:val="single" w:color="auto" w:sz="4" w:space="0"/>
            </w:tcBorders>
            <w:vAlign w:val="center"/>
          </w:tcPr>
          <w:p w14:paraId="2BE26C38">
            <w:pPr>
              <w:widowControl/>
              <w:spacing w:line="276" w:lineRule="auto"/>
              <w:jc w:val="center"/>
              <w:rPr>
                <w:rFonts w:ascii="宋体" w:hAnsi="宋体"/>
                <w:bCs/>
                <w:szCs w:val="21"/>
              </w:rPr>
            </w:pPr>
            <w:bookmarkStart w:id="222" w:name="OLE_LINK26"/>
            <w:r>
              <w:rPr>
                <w:rFonts w:hint="eastAsia" w:ascii="宋体" w:hAnsi="宋体"/>
                <w:bCs/>
                <w:szCs w:val="21"/>
              </w:rPr>
              <w:t>企业实力</w:t>
            </w:r>
          </w:p>
          <w:bookmarkEnd w:id="222"/>
          <w:p w14:paraId="3669941C">
            <w:pPr>
              <w:widowControl/>
              <w:spacing w:line="276" w:lineRule="auto"/>
              <w:jc w:val="center"/>
              <w:rPr>
                <w:rFonts w:ascii="宋体" w:hAnsi="宋体"/>
                <w:bCs/>
                <w:szCs w:val="21"/>
              </w:rPr>
            </w:pPr>
            <w:r>
              <w:rPr>
                <w:rFonts w:hint="eastAsia" w:ascii="宋体" w:hAnsi="宋体"/>
                <w:bCs/>
                <w:szCs w:val="21"/>
              </w:rPr>
              <w:t>（</w:t>
            </w:r>
            <w:r>
              <w:rPr>
                <w:rFonts w:hint="eastAsia" w:ascii="宋体" w:hAnsi="宋体"/>
                <w:bCs/>
                <w:szCs w:val="21"/>
                <w:lang w:val="en-US" w:eastAsia="zh-CN"/>
              </w:rPr>
              <w:t>6</w:t>
            </w:r>
            <w:r>
              <w:rPr>
                <w:rFonts w:hint="eastAsia" w:ascii="宋体" w:hAnsi="宋体"/>
                <w:bCs/>
                <w:szCs w:val="21"/>
              </w:rPr>
              <w:t>分）</w:t>
            </w:r>
          </w:p>
        </w:tc>
        <w:tc>
          <w:tcPr>
            <w:tcW w:w="7796" w:type="dxa"/>
            <w:tcBorders>
              <w:top w:val="single" w:color="auto" w:sz="4" w:space="0"/>
              <w:left w:val="single" w:color="auto" w:sz="4" w:space="0"/>
              <w:right w:val="single" w:color="auto" w:sz="4" w:space="0"/>
            </w:tcBorders>
            <w:vAlign w:val="center"/>
          </w:tcPr>
          <w:p w14:paraId="38615FD7">
            <w:pPr>
              <w:spacing w:line="276" w:lineRule="auto"/>
              <w:rPr>
                <w:rFonts w:hint="default" w:ascii="宋体" w:hAnsi="宋体" w:eastAsiaTheme="minorEastAsia"/>
                <w:szCs w:val="21"/>
                <w:lang w:val="en-US" w:eastAsia="zh-CN"/>
              </w:rPr>
            </w:pPr>
            <w:r>
              <w:rPr>
                <w:rFonts w:hint="eastAsia" w:ascii="宋体" w:hAnsi="宋体" w:cs="宋体"/>
                <w:kern w:val="0"/>
                <w:szCs w:val="21"/>
                <w:lang w:val="en-US" w:eastAsia="zh-CN"/>
              </w:rPr>
              <w:t>1、</w:t>
            </w:r>
            <w:bookmarkStart w:id="223" w:name="OLE_LINK27"/>
            <w:r>
              <w:rPr>
                <w:rFonts w:hint="eastAsia" w:ascii="宋体" w:hAnsi="宋体" w:cs="宋体"/>
                <w:kern w:val="0"/>
                <w:szCs w:val="21"/>
                <w:lang w:val="en-US" w:eastAsia="zh-CN"/>
              </w:rPr>
              <w:t>投标人</w:t>
            </w:r>
            <w:r>
              <w:rPr>
                <w:rFonts w:hint="eastAsia" w:ascii="宋体" w:hAnsi="宋体"/>
                <w:szCs w:val="21"/>
              </w:rPr>
              <w:t>具有</w:t>
            </w:r>
            <w:r>
              <w:rPr>
                <w:rFonts w:hint="eastAsia" w:ascii="宋体" w:hAnsi="宋体"/>
                <w:szCs w:val="21"/>
                <w:lang w:val="en-US" w:eastAsia="zh-CN"/>
              </w:rPr>
              <w:t>质量管理体系认证、环境管理体系认证、职业健康管理体系认证的，每提供一个得2分，最高得6分。</w:t>
            </w:r>
            <w:bookmarkEnd w:id="223"/>
          </w:p>
        </w:tc>
        <w:tc>
          <w:tcPr>
            <w:tcW w:w="567" w:type="dxa"/>
            <w:tcBorders>
              <w:top w:val="single" w:color="auto" w:sz="4" w:space="0"/>
              <w:left w:val="single" w:color="auto" w:sz="4" w:space="0"/>
              <w:right w:val="single" w:color="auto" w:sz="4" w:space="0"/>
            </w:tcBorders>
            <w:vAlign w:val="center"/>
          </w:tcPr>
          <w:p w14:paraId="1C43784A">
            <w:pPr>
              <w:pStyle w:val="19"/>
              <w:spacing w:line="276" w:lineRule="auto"/>
              <w:jc w:val="center"/>
              <w:rPr>
                <w:rFonts w:hint="eastAsia" w:ascii="宋体" w:hAnsi="宋体" w:eastAsia="宋体"/>
                <w:szCs w:val="21"/>
                <w:lang w:eastAsia="zh-CN"/>
              </w:rPr>
            </w:pPr>
            <w:r>
              <w:rPr>
                <w:rFonts w:hint="eastAsia" w:ascii="宋体" w:hAnsi="宋体"/>
                <w:szCs w:val="21"/>
                <w:lang w:val="en-US" w:eastAsia="zh-CN"/>
              </w:rPr>
              <w:t>6</w:t>
            </w:r>
          </w:p>
        </w:tc>
      </w:tr>
      <w:tr w14:paraId="1B93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34" w:type="dxa"/>
            <w:tcBorders>
              <w:top w:val="single" w:color="auto" w:sz="4" w:space="0"/>
              <w:left w:val="single" w:color="auto" w:sz="4" w:space="0"/>
              <w:bottom w:val="single" w:color="auto" w:sz="4" w:space="0"/>
              <w:right w:val="single" w:color="auto" w:sz="4" w:space="0"/>
            </w:tcBorders>
            <w:vAlign w:val="center"/>
          </w:tcPr>
          <w:p w14:paraId="7DE08D58">
            <w:pPr>
              <w:pStyle w:val="19"/>
              <w:snapToGrid w:val="0"/>
              <w:spacing w:line="276" w:lineRule="auto"/>
              <w:contextualSpacing/>
              <w:jc w:val="center"/>
              <w:rPr>
                <w:rFonts w:ascii="宋体" w:hAnsi="宋体"/>
                <w:szCs w:val="21"/>
              </w:rPr>
            </w:pPr>
            <w:r>
              <w:rPr>
                <w:rFonts w:hint="eastAsia" w:ascii="宋体" w:hAnsi="宋体"/>
                <w:szCs w:val="21"/>
              </w:rPr>
              <w:t>6</w:t>
            </w:r>
          </w:p>
        </w:tc>
        <w:tc>
          <w:tcPr>
            <w:tcW w:w="1134" w:type="dxa"/>
            <w:tcBorders>
              <w:top w:val="single" w:color="auto" w:sz="4" w:space="0"/>
              <w:left w:val="single" w:color="auto" w:sz="4" w:space="0"/>
              <w:bottom w:val="single" w:color="auto" w:sz="4" w:space="0"/>
              <w:right w:val="single" w:color="auto" w:sz="4" w:space="0"/>
            </w:tcBorders>
            <w:vAlign w:val="center"/>
          </w:tcPr>
          <w:p w14:paraId="7177FE36">
            <w:pPr>
              <w:widowControl/>
              <w:spacing w:line="276" w:lineRule="auto"/>
              <w:jc w:val="center"/>
              <w:rPr>
                <w:rFonts w:ascii="宋体" w:hAnsi="宋体"/>
                <w:bCs/>
                <w:szCs w:val="21"/>
              </w:rPr>
            </w:pPr>
            <w:bookmarkStart w:id="224" w:name="OLE_LINK28"/>
            <w:r>
              <w:rPr>
                <w:rFonts w:hint="eastAsia" w:ascii="宋体" w:hAnsi="宋体"/>
                <w:bCs/>
                <w:szCs w:val="21"/>
              </w:rPr>
              <w:t>业绩</w:t>
            </w:r>
          </w:p>
          <w:bookmarkEnd w:id="224"/>
          <w:p w14:paraId="65261B7C">
            <w:pPr>
              <w:widowControl/>
              <w:spacing w:line="276" w:lineRule="auto"/>
              <w:jc w:val="center"/>
              <w:rPr>
                <w:rFonts w:ascii="宋体" w:hAnsi="宋体"/>
                <w:bCs/>
                <w:szCs w:val="21"/>
              </w:rPr>
            </w:pPr>
            <w:r>
              <w:rPr>
                <w:rFonts w:hint="eastAsia" w:ascii="宋体" w:hAnsi="宋体"/>
                <w:bCs/>
                <w:szCs w:val="21"/>
              </w:rPr>
              <w:t>（</w:t>
            </w:r>
            <w:r>
              <w:rPr>
                <w:rFonts w:ascii="宋体" w:hAnsi="宋体"/>
                <w:bCs/>
                <w:szCs w:val="21"/>
              </w:rPr>
              <w:t>1</w:t>
            </w:r>
            <w:r>
              <w:rPr>
                <w:rFonts w:hint="eastAsia" w:ascii="宋体" w:hAnsi="宋体"/>
                <w:bCs/>
                <w:szCs w:val="21"/>
                <w:lang w:val="en-US" w:eastAsia="zh-CN"/>
              </w:rPr>
              <w:t>2分</w:t>
            </w:r>
            <w:r>
              <w:rPr>
                <w:rFonts w:hint="eastAsia" w:ascii="宋体" w:hAnsi="宋体"/>
                <w:bCs/>
                <w:szCs w:val="21"/>
              </w:rPr>
              <w:t>）</w:t>
            </w:r>
          </w:p>
        </w:tc>
        <w:tc>
          <w:tcPr>
            <w:tcW w:w="7796" w:type="dxa"/>
            <w:tcBorders>
              <w:top w:val="single" w:color="auto" w:sz="4" w:space="0"/>
              <w:left w:val="single" w:color="auto" w:sz="4" w:space="0"/>
              <w:bottom w:val="single" w:color="auto" w:sz="4" w:space="0"/>
              <w:right w:val="single" w:color="auto" w:sz="4" w:space="0"/>
            </w:tcBorders>
            <w:vAlign w:val="center"/>
          </w:tcPr>
          <w:p w14:paraId="757B63A0">
            <w:pPr>
              <w:spacing w:before="128" w:line="276" w:lineRule="auto"/>
              <w:rPr>
                <w:rFonts w:ascii="宋体" w:hAnsi="宋体"/>
                <w:szCs w:val="21"/>
              </w:rPr>
            </w:pPr>
            <w:bookmarkStart w:id="225" w:name="OLE_LINK29"/>
            <w:r>
              <w:rPr>
                <w:rFonts w:hint="eastAsia" w:ascii="宋体" w:hAnsi="宋体"/>
                <w:szCs w:val="21"/>
                <w:lang w:val="en-US" w:eastAsia="zh-CN"/>
              </w:rPr>
              <w:t>投标人</w:t>
            </w:r>
            <w:r>
              <w:rPr>
                <w:rFonts w:ascii="宋体" w:hAnsi="宋体"/>
                <w:szCs w:val="21"/>
              </w:rPr>
              <w:t>自2020年1月1日</w:t>
            </w:r>
            <w:r>
              <w:rPr>
                <w:rFonts w:hint="eastAsia" w:ascii="宋体" w:hAnsi="宋体"/>
                <w:szCs w:val="21"/>
                <w:lang w:eastAsia="zh-CN"/>
              </w:rPr>
              <w:t>（</w:t>
            </w:r>
            <w:r>
              <w:rPr>
                <w:rFonts w:hint="eastAsia" w:ascii="宋体" w:hAnsi="宋体"/>
                <w:szCs w:val="21"/>
              </w:rPr>
              <w:t>含</w:t>
            </w:r>
            <w:r>
              <w:rPr>
                <w:rFonts w:hint="eastAsia" w:ascii="宋体" w:hAnsi="宋体"/>
                <w:szCs w:val="21"/>
                <w:lang w:eastAsia="zh-CN"/>
              </w:rPr>
              <w:t>）</w:t>
            </w:r>
            <w:r>
              <w:rPr>
                <w:rFonts w:ascii="宋体" w:hAnsi="宋体"/>
                <w:szCs w:val="21"/>
              </w:rPr>
              <w:t>以来，</w:t>
            </w:r>
            <w:r>
              <w:rPr>
                <w:rFonts w:hint="eastAsia" w:ascii="宋体" w:hAnsi="宋体"/>
                <w:szCs w:val="21"/>
              </w:rPr>
              <w:t>承担过类似未利用地检测、土壤环境质量评估</w:t>
            </w:r>
            <w:r>
              <w:rPr>
                <w:rFonts w:hint="eastAsia" w:ascii="宋体" w:hAnsi="宋体"/>
                <w:szCs w:val="21"/>
                <w:lang w:eastAsia="zh-CN"/>
              </w:rPr>
              <w:t>、</w:t>
            </w:r>
            <w:r>
              <w:rPr>
                <w:rFonts w:hint="eastAsia" w:ascii="宋体" w:hAnsi="宋体"/>
                <w:szCs w:val="21"/>
                <w:highlight w:val="none"/>
              </w:rPr>
              <w:t>土壤污染</w:t>
            </w:r>
            <w:bookmarkStart w:id="226" w:name="OLE_LINK38"/>
            <w:r>
              <w:rPr>
                <w:rFonts w:hint="eastAsia" w:ascii="宋体" w:hAnsi="宋体"/>
                <w:szCs w:val="21"/>
                <w:highlight w:val="none"/>
              </w:rPr>
              <w:t>状况调查等类似项目</w:t>
            </w:r>
            <w:bookmarkEnd w:id="226"/>
            <w:r>
              <w:rPr>
                <w:rFonts w:ascii="宋体" w:hAnsi="宋体"/>
                <w:szCs w:val="21"/>
              </w:rPr>
              <w:t>业绩的，</w:t>
            </w:r>
            <w:r>
              <w:rPr>
                <w:rFonts w:hint="eastAsia" w:ascii="宋体" w:hAnsi="宋体"/>
                <w:szCs w:val="21"/>
              </w:rPr>
              <w:t>每</w:t>
            </w:r>
            <w:r>
              <w:rPr>
                <w:rFonts w:ascii="宋体" w:hAnsi="宋体"/>
                <w:szCs w:val="21"/>
              </w:rPr>
              <w:t xml:space="preserve">有一个得 </w:t>
            </w:r>
            <w:r>
              <w:rPr>
                <w:rFonts w:hint="eastAsia" w:ascii="宋体" w:hAnsi="宋体"/>
                <w:szCs w:val="21"/>
              </w:rPr>
              <w:t>2</w:t>
            </w:r>
            <w:r>
              <w:rPr>
                <w:rFonts w:ascii="宋体" w:hAnsi="宋体"/>
                <w:szCs w:val="21"/>
              </w:rPr>
              <w:t>分，</w:t>
            </w:r>
            <w:r>
              <w:rPr>
                <w:rFonts w:hint="eastAsia" w:ascii="宋体" w:hAnsi="宋体"/>
                <w:szCs w:val="21"/>
              </w:rPr>
              <w:t>本项</w:t>
            </w:r>
            <w:r>
              <w:rPr>
                <w:rFonts w:ascii="宋体" w:hAnsi="宋体"/>
                <w:szCs w:val="21"/>
              </w:rPr>
              <w:t>最高</w:t>
            </w:r>
            <w:r>
              <w:rPr>
                <w:rFonts w:hint="eastAsia" w:ascii="宋体" w:hAnsi="宋体"/>
                <w:szCs w:val="21"/>
                <w:lang w:val="en-US" w:eastAsia="zh-CN"/>
              </w:rPr>
              <w:t>12</w:t>
            </w:r>
            <w:r>
              <w:rPr>
                <w:rFonts w:ascii="宋体" w:hAnsi="宋体"/>
                <w:szCs w:val="21"/>
              </w:rPr>
              <w:t>分（</w:t>
            </w:r>
            <w:r>
              <w:rPr>
                <w:rFonts w:hint="eastAsia" w:ascii="宋体" w:hAnsi="宋体"/>
                <w:szCs w:val="21"/>
              </w:rPr>
              <w:t>须提供合同</w:t>
            </w:r>
            <w:r>
              <w:rPr>
                <w:rFonts w:hint="eastAsia" w:ascii="宋体" w:hAnsi="宋体"/>
                <w:szCs w:val="21"/>
                <w:lang w:val="en-US" w:eastAsia="zh-CN"/>
              </w:rPr>
              <w:t>原件电子扫描件</w:t>
            </w:r>
            <w:r>
              <w:rPr>
                <w:rFonts w:hint="eastAsia" w:ascii="宋体" w:hAnsi="宋体"/>
                <w:szCs w:val="21"/>
              </w:rPr>
              <w:t>，时间以合同签订时间为准，提供的证明材料须能反映出</w:t>
            </w:r>
            <w:r>
              <w:rPr>
                <w:rFonts w:hint="eastAsia" w:ascii="宋体" w:hAnsi="宋体"/>
                <w:szCs w:val="21"/>
                <w:lang w:val="en-US" w:eastAsia="zh-CN"/>
              </w:rPr>
              <w:t>上述工作</w:t>
            </w:r>
            <w:r>
              <w:rPr>
                <w:rFonts w:hint="eastAsia" w:ascii="宋体" w:hAnsi="宋体"/>
                <w:szCs w:val="21"/>
              </w:rPr>
              <w:t>内容，否则视为未提供。</w:t>
            </w:r>
            <w:r>
              <w:rPr>
                <w:rFonts w:ascii="宋体" w:hAnsi="宋体"/>
                <w:szCs w:val="21"/>
              </w:rPr>
              <w:t>）</w:t>
            </w:r>
            <w:bookmarkEnd w:id="225"/>
          </w:p>
        </w:tc>
        <w:tc>
          <w:tcPr>
            <w:tcW w:w="567" w:type="dxa"/>
            <w:tcBorders>
              <w:top w:val="single" w:color="auto" w:sz="4" w:space="0"/>
              <w:left w:val="single" w:color="auto" w:sz="4" w:space="0"/>
              <w:bottom w:val="single" w:color="auto" w:sz="4" w:space="0"/>
              <w:right w:val="single" w:color="auto" w:sz="4" w:space="0"/>
            </w:tcBorders>
            <w:vAlign w:val="center"/>
          </w:tcPr>
          <w:p w14:paraId="417F5CB3">
            <w:pPr>
              <w:pStyle w:val="19"/>
              <w:spacing w:line="276" w:lineRule="auto"/>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2</w:t>
            </w:r>
          </w:p>
        </w:tc>
      </w:tr>
    </w:tbl>
    <w:p w14:paraId="79F4E65A">
      <w:pPr>
        <w:pStyle w:val="11"/>
        <w:spacing w:beforeAutospacing="0" w:afterAutospacing="0"/>
        <w:jc w:val="both"/>
      </w:pPr>
    </w:p>
    <w:p w14:paraId="161D5207">
      <w:pPr>
        <w:pStyle w:val="11"/>
        <w:spacing w:beforeAutospacing="0" w:afterAutospacing="0"/>
        <w:jc w:val="both"/>
      </w:pPr>
      <w:r>
        <w:t> </w:t>
      </w:r>
    </w:p>
    <w:p w14:paraId="4FD5EFF0">
      <w:pPr>
        <w:pStyle w:val="11"/>
        <w:spacing w:beforeAutospacing="0" w:afterAutospacing="0"/>
        <w:jc w:val="both"/>
      </w:pPr>
      <w:r>
        <w:t> </w:t>
      </w:r>
    </w:p>
    <w:p w14:paraId="478A46BE">
      <w:pPr>
        <w:pStyle w:val="11"/>
        <w:spacing w:beforeAutospacing="0" w:afterAutospacing="0"/>
        <w:jc w:val="both"/>
      </w:pPr>
      <w:r>
        <w:t> </w:t>
      </w:r>
    </w:p>
    <w:p w14:paraId="375D1151">
      <w:pPr>
        <w:pStyle w:val="11"/>
        <w:spacing w:beforeAutospacing="0" w:afterAutospacing="0"/>
        <w:jc w:val="both"/>
      </w:pPr>
      <w:r>
        <w:t> </w:t>
      </w:r>
    </w:p>
    <w:p w14:paraId="7DA9C88A">
      <w:pPr>
        <w:pStyle w:val="11"/>
        <w:spacing w:beforeAutospacing="0" w:afterAutospacing="0"/>
        <w:jc w:val="both"/>
      </w:pPr>
      <w:r>
        <w:t> </w:t>
      </w:r>
    </w:p>
    <w:p w14:paraId="3E8605CB">
      <w:pPr>
        <w:pStyle w:val="11"/>
        <w:spacing w:beforeAutospacing="0" w:afterAutospacing="0"/>
        <w:jc w:val="both"/>
      </w:pPr>
    </w:p>
    <w:p w14:paraId="63F06922">
      <w:pPr>
        <w:pStyle w:val="11"/>
        <w:spacing w:beforeAutospacing="0" w:afterAutospacing="0"/>
        <w:jc w:val="both"/>
      </w:pPr>
    </w:p>
    <w:p w14:paraId="71FBF65B">
      <w:pPr>
        <w:pStyle w:val="11"/>
        <w:spacing w:beforeAutospacing="0" w:afterAutospacing="0"/>
        <w:jc w:val="both"/>
      </w:pPr>
      <w:r>
        <w:t> </w:t>
      </w:r>
    </w:p>
    <w:p w14:paraId="0F2064EF">
      <w:pPr>
        <w:pStyle w:val="11"/>
        <w:spacing w:beforeAutospacing="0" w:afterAutospacing="0"/>
        <w:jc w:val="both"/>
      </w:pPr>
      <w:r>
        <w:t> </w:t>
      </w:r>
    </w:p>
    <w:p w14:paraId="4572A4D5">
      <w:pPr>
        <w:pStyle w:val="11"/>
        <w:keepNext/>
        <w:spacing w:beforeAutospacing="0" w:afterAutospacing="0"/>
        <w:jc w:val="center"/>
      </w:pPr>
      <w:r>
        <w:rPr>
          <w:rFonts w:hint="eastAsia" w:ascii="黑体" w:hAnsi="宋体" w:eastAsia="黑体" w:cs="黑体"/>
          <w:color w:val="000000"/>
          <w:sz w:val="44"/>
          <w:szCs w:val="44"/>
        </w:rPr>
        <w:t xml:space="preserve">第六章  投标文件格式 </w:t>
      </w:r>
    </w:p>
    <w:p w14:paraId="03847FAC">
      <w:pPr>
        <w:pStyle w:val="11"/>
        <w:spacing w:beforeAutospacing="0" w:afterAutospacing="0"/>
        <w:jc w:val="center"/>
      </w:pPr>
      <w:bookmarkStart w:id="227" w:name="_Toc26554094"/>
      <w:bookmarkEnd w:id="227"/>
      <w:bookmarkStart w:id="228" w:name="_Hlt26671244"/>
      <w:bookmarkEnd w:id="228"/>
      <w:bookmarkStart w:id="229" w:name="_Hlt26955039"/>
      <w:bookmarkEnd w:id="229"/>
      <w:bookmarkStart w:id="230" w:name="_Toc120614282"/>
      <w:bookmarkStart w:id="231" w:name="_Toc49090576"/>
      <w:r>
        <w:rPr>
          <w:rFonts w:hint="eastAsia" w:ascii="宋体" w:hAnsi="宋体" w:eastAsia="宋体" w:cs="宋体"/>
          <w:b/>
          <w:color w:val="000000"/>
          <w:sz w:val="72"/>
          <w:szCs w:val="72"/>
        </w:rPr>
        <w:t>投  标  文  件</w:t>
      </w:r>
    </w:p>
    <w:p w14:paraId="48221A66">
      <w:pPr>
        <w:pStyle w:val="11"/>
        <w:spacing w:beforeAutospacing="0" w:afterAutospacing="0"/>
        <w:jc w:val="center"/>
      </w:pPr>
      <w:r>
        <w:t> </w:t>
      </w:r>
    </w:p>
    <w:p w14:paraId="50E14587">
      <w:pPr>
        <w:pStyle w:val="11"/>
        <w:spacing w:beforeAutospacing="0" w:afterAutospacing="0"/>
        <w:jc w:val="center"/>
      </w:pPr>
      <w:r>
        <w:t> </w:t>
      </w:r>
    </w:p>
    <w:p w14:paraId="17DBFBEB">
      <w:pPr>
        <w:pStyle w:val="11"/>
        <w:spacing w:beforeAutospacing="0" w:afterAutospacing="0"/>
        <w:jc w:val="center"/>
      </w:pPr>
      <w:r>
        <w:t> </w:t>
      </w:r>
    </w:p>
    <w:p w14:paraId="7485AFA2">
      <w:pPr>
        <w:pStyle w:val="11"/>
        <w:spacing w:beforeAutospacing="0" w:afterAutospacing="0"/>
        <w:jc w:val="center"/>
      </w:pPr>
      <w:r>
        <w:t> </w:t>
      </w:r>
    </w:p>
    <w:p w14:paraId="429EB589">
      <w:pPr>
        <w:pStyle w:val="11"/>
        <w:spacing w:beforeAutospacing="0" w:afterAutospacing="0"/>
        <w:jc w:val="center"/>
      </w:pPr>
      <w:r>
        <w:t> </w:t>
      </w:r>
    </w:p>
    <w:p w14:paraId="296F8EEF">
      <w:pPr>
        <w:pStyle w:val="11"/>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1853B66D">
      <w:pPr>
        <w:pStyle w:val="11"/>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6C8AB21D">
      <w:pPr>
        <w:pStyle w:val="11"/>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3D461A46">
      <w:pPr>
        <w:pStyle w:val="11"/>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7BCF22D6">
      <w:pPr>
        <w:pStyle w:val="11"/>
        <w:spacing w:beforeAutospacing="0" w:afterAutospacing="0" w:line="0" w:lineRule="atLeast"/>
        <w:jc w:val="center"/>
      </w:pPr>
      <w:r>
        <w:t> </w:t>
      </w:r>
    </w:p>
    <w:p w14:paraId="5B4776EE">
      <w:pPr>
        <w:pStyle w:val="11"/>
        <w:spacing w:beforeAutospacing="0" w:afterAutospacing="0" w:line="0" w:lineRule="atLeast"/>
        <w:jc w:val="both"/>
      </w:pPr>
      <w:r>
        <w:t> </w:t>
      </w:r>
    </w:p>
    <w:p w14:paraId="3F9DDE0D">
      <w:pPr>
        <w:pStyle w:val="11"/>
        <w:spacing w:beforeAutospacing="0" w:afterAutospacing="0" w:line="0" w:lineRule="atLeast"/>
        <w:jc w:val="center"/>
        <w:rPr>
          <w:rFonts w:ascii="宋体" w:hAnsi="宋体" w:eastAsia="宋体" w:cs="宋体"/>
          <w:b/>
          <w:color w:val="000000"/>
          <w:sz w:val="36"/>
          <w:szCs w:val="36"/>
          <w:u w:val="single"/>
        </w:rPr>
      </w:pPr>
    </w:p>
    <w:p w14:paraId="1D0FA1BC">
      <w:pPr>
        <w:pStyle w:val="11"/>
        <w:spacing w:beforeAutospacing="0" w:afterAutospacing="0" w:line="0" w:lineRule="atLeast"/>
        <w:jc w:val="center"/>
        <w:rPr>
          <w:rFonts w:ascii="宋体" w:hAnsi="宋体" w:eastAsia="宋体" w:cs="宋体"/>
          <w:b/>
          <w:color w:val="000000"/>
          <w:sz w:val="36"/>
          <w:szCs w:val="36"/>
          <w:u w:val="single"/>
        </w:rPr>
      </w:pPr>
    </w:p>
    <w:p w14:paraId="3A1765C3">
      <w:pPr>
        <w:pStyle w:val="11"/>
        <w:spacing w:beforeAutospacing="0" w:afterAutospacing="0" w:line="0" w:lineRule="atLeast"/>
        <w:jc w:val="center"/>
        <w:rPr>
          <w:rFonts w:ascii="宋体" w:hAnsi="宋体" w:eastAsia="宋体" w:cs="宋体"/>
          <w:b/>
          <w:color w:val="000000"/>
          <w:sz w:val="36"/>
          <w:szCs w:val="36"/>
          <w:u w:val="single"/>
        </w:rPr>
      </w:pPr>
    </w:p>
    <w:p w14:paraId="48BD1F3D">
      <w:pPr>
        <w:pStyle w:val="11"/>
        <w:spacing w:beforeAutospacing="0" w:afterAutospacing="0" w:line="0" w:lineRule="atLeast"/>
        <w:jc w:val="center"/>
        <w:rPr>
          <w:rFonts w:ascii="宋体" w:hAnsi="宋体" w:eastAsia="宋体" w:cs="宋体"/>
          <w:b/>
          <w:color w:val="000000"/>
          <w:sz w:val="36"/>
          <w:szCs w:val="36"/>
          <w:u w:val="single"/>
        </w:rPr>
      </w:pPr>
    </w:p>
    <w:p w14:paraId="4B9151EA">
      <w:pPr>
        <w:pStyle w:val="11"/>
        <w:spacing w:beforeAutospacing="0" w:afterAutospacing="0" w:line="0" w:lineRule="atLeast"/>
        <w:jc w:val="center"/>
        <w:rPr>
          <w:rFonts w:ascii="宋体" w:hAnsi="宋体" w:eastAsia="宋体" w:cs="宋体"/>
          <w:b/>
          <w:color w:val="000000"/>
          <w:sz w:val="36"/>
          <w:szCs w:val="36"/>
          <w:u w:val="single"/>
        </w:rPr>
      </w:pPr>
    </w:p>
    <w:p w14:paraId="4E57F124">
      <w:pPr>
        <w:pStyle w:val="11"/>
        <w:spacing w:beforeAutospacing="0" w:afterAutospacing="0" w:line="0" w:lineRule="atLeast"/>
        <w:jc w:val="center"/>
        <w:rPr>
          <w:rFonts w:ascii="宋体" w:hAnsi="宋体" w:eastAsia="宋体" w:cs="宋体"/>
          <w:b/>
          <w:color w:val="000000"/>
          <w:sz w:val="36"/>
          <w:szCs w:val="36"/>
          <w:u w:val="single"/>
        </w:rPr>
      </w:pPr>
    </w:p>
    <w:p w14:paraId="42FBC5F7">
      <w:pPr>
        <w:pStyle w:val="11"/>
        <w:spacing w:beforeAutospacing="0" w:afterAutospacing="0" w:line="0" w:lineRule="atLeast"/>
        <w:jc w:val="center"/>
        <w:rPr>
          <w:rFonts w:ascii="宋体" w:hAnsi="宋体" w:eastAsia="宋体" w:cs="宋体"/>
          <w:b/>
          <w:color w:val="000000"/>
          <w:sz w:val="36"/>
          <w:szCs w:val="36"/>
          <w:u w:val="single"/>
        </w:rPr>
      </w:pPr>
    </w:p>
    <w:p w14:paraId="707567E8">
      <w:pPr>
        <w:pStyle w:val="11"/>
        <w:spacing w:beforeAutospacing="0" w:afterAutospacing="0" w:line="0" w:lineRule="atLeast"/>
        <w:jc w:val="center"/>
        <w:rPr>
          <w:rFonts w:ascii="宋体" w:hAnsi="宋体" w:eastAsia="宋体" w:cs="宋体"/>
          <w:b/>
          <w:color w:val="000000"/>
          <w:sz w:val="36"/>
          <w:szCs w:val="36"/>
          <w:u w:val="single"/>
        </w:rPr>
      </w:pPr>
    </w:p>
    <w:p w14:paraId="1EEC144B">
      <w:pPr>
        <w:pStyle w:val="11"/>
        <w:spacing w:beforeAutospacing="0" w:afterAutospacing="0" w:line="0" w:lineRule="atLeast"/>
        <w:jc w:val="center"/>
        <w:rPr>
          <w:rFonts w:ascii="宋体" w:hAnsi="宋体" w:eastAsia="宋体" w:cs="宋体"/>
          <w:b/>
          <w:color w:val="000000"/>
          <w:sz w:val="36"/>
          <w:szCs w:val="36"/>
          <w:u w:val="single"/>
        </w:rPr>
      </w:pPr>
    </w:p>
    <w:p w14:paraId="2D111836">
      <w:pPr>
        <w:pStyle w:val="11"/>
        <w:spacing w:beforeAutospacing="0" w:afterAutospacing="0" w:line="0" w:lineRule="atLeast"/>
        <w:jc w:val="center"/>
        <w:rPr>
          <w:rFonts w:ascii="宋体" w:hAnsi="宋体" w:eastAsia="宋体" w:cs="宋体"/>
          <w:b/>
          <w:color w:val="000000"/>
          <w:sz w:val="36"/>
          <w:szCs w:val="36"/>
          <w:u w:val="single"/>
        </w:rPr>
      </w:pPr>
    </w:p>
    <w:p w14:paraId="0CE21B83">
      <w:pPr>
        <w:pStyle w:val="11"/>
        <w:spacing w:beforeAutospacing="0" w:afterAutospacing="0" w:line="0" w:lineRule="atLeast"/>
        <w:jc w:val="center"/>
        <w:rPr>
          <w:rFonts w:ascii="宋体" w:hAnsi="宋体" w:eastAsia="宋体" w:cs="宋体"/>
          <w:b/>
          <w:color w:val="000000"/>
          <w:sz w:val="36"/>
          <w:szCs w:val="36"/>
          <w:u w:val="single"/>
        </w:rPr>
      </w:pPr>
    </w:p>
    <w:p w14:paraId="4D2662CB">
      <w:pPr>
        <w:pStyle w:val="11"/>
        <w:spacing w:beforeAutospacing="0" w:afterAutospacing="0" w:line="0" w:lineRule="atLeast"/>
        <w:jc w:val="center"/>
        <w:rPr>
          <w:rFonts w:ascii="宋体" w:hAnsi="宋体" w:eastAsia="宋体" w:cs="宋体"/>
          <w:b/>
          <w:color w:val="000000"/>
          <w:sz w:val="36"/>
          <w:szCs w:val="36"/>
          <w:u w:val="single"/>
        </w:rPr>
      </w:pPr>
    </w:p>
    <w:p w14:paraId="6A55A165">
      <w:pPr>
        <w:pStyle w:val="11"/>
        <w:spacing w:beforeAutospacing="0" w:afterAutospacing="0" w:line="0" w:lineRule="atLeast"/>
        <w:jc w:val="center"/>
        <w:rPr>
          <w:rFonts w:ascii="宋体" w:hAnsi="宋体" w:eastAsia="宋体" w:cs="宋体"/>
          <w:b/>
          <w:color w:val="000000"/>
          <w:sz w:val="36"/>
          <w:szCs w:val="36"/>
          <w:u w:val="single"/>
        </w:rPr>
      </w:pPr>
    </w:p>
    <w:p w14:paraId="1B6CFF73">
      <w:pPr>
        <w:pStyle w:val="11"/>
        <w:spacing w:beforeAutospacing="0" w:afterAutospacing="0" w:line="0" w:lineRule="atLeast"/>
        <w:jc w:val="center"/>
        <w:rPr>
          <w:rFonts w:ascii="宋体" w:hAnsi="宋体" w:eastAsia="宋体" w:cs="宋体"/>
          <w:b/>
          <w:color w:val="000000"/>
          <w:sz w:val="36"/>
          <w:szCs w:val="36"/>
          <w:u w:val="single"/>
        </w:rPr>
      </w:pPr>
    </w:p>
    <w:p w14:paraId="019C1923">
      <w:pPr>
        <w:pStyle w:val="11"/>
        <w:spacing w:beforeAutospacing="0" w:afterAutospacing="0" w:line="0" w:lineRule="atLeast"/>
        <w:jc w:val="center"/>
        <w:rPr>
          <w:rFonts w:ascii="宋体" w:hAnsi="宋体" w:eastAsia="宋体" w:cs="宋体"/>
          <w:b/>
          <w:color w:val="000000"/>
          <w:sz w:val="36"/>
          <w:szCs w:val="36"/>
          <w:u w:val="single"/>
        </w:rPr>
      </w:pPr>
    </w:p>
    <w:p w14:paraId="4B2B7682">
      <w:pPr>
        <w:pStyle w:val="11"/>
        <w:spacing w:beforeAutospacing="0" w:afterAutospacing="0" w:line="0" w:lineRule="atLeast"/>
        <w:jc w:val="center"/>
        <w:rPr>
          <w:rFonts w:ascii="宋体" w:hAnsi="宋体" w:eastAsia="宋体" w:cs="宋体"/>
          <w:b/>
          <w:color w:val="000000"/>
          <w:sz w:val="36"/>
          <w:szCs w:val="36"/>
          <w:u w:val="single"/>
        </w:rPr>
      </w:pPr>
    </w:p>
    <w:p w14:paraId="7584C6B6">
      <w:pPr>
        <w:pStyle w:val="11"/>
        <w:spacing w:beforeAutospacing="0" w:afterAutospacing="0" w:line="0" w:lineRule="atLeast"/>
        <w:jc w:val="center"/>
      </w:pPr>
      <w:r>
        <w:rPr>
          <w:rFonts w:hint="eastAsia" w:ascii="宋体" w:hAnsi="宋体" w:eastAsia="宋体" w:cs="宋体"/>
          <w:b/>
          <w:color w:val="000000"/>
          <w:sz w:val="32"/>
          <w:szCs w:val="32"/>
        </w:rPr>
        <w:t>投标文件目录</w:t>
      </w:r>
    </w:p>
    <w:p w14:paraId="7A573868">
      <w:pPr>
        <w:pStyle w:val="11"/>
        <w:spacing w:beforeAutospacing="0" w:afterAutospacing="0" w:line="0" w:lineRule="atLeast"/>
        <w:jc w:val="center"/>
      </w:pPr>
      <w:r>
        <w:t> </w:t>
      </w:r>
    </w:p>
    <w:p w14:paraId="145B82AC">
      <w:pPr>
        <w:pStyle w:val="11"/>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55991DB4">
      <w:pPr>
        <w:tabs>
          <w:tab w:val="left" w:pos="1331"/>
        </w:tabs>
        <w:bidi w:val="0"/>
        <w:ind w:firstLine="480" w:firstLineChars="200"/>
        <w:jc w:val="left"/>
        <w:rPr>
          <w:rFonts w:hint="eastAsia" w:ascii="宋体" w:hAnsi="宋体" w:eastAsia="宋体" w:cs="宋体"/>
          <w:i/>
          <w:color w:val="000000"/>
          <w:kern w:val="0"/>
          <w:sz w:val="24"/>
          <w:szCs w:val="24"/>
          <w:highlight w:val="none"/>
          <w:u w:val="single"/>
          <w:lang w:val="en-US" w:eastAsia="zh-CN" w:bidi="ar-SA"/>
        </w:rPr>
      </w:pPr>
      <w:r>
        <w:rPr>
          <w:rFonts w:hint="eastAsia" w:ascii="宋体" w:hAnsi="宋体" w:eastAsia="宋体" w:cs="宋体"/>
          <w:i/>
          <w:color w:val="000000"/>
          <w:kern w:val="0"/>
          <w:sz w:val="24"/>
          <w:szCs w:val="24"/>
          <w:u w:val="single"/>
          <w:lang w:val="en-US" w:eastAsia="zh-CN" w:bidi="ar-SA"/>
        </w:rPr>
        <w:t>二、上一年度的财务状况报表（</w:t>
      </w:r>
      <w:r>
        <w:rPr>
          <w:rFonts w:hint="eastAsia" w:ascii="宋体" w:hAnsi="宋体" w:eastAsia="宋体" w:cs="宋体"/>
          <w:i/>
          <w:color w:val="000000"/>
          <w:kern w:val="0"/>
          <w:sz w:val="24"/>
          <w:szCs w:val="24"/>
          <w:highlight w:val="none"/>
          <w:u w:val="single"/>
          <w:lang w:val="en-US" w:eastAsia="zh-CN" w:bidi="ar-SA"/>
        </w:rPr>
        <w:t>至少提供资产负债表、利润表、现金流量表，</w:t>
      </w:r>
    </w:p>
    <w:p w14:paraId="72F2639D">
      <w:pPr>
        <w:pStyle w:val="11"/>
        <w:spacing w:beforeAutospacing="0" w:afterAutospacing="0"/>
        <w:ind w:left="480"/>
        <w:jc w:val="both"/>
        <w:rPr>
          <w:rFonts w:hint="eastAsia" w:ascii="宋体" w:hAnsi="宋体" w:eastAsia="宋体" w:cs="宋体"/>
          <w:i/>
          <w:color w:val="000000"/>
          <w:kern w:val="0"/>
          <w:sz w:val="24"/>
          <w:szCs w:val="24"/>
          <w:u w:val="single"/>
          <w:lang w:val="en-US" w:eastAsia="zh-CN" w:bidi="ar-SA"/>
        </w:rPr>
      </w:pPr>
      <w:r>
        <w:rPr>
          <w:rFonts w:hint="eastAsia" w:ascii="宋体" w:hAnsi="宋体" w:eastAsia="宋体" w:cs="宋体"/>
          <w:i/>
          <w:color w:val="000000"/>
          <w:kern w:val="0"/>
          <w:sz w:val="24"/>
          <w:szCs w:val="24"/>
          <w:u w:val="single"/>
          <w:lang w:val="en-US" w:eastAsia="zh-CN" w:bidi="ar-SA"/>
        </w:rPr>
        <w:t>投标人成立不满一年无需提供）</w:t>
      </w:r>
    </w:p>
    <w:p w14:paraId="3FD01A8A">
      <w:pPr>
        <w:pStyle w:val="11"/>
        <w:spacing w:beforeAutospacing="0" w:afterAutospacing="0"/>
        <w:ind w:left="480"/>
        <w:jc w:val="both"/>
        <w:rPr>
          <w:rFonts w:hint="eastAsia" w:ascii="宋体" w:hAnsi="宋体" w:eastAsia="宋体" w:cs="宋体"/>
          <w:i/>
          <w:color w:val="000000"/>
          <w:u w:val="single"/>
        </w:rPr>
      </w:pPr>
      <w:r>
        <w:rPr>
          <w:rFonts w:hint="eastAsia" w:ascii="宋体" w:hAnsi="宋体" w:eastAsia="宋体" w:cs="宋体"/>
          <w:i/>
          <w:color w:val="000000"/>
          <w:u w:val="single"/>
          <w:lang w:val="en-US" w:eastAsia="zh-CN"/>
        </w:rPr>
        <w:t>三</w:t>
      </w:r>
      <w:r>
        <w:rPr>
          <w:rFonts w:hint="eastAsia" w:ascii="宋体" w:hAnsi="宋体" w:eastAsia="宋体" w:cs="宋体"/>
          <w:i/>
          <w:color w:val="000000"/>
          <w:u w:val="single"/>
        </w:rPr>
        <w:t>、具备履行合同所必需的设备和专业技术能力的书面声明</w:t>
      </w:r>
    </w:p>
    <w:p w14:paraId="222D3B20">
      <w:pPr>
        <w:pStyle w:val="11"/>
        <w:spacing w:beforeAutospacing="0" w:afterAutospacing="0"/>
        <w:ind w:left="480"/>
        <w:jc w:val="both"/>
        <w:rPr>
          <w:rFonts w:hint="eastAsia" w:ascii="宋体" w:hAnsi="宋体" w:eastAsia="宋体" w:cs="宋体"/>
          <w:i/>
          <w:color w:val="000000"/>
          <w:u w:val="single"/>
        </w:rPr>
      </w:pPr>
      <w:r>
        <w:rPr>
          <w:rFonts w:hint="eastAsia" w:ascii="宋体" w:hAnsi="宋体" w:eastAsia="宋体" w:cs="宋体"/>
          <w:i/>
          <w:color w:val="000000"/>
          <w:u w:val="single"/>
          <w:lang w:val="en-US" w:eastAsia="zh-CN"/>
        </w:rPr>
        <w:t>四</w:t>
      </w:r>
      <w:r>
        <w:rPr>
          <w:rFonts w:hint="eastAsia" w:ascii="宋体" w:hAnsi="宋体" w:eastAsia="宋体" w:cs="宋体"/>
          <w:i/>
          <w:color w:val="000000"/>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4CEFE236">
      <w:pPr>
        <w:pStyle w:val="11"/>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76827CBC">
      <w:pPr>
        <w:pStyle w:val="11"/>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六、特定资格要求的证明文件（如果本项目设置特定资格要求，则需要提供）</w:t>
      </w:r>
    </w:p>
    <w:p w14:paraId="6B5ECC70">
      <w:pPr>
        <w:pStyle w:val="11"/>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七、法人授权书</w:t>
      </w:r>
    </w:p>
    <w:p w14:paraId="7C53015F">
      <w:pPr>
        <w:pStyle w:val="11"/>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八、投标函</w:t>
      </w:r>
    </w:p>
    <w:p w14:paraId="07A40BC5">
      <w:pPr>
        <w:pStyle w:val="11"/>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九、小微企业声明函</w:t>
      </w:r>
    </w:p>
    <w:p w14:paraId="055FC0BC">
      <w:pPr>
        <w:pStyle w:val="11"/>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十、残疾人福利性单位声明函</w:t>
      </w:r>
    </w:p>
    <w:p w14:paraId="55EBE0D8">
      <w:pPr>
        <w:pStyle w:val="11"/>
        <w:spacing w:beforeAutospacing="0" w:afterAutospacing="0" w:line="0" w:lineRule="atLeast"/>
        <w:ind w:firstLine="480"/>
        <w:jc w:val="both"/>
        <w:rPr>
          <w:rFonts w:hint="default" w:ascii="宋体" w:hAnsi="宋体" w:eastAsia="宋体" w:cs="宋体"/>
          <w:color w:val="000000"/>
          <w:lang w:val="en-US" w:eastAsia="zh-CN"/>
        </w:rPr>
      </w:pPr>
      <w:r>
        <w:rPr>
          <w:rFonts w:hint="eastAsia" w:ascii="宋体" w:hAnsi="宋体" w:eastAsia="宋体" w:cs="宋体"/>
          <w:color w:val="000000"/>
        </w:rPr>
        <w:t>十</w:t>
      </w:r>
      <w:r>
        <w:rPr>
          <w:rFonts w:hint="eastAsia" w:ascii="宋体" w:hAnsi="宋体" w:eastAsia="宋体" w:cs="宋体"/>
          <w:color w:val="000000"/>
          <w:lang w:val="en-US" w:eastAsia="zh-CN"/>
        </w:rPr>
        <w:t>一</w:t>
      </w:r>
      <w:r>
        <w:rPr>
          <w:rFonts w:hint="eastAsia" w:ascii="宋体" w:hAnsi="宋体" w:eastAsia="宋体" w:cs="宋体"/>
          <w:color w:val="000000"/>
        </w:rPr>
        <w:t>、</w:t>
      </w:r>
      <w:r>
        <w:rPr>
          <w:rFonts w:hint="eastAsia" w:ascii="宋体" w:hAnsi="宋体" w:eastAsia="宋体" w:cs="宋体"/>
          <w:color w:val="000000"/>
          <w:lang w:val="en-US" w:eastAsia="zh-CN"/>
        </w:rPr>
        <w:t>拟派项目成员组成表</w:t>
      </w:r>
    </w:p>
    <w:p w14:paraId="5A699806">
      <w:pPr>
        <w:pStyle w:val="11"/>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二</w:t>
      </w:r>
      <w:r>
        <w:rPr>
          <w:rFonts w:hint="eastAsia" w:ascii="宋体" w:hAnsi="宋体" w:eastAsia="宋体" w:cs="宋体"/>
          <w:color w:val="000000"/>
        </w:rPr>
        <w:t>、开标一览表</w:t>
      </w:r>
    </w:p>
    <w:p w14:paraId="208E318E">
      <w:pPr>
        <w:pStyle w:val="11"/>
        <w:spacing w:beforeAutospacing="0" w:afterAutospacing="0" w:line="0" w:lineRule="atLeast"/>
        <w:ind w:firstLine="480"/>
        <w:jc w:val="both"/>
        <w:rPr>
          <w:rFonts w:hint="default" w:ascii="宋体" w:hAnsi="宋体" w:eastAsia="宋体" w:cs="宋体"/>
          <w:color w:val="000000"/>
          <w:lang w:val="en-US" w:eastAsia="zh-CN"/>
        </w:rPr>
      </w:pPr>
      <w:r>
        <w:rPr>
          <w:rFonts w:hint="eastAsia" w:ascii="宋体" w:hAnsi="宋体" w:eastAsia="宋体" w:cs="宋体"/>
          <w:color w:val="000000"/>
          <w:lang w:val="en-US" w:eastAsia="zh-CN"/>
        </w:rPr>
        <w:t>十三、报价明细表</w:t>
      </w:r>
    </w:p>
    <w:p w14:paraId="4F62FDF9">
      <w:pPr>
        <w:widowControl/>
        <w:spacing w:before="50" w:after="50"/>
        <w:ind w:firstLine="480" w:firstLineChars="20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rPr>
        <w:t>十</w:t>
      </w:r>
      <w:r>
        <w:rPr>
          <w:rFonts w:hint="eastAsia" w:ascii="宋体" w:hAnsi="宋体" w:eastAsia="宋体" w:cs="宋体"/>
          <w:color w:val="000000"/>
          <w:kern w:val="0"/>
          <w:sz w:val="24"/>
          <w:highlight w:val="none"/>
          <w:lang w:val="en-US" w:eastAsia="zh-CN"/>
        </w:rPr>
        <w:t>四</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lang w:val="en-US" w:eastAsia="zh-CN"/>
        </w:rPr>
        <w:t>服务方案</w:t>
      </w:r>
    </w:p>
    <w:p w14:paraId="0E10F929">
      <w:pPr>
        <w:widowControl/>
        <w:spacing w:before="50" w:after="50"/>
        <w:ind w:firstLine="480" w:firstLineChars="200"/>
        <w:rPr>
          <w:rFonts w:hint="default"/>
          <w:lang w:val="en-US" w:eastAsia="zh-CN"/>
        </w:rPr>
      </w:pPr>
      <w:r>
        <w:rPr>
          <w:rFonts w:hint="eastAsia" w:ascii="宋体" w:hAnsi="宋体" w:eastAsia="宋体" w:cs="宋体"/>
          <w:color w:val="000000"/>
          <w:kern w:val="0"/>
          <w:sz w:val="24"/>
          <w:highlight w:val="none"/>
          <w:lang w:val="en-US" w:eastAsia="zh-CN"/>
        </w:rPr>
        <w:t>十五、</w:t>
      </w:r>
      <w:r>
        <w:rPr>
          <w:rFonts w:hint="eastAsia" w:ascii="宋体" w:hAnsi="宋体" w:eastAsia="宋体" w:cs="宋体"/>
          <w:color w:val="000000"/>
          <w:kern w:val="0"/>
          <w:sz w:val="24"/>
          <w:highlight w:val="none"/>
          <w:lang w:eastAsia="zh-CN"/>
        </w:rPr>
        <w:t>招标文件中规定要求提供的证明材料和投标人认为需要提供的其他材料</w:t>
      </w:r>
    </w:p>
    <w:p w14:paraId="46FBA1CA">
      <w:pPr>
        <w:pStyle w:val="11"/>
        <w:spacing w:beforeAutospacing="0" w:afterAutospacing="0" w:line="360" w:lineRule="auto"/>
        <w:ind w:firstLine="480"/>
        <w:jc w:val="both"/>
        <w:rPr>
          <w:rFonts w:ascii="宋体" w:hAnsi="宋体" w:eastAsia="宋体" w:cs="宋体"/>
          <w:color w:val="000000"/>
          <w:highlight w:val="none"/>
        </w:rPr>
      </w:pPr>
      <w:r>
        <w:rPr>
          <w:rFonts w:hint="eastAsia" w:ascii="宋体" w:hAnsi="宋体" w:eastAsia="宋体" w:cs="宋体"/>
          <w:color w:val="000000"/>
          <w:highlight w:val="none"/>
        </w:rPr>
        <w:t>十</w:t>
      </w:r>
      <w:r>
        <w:rPr>
          <w:rFonts w:hint="eastAsia" w:ascii="宋体" w:hAnsi="宋体" w:eastAsia="宋体" w:cs="宋体"/>
          <w:color w:val="000000"/>
          <w:highlight w:val="none"/>
          <w:lang w:val="en-US" w:eastAsia="zh-CN"/>
        </w:rPr>
        <w:t>六</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响水县</w:t>
      </w:r>
      <w:r>
        <w:rPr>
          <w:rFonts w:hint="eastAsia" w:ascii="宋体" w:hAnsi="宋体" w:eastAsia="宋体" w:cs="宋体"/>
          <w:color w:val="000000"/>
          <w:highlight w:val="none"/>
        </w:rPr>
        <w:t>政府采购事前信用承诺书</w:t>
      </w:r>
    </w:p>
    <w:p w14:paraId="66135867">
      <w:pPr>
        <w:pStyle w:val="11"/>
        <w:spacing w:beforeAutospacing="0" w:afterAutospacing="0" w:line="0" w:lineRule="atLeast"/>
        <w:ind w:firstLine="480"/>
        <w:jc w:val="both"/>
        <w:rPr>
          <w:rFonts w:ascii="宋体" w:hAnsi="宋体" w:eastAsia="宋体" w:cs="宋体"/>
          <w:color w:val="000000"/>
        </w:rPr>
      </w:pPr>
    </w:p>
    <w:p w14:paraId="0AFF68D0">
      <w:pPr>
        <w:pStyle w:val="11"/>
        <w:spacing w:beforeAutospacing="0" w:afterAutospacing="0" w:line="0" w:lineRule="atLeast"/>
        <w:ind w:firstLine="480"/>
        <w:jc w:val="both"/>
        <w:rPr>
          <w:rFonts w:ascii="宋体" w:hAnsi="宋体" w:eastAsia="宋体" w:cs="宋体"/>
          <w:color w:val="000000"/>
        </w:rPr>
      </w:pPr>
    </w:p>
    <w:p w14:paraId="04B05CDD">
      <w:pPr>
        <w:pStyle w:val="11"/>
        <w:spacing w:beforeAutospacing="0" w:afterAutospacing="0" w:line="0" w:lineRule="atLeast"/>
        <w:ind w:firstLine="480"/>
        <w:jc w:val="both"/>
      </w:pPr>
      <w:r>
        <w:t> </w:t>
      </w:r>
    </w:p>
    <w:p w14:paraId="214D86B2">
      <w:pPr>
        <w:pStyle w:val="11"/>
        <w:spacing w:beforeAutospacing="0" w:afterAutospacing="0" w:line="0" w:lineRule="atLeast"/>
        <w:ind w:firstLine="480"/>
        <w:jc w:val="both"/>
      </w:pPr>
      <w:r>
        <w:t> </w:t>
      </w:r>
    </w:p>
    <w:p w14:paraId="504A39F8">
      <w:pPr>
        <w:pStyle w:val="11"/>
        <w:spacing w:beforeAutospacing="0" w:afterAutospacing="0" w:line="0" w:lineRule="atLeast"/>
        <w:ind w:firstLine="480"/>
        <w:jc w:val="both"/>
      </w:pPr>
      <w:r>
        <w:t> </w:t>
      </w:r>
    </w:p>
    <w:p w14:paraId="12AE1851">
      <w:pPr>
        <w:pStyle w:val="11"/>
        <w:spacing w:beforeAutospacing="0" w:afterAutospacing="0" w:line="0" w:lineRule="atLeast"/>
        <w:ind w:firstLine="480"/>
        <w:jc w:val="both"/>
      </w:pPr>
      <w:r>
        <w:t> </w:t>
      </w:r>
    </w:p>
    <w:p w14:paraId="6DC2BBC3">
      <w:pPr>
        <w:pStyle w:val="11"/>
        <w:spacing w:beforeAutospacing="0" w:afterAutospacing="0" w:line="0" w:lineRule="atLeast"/>
        <w:ind w:firstLine="480"/>
        <w:jc w:val="both"/>
      </w:pPr>
    </w:p>
    <w:p w14:paraId="6350B4F1">
      <w:pPr>
        <w:pStyle w:val="11"/>
        <w:spacing w:beforeAutospacing="0" w:afterAutospacing="0" w:line="0" w:lineRule="atLeast"/>
        <w:ind w:firstLine="480"/>
        <w:jc w:val="both"/>
      </w:pPr>
    </w:p>
    <w:p w14:paraId="74AE2E63">
      <w:pPr>
        <w:pStyle w:val="11"/>
        <w:spacing w:beforeAutospacing="0" w:afterAutospacing="0" w:line="0" w:lineRule="atLeast"/>
        <w:ind w:firstLine="480"/>
        <w:jc w:val="both"/>
      </w:pPr>
    </w:p>
    <w:p w14:paraId="3E1BBE4C">
      <w:pPr>
        <w:pStyle w:val="11"/>
        <w:spacing w:beforeAutospacing="0" w:afterAutospacing="0" w:line="0" w:lineRule="atLeast"/>
        <w:ind w:firstLine="480"/>
        <w:jc w:val="both"/>
      </w:pPr>
    </w:p>
    <w:p w14:paraId="538C0F1D">
      <w:pPr>
        <w:pStyle w:val="11"/>
        <w:spacing w:beforeAutospacing="0" w:afterAutospacing="0" w:line="0" w:lineRule="atLeast"/>
        <w:ind w:firstLine="480"/>
        <w:jc w:val="both"/>
      </w:pPr>
    </w:p>
    <w:p w14:paraId="6CF9AB6C">
      <w:pPr>
        <w:pStyle w:val="11"/>
        <w:spacing w:beforeAutospacing="0" w:afterAutospacing="0" w:line="0" w:lineRule="atLeast"/>
        <w:ind w:firstLine="480"/>
        <w:jc w:val="both"/>
      </w:pPr>
    </w:p>
    <w:p w14:paraId="2059C09A">
      <w:pPr>
        <w:pStyle w:val="11"/>
        <w:spacing w:beforeAutospacing="0" w:afterAutospacing="0" w:line="0" w:lineRule="atLeast"/>
        <w:ind w:firstLine="480"/>
        <w:jc w:val="both"/>
      </w:pPr>
    </w:p>
    <w:p w14:paraId="62AC9A28">
      <w:pPr>
        <w:pStyle w:val="11"/>
        <w:spacing w:beforeAutospacing="0" w:afterAutospacing="0" w:line="0" w:lineRule="atLeast"/>
        <w:ind w:firstLine="480"/>
        <w:jc w:val="both"/>
      </w:pPr>
    </w:p>
    <w:p w14:paraId="430912F3">
      <w:pPr>
        <w:pStyle w:val="11"/>
        <w:spacing w:beforeAutospacing="0" w:afterAutospacing="0" w:line="0" w:lineRule="atLeast"/>
        <w:ind w:firstLine="480"/>
        <w:jc w:val="both"/>
      </w:pPr>
    </w:p>
    <w:p w14:paraId="216BC830">
      <w:pPr>
        <w:pStyle w:val="11"/>
        <w:spacing w:beforeAutospacing="0" w:afterAutospacing="0" w:line="0" w:lineRule="atLeast"/>
        <w:ind w:firstLine="480"/>
        <w:jc w:val="both"/>
      </w:pPr>
    </w:p>
    <w:p w14:paraId="5FA33C88">
      <w:pPr>
        <w:pStyle w:val="11"/>
        <w:spacing w:beforeAutospacing="0" w:afterAutospacing="0" w:line="0" w:lineRule="atLeast"/>
        <w:ind w:firstLine="480"/>
        <w:jc w:val="both"/>
      </w:pPr>
    </w:p>
    <w:p w14:paraId="07976FC6">
      <w:pPr>
        <w:pStyle w:val="11"/>
        <w:spacing w:beforeAutospacing="0" w:afterAutospacing="0" w:line="0" w:lineRule="atLeast"/>
        <w:ind w:firstLine="480"/>
        <w:jc w:val="both"/>
      </w:pPr>
    </w:p>
    <w:p w14:paraId="6E0B7358">
      <w:pPr>
        <w:pStyle w:val="11"/>
        <w:spacing w:beforeAutospacing="0" w:afterAutospacing="0" w:line="0" w:lineRule="atLeast"/>
        <w:ind w:firstLine="480"/>
        <w:jc w:val="both"/>
      </w:pPr>
    </w:p>
    <w:p w14:paraId="56491AAC">
      <w:pPr>
        <w:pStyle w:val="11"/>
        <w:spacing w:beforeAutospacing="0" w:afterAutospacing="0" w:line="0" w:lineRule="atLeast"/>
        <w:ind w:firstLine="480"/>
        <w:jc w:val="both"/>
      </w:pPr>
    </w:p>
    <w:p w14:paraId="1260DCB7">
      <w:pPr>
        <w:pStyle w:val="11"/>
        <w:spacing w:beforeAutospacing="0" w:afterAutospacing="0" w:line="0" w:lineRule="atLeast"/>
        <w:ind w:firstLine="480"/>
        <w:jc w:val="both"/>
      </w:pPr>
      <w:r>
        <w:t> </w:t>
      </w:r>
    </w:p>
    <w:p w14:paraId="6ED4F57E">
      <w:pPr>
        <w:pStyle w:val="11"/>
        <w:spacing w:beforeAutospacing="0" w:afterAutospacing="0" w:line="0" w:lineRule="atLeast"/>
        <w:ind w:firstLine="480"/>
        <w:jc w:val="both"/>
      </w:pPr>
      <w:r>
        <w:t> </w:t>
      </w:r>
    </w:p>
    <w:p w14:paraId="07093F04">
      <w:pPr>
        <w:pStyle w:val="11"/>
        <w:spacing w:beforeAutospacing="0" w:afterAutospacing="0" w:line="0" w:lineRule="atLeast"/>
        <w:ind w:firstLine="480"/>
        <w:jc w:val="both"/>
      </w:pPr>
      <w:r>
        <w:t> </w:t>
      </w:r>
    </w:p>
    <w:p w14:paraId="0B3A0BDF">
      <w:pPr>
        <w:pStyle w:val="11"/>
        <w:spacing w:beforeAutospacing="0" w:afterAutospacing="0" w:line="0" w:lineRule="atLeast"/>
        <w:ind w:firstLine="480"/>
        <w:jc w:val="both"/>
      </w:pPr>
      <w:r>
        <w:t> </w:t>
      </w:r>
    </w:p>
    <w:p w14:paraId="4358B2C9">
      <w:pPr>
        <w:pStyle w:val="11"/>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5BD74D47">
      <w:pPr>
        <w:pStyle w:val="11"/>
        <w:spacing w:beforeAutospacing="0" w:afterAutospacing="0" w:line="0" w:lineRule="atLeast"/>
        <w:ind w:firstLine="480"/>
        <w:jc w:val="both"/>
      </w:pPr>
      <w:r>
        <w:t> </w:t>
      </w:r>
    </w:p>
    <w:p w14:paraId="2526A98E">
      <w:pPr>
        <w:pStyle w:val="11"/>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w:t>
      </w:r>
      <w:r>
        <w:rPr>
          <w:rFonts w:hint="eastAsia" w:ascii="黑体" w:hAnsi="宋体" w:eastAsia="黑体" w:cs="黑体"/>
          <w:i/>
          <w:color w:val="auto"/>
          <w:sz w:val="32"/>
          <w:szCs w:val="32"/>
          <w:highlight w:val="none"/>
          <w:u w:val="single"/>
        </w:rPr>
        <w:t>报表</w:t>
      </w:r>
    </w:p>
    <w:p w14:paraId="336FDA79">
      <w:pPr>
        <w:pStyle w:val="11"/>
        <w:spacing w:beforeAutospacing="0" w:afterAutospacing="0" w:line="0" w:lineRule="atLeast"/>
        <w:ind w:firstLine="480"/>
        <w:jc w:val="both"/>
      </w:pPr>
      <w:r>
        <w:rPr>
          <w:rFonts w:hint="eastAsia" w:ascii="宋体" w:hAnsi="宋体" w:eastAsia="宋体" w:cs="宋体"/>
          <w:color w:val="000000"/>
        </w:rPr>
        <w:t>投标人成立不满一年不需提供</w:t>
      </w:r>
    </w:p>
    <w:p w14:paraId="3559880D">
      <w:pPr>
        <w:pStyle w:val="11"/>
        <w:spacing w:beforeAutospacing="0" w:afterAutospacing="0"/>
        <w:jc w:val="both"/>
      </w:pPr>
      <w:r>
        <w:t> </w:t>
      </w:r>
    </w:p>
    <w:p w14:paraId="30415750">
      <w:pPr>
        <w:pStyle w:val="11"/>
        <w:spacing w:beforeAutospacing="0" w:afterAutospacing="0"/>
        <w:jc w:val="both"/>
      </w:pPr>
      <w:r>
        <w:t> </w:t>
      </w:r>
    </w:p>
    <w:p w14:paraId="7B252634">
      <w:pPr>
        <w:pStyle w:val="11"/>
        <w:spacing w:beforeAutospacing="0" w:afterAutospacing="0"/>
        <w:jc w:val="both"/>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、具备履行合同所必需的设备和专业技术能力的书面声明</w:t>
      </w:r>
    </w:p>
    <w:p w14:paraId="1A395602">
      <w:pPr>
        <w:pStyle w:val="11"/>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E92252A">
      <w:pPr>
        <w:pStyle w:val="11"/>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DDB3B6A">
      <w:pPr>
        <w:pStyle w:val="11"/>
        <w:spacing w:beforeAutospacing="0" w:afterAutospacing="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1A9E1070">
      <w:pPr>
        <w:pStyle w:val="11"/>
        <w:spacing w:beforeAutospacing="0" w:afterAutospacing="0"/>
        <w:jc w:val="both"/>
      </w:pPr>
      <w:r>
        <w:rPr>
          <w:rFonts w:hint="eastAsia" w:ascii="黑体" w:hAnsi="宋体" w:eastAsia="黑体" w:cs="黑体"/>
          <w:i/>
          <w:color w:val="000000"/>
          <w:sz w:val="32"/>
          <w:szCs w:val="32"/>
          <w:u w:val="single"/>
          <w:lang w:val="en-US" w:eastAsia="zh-CN"/>
        </w:rPr>
        <w:t>四</w:t>
      </w:r>
      <w:r>
        <w:rPr>
          <w:rFonts w:hint="eastAsia" w:ascii="黑体" w:hAnsi="宋体" w:eastAsia="黑体" w:cs="黑体"/>
          <w:i/>
          <w:color w:val="000000"/>
          <w:sz w:val="32"/>
          <w:szCs w:val="32"/>
          <w:u w:val="single"/>
        </w:rPr>
        <w:t>、依法缴纳税收和社会保障资金的相关材料</w:t>
      </w:r>
    </w:p>
    <w:p w14:paraId="6172D499">
      <w:pPr>
        <w:pStyle w:val="11"/>
        <w:spacing w:beforeAutospacing="0" w:afterAutospacing="0"/>
        <w:ind w:firstLine="480"/>
        <w:jc w:val="both"/>
      </w:pPr>
      <w:bookmarkStart w:id="232"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232"/>
    </w:p>
    <w:p w14:paraId="4B289D91">
      <w:pPr>
        <w:pStyle w:val="11"/>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65B39111">
      <w:pPr>
        <w:pStyle w:val="11"/>
        <w:spacing w:beforeAutospacing="0" w:afterAutospacing="0" w:line="0" w:lineRule="atLeast"/>
        <w:jc w:val="both"/>
      </w:pPr>
      <w:r>
        <w:rPr>
          <w:rFonts w:hint="eastAsia" w:ascii="宋体" w:hAnsi="宋体" w:eastAsia="宋体" w:cs="宋体"/>
          <w:b/>
          <w:color w:val="000000"/>
          <w:sz w:val="44"/>
          <w:szCs w:val="44"/>
        </w:rPr>
        <w:t>       声  明</w:t>
      </w:r>
    </w:p>
    <w:p w14:paraId="7F2E5CC9">
      <w:pPr>
        <w:pStyle w:val="11"/>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66B24348">
      <w:pPr>
        <w:pStyle w:val="11"/>
        <w:spacing w:beforeAutospacing="0" w:afterAutospacing="0"/>
        <w:jc w:val="both"/>
      </w:pPr>
      <w:r>
        <w:t> </w:t>
      </w:r>
    </w:p>
    <w:p w14:paraId="5F6798BA">
      <w:pPr>
        <w:pStyle w:val="11"/>
        <w:spacing w:beforeAutospacing="0" w:afterAutospacing="0"/>
        <w:jc w:val="both"/>
      </w:pPr>
      <w:r>
        <w:rPr>
          <w:rFonts w:hint="eastAsia" w:ascii="黑体" w:hAnsi="宋体" w:eastAsia="黑体" w:cs="黑体"/>
          <w:i/>
          <w:color w:val="000000"/>
          <w:sz w:val="32"/>
          <w:szCs w:val="32"/>
          <w:u w:val="single"/>
        </w:rPr>
        <w:t>六、特定资格要求的证明文件</w:t>
      </w:r>
    </w:p>
    <w:p w14:paraId="4742F049">
      <w:pPr>
        <w:pStyle w:val="11"/>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7E39528F">
      <w:pPr>
        <w:pStyle w:val="11"/>
        <w:spacing w:beforeAutospacing="0" w:afterAutospacing="0" w:line="0" w:lineRule="atLeast"/>
        <w:jc w:val="both"/>
      </w:pPr>
      <w:r>
        <w:t> </w:t>
      </w:r>
    </w:p>
    <w:p w14:paraId="201FAB23">
      <w:pPr>
        <w:pStyle w:val="11"/>
        <w:spacing w:beforeAutospacing="0" w:afterAutospacing="0"/>
        <w:jc w:val="center"/>
        <w:rPr>
          <w:rFonts w:ascii="黑体" w:hAnsi="宋体" w:eastAsia="黑体" w:cs="黑体"/>
          <w:i/>
          <w:color w:val="000000"/>
          <w:sz w:val="32"/>
          <w:szCs w:val="32"/>
          <w:u w:val="single"/>
        </w:rPr>
      </w:pPr>
    </w:p>
    <w:p w14:paraId="0926BAEA">
      <w:pPr>
        <w:pStyle w:val="11"/>
        <w:spacing w:beforeAutospacing="0" w:afterAutospacing="0"/>
        <w:jc w:val="center"/>
        <w:rPr>
          <w:rFonts w:ascii="黑体" w:hAnsi="宋体" w:eastAsia="黑体" w:cs="黑体"/>
          <w:i/>
          <w:color w:val="000000"/>
          <w:sz w:val="32"/>
          <w:szCs w:val="32"/>
          <w:u w:val="single"/>
        </w:rPr>
      </w:pPr>
    </w:p>
    <w:p w14:paraId="0FBEE0C3">
      <w:pPr>
        <w:pStyle w:val="11"/>
        <w:spacing w:beforeAutospacing="0" w:afterAutospacing="0"/>
        <w:jc w:val="center"/>
        <w:rPr>
          <w:rFonts w:ascii="黑体" w:hAnsi="宋体" w:eastAsia="黑体" w:cs="黑体"/>
          <w:i/>
          <w:color w:val="000000"/>
          <w:sz w:val="32"/>
          <w:szCs w:val="32"/>
          <w:u w:val="single"/>
        </w:rPr>
      </w:pPr>
    </w:p>
    <w:p w14:paraId="680C99B5">
      <w:pPr>
        <w:pStyle w:val="11"/>
        <w:spacing w:beforeAutospacing="0" w:afterAutospacing="0"/>
        <w:jc w:val="center"/>
        <w:rPr>
          <w:rFonts w:ascii="黑体" w:hAnsi="宋体" w:eastAsia="黑体" w:cs="黑体"/>
          <w:i/>
          <w:color w:val="000000"/>
          <w:sz w:val="32"/>
          <w:szCs w:val="32"/>
          <w:u w:val="single"/>
        </w:rPr>
      </w:pPr>
    </w:p>
    <w:p w14:paraId="498B2296">
      <w:pPr>
        <w:pStyle w:val="11"/>
        <w:spacing w:beforeAutospacing="0" w:afterAutospacing="0"/>
        <w:jc w:val="center"/>
      </w:pPr>
      <w:r>
        <w:rPr>
          <w:rFonts w:hint="eastAsia" w:ascii="黑体" w:hAnsi="宋体" w:eastAsia="黑体" w:cs="黑体"/>
          <w:i/>
          <w:color w:val="000000"/>
          <w:sz w:val="32"/>
          <w:szCs w:val="32"/>
          <w:u w:val="single"/>
        </w:rPr>
        <w:t>七、法人授权书</w:t>
      </w:r>
    </w:p>
    <w:p w14:paraId="20CE098C">
      <w:pPr>
        <w:pStyle w:val="11"/>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w:t>
      </w:r>
      <w:r>
        <w:rPr>
          <w:rFonts w:ascii="Times New Roman" w:hAnsi="Times New Roman"/>
          <w:color w:val="000000"/>
          <w:u w:val="single"/>
        </w:rPr>
        <w:t>JSZC-320921-DXGC-G2024-0005</w:t>
      </w:r>
      <w:r>
        <w:rPr>
          <w:rFonts w:ascii="Times New Roman" w:hAnsi="Times New Roman"/>
          <w:color w:val="000000"/>
        </w:rPr>
        <w:t>号项目采购活动的合法代理人，以本单位名义全权处理一切与该项目采购有关的事务。</w:t>
      </w:r>
    </w:p>
    <w:p w14:paraId="6912CC3E">
      <w:pPr>
        <w:pStyle w:val="11"/>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26C82B81">
      <w:pPr>
        <w:pStyle w:val="11"/>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1E62CB47">
      <w:pPr>
        <w:pStyle w:val="11"/>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A8661C2">
      <w:pPr>
        <w:pStyle w:val="11"/>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6118B891">
      <w:pPr>
        <w:pStyle w:val="11"/>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1B5B60DA">
      <w:pPr>
        <w:pStyle w:val="11"/>
        <w:tabs>
          <w:tab w:val="left" w:pos="360"/>
        </w:tabs>
        <w:spacing w:beforeAutospacing="0" w:afterAutospacing="0"/>
        <w:ind w:firstLine="480"/>
        <w:jc w:val="both"/>
      </w:pPr>
      <w:r>
        <w:rPr>
          <w:rFonts w:ascii="Times New Roman" w:hAnsi="Times New Roman"/>
          <w:color w:val="000000"/>
        </w:rPr>
        <w:t>      日期：</w:t>
      </w:r>
      <w:bookmarkStart w:id="233" w:name="_格式3__银行出具的资信证明"/>
      <w:bookmarkStart w:id="234" w:name="_Hlt26955070"/>
      <w:bookmarkStart w:id="235" w:name="_Hlt26671380"/>
      <w:r>
        <w:rPr>
          <w:rFonts w:ascii="Times New Roman" w:hAnsi="Times New Roman"/>
          <w:color w:val="000000"/>
          <w:u w:val="single"/>
        </w:rPr>
        <w:t xml:space="preserve">                                         </w:t>
      </w:r>
    </w:p>
    <w:p w14:paraId="39B7E0B6">
      <w:pPr>
        <w:pStyle w:val="11"/>
        <w:spacing w:beforeAutospacing="0" w:afterAutospacing="0"/>
        <w:ind w:firstLine="420"/>
        <w:jc w:val="both"/>
      </w:pPr>
      <w:r>
        <w:t> </w:t>
      </w:r>
    </w:p>
    <w:p w14:paraId="21E6ABA3">
      <w:pPr>
        <w:pStyle w:val="11"/>
        <w:spacing w:beforeAutospacing="0" w:afterAutospacing="0"/>
        <w:jc w:val="both"/>
      </w:pPr>
      <w:r>
        <w:t> </w:t>
      </w:r>
    </w:p>
    <w:p w14:paraId="6A240AC7">
      <w:pPr>
        <w:pStyle w:val="11"/>
        <w:spacing w:beforeAutospacing="0" w:afterAutospacing="0" w:line="0" w:lineRule="atLeast"/>
        <w:jc w:val="both"/>
      </w:pPr>
      <w:r>
        <w:t> </w:t>
      </w:r>
    </w:p>
    <w:p w14:paraId="6554A61D">
      <w:pPr>
        <w:pStyle w:val="11"/>
        <w:spacing w:beforeAutospacing="0" w:afterAutospacing="0" w:line="0" w:lineRule="atLeast"/>
        <w:jc w:val="both"/>
      </w:pPr>
      <w:r>
        <w:t> </w:t>
      </w:r>
    </w:p>
    <w:p w14:paraId="3CEE5F64">
      <w:pPr>
        <w:pStyle w:val="11"/>
        <w:keepNext/>
        <w:keepLines/>
        <w:spacing w:before="260" w:beforeAutospacing="0" w:after="260" w:afterAutospacing="0" w:line="415" w:lineRule="auto"/>
        <w:ind w:firstLine="3390"/>
        <w:jc w:val="both"/>
        <w:rPr>
          <w:rFonts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55B13241">
      <w:pPr>
        <w:pStyle w:val="11"/>
        <w:spacing w:beforeAutospacing="0" w:afterAutospacing="0" w:line="0" w:lineRule="atLeast"/>
        <w:rPr>
          <w:rFonts w:hint="eastAsia" w:eastAsia="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响水县自然资源和规划局</w:t>
      </w:r>
    </w:p>
    <w:p w14:paraId="01F98131">
      <w:pPr>
        <w:pStyle w:val="11"/>
        <w:spacing w:beforeAutospacing="0" w:afterAutospacing="0" w:line="0" w:lineRule="atLeast"/>
        <w:ind w:firstLine="480"/>
      </w:pPr>
      <w:r>
        <w:rPr>
          <w:rFonts w:hint="eastAsia" w:ascii="宋体" w:hAnsi="宋体" w:eastAsia="宋体" w:cs="宋体"/>
          <w:color w:val="000000"/>
        </w:rPr>
        <w:t>根据贵方的JSZC-320921-DXGC-G2024-0005号招标文件，正式授权下述签字人______</w:t>
      </w:r>
      <w:r>
        <w:rPr>
          <w:rFonts w:hint="eastAsia" w:ascii="宋体" w:hAnsi="宋体" w:eastAsia="宋体" w:cs="宋体"/>
          <w:color w:val="000000"/>
          <w:lang w:eastAsia="zh-CN"/>
        </w:rPr>
        <w:t>（</w:t>
      </w:r>
      <w:r>
        <w:rPr>
          <w:rFonts w:hint="eastAsia" w:ascii="宋体" w:hAnsi="宋体" w:eastAsia="宋体" w:cs="宋体"/>
          <w:color w:val="000000"/>
        </w:rPr>
        <w:t>姓名</w:t>
      </w:r>
      <w:r>
        <w:rPr>
          <w:rFonts w:hint="eastAsia" w:ascii="宋体" w:hAnsi="宋体" w:eastAsia="宋体" w:cs="宋体"/>
          <w:color w:val="000000"/>
          <w:lang w:eastAsia="zh-CN"/>
        </w:rPr>
        <w:t>）</w:t>
      </w:r>
      <w:r>
        <w:rPr>
          <w:rFonts w:hint="eastAsia" w:ascii="宋体" w:hAnsi="宋体" w:eastAsia="宋体" w:cs="宋体"/>
          <w:color w:val="000000"/>
        </w:rPr>
        <w:t>代表我方______________（投标人的名称），全权处理本次项目投标的有关事宜。</w:t>
      </w:r>
    </w:p>
    <w:p w14:paraId="6DF83AA8">
      <w:pPr>
        <w:pStyle w:val="11"/>
        <w:spacing w:beforeAutospacing="0" w:afterAutospacing="0" w:line="0" w:lineRule="atLeast"/>
        <w:ind w:firstLine="480"/>
      </w:pPr>
      <w:r>
        <w:rPr>
          <w:rFonts w:hint="eastAsia" w:ascii="宋体" w:hAnsi="宋体" w:eastAsia="宋体" w:cs="宋体"/>
          <w:color w:val="000000"/>
        </w:rPr>
        <w:t>据此函，__________签字人兹宣布同意如下：</w:t>
      </w:r>
    </w:p>
    <w:p w14:paraId="549BF5D9">
      <w:pPr>
        <w:pStyle w:val="11"/>
        <w:spacing w:beforeAutospacing="0" w:afterAutospacing="0" w:line="0" w:lineRule="atLeast"/>
        <w:ind w:firstLine="480"/>
      </w:pPr>
      <w:r>
        <w:rPr>
          <w:rFonts w:hint="eastAsia" w:ascii="宋体" w:hAnsi="宋体" w:eastAsia="宋体" w:cs="宋体"/>
          <w:color w:val="000000"/>
        </w:rPr>
        <w:t>1.按招标文件规定的各项要求，向买方提供所需服务（包含与服务相关的货物）。</w:t>
      </w:r>
    </w:p>
    <w:p w14:paraId="46D6DB00">
      <w:pPr>
        <w:pStyle w:val="11"/>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107F4E6C">
      <w:pPr>
        <w:pStyle w:val="11"/>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7A68F195">
      <w:pPr>
        <w:pStyle w:val="11"/>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5DE1C804">
      <w:pPr>
        <w:pStyle w:val="11"/>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24E3EAC5">
      <w:pPr>
        <w:pStyle w:val="11"/>
        <w:spacing w:beforeAutospacing="0" w:afterAutospacing="0" w:line="0" w:lineRule="atLeast"/>
        <w:ind w:firstLine="480"/>
      </w:pPr>
      <w:r>
        <w:rPr>
          <w:rFonts w:hint="eastAsia" w:ascii="宋体" w:hAnsi="宋体" w:eastAsia="宋体" w:cs="宋体"/>
          <w:color w:val="000000"/>
        </w:rPr>
        <w:t>6.一旦我方中标</w:t>
      </w:r>
      <w:r>
        <w:rPr>
          <w:rFonts w:hint="eastAsia" w:ascii="宋体" w:hAnsi="宋体" w:eastAsia="宋体" w:cs="宋体"/>
          <w:color w:val="000000"/>
          <w:lang w:eastAsia="zh-CN"/>
        </w:rPr>
        <w:t>，</w:t>
      </w:r>
      <w:r>
        <w:rPr>
          <w:rFonts w:hint="eastAsia" w:ascii="宋体" w:hAnsi="宋体" w:eastAsia="宋体" w:cs="宋体"/>
          <w:color w:val="000000"/>
        </w:rPr>
        <w:t>我方将根据招标文件的规定，严格履行合同的责任和义务</w:t>
      </w:r>
      <w:r>
        <w:rPr>
          <w:rFonts w:hint="eastAsia" w:ascii="宋体" w:hAnsi="宋体" w:eastAsia="宋体" w:cs="宋体"/>
          <w:color w:val="000000"/>
          <w:lang w:eastAsia="zh-CN"/>
        </w:rPr>
        <w:t>，</w:t>
      </w:r>
      <w:r>
        <w:rPr>
          <w:rFonts w:hint="eastAsia" w:ascii="宋体" w:hAnsi="宋体" w:eastAsia="宋体" w:cs="宋体"/>
          <w:color w:val="000000"/>
        </w:rPr>
        <w:t>并保证在招标文件规定的时间完成项目，交付买方验收、使用。</w:t>
      </w:r>
    </w:p>
    <w:p w14:paraId="5B1D3D39">
      <w:pPr>
        <w:pStyle w:val="11"/>
        <w:spacing w:beforeAutospacing="0" w:afterAutospacing="0" w:line="0" w:lineRule="atLeast"/>
        <w:ind w:firstLine="480"/>
      </w:pPr>
      <w:r>
        <w:rPr>
          <w:rFonts w:hint="eastAsia" w:ascii="宋体" w:hAnsi="宋体" w:eastAsia="宋体" w:cs="宋体"/>
          <w:color w:val="000000"/>
        </w:rPr>
        <w:t>7.与本投标有关的正式通讯地址为：</w:t>
      </w:r>
    </w:p>
    <w:p w14:paraId="6CD27F70">
      <w:pPr>
        <w:pStyle w:val="11"/>
        <w:spacing w:beforeAutospacing="0" w:afterAutospacing="0" w:line="0" w:lineRule="atLeast"/>
        <w:ind w:left="420" w:firstLine="480"/>
      </w:pPr>
      <w:r>
        <w:rPr>
          <w:rFonts w:hint="eastAsia" w:ascii="宋体" w:hAnsi="宋体" w:eastAsia="宋体" w:cs="宋体"/>
          <w:color w:val="000000"/>
        </w:rPr>
        <w:t>地          址：</w:t>
      </w:r>
    </w:p>
    <w:p w14:paraId="736B7499">
      <w:pPr>
        <w:pStyle w:val="11"/>
        <w:spacing w:beforeAutospacing="0" w:afterAutospacing="0" w:line="0" w:lineRule="atLeast"/>
        <w:ind w:left="420" w:firstLine="480"/>
      </w:pPr>
      <w:r>
        <w:rPr>
          <w:rFonts w:hint="eastAsia" w:ascii="宋体" w:hAnsi="宋体" w:eastAsia="宋体" w:cs="宋体"/>
          <w:color w:val="000000"/>
        </w:rPr>
        <w:t>邮          编：</w:t>
      </w:r>
    </w:p>
    <w:p w14:paraId="43846353">
      <w:pPr>
        <w:pStyle w:val="11"/>
        <w:spacing w:beforeAutospacing="0" w:afterAutospacing="0" w:line="0" w:lineRule="atLeast"/>
        <w:ind w:left="420" w:firstLine="480"/>
      </w:pPr>
      <w:r>
        <w:rPr>
          <w:rFonts w:hint="eastAsia" w:ascii="宋体" w:hAnsi="宋体" w:eastAsia="宋体" w:cs="宋体"/>
          <w:color w:val="000000"/>
        </w:rPr>
        <w:t>电          话：</w:t>
      </w:r>
    </w:p>
    <w:p w14:paraId="21F2AF28">
      <w:pPr>
        <w:pStyle w:val="11"/>
        <w:spacing w:beforeAutospacing="0" w:afterAutospacing="0" w:line="0" w:lineRule="atLeast"/>
        <w:ind w:left="420" w:firstLine="480"/>
      </w:pPr>
      <w:r>
        <w:rPr>
          <w:rFonts w:hint="eastAsia" w:ascii="宋体" w:hAnsi="宋体" w:eastAsia="宋体" w:cs="宋体"/>
          <w:color w:val="000000"/>
        </w:rPr>
        <w:t>传          真：</w:t>
      </w:r>
    </w:p>
    <w:p w14:paraId="3E0F9352">
      <w:pPr>
        <w:pStyle w:val="11"/>
        <w:spacing w:beforeAutospacing="0" w:afterAutospacing="0" w:line="0" w:lineRule="atLeast"/>
        <w:ind w:left="420" w:firstLine="480"/>
      </w:pPr>
      <w:r>
        <w:rPr>
          <w:rFonts w:hint="eastAsia" w:ascii="宋体" w:hAnsi="宋体" w:eastAsia="宋体" w:cs="宋体"/>
          <w:color w:val="000000"/>
        </w:rPr>
        <w:t>投标人开户行：</w:t>
      </w:r>
    </w:p>
    <w:p w14:paraId="0CDC787F">
      <w:pPr>
        <w:pStyle w:val="11"/>
        <w:spacing w:beforeAutospacing="0" w:afterAutospacing="0" w:line="0" w:lineRule="atLeast"/>
        <w:ind w:left="420" w:firstLine="480"/>
      </w:pPr>
      <w:r>
        <w:rPr>
          <w:rFonts w:hint="eastAsia" w:ascii="宋体" w:hAnsi="宋体" w:eastAsia="宋体" w:cs="宋体"/>
          <w:color w:val="000000"/>
        </w:rPr>
        <w:t xml:space="preserve">账          号： </w:t>
      </w:r>
    </w:p>
    <w:p w14:paraId="731E9FA3">
      <w:pPr>
        <w:pStyle w:val="11"/>
        <w:spacing w:beforeAutospacing="0" w:afterAutospacing="0" w:line="0" w:lineRule="atLeast"/>
        <w:ind w:left="420" w:firstLine="480"/>
      </w:pPr>
      <w:r>
        <w:rPr>
          <w:rFonts w:hint="eastAsia" w:ascii="宋体" w:hAnsi="宋体" w:eastAsia="宋体" w:cs="宋体"/>
          <w:color w:val="000000"/>
        </w:rPr>
        <w:t>日           期：________年____月____日</w:t>
      </w:r>
    </w:p>
    <w:p w14:paraId="13295B33">
      <w:pPr>
        <w:pStyle w:val="11"/>
        <w:spacing w:beforeAutospacing="0" w:afterAutospacing="0" w:line="0" w:lineRule="atLeast"/>
        <w:ind w:firstLine="240"/>
        <w:jc w:val="center"/>
      </w:pPr>
      <w:r>
        <w:t> </w:t>
      </w:r>
    </w:p>
    <w:p w14:paraId="62BE15A5">
      <w:pPr>
        <w:pStyle w:val="11"/>
        <w:spacing w:beforeAutospacing="0" w:afterAutospacing="0" w:line="0" w:lineRule="atLeast"/>
        <w:ind w:firstLine="240"/>
        <w:jc w:val="center"/>
      </w:pPr>
      <w:r>
        <w:t> </w:t>
      </w:r>
    </w:p>
    <w:p w14:paraId="4DA8787A">
      <w:pPr>
        <w:pStyle w:val="11"/>
        <w:spacing w:beforeAutospacing="0" w:afterAutospacing="0" w:line="0" w:lineRule="atLeast"/>
        <w:ind w:firstLine="240"/>
        <w:jc w:val="center"/>
      </w:pPr>
      <w:r>
        <w:t> </w:t>
      </w:r>
    </w:p>
    <w:p w14:paraId="151BF3E7">
      <w:pPr>
        <w:pStyle w:val="11"/>
        <w:spacing w:beforeAutospacing="0" w:afterAutospacing="0" w:line="0" w:lineRule="atLeast"/>
        <w:ind w:firstLine="240"/>
        <w:jc w:val="center"/>
      </w:pPr>
      <w:r>
        <w:t> </w:t>
      </w:r>
    </w:p>
    <w:p w14:paraId="2E7DD188">
      <w:pPr>
        <w:pStyle w:val="11"/>
        <w:spacing w:beforeAutospacing="0" w:afterAutospacing="0" w:line="0" w:lineRule="atLeast"/>
        <w:ind w:firstLine="240"/>
        <w:jc w:val="center"/>
      </w:pPr>
      <w:r>
        <w:t> </w:t>
      </w:r>
    </w:p>
    <w:p w14:paraId="1BB4D4D2">
      <w:pPr>
        <w:pStyle w:val="11"/>
        <w:spacing w:beforeAutospacing="0" w:afterAutospacing="0" w:line="0" w:lineRule="atLeast"/>
        <w:ind w:firstLine="240"/>
        <w:jc w:val="center"/>
      </w:pPr>
    </w:p>
    <w:p w14:paraId="521BDEA3">
      <w:pPr>
        <w:pStyle w:val="11"/>
        <w:spacing w:beforeAutospacing="0" w:afterAutospacing="0" w:line="0" w:lineRule="atLeast"/>
        <w:ind w:firstLine="240"/>
        <w:jc w:val="center"/>
      </w:pPr>
    </w:p>
    <w:p w14:paraId="474CB3D1">
      <w:pPr>
        <w:pStyle w:val="11"/>
        <w:spacing w:beforeAutospacing="0" w:afterAutospacing="0" w:line="0" w:lineRule="atLeast"/>
        <w:ind w:firstLine="240"/>
        <w:jc w:val="center"/>
      </w:pPr>
    </w:p>
    <w:p w14:paraId="4034BC62">
      <w:pPr>
        <w:pStyle w:val="11"/>
        <w:spacing w:beforeAutospacing="0" w:afterAutospacing="0" w:line="0" w:lineRule="atLeast"/>
        <w:ind w:firstLine="240"/>
        <w:jc w:val="center"/>
      </w:pPr>
    </w:p>
    <w:p w14:paraId="2A7ECFD4">
      <w:pPr>
        <w:pStyle w:val="11"/>
        <w:spacing w:beforeAutospacing="0" w:afterAutospacing="0" w:line="0" w:lineRule="atLeast"/>
        <w:ind w:firstLine="240"/>
        <w:jc w:val="center"/>
      </w:pPr>
    </w:p>
    <w:p w14:paraId="69CE4991">
      <w:pPr>
        <w:pStyle w:val="11"/>
        <w:spacing w:beforeAutospacing="0" w:afterAutospacing="0" w:line="0" w:lineRule="atLeast"/>
        <w:ind w:firstLine="240"/>
        <w:jc w:val="center"/>
      </w:pPr>
    </w:p>
    <w:p w14:paraId="592A3B35">
      <w:pPr>
        <w:pStyle w:val="11"/>
        <w:spacing w:beforeAutospacing="0" w:afterAutospacing="0" w:line="0" w:lineRule="atLeast"/>
        <w:ind w:firstLine="240"/>
        <w:jc w:val="center"/>
      </w:pPr>
    </w:p>
    <w:p w14:paraId="179A529C">
      <w:pPr>
        <w:pStyle w:val="11"/>
        <w:spacing w:beforeAutospacing="0" w:afterAutospacing="0" w:line="0" w:lineRule="atLeast"/>
        <w:ind w:firstLine="240"/>
        <w:jc w:val="center"/>
      </w:pPr>
    </w:p>
    <w:p w14:paraId="07D750E6">
      <w:pPr>
        <w:pStyle w:val="11"/>
        <w:spacing w:beforeAutospacing="0" w:afterAutospacing="0" w:line="0" w:lineRule="atLeast"/>
        <w:ind w:firstLine="240"/>
        <w:jc w:val="center"/>
      </w:pPr>
    </w:p>
    <w:p w14:paraId="15DFE2CA">
      <w:pPr>
        <w:pStyle w:val="11"/>
        <w:spacing w:beforeAutospacing="0" w:afterAutospacing="0" w:line="0" w:lineRule="atLeast"/>
        <w:ind w:firstLine="240"/>
        <w:jc w:val="center"/>
      </w:pPr>
    </w:p>
    <w:p w14:paraId="4C2625B4">
      <w:pPr>
        <w:pStyle w:val="11"/>
        <w:spacing w:beforeAutospacing="0" w:afterAutospacing="0" w:line="0" w:lineRule="atLeast"/>
        <w:ind w:firstLine="240"/>
        <w:jc w:val="center"/>
      </w:pPr>
    </w:p>
    <w:p w14:paraId="27E5B8F2">
      <w:pPr>
        <w:pStyle w:val="11"/>
        <w:spacing w:beforeAutospacing="0" w:afterAutospacing="0" w:line="0" w:lineRule="atLeast"/>
        <w:jc w:val="center"/>
      </w:pPr>
      <w:r>
        <w:t> </w:t>
      </w:r>
    </w:p>
    <w:p w14:paraId="46AF9130">
      <w:pPr>
        <w:pStyle w:val="11"/>
        <w:spacing w:beforeAutospacing="0" w:afterAutospacing="0" w:line="0" w:lineRule="atLeast"/>
        <w:jc w:val="center"/>
      </w:pPr>
      <w:r>
        <w:rPr>
          <w:rFonts w:hint="eastAsia" w:ascii="黑体" w:hAnsi="宋体" w:eastAsia="黑体" w:cs="黑体"/>
          <w:b/>
          <w:color w:val="000000"/>
          <w:sz w:val="32"/>
          <w:szCs w:val="32"/>
        </w:rPr>
        <w:t>九、小微企业声明函（服务）</w:t>
      </w:r>
    </w:p>
    <w:p w14:paraId="0C0AB443">
      <w:pPr>
        <w:pStyle w:val="11"/>
        <w:spacing w:beforeAutospacing="0" w:afterAutospacing="0" w:line="0" w:lineRule="atLeast"/>
        <w:ind w:firstLine="360"/>
        <w:jc w:val="both"/>
      </w:pPr>
      <w:r>
        <w:rPr>
          <w:rFonts w:hint="eastAsia" w:ascii="宋体" w:hAnsi="宋体" w:eastAsia="宋体" w:cs="宋体"/>
          <w:color w:val="000000"/>
        </w:rPr>
        <w:t>本公司（联合体）郑重声明，根据《政府采购促进中小企业发展管理办法》</w:t>
      </w:r>
      <w:r>
        <w:rPr>
          <w:rFonts w:hint="eastAsia" w:ascii="宋体" w:hAnsi="宋体" w:eastAsia="宋体" w:cs="宋体"/>
          <w:color w:val="000000"/>
          <w:lang w:eastAsia="zh-CN"/>
        </w:rPr>
        <w:t>（</w:t>
      </w:r>
      <w:r>
        <w:rPr>
          <w:rFonts w:hint="eastAsia" w:ascii="宋体" w:hAnsi="宋体" w:eastAsia="宋体" w:cs="宋体"/>
          <w:color w:val="000000"/>
        </w:rPr>
        <w:t>财库[2020]46号</w:t>
      </w:r>
      <w:r>
        <w:rPr>
          <w:rFonts w:hint="eastAsia" w:ascii="宋体" w:hAnsi="宋体" w:eastAsia="宋体" w:cs="宋体"/>
          <w:color w:val="000000"/>
          <w:lang w:eastAsia="zh-CN"/>
        </w:rPr>
        <w:t>）</w:t>
      </w:r>
      <w:r>
        <w:rPr>
          <w:rFonts w:hint="eastAsia" w:ascii="宋体" w:hAnsi="宋体" w:eastAsia="宋体" w:cs="宋体"/>
          <w:color w:val="000000"/>
        </w:rPr>
        <w:t>的规定，本公司（联合体）参加</w:t>
      </w:r>
      <w:r>
        <w:rPr>
          <w:rFonts w:hint="eastAsia" w:ascii="宋体" w:hAnsi="宋体" w:eastAsia="宋体" w:cs="宋体"/>
          <w:color w:val="000000"/>
          <w:lang w:eastAsia="zh-CN"/>
        </w:rPr>
        <w:t>响水县自然资源和规划局</w:t>
      </w:r>
      <w:r>
        <w:rPr>
          <w:rFonts w:hint="eastAsia" w:ascii="宋体" w:hAnsi="宋体" w:eastAsia="宋体" w:cs="宋体"/>
          <w:color w:val="000000"/>
        </w:rPr>
        <w:t>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rPr>
        <w:t>的采购活动，服务全部由符合政策的小微企业承接。根据《工业和信息化部、国家统计局、国家发展和改革委员会、财政部关于印发中小企业划型标准规定的通知》</w:t>
      </w:r>
      <w:r>
        <w:rPr>
          <w:rFonts w:hint="eastAsia" w:ascii="宋体" w:hAnsi="宋体" w:eastAsia="宋体" w:cs="宋体"/>
          <w:color w:val="000000"/>
          <w:lang w:eastAsia="zh-CN"/>
        </w:rPr>
        <w:t>（</w:t>
      </w:r>
      <w:r>
        <w:rPr>
          <w:rFonts w:hint="eastAsia" w:ascii="宋体" w:hAnsi="宋体" w:eastAsia="宋体" w:cs="宋体"/>
          <w:color w:val="000000"/>
        </w:rPr>
        <w:t>工信部联企业[2011]300号</w:t>
      </w:r>
      <w:r>
        <w:rPr>
          <w:rFonts w:hint="eastAsia" w:ascii="宋体" w:hAnsi="宋体" w:eastAsia="宋体" w:cs="宋体"/>
          <w:color w:val="000000"/>
          <w:lang w:eastAsia="zh-CN"/>
        </w:rPr>
        <w:t>）</w:t>
      </w:r>
      <w:r>
        <w:rPr>
          <w:rFonts w:hint="eastAsia" w:ascii="宋体" w:hAnsi="宋体" w:eastAsia="宋体" w:cs="宋体"/>
          <w:color w:val="000000"/>
        </w:rPr>
        <w:t>的规定，相关企业（含联合体中的小微企业、签订分包意向协议的小微企业）的具体情况如下：</w:t>
      </w:r>
    </w:p>
    <w:p w14:paraId="75658DEC">
      <w:pPr>
        <w:pStyle w:val="11"/>
        <w:spacing w:beforeAutospacing="0" w:afterAutospacing="0" w:line="0" w:lineRule="atLeast"/>
        <w:ind w:firstLine="36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1463E165">
      <w:pPr>
        <w:pStyle w:val="11"/>
        <w:spacing w:beforeAutospacing="0" w:afterAutospacing="0" w:line="0" w:lineRule="atLeast"/>
        <w:ind w:firstLine="36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3B2FCFB0">
      <w:pPr>
        <w:pStyle w:val="11"/>
        <w:spacing w:beforeAutospacing="0" w:afterAutospacing="0" w:line="0" w:lineRule="atLeast"/>
        <w:ind w:firstLine="360"/>
        <w:jc w:val="both"/>
      </w:pPr>
      <w:r>
        <w:rPr>
          <w:rFonts w:hint="eastAsia" w:ascii="宋体" w:hAnsi="宋体" w:eastAsia="宋体" w:cs="宋体"/>
          <w:color w:val="000000"/>
        </w:rPr>
        <w:t>……</w:t>
      </w:r>
    </w:p>
    <w:p w14:paraId="1AEF4CEA">
      <w:pPr>
        <w:pStyle w:val="11"/>
        <w:spacing w:beforeAutospacing="0" w:afterAutospacing="0" w:line="0" w:lineRule="atLeast"/>
        <w:ind w:firstLine="36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61A90E4D">
      <w:pPr>
        <w:pStyle w:val="11"/>
        <w:spacing w:beforeAutospacing="0" w:afterAutospacing="0" w:line="0" w:lineRule="atLeast"/>
        <w:ind w:firstLine="360"/>
        <w:jc w:val="both"/>
      </w:pPr>
      <w:r>
        <w:rPr>
          <w:rFonts w:hint="eastAsia" w:ascii="宋体" w:hAnsi="宋体" w:eastAsia="宋体" w:cs="宋体"/>
          <w:color w:val="000000"/>
        </w:rPr>
        <w:t>本企业对上述声明内容的真实性负责。如有虚假，将依法承担相应责任</w:t>
      </w:r>
    </w:p>
    <w:p w14:paraId="3F10D1DC">
      <w:pPr>
        <w:pStyle w:val="11"/>
        <w:spacing w:beforeAutospacing="0" w:afterAutospacing="0" w:line="0" w:lineRule="atLeast"/>
        <w:ind w:right="720"/>
        <w:jc w:val="both"/>
      </w:pPr>
      <w:r>
        <w:t> </w:t>
      </w:r>
    </w:p>
    <w:p w14:paraId="5F0A2C48">
      <w:pPr>
        <w:pStyle w:val="11"/>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602F89C5">
      <w:pPr>
        <w:pStyle w:val="11"/>
        <w:spacing w:beforeAutospacing="0" w:afterAutospacing="0" w:line="0" w:lineRule="atLeast"/>
        <w:ind w:right="480" w:firstLine="5400"/>
        <w:jc w:val="both"/>
      </w:pPr>
      <w:r>
        <w:rPr>
          <w:rFonts w:hint="eastAsia" w:ascii="宋体" w:hAnsi="宋体" w:eastAsia="宋体" w:cs="宋体"/>
          <w:color w:val="000000"/>
        </w:rPr>
        <w:t>日  期：</w:t>
      </w:r>
    </w:p>
    <w:p w14:paraId="25E8C2A9">
      <w:pPr>
        <w:pStyle w:val="11"/>
        <w:spacing w:beforeAutospacing="0" w:afterAutospacing="0" w:line="0" w:lineRule="atLeast"/>
        <w:ind w:firstLine="240"/>
        <w:jc w:val="both"/>
      </w:pPr>
      <w:r>
        <w:t> </w:t>
      </w:r>
    </w:p>
    <w:p w14:paraId="3B9BF6F4">
      <w:pPr>
        <w:pStyle w:val="11"/>
        <w:spacing w:beforeAutospacing="0" w:afterAutospacing="0" w:line="0" w:lineRule="atLeas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5720DB08">
      <w:pPr>
        <w:pStyle w:val="11"/>
        <w:spacing w:beforeAutospacing="0" w:afterAutospacing="0" w:line="0" w:lineRule="atLeast"/>
        <w:ind w:firstLine="480"/>
        <w:jc w:val="both"/>
      </w:pPr>
      <w:r>
        <w:rPr>
          <w:rFonts w:hint="eastAsia" w:ascii="宋体" w:hAnsi="宋体" w:eastAsia="宋体" w:cs="宋体"/>
          <w:color w:val="000000"/>
        </w:rPr>
        <w:t>备注2：供应商如不提供此声明函，价格将不做相应扣除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w:t>
      </w:r>
    </w:p>
    <w:p w14:paraId="085CC951">
      <w:pPr>
        <w:pStyle w:val="11"/>
        <w:spacing w:beforeAutospacing="0" w:afterAutospacing="0" w:line="0" w:lineRule="atLeast"/>
        <w:jc w:val="center"/>
      </w:pPr>
      <w:r>
        <w:rPr>
          <w:rFonts w:hint="eastAsia" w:ascii="黑体" w:hAnsi="宋体" w:eastAsia="黑体" w:cs="黑体"/>
          <w:b/>
          <w:color w:val="000000"/>
          <w:sz w:val="32"/>
          <w:szCs w:val="32"/>
        </w:rPr>
        <w:br w:type="page"/>
      </w:r>
      <w:r>
        <w:rPr>
          <w:rFonts w:hint="eastAsia" w:ascii="黑体" w:hAnsi="宋体" w:eastAsia="黑体" w:cs="黑体"/>
          <w:b/>
          <w:color w:val="000000"/>
          <w:sz w:val="32"/>
          <w:szCs w:val="32"/>
        </w:rPr>
        <w:t> 十、残疾人福利性单位声明函</w:t>
      </w:r>
    </w:p>
    <w:p w14:paraId="7C79938E">
      <w:pPr>
        <w:pStyle w:val="11"/>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67F4F399">
      <w:pPr>
        <w:pStyle w:val="11"/>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1A86653A">
      <w:pPr>
        <w:pStyle w:val="11"/>
        <w:spacing w:beforeAutospacing="0" w:afterAutospacing="0" w:line="0" w:lineRule="atLeast"/>
        <w:ind w:firstLine="480"/>
        <w:jc w:val="both"/>
      </w:pPr>
      <w:r>
        <w:t> </w:t>
      </w:r>
    </w:p>
    <w:p w14:paraId="733E4FF6">
      <w:pPr>
        <w:pStyle w:val="11"/>
        <w:spacing w:beforeAutospacing="0" w:afterAutospacing="0" w:line="0" w:lineRule="atLeast"/>
        <w:ind w:firstLine="480"/>
        <w:jc w:val="both"/>
        <w:rPr>
          <w:rFonts w:hint="eastAsia" w:eastAsia="宋体"/>
          <w:lang w:eastAsia="zh-CN"/>
        </w:rPr>
      </w:pPr>
      <w:r>
        <w:rPr>
          <w:rFonts w:hint="eastAsia" w:ascii="宋体" w:hAnsi="宋体" w:eastAsia="宋体" w:cs="宋体"/>
          <w:color w:val="000000"/>
        </w:rPr>
        <w:t>备注：1、供应商如不提供此声明函，价格将不做相应扣除</w:t>
      </w:r>
      <w:r>
        <w:rPr>
          <w:rFonts w:hint="eastAsia" w:ascii="宋体" w:hAnsi="宋体" w:eastAsia="宋体" w:cs="宋体"/>
          <w:color w:val="000000"/>
          <w:lang w:eastAsia="zh-CN"/>
        </w:rPr>
        <w:t>（如项目全面面向中小企业，则资格审查不通过）。</w:t>
      </w:r>
    </w:p>
    <w:p w14:paraId="09E18FA0">
      <w:pPr>
        <w:pStyle w:val="11"/>
        <w:spacing w:beforeAutospacing="0" w:afterAutospacing="0" w:line="0" w:lineRule="atLeast"/>
        <w:ind w:firstLine="480"/>
        <w:jc w:val="both"/>
      </w:pPr>
      <w:r>
        <w:rPr>
          <w:rFonts w:hint="eastAsia" w:ascii="宋体" w:hAnsi="宋体" w:eastAsia="宋体" w:cs="宋体"/>
          <w:color w:val="000000"/>
        </w:rPr>
        <w:t>2、中标人为残疾人福利单位的，此声明函将随中标结果同时公告，接受社会监督</w:t>
      </w:r>
    </w:p>
    <w:p w14:paraId="2E24A0FA">
      <w:pPr>
        <w:pStyle w:val="11"/>
        <w:spacing w:beforeAutospacing="0" w:afterAutospacing="0" w:line="0" w:lineRule="atLeast"/>
        <w:ind w:firstLine="624"/>
        <w:jc w:val="both"/>
      </w:pPr>
      <w:r>
        <w:t> </w:t>
      </w:r>
    </w:p>
    <w:p w14:paraId="36B9D550">
      <w:pPr>
        <w:pStyle w:val="11"/>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7D175805">
      <w:pPr>
        <w:pStyle w:val="11"/>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2E710195">
      <w:pPr>
        <w:pStyle w:val="11"/>
        <w:spacing w:beforeAutospacing="0" w:afterAutospacing="0" w:line="0" w:lineRule="atLeast"/>
        <w:jc w:val="center"/>
      </w:pPr>
      <w:r>
        <w:t> </w:t>
      </w:r>
    </w:p>
    <w:p w14:paraId="1156EDEA">
      <w:pPr>
        <w:pStyle w:val="11"/>
        <w:spacing w:beforeAutospacing="0" w:afterAutospacing="0" w:line="0" w:lineRule="atLeast"/>
        <w:jc w:val="center"/>
      </w:pPr>
      <w:r>
        <w:t> </w:t>
      </w:r>
    </w:p>
    <w:p w14:paraId="4782E12C">
      <w:pPr>
        <w:pStyle w:val="11"/>
        <w:spacing w:beforeAutospacing="0" w:afterAutospacing="0" w:line="0" w:lineRule="atLeast"/>
        <w:jc w:val="center"/>
      </w:pPr>
      <w:r>
        <w:t> </w:t>
      </w:r>
    </w:p>
    <w:p w14:paraId="382EB926">
      <w:pPr>
        <w:pStyle w:val="11"/>
        <w:spacing w:beforeAutospacing="0" w:afterAutospacing="0" w:line="0" w:lineRule="atLeast"/>
        <w:jc w:val="center"/>
      </w:pPr>
      <w:r>
        <w:t> </w:t>
      </w:r>
    </w:p>
    <w:p w14:paraId="0523DDAD">
      <w:pPr>
        <w:pStyle w:val="11"/>
        <w:spacing w:beforeAutospacing="0" w:afterAutospacing="0" w:line="0" w:lineRule="atLeast"/>
        <w:jc w:val="center"/>
      </w:pPr>
      <w:r>
        <w:t> </w:t>
      </w:r>
    </w:p>
    <w:p w14:paraId="1FDC3825">
      <w:pPr>
        <w:pStyle w:val="11"/>
        <w:spacing w:beforeAutospacing="0" w:afterAutospacing="0" w:line="0" w:lineRule="atLeast"/>
        <w:jc w:val="center"/>
      </w:pPr>
      <w:r>
        <w:t> </w:t>
      </w:r>
    </w:p>
    <w:p w14:paraId="0770DFF6">
      <w:pPr>
        <w:pStyle w:val="11"/>
        <w:spacing w:beforeAutospacing="0" w:afterAutospacing="0" w:line="0" w:lineRule="atLeast"/>
        <w:jc w:val="center"/>
      </w:pPr>
      <w:r>
        <w:t> </w:t>
      </w:r>
    </w:p>
    <w:p w14:paraId="0B9AB286">
      <w:pPr>
        <w:pStyle w:val="11"/>
        <w:spacing w:beforeAutospacing="0" w:afterAutospacing="0" w:line="0" w:lineRule="atLeast"/>
        <w:jc w:val="center"/>
      </w:pPr>
      <w:r>
        <w:t> </w:t>
      </w:r>
    </w:p>
    <w:p w14:paraId="71FDF4FF">
      <w:pPr>
        <w:pStyle w:val="11"/>
        <w:spacing w:beforeAutospacing="0" w:afterAutospacing="0" w:line="0" w:lineRule="atLeast"/>
        <w:jc w:val="center"/>
      </w:pPr>
    </w:p>
    <w:p w14:paraId="2FA1621A">
      <w:pPr>
        <w:pStyle w:val="11"/>
        <w:spacing w:beforeAutospacing="0" w:afterAutospacing="0" w:line="0" w:lineRule="atLeast"/>
        <w:jc w:val="center"/>
      </w:pPr>
    </w:p>
    <w:p w14:paraId="29909C4D">
      <w:pPr>
        <w:pStyle w:val="11"/>
        <w:spacing w:beforeAutospacing="0" w:afterAutospacing="0" w:line="0" w:lineRule="atLeast"/>
        <w:jc w:val="center"/>
      </w:pPr>
    </w:p>
    <w:p w14:paraId="48A85213">
      <w:pPr>
        <w:pStyle w:val="11"/>
        <w:spacing w:beforeAutospacing="0" w:afterAutospacing="0" w:line="0" w:lineRule="atLeast"/>
        <w:jc w:val="center"/>
      </w:pPr>
    </w:p>
    <w:p w14:paraId="21CCF56B">
      <w:pPr>
        <w:pStyle w:val="11"/>
        <w:spacing w:beforeAutospacing="0" w:afterAutospacing="0" w:line="0" w:lineRule="atLeast"/>
        <w:jc w:val="center"/>
      </w:pPr>
    </w:p>
    <w:p w14:paraId="7D8D0843">
      <w:pPr>
        <w:pStyle w:val="11"/>
        <w:spacing w:beforeAutospacing="0" w:afterAutospacing="0" w:line="0" w:lineRule="atLeast"/>
        <w:jc w:val="center"/>
      </w:pPr>
    </w:p>
    <w:p w14:paraId="4B2949FA">
      <w:pPr>
        <w:pStyle w:val="11"/>
        <w:spacing w:beforeAutospacing="0" w:afterAutospacing="0" w:line="0" w:lineRule="atLeast"/>
        <w:jc w:val="center"/>
      </w:pPr>
    </w:p>
    <w:p w14:paraId="26137B66">
      <w:pPr>
        <w:pStyle w:val="11"/>
        <w:spacing w:beforeAutospacing="0" w:afterAutospacing="0" w:line="0" w:lineRule="atLeast"/>
        <w:jc w:val="center"/>
      </w:pPr>
    </w:p>
    <w:p w14:paraId="76BF24A9">
      <w:pPr>
        <w:pStyle w:val="11"/>
        <w:spacing w:beforeAutospacing="0" w:afterAutospacing="0" w:line="0" w:lineRule="atLeast"/>
        <w:jc w:val="center"/>
      </w:pPr>
    </w:p>
    <w:p w14:paraId="1C7F9152">
      <w:pPr>
        <w:pStyle w:val="11"/>
        <w:spacing w:beforeAutospacing="0" w:afterAutospacing="0" w:line="0" w:lineRule="atLeast"/>
        <w:jc w:val="center"/>
      </w:pPr>
    </w:p>
    <w:p w14:paraId="55259539">
      <w:pPr>
        <w:pStyle w:val="11"/>
        <w:spacing w:beforeAutospacing="0" w:afterAutospacing="0" w:line="0" w:lineRule="atLeast"/>
        <w:jc w:val="center"/>
      </w:pPr>
    </w:p>
    <w:p w14:paraId="6ABAAD52">
      <w:pPr>
        <w:pStyle w:val="11"/>
        <w:spacing w:beforeAutospacing="0" w:afterAutospacing="0" w:line="0" w:lineRule="atLeast"/>
        <w:jc w:val="center"/>
      </w:pPr>
    </w:p>
    <w:p w14:paraId="28EAFA94">
      <w:pPr>
        <w:pStyle w:val="11"/>
        <w:spacing w:beforeAutospacing="0" w:afterAutospacing="0" w:line="0" w:lineRule="atLeast"/>
        <w:jc w:val="center"/>
      </w:pPr>
    </w:p>
    <w:p w14:paraId="78CCEE7C">
      <w:pPr>
        <w:pStyle w:val="11"/>
        <w:spacing w:beforeAutospacing="0" w:afterAutospacing="0" w:line="0" w:lineRule="atLeast"/>
        <w:jc w:val="center"/>
      </w:pPr>
    </w:p>
    <w:p w14:paraId="72CB0D58">
      <w:pPr>
        <w:pStyle w:val="11"/>
        <w:spacing w:beforeAutospacing="0" w:afterAutospacing="0" w:line="0" w:lineRule="atLeast"/>
        <w:jc w:val="center"/>
      </w:pPr>
    </w:p>
    <w:p w14:paraId="5F869669">
      <w:pPr>
        <w:pStyle w:val="11"/>
        <w:spacing w:beforeAutospacing="0" w:afterAutospacing="0" w:line="0" w:lineRule="atLeast"/>
        <w:jc w:val="center"/>
      </w:pPr>
    </w:p>
    <w:p w14:paraId="36294F37">
      <w:pPr>
        <w:pStyle w:val="11"/>
        <w:spacing w:beforeAutospacing="0" w:afterAutospacing="0" w:line="0" w:lineRule="atLeast"/>
        <w:jc w:val="center"/>
      </w:pPr>
    </w:p>
    <w:p w14:paraId="61CA52FC">
      <w:pPr>
        <w:pStyle w:val="11"/>
        <w:spacing w:beforeAutospacing="0" w:afterAutospacing="0" w:line="0" w:lineRule="atLeast"/>
        <w:jc w:val="center"/>
      </w:pPr>
    </w:p>
    <w:p w14:paraId="590E0EEF">
      <w:pPr>
        <w:pStyle w:val="11"/>
        <w:spacing w:beforeAutospacing="0" w:afterAutospacing="0" w:line="0" w:lineRule="atLeast"/>
        <w:jc w:val="center"/>
      </w:pPr>
    </w:p>
    <w:p w14:paraId="46A97561">
      <w:pPr>
        <w:pStyle w:val="11"/>
        <w:spacing w:beforeAutospacing="0" w:afterAutospacing="0" w:line="0" w:lineRule="atLeast"/>
        <w:jc w:val="center"/>
      </w:pPr>
    </w:p>
    <w:p w14:paraId="398BEE2F">
      <w:pPr>
        <w:pStyle w:val="11"/>
        <w:spacing w:beforeAutospacing="0" w:afterAutospacing="0" w:line="0" w:lineRule="atLeast"/>
        <w:jc w:val="center"/>
      </w:pPr>
      <w:r>
        <w:t> </w:t>
      </w:r>
    </w:p>
    <w:p w14:paraId="7B8D947C">
      <w:pPr>
        <w:pStyle w:val="11"/>
        <w:spacing w:beforeAutospacing="0" w:afterAutospacing="0" w:line="0" w:lineRule="atLeast"/>
        <w:jc w:val="center"/>
      </w:pPr>
      <w:r>
        <w:t> </w:t>
      </w:r>
    </w:p>
    <w:p w14:paraId="22B4F60D">
      <w:pPr>
        <w:pStyle w:val="11"/>
        <w:spacing w:beforeAutospacing="0" w:afterAutospacing="0" w:line="0" w:lineRule="atLeast"/>
        <w:jc w:val="center"/>
      </w:pPr>
      <w:r>
        <w:t> </w:t>
      </w:r>
    </w:p>
    <w:p w14:paraId="07791C3D">
      <w:pPr>
        <w:pStyle w:val="11"/>
        <w:spacing w:beforeAutospacing="0" w:afterAutospacing="0" w:line="0" w:lineRule="atLeast"/>
        <w:jc w:val="center"/>
      </w:pPr>
      <w:r>
        <w:t> </w:t>
      </w:r>
    </w:p>
    <w:p w14:paraId="7E3B857B">
      <w:pPr>
        <w:pStyle w:val="11"/>
        <w:spacing w:beforeAutospacing="0" w:afterAutospacing="0" w:line="0" w:lineRule="atLeast"/>
        <w:jc w:val="both"/>
      </w:pPr>
      <w:r>
        <w:t> </w:t>
      </w:r>
    </w:p>
    <w:p w14:paraId="33179387">
      <w:pPr>
        <w:pStyle w:val="11"/>
        <w:spacing w:beforeAutospacing="0" w:afterAutospacing="0"/>
        <w:jc w:val="both"/>
      </w:pPr>
      <w:r>
        <w:t> </w:t>
      </w:r>
    </w:p>
    <w:p w14:paraId="32747E4F">
      <w:pPr>
        <w:pStyle w:val="11"/>
        <w:spacing w:beforeAutospacing="0" w:afterAutospacing="0"/>
        <w:jc w:val="center"/>
        <w:rPr>
          <w:rFonts w:hint="default" w:eastAsia="黑体"/>
          <w:lang w:val="en-US" w:eastAsia="zh-CN"/>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w:t>
      </w:r>
      <w:r>
        <w:rPr>
          <w:rFonts w:hint="eastAsia" w:ascii="黑体" w:hAnsi="宋体" w:eastAsia="黑体" w:cs="黑体"/>
          <w:b/>
          <w:color w:val="000000"/>
          <w:sz w:val="32"/>
          <w:szCs w:val="32"/>
          <w:lang w:val="en-US" w:eastAsia="zh-CN"/>
        </w:rPr>
        <w:t>拟派项目成员组成表</w:t>
      </w:r>
    </w:p>
    <w:p w14:paraId="475369AF">
      <w:pPr>
        <w:pStyle w:val="11"/>
        <w:spacing w:beforeAutospacing="0" w:afterAutospacing="0"/>
        <w:jc w:val="center"/>
      </w:pPr>
      <w:r>
        <w:t> </w:t>
      </w:r>
    </w:p>
    <w:p w14:paraId="5698DE30">
      <w:pPr>
        <w:pStyle w:val="11"/>
        <w:spacing w:beforeAutospacing="0" w:afterAutospacing="0"/>
        <w:jc w:val="center"/>
      </w:pPr>
      <w:r>
        <w:t> </w:t>
      </w:r>
    </w:p>
    <w:p w14:paraId="3FA0ABBC">
      <w:pPr>
        <w:pStyle w:val="11"/>
        <w:spacing w:beforeAutospacing="0" w:afterAutospacing="0"/>
        <w:jc w:val="center"/>
      </w:pPr>
      <w:r>
        <w:t>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290"/>
        <w:gridCol w:w="825"/>
        <w:gridCol w:w="720"/>
        <w:gridCol w:w="1635"/>
        <w:gridCol w:w="1215"/>
        <w:gridCol w:w="1245"/>
      </w:tblGrid>
      <w:tr w14:paraId="2137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8" w:hRule="atLeast"/>
          <w:jc w:val="center"/>
        </w:trPr>
        <w:tc>
          <w:tcPr>
            <w:tcW w:w="1440" w:type="dxa"/>
            <w:vAlign w:val="center"/>
          </w:tcPr>
          <w:p w14:paraId="51590784">
            <w:pPr>
              <w:spacing w:line="360" w:lineRule="auto"/>
              <w:jc w:val="center"/>
              <w:rPr>
                <w:rFonts w:ascii="宋体"/>
                <w:sz w:val="24"/>
                <w:szCs w:val="24"/>
              </w:rPr>
            </w:pPr>
            <w:r>
              <w:rPr>
                <w:rFonts w:hint="eastAsia" w:ascii="宋体" w:hAnsi="宋体" w:cs="宋体"/>
                <w:sz w:val="24"/>
                <w:szCs w:val="24"/>
              </w:rPr>
              <w:t>人员</w:t>
            </w:r>
          </w:p>
          <w:p w14:paraId="7F5E1D15">
            <w:pPr>
              <w:spacing w:line="360" w:lineRule="auto"/>
              <w:jc w:val="center"/>
              <w:rPr>
                <w:rFonts w:ascii="宋体"/>
                <w:sz w:val="24"/>
                <w:szCs w:val="24"/>
              </w:rPr>
            </w:pPr>
            <w:r>
              <w:rPr>
                <w:rFonts w:hint="eastAsia" w:ascii="宋体" w:hAnsi="宋体" w:cs="宋体"/>
                <w:sz w:val="24"/>
                <w:szCs w:val="24"/>
              </w:rPr>
              <w:t>构成</w:t>
            </w:r>
          </w:p>
        </w:tc>
        <w:tc>
          <w:tcPr>
            <w:tcW w:w="1290" w:type="dxa"/>
            <w:vAlign w:val="center"/>
          </w:tcPr>
          <w:p w14:paraId="705213C8">
            <w:pPr>
              <w:spacing w:line="360" w:lineRule="auto"/>
              <w:jc w:val="center"/>
              <w:rPr>
                <w:rFonts w:ascii="宋体"/>
                <w:sz w:val="24"/>
                <w:szCs w:val="24"/>
              </w:rPr>
            </w:pPr>
            <w:r>
              <w:rPr>
                <w:rFonts w:hint="eastAsia" w:ascii="宋体" w:hAnsi="宋体" w:cs="宋体"/>
                <w:sz w:val="24"/>
                <w:szCs w:val="24"/>
              </w:rPr>
              <w:t>姓名</w:t>
            </w:r>
          </w:p>
        </w:tc>
        <w:tc>
          <w:tcPr>
            <w:tcW w:w="825" w:type="dxa"/>
            <w:vAlign w:val="center"/>
          </w:tcPr>
          <w:p w14:paraId="772F93FF">
            <w:pPr>
              <w:spacing w:line="360" w:lineRule="auto"/>
              <w:jc w:val="center"/>
              <w:rPr>
                <w:rFonts w:ascii="宋体"/>
                <w:sz w:val="24"/>
                <w:szCs w:val="24"/>
              </w:rPr>
            </w:pPr>
            <w:r>
              <w:rPr>
                <w:rFonts w:hint="eastAsia" w:ascii="宋体" w:hAnsi="宋体" w:cs="宋体"/>
                <w:sz w:val="24"/>
                <w:szCs w:val="24"/>
              </w:rPr>
              <w:t>年龄</w:t>
            </w:r>
          </w:p>
        </w:tc>
        <w:tc>
          <w:tcPr>
            <w:tcW w:w="720" w:type="dxa"/>
            <w:vAlign w:val="center"/>
          </w:tcPr>
          <w:p w14:paraId="29DC5982">
            <w:pPr>
              <w:spacing w:line="360" w:lineRule="auto"/>
              <w:jc w:val="center"/>
              <w:rPr>
                <w:rFonts w:ascii="宋体"/>
                <w:sz w:val="24"/>
                <w:szCs w:val="24"/>
              </w:rPr>
            </w:pPr>
            <w:r>
              <w:rPr>
                <w:rFonts w:hint="eastAsia" w:ascii="宋体" w:hAnsi="宋体" w:cs="宋体"/>
                <w:sz w:val="24"/>
                <w:szCs w:val="24"/>
              </w:rPr>
              <w:t>性别</w:t>
            </w:r>
          </w:p>
        </w:tc>
        <w:tc>
          <w:tcPr>
            <w:tcW w:w="1635" w:type="dxa"/>
            <w:vAlign w:val="center"/>
          </w:tcPr>
          <w:p w14:paraId="269E404A">
            <w:pPr>
              <w:spacing w:line="360" w:lineRule="auto"/>
              <w:jc w:val="center"/>
              <w:rPr>
                <w:rFonts w:ascii="宋体"/>
                <w:sz w:val="24"/>
                <w:szCs w:val="24"/>
              </w:rPr>
            </w:pPr>
            <w:r>
              <w:rPr>
                <w:rFonts w:hint="eastAsia" w:ascii="宋体" w:hAnsi="宋体" w:cs="宋体"/>
                <w:sz w:val="24"/>
                <w:szCs w:val="24"/>
              </w:rPr>
              <w:t>职称、专业</w:t>
            </w:r>
          </w:p>
        </w:tc>
        <w:tc>
          <w:tcPr>
            <w:tcW w:w="1215" w:type="dxa"/>
            <w:vAlign w:val="center"/>
          </w:tcPr>
          <w:p w14:paraId="4E4515B8">
            <w:pPr>
              <w:spacing w:line="360" w:lineRule="auto"/>
              <w:jc w:val="center"/>
              <w:rPr>
                <w:rFonts w:hint="default" w:ascii="宋体" w:eastAsiaTheme="minorEastAsia"/>
                <w:sz w:val="24"/>
                <w:szCs w:val="24"/>
                <w:lang w:val="en-US" w:eastAsia="zh-CN"/>
              </w:rPr>
            </w:pPr>
            <w:r>
              <w:rPr>
                <w:rFonts w:hint="eastAsia" w:ascii="宋体"/>
                <w:sz w:val="24"/>
                <w:szCs w:val="24"/>
                <w:lang w:val="en-US" w:eastAsia="zh-CN"/>
              </w:rPr>
              <w:t>证书名称及编号</w:t>
            </w:r>
          </w:p>
        </w:tc>
        <w:tc>
          <w:tcPr>
            <w:tcW w:w="1245" w:type="dxa"/>
            <w:vAlign w:val="center"/>
          </w:tcPr>
          <w:p w14:paraId="3F7BB871">
            <w:pPr>
              <w:spacing w:line="360" w:lineRule="auto"/>
              <w:jc w:val="center"/>
              <w:rPr>
                <w:rFonts w:ascii="宋体"/>
                <w:sz w:val="24"/>
                <w:szCs w:val="24"/>
              </w:rPr>
            </w:pPr>
            <w:r>
              <w:rPr>
                <w:rFonts w:hint="eastAsia" w:ascii="宋体" w:hAnsi="宋体" w:cs="宋体"/>
                <w:sz w:val="24"/>
                <w:szCs w:val="24"/>
              </w:rPr>
              <w:t>备注</w:t>
            </w:r>
          </w:p>
        </w:tc>
      </w:tr>
      <w:tr w14:paraId="0516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atLeast"/>
          <w:jc w:val="center"/>
        </w:trPr>
        <w:tc>
          <w:tcPr>
            <w:tcW w:w="1440" w:type="dxa"/>
            <w:vAlign w:val="center"/>
          </w:tcPr>
          <w:p w14:paraId="1260157B">
            <w:pPr>
              <w:spacing w:line="360" w:lineRule="auto"/>
              <w:jc w:val="center"/>
              <w:rPr>
                <w:rFonts w:ascii="宋体"/>
                <w:sz w:val="24"/>
                <w:szCs w:val="24"/>
              </w:rPr>
            </w:pPr>
            <w:r>
              <w:rPr>
                <w:rFonts w:hint="eastAsia" w:ascii="宋体" w:hAnsi="宋体" w:cs="宋体"/>
                <w:sz w:val="24"/>
                <w:szCs w:val="24"/>
              </w:rPr>
              <w:t>项目负责人</w:t>
            </w:r>
          </w:p>
        </w:tc>
        <w:tc>
          <w:tcPr>
            <w:tcW w:w="1290" w:type="dxa"/>
            <w:vAlign w:val="center"/>
          </w:tcPr>
          <w:p w14:paraId="7DA60B90">
            <w:pPr>
              <w:spacing w:line="360" w:lineRule="auto"/>
              <w:jc w:val="center"/>
              <w:rPr>
                <w:rFonts w:ascii="仿宋" w:eastAsia="仿宋"/>
                <w:b/>
                <w:bCs/>
                <w:sz w:val="28"/>
                <w:szCs w:val="28"/>
              </w:rPr>
            </w:pPr>
          </w:p>
        </w:tc>
        <w:tc>
          <w:tcPr>
            <w:tcW w:w="825" w:type="dxa"/>
            <w:vAlign w:val="center"/>
          </w:tcPr>
          <w:p w14:paraId="34AA67F9">
            <w:pPr>
              <w:spacing w:line="360" w:lineRule="auto"/>
              <w:jc w:val="center"/>
              <w:rPr>
                <w:rFonts w:ascii="仿宋" w:eastAsia="仿宋"/>
                <w:b/>
                <w:bCs/>
                <w:sz w:val="28"/>
                <w:szCs w:val="28"/>
              </w:rPr>
            </w:pPr>
          </w:p>
        </w:tc>
        <w:tc>
          <w:tcPr>
            <w:tcW w:w="720" w:type="dxa"/>
            <w:vAlign w:val="center"/>
          </w:tcPr>
          <w:p w14:paraId="0D9920AD">
            <w:pPr>
              <w:spacing w:line="360" w:lineRule="auto"/>
              <w:jc w:val="center"/>
              <w:rPr>
                <w:rFonts w:ascii="仿宋" w:eastAsia="仿宋"/>
                <w:b/>
                <w:bCs/>
                <w:sz w:val="28"/>
                <w:szCs w:val="28"/>
              </w:rPr>
            </w:pPr>
          </w:p>
        </w:tc>
        <w:tc>
          <w:tcPr>
            <w:tcW w:w="1635" w:type="dxa"/>
            <w:vAlign w:val="center"/>
          </w:tcPr>
          <w:p w14:paraId="4FD3F5B8">
            <w:pPr>
              <w:spacing w:line="360" w:lineRule="auto"/>
              <w:jc w:val="center"/>
              <w:rPr>
                <w:rFonts w:ascii="仿宋" w:eastAsia="仿宋"/>
                <w:b/>
                <w:bCs/>
                <w:sz w:val="28"/>
                <w:szCs w:val="28"/>
              </w:rPr>
            </w:pPr>
          </w:p>
        </w:tc>
        <w:tc>
          <w:tcPr>
            <w:tcW w:w="1215" w:type="dxa"/>
            <w:vAlign w:val="center"/>
          </w:tcPr>
          <w:p w14:paraId="017EB055">
            <w:pPr>
              <w:spacing w:line="360" w:lineRule="auto"/>
              <w:jc w:val="center"/>
              <w:rPr>
                <w:rFonts w:ascii="仿宋" w:eastAsia="仿宋"/>
                <w:b/>
                <w:bCs/>
                <w:sz w:val="24"/>
                <w:szCs w:val="24"/>
              </w:rPr>
            </w:pPr>
          </w:p>
        </w:tc>
        <w:tc>
          <w:tcPr>
            <w:tcW w:w="1245" w:type="dxa"/>
            <w:vAlign w:val="center"/>
          </w:tcPr>
          <w:p w14:paraId="7FCFF539">
            <w:pPr>
              <w:spacing w:line="360" w:lineRule="auto"/>
              <w:jc w:val="center"/>
              <w:rPr>
                <w:rFonts w:ascii="仿宋" w:eastAsia="仿宋"/>
                <w:b/>
                <w:bCs/>
                <w:sz w:val="28"/>
                <w:szCs w:val="28"/>
              </w:rPr>
            </w:pPr>
          </w:p>
        </w:tc>
      </w:tr>
      <w:tr w14:paraId="6569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2" w:hRule="atLeast"/>
          <w:jc w:val="center"/>
        </w:trPr>
        <w:tc>
          <w:tcPr>
            <w:tcW w:w="1440" w:type="dxa"/>
            <w:vAlign w:val="center"/>
          </w:tcPr>
          <w:p w14:paraId="558294B2">
            <w:pPr>
              <w:spacing w:line="360" w:lineRule="auto"/>
              <w:jc w:val="center"/>
              <w:rPr>
                <w:rFonts w:ascii="宋体"/>
                <w:sz w:val="24"/>
                <w:szCs w:val="24"/>
              </w:rPr>
            </w:pPr>
            <w:r>
              <w:rPr>
                <w:rFonts w:hint="eastAsia" w:ascii="宋体"/>
                <w:sz w:val="24"/>
                <w:szCs w:val="24"/>
                <w:lang w:val="en-US" w:eastAsia="zh-CN"/>
              </w:rPr>
              <w:t>项目</w:t>
            </w:r>
            <w:r>
              <w:rPr>
                <w:rFonts w:hint="eastAsia" w:ascii="宋体"/>
                <w:sz w:val="24"/>
                <w:szCs w:val="24"/>
              </w:rPr>
              <w:t>技术负责人</w:t>
            </w:r>
          </w:p>
        </w:tc>
        <w:tc>
          <w:tcPr>
            <w:tcW w:w="1290" w:type="dxa"/>
            <w:vAlign w:val="center"/>
          </w:tcPr>
          <w:p w14:paraId="2DEE3C38">
            <w:pPr>
              <w:spacing w:line="360" w:lineRule="auto"/>
              <w:jc w:val="center"/>
              <w:rPr>
                <w:rFonts w:ascii="宋体"/>
                <w:sz w:val="28"/>
                <w:szCs w:val="28"/>
              </w:rPr>
            </w:pPr>
          </w:p>
        </w:tc>
        <w:tc>
          <w:tcPr>
            <w:tcW w:w="825" w:type="dxa"/>
            <w:vAlign w:val="center"/>
          </w:tcPr>
          <w:p w14:paraId="16820A3A">
            <w:pPr>
              <w:spacing w:line="360" w:lineRule="auto"/>
              <w:jc w:val="center"/>
              <w:rPr>
                <w:rFonts w:ascii="宋体"/>
                <w:sz w:val="28"/>
                <w:szCs w:val="28"/>
              </w:rPr>
            </w:pPr>
          </w:p>
        </w:tc>
        <w:tc>
          <w:tcPr>
            <w:tcW w:w="720" w:type="dxa"/>
            <w:vAlign w:val="center"/>
          </w:tcPr>
          <w:p w14:paraId="37A63899">
            <w:pPr>
              <w:spacing w:line="360" w:lineRule="auto"/>
              <w:jc w:val="center"/>
              <w:rPr>
                <w:rFonts w:ascii="宋体"/>
                <w:sz w:val="28"/>
                <w:szCs w:val="28"/>
              </w:rPr>
            </w:pPr>
          </w:p>
        </w:tc>
        <w:tc>
          <w:tcPr>
            <w:tcW w:w="1635" w:type="dxa"/>
            <w:vAlign w:val="center"/>
          </w:tcPr>
          <w:p w14:paraId="016272B3">
            <w:pPr>
              <w:spacing w:line="360" w:lineRule="auto"/>
              <w:jc w:val="center"/>
              <w:rPr>
                <w:rFonts w:ascii="宋体"/>
                <w:sz w:val="28"/>
                <w:szCs w:val="28"/>
              </w:rPr>
            </w:pPr>
          </w:p>
        </w:tc>
        <w:tc>
          <w:tcPr>
            <w:tcW w:w="1215" w:type="dxa"/>
            <w:vAlign w:val="center"/>
          </w:tcPr>
          <w:p w14:paraId="37D1C2FE">
            <w:pPr>
              <w:spacing w:line="360" w:lineRule="auto"/>
              <w:jc w:val="right"/>
              <w:rPr>
                <w:rFonts w:ascii="仿宋" w:eastAsia="仿宋"/>
                <w:sz w:val="28"/>
                <w:szCs w:val="28"/>
              </w:rPr>
            </w:pPr>
          </w:p>
        </w:tc>
        <w:tc>
          <w:tcPr>
            <w:tcW w:w="1245" w:type="dxa"/>
            <w:vAlign w:val="center"/>
          </w:tcPr>
          <w:p w14:paraId="37F785A3">
            <w:pPr>
              <w:spacing w:line="360" w:lineRule="auto"/>
              <w:jc w:val="right"/>
              <w:rPr>
                <w:rFonts w:ascii="仿宋" w:eastAsia="仿宋"/>
                <w:sz w:val="28"/>
                <w:szCs w:val="28"/>
              </w:rPr>
            </w:pPr>
          </w:p>
        </w:tc>
      </w:tr>
      <w:tr w14:paraId="7CFC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Merge w:val="restart"/>
            <w:vAlign w:val="center"/>
          </w:tcPr>
          <w:p w14:paraId="792E4BAF">
            <w:pPr>
              <w:spacing w:line="360" w:lineRule="auto"/>
              <w:jc w:val="center"/>
              <w:rPr>
                <w:rFonts w:ascii="宋体"/>
                <w:sz w:val="24"/>
                <w:szCs w:val="24"/>
              </w:rPr>
            </w:pPr>
            <w:r>
              <w:rPr>
                <w:rFonts w:hint="eastAsia" w:ascii="宋体" w:hAnsi="宋体" w:cs="宋体"/>
                <w:sz w:val="24"/>
                <w:szCs w:val="24"/>
              </w:rPr>
              <w:t>项目</w:t>
            </w:r>
          </w:p>
          <w:p w14:paraId="507D42F1">
            <w:pPr>
              <w:spacing w:line="360" w:lineRule="auto"/>
              <w:jc w:val="center"/>
              <w:rPr>
                <w:rFonts w:ascii="宋体"/>
                <w:sz w:val="28"/>
                <w:szCs w:val="28"/>
              </w:rPr>
            </w:pPr>
            <w:r>
              <w:rPr>
                <w:rFonts w:hint="eastAsia" w:ascii="宋体" w:hAnsi="宋体" w:cs="宋体"/>
                <w:sz w:val="24"/>
                <w:szCs w:val="24"/>
              </w:rPr>
              <w:t>成员</w:t>
            </w:r>
          </w:p>
        </w:tc>
        <w:tc>
          <w:tcPr>
            <w:tcW w:w="1290" w:type="dxa"/>
            <w:vAlign w:val="center"/>
          </w:tcPr>
          <w:p w14:paraId="5F6A826E">
            <w:pPr>
              <w:spacing w:line="360" w:lineRule="auto"/>
              <w:jc w:val="center"/>
              <w:rPr>
                <w:rFonts w:ascii="宋体"/>
                <w:sz w:val="28"/>
                <w:szCs w:val="28"/>
              </w:rPr>
            </w:pPr>
          </w:p>
        </w:tc>
        <w:tc>
          <w:tcPr>
            <w:tcW w:w="825" w:type="dxa"/>
            <w:vAlign w:val="center"/>
          </w:tcPr>
          <w:p w14:paraId="185D74B9">
            <w:pPr>
              <w:spacing w:line="360" w:lineRule="auto"/>
              <w:jc w:val="center"/>
              <w:rPr>
                <w:rFonts w:ascii="宋体"/>
                <w:sz w:val="28"/>
                <w:szCs w:val="28"/>
              </w:rPr>
            </w:pPr>
          </w:p>
        </w:tc>
        <w:tc>
          <w:tcPr>
            <w:tcW w:w="720" w:type="dxa"/>
            <w:vAlign w:val="center"/>
          </w:tcPr>
          <w:p w14:paraId="544998AC">
            <w:pPr>
              <w:spacing w:line="360" w:lineRule="auto"/>
              <w:jc w:val="center"/>
              <w:rPr>
                <w:rFonts w:ascii="宋体"/>
                <w:sz w:val="28"/>
                <w:szCs w:val="28"/>
              </w:rPr>
            </w:pPr>
          </w:p>
        </w:tc>
        <w:tc>
          <w:tcPr>
            <w:tcW w:w="1635" w:type="dxa"/>
            <w:vAlign w:val="center"/>
          </w:tcPr>
          <w:p w14:paraId="27E0DA07">
            <w:pPr>
              <w:spacing w:line="360" w:lineRule="auto"/>
              <w:jc w:val="center"/>
              <w:rPr>
                <w:rFonts w:ascii="宋体"/>
                <w:sz w:val="28"/>
                <w:szCs w:val="28"/>
              </w:rPr>
            </w:pPr>
          </w:p>
        </w:tc>
        <w:tc>
          <w:tcPr>
            <w:tcW w:w="1215" w:type="dxa"/>
            <w:vAlign w:val="center"/>
          </w:tcPr>
          <w:p w14:paraId="6516A17D">
            <w:pPr>
              <w:spacing w:line="360" w:lineRule="auto"/>
              <w:jc w:val="right"/>
              <w:rPr>
                <w:rFonts w:ascii="仿宋" w:eastAsia="仿宋"/>
                <w:sz w:val="28"/>
                <w:szCs w:val="28"/>
              </w:rPr>
            </w:pPr>
          </w:p>
        </w:tc>
        <w:tc>
          <w:tcPr>
            <w:tcW w:w="1245" w:type="dxa"/>
            <w:vAlign w:val="center"/>
          </w:tcPr>
          <w:p w14:paraId="6724990C">
            <w:pPr>
              <w:spacing w:line="360" w:lineRule="auto"/>
              <w:jc w:val="right"/>
              <w:rPr>
                <w:rFonts w:ascii="仿宋" w:eastAsia="仿宋"/>
                <w:sz w:val="28"/>
                <w:szCs w:val="28"/>
              </w:rPr>
            </w:pPr>
          </w:p>
        </w:tc>
      </w:tr>
      <w:tr w14:paraId="645D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Merge w:val="continue"/>
            <w:vAlign w:val="center"/>
          </w:tcPr>
          <w:p w14:paraId="4B0A0AD2">
            <w:pPr>
              <w:spacing w:line="360" w:lineRule="auto"/>
              <w:jc w:val="center"/>
              <w:rPr>
                <w:rFonts w:ascii="宋体"/>
                <w:sz w:val="28"/>
                <w:szCs w:val="28"/>
              </w:rPr>
            </w:pPr>
          </w:p>
        </w:tc>
        <w:tc>
          <w:tcPr>
            <w:tcW w:w="1290" w:type="dxa"/>
            <w:vAlign w:val="center"/>
          </w:tcPr>
          <w:p w14:paraId="05AD585F">
            <w:pPr>
              <w:spacing w:line="360" w:lineRule="auto"/>
              <w:jc w:val="center"/>
              <w:rPr>
                <w:rFonts w:ascii="宋体"/>
                <w:sz w:val="28"/>
                <w:szCs w:val="28"/>
              </w:rPr>
            </w:pPr>
          </w:p>
        </w:tc>
        <w:tc>
          <w:tcPr>
            <w:tcW w:w="825" w:type="dxa"/>
            <w:vAlign w:val="center"/>
          </w:tcPr>
          <w:p w14:paraId="0ADC4A3D">
            <w:pPr>
              <w:spacing w:line="360" w:lineRule="auto"/>
              <w:jc w:val="center"/>
              <w:rPr>
                <w:rFonts w:ascii="宋体"/>
                <w:sz w:val="28"/>
                <w:szCs w:val="28"/>
              </w:rPr>
            </w:pPr>
          </w:p>
        </w:tc>
        <w:tc>
          <w:tcPr>
            <w:tcW w:w="720" w:type="dxa"/>
            <w:vAlign w:val="center"/>
          </w:tcPr>
          <w:p w14:paraId="0B132A35">
            <w:pPr>
              <w:spacing w:line="360" w:lineRule="auto"/>
              <w:jc w:val="center"/>
              <w:rPr>
                <w:rFonts w:ascii="宋体"/>
                <w:sz w:val="28"/>
                <w:szCs w:val="28"/>
              </w:rPr>
            </w:pPr>
          </w:p>
        </w:tc>
        <w:tc>
          <w:tcPr>
            <w:tcW w:w="1635" w:type="dxa"/>
            <w:vAlign w:val="center"/>
          </w:tcPr>
          <w:p w14:paraId="44209040">
            <w:pPr>
              <w:spacing w:line="360" w:lineRule="auto"/>
              <w:jc w:val="center"/>
              <w:rPr>
                <w:rFonts w:ascii="宋体"/>
                <w:sz w:val="28"/>
                <w:szCs w:val="28"/>
              </w:rPr>
            </w:pPr>
          </w:p>
        </w:tc>
        <w:tc>
          <w:tcPr>
            <w:tcW w:w="1215" w:type="dxa"/>
            <w:vAlign w:val="center"/>
          </w:tcPr>
          <w:p w14:paraId="7FBE8834">
            <w:pPr>
              <w:spacing w:line="360" w:lineRule="auto"/>
              <w:jc w:val="right"/>
              <w:rPr>
                <w:rFonts w:ascii="仿宋" w:eastAsia="仿宋"/>
                <w:sz w:val="28"/>
                <w:szCs w:val="28"/>
              </w:rPr>
            </w:pPr>
          </w:p>
        </w:tc>
        <w:tc>
          <w:tcPr>
            <w:tcW w:w="1245" w:type="dxa"/>
            <w:vAlign w:val="center"/>
          </w:tcPr>
          <w:p w14:paraId="0E3F4885">
            <w:pPr>
              <w:spacing w:line="360" w:lineRule="auto"/>
              <w:jc w:val="right"/>
              <w:rPr>
                <w:rFonts w:ascii="仿宋" w:eastAsia="仿宋"/>
                <w:sz w:val="28"/>
                <w:szCs w:val="28"/>
              </w:rPr>
            </w:pPr>
          </w:p>
        </w:tc>
      </w:tr>
      <w:tr w14:paraId="30568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Merge w:val="continue"/>
            <w:vAlign w:val="center"/>
          </w:tcPr>
          <w:p w14:paraId="750B1A2C">
            <w:pPr>
              <w:spacing w:line="360" w:lineRule="auto"/>
              <w:jc w:val="center"/>
              <w:rPr>
                <w:rFonts w:ascii="宋体"/>
                <w:sz w:val="28"/>
                <w:szCs w:val="28"/>
              </w:rPr>
            </w:pPr>
          </w:p>
        </w:tc>
        <w:tc>
          <w:tcPr>
            <w:tcW w:w="1290" w:type="dxa"/>
            <w:vAlign w:val="center"/>
          </w:tcPr>
          <w:p w14:paraId="69A6D71E">
            <w:pPr>
              <w:spacing w:line="360" w:lineRule="auto"/>
              <w:jc w:val="center"/>
              <w:rPr>
                <w:rFonts w:ascii="宋体"/>
                <w:sz w:val="28"/>
                <w:szCs w:val="28"/>
              </w:rPr>
            </w:pPr>
          </w:p>
        </w:tc>
        <w:tc>
          <w:tcPr>
            <w:tcW w:w="825" w:type="dxa"/>
            <w:vAlign w:val="center"/>
          </w:tcPr>
          <w:p w14:paraId="21D9183E">
            <w:pPr>
              <w:spacing w:line="360" w:lineRule="auto"/>
              <w:jc w:val="center"/>
              <w:rPr>
                <w:rFonts w:ascii="宋体"/>
                <w:sz w:val="28"/>
                <w:szCs w:val="28"/>
              </w:rPr>
            </w:pPr>
          </w:p>
        </w:tc>
        <w:tc>
          <w:tcPr>
            <w:tcW w:w="720" w:type="dxa"/>
            <w:vAlign w:val="center"/>
          </w:tcPr>
          <w:p w14:paraId="75586B91">
            <w:pPr>
              <w:spacing w:line="360" w:lineRule="auto"/>
              <w:jc w:val="center"/>
              <w:rPr>
                <w:rFonts w:ascii="宋体"/>
                <w:sz w:val="28"/>
                <w:szCs w:val="28"/>
              </w:rPr>
            </w:pPr>
          </w:p>
        </w:tc>
        <w:tc>
          <w:tcPr>
            <w:tcW w:w="1635" w:type="dxa"/>
            <w:vAlign w:val="center"/>
          </w:tcPr>
          <w:p w14:paraId="1B51B414">
            <w:pPr>
              <w:spacing w:line="360" w:lineRule="auto"/>
              <w:jc w:val="center"/>
              <w:rPr>
                <w:rFonts w:ascii="宋体"/>
                <w:sz w:val="28"/>
                <w:szCs w:val="28"/>
              </w:rPr>
            </w:pPr>
          </w:p>
        </w:tc>
        <w:tc>
          <w:tcPr>
            <w:tcW w:w="1215" w:type="dxa"/>
            <w:vAlign w:val="center"/>
          </w:tcPr>
          <w:p w14:paraId="136193E8">
            <w:pPr>
              <w:spacing w:line="360" w:lineRule="auto"/>
              <w:jc w:val="right"/>
              <w:rPr>
                <w:rFonts w:ascii="仿宋" w:eastAsia="仿宋"/>
                <w:sz w:val="28"/>
                <w:szCs w:val="28"/>
              </w:rPr>
            </w:pPr>
          </w:p>
        </w:tc>
        <w:tc>
          <w:tcPr>
            <w:tcW w:w="1245" w:type="dxa"/>
            <w:vAlign w:val="center"/>
          </w:tcPr>
          <w:p w14:paraId="63DC0446">
            <w:pPr>
              <w:spacing w:line="360" w:lineRule="auto"/>
              <w:jc w:val="right"/>
              <w:rPr>
                <w:rFonts w:ascii="仿宋" w:eastAsia="仿宋"/>
                <w:sz w:val="28"/>
                <w:szCs w:val="28"/>
              </w:rPr>
            </w:pPr>
          </w:p>
        </w:tc>
      </w:tr>
      <w:tr w14:paraId="5394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Merge w:val="continue"/>
            <w:vAlign w:val="center"/>
          </w:tcPr>
          <w:p w14:paraId="760F5C71">
            <w:pPr>
              <w:spacing w:line="360" w:lineRule="auto"/>
              <w:jc w:val="center"/>
              <w:rPr>
                <w:rFonts w:ascii="宋体"/>
                <w:sz w:val="28"/>
                <w:szCs w:val="28"/>
              </w:rPr>
            </w:pPr>
          </w:p>
        </w:tc>
        <w:tc>
          <w:tcPr>
            <w:tcW w:w="1290" w:type="dxa"/>
            <w:vAlign w:val="center"/>
          </w:tcPr>
          <w:p w14:paraId="69F64623">
            <w:pPr>
              <w:spacing w:line="360" w:lineRule="auto"/>
              <w:jc w:val="center"/>
              <w:rPr>
                <w:rFonts w:ascii="宋体"/>
                <w:sz w:val="28"/>
                <w:szCs w:val="28"/>
              </w:rPr>
            </w:pPr>
          </w:p>
        </w:tc>
        <w:tc>
          <w:tcPr>
            <w:tcW w:w="825" w:type="dxa"/>
            <w:vAlign w:val="center"/>
          </w:tcPr>
          <w:p w14:paraId="7313C5B3">
            <w:pPr>
              <w:spacing w:line="360" w:lineRule="auto"/>
              <w:jc w:val="center"/>
              <w:rPr>
                <w:rFonts w:ascii="宋体"/>
                <w:sz w:val="28"/>
                <w:szCs w:val="28"/>
              </w:rPr>
            </w:pPr>
          </w:p>
        </w:tc>
        <w:tc>
          <w:tcPr>
            <w:tcW w:w="720" w:type="dxa"/>
            <w:vAlign w:val="center"/>
          </w:tcPr>
          <w:p w14:paraId="04129A14">
            <w:pPr>
              <w:spacing w:line="360" w:lineRule="auto"/>
              <w:jc w:val="center"/>
              <w:rPr>
                <w:rFonts w:ascii="宋体"/>
                <w:sz w:val="28"/>
                <w:szCs w:val="28"/>
              </w:rPr>
            </w:pPr>
          </w:p>
        </w:tc>
        <w:tc>
          <w:tcPr>
            <w:tcW w:w="1635" w:type="dxa"/>
            <w:vAlign w:val="center"/>
          </w:tcPr>
          <w:p w14:paraId="7105EA17">
            <w:pPr>
              <w:spacing w:line="360" w:lineRule="auto"/>
              <w:jc w:val="center"/>
              <w:rPr>
                <w:rFonts w:ascii="宋体"/>
                <w:sz w:val="28"/>
                <w:szCs w:val="28"/>
              </w:rPr>
            </w:pPr>
          </w:p>
        </w:tc>
        <w:tc>
          <w:tcPr>
            <w:tcW w:w="1215" w:type="dxa"/>
            <w:vAlign w:val="center"/>
          </w:tcPr>
          <w:p w14:paraId="6EB02E27">
            <w:pPr>
              <w:spacing w:line="360" w:lineRule="auto"/>
              <w:jc w:val="right"/>
              <w:rPr>
                <w:rFonts w:ascii="仿宋" w:eastAsia="仿宋"/>
                <w:sz w:val="28"/>
                <w:szCs w:val="28"/>
              </w:rPr>
            </w:pPr>
          </w:p>
        </w:tc>
        <w:tc>
          <w:tcPr>
            <w:tcW w:w="1245" w:type="dxa"/>
            <w:vAlign w:val="center"/>
          </w:tcPr>
          <w:p w14:paraId="599B3922">
            <w:pPr>
              <w:spacing w:line="360" w:lineRule="auto"/>
              <w:jc w:val="right"/>
              <w:rPr>
                <w:rFonts w:ascii="仿宋" w:eastAsia="仿宋"/>
                <w:sz w:val="28"/>
                <w:szCs w:val="28"/>
              </w:rPr>
            </w:pPr>
          </w:p>
        </w:tc>
      </w:tr>
      <w:tr w14:paraId="5B935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Merge w:val="continue"/>
            <w:vAlign w:val="center"/>
          </w:tcPr>
          <w:p w14:paraId="5125025A">
            <w:pPr>
              <w:spacing w:line="360" w:lineRule="auto"/>
              <w:jc w:val="center"/>
              <w:rPr>
                <w:rFonts w:ascii="宋体"/>
                <w:sz w:val="28"/>
                <w:szCs w:val="28"/>
              </w:rPr>
            </w:pPr>
          </w:p>
        </w:tc>
        <w:tc>
          <w:tcPr>
            <w:tcW w:w="1290" w:type="dxa"/>
            <w:vAlign w:val="center"/>
          </w:tcPr>
          <w:p w14:paraId="4553B610">
            <w:pPr>
              <w:spacing w:line="360" w:lineRule="auto"/>
              <w:jc w:val="center"/>
              <w:rPr>
                <w:rFonts w:ascii="宋体"/>
                <w:sz w:val="28"/>
                <w:szCs w:val="28"/>
              </w:rPr>
            </w:pPr>
            <w:r>
              <w:rPr>
                <w:rFonts w:hint="eastAsia" w:ascii="宋体" w:cs="宋体"/>
                <w:sz w:val="28"/>
                <w:szCs w:val="28"/>
              </w:rPr>
              <w:t>……</w:t>
            </w:r>
          </w:p>
        </w:tc>
        <w:tc>
          <w:tcPr>
            <w:tcW w:w="825" w:type="dxa"/>
            <w:vAlign w:val="center"/>
          </w:tcPr>
          <w:p w14:paraId="440ED238">
            <w:pPr>
              <w:spacing w:line="360" w:lineRule="auto"/>
              <w:jc w:val="center"/>
              <w:rPr>
                <w:rFonts w:ascii="宋体"/>
                <w:sz w:val="28"/>
                <w:szCs w:val="28"/>
              </w:rPr>
            </w:pPr>
          </w:p>
        </w:tc>
        <w:tc>
          <w:tcPr>
            <w:tcW w:w="720" w:type="dxa"/>
            <w:vAlign w:val="center"/>
          </w:tcPr>
          <w:p w14:paraId="70884248">
            <w:pPr>
              <w:spacing w:line="360" w:lineRule="auto"/>
              <w:jc w:val="center"/>
              <w:rPr>
                <w:rFonts w:ascii="宋体"/>
                <w:sz w:val="28"/>
                <w:szCs w:val="28"/>
              </w:rPr>
            </w:pPr>
          </w:p>
        </w:tc>
        <w:tc>
          <w:tcPr>
            <w:tcW w:w="1635" w:type="dxa"/>
            <w:vAlign w:val="center"/>
          </w:tcPr>
          <w:p w14:paraId="5E0CDE91">
            <w:pPr>
              <w:spacing w:line="360" w:lineRule="auto"/>
              <w:jc w:val="center"/>
              <w:rPr>
                <w:rFonts w:ascii="宋体"/>
                <w:sz w:val="28"/>
                <w:szCs w:val="28"/>
              </w:rPr>
            </w:pPr>
          </w:p>
        </w:tc>
        <w:tc>
          <w:tcPr>
            <w:tcW w:w="1215" w:type="dxa"/>
            <w:vAlign w:val="center"/>
          </w:tcPr>
          <w:p w14:paraId="218559D9">
            <w:pPr>
              <w:spacing w:line="360" w:lineRule="auto"/>
              <w:jc w:val="right"/>
              <w:rPr>
                <w:rFonts w:ascii="仿宋" w:eastAsia="仿宋"/>
                <w:sz w:val="28"/>
                <w:szCs w:val="28"/>
              </w:rPr>
            </w:pPr>
          </w:p>
        </w:tc>
        <w:tc>
          <w:tcPr>
            <w:tcW w:w="1245" w:type="dxa"/>
            <w:vAlign w:val="center"/>
          </w:tcPr>
          <w:p w14:paraId="443D3272">
            <w:pPr>
              <w:spacing w:line="360" w:lineRule="auto"/>
              <w:jc w:val="right"/>
              <w:rPr>
                <w:rFonts w:ascii="仿宋" w:eastAsia="仿宋"/>
                <w:sz w:val="28"/>
                <w:szCs w:val="28"/>
              </w:rPr>
            </w:pPr>
          </w:p>
        </w:tc>
      </w:tr>
      <w:tr w14:paraId="7961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jc w:val="center"/>
        </w:trPr>
        <w:tc>
          <w:tcPr>
            <w:tcW w:w="1440" w:type="dxa"/>
            <w:vAlign w:val="center"/>
          </w:tcPr>
          <w:p w14:paraId="404FDA51">
            <w:pPr>
              <w:spacing w:line="360" w:lineRule="auto"/>
              <w:jc w:val="center"/>
              <w:rPr>
                <w:rFonts w:ascii="宋体"/>
                <w:sz w:val="28"/>
                <w:szCs w:val="28"/>
              </w:rPr>
            </w:pPr>
          </w:p>
        </w:tc>
        <w:tc>
          <w:tcPr>
            <w:tcW w:w="1290" w:type="dxa"/>
            <w:vAlign w:val="center"/>
          </w:tcPr>
          <w:p w14:paraId="488D5190">
            <w:pPr>
              <w:spacing w:line="360" w:lineRule="auto"/>
              <w:jc w:val="center"/>
              <w:rPr>
                <w:rFonts w:ascii="宋体" w:cs="宋体"/>
                <w:sz w:val="28"/>
                <w:szCs w:val="28"/>
              </w:rPr>
            </w:pPr>
          </w:p>
        </w:tc>
        <w:tc>
          <w:tcPr>
            <w:tcW w:w="825" w:type="dxa"/>
            <w:vAlign w:val="center"/>
          </w:tcPr>
          <w:p w14:paraId="7E174023">
            <w:pPr>
              <w:spacing w:line="360" w:lineRule="auto"/>
              <w:jc w:val="center"/>
              <w:rPr>
                <w:rFonts w:ascii="宋体"/>
                <w:sz w:val="28"/>
                <w:szCs w:val="28"/>
              </w:rPr>
            </w:pPr>
          </w:p>
        </w:tc>
        <w:tc>
          <w:tcPr>
            <w:tcW w:w="720" w:type="dxa"/>
            <w:vAlign w:val="center"/>
          </w:tcPr>
          <w:p w14:paraId="46B36103">
            <w:pPr>
              <w:spacing w:line="360" w:lineRule="auto"/>
              <w:jc w:val="center"/>
              <w:rPr>
                <w:rFonts w:ascii="宋体"/>
                <w:sz w:val="28"/>
                <w:szCs w:val="28"/>
              </w:rPr>
            </w:pPr>
          </w:p>
        </w:tc>
        <w:tc>
          <w:tcPr>
            <w:tcW w:w="1635" w:type="dxa"/>
            <w:vAlign w:val="center"/>
          </w:tcPr>
          <w:p w14:paraId="37AFC627">
            <w:pPr>
              <w:spacing w:line="360" w:lineRule="auto"/>
              <w:jc w:val="center"/>
              <w:rPr>
                <w:rFonts w:ascii="宋体"/>
                <w:sz w:val="28"/>
                <w:szCs w:val="28"/>
              </w:rPr>
            </w:pPr>
          </w:p>
        </w:tc>
        <w:tc>
          <w:tcPr>
            <w:tcW w:w="1215" w:type="dxa"/>
            <w:vAlign w:val="center"/>
          </w:tcPr>
          <w:p w14:paraId="3084E9DF">
            <w:pPr>
              <w:spacing w:line="360" w:lineRule="auto"/>
              <w:jc w:val="right"/>
              <w:rPr>
                <w:rFonts w:ascii="仿宋" w:eastAsia="仿宋"/>
                <w:sz w:val="28"/>
                <w:szCs w:val="28"/>
              </w:rPr>
            </w:pPr>
          </w:p>
        </w:tc>
        <w:tc>
          <w:tcPr>
            <w:tcW w:w="1245" w:type="dxa"/>
            <w:vAlign w:val="center"/>
          </w:tcPr>
          <w:p w14:paraId="648A3747">
            <w:pPr>
              <w:spacing w:line="360" w:lineRule="auto"/>
              <w:jc w:val="right"/>
              <w:rPr>
                <w:rFonts w:ascii="仿宋" w:eastAsia="仿宋"/>
                <w:sz w:val="28"/>
                <w:szCs w:val="28"/>
              </w:rPr>
            </w:pPr>
          </w:p>
        </w:tc>
      </w:tr>
    </w:tbl>
    <w:p w14:paraId="095E40E6">
      <w:pPr>
        <w:pStyle w:val="11"/>
        <w:spacing w:beforeAutospacing="0" w:afterAutospacing="0"/>
        <w:jc w:val="center"/>
      </w:pPr>
      <w:r>
        <w:t> </w:t>
      </w:r>
    </w:p>
    <w:p w14:paraId="7D8356CA">
      <w:pPr>
        <w:pStyle w:val="11"/>
        <w:spacing w:beforeAutospacing="0" w:afterAutospacing="0"/>
        <w:jc w:val="center"/>
      </w:pPr>
      <w:r>
        <w:t> </w:t>
      </w:r>
    </w:p>
    <w:p w14:paraId="491D8E9D">
      <w:pPr>
        <w:snapToGrid w:val="0"/>
        <w:spacing w:line="360" w:lineRule="auto"/>
        <w:ind w:firstLine="472" w:firstLineChars="197"/>
        <w:rPr>
          <w:rFonts w:ascii="宋体" w:hAnsi="宋体" w:cs="宋体"/>
          <w:sz w:val="24"/>
        </w:rPr>
      </w:pPr>
      <w:r>
        <w:rPr>
          <w:rFonts w:hint="eastAsia" w:ascii="宋体" w:hAnsi="宋体" w:cs="宋体"/>
          <w:sz w:val="24"/>
        </w:rPr>
        <w:t>注：栏目不足可以续表。</w:t>
      </w:r>
    </w:p>
    <w:p w14:paraId="768CC238">
      <w:pPr>
        <w:spacing w:line="480" w:lineRule="auto"/>
        <w:rPr>
          <w:rFonts w:ascii="仿宋_GB2312" w:hAnsi="Arial"/>
          <w:sz w:val="30"/>
          <w:szCs w:val="21"/>
        </w:rPr>
      </w:pPr>
    </w:p>
    <w:p w14:paraId="2343FD53">
      <w:pPr>
        <w:tabs>
          <w:tab w:val="left" w:pos="4860"/>
        </w:tabs>
        <w:spacing w:line="588" w:lineRule="exact"/>
        <w:ind w:right="1560" w:firstLine="624"/>
        <w:jc w:val="right"/>
        <w:rPr>
          <w:rFonts w:ascii="宋体" w:hAnsi="宋体"/>
          <w:sz w:val="24"/>
          <w:szCs w:val="21"/>
        </w:rPr>
      </w:pPr>
      <w:r>
        <w:rPr>
          <w:rFonts w:hint="eastAsia" w:ascii="宋体" w:hAnsi="宋体"/>
          <w:sz w:val="24"/>
          <w:szCs w:val="21"/>
        </w:rPr>
        <w:t>供应商全称（加盖CA电子公章）：</w:t>
      </w:r>
    </w:p>
    <w:p w14:paraId="090B181A">
      <w:pPr>
        <w:tabs>
          <w:tab w:val="left" w:pos="4860"/>
        </w:tabs>
        <w:spacing w:line="588" w:lineRule="exact"/>
        <w:ind w:right="1560" w:firstLine="480"/>
        <w:jc w:val="right"/>
        <w:rPr>
          <w:rFonts w:ascii="宋体" w:hAnsi="宋体"/>
          <w:sz w:val="24"/>
          <w:szCs w:val="21"/>
        </w:rPr>
      </w:pPr>
      <w:r>
        <w:rPr>
          <w:rFonts w:hint="eastAsia" w:ascii="宋体" w:hAnsi="宋体"/>
          <w:sz w:val="24"/>
          <w:szCs w:val="21"/>
        </w:rPr>
        <w:t xml:space="preserve">        日  期：</w:t>
      </w:r>
    </w:p>
    <w:p w14:paraId="1152D308">
      <w:pPr>
        <w:pStyle w:val="11"/>
        <w:spacing w:beforeAutospacing="0" w:afterAutospacing="0"/>
        <w:jc w:val="center"/>
      </w:pPr>
    </w:p>
    <w:p w14:paraId="7827F333">
      <w:pPr>
        <w:pStyle w:val="11"/>
        <w:spacing w:beforeAutospacing="0" w:afterAutospacing="0"/>
        <w:jc w:val="both"/>
      </w:pPr>
      <w:bookmarkStart w:id="236" w:name="_格式2__法定代表人授权书"/>
      <w:bookmarkStart w:id="237" w:name="_Hlt26955066"/>
      <w:bookmarkStart w:id="238" w:name="_Hlt26955054"/>
      <w:bookmarkStart w:id="239" w:name="_Toc462564146"/>
      <w:bookmarkStart w:id="240" w:name="_Hlt26609389"/>
      <w:bookmarkStart w:id="241" w:name="_Hlt26671374"/>
    </w:p>
    <w:p w14:paraId="762A5BE6">
      <w:pPr>
        <w:pStyle w:val="11"/>
        <w:spacing w:beforeAutospacing="0" w:afterAutospacing="0"/>
        <w:jc w:val="both"/>
      </w:pPr>
    </w:p>
    <w:p w14:paraId="440FFA02">
      <w:pPr>
        <w:pStyle w:val="11"/>
        <w:spacing w:beforeAutospacing="0" w:afterAutospacing="0"/>
        <w:jc w:val="both"/>
      </w:pPr>
    </w:p>
    <w:p w14:paraId="656FB611">
      <w:pPr>
        <w:pStyle w:val="11"/>
        <w:spacing w:beforeAutospacing="0" w:afterAutospacing="0"/>
        <w:jc w:val="center"/>
        <w:rPr>
          <w:rFonts w:hint="eastAsia" w:ascii="黑体" w:hAnsi="宋体" w:eastAsia="黑体" w:cs="黑体"/>
          <w:b/>
          <w:color w:val="000000"/>
          <w:sz w:val="32"/>
          <w:szCs w:val="32"/>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、开标一览表</w:t>
      </w:r>
    </w:p>
    <w:p w14:paraId="50879C3B">
      <w:pPr>
        <w:pStyle w:val="11"/>
        <w:spacing w:beforeAutospacing="0" w:afterAutospacing="0"/>
        <w:ind w:firstLine="480"/>
        <w:jc w:val="both"/>
      </w:pPr>
      <w:r>
        <w:rPr>
          <w:rFonts w:hint="eastAsia" w:ascii="宋体" w:hAnsi="宋体" w:eastAsia="宋体" w:cs="宋体"/>
          <w:color w:val="000000"/>
        </w:rPr>
        <w:t>投标人全称（加盖CA电子签章）：</w:t>
      </w:r>
    </w:p>
    <w:p w14:paraId="492A3089">
      <w:pPr>
        <w:pStyle w:val="11"/>
        <w:spacing w:beforeAutospacing="0" w:afterAutospacing="0"/>
        <w:ind w:firstLine="480"/>
        <w:jc w:val="both"/>
      </w:pPr>
      <w:r>
        <w:rPr>
          <w:rFonts w:hint="eastAsia" w:ascii="宋体" w:hAnsi="宋体" w:eastAsia="宋体" w:cs="宋体"/>
          <w:color w:val="000000"/>
        </w:rPr>
        <w:t>项目名称：</w:t>
      </w:r>
    </w:p>
    <w:p w14:paraId="40D82CE3">
      <w:pPr>
        <w:pStyle w:val="11"/>
        <w:spacing w:beforeAutospacing="0" w:afterAutospacing="0"/>
        <w:ind w:firstLine="480" w:firstLineChars="200"/>
        <w:jc w:val="both"/>
      </w:pPr>
      <w:r>
        <w:rPr>
          <w:rFonts w:hint="eastAsia" w:ascii="宋体" w:hAnsi="宋体" w:eastAsia="宋体" w:cs="宋体"/>
          <w:color w:val="000000"/>
          <w:lang w:val="en-US" w:eastAsia="zh-CN"/>
        </w:rPr>
        <w:t>招标编号：</w:t>
      </w:r>
      <w:r>
        <w:rPr>
          <w:rFonts w:hint="eastAsia" w:ascii="宋体" w:hAnsi="宋体" w:eastAsia="宋体" w:cs="宋体"/>
          <w:color w:val="000000"/>
        </w:rPr>
        <w:t xml:space="preserve">                      </w:t>
      </w:r>
    </w:p>
    <w:tbl>
      <w:tblPr>
        <w:tblStyle w:val="14"/>
        <w:tblW w:w="8206" w:type="dxa"/>
        <w:tblCellSpacing w:w="0" w:type="dxa"/>
        <w:tblInd w:w="118" w:type="dxa"/>
        <w:tblLayout w:type="fixed"/>
        <w:tblCellMar>
          <w:top w:w="0" w:type="dxa"/>
          <w:left w:w="108" w:type="dxa"/>
          <w:bottom w:w="0" w:type="dxa"/>
          <w:right w:w="108" w:type="dxa"/>
        </w:tblCellMar>
      </w:tblPr>
      <w:tblGrid>
        <w:gridCol w:w="8206"/>
      </w:tblGrid>
      <w:tr w14:paraId="16CDF077">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2AE8">
            <w:pPr>
              <w:pStyle w:val="11"/>
              <w:spacing w:beforeAutospacing="0" w:afterAutospacing="0"/>
              <w:jc w:val="both"/>
            </w:pPr>
            <w:r>
              <w:rPr>
                <w:rFonts w:hint="eastAsia" w:ascii="宋体" w:hAnsi="宋体" w:eastAsia="宋体" w:cs="宋体"/>
                <w:color w:val="000000"/>
              </w:rPr>
              <w:t>投标总报价</w:t>
            </w:r>
          </w:p>
        </w:tc>
      </w:tr>
      <w:tr w14:paraId="173C655B">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25A9">
            <w:pPr>
              <w:pStyle w:val="11"/>
              <w:spacing w:beforeAutospacing="0" w:afterAutospacing="0" w:line="0" w:lineRule="atLeast"/>
            </w:pPr>
            <w:r>
              <w:rPr>
                <w:rFonts w:hint="eastAsia" w:ascii="宋体" w:hAnsi="宋体" w:eastAsia="宋体" w:cs="宋体"/>
                <w:color w:val="000000"/>
              </w:rPr>
              <w:t>小写</w:t>
            </w:r>
            <w:r>
              <w:rPr>
                <w:rFonts w:hint="eastAsia" w:ascii="宋体" w:hAnsi="宋体" w:eastAsia="宋体" w:cs="宋体"/>
                <w:color w:val="000000"/>
                <w:lang w:eastAsia="zh-CN"/>
              </w:rPr>
              <w:t>：</w:t>
            </w:r>
            <w:r>
              <w:rPr>
                <w:rFonts w:hint="eastAsia" w:ascii="宋体" w:hAnsi="宋体" w:eastAsia="宋体" w:cs="宋体"/>
                <w:color w:val="000000"/>
                <w:lang w:val="en-US" w:eastAsia="zh-CN"/>
              </w:rPr>
              <w:t xml:space="preserve">                     </w:t>
            </w:r>
            <w:r>
              <w:rPr>
                <w:rFonts w:hint="eastAsia" w:ascii="宋体" w:hAnsi="宋体" w:eastAsia="宋体" w:cs="宋体"/>
                <w:color w:val="000000"/>
              </w:rPr>
              <w:t>（人民币：元）</w:t>
            </w:r>
          </w:p>
        </w:tc>
      </w:tr>
    </w:tbl>
    <w:p w14:paraId="0652407E">
      <w:pPr>
        <w:pStyle w:val="11"/>
        <w:spacing w:beforeAutospacing="0" w:afterAutospacing="0"/>
        <w:jc w:val="both"/>
      </w:pPr>
      <w:r>
        <w:t> </w:t>
      </w:r>
    </w:p>
    <w:p w14:paraId="3F49A068">
      <w:pPr>
        <w:pStyle w:val="11"/>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3B4C5589">
      <w:pPr>
        <w:pStyle w:val="11"/>
        <w:spacing w:beforeAutospacing="0" w:afterAutospacing="0"/>
        <w:ind w:firstLine="480"/>
        <w:jc w:val="both"/>
      </w:pPr>
      <w:r>
        <w:t> </w:t>
      </w:r>
    </w:p>
    <w:p w14:paraId="0D4D131C">
      <w:pPr>
        <w:widowControl/>
        <w:spacing w:before="50" w:after="50"/>
        <w:jc w:val="center"/>
      </w:pPr>
    </w:p>
    <w:p w14:paraId="4C704CCF">
      <w:pPr>
        <w:widowControl/>
        <w:spacing w:before="50" w:after="50"/>
        <w:jc w:val="center"/>
      </w:pPr>
    </w:p>
    <w:p w14:paraId="550796C4">
      <w:pPr>
        <w:widowControl/>
        <w:spacing w:before="50" w:after="50"/>
        <w:jc w:val="center"/>
      </w:pPr>
    </w:p>
    <w:p w14:paraId="49265A49">
      <w:pPr>
        <w:pStyle w:val="12"/>
      </w:pPr>
    </w:p>
    <w:p w14:paraId="4E4AB2FE">
      <w:pPr>
        <w:pStyle w:val="12"/>
      </w:pPr>
    </w:p>
    <w:p w14:paraId="64083A27">
      <w:pPr>
        <w:pStyle w:val="12"/>
      </w:pPr>
    </w:p>
    <w:p w14:paraId="071CE275">
      <w:pPr>
        <w:pStyle w:val="12"/>
      </w:pPr>
    </w:p>
    <w:p w14:paraId="07799236">
      <w:pPr>
        <w:pStyle w:val="12"/>
      </w:pPr>
    </w:p>
    <w:p w14:paraId="10E7F077">
      <w:pPr>
        <w:pStyle w:val="12"/>
      </w:pPr>
    </w:p>
    <w:p w14:paraId="398CF16A">
      <w:pPr>
        <w:pStyle w:val="12"/>
      </w:pPr>
    </w:p>
    <w:p w14:paraId="74052396">
      <w:pPr>
        <w:pStyle w:val="12"/>
      </w:pPr>
    </w:p>
    <w:p w14:paraId="3A2838D5">
      <w:pPr>
        <w:pStyle w:val="12"/>
      </w:pPr>
    </w:p>
    <w:p w14:paraId="0C737ED8">
      <w:pPr>
        <w:pStyle w:val="12"/>
      </w:pPr>
    </w:p>
    <w:p w14:paraId="066C4F22">
      <w:pPr>
        <w:pStyle w:val="12"/>
      </w:pPr>
    </w:p>
    <w:p w14:paraId="03C629C1">
      <w:pPr>
        <w:pStyle w:val="12"/>
      </w:pPr>
    </w:p>
    <w:p w14:paraId="5E4C7AAE">
      <w:pPr>
        <w:pStyle w:val="12"/>
      </w:pPr>
    </w:p>
    <w:p w14:paraId="68F346EE">
      <w:pPr>
        <w:pStyle w:val="12"/>
      </w:pPr>
    </w:p>
    <w:p w14:paraId="4F24FFAC">
      <w:pPr>
        <w:pStyle w:val="12"/>
      </w:pPr>
    </w:p>
    <w:p w14:paraId="447CC7CC">
      <w:pPr>
        <w:pStyle w:val="12"/>
      </w:pPr>
    </w:p>
    <w:p w14:paraId="02630DD4">
      <w:pPr>
        <w:pStyle w:val="12"/>
      </w:pPr>
    </w:p>
    <w:p w14:paraId="3737A11F">
      <w:pPr>
        <w:pStyle w:val="12"/>
      </w:pPr>
    </w:p>
    <w:p w14:paraId="5AA25FED">
      <w:pPr>
        <w:widowControl/>
        <w:spacing w:before="50" w:after="50"/>
        <w:jc w:val="center"/>
      </w:pPr>
    </w:p>
    <w:p w14:paraId="0D9388D2">
      <w:pPr>
        <w:pStyle w:val="11"/>
        <w:spacing w:beforeAutospacing="0" w:afterAutospacing="0"/>
        <w:jc w:val="center"/>
        <w:rPr>
          <w:rFonts w:hint="default"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t>十三、报价明细表</w:t>
      </w:r>
    </w:p>
    <w:tbl>
      <w:tblPr>
        <w:tblStyle w:val="14"/>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43FDF86">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188CD">
            <w:pPr>
              <w:pStyle w:val="11"/>
              <w:spacing w:beforeAutospacing="0" w:afterAutospacing="0" w:line="0" w:lineRule="atLeast"/>
              <w:jc w:val="center"/>
            </w:pPr>
            <w:r>
              <w:rPr>
                <w:rFonts w:hint="eastAsia" w:ascii="宋体" w:hAnsi="宋体" w:eastAsia="宋体" w:cs="宋体"/>
                <w:color w:val="000000"/>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11BF">
            <w:pPr>
              <w:pStyle w:val="11"/>
              <w:spacing w:beforeAutospacing="0" w:afterAutospacing="0" w:line="0" w:lineRule="atLeast"/>
              <w:jc w:val="center"/>
            </w:pPr>
            <w:r>
              <w:rPr>
                <w:rFonts w:hint="eastAsia" w:ascii="宋体" w:hAnsi="宋体" w:eastAsia="宋体" w:cs="宋体"/>
                <w:color w:val="000000"/>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9DC3">
            <w:pPr>
              <w:pStyle w:val="11"/>
              <w:spacing w:beforeAutospacing="0" w:afterAutospacing="0" w:line="0" w:lineRule="atLeast"/>
              <w:jc w:val="center"/>
            </w:pPr>
            <w:r>
              <w:rPr>
                <w:rFonts w:hint="eastAsia" w:ascii="宋体" w:hAnsi="宋体" w:eastAsia="宋体" w:cs="宋体"/>
                <w:color w:val="000000"/>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338F">
            <w:pPr>
              <w:pStyle w:val="11"/>
              <w:spacing w:beforeAutospacing="0" w:afterAutospacing="0" w:line="0" w:lineRule="atLeast"/>
              <w:jc w:val="center"/>
            </w:pPr>
            <w:r>
              <w:rPr>
                <w:rFonts w:hint="eastAsia" w:ascii="宋体" w:hAnsi="宋体" w:eastAsia="宋体" w:cs="宋体"/>
                <w:color w:val="000000"/>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CB325">
            <w:pPr>
              <w:pStyle w:val="11"/>
              <w:spacing w:beforeAutospacing="0" w:afterAutospacing="0" w:line="0" w:lineRule="atLeast"/>
              <w:jc w:val="center"/>
            </w:pPr>
            <w:r>
              <w:rPr>
                <w:rFonts w:hint="eastAsia" w:ascii="宋体" w:hAnsi="宋体" w:eastAsia="宋体" w:cs="宋体"/>
                <w:color w:val="000000"/>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49FF">
            <w:pPr>
              <w:pStyle w:val="11"/>
              <w:spacing w:beforeAutospacing="0" w:afterAutospacing="0" w:line="0" w:lineRule="atLeast"/>
              <w:jc w:val="center"/>
            </w:pPr>
            <w:r>
              <w:rPr>
                <w:rFonts w:hint="eastAsia" w:ascii="宋体" w:hAnsi="宋体" w:eastAsia="宋体" w:cs="宋体"/>
                <w:color w:val="000000"/>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C204">
            <w:pPr>
              <w:pStyle w:val="11"/>
              <w:spacing w:beforeAutospacing="0" w:afterAutospacing="0" w:line="0" w:lineRule="atLeast"/>
              <w:jc w:val="center"/>
            </w:pPr>
            <w:r>
              <w:rPr>
                <w:rFonts w:hint="eastAsia" w:ascii="宋体" w:hAnsi="宋体" w:eastAsia="宋体" w:cs="宋体"/>
                <w:color w:val="000000"/>
              </w:rPr>
              <w:t>6</w:t>
            </w:r>
          </w:p>
        </w:tc>
      </w:tr>
      <w:tr w14:paraId="35E7750A">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684E4">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660B">
            <w:pPr>
              <w:pStyle w:val="11"/>
              <w:spacing w:beforeAutospacing="0" w:afterAutospacing="0" w:line="0" w:lineRule="atLeast"/>
              <w:jc w:val="center"/>
            </w:pPr>
            <w:r>
              <w:rPr>
                <w:rFonts w:hint="eastAsia" w:ascii="宋体" w:hAnsi="宋体" w:eastAsia="宋体" w:cs="宋体"/>
                <w:color w:val="000000"/>
              </w:rPr>
              <w:t>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B1CC">
            <w:pPr>
              <w:pStyle w:val="11"/>
              <w:spacing w:beforeAutospacing="0" w:afterAutospacing="0" w:line="0" w:lineRule="atLeast"/>
              <w:jc w:val="center"/>
            </w:pPr>
            <w:r>
              <w:rPr>
                <w:rFonts w:hint="eastAsia" w:ascii="宋体" w:hAnsi="宋体" w:eastAsia="宋体" w:cs="宋体"/>
                <w:color w:val="000000"/>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16DC">
            <w:pPr>
              <w:pStyle w:val="11"/>
              <w:spacing w:beforeAutospacing="0" w:afterAutospacing="0" w:line="0" w:lineRule="atLeast"/>
              <w:jc w:val="center"/>
            </w:pPr>
            <w:r>
              <w:rPr>
                <w:rFonts w:hint="eastAsia" w:ascii="宋体" w:hAnsi="宋体" w:eastAsia="宋体" w:cs="宋体"/>
                <w:color w:val="000000"/>
              </w:rPr>
              <w:t>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9C941">
            <w:pPr>
              <w:pStyle w:val="11"/>
              <w:spacing w:beforeAutospacing="0" w:afterAutospacing="0" w:line="0" w:lineRule="atLeast"/>
              <w:jc w:val="center"/>
            </w:pPr>
            <w:r>
              <w:rPr>
                <w:rFonts w:hint="eastAsia" w:ascii="宋体" w:hAnsi="宋体" w:eastAsia="宋体" w:cs="宋体"/>
                <w:color w:val="000000"/>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733D">
            <w:pPr>
              <w:pStyle w:val="11"/>
              <w:spacing w:beforeAutospacing="0" w:afterAutospacing="0" w:line="0" w:lineRule="atLeast"/>
              <w:jc w:val="center"/>
            </w:pPr>
            <w:r>
              <w:rPr>
                <w:rFonts w:hint="eastAsia" w:ascii="宋体" w:hAnsi="宋体" w:eastAsia="宋体" w:cs="宋体"/>
                <w:color w:val="000000"/>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8972">
            <w:pPr>
              <w:pStyle w:val="11"/>
              <w:spacing w:beforeAutospacing="0" w:afterAutospacing="0" w:line="0" w:lineRule="atLeast"/>
              <w:jc w:val="center"/>
            </w:pPr>
            <w:r>
              <w:rPr>
                <w:rFonts w:hint="eastAsia" w:ascii="宋体" w:hAnsi="宋体" w:eastAsia="宋体" w:cs="宋体"/>
                <w:color w:val="000000"/>
              </w:rPr>
              <w:t>总价</w:t>
            </w:r>
          </w:p>
        </w:tc>
      </w:tr>
      <w:tr w14:paraId="5659DBE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2CFD">
            <w:pPr>
              <w:pStyle w:val="11"/>
              <w:spacing w:beforeAutospacing="0" w:afterAutospacing="0" w:line="0" w:lineRule="atLeast"/>
              <w:jc w:val="center"/>
            </w:pPr>
            <w:r>
              <w:rPr>
                <w:rFonts w:hint="eastAsia" w:ascii="宋体" w:hAnsi="宋体" w:eastAsia="宋体" w:cs="宋体"/>
                <w:color w:val="000000"/>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3508">
            <w:pPr>
              <w:pStyle w:val="11"/>
              <w:spacing w:beforeAutospacing="0" w:afterAutospacing="0" w:line="0" w:lineRule="atLeast"/>
              <w:jc w:val="center"/>
            </w:pPr>
            <w:r>
              <w:rPr>
                <w:rFonts w:hint="eastAsia"/>
                <w:lang w:val="en-US" w:eastAsia="zh-CN"/>
              </w:rPr>
              <w:t>调查评估报告</w:t>
            </w: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FD47">
            <w:pPr>
              <w:pStyle w:val="11"/>
              <w:spacing w:beforeAutospacing="0" w:afterAutospacing="0" w:line="0" w:lineRule="atLeast"/>
              <w:jc w:val="center"/>
            </w:pPr>
            <w:r>
              <w:rPr>
                <w:rFonts w:hint="eastAsia"/>
                <w:lang w:val="en-US" w:eastAsia="zh-CN"/>
              </w:rPr>
              <w:t>一年</w:t>
            </w: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8C15">
            <w:pPr>
              <w:pStyle w:val="11"/>
              <w:spacing w:beforeAutospacing="0" w:afterAutospacing="0" w:line="0" w:lineRule="atLeast"/>
              <w:jc w:val="center"/>
              <w:rPr>
                <w:rFonts w:hint="eastAsia" w:eastAsiaTheme="minorEastAsia"/>
                <w:lang w:val="en-US" w:eastAsia="zh-CN"/>
              </w:rPr>
            </w:pPr>
            <w:r>
              <w:t> </w:t>
            </w:r>
            <w:r>
              <w:rPr>
                <w:rFonts w:hint="eastAsia"/>
                <w:lang w:val="en-US" w:eastAsia="zh-CN"/>
              </w:rPr>
              <w:t>亩</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ED7E">
            <w:pPr>
              <w:pStyle w:val="11"/>
              <w:spacing w:beforeAutospacing="0" w:afterAutospacing="0" w:line="0" w:lineRule="atLeast"/>
              <w:jc w:val="center"/>
              <w:rPr>
                <w:rFonts w:hint="default" w:eastAsiaTheme="minorEastAsia"/>
                <w:lang w:val="en-US" w:eastAsia="zh-CN"/>
              </w:rPr>
            </w:pPr>
            <w:r>
              <w:t> </w:t>
            </w:r>
            <w:r>
              <w:rPr>
                <w:rFonts w:hint="eastAsia"/>
                <w:lang w:val="en-US" w:eastAsia="zh-CN"/>
              </w:rPr>
              <w:t>4000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AF129">
            <w:pPr>
              <w:pStyle w:val="11"/>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A778">
            <w:pPr>
              <w:pStyle w:val="11"/>
              <w:spacing w:beforeAutospacing="0" w:afterAutospacing="0" w:line="0" w:lineRule="atLeast"/>
              <w:jc w:val="center"/>
            </w:pPr>
            <w:r>
              <w:t> </w:t>
            </w:r>
          </w:p>
        </w:tc>
      </w:tr>
      <w:tr w14:paraId="7B808E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1AA8">
            <w:pPr>
              <w:pStyle w:val="11"/>
              <w:spacing w:beforeAutospacing="0" w:afterAutospacing="0" w:line="0" w:lineRule="atLeast"/>
              <w:jc w:val="center"/>
            </w:pPr>
            <w:r>
              <w:rPr>
                <w:rFonts w:hint="eastAsia" w:ascii="宋体" w:hAnsi="宋体" w:eastAsia="宋体" w:cs="宋体"/>
                <w:color w:val="000000"/>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25E8">
            <w:pPr>
              <w:pStyle w:val="11"/>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CC13">
            <w:pPr>
              <w:pStyle w:val="11"/>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FDCC">
            <w:pPr>
              <w:pStyle w:val="11"/>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ECCED">
            <w:pPr>
              <w:pStyle w:val="11"/>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AC1C">
            <w:pPr>
              <w:pStyle w:val="11"/>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1E6C">
            <w:pPr>
              <w:pStyle w:val="11"/>
              <w:spacing w:beforeAutospacing="0" w:afterAutospacing="0" w:line="0" w:lineRule="atLeast"/>
              <w:jc w:val="center"/>
            </w:pPr>
            <w:r>
              <w:t> </w:t>
            </w:r>
          </w:p>
        </w:tc>
      </w:tr>
      <w:tr w14:paraId="40888A3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2219">
            <w:pPr>
              <w:pStyle w:val="11"/>
              <w:spacing w:beforeAutospacing="0" w:afterAutospacing="0" w:line="0" w:lineRule="atLeast"/>
              <w:jc w:val="center"/>
            </w:pPr>
            <w:r>
              <w:rPr>
                <w:rFonts w:hint="eastAsia" w:ascii="宋体" w:hAnsi="宋体" w:eastAsia="宋体" w:cs="宋体"/>
                <w:color w:val="000000"/>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1E01">
            <w:pPr>
              <w:pStyle w:val="11"/>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FEDF">
            <w:pPr>
              <w:pStyle w:val="11"/>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14B7">
            <w:pPr>
              <w:pStyle w:val="11"/>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A53C">
            <w:pPr>
              <w:pStyle w:val="11"/>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A709D">
            <w:pPr>
              <w:pStyle w:val="11"/>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952D">
            <w:pPr>
              <w:pStyle w:val="11"/>
              <w:spacing w:beforeAutospacing="0" w:afterAutospacing="0" w:line="0" w:lineRule="atLeast"/>
              <w:jc w:val="center"/>
            </w:pPr>
            <w:r>
              <w:t> </w:t>
            </w:r>
          </w:p>
        </w:tc>
      </w:tr>
      <w:tr w14:paraId="5118D2F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F2EC">
            <w:pPr>
              <w:pStyle w:val="11"/>
              <w:spacing w:beforeAutospacing="0" w:afterAutospacing="0" w:line="0" w:lineRule="atLeast"/>
              <w:jc w:val="center"/>
            </w:pPr>
            <w:r>
              <w:rPr>
                <w:rFonts w:hint="eastAsia" w:ascii="宋体" w:hAnsi="宋体" w:eastAsia="宋体" w:cs="宋体"/>
                <w:color w:val="000000"/>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3549D">
            <w:pPr>
              <w:pStyle w:val="11"/>
              <w:spacing w:beforeAutospacing="0" w:afterAutospacing="0" w:line="0" w:lineRule="atLeast"/>
              <w:jc w:val="center"/>
            </w:pPr>
            <w:r>
              <w:rPr>
                <w:rFonts w:hint="eastAsia" w:ascii="宋体" w:hAnsi="宋体" w:eastAsia="宋体" w:cs="宋体"/>
                <w:color w:val="000000"/>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266E">
            <w:pPr>
              <w:pStyle w:val="11"/>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72E6">
            <w:pPr>
              <w:pStyle w:val="11"/>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095D">
            <w:pPr>
              <w:pStyle w:val="11"/>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3946">
            <w:pPr>
              <w:pStyle w:val="11"/>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D430">
            <w:pPr>
              <w:pStyle w:val="11"/>
              <w:spacing w:beforeAutospacing="0" w:afterAutospacing="0" w:line="0" w:lineRule="atLeast"/>
              <w:jc w:val="center"/>
            </w:pPr>
            <w:r>
              <w:t> </w:t>
            </w:r>
          </w:p>
        </w:tc>
      </w:tr>
      <w:tr w14:paraId="49E053EB">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078F4F">
            <w:pPr>
              <w:pStyle w:val="11"/>
              <w:spacing w:beforeAutospacing="0" w:afterAutospacing="0" w:line="0" w:lineRule="atLeast"/>
              <w:jc w:val="center"/>
            </w:pPr>
            <w:r>
              <w:rPr>
                <w:rFonts w:hint="eastAsia" w:ascii="宋体" w:hAnsi="宋体" w:eastAsia="宋体" w:cs="宋体"/>
                <w:color w:val="000000"/>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3E24">
            <w:pPr>
              <w:pStyle w:val="11"/>
              <w:spacing w:beforeAutospacing="0" w:afterAutospacing="0" w:line="0" w:lineRule="atLeast"/>
              <w:jc w:val="both"/>
            </w:pPr>
            <w:r>
              <w:t> </w:t>
            </w:r>
          </w:p>
        </w:tc>
      </w:tr>
    </w:tbl>
    <w:p w14:paraId="741AE39A">
      <w:pPr>
        <w:pStyle w:val="11"/>
        <w:spacing w:beforeAutospacing="0" w:afterAutospacing="0"/>
        <w:jc w:val="both"/>
        <w:rPr>
          <w:rFonts w:hint="eastAsia" w:ascii="宋体" w:hAnsi="宋体" w:eastAsia="宋体" w:cs="宋体"/>
          <w:color w:val="000000"/>
        </w:rPr>
      </w:pP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lang w:eastAsia="zh-CN"/>
        </w:rPr>
        <w:t>的其他</w:t>
      </w:r>
      <w:r>
        <w:rPr>
          <w:rFonts w:hint="eastAsia" w:ascii="宋体" w:hAnsi="宋体" w:eastAsia="宋体" w:cs="宋体"/>
          <w:color w:val="000000"/>
        </w:rPr>
        <w:t>所有费用，招标文件另有规定的除外。</w:t>
      </w:r>
    </w:p>
    <w:p w14:paraId="70B47C10">
      <w:pPr>
        <w:pStyle w:val="11"/>
        <w:spacing w:beforeAutospacing="0" w:afterAutospacing="0"/>
        <w:jc w:val="both"/>
      </w:pPr>
      <w:r>
        <w:rPr>
          <w:rFonts w:hint="eastAsia" w:ascii="宋体" w:hAnsi="宋体" w:eastAsia="宋体" w:cs="宋体"/>
          <w:color w:val="000000"/>
        </w:rPr>
        <w:t>2. “投标报价</w:t>
      </w:r>
      <w:r>
        <w:rPr>
          <w:rFonts w:hint="eastAsia" w:ascii="宋体" w:hAnsi="宋体" w:eastAsia="宋体" w:cs="宋体"/>
          <w:color w:val="000000"/>
          <w:lang w:val="en-US" w:eastAsia="zh-CN"/>
        </w:rPr>
        <w:t>明细</w:t>
      </w:r>
      <w:r>
        <w:rPr>
          <w:rFonts w:hint="eastAsia" w:ascii="宋体" w:hAnsi="宋体" w:eastAsia="宋体" w:cs="宋体"/>
          <w:color w:val="000000"/>
        </w:rPr>
        <w:t>表”中“投标总报价”数额应当与“开标一览表”中“投标总报价”数额一致。</w:t>
      </w:r>
    </w:p>
    <w:p w14:paraId="31006E43">
      <w:pPr>
        <w:pStyle w:val="11"/>
        <w:spacing w:beforeAutospacing="0" w:afterAutospacing="0"/>
        <w:jc w:val="both"/>
        <w:rPr>
          <w:rFonts w:hint="eastAsia" w:ascii="黑体" w:hAnsi="宋体" w:eastAsia="黑体" w:cs="黑体"/>
          <w:b/>
          <w:color w:val="000000"/>
          <w:sz w:val="32"/>
          <w:szCs w:val="32"/>
        </w:rPr>
      </w:pPr>
    </w:p>
    <w:p w14:paraId="4F876E94">
      <w:pPr>
        <w:pStyle w:val="11"/>
        <w:spacing w:beforeAutospacing="0" w:afterAutospacing="0"/>
        <w:jc w:val="center"/>
        <w:rPr>
          <w:rFonts w:hint="eastAsia" w:ascii="黑体" w:hAnsi="宋体" w:eastAsia="黑体" w:cs="黑体"/>
          <w:b/>
          <w:color w:val="000000"/>
          <w:sz w:val="32"/>
          <w:szCs w:val="32"/>
        </w:rPr>
      </w:pPr>
    </w:p>
    <w:p w14:paraId="641DF515">
      <w:pPr>
        <w:pStyle w:val="11"/>
        <w:spacing w:beforeAutospacing="0" w:afterAutospacing="0"/>
        <w:jc w:val="center"/>
        <w:rPr>
          <w:rFonts w:hint="eastAsia" w:ascii="黑体" w:hAnsi="宋体" w:eastAsia="黑体" w:cs="黑体"/>
          <w:b/>
          <w:color w:val="000000"/>
          <w:sz w:val="32"/>
          <w:szCs w:val="32"/>
        </w:rPr>
      </w:pPr>
    </w:p>
    <w:p w14:paraId="77765C7F">
      <w:pPr>
        <w:pStyle w:val="11"/>
        <w:spacing w:beforeAutospacing="0" w:afterAutospacing="0"/>
        <w:jc w:val="center"/>
        <w:rPr>
          <w:rFonts w:hint="eastAsia" w:ascii="黑体" w:hAnsi="宋体" w:eastAsia="黑体" w:cs="黑体"/>
          <w:b/>
          <w:color w:val="000000"/>
          <w:sz w:val="32"/>
          <w:szCs w:val="32"/>
        </w:rPr>
      </w:pPr>
    </w:p>
    <w:p w14:paraId="76B9A54E">
      <w:pPr>
        <w:pStyle w:val="11"/>
        <w:spacing w:beforeAutospacing="0" w:afterAutospacing="0"/>
        <w:jc w:val="center"/>
        <w:rPr>
          <w:rFonts w:hint="eastAsia" w:ascii="黑体" w:hAnsi="宋体" w:eastAsia="黑体" w:cs="黑体"/>
          <w:b/>
          <w:color w:val="000000"/>
          <w:sz w:val="32"/>
          <w:szCs w:val="32"/>
        </w:rPr>
      </w:pPr>
    </w:p>
    <w:p w14:paraId="0C7E8D90">
      <w:pPr>
        <w:pStyle w:val="11"/>
        <w:spacing w:beforeAutospacing="0" w:afterAutospacing="0"/>
        <w:jc w:val="center"/>
        <w:rPr>
          <w:rFonts w:hint="eastAsia" w:ascii="黑体" w:hAnsi="宋体" w:eastAsia="黑体" w:cs="黑体"/>
          <w:b/>
          <w:color w:val="000000"/>
          <w:sz w:val="32"/>
          <w:szCs w:val="32"/>
        </w:rPr>
      </w:pPr>
    </w:p>
    <w:p w14:paraId="36529AAA">
      <w:pPr>
        <w:pStyle w:val="11"/>
        <w:spacing w:beforeAutospacing="0" w:afterAutospacing="0"/>
        <w:jc w:val="center"/>
        <w:rPr>
          <w:rFonts w:hint="eastAsia" w:ascii="黑体" w:hAnsi="宋体" w:eastAsia="黑体" w:cs="黑体"/>
          <w:b/>
          <w:color w:val="000000"/>
          <w:sz w:val="32"/>
          <w:szCs w:val="32"/>
        </w:rPr>
      </w:pPr>
    </w:p>
    <w:p w14:paraId="7A2ED34F">
      <w:pPr>
        <w:pStyle w:val="11"/>
        <w:spacing w:beforeAutospacing="0" w:afterAutospacing="0"/>
        <w:jc w:val="center"/>
        <w:rPr>
          <w:rFonts w:hint="eastAsia" w:ascii="黑体" w:hAnsi="宋体" w:eastAsia="黑体" w:cs="黑体"/>
          <w:b/>
          <w:color w:val="000000"/>
          <w:sz w:val="32"/>
          <w:szCs w:val="32"/>
        </w:rPr>
      </w:pPr>
    </w:p>
    <w:p w14:paraId="3760170D">
      <w:pPr>
        <w:pStyle w:val="11"/>
        <w:spacing w:beforeAutospacing="0" w:afterAutospacing="0"/>
        <w:jc w:val="center"/>
        <w:rPr>
          <w:rFonts w:hint="eastAsia" w:ascii="黑体" w:hAnsi="宋体" w:eastAsia="黑体" w:cs="黑体"/>
          <w:b/>
          <w:color w:val="000000"/>
          <w:sz w:val="32"/>
          <w:szCs w:val="32"/>
        </w:rPr>
      </w:pPr>
    </w:p>
    <w:p w14:paraId="0FA25AC5">
      <w:pPr>
        <w:pStyle w:val="11"/>
        <w:spacing w:beforeAutospacing="0" w:afterAutospacing="0"/>
        <w:jc w:val="center"/>
        <w:rPr>
          <w:rFonts w:hint="eastAsia" w:ascii="黑体" w:hAnsi="宋体" w:eastAsia="黑体" w:cs="黑体"/>
          <w:b/>
          <w:color w:val="000000"/>
          <w:sz w:val="32"/>
          <w:szCs w:val="32"/>
        </w:rPr>
      </w:pPr>
    </w:p>
    <w:p w14:paraId="438D58EE">
      <w:pPr>
        <w:pStyle w:val="11"/>
        <w:spacing w:beforeAutospacing="0" w:afterAutospacing="0"/>
        <w:jc w:val="center"/>
        <w:rPr>
          <w:rFonts w:hint="eastAsia" w:ascii="黑体" w:hAnsi="宋体" w:eastAsia="黑体" w:cs="黑体"/>
          <w:b/>
          <w:color w:val="000000"/>
          <w:sz w:val="32"/>
          <w:szCs w:val="32"/>
        </w:rPr>
      </w:pPr>
    </w:p>
    <w:p w14:paraId="01022AB6">
      <w:pPr>
        <w:pStyle w:val="11"/>
        <w:spacing w:beforeAutospacing="0" w:afterAutospacing="0"/>
        <w:jc w:val="center"/>
        <w:rPr>
          <w:rFonts w:hint="eastAsia" w:ascii="黑体" w:hAnsi="宋体" w:eastAsia="黑体" w:cs="黑体"/>
          <w:b/>
          <w:color w:val="000000"/>
          <w:sz w:val="32"/>
          <w:szCs w:val="32"/>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四</w:t>
      </w:r>
      <w:r>
        <w:rPr>
          <w:rFonts w:hint="eastAsia" w:ascii="黑体" w:hAnsi="宋体" w:eastAsia="黑体" w:cs="黑体"/>
          <w:b/>
          <w:color w:val="000000"/>
          <w:sz w:val="32"/>
          <w:szCs w:val="32"/>
        </w:rPr>
        <w:t>、</w:t>
      </w:r>
      <w:r>
        <w:rPr>
          <w:rFonts w:hint="eastAsia" w:ascii="黑体" w:hAnsi="宋体" w:eastAsia="黑体" w:cs="黑体"/>
          <w:b/>
          <w:color w:val="000000"/>
          <w:sz w:val="32"/>
          <w:szCs w:val="32"/>
          <w:lang w:val="en-US" w:eastAsia="zh-CN"/>
        </w:rPr>
        <w:t>服务</w:t>
      </w:r>
      <w:r>
        <w:rPr>
          <w:rFonts w:hint="eastAsia" w:ascii="黑体" w:hAnsi="宋体" w:eastAsia="黑体" w:cs="黑体"/>
          <w:b/>
          <w:color w:val="000000"/>
          <w:sz w:val="32"/>
          <w:szCs w:val="32"/>
        </w:rPr>
        <w:t>方案</w:t>
      </w:r>
    </w:p>
    <w:p w14:paraId="15E2447A">
      <w:pPr>
        <w:pStyle w:val="11"/>
        <w:tabs>
          <w:tab w:val="left" w:pos="2160"/>
        </w:tabs>
        <w:spacing w:beforeAutospacing="0" w:afterAutospacing="0"/>
        <w:jc w:val="both"/>
      </w:pPr>
    </w:p>
    <w:p w14:paraId="70978331">
      <w:pPr>
        <w:widowControl/>
        <w:spacing w:line="499" w:lineRule="atLeast"/>
        <w:ind w:firstLine="1600"/>
        <w:rPr>
          <w:rFonts w:ascii="宋体" w:hAnsi="宋体" w:eastAsia="宋体" w:cs="宋体"/>
          <w:color w:val="000000"/>
          <w:sz w:val="32"/>
          <w:szCs w:val="32"/>
        </w:rPr>
      </w:pPr>
    </w:p>
    <w:p w14:paraId="562293CC">
      <w:pPr>
        <w:widowControl/>
        <w:spacing w:line="499" w:lineRule="atLeast"/>
        <w:ind w:firstLine="1600"/>
        <w:rPr>
          <w:rFonts w:ascii="宋体" w:hAnsi="宋体" w:eastAsia="宋体" w:cs="宋体"/>
          <w:color w:val="000000"/>
          <w:sz w:val="32"/>
          <w:szCs w:val="32"/>
        </w:rPr>
      </w:pPr>
    </w:p>
    <w:p w14:paraId="21A6240B">
      <w:pPr>
        <w:widowControl/>
        <w:spacing w:line="499" w:lineRule="atLeast"/>
        <w:ind w:firstLine="1600"/>
        <w:rPr>
          <w:rFonts w:ascii="宋体" w:hAnsi="宋体" w:eastAsia="宋体" w:cs="宋体"/>
          <w:color w:val="000000"/>
          <w:sz w:val="32"/>
          <w:szCs w:val="32"/>
        </w:rPr>
      </w:pPr>
    </w:p>
    <w:p w14:paraId="164C57E6">
      <w:pPr>
        <w:widowControl/>
        <w:spacing w:line="499" w:lineRule="atLeast"/>
        <w:ind w:firstLine="1600"/>
        <w:rPr>
          <w:rFonts w:ascii="宋体" w:hAnsi="宋体" w:eastAsia="宋体" w:cs="宋体"/>
          <w:color w:val="000000"/>
          <w:sz w:val="32"/>
          <w:szCs w:val="32"/>
        </w:rPr>
      </w:pPr>
    </w:p>
    <w:p w14:paraId="47B850DF">
      <w:pPr>
        <w:widowControl/>
        <w:spacing w:line="499" w:lineRule="atLeast"/>
        <w:ind w:firstLine="1600"/>
        <w:rPr>
          <w:rFonts w:ascii="宋体" w:hAnsi="宋体" w:eastAsia="宋体" w:cs="宋体"/>
          <w:color w:val="000000"/>
          <w:sz w:val="32"/>
          <w:szCs w:val="32"/>
        </w:rPr>
      </w:pPr>
    </w:p>
    <w:p w14:paraId="6DE6C4A6">
      <w:pPr>
        <w:widowControl/>
        <w:spacing w:line="499" w:lineRule="atLeast"/>
        <w:ind w:firstLine="1600"/>
        <w:rPr>
          <w:rFonts w:ascii="宋体" w:hAnsi="宋体" w:eastAsia="宋体" w:cs="宋体"/>
          <w:color w:val="000000"/>
          <w:sz w:val="32"/>
          <w:szCs w:val="32"/>
        </w:rPr>
      </w:pPr>
    </w:p>
    <w:p w14:paraId="5FC6306D">
      <w:pPr>
        <w:widowControl/>
        <w:spacing w:line="499" w:lineRule="atLeast"/>
        <w:ind w:firstLine="1600"/>
        <w:rPr>
          <w:rFonts w:ascii="宋体" w:hAnsi="宋体" w:eastAsia="宋体" w:cs="宋体"/>
          <w:color w:val="000000"/>
          <w:sz w:val="32"/>
          <w:szCs w:val="32"/>
        </w:rPr>
      </w:pPr>
    </w:p>
    <w:p w14:paraId="004E0708">
      <w:pPr>
        <w:widowControl/>
        <w:spacing w:line="499" w:lineRule="atLeast"/>
        <w:ind w:firstLine="1600"/>
        <w:rPr>
          <w:rFonts w:ascii="宋体" w:hAnsi="宋体" w:eastAsia="宋体" w:cs="宋体"/>
          <w:color w:val="000000"/>
          <w:sz w:val="32"/>
          <w:szCs w:val="32"/>
        </w:rPr>
      </w:pPr>
    </w:p>
    <w:p w14:paraId="3F443831">
      <w:pPr>
        <w:widowControl/>
        <w:spacing w:line="499" w:lineRule="atLeast"/>
        <w:ind w:firstLine="1600"/>
        <w:rPr>
          <w:rFonts w:ascii="宋体" w:hAnsi="宋体" w:eastAsia="宋体" w:cs="宋体"/>
          <w:color w:val="000000"/>
          <w:sz w:val="32"/>
          <w:szCs w:val="32"/>
        </w:rPr>
      </w:pPr>
    </w:p>
    <w:p w14:paraId="75D49E47">
      <w:pPr>
        <w:widowControl/>
        <w:spacing w:line="499" w:lineRule="atLeast"/>
        <w:ind w:firstLine="1600"/>
        <w:rPr>
          <w:rFonts w:ascii="宋体" w:hAnsi="宋体" w:eastAsia="宋体" w:cs="宋体"/>
          <w:color w:val="000000"/>
          <w:sz w:val="32"/>
          <w:szCs w:val="32"/>
        </w:rPr>
      </w:pPr>
    </w:p>
    <w:p w14:paraId="67047468">
      <w:pPr>
        <w:widowControl/>
        <w:spacing w:line="499" w:lineRule="atLeast"/>
        <w:ind w:firstLine="1600"/>
        <w:rPr>
          <w:rFonts w:ascii="宋体" w:hAnsi="宋体" w:eastAsia="宋体" w:cs="宋体"/>
          <w:color w:val="000000"/>
          <w:sz w:val="32"/>
          <w:szCs w:val="32"/>
        </w:rPr>
      </w:pPr>
    </w:p>
    <w:p w14:paraId="3BF0DF06">
      <w:pPr>
        <w:widowControl/>
        <w:spacing w:line="499" w:lineRule="atLeast"/>
        <w:ind w:firstLine="1600"/>
        <w:rPr>
          <w:rFonts w:ascii="宋体" w:hAnsi="宋体" w:eastAsia="宋体" w:cs="宋体"/>
          <w:color w:val="000000"/>
          <w:sz w:val="32"/>
          <w:szCs w:val="32"/>
        </w:rPr>
      </w:pPr>
    </w:p>
    <w:p w14:paraId="7E3C94E4">
      <w:pPr>
        <w:widowControl/>
        <w:spacing w:line="499" w:lineRule="atLeast"/>
        <w:ind w:firstLine="1600"/>
        <w:rPr>
          <w:rFonts w:ascii="宋体" w:hAnsi="宋体" w:eastAsia="宋体" w:cs="宋体"/>
          <w:color w:val="000000"/>
          <w:sz w:val="32"/>
          <w:szCs w:val="32"/>
        </w:rPr>
      </w:pPr>
    </w:p>
    <w:p w14:paraId="2DA1E709">
      <w:pPr>
        <w:widowControl/>
        <w:spacing w:line="499" w:lineRule="atLeast"/>
        <w:ind w:firstLine="1600"/>
        <w:rPr>
          <w:rFonts w:ascii="宋体" w:hAnsi="宋体" w:eastAsia="宋体" w:cs="宋体"/>
          <w:color w:val="000000"/>
          <w:sz w:val="32"/>
          <w:szCs w:val="32"/>
        </w:rPr>
      </w:pPr>
    </w:p>
    <w:p w14:paraId="60D08993">
      <w:pPr>
        <w:widowControl/>
        <w:spacing w:line="499" w:lineRule="atLeast"/>
        <w:ind w:firstLine="1600"/>
        <w:rPr>
          <w:rFonts w:ascii="宋体" w:hAnsi="宋体" w:eastAsia="宋体" w:cs="宋体"/>
          <w:color w:val="000000"/>
          <w:sz w:val="32"/>
          <w:szCs w:val="32"/>
        </w:rPr>
      </w:pPr>
    </w:p>
    <w:p w14:paraId="0AD1A7CC">
      <w:pPr>
        <w:widowControl/>
        <w:spacing w:line="499" w:lineRule="atLeast"/>
        <w:ind w:firstLine="1600"/>
        <w:rPr>
          <w:rFonts w:ascii="宋体" w:hAnsi="宋体" w:eastAsia="宋体" w:cs="宋体"/>
          <w:color w:val="000000"/>
          <w:sz w:val="32"/>
          <w:szCs w:val="32"/>
        </w:rPr>
      </w:pPr>
    </w:p>
    <w:p w14:paraId="638CEE87">
      <w:pPr>
        <w:widowControl/>
        <w:spacing w:line="499" w:lineRule="atLeast"/>
        <w:ind w:firstLine="1600"/>
        <w:rPr>
          <w:rFonts w:ascii="宋体" w:hAnsi="宋体" w:eastAsia="宋体" w:cs="宋体"/>
          <w:color w:val="000000"/>
          <w:sz w:val="32"/>
          <w:szCs w:val="32"/>
        </w:rPr>
      </w:pPr>
    </w:p>
    <w:p w14:paraId="05702026">
      <w:pPr>
        <w:widowControl/>
        <w:spacing w:line="499" w:lineRule="atLeast"/>
        <w:ind w:firstLine="1600"/>
        <w:rPr>
          <w:rFonts w:ascii="宋体" w:hAnsi="宋体" w:eastAsia="宋体" w:cs="宋体"/>
          <w:color w:val="000000"/>
          <w:sz w:val="32"/>
          <w:szCs w:val="32"/>
        </w:rPr>
      </w:pPr>
    </w:p>
    <w:p w14:paraId="411CF0BF">
      <w:pPr>
        <w:widowControl/>
        <w:spacing w:line="499" w:lineRule="atLeast"/>
        <w:ind w:firstLine="1600"/>
        <w:rPr>
          <w:rFonts w:ascii="宋体" w:hAnsi="宋体" w:eastAsia="宋体" w:cs="宋体"/>
          <w:color w:val="000000"/>
          <w:sz w:val="32"/>
          <w:szCs w:val="32"/>
        </w:rPr>
      </w:pPr>
    </w:p>
    <w:p w14:paraId="7888651A">
      <w:pPr>
        <w:pStyle w:val="12"/>
        <w:rPr>
          <w:rFonts w:ascii="宋体" w:hAnsi="宋体" w:eastAsia="宋体" w:cs="宋体"/>
          <w:color w:val="000000"/>
          <w:sz w:val="32"/>
          <w:szCs w:val="32"/>
        </w:rPr>
      </w:pPr>
    </w:p>
    <w:p w14:paraId="1A9E27EB">
      <w:pPr>
        <w:jc w:val="center"/>
        <w:rPr>
          <w:rFonts w:hint="eastAsia" w:ascii="黑体" w:hAnsi="黑体" w:eastAsia="黑体" w:cs="Times New Roman"/>
          <w:b/>
          <w:color w:val="auto"/>
          <w:sz w:val="32"/>
          <w:szCs w:val="32"/>
        </w:rPr>
      </w:pPr>
      <w:r>
        <w:rPr>
          <w:rFonts w:hint="eastAsia" w:ascii="黑体" w:hAnsi="黑体" w:eastAsia="黑体" w:cs="Times New Roman"/>
          <w:b/>
          <w:color w:val="auto"/>
          <w:sz w:val="32"/>
          <w:szCs w:val="32"/>
          <w:lang w:eastAsia="zh-CN"/>
        </w:rPr>
        <w:t>十</w:t>
      </w:r>
      <w:r>
        <w:rPr>
          <w:rFonts w:hint="eastAsia" w:ascii="黑体" w:hAnsi="黑体" w:eastAsia="黑体" w:cs="Times New Roman"/>
          <w:b/>
          <w:color w:val="auto"/>
          <w:sz w:val="32"/>
          <w:szCs w:val="32"/>
          <w:lang w:val="en-US" w:eastAsia="zh-CN"/>
        </w:rPr>
        <w:t>五</w:t>
      </w:r>
      <w:r>
        <w:rPr>
          <w:rFonts w:hint="eastAsia" w:ascii="黑体" w:hAnsi="黑体" w:eastAsia="黑体" w:cs="Times New Roman"/>
          <w:b/>
          <w:color w:val="auto"/>
          <w:sz w:val="32"/>
          <w:szCs w:val="32"/>
          <w:lang w:eastAsia="zh-CN"/>
        </w:rPr>
        <w:t>、招标文件中规定要求提供的证明材料和投标人认为需要提供的其他材料</w:t>
      </w:r>
    </w:p>
    <w:p w14:paraId="436D07A7">
      <w:pPr>
        <w:pStyle w:val="12"/>
        <w:rPr>
          <w:rFonts w:hint="default" w:ascii="宋体" w:hAnsi="宋体" w:eastAsia="宋体" w:cs="宋体"/>
          <w:color w:val="000000"/>
          <w:sz w:val="32"/>
          <w:szCs w:val="32"/>
          <w:lang w:val="en-US" w:eastAsia="zh-CN"/>
        </w:rPr>
      </w:pPr>
    </w:p>
    <w:p w14:paraId="41968BCD">
      <w:pPr>
        <w:pStyle w:val="12"/>
        <w:rPr>
          <w:rFonts w:hint="default" w:ascii="宋体" w:hAnsi="宋体" w:eastAsia="宋体" w:cs="宋体"/>
          <w:color w:val="000000"/>
          <w:sz w:val="32"/>
          <w:szCs w:val="32"/>
          <w:lang w:val="en-US" w:eastAsia="zh-CN"/>
        </w:rPr>
      </w:pPr>
    </w:p>
    <w:p w14:paraId="7BA849C4">
      <w:pPr>
        <w:pStyle w:val="12"/>
        <w:rPr>
          <w:rFonts w:hint="default" w:ascii="宋体" w:hAnsi="宋体" w:eastAsia="宋体" w:cs="宋体"/>
          <w:color w:val="000000"/>
          <w:sz w:val="32"/>
          <w:szCs w:val="32"/>
          <w:lang w:val="en-US" w:eastAsia="zh-CN"/>
        </w:rPr>
      </w:pPr>
    </w:p>
    <w:p w14:paraId="2413A8F6">
      <w:pPr>
        <w:pStyle w:val="12"/>
        <w:rPr>
          <w:rFonts w:hint="default" w:ascii="宋体" w:hAnsi="宋体" w:eastAsia="宋体" w:cs="宋体"/>
          <w:color w:val="000000"/>
          <w:sz w:val="32"/>
          <w:szCs w:val="32"/>
          <w:lang w:val="en-US" w:eastAsia="zh-CN"/>
        </w:rPr>
      </w:pPr>
    </w:p>
    <w:p w14:paraId="33CDE0A6">
      <w:pPr>
        <w:pStyle w:val="12"/>
        <w:rPr>
          <w:rFonts w:hint="default" w:ascii="宋体" w:hAnsi="宋体" w:eastAsia="宋体" w:cs="宋体"/>
          <w:color w:val="000000"/>
          <w:sz w:val="32"/>
          <w:szCs w:val="32"/>
          <w:lang w:val="en-US" w:eastAsia="zh-CN"/>
        </w:rPr>
      </w:pPr>
    </w:p>
    <w:p w14:paraId="342378A8">
      <w:pPr>
        <w:pStyle w:val="12"/>
        <w:rPr>
          <w:rFonts w:hint="default" w:ascii="宋体" w:hAnsi="宋体" w:eastAsia="宋体" w:cs="宋体"/>
          <w:color w:val="000000"/>
          <w:sz w:val="32"/>
          <w:szCs w:val="32"/>
          <w:lang w:val="en-US" w:eastAsia="zh-CN"/>
        </w:rPr>
      </w:pPr>
    </w:p>
    <w:p w14:paraId="232E3C49">
      <w:pPr>
        <w:pStyle w:val="12"/>
        <w:rPr>
          <w:rFonts w:hint="default" w:ascii="宋体" w:hAnsi="宋体" w:eastAsia="宋体" w:cs="宋体"/>
          <w:color w:val="000000"/>
          <w:sz w:val="32"/>
          <w:szCs w:val="32"/>
          <w:lang w:val="en-US" w:eastAsia="zh-CN"/>
        </w:rPr>
      </w:pPr>
    </w:p>
    <w:p w14:paraId="070446CE">
      <w:pPr>
        <w:pStyle w:val="12"/>
        <w:rPr>
          <w:rFonts w:hint="default" w:ascii="宋体" w:hAnsi="宋体" w:eastAsia="宋体" w:cs="宋体"/>
          <w:color w:val="000000"/>
          <w:sz w:val="32"/>
          <w:szCs w:val="32"/>
          <w:lang w:val="en-US" w:eastAsia="zh-CN"/>
        </w:rPr>
      </w:pPr>
    </w:p>
    <w:p w14:paraId="2968E9E0">
      <w:pPr>
        <w:pStyle w:val="12"/>
        <w:rPr>
          <w:rFonts w:hint="default" w:ascii="宋体" w:hAnsi="宋体" w:eastAsia="宋体" w:cs="宋体"/>
          <w:color w:val="000000"/>
          <w:sz w:val="32"/>
          <w:szCs w:val="32"/>
          <w:lang w:val="en-US" w:eastAsia="zh-CN"/>
        </w:rPr>
      </w:pPr>
    </w:p>
    <w:p w14:paraId="5AC8F653">
      <w:pPr>
        <w:pStyle w:val="12"/>
        <w:rPr>
          <w:rFonts w:hint="default" w:ascii="宋体" w:hAnsi="宋体" w:eastAsia="宋体" w:cs="宋体"/>
          <w:color w:val="000000"/>
          <w:sz w:val="32"/>
          <w:szCs w:val="32"/>
          <w:lang w:val="en-US" w:eastAsia="zh-CN"/>
        </w:rPr>
      </w:pPr>
    </w:p>
    <w:p w14:paraId="1BCA62DA">
      <w:pPr>
        <w:pStyle w:val="12"/>
        <w:rPr>
          <w:rFonts w:hint="default" w:ascii="宋体" w:hAnsi="宋体" w:eastAsia="宋体" w:cs="宋体"/>
          <w:color w:val="000000"/>
          <w:sz w:val="32"/>
          <w:szCs w:val="32"/>
          <w:lang w:val="en-US" w:eastAsia="zh-CN"/>
        </w:rPr>
      </w:pPr>
    </w:p>
    <w:p w14:paraId="1031F6B7">
      <w:pPr>
        <w:pStyle w:val="12"/>
        <w:rPr>
          <w:rFonts w:hint="default" w:ascii="宋体" w:hAnsi="宋体" w:eastAsia="宋体" w:cs="宋体"/>
          <w:color w:val="000000"/>
          <w:sz w:val="32"/>
          <w:szCs w:val="32"/>
          <w:lang w:val="en-US" w:eastAsia="zh-CN"/>
        </w:rPr>
      </w:pPr>
    </w:p>
    <w:p w14:paraId="31003148">
      <w:pPr>
        <w:pStyle w:val="12"/>
        <w:rPr>
          <w:rFonts w:hint="default" w:ascii="宋体" w:hAnsi="宋体" w:eastAsia="宋体" w:cs="宋体"/>
          <w:color w:val="000000"/>
          <w:sz w:val="32"/>
          <w:szCs w:val="32"/>
          <w:lang w:val="en-US" w:eastAsia="zh-CN"/>
        </w:rPr>
      </w:pPr>
    </w:p>
    <w:p w14:paraId="28A5A366">
      <w:pPr>
        <w:pStyle w:val="12"/>
        <w:rPr>
          <w:rFonts w:hint="default" w:ascii="宋体" w:hAnsi="宋体" w:eastAsia="宋体" w:cs="宋体"/>
          <w:color w:val="000000"/>
          <w:sz w:val="32"/>
          <w:szCs w:val="32"/>
          <w:lang w:val="en-US" w:eastAsia="zh-CN"/>
        </w:rPr>
      </w:pPr>
    </w:p>
    <w:p w14:paraId="51E9DC7D">
      <w:pPr>
        <w:pStyle w:val="12"/>
        <w:rPr>
          <w:rFonts w:hint="default" w:ascii="宋体" w:hAnsi="宋体" w:eastAsia="宋体" w:cs="宋体"/>
          <w:color w:val="000000"/>
          <w:sz w:val="32"/>
          <w:szCs w:val="32"/>
          <w:lang w:val="en-US" w:eastAsia="zh-CN"/>
        </w:rPr>
      </w:pPr>
    </w:p>
    <w:p w14:paraId="07070622">
      <w:pPr>
        <w:pStyle w:val="12"/>
        <w:rPr>
          <w:rFonts w:hint="default" w:ascii="宋体" w:hAnsi="宋体" w:eastAsia="宋体" w:cs="宋体"/>
          <w:color w:val="000000"/>
          <w:sz w:val="32"/>
          <w:szCs w:val="32"/>
          <w:lang w:val="en-US" w:eastAsia="zh-CN"/>
        </w:rPr>
      </w:pPr>
    </w:p>
    <w:p w14:paraId="2CB67A59">
      <w:pPr>
        <w:widowControl/>
        <w:spacing w:line="499" w:lineRule="atLeast"/>
        <w:ind w:firstLine="1600"/>
        <w:rPr>
          <w:rFonts w:ascii="宋体" w:hAnsi="宋体" w:eastAsia="宋体" w:cs="宋体"/>
          <w:color w:val="000000"/>
          <w:sz w:val="32"/>
          <w:szCs w:val="32"/>
        </w:rPr>
      </w:pPr>
    </w:p>
    <w:p w14:paraId="3BC680DA">
      <w:pPr>
        <w:jc w:val="center"/>
        <w:rPr>
          <w:rFonts w:hint="eastAsia" w:ascii="方正仿宋_GBK" w:hAnsi="宋体" w:eastAsia="方正仿宋_GBK" w:cs="宋体"/>
          <w:color w:val="auto"/>
          <w:sz w:val="32"/>
          <w:szCs w:val="32"/>
        </w:rPr>
      </w:pPr>
      <w:bookmarkStart w:id="242" w:name="OLE_LINK7"/>
      <w:r>
        <w:rPr>
          <w:rFonts w:hint="eastAsia" w:ascii="黑体" w:hAnsi="黑体" w:eastAsia="黑体" w:cs="Times New Roman"/>
          <w:b/>
          <w:color w:val="auto"/>
          <w:sz w:val="32"/>
          <w:szCs w:val="32"/>
        </w:rPr>
        <w:t>十</w:t>
      </w:r>
      <w:r>
        <w:rPr>
          <w:rFonts w:hint="eastAsia" w:ascii="黑体" w:hAnsi="黑体" w:eastAsia="黑体" w:cs="Times New Roman"/>
          <w:b/>
          <w:color w:val="auto"/>
          <w:sz w:val="32"/>
          <w:szCs w:val="32"/>
          <w:lang w:val="en-US" w:eastAsia="zh-CN"/>
        </w:rPr>
        <w:t>六</w:t>
      </w:r>
      <w:r>
        <w:rPr>
          <w:rFonts w:hint="eastAsia" w:ascii="黑体" w:hAnsi="黑体" w:eastAsia="黑体" w:cs="Times New Roman"/>
          <w:b/>
          <w:color w:val="auto"/>
          <w:sz w:val="32"/>
          <w:szCs w:val="32"/>
        </w:rPr>
        <w:t>、</w:t>
      </w:r>
      <w:bookmarkEnd w:id="41"/>
      <w:bookmarkEnd w:id="60"/>
      <w:bookmarkEnd w:id="105"/>
      <w:bookmarkEnd w:id="106"/>
      <w:bookmarkEnd w:id="107"/>
      <w:bookmarkEnd w:id="110"/>
      <w:bookmarkEnd w:id="111"/>
      <w:bookmarkEnd w:id="112"/>
      <w:bookmarkEnd w:id="113"/>
      <w:bookmarkEnd w:id="114"/>
      <w:bookmarkEnd w:id="115"/>
      <w:bookmarkEnd w:id="116"/>
      <w:bookmarkEnd w:id="117"/>
      <w:bookmarkEnd w:id="118"/>
      <w:bookmarkEnd w:id="119"/>
      <w:bookmarkEnd w:id="120"/>
      <w:bookmarkEnd w:id="121"/>
      <w:bookmarkEnd w:id="122"/>
      <w:bookmarkEnd w:id="127"/>
      <w:bookmarkEnd w:id="128"/>
      <w:bookmarkEnd w:id="129"/>
      <w:bookmarkEnd w:id="134"/>
      <w:bookmarkEnd w:id="135"/>
      <w:bookmarkEnd w:id="142"/>
      <w:bookmarkEnd w:id="198"/>
      <w:bookmarkEnd w:id="201"/>
      <w:bookmarkEnd w:id="230"/>
      <w:bookmarkEnd w:id="231"/>
      <w:bookmarkEnd w:id="233"/>
      <w:bookmarkEnd w:id="234"/>
      <w:bookmarkEnd w:id="235"/>
      <w:bookmarkEnd w:id="236"/>
      <w:bookmarkEnd w:id="237"/>
      <w:bookmarkEnd w:id="238"/>
      <w:bookmarkEnd w:id="239"/>
      <w:bookmarkEnd w:id="240"/>
      <w:bookmarkEnd w:id="241"/>
      <w:r>
        <w:rPr>
          <w:rFonts w:hint="eastAsia" w:ascii="黑体" w:hAnsi="黑体" w:eastAsia="黑体" w:cs="Times New Roman"/>
          <w:b/>
          <w:color w:val="auto"/>
          <w:sz w:val="32"/>
          <w:szCs w:val="32"/>
        </w:rPr>
        <w:t>响水县政府采购事前信用承诺书</w:t>
      </w:r>
      <w:bookmarkEnd w:id="242"/>
    </w:p>
    <w:p w14:paraId="4265ECA5">
      <w:pPr>
        <w:widowControl/>
        <w:spacing w:line="500" w:lineRule="exact"/>
        <w:ind w:firstLine="480"/>
        <w:jc w:val="left"/>
        <w:rPr>
          <w:rFonts w:hint="eastAsia" w:ascii="宋体" w:hAnsi="宋体"/>
          <w:color w:val="auto"/>
          <w:sz w:val="24"/>
          <w:szCs w:val="24"/>
        </w:rPr>
      </w:pPr>
      <w:r>
        <w:rPr>
          <w:rFonts w:hint="eastAsia" w:ascii="宋体" w:hAnsi="宋体"/>
          <w:color w:val="auto"/>
          <w:sz w:val="24"/>
          <w:szCs w:val="24"/>
        </w:rPr>
        <w:t>为营造我县公开、公平、公正、诚实守信的政府采购交易环境，树立诚信守法的</w:t>
      </w:r>
      <w:r>
        <w:rPr>
          <w:rFonts w:hint="eastAsia" w:ascii="宋体" w:hAnsi="宋体"/>
          <w:color w:val="auto"/>
          <w:sz w:val="24"/>
          <w:szCs w:val="24"/>
          <w:lang w:eastAsia="zh-CN"/>
        </w:rPr>
        <w:t>供应商</w:t>
      </w:r>
      <w:r>
        <w:rPr>
          <w:rFonts w:hint="eastAsia" w:ascii="宋体" w:hAnsi="宋体"/>
          <w:color w:val="auto"/>
          <w:sz w:val="24"/>
          <w:szCs w:val="24"/>
        </w:rPr>
        <w:t>形象，本人代表本单位作出以下承诺：</w:t>
      </w:r>
    </w:p>
    <w:p w14:paraId="453DEA34">
      <w:pPr>
        <w:widowControl/>
        <w:spacing w:line="500" w:lineRule="exact"/>
        <w:jc w:val="left"/>
        <w:rPr>
          <w:rFonts w:hint="eastAsia"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olor w:val="auto"/>
          <w:sz w:val="24"/>
          <w:szCs w:val="24"/>
          <w:lang w:eastAsia="zh-CN"/>
        </w:rPr>
        <w:t>虚假成分</w:t>
      </w:r>
      <w:r>
        <w:rPr>
          <w:rFonts w:hint="eastAsia" w:ascii="宋体" w:hAnsi="宋体"/>
          <w:color w:val="auto"/>
          <w:sz w:val="24"/>
          <w:szCs w:val="24"/>
        </w:rPr>
        <w:t>，并对所提供资料的真实性负责；</w:t>
      </w:r>
    </w:p>
    <w:p w14:paraId="4BDA690E">
      <w:pPr>
        <w:widowControl/>
        <w:spacing w:line="500" w:lineRule="exact"/>
        <w:ind w:firstLine="480"/>
        <w:jc w:val="left"/>
        <w:rPr>
          <w:rFonts w:hint="eastAsia" w:ascii="宋体" w:hAnsi="宋体"/>
          <w:color w:val="auto"/>
          <w:sz w:val="24"/>
          <w:szCs w:val="24"/>
        </w:rPr>
      </w:pPr>
      <w:r>
        <w:rPr>
          <w:rFonts w:hint="eastAsia" w:ascii="宋体" w:hAnsi="宋体"/>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B560F50">
      <w:pPr>
        <w:widowControl/>
        <w:spacing w:line="500" w:lineRule="exact"/>
        <w:jc w:val="left"/>
        <w:rPr>
          <w:rFonts w:hint="eastAsia" w:ascii="宋体" w:hAnsi="宋体"/>
          <w:color w:val="auto"/>
          <w:sz w:val="24"/>
          <w:szCs w:val="24"/>
        </w:rPr>
      </w:pPr>
      <w:r>
        <w:rPr>
          <w:rFonts w:hint="eastAsia" w:ascii="宋体" w:hAnsi="宋体"/>
          <w:color w:val="auto"/>
          <w:sz w:val="24"/>
          <w:szCs w:val="24"/>
        </w:rPr>
        <w:t>   （三）严格依照国家和省、市关于政府采购的</w:t>
      </w:r>
      <w:r>
        <w:rPr>
          <w:rFonts w:hint="eastAsia" w:ascii="宋体" w:hAnsi="宋体"/>
          <w:color w:val="auto"/>
          <w:sz w:val="24"/>
          <w:szCs w:val="24"/>
          <w:lang w:eastAsia="zh-CN"/>
        </w:rPr>
        <w:t>法律法规</w:t>
      </w:r>
      <w:r>
        <w:rPr>
          <w:rFonts w:hint="eastAsia" w:ascii="宋体" w:hAnsi="宋体"/>
          <w:color w:val="auto"/>
          <w:sz w:val="24"/>
          <w:szCs w:val="24"/>
        </w:rPr>
        <w:t xml:space="preserve">、规章、规范性文件，参加政府采购投标活动；积极履行社会责任，促进廉政建设； </w:t>
      </w:r>
    </w:p>
    <w:p w14:paraId="6FA5E5A6">
      <w:pPr>
        <w:widowControl/>
        <w:spacing w:line="500" w:lineRule="exact"/>
        <w:jc w:val="left"/>
        <w:rPr>
          <w:rFonts w:hint="eastAsia" w:ascii="宋体" w:hAnsi="宋体"/>
          <w:color w:val="auto"/>
          <w:sz w:val="24"/>
          <w:szCs w:val="24"/>
        </w:rPr>
      </w:pPr>
      <w:r>
        <w:rPr>
          <w:rFonts w:hint="eastAsia" w:ascii="宋体" w:hAnsi="宋体"/>
          <w:color w:val="auto"/>
          <w:sz w:val="24"/>
          <w:szCs w:val="24"/>
        </w:rPr>
        <w:t>   （四）严格遵守即时信息公示规定，及时</w:t>
      </w:r>
      <w:r>
        <w:rPr>
          <w:rFonts w:hint="eastAsia" w:ascii="宋体" w:hAnsi="宋体"/>
          <w:color w:val="auto"/>
          <w:sz w:val="24"/>
          <w:szCs w:val="24"/>
          <w:lang w:eastAsia="zh-CN"/>
        </w:rPr>
        <w:t>维护和更新</w:t>
      </w:r>
      <w:r>
        <w:rPr>
          <w:rFonts w:hint="eastAsia" w:ascii="宋体" w:hAnsi="宋体"/>
          <w:color w:val="auto"/>
          <w:sz w:val="24"/>
          <w:szCs w:val="24"/>
        </w:rPr>
        <w:t>盐城市政府采购网中与本单位相关的信息；</w:t>
      </w:r>
    </w:p>
    <w:p w14:paraId="13B3291E">
      <w:pPr>
        <w:widowControl/>
        <w:spacing w:line="500" w:lineRule="exact"/>
        <w:jc w:val="left"/>
        <w:rPr>
          <w:rFonts w:hint="eastAsia" w:ascii="宋体" w:hAnsi="宋体"/>
          <w:color w:val="auto"/>
          <w:sz w:val="24"/>
          <w:szCs w:val="24"/>
        </w:rPr>
      </w:pPr>
      <w:r>
        <w:rPr>
          <w:rFonts w:hint="eastAsia" w:ascii="宋体" w:hAnsi="宋体"/>
          <w:color w:val="auto"/>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5F8B375">
      <w:pPr>
        <w:widowControl/>
        <w:spacing w:line="500" w:lineRule="exact"/>
        <w:jc w:val="left"/>
        <w:rPr>
          <w:rFonts w:hint="eastAsia" w:ascii="宋体" w:hAnsi="宋体"/>
          <w:color w:val="auto"/>
          <w:sz w:val="24"/>
          <w:szCs w:val="24"/>
        </w:rPr>
      </w:pPr>
      <w:r>
        <w:rPr>
          <w:rFonts w:hint="eastAsia" w:ascii="宋体" w:hAnsi="宋体"/>
          <w:color w:val="auto"/>
          <w:sz w:val="24"/>
          <w:szCs w:val="24"/>
        </w:rPr>
        <w:t>   （六）自觉接受政府、行业组织、社会公众、新闻舆论的监督；</w:t>
      </w:r>
    </w:p>
    <w:p w14:paraId="5FD10E5F">
      <w:pPr>
        <w:widowControl/>
        <w:spacing w:line="500" w:lineRule="exact"/>
        <w:ind w:firstLine="480"/>
        <w:jc w:val="left"/>
        <w:rPr>
          <w:rFonts w:hint="eastAsia" w:ascii="宋体" w:hAnsi="宋体"/>
          <w:color w:val="auto"/>
          <w:sz w:val="24"/>
          <w:szCs w:val="24"/>
        </w:rPr>
      </w:pPr>
      <w:r>
        <w:rPr>
          <w:rFonts w:hint="eastAsia" w:ascii="宋体" w:hAnsi="宋体"/>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8948449">
      <w:pPr>
        <w:widowControl/>
        <w:spacing w:line="500" w:lineRule="exact"/>
        <w:jc w:val="left"/>
        <w:rPr>
          <w:rFonts w:hint="eastAsia" w:ascii="宋体" w:hAnsi="宋体"/>
          <w:color w:val="auto"/>
          <w:sz w:val="24"/>
          <w:szCs w:val="24"/>
        </w:rPr>
      </w:pPr>
      <w:r>
        <w:rPr>
          <w:rFonts w:hint="eastAsia" w:ascii="宋体" w:hAnsi="宋体"/>
          <w:color w:val="auto"/>
          <w:sz w:val="24"/>
          <w:szCs w:val="24"/>
        </w:rPr>
        <w:t>   （八）本人已认真阅读了上述承诺，并向本单位员工</w:t>
      </w:r>
      <w:r>
        <w:rPr>
          <w:rFonts w:hint="eastAsia" w:ascii="宋体" w:hAnsi="宋体"/>
          <w:color w:val="auto"/>
          <w:sz w:val="24"/>
          <w:szCs w:val="24"/>
          <w:lang w:eastAsia="zh-CN"/>
        </w:rPr>
        <w:t>做</w:t>
      </w:r>
      <w:r>
        <w:rPr>
          <w:rFonts w:hint="eastAsia" w:ascii="宋体" w:hAnsi="宋体"/>
          <w:color w:val="auto"/>
          <w:sz w:val="24"/>
          <w:szCs w:val="24"/>
        </w:rPr>
        <w:t>了宣传教育。</w:t>
      </w:r>
    </w:p>
    <w:p w14:paraId="27A5E787">
      <w:pPr>
        <w:widowControl/>
        <w:spacing w:line="500" w:lineRule="exact"/>
        <w:jc w:val="left"/>
        <w:rPr>
          <w:rFonts w:hint="eastAsia" w:ascii="宋体" w:hAnsi="宋体"/>
          <w:color w:val="auto"/>
          <w:sz w:val="24"/>
          <w:szCs w:val="24"/>
        </w:rPr>
      </w:pPr>
    </w:p>
    <w:p w14:paraId="02A8DCD7">
      <w:pPr>
        <w:widowControl/>
        <w:spacing w:line="500" w:lineRule="exact"/>
        <w:jc w:val="center"/>
        <w:rPr>
          <w:rFonts w:hint="eastAsia" w:ascii="宋体" w:hAnsi="宋体"/>
          <w:color w:val="auto"/>
          <w:sz w:val="24"/>
          <w:szCs w:val="24"/>
        </w:rPr>
      </w:pPr>
      <w:r>
        <w:rPr>
          <w:rFonts w:hint="eastAsia" w:ascii="宋体" w:hAnsi="宋体"/>
          <w:color w:val="auto"/>
          <w:sz w:val="24"/>
          <w:szCs w:val="24"/>
        </w:rPr>
        <w:t xml:space="preserve">                 法定代表人签名：</w:t>
      </w:r>
    </w:p>
    <w:p w14:paraId="213453F2">
      <w:pPr>
        <w:widowControl/>
        <w:spacing w:line="500" w:lineRule="exact"/>
        <w:jc w:val="center"/>
        <w:rPr>
          <w:rFonts w:hint="eastAsia" w:ascii="宋体" w:hAnsi="宋体"/>
          <w:color w:val="auto"/>
          <w:sz w:val="24"/>
          <w:szCs w:val="24"/>
        </w:rPr>
      </w:pPr>
      <w:r>
        <w:rPr>
          <w:rFonts w:hint="eastAsia" w:ascii="宋体" w:hAnsi="宋体"/>
          <w:color w:val="auto"/>
          <w:sz w:val="24"/>
          <w:szCs w:val="24"/>
        </w:rPr>
        <w:t xml:space="preserve">                   单位名称（盖章）：</w:t>
      </w:r>
    </w:p>
    <w:p w14:paraId="42EF1FE1">
      <w:pPr>
        <w:jc w:val="right"/>
        <w:rPr>
          <w:rFonts w:hint="eastAsia" w:ascii="宋体" w:hAnsi="宋体"/>
          <w:color w:val="auto"/>
          <w:sz w:val="24"/>
          <w:szCs w:val="24"/>
        </w:rPr>
      </w:pPr>
      <w:r>
        <w:rPr>
          <w:rFonts w:hint="eastAsia" w:ascii="宋体" w:hAnsi="宋体"/>
          <w:color w:val="auto"/>
          <w:sz w:val="24"/>
          <w:szCs w:val="24"/>
        </w:rPr>
        <w:t xml:space="preserve">                      年    月    日</w:t>
      </w:r>
    </w:p>
    <w:p w14:paraId="0567B6AB">
      <w:pPr>
        <w:pStyle w:val="11"/>
        <w:spacing w:beforeAutospacing="0" w:afterAutospacing="0"/>
        <w:jc w:val="center"/>
        <w:rPr>
          <w:rFonts w:hint="eastAsia" w:ascii="宋体" w:hAnsi="宋体" w:eastAsia="宋体" w:cs="宋体"/>
          <w:b/>
          <w:color w:val="000000"/>
          <w:sz w:val="32"/>
          <w:szCs w:val="32"/>
        </w:rPr>
      </w:pPr>
    </w:p>
    <w:p w14:paraId="5AD8E5AF">
      <w:pPr>
        <w:pStyle w:val="11"/>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39294CAC">
      <w:pPr>
        <w:pStyle w:val="11"/>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212BB0B1">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48A17B">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048ED4AD">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12F4C37">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ECEA2FE">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656BBA46">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7E03232">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267D7ED">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8EF45F3">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7085FB8D">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178F4C7E">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BB8359F">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72B2CC0A">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261A02A">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0A5704BF">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3F68C1DF">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0B0A722C">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397BE44B">
      <w:pPr>
        <w:pStyle w:val="11"/>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66C13584">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74B8C8BA">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0F399F31">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6E4D2162">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59712924">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00047DA9">
      <w:pPr>
        <w:pStyle w:val="11"/>
        <w:spacing w:beforeAutospacing="0" w:afterAutospacing="0"/>
        <w:jc w:val="both"/>
        <w:rPr>
          <w:rFonts w:ascii="宋体" w:hAnsi="宋体" w:eastAsia="宋体" w:cs="宋体"/>
        </w:rPr>
      </w:pPr>
      <w:r>
        <w:rPr>
          <w:rFonts w:hint="eastAsia" w:ascii="宋体" w:hAnsi="宋体" w:eastAsia="宋体" w:cs="宋体"/>
          <w:color w:val="000000"/>
        </w:rPr>
        <w:t>签字</w:t>
      </w:r>
      <w:r>
        <w:rPr>
          <w:rFonts w:hint="eastAsia" w:ascii="宋体" w:hAnsi="宋体" w:eastAsia="宋体" w:cs="宋体"/>
          <w:color w:val="000000"/>
          <w:lang w:eastAsia="zh-CN"/>
        </w:rPr>
        <w:t>（</w:t>
      </w:r>
      <w:r>
        <w:rPr>
          <w:rFonts w:hint="eastAsia" w:ascii="宋体" w:hAnsi="宋体" w:eastAsia="宋体" w:cs="宋体"/>
          <w:color w:val="000000"/>
        </w:rPr>
        <w:t>签章</w:t>
      </w:r>
      <w:r>
        <w:rPr>
          <w:rFonts w:hint="eastAsia" w:ascii="宋体" w:hAnsi="宋体" w:eastAsia="宋体" w:cs="宋体"/>
          <w:color w:val="000000"/>
          <w:lang w:eastAsia="zh-CN"/>
        </w:rPr>
        <w:t>）</w:t>
      </w:r>
      <w:r>
        <w:rPr>
          <w:rFonts w:hint="eastAsia" w:ascii="宋体" w:hAnsi="宋体" w:eastAsia="宋体" w:cs="宋体"/>
          <w:color w:val="000000"/>
        </w:rPr>
        <w:t xml:space="preserve">：                 公章：               日期：    </w:t>
      </w:r>
    </w:p>
    <w:p w14:paraId="7D83B81A">
      <w:pPr>
        <w:pStyle w:val="11"/>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296732D2">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5E6FF208">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2264043">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72445313">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257EEAC8">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33EFB257">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083D11F">
      <w:pPr>
        <w:pStyle w:val="11"/>
        <w:spacing w:beforeAutospacing="0" w:afterAutospacing="0"/>
        <w:ind w:firstLine="420"/>
        <w:jc w:val="both"/>
        <w:rPr>
          <w:rFonts w:ascii="宋体" w:hAnsi="宋体" w:eastAsia="宋体" w:cs="宋体"/>
        </w:rPr>
      </w:pPr>
      <w:r>
        <w:rPr>
          <w:rFonts w:hint="eastAsia" w:ascii="宋体" w:hAnsi="宋体" w:eastAsia="宋体" w:cs="宋体"/>
        </w:rPr>
        <w:t> </w:t>
      </w:r>
    </w:p>
    <w:p w14:paraId="280EC65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58F3DA"/>
    <w:multiLevelType w:val="singleLevel"/>
    <w:tmpl w:val="9A58F3DA"/>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2YzQxY2M4MGZmYmNmMjg4MjQyNWIxNDI2ZjRiNzE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874D5"/>
    <w:rsid w:val="00491F6E"/>
    <w:rsid w:val="004D3110"/>
    <w:rsid w:val="00502ACB"/>
    <w:rsid w:val="00520AC5"/>
    <w:rsid w:val="00552DFB"/>
    <w:rsid w:val="005E57E9"/>
    <w:rsid w:val="006932C0"/>
    <w:rsid w:val="006B6F15"/>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4EEF"/>
    <w:rsid w:val="00FC6132"/>
    <w:rsid w:val="00FE3C91"/>
    <w:rsid w:val="014036E0"/>
    <w:rsid w:val="015C3D17"/>
    <w:rsid w:val="01C209CB"/>
    <w:rsid w:val="02851591"/>
    <w:rsid w:val="02BD5381"/>
    <w:rsid w:val="02D505AD"/>
    <w:rsid w:val="03365B5E"/>
    <w:rsid w:val="034E4AD1"/>
    <w:rsid w:val="037E0789"/>
    <w:rsid w:val="03913FFC"/>
    <w:rsid w:val="04CF1FA6"/>
    <w:rsid w:val="056E5657"/>
    <w:rsid w:val="05AD05DE"/>
    <w:rsid w:val="05BD3D79"/>
    <w:rsid w:val="0621639E"/>
    <w:rsid w:val="062C42CE"/>
    <w:rsid w:val="063522A9"/>
    <w:rsid w:val="06867FD2"/>
    <w:rsid w:val="068A6E34"/>
    <w:rsid w:val="06B12B65"/>
    <w:rsid w:val="06D82C35"/>
    <w:rsid w:val="07994E3B"/>
    <w:rsid w:val="07A02A3F"/>
    <w:rsid w:val="07A40F48"/>
    <w:rsid w:val="07F651C7"/>
    <w:rsid w:val="080A468F"/>
    <w:rsid w:val="0854758E"/>
    <w:rsid w:val="08992D34"/>
    <w:rsid w:val="09132265"/>
    <w:rsid w:val="09FE79EC"/>
    <w:rsid w:val="0AB319EF"/>
    <w:rsid w:val="0ABC363A"/>
    <w:rsid w:val="0AD8294B"/>
    <w:rsid w:val="0B4B3B00"/>
    <w:rsid w:val="0B6B051B"/>
    <w:rsid w:val="0B8A23C1"/>
    <w:rsid w:val="0BAE3813"/>
    <w:rsid w:val="0BFF003E"/>
    <w:rsid w:val="0C9413AC"/>
    <w:rsid w:val="0CD34089"/>
    <w:rsid w:val="0D4D2FC1"/>
    <w:rsid w:val="0D4E3C51"/>
    <w:rsid w:val="0E0362D5"/>
    <w:rsid w:val="0E966A8C"/>
    <w:rsid w:val="0ED60FBE"/>
    <w:rsid w:val="0EE61CD2"/>
    <w:rsid w:val="0F6D24BC"/>
    <w:rsid w:val="0F7D537E"/>
    <w:rsid w:val="10007707"/>
    <w:rsid w:val="117C0E8B"/>
    <w:rsid w:val="11AB711C"/>
    <w:rsid w:val="12F015A0"/>
    <w:rsid w:val="13F82B68"/>
    <w:rsid w:val="14382F65"/>
    <w:rsid w:val="143E4A1F"/>
    <w:rsid w:val="14477BA7"/>
    <w:rsid w:val="159C0EF7"/>
    <w:rsid w:val="169263C8"/>
    <w:rsid w:val="16A61788"/>
    <w:rsid w:val="16AF4856"/>
    <w:rsid w:val="174D6D27"/>
    <w:rsid w:val="17666D47"/>
    <w:rsid w:val="176F0FD8"/>
    <w:rsid w:val="17732C32"/>
    <w:rsid w:val="18811284"/>
    <w:rsid w:val="18BC4109"/>
    <w:rsid w:val="18D45952"/>
    <w:rsid w:val="193260E4"/>
    <w:rsid w:val="19835197"/>
    <w:rsid w:val="1A4F2C83"/>
    <w:rsid w:val="1A531672"/>
    <w:rsid w:val="1AD2708F"/>
    <w:rsid w:val="1AD75285"/>
    <w:rsid w:val="1B5F5046"/>
    <w:rsid w:val="1B9509DF"/>
    <w:rsid w:val="1BA002D8"/>
    <w:rsid w:val="1C9D605B"/>
    <w:rsid w:val="1CAC4347"/>
    <w:rsid w:val="1CCB706C"/>
    <w:rsid w:val="1CD75A11"/>
    <w:rsid w:val="1D1C1092"/>
    <w:rsid w:val="1D605A5A"/>
    <w:rsid w:val="1D812873"/>
    <w:rsid w:val="1DE2466D"/>
    <w:rsid w:val="1DFD1285"/>
    <w:rsid w:val="1EC70509"/>
    <w:rsid w:val="1EE6018D"/>
    <w:rsid w:val="1F4A0271"/>
    <w:rsid w:val="1FC7762D"/>
    <w:rsid w:val="201E3957"/>
    <w:rsid w:val="20677E3C"/>
    <w:rsid w:val="20733730"/>
    <w:rsid w:val="209429D0"/>
    <w:rsid w:val="20A83FAF"/>
    <w:rsid w:val="20CE42A1"/>
    <w:rsid w:val="215025DE"/>
    <w:rsid w:val="21912F25"/>
    <w:rsid w:val="21CC717D"/>
    <w:rsid w:val="22424AA4"/>
    <w:rsid w:val="228C104B"/>
    <w:rsid w:val="22F62B8A"/>
    <w:rsid w:val="23254D08"/>
    <w:rsid w:val="23534E2B"/>
    <w:rsid w:val="242C02D7"/>
    <w:rsid w:val="24533DC2"/>
    <w:rsid w:val="25184E18"/>
    <w:rsid w:val="2532334D"/>
    <w:rsid w:val="26750FF7"/>
    <w:rsid w:val="27194423"/>
    <w:rsid w:val="27290FC5"/>
    <w:rsid w:val="280F2F92"/>
    <w:rsid w:val="28FD67FF"/>
    <w:rsid w:val="28FE41FC"/>
    <w:rsid w:val="29345C52"/>
    <w:rsid w:val="294A2B6F"/>
    <w:rsid w:val="296F0D7F"/>
    <w:rsid w:val="2996274E"/>
    <w:rsid w:val="29BD7D3C"/>
    <w:rsid w:val="2A4648B7"/>
    <w:rsid w:val="2A5E3400"/>
    <w:rsid w:val="2B005440"/>
    <w:rsid w:val="2BBB474F"/>
    <w:rsid w:val="2BCA6741"/>
    <w:rsid w:val="2C03574A"/>
    <w:rsid w:val="2C0A4EA8"/>
    <w:rsid w:val="2C4A0932"/>
    <w:rsid w:val="2C7B3B05"/>
    <w:rsid w:val="2CA3146B"/>
    <w:rsid w:val="2CC277F5"/>
    <w:rsid w:val="2CEA709A"/>
    <w:rsid w:val="2D39592C"/>
    <w:rsid w:val="2E5E7AF7"/>
    <w:rsid w:val="2EE73822"/>
    <w:rsid w:val="2F1D2EB1"/>
    <w:rsid w:val="2FA80D19"/>
    <w:rsid w:val="2FAD4FD9"/>
    <w:rsid w:val="2FB346FB"/>
    <w:rsid w:val="2FFA5778"/>
    <w:rsid w:val="30495C84"/>
    <w:rsid w:val="30650005"/>
    <w:rsid w:val="310333AD"/>
    <w:rsid w:val="31522189"/>
    <w:rsid w:val="329E6CD8"/>
    <w:rsid w:val="33440753"/>
    <w:rsid w:val="334B4AB3"/>
    <w:rsid w:val="33773E42"/>
    <w:rsid w:val="34E14EA2"/>
    <w:rsid w:val="34E346A0"/>
    <w:rsid w:val="359B1151"/>
    <w:rsid w:val="35AD49A2"/>
    <w:rsid w:val="36172BC3"/>
    <w:rsid w:val="36CC7C95"/>
    <w:rsid w:val="36EB650A"/>
    <w:rsid w:val="3700570C"/>
    <w:rsid w:val="378133A9"/>
    <w:rsid w:val="383A233E"/>
    <w:rsid w:val="39101F1B"/>
    <w:rsid w:val="392D7EB3"/>
    <w:rsid w:val="39720FC7"/>
    <w:rsid w:val="39987E7E"/>
    <w:rsid w:val="39A84137"/>
    <w:rsid w:val="39CD52E9"/>
    <w:rsid w:val="3A64388F"/>
    <w:rsid w:val="3AB02FA5"/>
    <w:rsid w:val="3B0B043D"/>
    <w:rsid w:val="3BDF2457"/>
    <w:rsid w:val="3CC36DCD"/>
    <w:rsid w:val="3D23372C"/>
    <w:rsid w:val="3D6A4AAA"/>
    <w:rsid w:val="3DF80C94"/>
    <w:rsid w:val="3E064F5A"/>
    <w:rsid w:val="3E161B6B"/>
    <w:rsid w:val="3E496B6B"/>
    <w:rsid w:val="3E7F5998"/>
    <w:rsid w:val="3EA66521"/>
    <w:rsid w:val="3EE33949"/>
    <w:rsid w:val="3F0056DB"/>
    <w:rsid w:val="3F0156C1"/>
    <w:rsid w:val="3F1A3023"/>
    <w:rsid w:val="3F243A9D"/>
    <w:rsid w:val="3FC26720"/>
    <w:rsid w:val="40260F22"/>
    <w:rsid w:val="40350295"/>
    <w:rsid w:val="406E1D8D"/>
    <w:rsid w:val="41846DA6"/>
    <w:rsid w:val="42053C57"/>
    <w:rsid w:val="42214BD9"/>
    <w:rsid w:val="42324DFA"/>
    <w:rsid w:val="42AF59D8"/>
    <w:rsid w:val="42DF2090"/>
    <w:rsid w:val="431353F3"/>
    <w:rsid w:val="43455446"/>
    <w:rsid w:val="44DA072F"/>
    <w:rsid w:val="454D0F8E"/>
    <w:rsid w:val="45FC0A54"/>
    <w:rsid w:val="461D469A"/>
    <w:rsid w:val="46222EEA"/>
    <w:rsid w:val="466976E6"/>
    <w:rsid w:val="46BA0AE8"/>
    <w:rsid w:val="46EA0CE7"/>
    <w:rsid w:val="470D4256"/>
    <w:rsid w:val="472208AE"/>
    <w:rsid w:val="47704C41"/>
    <w:rsid w:val="477F6C5D"/>
    <w:rsid w:val="47B925F3"/>
    <w:rsid w:val="48771F96"/>
    <w:rsid w:val="48910AEC"/>
    <w:rsid w:val="48B3170D"/>
    <w:rsid w:val="493C7DE9"/>
    <w:rsid w:val="49A10689"/>
    <w:rsid w:val="49B82CDD"/>
    <w:rsid w:val="49D62B33"/>
    <w:rsid w:val="4A1E13B4"/>
    <w:rsid w:val="4A2C49B0"/>
    <w:rsid w:val="4A7D1B0F"/>
    <w:rsid w:val="4AAC50D1"/>
    <w:rsid w:val="4B0C37B9"/>
    <w:rsid w:val="4BC33B49"/>
    <w:rsid w:val="4BD12EAB"/>
    <w:rsid w:val="4C5A2B74"/>
    <w:rsid w:val="4D2D20D9"/>
    <w:rsid w:val="4D3C69F8"/>
    <w:rsid w:val="4DA074F7"/>
    <w:rsid w:val="4DA33F07"/>
    <w:rsid w:val="4DDE52C0"/>
    <w:rsid w:val="4E802F63"/>
    <w:rsid w:val="4E947749"/>
    <w:rsid w:val="4ED65279"/>
    <w:rsid w:val="4F337FD5"/>
    <w:rsid w:val="4FC2427A"/>
    <w:rsid w:val="50A0169A"/>
    <w:rsid w:val="50A1397F"/>
    <w:rsid w:val="50D427FD"/>
    <w:rsid w:val="51522C1F"/>
    <w:rsid w:val="51C75DFE"/>
    <w:rsid w:val="52741FCB"/>
    <w:rsid w:val="52B0193D"/>
    <w:rsid w:val="52D06B10"/>
    <w:rsid w:val="52D52291"/>
    <w:rsid w:val="533D58C6"/>
    <w:rsid w:val="53536515"/>
    <w:rsid w:val="53661B23"/>
    <w:rsid w:val="536B21BA"/>
    <w:rsid w:val="53A862CC"/>
    <w:rsid w:val="542A0FDA"/>
    <w:rsid w:val="546C11F4"/>
    <w:rsid w:val="54ED53D0"/>
    <w:rsid w:val="55091CCC"/>
    <w:rsid w:val="55C67DF5"/>
    <w:rsid w:val="55FA184D"/>
    <w:rsid w:val="56307253"/>
    <w:rsid w:val="56453199"/>
    <w:rsid w:val="56797048"/>
    <w:rsid w:val="57DB63D3"/>
    <w:rsid w:val="581A4428"/>
    <w:rsid w:val="582F6DAB"/>
    <w:rsid w:val="58366D88"/>
    <w:rsid w:val="58AD45AF"/>
    <w:rsid w:val="58D4718C"/>
    <w:rsid w:val="59274DA4"/>
    <w:rsid w:val="59A82CA5"/>
    <w:rsid w:val="5A0C6377"/>
    <w:rsid w:val="5AD514E8"/>
    <w:rsid w:val="5AD536B4"/>
    <w:rsid w:val="5AEA4CCC"/>
    <w:rsid w:val="5B031B11"/>
    <w:rsid w:val="5B0B44FC"/>
    <w:rsid w:val="5B3255E5"/>
    <w:rsid w:val="5B96574B"/>
    <w:rsid w:val="5C2A4141"/>
    <w:rsid w:val="5C5A652B"/>
    <w:rsid w:val="5DE138D8"/>
    <w:rsid w:val="5DE312A2"/>
    <w:rsid w:val="5E1921ED"/>
    <w:rsid w:val="5F6D12E1"/>
    <w:rsid w:val="5F7D5E8E"/>
    <w:rsid w:val="5F7F522A"/>
    <w:rsid w:val="5FD61B20"/>
    <w:rsid w:val="601337BB"/>
    <w:rsid w:val="60D51B2B"/>
    <w:rsid w:val="617F2D1C"/>
    <w:rsid w:val="6283706E"/>
    <w:rsid w:val="62A87E16"/>
    <w:rsid w:val="62CA561A"/>
    <w:rsid w:val="62F45876"/>
    <w:rsid w:val="6313315F"/>
    <w:rsid w:val="637172BE"/>
    <w:rsid w:val="63CD6C1F"/>
    <w:rsid w:val="64A56430"/>
    <w:rsid w:val="657C5A6D"/>
    <w:rsid w:val="65BB2793"/>
    <w:rsid w:val="65C6799D"/>
    <w:rsid w:val="667027CF"/>
    <w:rsid w:val="6688694C"/>
    <w:rsid w:val="670D4A21"/>
    <w:rsid w:val="67B6759E"/>
    <w:rsid w:val="68245589"/>
    <w:rsid w:val="68777DD2"/>
    <w:rsid w:val="68E22289"/>
    <w:rsid w:val="69983CE0"/>
    <w:rsid w:val="69EE74C3"/>
    <w:rsid w:val="6A1C1694"/>
    <w:rsid w:val="6A751DB0"/>
    <w:rsid w:val="6AB95533"/>
    <w:rsid w:val="6B037E0E"/>
    <w:rsid w:val="6BDD2B0A"/>
    <w:rsid w:val="6BDE41BB"/>
    <w:rsid w:val="6BF40AC7"/>
    <w:rsid w:val="6C5462A8"/>
    <w:rsid w:val="6C917FD7"/>
    <w:rsid w:val="6D437B25"/>
    <w:rsid w:val="6DEE183F"/>
    <w:rsid w:val="6E1B015A"/>
    <w:rsid w:val="6E856B79"/>
    <w:rsid w:val="6EF447F8"/>
    <w:rsid w:val="6F3574FF"/>
    <w:rsid w:val="6F3B4F58"/>
    <w:rsid w:val="6F6F7A6D"/>
    <w:rsid w:val="6FBB0862"/>
    <w:rsid w:val="70980188"/>
    <w:rsid w:val="70B54EA6"/>
    <w:rsid w:val="71BB7860"/>
    <w:rsid w:val="71E05943"/>
    <w:rsid w:val="72440385"/>
    <w:rsid w:val="728704B4"/>
    <w:rsid w:val="73761484"/>
    <w:rsid w:val="743F3C99"/>
    <w:rsid w:val="74835482"/>
    <w:rsid w:val="74877DC7"/>
    <w:rsid w:val="74DB35C2"/>
    <w:rsid w:val="75890D8F"/>
    <w:rsid w:val="75B043EA"/>
    <w:rsid w:val="76D90F68"/>
    <w:rsid w:val="77280C7C"/>
    <w:rsid w:val="77660E93"/>
    <w:rsid w:val="77C1540B"/>
    <w:rsid w:val="783E7320"/>
    <w:rsid w:val="785A40CE"/>
    <w:rsid w:val="78A91184"/>
    <w:rsid w:val="78CB19C0"/>
    <w:rsid w:val="78D63A96"/>
    <w:rsid w:val="78F35EFE"/>
    <w:rsid w:val="78FF5669"/>
    <w:rsid w:val="793275BA"/>
    <w:rsid w:val="79894B12"/>
    <w:rsid w:val="79A724F1"/>
    <w:rsid w:val="79C1605A"/>
    <w:rsid w:val="7A4B7878"/>
    <w:rsid w:val="7A6D100D"/>
    <w:rsid w:val="7C2F7BF3"/>
    <w:rsid w:val="7C5F16F8"/>
    <w:rsid w:val="7C6929D9"/>
    <w:rsid w:val="7C6D071B"/>
    <w:rsid w:val="7C9D3E10"/>
    <w:rsid w:val="7CAF2E48"/>
    <w:rsid w:val="7CB122FF"/>
    <w:rsid w:val="7DBA67DE"/>
    <w:rsid w:val="7DF53ACA"/>
    <w:rsid w:val="7DF7159A"/>
    <w:rsid w:val="7F0E4C61"/>
    <w:rsid w:val="7F7F4C0B"/>
    <w:rsid w:val="7F9B3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5">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next w:val="4"/>
    <w:link w:val="23"/>
    <w:qFormat/>
    <w:uiPriority w:val="0"/>
    <w:rPr>
      <w:rFonts w:ascii="楷体_GB2312" w:hAnsi="Arial" w:eastAsia="楷体_GB2312"/>
      <w:sz w:val="28"/>
      <w:szCs w:val="28"/>
    </w:rPr>
  </w:style>
  <w:style w:type="paragraph" w:customStyle="1" w:styleId="4">
    <w:name w:val="一级条标题"/>
    <w:basedOn w:val="5"/>
    <w:next w:val="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
    <w:name w:val="段"/>
    <w:basedOn w:val="1"/>
    <w:next w:val="1"/>
    <w:qFormat/>
    <w:uiPriority w:val="0"/>
    <w:pPr>
      <w:widowControl/>
      <w:autoSpaceDE w:val="0"/>
      <w:autoSpaceDN w:val="0"/>
      <w:ind w:firstLine="200" w:firstLineChars="200"/>
    </w:pPr>
    <w:rPr>
      <w:rFonts w:hint="eastAsia" w:ascii="宋体"/>
    </w:rPr>
  </w:style>
  <w:style w:type="paragraph" w:styleId="7">
    <w:name w:val="Body Text Indent"/>
    <w:basedOn w:val="1"/>
    <w:next w:val="8"/>
    <w:qFormat/>
    <w:uiPriority w:val="0"/>
    <w:pPr>
      <w:spacing w:after="120" w:afterLines="0"/>
      <w:ind w:leftChars="200"/>
    </w:pPr>
    <w:rPr>
      <w:rFonts w:ascii="宋体" w:hAnsi="宋体"/>
    </w:rPr>
  </w:style>
  <w:style w:type="paragraph" w:styleId="8">
    <w:name w:val="envelope return"/>
    <w:basedOn w:val="1"/>
    <w:qFormat/>
    <w:uiPriority w:val="0"/>
    <w:pPr>
      <w:snapToGrid w:val="0"/>
    </w:pPr>
    <w:rPr>
      <w:rFonts w:ascii="Arial" w:hAnsi="Arial"/>
    </w:rPr>
  </w:style>
  <w:style w:type="paragraph" w:styleId="9">
    <w:name w:val="footer"/>
    <w:basedOn w:val="1"/>
    <w:link w:val="17"/>
    <w:autoRedefine/>
    <w:qFormat/>
    <w:uiPriority w:val="0"/>
    <w:pPr>
      <w:tabs>
        <w:tab w:val="center" w:pos="4153"/>
        <w:tab w:val="right" w:pos="8306"/>
      </w:tabs>
      <w:snapToGrid w:val="0"/>
      <w:jc w:val="left"/>
    </w:pPr>
    <w:rPr>
      <w:sz w:val="18"/>
      <w:szCs w:val="18"/>
    </w:rPr>
  </w:style>
  <w:style w:type="paragraph" w:styleId="10">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Body Text First Indent"/>
    <w:basedOn w:val="3"/>
    <w:link w:val="22"/>
    <w:semiHidden/>
    <w:unhideWhenUsed/>
    <w:qFormat/>
    <w:uiPriority w:val="99"/>
    <w:pPr>
      <w:spacing w:after="120"/>
      <w:ind w:firstLine="420" w:firstLineChars="100"/>
    </w:pPr>
    <w:rPr>
      <w:rFonts w:ascii="Calibri" w:hAnsi="Calibri" w:eastAsia="宋体"/>
      <w:sz w:val="21"/>
      <w:szCs w:val="22"/>
    </w:rPr>
  </w:style>
  <w:style w:type="paragraph" w:styleId="13">
    <w:name w:val="Body Text First Indent 2"/>
    <w:basedOn w:val="7"/>
    <w:qFormat/>
    <w:uiPriority w:val="99"/>
    <w:pPr>
      <w:ind w:firstLine="420" w:firstLineChars="200"/>
    </w:pPr>
  </w:style>
  <w:style w:type="character" w:customStyle="1" w:styleId="16">
    <w:name w:val="页眉 Char"/>
    <w:basedOn w:val="15"/>
    <w:link w:val="10"/>
    <w:autoRedefine/>
    <w:qFormat/>
    <w:uiPriority w:val="0"/>
    <w:rPr>
      <w:rFonts w:asciiTheme="minorHAnsi" w:hAnsiTheme="minorHAnsi" w:eastAsiaTheme="minorEastAsia" w:cstheme="minorBidi"/>
      <w:kern w:val="2"/>
      <w:sz w:val="18"/>
      <w:szCs w:val="18"/>
    </w:rPr>
  </w:style>
  <w:style w:type="character" w:customStyle="1" w:styleId="17">
    <w:name w:val="页脚 Char"/>
    <w:basedOn w:val="15"/>
    <w:link w:val="9"/>
    <w:autoRedefine/>
    <w:qFormat/>
    <w:uiPriority w:val="0"/>
    <w:rPr>
      <w:rFonts w:asciiTheme="minorHAnsi" w:hAnsiTheme="minorHAnsi" w:eastAsiaTheme="minorEastAsia" w:cstheme="minorBidi"/>
      <w:kern w:val="2"/>
      <w:sz w:val="18"/>
      <w:szCs w:val="18"/>
    </w:rPr>
  </w:style>
  <w:style w:type="paragraph" w:styleId="18">
    <w:name w:val="List Paragraph"/>
    <w:basedOn w:val="1"/>
    <w:next w:val="1"/>
    <w:qFormat/>
    <w:uiPriority w:val="0"/>
    <w:pPr>
      <w:ind w:firstLine="420" w:firstLineChars="200"/>
    </w:pPr>
    <w:rPr>
      <w:rFonts w:ascii="Calibri" w:hAnsi="Calibri"/>
      <w:szCs w:val="22"/>
    </w:rPr>
  </w:style>
  <w:style w:type="paragraph" w:styleId="19">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列出段落11"/>
    <w:basedOn w:val="1"/>
    <w:qFormat/>
    <w:uiPriority w:val="0"/>
    <w:pPr>
      <w:ind w:firstLine="420"/>
    </w:pPr>
    <w:rPr>
      <w:rFonts w:ascii="Calibri" w:hAnsi="Calibri"/>
    </w:rPr>
  </w:style>
  <w:style w:type="character" w:customStyle="1" w:styleId="21">
    <w:name w:val="NormalCharacter"/>
    <w:semiHidden/>
    <w:qFormat/>
    <w:uiPriority w:val="0"/>
    <w:rPr>
      <w:kern w:val="2"/>
      <w:sz w:val="21"/>
      <w:szCs w:val="24"/>
      <w:lang w:val="en-US" w:eastAsia="zh-CN" w:bidi="ar-SA"/>
    </w:rPr>
  </w:style>
  <w:style w:type="character" w:customStyle="1" w:styleId="22">
    <w:name w:val="正文首行缩进 Char"/>
    <w:link w:val="12"/>
    <w:qFormat/>
    <w:uiPriority w:val="99"/>
    <w:rPr>
      <w:rFonts w:ascii="Calibri" w:hAnsi="Calibri" w:eastAsia="宋体"/>
      <w:sz w:val="21"/>
      <w:szCs w:val="22"/>
    </w:rPr>
  </w:style>
  <w:style w:type="character" w:customStyle="1" w:styleId="23">
    <w:name w:val="正文文本 Char"/>
    <w:link w:val="3"/>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42</Pages>
  <Words>18658</Words>
  <Characters>19961</Characters>
  <Lines>167</Lines>
  <Paragraphs>47</Paragraphs>
  <TotalTime>16</TotalTime>
  <ScaleCrop>false</ScaleCrop>
  <LinksUpToDate>false</LinksUpToDate>
  <CharactersWithSpaces>21814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张淼</cp:lastModifiedBy>
  <cp:lastPrinted>2024-09-09T03:06:00Z</cp:lastPrinted>
  <dcterms:modified xsi:type="dcterms:W3CDTF">2024-09-11T02:13:27Z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92F2AB4D564145F2872DC87DF9BEAEAE_13</vt:lpwstr>
  </property>
</Properties>
</file>