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 w:cs="宋体"/>
          <w:b/>
          <w:color w:val="auto"/>
        </w:rPr>
      </w:pPr>
    </w:p>
    <w:p>
      <w:pPr>
        <w:spacing w:line="360" w:lineRule="auto"/>
        <w:jc w:val="center"/>
        <w:rPr>
          <w:rFonts w:ascii="Times New Roman" w:hAnsi="Times New Roman" w:cs="宋体"/>
          <w:b/>
          <w:color w:val="auto"/>
          <w:sz w:val="24"/>
        </w:rPr>
      </w:pPr>
      <w:r>
        <w:rPr>
          <w:rFonts w:hint="eastAsia" w:ascii="Times New Roman" w:hAnsi="Times New Roman" w:cs="宋体"/>
          <w:b/>
          <w:color w:val="auto"/>
          <w:sz w:val="24"/>
        </w:rPr>
        <w:t>一、采购需求（含考核办法）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一、项目基本概况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（一） 盐城市行政中心办公区域占地约102228㎡，包括办公大楼、地下人防、外围道路、广场、绿化及景观河等，办公大楼总建筑面积96063.91㎡，其中地上75766.39㎡，地下车库20297.52 ㎡，绿化面积54829㎡，景观河水面面积11794㎡。办公大楼地上25层，地下1层，裙楼5层。楼内共有办公室657间（折算标准间为967间）、各类会议室47个、各类机房、设备间130多间。地下室在战时为六级人防工程，设有空调机房、水泵房和UPS机房等设备用房，平时可停汽车440多辆。目前有60多个机关事业和服务单位2500多人在楼内办公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（二）盐城市人民来访接待中心占地约6715㎡，包括办公楼、外围道路、广场、绿化等项目，办公大楼2005年建成并投入使用，建筑总面积3497.27 ㎡，办公大楼地上4层，大楼内共有办公室16间、各类会议室3个、各类机房、设备间50多间。目前有1个机关和服务单位约70人在楼内办公。</w:t>
      </w:r>
    </w:p>
    <w:p>
      <w:pPr>
        <w:spacing w:line="360" w:lineRule="auto"/>
        <w:ind w:firstLine="420" w:firstLineChars="20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组织现场统一勘查。请对项目现场和周围环境进行仔细认真的查勘，在随后的采购中，对现场资料和数据所作出的推论、解释和结论及由此造成的后果由供应商负责。没有勘察现场及答疑导致对招标需求了解不充分的投标人，自行承担相应责任。不参加现场勘察的视同对现场的一切情况均已掌握，招标人不对投标人据此作出的判断和决策负责。</w:t>
      </w:r>
    </w:p>
    <w:p>
      <w:pPr>
        <w:spacing w:line="360" w:lineRule="auto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现场统一勘查时间：2024年5月</w:t>
      </w:r>
      <w:r>
        <w:rPr>
          <w:rFonts w:hint="eastAsia" w:ascii="Times New Roman" w:hAnsi="Times New Roman"/>
          <w:color w:val="auto"/>
          <w:lang w:val="en-US" w:eastAsia="zh-CN"/>
        </w:rPr>
        <w:t>24</w:t>
      </w:r>
      <w:r>
        <w:rPr>
          <w:rFonts w:hint="eastAsia" w:ascii="Times New Roman" w:hAnsi="Times New Roman"/>
          <w:color w:val="auto"/>
        </w:rPr>
        <w:t>日 上午9点30分</w:t>
      </w:r>
    </w:p>
    <w:p>
      <w:pPr>
        <w:spacing w:line="360" w:lineRule="auto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联系人：王庆；联系电话：0515-86662416；</w:t>
      </w:r>
    </w:p>
    <w:p>
      <w:pPr>
        <w:spacing w:line="360" w:lineRule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地点：</w:t>
      </w:r>
      <w:r>
        <w:rPr>
          <w:rFonts w:hint="eastAsia" w:ascii="Times New Roman" w:hAnsi="Times New Roman" w:cs="宋体"/>
          <w:color w:val="auto"/>
          <w:szCs w:val="21"/>
        </w:rPr>
        <w:t>盐城市世纪大道21号</w:t>
      </w:r>
    </w:p>
    <w:p>
      <w:pPr>
        <w:spacing w:line="360" w:lineRule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现场勘查时请提供潜在投标人授权委托书并签到登记。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二、招标内容及要求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2.1 招标内容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1．市行政中心办公大楼（含市信访接待中心）公共部位的绿植租摆服务；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2．市行政中心北大门花坛的绿植布置；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3．行政中心一楼大厅平台北侧花箱养护及租摆。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2.2 项目要求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总体要求：1、中标通知书发出后20日内，完成进场服务的所有准备工作，具体进场服务时间以甲方通知为准。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2、符合国家合格标准和甲方需求。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3、按照“四季有变、节点有变、空间有变”总原则，在实际配置中，既要考虑植物本身在室内装饰中的效果，还必须与其他诸多因素取得整体和谐，使办公环境形成一个有机的整体，给人有端庄大气、清新明朗的感受。</w:t>
      </w:r>
    </w:p>
    <w:p>
      <w:pPr>
        <w:ind w:firstLine="420"/>
        <w:rPr>
          <w:rFonts w:ascii="Times New Roman" w:hAnsi="Times New Roman" w:cs="宋体"/>
          <w:bCs/>
          <w:color w:val="auto"/>
          <w:kern w:val="0"/>
          <w:szCs w:val="21"/>
        </w:rPr>
      </w:pPr>
      <w:r>
        <w:rPr>
          <w:rFonts w:hint="eastAsia" w:ascii="Times New Roman" w:hAnsi="Times New Roman" w:cs="宋体"/>
          <w:bCs/>
          <w:color w:val="auto"/>
          <w:kern w:val="0"/>
          <w:szCs w:val="21"/>
        </w:rPr>
        <w:t>2.3租摆需求</w:t>
      </w:r>
    </w:p>
    <w:p>
      <w:pPr>
        <w:ind w:firstLine="420"/>
        <w:rPr>
          <w:rFonts w:hint="eastAsia" w:ascii="Times New Roman" w:hAnsi="Times New Roman" w:cs="宋体"/>
          <w:color w:val="auto"/>
          <w:sz w:val="44"/>
          <w:szCs w:val="44"/>
        </w:rPr>
      </w:pPr>
      <w:r>
        <w:rPr>
          <w:rFonts w:hint="eastAsia" w:ascii="Times New Roman" w:hAnsi="Times New Roman" w:cs="宋体"/>
          <w:color w:val="auto"/>
          <w:szCs w:val="21"/>
        </w:rPr>
        <w:t>详见示例方案，供应商提供的租摆方案标准应不低于示例方案或现状。</w:t>
      </w:r>
    </w:p>
    <w:p>
      <w:pPr>
        <w:snapToGrid w:val="0"/>
        <w:spacing w:line="320" w:lineRule="exact"/>
        <w:jc w:val="center"/>
        <w:rPr>
          <w:rFonts w:ascii="Times New Roman" w:hAnsi="Times New Roman" w:cs="宋体"/>
          <w:b/>
          <w:bCs/>
          <w:color w:val="auto"/>
          <w:szCs w:val="21"/>
        </w:rPr>
      </w:pPr>
      <w:r>
        <w:rPr>
          <w:rFonts w:hint="eastAsia" w:ascii="Times New Roman" w:hAnsi="Times New Roman" w:cs="宋体"/>
          <w:b/>
          <w:bCs/>
          <w:color w:val="auto"/>
          <w:szCs w:val="21"/>
        </w:rPr>
        <w:t>北门花坛、北侧花箱</w:t>
      </w:r>
    </w:p>
    <w:tbl>
      <w:tblPr>
        <w:tblStyle w:val="6"/>
        <w:tblW w:w="9048" w:type="dxa"/>
        <w:tblInd w:w="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130"/>
        <w:gridCol w:w="1261"/>
        <w:gridCol w:w="30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8441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品种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矾根、姬小菊、玛格丽特、角堇、牵牛（多色）、孔雀草（多色）、百日红（多色）等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高0.2-0.3m，蓬径0.2-0.3m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茶梅球、三角梅、冬青球、米兰、绣球等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报春花、三色堇、杜鹃、牵牛（多色）、孔雀草（多色）、百日红（多色）等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高0.15-0.35m，蓬径0.2-0.3m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茶梅球、三角梅、冬青球、米兰、绣球等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玉簪、舞春花、角堇、牵牛（多色）、孔雀草（多色）、百日红（多色）等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高0.2-0.45m，蓬径0.2-0.3m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茶梅球、三角梅、冬青球、米兰、绣球等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品种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满天星、五色梅、长春花、太阳花、孔雀草、百日红等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高0.2-0.3m，蓬径0.2-0.3m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茶梅球、三角梅、冬青球、米兰、苏铁等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彩叶草、夏堇、矾根、长春花、太阳花、孔雀草、百日红等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高0.15-0.35m，蓬径0.2-0.3m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茶梅球、三角梅、冬青球、米兰、苏铁等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迷迭香、超级凤仙、月季、长春花、太阳花、孔雀草、百日红等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高0.2-0.45m，蓬径0.2-0.3m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茶梅球、三角梅、冬青球、米兰、苏铁等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品种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一串红、彩叶草、一品红、国庆菊、长春花、鸡冠花、百日红、太阳花等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高0.2-0.3m，蓬径0.2-0.3m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茶梅球、三角梅、冬青球、苏铁、四季桂等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牵牛花、鸡冠花、国庆菊、长春花、百日红、太阳花等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高0.15-0.35m，蓬径0.2-0.3m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茶梅球、三角梅、冬青球、苏铁、四季桂等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孔雀草、矮牵牛、四季海棠、国庆菊、长春花、鸡冠花、百日红、太阳花等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高0.2-0.45m，蓬径0.2-0.3m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茶梅球、三角梅、冬青球、苏铁、四季桂等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品种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角堇、羽衣甘蓝、矾根、火焰红天竹等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高0.2-0.3m，蓬径0.2-0.3m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茶梅球、冬青球等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甘蓝、角堇、麦冬、紫罗兰、矾根、火焰红天竹等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高0.15-0.35m，蓬径0.2-0.3m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茶梅球、冬青球等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4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甘蓝、佛甲草、角堇、南天竹、矾根、火焰红天竹等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600以上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高0.2-0.45m，蓬径0.2-0.3m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茶梅球、冬青球等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高0.6-0.8m，蓬径0.6-0.8m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048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：根据甲方要求提供品相良好的相应品种，14个大球每年更换不多于3次，其他每月全部更换。盆植数量为现场摆放的数量，需铺满（18-20平方米），乙方需根据甲方要求或现场实际进行及时更换长势欠佳植物，确保摆放效果。</w:t>
            </w:r>
          </w:p>
        </w:tc>
      </w:tr>
    </w:tbl>
    <w:p>
      <w:pPr>
        <w:widowControl/>
        <w:spacing w:line="480" w:lineRule="exact"/>
        <w:jc w:val="left"/>
        <w:rPr>
          <w:rFonts w:ascii="Times New Roman" w:hAnsi="Times New Roman" w:cs="宋体"/>
          <w:color w:val="auto"/>
          <w:szCs w:val="21"/>
        </w:rPr>
      </w:pPr>
      <w:r>
        <w:rPr>
          <w:rFonts w:hint="eastAsia" w:ascii="Times New Roman" w:hAnsi="Times New Roman" w:cs="宋体"/>
          <w:color w:val="auto"/>
          <w:szCs w:val="21"/>
        </w:rPr>
        <w:t>北侧花箱做好养护工作，球形植物蓬径为70cm 高度70cm，色块植物高度为50cm地被植物高度为5cm。如发现植物长势欠佳需及时补植。</w:t>
      </w:r>
    </w:p>
    <w:p>
      <w:pPr>
        <w:snapToGrid w:val="0"/>
        <w:spacing w:line="320" w:lineRule="exact"/>
        <w:jc w:val="center"/>
        <w:rPr>
          <w:rFonts w:ascii="Times New Roman" w:hAnsi="Times New Roman" w:cs="宋体"/>
          <w:color w:val="auto"/>
          <w:szCs w:val="21"/>
        </w:rPr>
      </w:pPr>
      <w:r>
        <w:rPr>
          <w:rFonts w:ascii="Times New Roman" w:hAnsi="Times New Roman" w:cs="宋体"/>
          <w:color w:val="auto"/>
          <w:szCs w:val="21"/>
        </w:rPr>
        <w:br w:type="page"/>
      </w:r>
      <w:r>
        <w:rPr>
          <w:rFonts w:hint="eastAsia" w:ascii="Times New Roman" w:hAnsi="Times New Roman" w:cs="宋体"/>
          <w:b/>
          <w:bCs/>
          <w:color w:val="auto"/>
          <w:szCs w:val="21"/>
        </w:rPr>
        <w:t>市行政中心内部</w:t>
      </w:r>
    </w:p>
    <w:tbl>
      <w:tblPr>
        <w:tblStyle w:val="6"/>
        <w:tblW w:w="948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6"/>
        <w:gridCol w:w="746"/>
        <w:gridCol w:w="756"/>
        <w:gridCol w:w="1250"/>
        <w:gridCol w:w="998"/>
        <w:gridCol w:w="1784"/>
        <w:gridCol w:w="25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序列</w:t>
            </w:r>
          </w:p>
        </w:tc>
        <w:tc>
          <w:tcPr>
            <w:tcW w:w="73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摆放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区域</w:t>
            </w:r>
          </w:p>
        </w:tc>
        <w:tc>
          <w:tcPr>
            <w:tcW w:w="74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具体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位置</w:t>
            </w:r>
          </w:p>
        </w:tc>
        <w:tc>
          <w:tcPr>
            <w:tcW w:w="75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季节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品种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  格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花盆规格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1楼</w:t>
            </w:r>
          </w:p>
        </w:tc>
        <w:tc>
          <w:tcPr>
            <w:tcW w:w="74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大厅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金山棕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高1.8m以上，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蓬径0.8-1.2m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风顺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96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高0.3m以下，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澳洲杉（老桩）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蓬径0.6m左右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瓷盆，盆高为盆栽植物全长40%左右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苏铁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蓬径0.5-0.7m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瓷盆，盆高为盆栽植物全长40%左右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龟背竹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高0.8m-1m，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美人铁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55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高0.4m以上，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高0.4m左右，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吊绿萝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高0.3m以下，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柳叶榕(老桩）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高2.2m-2.6m，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蓬径1m-1.3m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铁质花箱、宜兴龙盆，盆高为盆栽植物全长30%左右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万年青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96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高0.3m以下，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多头苏铁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高度1.5m-1.7m，蓬径1.4m-1.6m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铁质花箱、宜兴紫砂盆，盆高为盆栽植物全长30%左右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澳洲杉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蓬径0.5-0.7m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高度0.8m-1m，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金心也门铁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55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高度0.6m-0.8m，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蓬径0.15m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高度2m-2.5m，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蓬径1.3m-1.5m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铁质花箱、宜兴紫砂盆，盆高为盆栽植物全长30%左右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鸭掌木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96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高0.3m以下，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正宗鹤望兰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高度1.6m-2m，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蓬径1.3m-1.5m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铁质花箱、正宗均釉盆，盆高为盆栽植物全长30%左右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老桩南洋杉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蓬径0.5-0.7m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瓷盆，盆高为盆栽植物全长40%左右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3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1楼</w:t>
            </w:r>
          </w:p>
        </w:tc>
        <w:tc>
          <w:tcPr>
            <w:tcW w:w="7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大厅</w:t>
            </w:r>
          </w:p>
        </w:tc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袖珍椰子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高度0.7m-0.8m，蓬径0.3m左右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55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高度0.3m-0.4m，蓬径0.25m左右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凤梨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高度0.6m-0.7m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高度0.2m，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蓬径0.15m-0.2m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蓬径1.3m-1.5m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铁质花箱、宜兴龙盆，盆高为盆栽植物全长30%左右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红天竹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96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蓬径0.15m-0.2m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原生多头苏铁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高度1.5m-1.8m，蓬径1.4m-1.6m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铁质花箱、宜兴紫砂盆，盆高为盆栽植物全长30%左右。（大金桔）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澳洲杉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蓬径0.5-0.7m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瓷盆，盆高为盆栽植物全长40%左右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高度0.8m-1m，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蓬径0.3m-0.4m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袖珍椰子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55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杜鹃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  <w:p>
            <w:pPr>
              <w:pStyle w:val="2"/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单月约为33棵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蓬径0.2m-0.3m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火焰红天竹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  <w:p>
            <w:pPr>
              <w:pStyle w:val="2"/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单月约为33棵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蓬径0.15m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1楼办公室</w:t>
            </w:r>
          </w:p>
        </w:tc>
        <w:tc>
          <w:tcPr>
            <w:tcW w:w="74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118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美人铁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高度0.3m以上，蓬径0.2m左右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兰花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高度0.3m以上，蓬径0.3m左右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小步步高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高度0.25m以上，蓬径0.25m左右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小步步高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高度0.25m以上，蓬径0.25m左右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1楼办公室</w:t>
            </w:r>
          </w:p>
        </w:tc>
        <w:tc>
          <w:tcPr>
            <w:tcW w:w="74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109</w:t>
            </w:r>
          </w:p>
        </w:tc>
        <w:tc>
          <w:tcPr>
            <w:tcW w:w="75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美人铁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122</w:t>
            </w:r>
          </w:p>
        </w:tc>
        <w:tc>
          <w:tcPr>
            <w:tcW w:w="75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美人铁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110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高度1.5m以上，蓬径0.4m左右</w:t>
            </w:r>
          </w:p>
        </w:tc>
        <w:tc>
          <w:tcPr>
            <w:tcW w:w="250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虎皮兰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高度0.8m以上，蓬径0.3m左右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110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多头龙须木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高度1.6m以上，蓬径0.6m左右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虎皮兰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高度0.8m以上，蓬径0.3m左右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高度0.8m-1m，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虎皮兰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小步步高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1楼</w:t>
            </w:r>
          </w:p>
        </w:tc>
        <w:tc>
          <w:tcPr>
            <w:tcW w:w="74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监控室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高度1.5m以上，蓬径0.4m左右</w:t>
            </w:r>
          </w:p>
        </w:tc>
        <w:tc>
          <w:tcPr>
            <w:tcW w:w="250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虎皮兰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高度0.8m以上，蓬径0.3m左右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虎皮兰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高度0.8m以上，蓬径0.3m左右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高度1.5m以上，蓬径0.4m左右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虎皮兰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高度0.8m以上，蓬径0.3m左右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监控室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高度1.7m以上，蓬径0.5m左右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虎皮兰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高度0.8m以上，蓬径0.3m左右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蓬径0.5m左右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食堂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3组合红掌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高度1.6m以上，蓬径0.7m左右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景德镇套缸，盆高为绿植高度30%左右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3组合红掌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景德镇套缸，盆高为绿植高度30%左右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3组合凤梨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多层绿宝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高度1.6m以上，蓬径0.6m左右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3组合杜鹃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高度0.8m以上，蓬径0.5m左右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西门厅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高度0.5m以上，蓬径0.3m左右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高度1.6m以上，蓬径0.7m左右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1楼</w:t>
            </w:r>
          </w:p>
        </w:tc>
        <w:tc>
          <w:tcPr>
            <w:tcW w:w="74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西门厅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高度0.4m左右，蓬径0.25m左右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多头龙须木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高度0.5m以上，蓬径0.3m左右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蓬径0.8m左右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高度1.6m以上，蓬径1.2m左右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高度0.6m以上，蓬径0.3m左右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东门厅</w:t>
            </w: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高度0.5m以上，蓬径0.3m左右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高度1.6m以上，蓬径0.7m左右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小绿萝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高度0.4m左右，蓬径0.25m左右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多头龙须木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高度0.5m以上，蓬径0.3m左右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蓬径0.8m左右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高度1.6m以上，蓬径1.2m左右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大叶兰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高度0.6m以上，蓬径0.5m以上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大厅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一帆风顺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b/>
                <w:i/>
                <w:color w:val="auto"/>
                <w:kern w:val="0"/>
                <w:sz w:val="21"/>
                <w:szCs w:val="21"/>
              </w:rPr>
              <w:t>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3m，蓬径1m以上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散尾葵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高度2.5m-2.8m，蓬径1.3m左右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红掌组合（每组8-10盆）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组合后总高度1.2m以下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袖珍椰子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高度0.6m-0.7m，蓬径0.3m左右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单月27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吊绿萝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柳叶榕（老桩）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高2.4m-2.6m，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蓬径1.2m-1.5m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铁质花箱，宜兴龙盆，盆高为盆栽植物全长30%左右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高度2.8m-3m，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蓬径1m-1.3m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宜兴黑釉盆，盆高为盆栽植物全长30%左右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红掌组合（每组8-10盆）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组合后总高度1.2m以下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高度0.6m-0.8m，蓬径0.3m左右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工艺瓷盆，盆高为盆栽植物全长30%左右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吊绿萝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高度0.3m以下，蓬径0.3m以下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高度2m-2.5m，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蓬径1.3m-1.5m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铁质花箱，宜兴砂盆，盆高为盆栽植物全长30%左右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大厅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高度2.2m-2.5m，蓬径1.3m以上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广东陶瓷，盆高为盆栽植物全长30%左右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凤梨组合（每组8-10盆）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组合后总高度1.2m以下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高度0.6m-0.7m，蓬径0.35m左右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凤梨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高度0.6m-0.7m，蓬径0.3m左右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i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长春藤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高度0.3m以下，蓬径0.3m以下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火焰红天竹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高度0.3m-0.4m，蓬径0.25m-0.3m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高1.8m-2m</w:t>
            </w:r>
          </w:p>
        </w:tc>
        <w:tc>
          <w:tcPr>
            <w:tcW w:w="2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1"/>
                <w:szCs w:val="21"/>
              </w:rPr>
              <w:t>铁质花箱，宜兴龙盆，盆高为盆栽植物全长30%左右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73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高1.8m-2m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杜鹃组合（每组8-10盆）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组合后总高度1.2m以下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大叶兰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高度0.6m-0.7m，蓬径0.3m-0.4m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高度0.25m-0.35m，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竹柏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南通道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大叶鸭掌木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正宗鹤望兰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会见厅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兰花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君子兰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竹柏组合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高度0.25m-0.35m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2楼东南北花坛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多头龙须木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高度1.8m左右，蓬径0.8m-1m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高度0.3m左右，蓬径0.2m左右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高度0.3m左右，蓬径0.2m左右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吊绿萝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蓬径0.8m-1m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景德镇套缸、盆高为盆栽植物全长30%左右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高度0.3m左右，蓬径0.2m左右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高度0.3m左右，蓬径0.2m左右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高度0.2m左右，蓬径0.15m左右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高度2m-2.3m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宜兴龙盆、盆高为盆栽植物全长30%左右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凤梨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高度0.6m-0.7m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高度0.25m-0.35m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高度1.8m-2m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宜兴龙盆、盆盆高为盆栽植物全长30%左右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杜鹃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高度0.25m-0.3m，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高度0.25m-0.3m，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2楼东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壁画下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景德镇套缸、盆高为绿植高度30%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一帆风顺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凤梨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高度1.7m-1.8m，蓬径0.5m-0.6m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高度1.7m-1.8m，蓬径0.8m-1m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2楼东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壁画下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高度1.7m-1.8m，蓬径0.8m-1m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凤梨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高度0.5m-0.6m，蓬径0.3m以上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叶兰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澳洲杉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高度1.6m-1.8m，蓬径0.4m-0.6m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高度1.7m-2m，蓬径0.4m-0.6m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一帆风顺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吊绿萝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高度1.7m-2m，蓬径0.8m-1m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高度1.7m-1.8m，蓬径0.6m左右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吊绿萝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巴西美人铁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金山棕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高度1.7m-2m，蓬径0.8m-1m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多头幸福树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高度1.7m-2m，蓬径1m-1.2m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鸭掌木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直杆铁树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高度1.7m-1.8m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高度1.6m-1.8m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2楼东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杜鹃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高度0.25m-0.3m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鸿运果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楼梯两侧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高度1.6m-1.8m，蓬径0.6m-0.8m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高度1.7m-1.8m，蓬径0.5m-0.7m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正宗鹤望兰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高度1.7m-1.8m，蓬径1.2m-1.5m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正宗均釉盆，盆高为盆栽植物全长30%左右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高度1.6m-1.8m，蓬径0.8m-1.2m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宜兴黑釉盆或龙盆，盆高为盆栽植物全长30%左右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东玻璃门两侧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高度1.6m-1.8m，蓬径0.6m-0.8m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高度1.7m-1.8m，蓬径0.5m-0.7m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正宗鹤望兰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高度1.6m-1.8m，蓬径1.2m-1.5m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正宗均釉盆，盆高为盆栽植物全长30%左右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高度1.7m-1.8m，蓬径1.2m-1.5m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二楼西休息区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壁画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下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高度1.6m-1.7m，蓬径0.6m-0.8m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一帆风顺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蓬径0.4m-0.6m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蓬径0.7m-1m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直杆铁树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蓬径1.2m-1.5m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高度0.4m-0.6m，蓬径0.3m左右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高度1.6m-2m，蓬径0.6m-0.8m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一帆风顺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二楼西休息区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壁画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下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多杆幸福树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巴西美人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高度1.6m-1.8m，蓬径0.8m-1.2m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宜兴黑釉盆或龙盆，盆高为盆栽植物全长30%左右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鸭掌木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高度0.3m-0.4m，蓬径0.2m-0.3m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鸿运果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高度0.3m-0.4m，蓬径0.3m左右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楼梯两侧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高度1.7m-2m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西玻璃门两侧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米兰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高度1m-1.2m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非洲茉莉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高度1m-1.2m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高度1m-1.2m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高度1m-1.2m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东北休息区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高度1.6m以上，蓬径0.7m以上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宜兴黑釉盆，盆高为盆栽植物全长30%左右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高度1.6m以上，蓬径0.7m以上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东南休息区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高度1.6m以上，蓬径0.4m以上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景德镇套缸，盆高为盆栽植物全长30%左右（或者三个组合）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高度1.6m以上，蓬径0.7m以上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高度1.6m以上，蓬径1m以上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西北休息区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高度1.6m以上，蓬径1.2m以上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西南休息区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西南休息区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西南休息区</w:t>
            </w:r>
          </w:p>
        </w:tc>
        <w:tc>
          <w:tcPr>
            <w:tcW w:w="756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高度1.7m以上，蓬径1.2m以上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楼层休息区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8楼休息区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12组合彩叶绿植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长方形花器，盆高为盆栽植物全长30%左右，三组组合、长方形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12组合彩叶绿植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12组合彩叶绿植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多层绿宝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12组合杜鹃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10楼休息区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高度1.8m以上，蓬径0.6m左右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10组合红掌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10组合凤梨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高度1.8m以上，蓬径0.6m左右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10组合红掌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10楼休息区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多层绿宝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10组合杜鹃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只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楼层休息区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14楼   休息区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12组合彩叶绿植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12组合竹柏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16楼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工艺盆、盆高为盆栽植物全长30%左右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12组合彩叶绿植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高度1.8m以上，蓬径0.5m以上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12组合螺纹铁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楼层休息区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16楼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多层绿宝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12组合红天竹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高度1.2m以下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中庭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10楼中庭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多杆幸福树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高度1.8m以上，蓬径1.2m左右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大叶伞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高度2.2m以上，蓬径1m以上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吊绿萝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美人铁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散尾葵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高度2.5m以上，蓬径1.3m以上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小螺纹铁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高度2.5m左右，蓬径0.8m左右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凤梨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高度0.6m-0.7m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高度2.5m左右，蓬径1.2m左右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大叶伞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高度2.2m左右，蓬径0.8m以上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竹柏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凤梨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高度0.6m-0.7m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花槽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中庭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18楼中庭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吊绿萝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彩叶绿植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高度2m以上，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蓬径1m左右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25楼观光区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25楼北观光区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高度1.6m以上，蓬径0.7m左右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彩叶绿植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彩叶绿植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高度2.2m以上，蓬径1m以上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彩叶绿植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直杆铁树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高度2m左右，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蓬径0.8m以上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红天竹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高度0.3m以下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25楼南观光区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高度1.6m以上，蓬径0.7m左右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高度2.2m以上，蓬径1m以上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直杆铁树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高度1.7m以上，蓬径0.6m以上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信访接待中心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南大厅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巴西木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高度1m以上，蓬径0.4m左右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多头龙须木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信访接待中心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南大厅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高度1.6m以上，蓬径0.6m左右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北大厅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高度1.6m以上，蓬径0.6m左右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直杆苏铁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高度1.5m以上，蓬径1m左右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宜兴龙盆，盆高为盆栽植物全长30%左右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高度1m以上，蓬径0.4m左右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会议室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高度1.7m以上，蓬径0.6m左右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景德镇套缸，盆高为绿植高度30%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会议室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高度1.7m以上，蓬径0.6m左右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高度1.7m以上，蓬径0.6m左右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接待室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君子兰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高度1.7m以上，蓬径0.8m左右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兰花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工艺盆，盆高为绿植高度30%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鸿运果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高度1.6m以上，蓬径0.5m左右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8"/>
                <w:kern w:val="0"/>
                <w:sz w:val="21"/>
                <w:szCs w:val="21"/>
              </w:rPr>
              <w:t>景德镇套缸，盆高为盆栽植物全长30%左右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澳洲杉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高度0.4m左右，蓬径0.3m左右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其他区域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四季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兰花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高0.4-0.6m，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蓬径0.2-0.3m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高0.4-0.6m，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蓬径0.2-0.3m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金鱼吊兰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高0.4-0.6m，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蓬径0.2-0.3m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高1.5-2m，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蓬径0.4-0.6m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幸福树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高1.5-2m，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蓬径0.4-0.6m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君子兰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高0.4-0.6m，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蓬径0.2-0.3m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美人铁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高0.4-0.6m，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蓬径0.2-0.3m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1234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吊绿萝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瓷盆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瑞香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高度0.3m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南侧背景墙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春夏两季选用品种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南洋杉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160-180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工艺盆，高度为绿植高度的30%左右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龙须木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150-180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螺纹铁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130-160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也门铁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100左右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大叶伞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170-200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25楼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南侧背景墙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春夏两季选用品种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鹤望兰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H160-170 P120以上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30-40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吊绿萝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30以上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红掌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30-40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假草坪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一批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黄沙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秋冬两季选用品种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荷兰铁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180以上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工艺盆 ，高度为绿植高度的30%左右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苏铁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100左右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南洋杉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160-180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松红梅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100左右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龟背竹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30-50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红运果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30-50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广东万年青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30-40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杜鹃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30-40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假草坪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一批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网红澳洲杉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160以上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/>
          <w:color w:val="auto"/>
        </w:rPr>
      </w:pPr>
    </w:p>
    <w:p>
      <w:pPr>
        <w:spacing w:line="20" w:lineRule="exact"/>
        <w:ind w:firstLine="420" w:firstLineChars="200"/>
        <w:rPr>
          <w:rFonts w:ascii="Times New Roman" w:hAnsi="Times New Roman" w:cs="宋体"/>
          <w:color w:val="auto"/>
          <w:szCs w:val="21"/>
        </w:rPr>
      </w:pPr>
    </w:p>
    <w:p>
      <w:pPr>
        <w:spacing w:line="400" w:lineRule="exact"/>
        <w:jc w:val="center"/>
        <w:rPr>
          <w:rFonts w:ascii="Times New Roman" w:hAnsi="Times New Roman" w:eastAsia="方正黑体_GBK" w:cs="宋体"/>
          <w:color w:val="auto"/>
          <w:kern w:val="0"/>
          <w:sz w:val="24"/>
        </w:rPr>
      </w:pPr>
      <w:r>
        <w:rPr>
          <w:rFonts w:ascii="Times New Roman" w:hAnsi="Times New Roman" w:cs="宋体"/>
          <w:color w:val="auto"/>
          <w:szCs w:val="21"/>
        </w:rPr>
        <w:br w:type="page"/>
      </w:r>
      <w:r>
        <w:rPr>
          <w:rFonts w:hint="eastAsia" w:ascii="Times New Roman" w:hAnsi="Times New Roman" w:eastAsia="方正黑体_GBK" w:cs="宋体"/>
          <w:color w:val="auto"/>
          <w:kern w:val="0"/>
          <w:sz w:val="24"/>
        </w:rPr>
        <w:t>电梯及走道摆放示例</w:t>
      </w:r>
    </w:p>
    <w:tbl>
      <w:tblPr>
        <w:tblStyle w:val="6"/>
        <w:tblW w:w="91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14"/>
        <w:gridCol w:w="882"/>
        <w:gridCol w:w="706"/>
        <w:gridCol w:w="1272"/>
        <w:gridCol w:w="640"/>
        <w:gridCol w:w="3108"/>
        <w:gridCol w:w="10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序列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摆放区域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具体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位置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季节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品种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  格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高1.5-1.7m，蓬径0.5m以上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高1.5-1.7m，蓬径0.5m以上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高1.5-1.7m，蓬径0.5m以上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鸭脚木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高1.5-1.7m，蓬径0.5m以上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高度1.7m以上，蓬径0.5m以上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大叶棕竹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鸭掌木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富贵椰子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三头龙须木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高1.6m以上，蓬径0.5m以上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41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椰子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49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高1.5m以上，蓬径0.5m以上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椰子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高1.5-1.6m，蓬径0.35-0.6m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57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高1.7m以上，蓬径0.6m左右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高1.6m以上，蓬径0.8m左右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高1.6m以上，蓬径0.8m左右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61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椰子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平安树 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69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高1.5-1.6m，蓬径0.35-0.6m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鸭掌木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高1.5-1.6m，蓬径0.35-0.5m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77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高1.6m以上，蓬径0.8m左右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高1.6m以上，蓬径0.8m左右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多层绿宝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85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椰子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鸭掌木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93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高1.5m以上，蓬径0.7m左右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步步高步步高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高1.7m以上，蓬径0.6m左右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高1.5m以上，蓬径0.7m左右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多层绿宝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高1.7m以上，蓬径0.7m左右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97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105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椰子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橡皮树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113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步步高龙须木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柳叶榕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121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129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棕竹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平安树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137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富贵椰子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145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橡皮树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多层绿宝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151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高1.5m以上，蓬径0.5m左右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三头龙须木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高1.5m以上，蓬径0.6m左右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153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高1.5m，蓬径0.35-0.6m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大绿萝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高1.5m，蓬径0.30-0.5m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高1.5m，蓬径0.35-0.6m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高1.6m，蓬径0.35-0.6m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走道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w w:val="98"/>
                <w:kern w:val="0"/>
                <w:sz w:val="21"/>
                <w:szCs w:val="21"/>
              </w:rPr>
              <w:t>步步高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高1.6m，蓬径0.3m-0.5m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造型龙须木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高1.6m，蓬径0.3m-0.5m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159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多层绿宝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高1.6m，蓬径0.3m-0.5m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160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大叶鹅掌木</w:t>
            </w: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高1.5m，蓬径0.3m-0.5m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161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25楼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东西电梯口</w:t>
            </w:r>
          </w:p>
        </w:tc>
        <w:tc>
          <w:tcPr>
            <w:tcW w:w="7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黄金榕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高1.5m，蓬径0.35-0.6m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工艺盆，盆高为盆栽植物全长30%左右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162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万年青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高不超过0.3m，蓬径0.2-0.3m 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163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绿萝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高1.5m，蓬径0.35-0.6m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164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彩叶芋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高不超过0.3m，蓬径0.2-0.3m 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165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螺纹铁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高1.5m，蓬径0.35-0.6m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166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组合瑞香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高不超过0.3m，蓬径0.2-0.3m 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167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冬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绿宝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高1.5m，蓬径0.35-0.6m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168</w:t>
            </w: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组合竹柏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高不超过0.3m，蓬径0.2-0.3m 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/>
          <w:color w:val="auto"/>
        </w:rPr>
      </w:pPr>
    </w:p>
    <w:tbl>
      <w:tblPr>
        <w:tblStyle w:val="6"/>
        <w:tblW w:w="91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19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、除示例中除列品种外，甲方可根据摆放实际更换部分规格相同品种，供应商也可根据现场实际情况提出摆放建议，但规格、绿量不得低于招标文件和甲方现状标准。最终以甲方认定为准。如大绿植，春：美人铁；夏：巴西木、琴叶榕、心叶藤；秋：孔雀木、美人蕉、洒金木、羽叶福禄桐、非洲茉莉；冬：铁树、金山棕等如盆苗：春：长寿竹、金鱼花；夏：飞芋、巴西木、天堂鸟、波斯蕨、红掌、变叶木、三头青铁；秋：虎皮兰、青铁、变叶木、绿萝、富贵蕨、绿萝、鸿运当头、巴西铁；冬：棕竹、美人铁、广东万年青、鸟巢蕨、瑞香、鸭脚木等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、休息区应可根据甲方需求调整为花境如下：配套盆具铁质长方形花箱,组合花箱一组（三节），花箱最长270cm（根据实际情况调整）、宽40cm、高50cm,烟灰色.绿植:龟背竹、红岩、金钱树、兰花、朱焦、鸟巢结、红天竹、铁线蕨、凤尾草、九里香、常春藤、彩叶竹芋、鹅掌木、橡皮树、绿萝、 袖珍、广东万年青、螺纹铁、竹柏等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搭配：红掌、粉掌、凤梨、芭芭拉、松红梅、富贵籽、四季桂、海棠、蝴蝶兰（小花型）、白掌、瑞香、茶花、杜鹃等。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备注1、绿植高度40CM以下、花卉高度30CM以下（根据现场组合确定）；品种高度可高于以上高度。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2、每组花箱、每季组合品种；选用以上绿植3-4种、花卉选用1-2种。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根据甲方需求，休息区和电梯及过道中间大绿植可置换为花景组合如绿宝、凤梨、鸭脚木花景，万年青、金钱树、螺纹铁花景，袖珍椰子、红掌、猫眼竹芋花景等，（比例可参照3棵大绿植置换为2个三联装组合）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休息区、大厅等区域套缸组合等可置换为花境（含花架搭设，日常鲜花+绿植）。如竹芋、万年青、红掌搭配或万年青、阿波蕨、轮叶椒草、粉黛等搭配或花景组合，甲方不额外增加费用。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30" w:lineRule="exact"/>
        <w:jc w:val="center"/>
        <w:rPr>
          <w:rFonts w:ascii="Times New Roman" w:hAnsi="Times New Roman" w:eastAsia="方正黑体_GBK" w:cs="宋体"/>
          <w:color w:val="auto"/>
          <w:kern w:val="0"/>
          <w:sz w:val="24"/>
        </w:rPr>
      </w:pPr>
      <w:r>
        <w:rPr>
          <w:rFonts w:ascii="Times New Roman" w:hAnsi="Times New Roman" w:cs="宋体"/>
          <w:color w:val="auto"/>
          <w:szCs w:val="21"/>
        </w:rPr>
        <w:br w:type="page"/>
      </w:r>
      <w:r>
        <w:rPr>
          <w:rFonts w:hint="eastAsia" w:ascii="Times New Roman" w:hAnsi="Times New Roman" w:eastAsia="方正黑体_GBK" w:cs="宋体"/>
          <w:color w:val="auto"/>
          <w:kern w:val="0"/>
          <w:sz w:val="24"/>
        </w:rPr>
        <w:t>节日增加</w:t>
      </w:r>
    </w:p>
    <w:tbl>
      <w:tblPr>
        <w:tblStyle w:val="6"/>
        <w:tblW w:w="8866" w:type="dxa"/>
        <w:tblInd w:w="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7"/>
        <w:gridCol w:w="924"/>
        <w:gridCol w:w="1512"/>
        <w:gridCol w:w="826"/>
        <w:gridCol w:w="1021"/>
        <w:gridCol w:w="1190"/>
        <w:gridCol w:w="812"/>
        <w:gridCol w:w="1071"/>
        <w:gridCol w:w="8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位置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季节</w:t>
            </w:r>
          </w:p>
        </w:tc>
        <w:tc>
          <w:tcPr>
            <w:tcW w:w="151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82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高度</w:t>
            </w: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蓬径</w:t>
            </w: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盆高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盆口径</w:t>
            </w: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球菊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绣球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月季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凤梨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大国庆菊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10支蝴蝶兰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菊花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一串红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大花蕙兰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金桔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14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杜鹃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瑞香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中秋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桂花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2-2.5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1.8-2.0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0.7-0.9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1.2-1.5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一楼花箱旁</w:t>
            </w:r>
          </w:p>
        </w:tc>
      </w:tr>
    </w:tbl>
    <w:p>
      <w:pPr>
        <w:widowControl/>
        <w:tabs>
          <w:tab w:val="left" w:pos="766"/>
          <w:tab w:val="left" w:pos="1690"/>
          <w:tab w:val="left" w:pos="3202"/>
          <w:tab w:val="left" w:pos="4028"/>
          <w:tab w:val="left" w:pos="5049"/>
          <w:tab w:val="left" w:pos="6239"/>
          <w:tab w:val="left" w:pos="7051"/>
          <w:tab w:val="left" w:pos="8122"/>
        </w:tabs>
        <w:spacing w:line="280" w:lineRule="exact"/>
        <w:ind w:left="89"/>
        <w:rPr>
          <w:rFonts w:ascii="Times New Roman" w:hAnsi="Times New Roman" w:cs="宋体"/>
          <w:color w:val="auto"/>
          <w:kern w:val="0"/>
          <w:szCs w:val="21"/>
        </w:rPr>
      </w:pPr>
    </w:p>
    <w:tbl>
      <w:tblPr>
        <w:tblStyle w:val="6"/>
        <w:tblW w:w="886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注：</w:t>
            </w:r>
            <w:r>
              <w:rPr>
                <w:rFonts w:hint="eastAsia" w:ascii="宋体" w:hAnsi="宋体" w:eastAsia="宋体" w:cs="宋体"/>
                <w:i/>
                <w:color w:val="auto"/>
                <w:kern w:val="0"/>
                <w:sz w:val="21"/>
                <w:szCs w:val="21"/>
              </w:rPr>
              <w:t>1、盆器等配置应不低于招标文件和甲方需求。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2</w:t>
            </w:r>
            <w:r>
              <w:rPr>
                <w:rFonts w:hint="eastAsia" w:ascii="宋体" w:hAnsi="宋体" w:eastAsia="宋体" w:cs="宋体"/>
                <w:i/>
                <w:color w:val="auto"/>
                <w:kern w:val="0"/>
                <w:sz w:val="21"/>
                <w:szCs w:val="21"/>
              </w:rPr>
              <w:t>、租摆品种原则上应每季度进行更换。</w:t>
            </w:r>
          </w:p>
          <w:p>
            <w:pPr>
              <w:pStyle w:val="2"/>
              <w:ind w:firstLine="420"/>
              <w:rPr>
                <w:rFonts w:hint="eastAsia" w:ascii="宋体" w:hAnsi="宋体" w:eastAsia="宋体" w:cs="宋体"/>
                <w:i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color w:val="auto"/>
                <w:sz w:val="21"/>
                <w:szCs w:val="21"/>
                <w:lang w:val="en-US" w:eastAsia="zh-CN"/>
              </w:rPr>
              <w:t>3、实际租摆中，甲方额外增加绿植数量不超过总量10%的，不额外增加费用。</w:t>
            </w:r>
          </w:p>
          <w:p>
            <w:pPr>
              <w:pStyle w:val="2"/>
              <w:ind w:firstLine="42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4、绿植数量为现场摆放的数量，乙方需根据甲方要求或现场实际进行及时更换长势欠佳植物，确保摆放效果。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line="20" w:lineRule="exact"/>
        <w:ind w:firstLine="420" w:firstLineChars="200"/>
        <w:rPr>
          <w:rFonts w:hint="eastAsia" w:ascii="Times New Roman" w:hAnsi="Times New Roman" w:cs="宋体"/>
          <w:color w:val="auto"/>
          <w:szCs w:val="21"/>
        </w:rPr>
      </w:pPr>
    </w:p>
    <w:p>
      <w:pPr>
        <w:spacing w:line="530" w:lineRule="exact"/>
        <w:ind w:firstLine="420" w:firstLineChars="200"/>
        <w:rPr>
          <w:rFonts w:hint="eastAsia" w:ascii="Times New Roman" w:hAnsi="Times New Roman" w:cs="宋体"/>
          <w:color w:val="auto"/>
          <w:szCs w:val="21"/>
        </w:rPr>
      </w:pPr>
      <w:r>
        <w:rPr>
          <w:rFonts w:ascii="Times New Roman" w:hAnsi="Times New Roman" w:cs="宋体"/>
          <w:color w:val="auto"/>
          <w:szCs w:val="21"/>
        </w:rPr>
        <w:br w:type="page"/>
      </w:r>
      <w:r>
        <w:rPr>
          <w:rFonts w:hint="eastAsia" w:ascii="Times New Roman" w:hAnsi="Times New Roman" w:cs="宋体"/>
          <w:color w:val="auto"/>
          <w:szCs w:val="21"/>
        </w:rPr>
        <w:t>2.4相关要求</w:t>
      </w:r>
    </w:p>
    <w:p>
      <w:pPr>
        <w:spacing w:line="530" w:lineRule="exact"/>
        <w:ind w:firstLine="420" w:firstLineChars="200"/>
        <w:rPr>
          <w:rFonts w:ascii="Times New Roman" w:hAnsi="Times New Roman" w:eastAsia="宋体"/>
          <w:color w:val="auto"/>
          <w:sz w:val="28"/>
          <w:szCs w:val="28"/>
        </w:rPr>
      </w:pPr>
      <w:r>
        <w:rPr>
          <w:rFonts w:hint="eastAsia" w:ascii="Times New Roman" w:hAnsi="Times New Roman" w:cs="宋体"/>
          <w:color w:val="auto"/>
          <w:szCs w:val="21"/>
        </w:rPr>
        <w:t>详见《盐城市行政中心绿植租摆考核办法》。</w:t>
      </w:r>
    </w:p>
    <w:p>
      <w:pPr>
        <w:pStyle w:val="8"/>
        <w:spacing w:line="400" w:lineRule="exact"/>
        <w:ind w:firstLine="0"/>
        <w:jc w:val="center"/>
        <w:rPr>
          <w:rFonts w:hint="eastAsia" w:ascii="Times New Roman" w:hAnsi="Times New Roman" w:eastAsia="方正小标宋_GBK"/>
          <w:color w:val="auto"/>
          <w:kern w:val="2"/>
          <w:sz w:val="44"/>
          <w:szCs w:val="44"/>
        </w:rPr>
      </w:pPr>
    </w:p>
    <w:p>
      <w:pPr>
        <w:pStyle w:val="8"/>
        <w:spacing w:line="640" w:lineRule="exact"/>
        <w:ind w:firstLine="0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kern w:val="2"/>
          <w:sz w:val="44"/>
          <w:szCs w:val="44"/>
        </w:rPr>
        <w:t>盐城市行政中心绿植租摆服务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项目</w:t>
      </w:r>
    </w:p>
    <w:p>
      <w:pPr>
        <w:pStyle w:val="8"/>
        <w:spacing w:line="640" w:lineRule="exact"/>
        <w:ind w:firstLine="0"/>
        <w:jc w:val="center"/>
        <w:rPr>
          <w:rFonts w:hint="eastAsia"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考核办法（试行）</w:t>
      </w:r>
    </w:p>
    <w:p>
      <w:pPr>
        <w:spacing w:line="440" w:lineRule="exact"/>
        <w:ind w:firstLine="600" w:firstLineChars="200"/>
        <w:rPr>
          <w:rFonts w:hint="eastAsia" w:ascii="Times New Roman" w:hAnsi="Times New Roman" w:eastAsia="宋体"/>
          <w:color w:val="auto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为进一步提升服务保障水平，美化市行政中心环境，营造良好的办公氛围，经甲乙双方协商一致，结合工作实际，特制定本考核办法。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一、考核范围与内容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1、市行政中心办公大楼（含市信访接待中心）公共部位的绿植租摆服务；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2、市行政中心北大门花坛的绿植布置；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3、行政中心一楼大厅平台北侧花箱养护及布置。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二、考核依据</w:t>
      </w:r>
    </w:p>
    <w:p>
      <w:pPr>
        <w:adjustRightInd w:val="0"/>
        <w:snapToGrid w:val="0"/>
        <w:spacing w:line="520" w:lineRule="exact"/>
        <w:ind w:firstLine="576" w:firstLineChars="200"/>
        <w:rPr>
          <w:rFonts w:hint="eastAsia" w:ascii="方正仿宋_GBK" w:hAnsi="方正仿宋_GBK" w:eastAsia="方正仿宋_GBK" w:cs="方正仿宋_GBK"/>
          <w:color w:val="auto"/>
          <w:spacing w:val="-6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sz w:val="30"/>
          <w:szCs w:val="30"/>
        </w:rPr>
        <w:t>《绿植租摆服务合同》、《盐城市行政中心绿植租摆服务竞争性磋商采购文件》、乙方投标文件和乙方承诺以及国家有关规定。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三、考核方法及要求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考核周期为月度，考核款按季度进行支付，考核采取每日随机检查、每周每月定期不定期专项检查等方式开展，考核人员依据《评分表》逐条逐项进行量化打分，单项扣分不超过规定分值。其中，每周不定期检查至少三次，每周五定期检查一次，考核人员每月进行一次集中督查，并汇总当月得分（见附表），考核结果于每月月底通知被考核单位。重要节点及每季度更（轮）换方案（含实物）需提前报局分管领导审定，审定同意后方可进行更换，更换到位后，集中进行检查考核。每季度在局长办公会汇报考核情况，得分为三个月平均分。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四、奖惩办法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Times New Roman" w:hAnsi="Times New Roman" w:eastAsia="方正楷体_GBK"/>
          <w:color w:val="auto"/>
          <w:sz w:val="30"/>
          <w:szCs w:val="30"/>
        </w:rPr>
        <w:t>1．检查考核结果作为项目单位结算费用的基本依据。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季度考核得分93分及以上的，扣分不扣款，按期全额结算季度服务费用；考核得分85-93分（不含）的，每扣一分相应扣减当期费用的0.3%，并约谈项目负责人，责令其整改并提交书面整改报告；考核得分70-85分（不含）的，每扣一分相应扣减当期费用的2%，并约谈企业法人代表，责令调整服务团队；考核得分低于70分的，每扣一分相应扣减当期费用的2%，并按相关程序予以解除服务合同。中止履行合同期间的一切经济损失由被考核单位自行承担。同样的问题重复出现的由考核人员根据问题的性质视情加重处罚。在重大活动服务保障中出现重大失误的，根据问题的性质加重扣除相应的分值，同时予以对应的经济处罚。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方正楷体_GBK"/>
          <w:color w:val="auto"/>
          <w:sz w:val="30"/>
          <w:szCs w:val="30"/>
        </w:rPr>
      </w:pPr>
      <w:r>
        <w:rPr>
          <w:rFonts w:hint="eastAsia" w:ascii="Times New Roman" w:hAnsi="Times New Roman" w:eastAsia="方正楷体_GBK"/>
          <w:color w:val="auto"/>
          <w:sz w:val="30"/>
          <w:szCs w:val="30"/>
        </w:rPr>
        <w:t>2．有以下现象的实行直接扣费，即根据当月考核得分计算出考核款后额外扣除的经费。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（1）养护管理人员未经过政审上岗，进入管理区域未统一着装上岗的，发现一次扣200元。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（2）养护管理人员如有违反市行政中心规章制度的,出现一次扣200元。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（3）对甲方的整改建议不及时采取有效措施予以整改或整改不力的，扣500元。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（4）出现有责投诉问题或受到相关管理部门点名批评的，出现一次扣1000元。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方正楷体_GBK"/>
          <w:color w:val="auto"/>
          <w:sz w:val="30"/>
          <w:szCs w:val="30"/>
        </w:rPr>
      </w:pPr>
      <w:r>
        <w:rPr>
          <w:rFonts w:hint="eastAsia" w:ascii="Times New Roman" w:hAnsi="Times New Roman" w:eastAsia="方正楷体_GBK"/>
          <w:color w:val="auto"/>
          <w:sz w:val="30"/>
          <w:szCs w:val="30"/>
        </w:rPr>
        <w:t>3．服务期内，有下列情形之一的，按相关程序予以解除服务合同，并根据情节的严重程度和损失的大小，追究法律责任：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（1）发生重大安全责任事故（含重大治安责任事件）或重大设备事故，隐瞒不报且弄虚作假的。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（2）因管理不善、保障措施不力，导致不能提供正常服务，且造成重大负面影响和损失的。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（3）因对员工教育管理不到位，发生泄密事件，造成严重影响的。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（4）因企业内部不安定因素、员工纠纷矛盾化解不及时，以致发生集体上访、非法游行、聚众闹事、罢工等问题造成严重后果，危害社会稳定的。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（5）考核组认为需一票否决的其他问题。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五、有关说明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1．项目考核工作，实行“每日循环巡检，每周不定期检查且周五定期检查，每月月底前督查并汇总得分，每季考核评分”。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2．每季度服务费用结算前，服务保障处向局分管领导上报本季度考评情况，局分管领导审定后提交局长办公会对服务工作进行审议。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3．项目单位对通告的考核结果有异议，可在3个天内，向局考核组提出书面申诉。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4．本考核办法由局考核组负责解释、修订和补充。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5．本考核办法自即日起执行。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>
      <w:pPr>
        <w:pStyle w:val="8"/>
        <w:spacing w:line="520" w:lineRule="exact"/>
        <w:ind w:firstLine="60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</w:rPr>
        <w:t>：1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0"/>
          <w:szCs w:val="30"/>
        </w:rPr>
        <w:t>盐城市行政中心绿植租摆服务项目考核评分表</w:t>
      </w:r>
    </w:p>
    <w:p>
      <w:pPr>
        <w:spacing w:line="520" w:lineRule="exact"/>
        <w:ind w:firstLine="1470" w:firstLineChars="49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2．绿植租摆服务方案（示例）</w:t>
      </w:r>
    </w:p>
    <w:p>
      <w:pPr>
        <w:spacing w:line="590" w:lineRule="exact"/>
        <w:ind w:firstLine="420" w:firstLineChars="2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 xml:space="preserve"> </w:t>
      </w:r>
    </w:p>
    <w:p>
      <w:pPr>
        <w:widowControl/>
        <w:jc w:val="left"/>
        <w:rPr>
          <w:rFonts w:ascii="Times New Roman" w:hAnsi="Times New Roman" w:eastAsia="方正黑体_GBK" w:cs="宋体"/>
          <w:color w:val="auto"/>
          <w:sz w:val="32"/>
          <w:szCs w:val="32"/>
        </w:rPr>
        <w:sectPr>
          <w:footerReference r:id="rId3" w:type="default"/>
          <w:pgSz w:w="11906" w:h="16838"/>
          <w:pgMar w:top="1985" w:right="1531" w:bottom="1701" w:left="1531" w:header="720" w:footer="1418" w:gutter="0"/>
          <w:pgNumType w:start="1"/>
          <w:cols w:space="720" w:num="1"/>
          <w:docGrid w:linePitch="312" w:charSpace="0"/>
        </w:sectPr>
      </w:pPr>
    </w:p>
    <w:p>
      <w:pPr>
        <w:spacing w:line="500" w:lineRule="exact"/>
        <w:rPr>
          <w:rFonts w:hint="eastAsia"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附件</w:t>
      </w:r>
    </w:p>
    <w:p>
      <w:pPr>
        <w:spacing w:after="120" w:afterLines="50" w:line="560" w:lineRule="exact"/>
        <w:jc w:val="center"/>
        <w:rPr>
          <w:rFonts w:hint="eastAsia" w:ascii="Times New Roman" w:hAnsi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盐城市行政中心绿植租摆服务项目考核评分表</w:t>
      </w:r>
    </w:p>
    <w:tbl>
      <w:tblPr>
        <w:tblStyle w:val="6"/>
        <w:tblW w:w="1458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56"/>
        <w:gridCol w:w="4939"/>
        <w:gridCol w:w="615"/>
        <w:gridCol w:w="4395"/>
        <w:gridCol w:w="967"/>
        <w:gridCol w:w="705"/>
        <w:gridCol w:w="1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Header/>
          <w:jc w:val="center"/>
        </w:trPr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考核项目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考核内容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规定</w:t>
            </w:r>
          </w:p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评分标准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考核处室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扣除分值</w:t>
            </w: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扣分原因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135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综合管理</w:t>
            </w:r>
          </w:p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人员按合同要求配齐配全，人员综合素质、技术能力等满足岗位需求，岗位职责明确。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常驻养护人员3名，人员情况符合甲方和招标文件要求，按甲方要求每日对现场进行巡查，进行日常绿植维护，每缺岗一人次扣0.2分。专人负责绿植的运送、养护、修剪、更换等。项目经理及技术人员各1名，不定期根据现场绿植情况进行日常管理，及时响应甲方的需求。每发现一次响应不及时扣0.5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工作人员仪表仪容整洁、行为规范，使用文明用语，礼貌服务，不大声喧哗。按规定制服着装。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每发现一次不合规扣0.1分。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因未达到标书、合同约定的服务标准或要求，工作不到位被市主要领导点名批评，被市级机关通报批评或媒体负面报道的。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如有一次被主要领导点名批评或被媒体负面报道的，则该项不得分。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因未达到合同、招标文件、投标文件服务要求被服务对象有效投诉或对相关投诉处理不及时、又未跟踪解决的。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甲方接到服务对象一次有效投诉扣0.2分，对投诉的问题，在1个天内未按要求处理完毕的，扣0.5分。接到市长热线投诉并查处属实该项不得分。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须遵守甲方的规章制度，不得擅自进入或从事与工作无关的区域和事。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每发现一次扣0.1分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绿植摆放（30分）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绿植规格的大小（高度、蓬径等）、数量、品种应符合合同、招标文件、投标书的规定和双方约定。绿植花架、花箱、栅栏、盆器及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辅助材料等（包括但不限于鹅卵石、陶土、陶粒、青苔等）的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规格、颜色、组合方式应协调、美观、大方，符合甲方需求。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如发现乙方存在单方面减少绿植或降低品质，导致低于标书、合同约定数量或降低品质的行为，发现一次扣0.5分。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绿植摆放（30分）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新摆放的绿植应按甲方审定的方案执行，保证良好的效果，形状丰满、花叶茂盛、色彩纯正，植株健壮，富有层次，同一种品种规格大小要一致，摆放时须均匀一致，避免过稀。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每发现一次不符合项扣0.1分。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放的绿植及附属装置应根据季节、环境、场所等的实际情况、生长的状况和甲方的需求进行调整，以提高绿植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观赏性，确保绿植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位置适当，大小适宜，比例适度，色彩协调，品种合理搭配，做到主次分明、风格统一、美观大方。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每发现一次叶片少或观赏性不足的植物未及时更换的0.2分。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加强对重点场所（北门、1、2、8、10、16楼等）的服务，及时调整更换，让摆放的绿植长势良好，常青常绿，每日如一，确保所摆放植物与环境相协调。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每发现一次不符合项扣0.2分。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乙方只能在合同约定或经甲方同意的固定点位摆放植物，不得随意减少或调整点位、数量等。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每发现一次未在规定时间内整改到位的扣0.2分。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植物的底碟、套缸、花盆、栅栏、花箱、花架等应合适配套，不大不小，美观大方，颜色搭配适当；容器间距合理，整齐有序。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每发现一次不符合项或未在规定时间内整改到位的扣0.5分。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保持容器清洁光亮无破损（非乙方原因除外），、无灰尘污迹、无烟头杂物，发现问题须在1天内处理完毕。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每发现一次不符合项或未在规定时间内整改到位的扣0.5分。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日常养护（20分）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确保植物存活率达100%，生长优良，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定期清洁、浇水、施肥和修剪，做到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叶面无明显积灰、无病虫害、无枯黄枝叶，无病、死株；做到可视、可触部位干净无尘土、无水渍、无污渍。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每发现一次不符合项扣0.1分。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选用的肥料和药剂必须符合相关环保要求，应无异味、无毒的有机肥或高效无机肥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每发现一次不符合项扣0.5分。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查看绿植是否偏位，有无溢水现象，及时清理整改。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每发现一次不符合项扣0.1分。非乙方原因除外。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在日常绿植更换与养护过程中，不损坏污染环境，确保环境整洁，不破坏甲方的楼内设施。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每发现一次不符合项扣0.2分。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绿化更换</w:t>
            </w:r>
          </w:p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（30分）</w:t>
            </w: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绿植每3个月全部更换1次（北门花坛每月一次）。更换前更换计划、方案、效果图须报甲方审定。根据绿植更换计划进行更换，以保证挑选植物的质量以及能适应摆放环境。更换后应根据现场实际和甲方需求进行微调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不符合或与甲方明确提出的需求不一致的每发现一处扣0.5分。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按甲方需求每1——2月对楼内绿植进行轮换。对日常发现的需零星更换的绿植及时更换，须在1天内调整长势不佳的绿植，确保现场布置的效果。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每发现一次不符合项扣0.2分。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花箱苗木出现长势不佳或死亡时，须在2天内清除、补栽。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每发现一次不符合项扣0.2分。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乙方日常养护、轮换绿植要有计划性，按双方约定的绿植更轮换计划在合适的时间内进行（甲方对更换时间有特殊要求的按规定执行）。为不影响办公，尽量选择在周末、节假日或者晚上对现场绿植进行更（轮）换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每发现一次不符合项扣0.2分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93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对发现的需更换的绿植须在1-2天内全部到位。在更换前先安排人员进行处理，确保不影响环境美观。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39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每发现一次不符合项扣0.2分</w:t>
            </w:r>
          </w:p>
        </w:tc>
        <w:tc>
          <w:tcPr>
            <w:tcW w:w="96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0" w:lineRule="exact"/>
              <w:ind w:left="42" w:leftChars="20" w:right="42" w:rightChars="2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widowControl/>
        <w:spacing w:line="20" w:lineRule="exact"/>
        <w:jc w:val="left"/>
        <w:rPr>
          <w:rFonts w:hint="eastAsia" w:ascii="Times New Roman" w:hAnsi="Times New Roman"/>
          <w:color w:val="auto"/>
          <w:sz w:val="22"/>
          <w:szCs w:val="22"/>
        </w:rPr>
      </w:pPr>
      <w:r>
        <w:rPr>
          <w:rFonts w:hint="eastAsia" w:ascii="Times New Roman" w:hAnsi="Times New Roman"/>
          <w:color w:val="auto"/>
          <w:sz w:val="22"/>
          <w:szCs w:val="22"/>
        </w:rPr>
        <w:t xml:space="preserve"> </w:t>
      </w:r>
    </w:p>
    <w:p>
      <w:pPr>
        <w:widowControl/>
        <w:jc w:val="left"/>
        <w:rPr>
          <w:rFonts w:hint="eastAsia" w:ascii="Times New Roman" w:hAnsi="Times New Roman"/>
          <w:color w:val="auto"/>
          <w:sz w:val="32"/>
          <w:szCs w:val="32"/>
        </w:rPr>
      </w:pPr>
      <w:bookmarkStart w:id="0" w:name="_GoBack"/>
    </w:p>
    <w:p>
      <w:pPr>
        <w:rPr>
          <w:color w:val="auto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6838" w:h="11906" w:orient="landscape"/>
          <w:pgMar w:top="1418" w:right="1418" w:bottom="1418" w:left="1418" w:header="851" w:footer="1134" w:gutter="0"/>
          <w:cols w:space="720" w:num="1"/>
          <w:docGrid w:linePitch="312" w:charSpace="0"/>
        </w:sect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/>
        <w:sz w:val="30"/>
        <w:szCs w:val="30"/>
      </w:rPr>
    </w:pPr>
    <w:r>
      <w:rPr>
        <w:rStyle w:val="5"/>
        <w:rFonts w:hint="eastAsia"/>
        <w:color w:val="FFFFFF"/>
        <w:sz w:val="30"/>
        <w:szCs w:val="30"/>
      </w:rPr>
      <w:t>—</w:t>
    </w:r>
    <w:r>
      <w:rPr>
        <w:rStyle w:val="5"/>
        <w:rFonts w:hint="eastAsia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Style w:val="5"/>
        <w:rFonts w:ascii="Times New Roman" w:hAnsi="Times New Roman"/>
        <w:sz w:val="30"/>
        <w:szCs w:val="30"/>
      </w:rPr>
      <w:instrText xml:space="preserve">PAGE 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Style w:val="5"/>
        <w:rFonts w:ascii="Times New Roman" w:hAnsi="Times New Roman"/>
        <w:sz w:val="30"/>
        <w:szCs w:val="30"/>
      </w:rPr>
      <w:t>18</w:t>
    </w:r>
    <w:r>
      <w:rPr>
        <w:rFonts w:ascii="Times New Roman" w:hAnsi="Times New Roman"/>
        <w:sz w:val="30"/>
        <w:szCs w:val="30"/>
      </w:rPr>
      <w:fldChar w:fldCharType="end"/>
    </w:r>
    <w:r>
      <w:rPr>
        <w:rStyle w:val="5"/>
        <w:rFonts w:hint="eastAsia"/>
        <w:sz w:val="30"/>
        <w:szCs w:val="30"/>
      </w:rPr>
      <w:t xml:space="preserve"> —</w:t>
    </w:r>
    <w:r>
      <w:rPr>
        <w:rStyle w:val="5"/>
        <w:rFonts w:hint="eastAsia"/>
        <w:color w:val="FFFFFF"/>
        <w:sz w:val="30"/>
        <w:szCs w:val="30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50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ind w:right="360"/>
      <w:jc w:val="center"/>
      <w:rPr>
        <w:b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  <w:b/>
        <w:szCs w:val="21"/>
      </w:rPr>
      <w:t>术业有专攻、政采有阳光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5" o:spid="_x0000_s2055" o:spt="136" type="#_x0000_t136" style="position:absolute;left:0pt;margin-left:30pt;margin-top:200pt;height:35pt;width:400pt;rotation:-1638400f;z-index:25165926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网安支队侦查研判类数据支撑平台服务采购项目" style="font-family:宋体;font-size:36pt;v-text-align:center;"/>
        </v:shape>
      </w:pict>
    </w:r>
    <w:r>
      <w:pict>
        <v:shape id="_x0000_s2056" o:spid="_x0000_s2056" o:spt="136" type="#_x0000_t136" style="position:absolute;left:0pt;margin-left:30pt;margin-top:400pt;height:35pt;width:400pt;rotation:-1638400f;z-index:25166643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网安支队侦查研判类数据支撑平台服务采购项目" style="font-family:宋体;font-size:36pt;v-text-align:center;"/>
        </v:shape>
      </w:pict>
    </w:r>
    <w:r>
      <w:pict>
        <v:shape id="_x0000_s2057" o:spid="_x0000_s2057" o:spt="136" type="#_x0000_t136" style="position:absolute;left:0pt;margin-left:30pt;margin-top:600pt;height:35pt;width:400pt;rotation:-1638400f;z-index:25166745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网安支队侦查研判类数据支撑平台服务采购项目" style="font-family:宋体;font-size:36pt;v-text-align:center;"/>
        </v:shape>
      </w:pict>
    </w:r>
  </w:p>
  <w:p>
    <w:r>
      <w:pict>
        <v:shape id="_x0000_s2058" o:spid="_x0000_s2058" o:spt="136" type="#_x0000_t136" style="position:absolute;left:0pt;margin-left:30pt;margin-top:200pt;height:35pt;width:400pt;rotation:-1638400f;z-index:25166028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犬只留检所日常运行服务采购项目" style="font-family:宋体;font-size:36pt;v-text-align:center;"/>
        </v:shape>
      </w:pict>
    </w:r>
    <w:r>
      <w:pict>
        <v:shape id="_x0000_s2059" o:spid="_x0000_s2059" o:spt="136" type="#_x0000_t136" style="position:absolute;left:0pt;margin-left:30pt;margin-top:400pt;height:35pt;width:400pt;rotation:-1638400f;z-index:25166131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犬只留检所日常运行服务采购项目" style="font-family:宋体;font-size:36pt;v-text-align:center;"/>
        </v:shape>
      </w:pict>
    </w:r>
    <w:r>
      <w:pict>
        <v:shape id="_x0000_s2060" o:spid="_x0000_s2060" o:spt="136" type="#_x0000_t136" style="position:absolute;left:0pt;margin-left:30pt;margin-top:600pt;height:35pt;width:400pt;rotation:-1638400f;z-index:25166233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犬只留检所日常运行服务采购项目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margin-left:30pt;margin-top:200pt;height:35pt;width:400pt;rotation:-1638400f;z-index:25166848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网安支队侦查研判类数据支撑平台服务采购项目" style="font-family:宋体;font-size:36pt;v-text-align:center;"/>
        </v:shape>
      </w:pict>
    </w:r>
    <w:r>
      <w:pict>
        <v:shape id="_x0000_s2050" o:spid="_x0000_s2050" o:spt="136" type="#_x0000_t136" style="position:absolute;left:0pt;margin-left:30pt;margin-top:400pt;height:35pt;width:400pt;rotation:-1638400f;z-index:25166950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网安支队侦查研判类数据支撑平台服务采购项目" style="font-family:宋体;font-size:36pt;v-text-align:center;"/>
        </v:shape>
      </w:pict>
    </w:r>
    <w:r>
      <w:pict>
        <v:shape id="_x0000_s2051" o:spid="_x0000_s2051" o:spt="136" type="#_x0000_t136" style="position:absolute;left:0pt;margin-left:30pt;margin-top:600pt;height:35pt;width:400pt;rotation:-1638400f;z-index:25167052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网安支队侦查研判类数据支撑平台服务采购项目" style="font-family:宋体;font-size:36pt;v-text-align:center;"/>
        </v:shape>
      </w:pict>
    </w:r>
  </w:p>
  <w:p>
    <w:r>
      <w:pict>
        <v:shape id="_x0000_s2052" o:spid="_x0000_s2052" o:spt="136" type="#_x0000_t136" style="position:absolute;left:0pt;margin-left:30pt;margin-top:200pt;height:35pt;width:400pt;rotation:-1638400f;z-index:25166336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犬只留检所日常运行服务采购项目" style="font-family:宋体;font-size:36pt;v-text-align:center;"/>
        </v:shape>
      </w:pict>
    </w:r>
    <w:r>
      <w:pict>
        <v:shape id="_x0000_s2053" o:spid="_x0000_s2053" o:spt="136" type="#_x0000_t136" style="position:absolute;left:0pt;margin-left:30pt;margin-top:400pt;height:35pt;width:400pt;rotation:-1638400f;z-index:25166438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犬只留检所日常运行服务采购项目" style="font-family:宋体;font-size:36pt;v-text-align:center;"/>
        </v:shape>
      </w:pict>
    </w:r>
    <w:r>
      <w:pict>
        <v:shape id="_x0000_s2054" o:spid="_x0000_s2054" o:spt="136" type="#_x0000_t136" style="position:absolute;left:0pt;margin-left:30pt;margin-top:600pt;height:35pt;width:400pt;rotation:-1638400f;z-index:25166540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盐城市公安局犬只留检所日常运行服务采购项目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楷体_GB2312" w:hAnsi="Arial" w:eastAsia="楷体_GB2312"/>
      <w:kern w:val="0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普通正文"/>
    <w:basedOn w:val="1"/>
    <w:qFormat/>
    <w:uiPriority w:val="99"/>
    <w:pPr>
      <w:adjustRightInd w:val="0"/>
      <w:spacing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49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2024-05-15T03:45:52Z</dcterms:created>
  <dc:creator>ASUS</dc:creator>
  <cp:lastModifiedBy>携手阳光小杨</cp:lastModifiedBy>
  <dcterms:modified xsi:type="dcterms:W3CDTF">2024-05-15T03:47:04Z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