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方正小标宋简体" w:hAnsi="方正小标宋简体" w:eastAsia="方正小标宋简体" w:cs="方正小标宋简体"/>
          <w:b/>
          <w:bCs/>
          <w:color w:val="000000"/>
          <w:sz w:val="84"/>
          <w:szCs w:val="24"/>
        </w:rPr>
      </w:pPr>
      <w:r>
        <w:rPr>
          <w:rFonts w:ascii="方正小标宋简体" w:hAnsi="方正小标宋简体" w:eastAsia="方正小标宋简体" w:cs="方正小标宋简体"/>
          <w:b/>
          <w:bCs/>
          <w:color w:val="000000"/>
          <w:sz w:val="84"/>
          <w:szCs w:val="24"/>
        </w:rPr>
      </w:r>
      <w:r/>
    </w:p>
    <w:p>
      <w:pPr>
        <w:jc w:val="center"/>
        <w:spacing w:before="120" w:after="120" w:line="360" w:lineRule="auto"/>
        <w:rPr>
          <w:rFonts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p>
    <w:p>
      <w:pPr>
        <w:ind w:firstLine="1506"/>
        <w:rPr>
          <w:b/>
          <w:sz w:val="30"/>
          <w:szCs w:val="30"/>
          <w:u w:val="single"/>
        </w:rPr>
      </w:pPr>
      <w:r>
        <w:rPr>
          <w:rFonts w:hint="eastAsia"/>
          <w:b/>
          <w:sz w:val="30"/>
          <w:szCs w:val="30"/>
        </w:rPr>
        <w:t xml:space="preserve">项目名称：</w:t>
      </w:r>
      <w:r>
        <w:rPr>
          <w:b/>
          <w:sz w:val="32"/>
          <w:szCs w:val="32"/>
        </w:rPr>
        <w:t xml:space="preserve">江宁区重点区域餐饮油烟</w:t>
      </w:r>
      <w:r>
        <w:rPr>
          <w:rFonts w:hint="eastAsia"/>
          <w:b/>
          <w:sz w:val="32"/>
          <w:szCs w:val="32"/>
        </w:rPr>
        <w:t xml:space="preserve">在线</w:t>
      </w:r>
      <w:r>
        <w:rPr>
          <w:rFonts w:hint="eastAsia"/>
          <w:b/>
          <w:sz w:val="32"/>
          <w:szCs w:val="32"/>
        </w:rPr>
        <w:t xml:space="preserve">监控系统运维</w:t>
      </w:r>
      <w:r>
        <w:rPr>
          <w:b/>
          <w:sz w:val="32"/>
          <w:szCs w:val="32"/>
        </w:rPr>
        <w:t xml:space="preserve">服务</w:t>
      </w:r>
      <w:r/>
    </w:p>
    <w:p>
      <w:pPr>
        <w:ind w:firstLine="1506"/>
        <w:rPr>
          <w:b/>
          <w:color w:val="ff0000"/>
          <w:sz w:val="30"/>
          <w:szCs w:val="30"/>
        </w:rPr>
      </w:pPr>
      <w:r>
        <w:rPr>
          <w:rFonts w:hint="eastAsia"/>
          <w:b/>
          <w:sz w:val="30"/>
          <w:szCs w:val="30"/>
        </w:rPr>
        <w:t xml:space="preserve">项目编号：</w:t>
      </w:r>
      <w:r>
        <w:rPr>
          <w:b/>
          <w:sz w:val="32"/>
          <w:szCs w:val="32"/>
        </w:rPr>
        <w:t xml:space="preserve">JSZC-320115-JZCG-G2024-0178</w:t>
      </w:r>
      <w:r/>
    </w:p>
    <w:p>
      <w:pPr>
        <w:jc w:val="center"/>
        <w:rPr>
          <w:b/>
          <w:sz w:val="30"/>
          <w:szCs w:val="30"/>
        </w:rPr>
      </w:pPr>
      <w:r>
        <w:rPr>
          <w:rFonts w:hint="eastAsia"/>
          <w:b/>
          <w:sz w:val="30"/>
          <w:szCs w:val="30"/>
        </w:rPr>
        <w:t xml:space="preserve">（非专门面向中小企业）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744"/>
        <w:ind w:firstLine="0"/>
        <w:jc w:val="center"/>
        <w:rPr>
          <w:b/>
          <w:bCs/>
          <w:sz w:val="32"/>
        </w:rPr>
      </w:pPr>
      <w:r>
        <w:rPr>
          <w:rFonts w:hint="eastAsia"/>
          <w:b/>
          <w:bCs/>
          <w:sz w:val="32"/>
        </w:rPr>
        <w:t xml:space="preserve">南京市公共资源交易中心</w:t>
      </w:r>
      <w:r>
        <w:rPr>
          <w:rFonts w:hint="eastAsia"/>
          <w:b/>
          <w:bCs/>
          <w:sz w:val="32"/>
        </w:rPr>
        <w:t xml:space="preserve">江宁分中心</w:t>
      </w:r>
      <w:r/>
    </w:p>
    <w:p>
      <w:pPr>
        <w:jc w:val="center"/>
        <w:rPr>
          <w:b/>
          <w:sz w:val="32"/>
          <w:szCs w:val="32"/>
        </w:rPr>
      </w:pPr>
      <w:r>
        <w:rPr>
          <w:rFonts w:hint="eastAsia"/>
          <w:b/>
          <w:sz w:val="32"/>
          <w:szCs w:val="32"/>
        </w:rPr>
        <w:t xml:space="preserve">2024</w:t>
      </w:r>
      <w:r>
        <w:rPr>
          <w:rFonts w:hint="eastAsia"/>
          <w:b/>
          <w:sz w:val="32"/>
          <w:szCs w:val="32"/>
        </w:rPr>
        <w:t xml:space="preserve">年</w:t>
      </w:r>
      <w:r>
        <w:rPr>
          <w:rFonts w:hint="eastAsia"/>
          <w:b/>
          <w:sz w:val="32"/>
          <w:szCs w:val="32"/>
        </w:rPr>
        <w:t xml:space="preserve">12</w:t>
      </w:r>
      <w:r>
        <w:rPr>
          <w:rFonts w:hint="eastAsia"/>
          <w:b/>
          <w:sz w:val="32"/>
          <w:szCs w:val="32"/>
        </w:rPr>
        <w:t xml:space="preserve">月</w:t>
      </w:r>
      <w:r/>
    </w:p>
    <w:p>
      <w:pPr>
        <w:jc w:val="center"/>
        <w:spacing w:before="120" w:after="120" w:line="360" w:lineRule="auto"/>
        <w:rPr>
          <w:rFonts w:ascii="宋体" w:hAnsi="宋体" w:cs="宋体"/>
          <w:b/>
          <w:bCs/>
          <w:color w:val="0000ff"/>
          <w:sz w:val="24"/>
          <w:szCs w:val="24"/>
        </w:rPr>
      </w:pPr>
      <w:r>
        <w:rPr>
          <w:rFonts w:ascii="宋体" w:hAnsi="宋体" w:cs="宋体"/>
          <w:b/>
          <w:bCs/>
          <w:color w:val="0000ff"/>
          <w:sz w:val="24"/>
          <w:szCs w:val="24"/>
        </w:r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31"/>
      </w:pPr>
      <w:r/>
      <w:r/>
    </w:p>
    <w:p>
      <w:pPr>
        <w:jc w:val="center"/>
        <w:spacing w:line="480" w:lineRule="auto"/>
        <w:rPr>
          <w:rFonts w:ascii="黑体" w:hAnsi="Arial" w:eastAsia="黑体"/>
          <w:b/>
          <w:color w:val="000000"/>
          <w:sz w:val="44"/>
        </w:rPr>
        <w:outlineLvl w:val="0"/>
      </w:pP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jc w:val="center"/>
        <w:spacing w:line="960" w:lineRule="auto"/>
        <w:tabs>
          <w:tab w:val="left" w:pos="1440" w:leader="none"/>
        </w:tabs>
        <w:rPr>
          <w:rFonts w:ascii="黑体" w:hAnsi="宋体" w:eastAsia="黑体"/>
          <w:sz w:val="36"/>
        </w:rPr>
        <w:outlineLvl w:val="0"/>
      </w:pPr>
      <w:r>
        <w:rPr>
          <w:rFonts w:hint="eastAsia" w:ascii="黑体" w:hAnsi="宋体" w:eastAsia="黑体"/>
          <w:sz w:val="36"/>
        </w:rPr>
        <w:t xml:space="preserve">投标邀请……</w:t>
      </w:r>
      <w:r>
        <w:rPr>
          <w:rFonts w:hint="eastAsia" w:ascii="黑体" w:hAnsi="宋体" w:eastAsia="黑体"/>
          <w:sz w:val="36"/>
        </w:rPr>
        <w:t xml:space="preserve">………………………………</w:t>
      </w:r>
      <w:r/>
    </w:p>
    <w:p>
      <w:pPr>
        <w:numPr>
          <w:ilvl w:val="0"/>
          <w:numId w:val="4"/>
        </w:numPr>
        <w:jc w:val="center"/>
        <w:spacing w:line="960" w:lineRule="auto"/>
        <w:tabs>
          <w:tab w:val="left" w:pos="1440" w:leader="none"/>
        </w:tabs>
        <w:rPr>
          <w:rFonts w:ascii="黑体" w:hAnsi="宋体" w:eastAsia="黑体"/>
          <w:sz w:val="36"/>
        </w:rPr>
        <w:outlineLvl w:val="0"/>
      </w:pPr>
      <w:r>
        <w:rPr>
          <w:rFonts w:hint="eastAsia" w:ascii="黑体" w:hAnsi="宋体" w:eastAsia="黑体"/>
          <w:sz w:val="36"/>
        </w:rPr>
        <w:t xml:space="preserve">投标人须知……</w:t>
      </w:r>
      <w:r>
        <w:rPr>
          <w:rFonts w:hint="eastAsia" w:ascii="黑体" w:hAnsi="宋体" w:eastAsia="黑体"/>
          <w:sz w:val="36"/>
        </w:rPr>
        <w:t xml:space="preserve">……………………………</w:t>
      </w:r>
      <w:r>
        <w:rPr>
          <w:rFonts w:hint="eastAsia" w:ascii="黑体" w:hAnsi="宋体" w:eastAsia="黑体"/>
          <w:sz w:val="36"/>
        </w:rPr>
        <w:t xml:space="preserve"> </w:t>
      </w:r>
      <w:r/>
    </w:p>
    <w:p>
      <w:pPr>
        <w:numPr>
          <w:ilvl w:val="0"/>
          <w:numId w:val="4"/>
        </w:numPr>
        <w:jc w:val="center"/>
        <w:spacing w:line="960" w:lineRule="auto"/>
        <w:tabs>
          <w:tab w:val="left" w:pos="1440" w:leader="none"/>
        </w:tabs>
        <w:rPr>
          <w:rFonts w:ascii="黑体" w:hAnsi="宋体" w:eastAsia="黑体"/>
          <w:sz w:val="36"/>
        </w:rPr>
        <w:outlineLvl w:val="0"/>
      </w:pPr>
      <w:r>
        <w:rPr>
          <w:rFonts w:hint="eastAsia" w:ascii="黑体" w:hAnsi="宋体" w:eastAsia="黑体"/>
          <w:sz w:val="36"/>
        </w:rPr>
        <w:t xml:space="preserve">合同文本……</w:t>
      </w:r>
      <w:r>
        <w:rPr>
          <w:rFonts w:hint="eastAsia" w:ascii="黑体" w:hAnsi="宋体" w:eastAsia="黑体"/>
          <w:sz w:val="36"/>
        </w:rPr>
        <w:t xml:space="preserve">………………………………</w:t>
      </w:r>
      <w:r/>
    </w:p>
    <w:p>
      <w:pPr>
        <w:numPr>
          <w:ilvl w:val="0"/>
          <w:numId w:val="4"/>
        </w:numPr>
        <w:jc w:val="center"/>
        <w:spacing w:line="960" w:lineRule="auto"/>
        <w:tabs>
          <w:tab w:val="left" w:pos="1440" w:leader="none"/>
        </w:tabs>
        <w:rPr>
          <w:rFonts w:ascii="黑体" w:hAnsi="宋体" w:eastAsia="黑体"/>
          <w:sz w:val="36"/>
        </w:rPr>
        <w:outlineLvl w:val="0"/>
      </w:pPr>
      <w:r>
        <w:rPr>
          <w:rFonts w:hint="eastAsia" w:ascii="黑体" w:hAnsi="宋体" w:eastAsia="黑体"/>
          <w:sz w:val="36"/>
        </w:rPr>
        <w:t xml:space="preserve">采购需求……</w:t>
      </w:r>
      <w:r>
        <w:rPr>
          <w:rFonts w:hint="eastAsia" w:ascii="黑体" w:hAnsi="宋体" w:eastAsia="黑体"/>
          <w:sz w:val="36"/>
        </w:rPr>
        <w:t xml:space="preserve">………………………………</w:t>
      </w:r>
      <w:r/>
    </w:p>
    <w:p>
      <w:pPr>
        <w:numPr>
          <w:ilvl w:val="0"/>
          <w:numId w:val="4"/>
        </w:numPr>
        <w:jc w:val="center"/>
        <w:spacing w:line="960" w:lineRule="auto"/>
        <w:tabs>
          <w:tab w:val="left" w:pos="1440" w:leader="none"/>
        </w:tabs>
        <w:rPr>
          <w:rFonts w:ascii="黑体" w:hAnsi="宋体" w:eastAsia="黑体"/>
          <w:sz w:val="36"/>
        </w:rPr>
        <w:outlineLvl w:val="0"/>
      </w:pPr>
      <w:r>
        <w:rPr>
          <w:rFonts w:hint="eastAsia" w:ascii="黑体" w:hAnsi="宋体" w:eastAsia="黑体"/>
          <w:sz w:val="36"/>
        </w:rPr>
        <w:t xml:space="preserve">评标方法与评标标准……</w:t>
      </w:r>
      <w:r>
        <w:rPr>
          <w:rFonts w:hint="eastAsia" w:ascii="黑体" w:hAnsi="宋体" w:eastAsia="黑体"/>
          <w:sz w:val="36"/>
        </w:rPr>
        <w:t xml:space="preserve">…………………</w:t>
      </w:r>
      <w:r/>
    </w:p>
    <w:p>
      <w:pPr>
        <w:numPr>
          <w:ilvl w:val="0"/>
          <w:numId w:val="4"/>
        </w:numPr>
        <w:jc w:val="center"/>
        <w:spacing w:line="960" w:lineRule="auto"/>
        <w:tabs>
          <w:tab w:val="left" w:pos="1440" w:leader="none"/>
        </w:tabs>
        <w:rPr>
          <w:rFonts w:ascii="黑体" w:hAnsi="宋体" w:eastAsia="黑体"/>
          <w:sz w:val="36"/>
        </w:rPr>
        <w:outlineLvl w:val="0"/>
      </w:pPr>
      <w:r>
        <w:rPr>
          <w:rFonts w:hint="eastAsia" w:ascii="黑体" w:hAnsi="宋体" w:eastAsia="黑体"/>
          <w:sz w:val="36"/>
        </w:rPr>
        <w:t xml:space="preserve">投标文件格式……</w:t>
      </w:r>
      <w:r>
        <w:rPr>
          <w:rFonts w:hint="eastAsia" w:ascii="黑体" w:hAnsi="宋体" w:eastAsia="黑体"/>
          <w:sz w:val="36"/>
        </w:rPr>
        <w:t xml:space="preserve">…………………………</w:t>
      </w:r>
      <w:r/>
      <w:r/>
      <w:r/>
      <w:r>
        <w:rPr>
          <w:rFonts w:ascii="黑体" w:hAnsi="宋体" w:eastAsia="黑体"/>
          <w:sz w:val="36"/>
        </w:rPr>
      </w:r>
    </w:p>
    <w:p>
      <w:r/>
      <w:r/>
    </w:p>
    <w:p>
      <w:r/>
      <w:r/>
    </w:p>
    <w:p>
      <w:pPr>
        <w:jc w:val="center"/>
        <w:rPr>
          <w:rFonts w:ascii="方正小标宋简体" w:hAnsi="方正小标宋简体" w:eastAsia="方正小标宋简体" w:cs="方正小标宋简体"/>
          <w:color w:val="000000"/>
          <w:sz w:val="36"/>
          <w:szCs w:val="36"/>
        </w:rPr>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投标邀请</w:t>
      </w:r>
      <w:r/>
    </w:p>
    <w:p>
      <w:pPr>
        <w:ind w:firstLine="480"/>
        <w:rPr>
          <w:rFonts w:ascii="宋体" w:hAnsi="宋体"/>
          <w:sz w:val="24"/>
          <w:szCs w:val="24"/>
        </w:rPr>
      </w:pPr>
      <w:r/>
      <w:bookmarkStart w:id="0" w:name="_Toc38985263"/>
      <w:r/>
      <w:bookmarkStart w:id="1" w:name="_Toc35393790"/>
      <w:r/>
      <w:bookmarkStart w:id="2" w:name="_Toc28359079"/>
      <w:r/>
      <w:bookmarkStart w:id="3" w:name="_Toc28359002"/>
      <w:r/>
      <w:bookmarkStart w:id="4" w:name="_Toc35393621"/>
      <w:r/>
      <w:bookmarkStart w:id="5" w:name="_Hlk24379207"/>
      <w:r/>
      <w:r/>
    </w:p>
    <w:p>
      <w:pPr>
        <w:ind w:firstLine="480"/>
        <w:spacing w:line="264" w:lineRule="auto"/>
        <w:rPr>
          <w:rFonts w:ascii="宋体" w:hAnsi="宋体"/>
          <w:sz w:val="24"/>
          <w:szCs w:val="24"/>
        </w:rPr>
      </w:pPr>
      <w:r>
        <w:rPr>
          <w:rFonts w:hint="eastAsia" w:ascii="宋体" w:hAnsi="宋体"/>
          <w:sz w:val="24"/>
          <w:szCs w:val="24"/>
        </w:rPr>
        <w:t xml:space="preserve">受</w:t>
      </w:r>
      <w:r>
        <w:rPr>
          <w:rFonts w:ascii="宋体" w:hAnsi="宋体"/>
          <w:sz w:val="24"/>
          <w:szCs w:val="24"/>
        </w:rPr>
        <w:t xml:space="preserve">南京市江宁生态环境局</w:t>
      </w:r>
      <w:r>
        <w:rPr>
          <w:rFonts w:hint="eastAsia" w:ascii="宋体" w:hAnsi="宋体"/>
          <w:sz w:val="24"/>
          <w:szCs w:val="24"/>
        </w:rPr>
        <w:t xml:space="preserve">委托，南京市公共资源交易中心江宁分中心（以下简称“交易中心”）就</w:t>
      </w:r>
      <w:r>
        <w:rPr>
          <w:rFonts w:ascii="宋体" w:hAnsi="宋体"/>
          <w:sz w:val="24"/>
          <w:szCs w:val="24"/>
        </w:rPr>
        <w:t xml:space="preserve">江宁区重点区域餐饮油烟在线监控系统运维服务</w:t>
      </w:r>
      <w:r>
        <w:rPr>
          <w:rFonts w:hint="eastAsia" w:ascii="宋体" w:hAnsi="宋体"/>
          <w:sz w:val="24"/>
          <w:szCs w:val="24"/>
        </w:rPr>
        <w:t xml:space="preserve">（项目名称）项目进行公开招标采购，欢迎符合条件的供应商投标。</w:t>
      </w:r>
      <w:r/>
    </w:p>
    <w:p>
      <w:pPr>
        <w:pStyle w:val="645"/>
        <w:ind w:firstLine="465"/>
        <w:spacing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0"/>
      <w:r/>
      <w:bookmarkEnd w:id="1"/>
      <w:r/>
      <w:bookmarkEnd w:id="2"/>
      <w:r/>
      <w:bookmarkEnd w:id="3"/>
      <w:r/>
      <w:bookmarkEnd w:id="4"/>
      <w:r/>
      <w:bookmarkEnd w:id="5"/>
      <w:r/>
    </w:p>
    <w:p>
      <w:pPr>
        <w:ind w:firstLine="480"/>
        <w:spacing w:line="264" w:lineRule="auto"/>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w:t>
      </w:r>
      <w:r>
        <w:rPr>
          <w:rFonts w:ascii="宋体" w:hAnsi="宋体"/>
          <w:sz w:val="24"/>
          <w:szCs w:val="24"/>
        </w:rPr>
        <w:t xml:space="preserve">JSZC-320115-JZCG-G2024-0178</w:t>
      </w:r>
      <w:r/>
    </w:p>
    <w:p>
      <w:pPr>
        <w:ind w:firstLine="480"/>
        <w:spacing w:line="264" w:lineRule="auto"/>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江宁区重点区域餐饮油烟</w:t>
      </w:r>
      <w:r>
        <w:rPr>
          <w:rFonts w:hint="eastAsia" w:ascii="宋体" w:hAnsi="宋体"/>
          <w:sz w:val="24"/>
          <w:szCs w:val="24"/>
        </w:rPr>
        <w:t xml:space="preserve">在线</w:t>
      </w:r>
      <w:r>
        <w:rPr>
          <w:rFonts w:hint="eastAsia" w:ascii="宋体" w:hAnsi="宋体"/>
          <w:sz w:val="24"/>
          <w:szCs w:val="24"/>
        </w:rPr>
        <w:t xml:space="preserve">监控系统运维</w:t>
      </w:r>
      <w:r>
        <w:rPr>
          <w:rFonts w:ascii="宋体" w:hAnsi="宋体"/>
          <w:sz w:val="24"/>
          <w:szCs w:val="24"/>
        </w:rPr>
        <w:t xml:space="preserve">服务</w:t>
      </w:r>
      <w:r/>
    </w:p>
    <w:p>
      <w:pPr>
        <w:ind w:firstLine="480"/>
        <w:spacing w:line="264" w:lineRule="auto"/>
        <w:rPr>
          <w:rFonts w:ascii="宋体" w:hAnsi="宋体"/>
          <w:sz w:val="24"/>
          <w:szCs w:val="24"/>
        </w:rPr>
      </w:pPr>
      <w:r>
        <w:rPr>
          <w:rFonts w:hint="eastAsia" w:ascii="宋体" w:hAnsi="宋体"/>
          <w:sz w:val="24"/>
          <w:szCs w:val="24"/>
        </w:rPr>
        <w:t xml:space="preserve">3.预算金额：</w:t>
      </w:r>
      <w:r>
        <w:rPr>
          <w:rFonts w:hint="eastAsia" w:ascii="宋体" w:hAnsi="宋体"/>
          <w:sz w:val="24"/>
          <w:szCs w:val="24"/>
        </w:rPr>
        <w:t xml:space="preserve">三年共</w:t>
      </w:r>
      <w:r>
        <w:rPr>
          <w:rFonts w:hint="eastAsia" w:ascii="宋体" w:hAnsi="宋体"/>
          <w:sz w:val="24"/>
          <w:szCs w:val="24"/>
        </w:rPr>
        <w:t xml:space="preserve">300万元 </w:t>
      </w:r>
      <w:r/>
    </w:p>
    <w:p>
      <w:pPr>
        <w:ind w:firstLine="480"/>
        <w:spacing w:line="264" w:lineRule="auto"/>
        <w:rPr>
          <w:rFonts w:ascii="宋体" w:hAnsi="宋体"/>
          <w:color w:val="0000ff"/>
          <w:sz w:val="24"/>
          <w:szCs w:val="24"/>
        </w:rPr>
      </w:pPr>
      <w:r>
        <w:rPr>
          <w:rFonts w:hint="eastAsia" w:ascii="宋体" w:hAnsi="宋体"/>
          <w:sz w:val="24"/>
          <w:szCs w:val="24"/>
        </w:rPr>
        <w:t xml:space="preserve">4.最高限价</w:t>
      </w:r>
      <w:r>
        <w:rPr>
          <w:rFonts w:hint="eastAsia" w:ascii="宋体" w:hAnsi="宋体"/>
          <w:sz w:val="24"/>
          <w:szCs w:val="24"/>
        </w:rPr>
        <w:t xml:space="preserve">：</w:t>
      </w:r>
      <w:r>
        <w:rPr>
          <w:rFonts w:hint="eastAsia" w:ascii="宋体" w:hAnsi="宋体"/>
          <w:sz w:val="24"/>
          <w:szCs w:val="24"/>
        </w:rPr>
        <w:t xml:space="preserve">本项目设定最高限价为3</w:t>
      </w:r>
      <w:r>
        <w:rPr>
          <w:rFonts w:hint="eastAsia" w:ascii="宋体" w:hAnsi="宋体"/>
          <w:sz w:val="24"/>
          <w:szCs w:val="24"/>
        </w:rPr>
        <w:t xml:space="preserve">00万元。</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江宁区重点区域餐饮油烟在线监控系统运维服务内容包括开展净化器运行状态在线监测，根据监管重点动态调整纳入监测的餐饮企业名单，确保在线监测数量点位不少于300个要求。安排专人对重点区域在线餐饮数据进行采集存储，建立智能分析系统，及时发现净化器运行异常情况，实现预警提醒、跟踪调度、赴现场排查处置、闭环管理。协助指导餐饮企业</w:t>
      </w:r>
      <w:r>
        <w:rPr>
          <w:rFonts w:hint="eastAsia" w:ascii="宋体" w:hAnsi="宋体"/>
          <w:sz w:val="24"/>
          <w:szCs w:val="24"/>
        </w:rPr>
        <w:t xml:space="preserve">按要求</w:t>
      </w:r>
      <w:r>
        <w:rPr>
          <w:rFonts w:hint="eastAsia" w:ascii="宋体" w:hAnsi="宋体"/>
          <w:sz w:val="24"/>
          <w:szCs w:val="24"/>
        </w:rPr>
        <w:t xml:space="preserve">开展油烟净化器</w:t>
      </w:r>
      <w:r>
        <w:rPr>
          <w:rFonts w:hint="eastAsia" w:ascii="宋体" w:hAnsi="宋体"/>
          <w:sz w:val="24"/>
          <w:szCs w:val="24"/>
        </w:rPr>
        <w:t xml:space="preserve">清洗和维护，</w:t>
      </w:r>
      <w:r>
        <w:rPr>
          <w:rFonts w:hint="eastAsia" w:ascii="宋体" w:hAnsi="宋体"/>
          <w:sz w:val="24"/>
          <w:szCs w:val="24"/>
        </w:rPr>
        <w:t xml:space="preserve">并将清洗记录上传南京市《餐饮“码”上洗》平台。供应商应提供相关软硬件设备给采购人使用，</w:t>
      </w:r>
      <w:r>
        <w:rPr>
          <w:rFonts w:hint="eastAsia" w:ascii="宋体" w:hAnsi="宋体"/>
          <w:sz w:val="24"/>
          <w:szCs w:val="24"/>
        </w:rPr>
        <w:t xml:space="preserve">按要求</w:t>
      </w:r>
      <w:r>
        <w:rPr>
          <w:rFonts w:hint="eastAsia" w:ascii="宋体" w:hAnsi="宋体"/>
          <w:sz w:val="24"/>
          <w:szCs w:val="24"/>
        </w:rPr>
        <w:t xml:space="preserve">提供数据分析报告，服务周期为三年，服务到期后，软硬件设备产权</w:t>
      </w:r>
      <w:r>
        <w:rPr>
          <w:rFonts w:hint="eastAsia" w:ascii="宋体" w:hAnsi="宋体"/>
          <w:sz w:val="24"/>
          <w:szCs w:val="24"/>
        </w:rPr>
        <w:t xml:space="preserve">归供应</w:t>
      </w:r>
      <w:r>
        <w:rPr>
          <w:rFonts w:hint="eastAsia" w:ascii="宋体" w:hAnsi="宋体"/>
          <w:sz w:val="24"/>
          <w:szCs w:val="24"/>
        </w:rPr>
        <w:t xml:space="preserve">商所有。</w:t>
      </w:r>
      <w:r>
        <w:rPr>
          <w:rFonts w:hint="eastAsia" w:ascii="宋体" w:hAnsi="宋体" w:cs="宋体"/>
          <w:sz w:val="24"/>
          <w:szCs w:val="24"/>
        </w:rPr>
        <w:t xml:space="preserve">（</w:t>
      </w:r>
      <w:r>
        <w:rPr>
          <w:rFonts w:hint="eastAsia" w:ascii="宋体" w:hAnsi="宋体" w:cs="宋体"/>
          <w:sz w:val="24"/>
          <w:szCs w:val="24"/>
        </w:rPr>
        <w:t xml:space="preserve">详细内容见本招标文件第四章） </w:t>
      </w:r>
      <w:r/>
    </w:p>
    <w:p>
      <w:pPr>
        <w:ind w:firstLine="480"/>
        <w:spacing w:line="264" w:lineRule="auto"/>
        <w:rPr>
          <w:rFonts w:ascii="宋体" w:hAnsi="宋体" w:cs="宋体"/>
          <w:sz w:val="24"/>
          <w:szCs w:val="24"/>
          <w:highlight w:val="yellow"/>
        </w:rPr>
      </w:pPr>
      <w:r>
        <w:rPr>
          <w:rFonts w:hint="eastAsia" w:ascii="宋体" w:hAnsi="宋体"/>
          <w:sz w:val="24"/>
          <w:szCs w:val="24"/>
        </w:rPr>
        <w:t xml:space="preserve">6.合同履行期限</w:t>
      </w:r>
      <w:r>
        <w:rPr>
          <w:rFonts w:hint="eastAsia" w:ascii="宋体" w:hAnsi="宋体"/>
          <w:sz w:val="24"/>
          <w:szCs w:val="24"/>
        </w:rPr>
        <w:t xml:space="preserve">：本项目服务期三</w:t>
      </w:r>
      <w:r>
        <w:rPr>
          <w:rFonts w:hint="eastAsia" w:ascii="宋体" w:hAnsi="宋体"/>
          <w:sz w:val="24"/>
          <w:szCs w:val="24"/>
        </w:rPr>
        <w:t xml:space="preserve">年（合同一签三年），</w:t>
      </w:r>
      <w:r>
        <w:rPr>
          <w:rFonts w:hint="eastAsia" w:ascii="宋体" w:hAnsi="宋体"/>
          <w:sz w:val="24"/>
          <w:szCs w:val="24"/>
        </w:rPr>
        <w:t xml:space="preserve">服务时间从监测设备全部安装调试交付使用后计算。</w:t>
      </w:r>
      <w:r>
        <w:rPr>
          <w:rFonts w:hint="eastAsia"/>
        </w:rPr>
        <w:t xml:space="preserve">三年</w:t>
      </w:r>
      <w:r>
        <w:t xml:space="preserve">总预算</w:t>
      </w:r>
      <w:r>
        <w:rPr>
          <w:rFonts w:hint="eastAsia"/>
        </w:rPr>
        <w:t xml:space="preserve">3</w:t>
      </w:r>
      <w:r>
        <w:t xml:space="preserve">00</w:t>
      </w:r>
      <w:r>
        <w:t xml:space="preserve">万元。</w:t>
      </w:r>
      <w:r/>
    </w:p>
    <w:p>
      <w:pPr>
        <w:ind w:firstLine="480"/>
        <w:spacing w:line="264" w:lineRule="auto"/>
        <w:rPr>
          <w:rFonts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w:t>
      </w:r>
      <w:r>
        <w:rPr>
          <w:rFonts w:hint="eastAsia" w:ascii="宋体" w:hAnsi="宋体" w:cs="宋体"/>
          <w:sz w:val="24"/>
          <w:szCs w:val="24"/>
        </w:rPr>
        <w:t xml:space="preserve">目不接受联</w:t>
      </w:r>
      <w:r>
        <w:rPr>
          <w:rFonts w:hint="eastAsia" w:ascii="宋体" w:hAnsi="宋体" w:cs="宋体"/>
          <w:sz w:val="24"/>
          <w:szCs w:val="24"/>
        </w:rPr>
        <w:t xml:space="preserve">合体投标。</w:t>
      </w:r>
      <w:r/>
    </w:p>
    <w:p>
      <w:pPr>
        <w:pStyle w:val="645"/>
        <w:ind w:firstLine="465"/>
        <w:spacing w:line="264" w:lineRule="auto"/>
        <w:rPr>
          <w:rFonts w:ascii="方正黑体_GBK" w:hAnsi="方正黑体_GBK" w:eastAsia="方正黑体_GBK" w:cs="方正黑体_GBK"/>
          <w:b w:val="0"/>
          <w:bCs w:val="0"/>
          <w:sz w:val="30"/>
          <w:szCs w:val="30"/>
        </w:rPr>
      </w:pPr>
      <w:r/>
      <w:bookmarkStart w:id="6" w:name="_Toc28359003"/>
      <w:r/>
      <w:bookmarkStart w:id="7" w:name="_Toc28359080"/>
      <w:r/>
      <w:bookmarkStart w:id="8" w:name="_Toc38985264"/>
      <w:r/>
      <w:bookmarkStart w:id="9" w:name="_Toc35393791"/>
      <w:r/>
      <w:bookmarkStart w:id="10" w:name="_Toc35393622"/>
      <w:r>
        <w:rPr>
          <w:rFonts w:hint="eastAsia" w:ascii="方正黑体_GBK" w:hAnsi="方正黑体_GBK" w:eastAsia="方正黑体_GBK" w:cs="方正黑体_GBK"/>
          <w:b w:val="0"/>
          <w:bCs w:val="0"/>
          <w:sz w:val="30"/>
          <w:szCs w:val="30"/>
        </w:rPr>
        <w:t xml:space="preserve">二、申请人的资格要求</w:t>
      </w:r>
      <w:bookmarkEnd w:id="6"/>
      <w:r/>
      <w:bookmarkEnd w:id="7"/>
      <w:r/>
      <w:bookmarkEnd w:id="8"/>
      <w:r/>
      <w:bookmarkEnd w:id="9"/>
      <w:r/>
      <w:bookmarkEnd w:id="10"/>
      <w:r/>
      <w:r/>
    </w:p>
    <w:p>
      <w:pPr>
        <w:ind w:firstLine="480"/>
        <w:spacing w:line="264" w:lineRule="auto"/>
        <w:rPr>
          <w:rFonts w:ascii="宋体" w:hAnsi="宋体"/>
          <w:sz w:val="24"/>
          <w:szCs w:val="24"/>
        </w:rPr>
      </w:pPr>
      <w:r/>
      <w:bookmarkStart w:id="11" w:name="_Toc35393792"/>
      <w:r/>
      <w:bookmarkStart w:id="12" w:name="_Toc35393623"/>
      <w:r/>
      <w:bookmarkStart w:id="13" w:name="_Toc38985265"/>
      <w:r/>
      <w:bookmarkStart w:id="14" w:name="_Toc28359004"/>
      <w:r/>
      <w:bookmarkStart w:id="15"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64" w:lineRule="auto"/>
        <w:rPr>
          <w:rFonts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ascii="宋体" w:hAnsi="宋体"/>
          <w:sz w:val="24"/>
          <w:szCs w:val="24"/>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p>
    <w:p>
      <w:pPr>
        <w:ind w:firstLine="480"/>
        <w:spacing w:line="264" w:lineRule="auto"/>
        <w:rPr>
          <w:rFonts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264" w:lineRule="auto"/>
        <w:rPr>
          <w:rFonts w:ascii="宋体" w:hAnsi="宋体"/>
          <w:sz w:val="24"/>
          <w:szCs w:val="24"/>
        </w:rPr>
      </w:pPr>
      <w:r>
        <w:rPr>
          <w:rFonts w:hint="eastAsia" w:ascii="宋体" w:hAnsi="宋体"/>
          <w:sz w:val="24"/>
          <w:szCs w:val="24"/>
        </w:rPr>
        <w:t xml:space="preserve">（二）本项目的特定资格要求：无</w:t>
      </w:r>
      <w:r/>
    </w:p>
    <w:p>
      <w:pPr>
        <w:ind w:firstLine="480"/>
        <w:spacing w:line="264" w:lineRule="auto"/>
        <w:rPr>
          <w:rFonts w:ascii="宋体" w:hAnsi="宋体"/>
          <w:sz w:val="24"/>
          <w:szCs w:val="24"/>
        </w:rPr>
      </w:pPr>
      <w:r>
        <w:rPr>
          <w:rFonts w:hint="eastAsia" w:ascii="宋体" w:hAnsi="宋体"/>
          <w:sz w:val="24"/>
          <w:szCs w:val="24"/>
        </w:rPr>
        <w:t xml:space="preserve">（三）拒绝下述供应商参加本次采购活动</w:t>
      </w:r>
      <w:r/>
    </w:p>
    <w:p>
      <w:pPr>
        <w:ind w:firstLine="480"/>
        <w:spacing w:line="264"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645"/>
        <w:ind w:firstLine="465"/>
        <w:spacing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1"/>
      <w:r/>
      <w:bookmarkEnd w:id="12"/>
      <w:r/>
      <w:bookmarkEnd w:id="13"/>
      <w:r/>
      <w:bookmarkEnd w:id="14"/>
      <w:r/>
      <w:bookmarkEnd w:id="15"/>
      <w:r/>
      <w:r/>
    </w:p>
    <w:p>
      <w:pPr>
        <w:ind w:firstLine="480"/>
        <w:spacing w:line="264" w:lineRule="auto"/>
        <w:rPr>
          <w:rFonts w:ascii="宋体" w:hAnsi="宋体" w:cs="宋体"/>
          <w:sz w:val="24"/>
          <w:szCs w:val="24"/>
        </w:rPr>
      </w:pPr>
      <w:r/>
      <w:bookmarkStart w:id="16" w:name="_Toc28359005"/>
      <w:r/>
      <w:bookmarkStart w:id="17" w:name="_Toc28359082"/>
      <w:r/>
      <w:bookmarkStart w:id="18" w:name="_Toc38985266"/>
      <w:r/>
      <w:bookmarkStart w:id="19" w:name="_Toc35393624"/>
      <w:r/>
      <w:bookmarkStart w:id="20" w:name="_Toc35393793"/>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45"/>
        <w:ind w:firstLine="465"/>
        <w:spacing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16"/>
      <w:r/>
      <w:bookmarkEnd w:id="17"/>
      <w:r>
        <w:rPr>
          <w:rFonts w:hint="eastAsia" w:ascii="方正黑体_GBK" w:hAnsi="方正黑体_GBK" w:eastAsia="方正黑体_GBK" w:cs="方正黑体_GBK"/>
          <w:b w:val="0"/>
          <w:bCs w:val="0"/>
          <w:sz w:val="30"/>
          <w:szCs w:val="30"/>
        </w:rPr>
        <w:t xml:space="preserve">截止时间、开标时间和地点</w:t>
      </w:r>
      <w:bookmarkEnd w:id="18"/>
      <w:r/>
      <w:bookmarkEnd w:id="19"/>
      <w:r/>
      <w:bookmarkEnd w:id="20"/>
      <w:r/>
      <w:r/>
    </w:p>
    <w:p>
      <w:pPr>
        <w:ind w:firstLine="480"/>
        <w:spacing w:line="264" w:lineRule="auto"/>
        <w:rPr>
          <w:rFonts w:ascii="宋体" w:hAnsi="宋体"/>
          <w:bCs/>
          <w:sz w:val="24"/>
          <w:szCs w:val="24"/>
          <w:u w:val="single"/>
        </w:rPr>
      </w:pPr>
      <w:r/>
      <w:bookmarkStart w:id="21" w:name="_Toc38985267"/>
      <w:r/>
      <w:bookmarkStart w:id="22" w:name="_Toc28359084"/>
      <w:r/>
      <w:bookmarkStart w:id="23" w:name="_Toc35393625"/>
      <w:r/>
      <w:bookmarkStart w:id="24" w:name="_Toc28359007"/>
      <w:r/>
      <w:bookmarkStart w:id="25" w:name="_Toc35393794"/>
      <w:r>
        <w:rPr>
          <w:rFonts w:hint="eastAsia" w:ascii="宋体" w:hAnsi="宋体" w:cs="宋体"/>
          <w:sz w:val="24"/>
          <w:szCs w:val="24"/>
        </w:rPr>
        <w:t xml:space="preserve">1.提交投标文件截止时间、开标</w:t>
      </w:r>
      <w:r>
        <w:rPr>
          <w:rFonts w:hint="eastAsia" w:ascii="宋体" w:hAnsi="宋体" w:cs="宋体"/>
          <w:sz w:val="24"/>
          <w:szCs w:val="24"/>
        </w:rPr>
        <w:t xml:space="preserve">时间：</w:t>
      </w:r>
      <w:r>
        <w:rPr>
          <w:rFonts w:hint="eastAsia" w:ascii="宋体" w:hAnsi="宋体" w:cs="宋体"/>
          <w:bCs/>
          <w:sz w:val="24"/>
          <w:szCs w:val="24"/>
        </w:rPr>
        <w:t xml:space="preserve">20</w:t>
      </w:r>
      <w:r>
        <w:rPr>
          <w:rFonts w:hint="eastAsia" w:ascii="宋体" w:hAnsi="宋体" w:cs="宋体"/>
          <w:sz w:val="24"/>
          <w:szCs w:val="24"/>
        </w:rPr>
        <w:t xml:space="preserve">25</w:t>
      </w:r>
      <w:r>
        <w:rPr>
          <w:rFonts w:hint="eastAsia" w:ascii="宋体" w:hAnsi="宋体"/>
          <w:bCs/>
          <w:sz w:val="24"/>
          <w:szCs w:val="24"/>
        </w:rPr>
        <w:t xml:space="preserve">年</w:t>
      </w:r>
      <w:r>
        <w:rPr>
          <w:rFonts w:hint="eastAsia" w:ascii="宋体" w:hAnsi="宋体" w:cs="宋体"/>
          <w:sz w:val="24"/>
          <w:szCs w:val="24"/>
        </w:rPr>
        <w:t xml:space="preserve">1</w:t>
      </w:r>
      <w:r>
        <w:rPr>
          <w:rFonts w:hint="eastAsia" w:ascii="宋体" w:hAnsi="宋体"/>
          <w:bCs/>
          <w:sz w:val="24"/>
          <w:szCs w:val="24"/>
        </w:rPr>
        <w:t xml:space="preserve">月</w:t>
      </w:r>
      <w:r>
        <w:rPr>
          <w:rFonts w:hint="eastAsia" w:ascii="宋体" w:hAnsi="宋体" w:cs="宋体"/>
          <w:sz w:val="24"/>
          <w:szCs w:val="24"/>
        </w:rPr>
        <w:t xml:space="preserve">13</w:t>
      </w:r>
      <w:r>
        <w:rPr>
          <w:rFonts w:hint="eastAsia" w:ascii="宋体" w:hAnsi="宋体"/>
          <w:bCs/>
          <w:sz w:val="24"/>
          <w:szCs w:val="24"/>
        </w:rPr>
        <w:t xml:space="preserve">日</w:t>
      </w:r>
      <w:r>
        <w:rPr>
          <w:rFonts w:hint="eastAsia" w:ascii="宋体" w:hAnsi="宋体" w:cs="宋体"/>
          <w:sz w:val="24"/>
          <w:szCs w:val="24"/>
        </w:rPr>
        <w:t xml:space="preserve">14</w:t>
      </w:r>
      <w:r>
        <w:rPr>
          <w:rFonts w:hint="eastAsia"/>
          <w:bCs/>
          <w:sz w:val="24"/>
          <w:szCs w:val="24"/>
        </w:rPr>
        <w:t xml:space="preserve">时</w:t>
      </w:r>
      <w:r>
        <w:rPr>
          <w:rFonts w:hint="eastAsia" w:ascii="宋体" w:hAnsi="宋体" w:cs="宋体"/>
          <w:sz w:val="24"/>
          <w:szCs w:val="24"/>
        </w:rPr>
        <w:t xml:space="preserve">00</w:t>
      </w:r>
      <w:r>
        <w:rPr>
          <w:rFonts w:hint="eastAsia" w:ascii="宋体" w:hAnsi="宋体"/>
          <w:bCs/>
          <w:sz w:val="24"/>
          <w:szCs w:val="24"/>
        </w:rPr>
        <w:t xml:space="preserve">分（北京时间）。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w:t>
      </w:r>
      <w:r>
        <w:rPr>
          <w:rFonts w:hint="eastAsia" w:ascii="宋体" w:hAnsi="宋体" w:cs="宋体"/>
          <w:sz w:val="24"/>
          <w:szCs w:val="24"/>
        </w:rPr>
        <w:t xml:space="preserve">采云</w:t>
      </w:r>
      <w:r>
        <w:rPr>
          <w:rFonts w:hint="eastAsia" w:ascii="宋体" w:hAnsi="宋体" w:cs="宋体"/>
          <w:sz w:val="24"/>
          <w:szCs w:val="24"/>
        </w:rPr>
        <w:t xml:space="preserve">系统”）网上开标大厅。</w:t>
      </w:r>
      <w:r/>
    </w:p>
    <w:p>
      <w:pPr>
        <w:pStyle w:val="645"/>
        <w:ind w:firstLine="465"/>
        <w:spacing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1"/>
      <w:r/>
      <w:bookmarkEnd w:id="22"/>
      <w:r/>
      <w:bookmarkEnd w:id="23"/>
      <w:r/>
      <w:bookmarkEnd w:id="24"/>
      <w:r/>
      <w:bookmarkEnd w:id="25"/>
      <w:r/>
      <w:r/>
    </w:p>
    <w:p>
      <w:pPr>
        <w:ind w:firstLine="480"/>
        <w:spacing w:line="264" w:lineRule="auto"/>
        <w:rPr>
          <w:rFonts w:ascii="宋体" w:hAnsi="宋体" w:cs="宋体"/>
          <w:sz w:val="24"/>
          <w:szCs w:val="24"/>
        </w:rPr>
      </w:pPr>
      <w:r/>
      <w:bookmarkStart w:id="26" w:name="_Toc38985268"/>
      <w:r/>
      <w:bookmarkStart w:id="27" w:name="_Toc35393795"/>
      <w:r/>
      <w:bookmarkStart w:id="28" w:name="_Toc35393626"/>
      <w:r>
        <w:rPr>
          <w:rFonts w:hint="eastAsia" w:ascii="宋体" w:hAnsi="宋体" w:cs="宋体"/>
          <w:sz w:val="24"/>
          <w:szCs w:val="24"/>
        </w:rPr>
        <w:t xml:space="preserve">公告期限为自本公告发布之日起5个工作日。</w:t>
      </w:r>
      <w:r/>
    </w:p>
    <w:p>
      <w:pPr>
        <w:pStyle w:val="645"/>
        <w:ind w:firstLine="465"/>
        <w:spacing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26"/>
      <w:r/>
      <w:bookmarkEnd w:id="27"/>
      <w:r/>
      <w:bookmarkEnd w:id="28"/>
      <w:r/>
      <w:r/>
    </w:p>
    <w:p>
      <w:pPr>
        <w:ind w:firstLine="480"/>
        <w:spacing w:line="264" w:lineRule="auto"/>
        <w:tabs>
          <w:tab w:val="left" w:pos="900" w:leader="none"/>
        </w:tabs>
        <w:rPr>
          <w:rFonts w:ascii="宋体" w:hAnsi="宋体"/>
          <w:bCs/>
          <w:sz w:val="24"/>
          <w:szCs w:val="24"/>
        </w:rPr>
      </w:pPr>
      <w:r/>
      <w:bookmarkStart w:id="29" w:name="_Toc28359008"/>
      <w:r/>
      <w:bookmarkStart w:id="30" w:name="_Toc38985269"/>
      <w:r/>
      <w:bookmarkStart w:id="31" w:name="_Toc35393796"/>
      <w:r/>
      <w:bookmarkStart w:id="32" w:name="_Toc28359085"/>
      <w:r/>
      <w:bookmarkStart w:id="33" w:name="_Toc35393627"/>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64" w:lineRule="auto"/>
        <w:rPr>
          <w:rFonts w:ascii="宋体" w:hAnsi="宋体" w:cs="宋体"/>
          <w:sz w:val="24"/>
          <w:szCs w:val="24"/>
        </w:rPr>
      </w:pPr>
      <w:r>
        <w:rPr>
          <w:rFonts w:hint="eastAsia" w:ascii="宋体" w:hAnsi="宋体" w:cs="宋体"/>
          <w:sz w:val="24"/>
          <w:szCs w:val="24"/>
        </w:rPr>
        <w:t xml:space="preserve">3.供应商通过苏</w:t>
      </w:r>
      <w:r>
        <w:rPr>
          <w:rFonts w:hint="eastAsia" w:ascii="宋体" w:hAnsi="宋体" w:cs="宋体"/>
          <w:sz w:val="24"/>
          <w:szCs w:val="24"/>
        </w:rPr>
        <w:t xml:space="preserve">采云</w:t>
      </w:r>
      <w:r>
        <w:rPr>
          <w:rFonts w:hint="eastAsia" w:ascii="宋体" w:hAnsi="宋体" w:cs="宋体"/>
          <w:sz w:val="24"/>
          <w:szCs w:val="24"/>
        </w:rPr>
        <w:t xml:space="preserve">系统参与政府采购项目，需要办理江苏省政府采购数字证书及电子签章，具体详见苏</w:t>
      </w:r>
      <w:r>
        <w:rPr>
          <w:rFonts w:hint="eastAsia" w:ascii="宋体" w:hAnsi="宋体" w:cs="宋体"/>
          <w:sz w:val="24"/>
          <w:szCs w:val="24"/>
        </w:rPr>
        <w:t xml:space="preserve">采云</w:t>
      </w:r>
      <w:r>
        <w:rPr>
          <w:rFonts w:hint="eastAsia" w:ascii="宋体" w:hAnsi="宋体" w:cs="宋体"/>
          <w:sz w:val="24"/>
          <w:szCs w:val="24"/>
        </w:rPr>
        <w:t xml:space="preserve">系统登录页“新CA办理指南”。供应商按《苏</w:t>
      </w:r>
      <w:r>
        <w:rPr>
          <w:rFonts w:hint="eastAsia" w:ascii="宋体" w:hAnsi="宋体" w:cs="宋体"/>
          <w:sz w:val="24"/>
          <w:szCs w:val="24"/>
        </w:rPr>
        <w:t xml:space="preserve">采云</w:t>
      </w:r>
      <w:r>
        <w:rPr>
          <w:rFonts w:hint="eastAsia" w:ascii="宋体" w:hAnsi="宋体" w:cs="宋体"/>
          <w:sz w:val="24"/>
          <w:szCs w:val="24"/>
        </w:rPr>
        <w:t xml:space="preserve">系统供应商操作手册》（以下简称“操作手册”）进行注册，并制作上传电子投标文件（“苏</w:t>
      </w:r>
      <w:r>
        <w:rPr>
          <w:rFonts w:hint="eastAsia" w:ascii="宋体" w:hAnsi="宋体" w:cs="宋体"/>
          <w:sz w:val="24"/>
          <w:szCs w:val="24"/>
        </w:rPr>
        <w:t xml:space="preserve">采云</w:t>
      </w:r>
      <w:r>
        <w:rPr>
          <w:rFonts w:hint="eastAsia" w:ascii="宋体" w:hAnsi="宋体" w:cs="宋体"/>
          <w:sz w:val="24"/>
          <w:szCs w:val="24"/>
        </w:rPr>
        <w:t xml:space="preserve">”南京地区客服热线025-83633744、025-83633743）。《操作手册》下载地址：http://www.ccgp-jiangsu.gov.cn/jiangsu/zlxz/ee/ee3a4bc5a3454aa2b0d9312230633ce9.html</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645"/>
        <w:ind w:firstLine="465"/>
        <w:spacing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29"/>
      <w:r/>
      <w:bookmarkEnd w:id="30"/>
      <w:r/>
      <w:bookmarkEnd w:id="31"/>
      <w:r/>
      <w:bookmarkEnd w:id="32"/>
      <w:r/>
      <w:bookmarkEnd w:id="33"/>
      <w:r/>
      <w:r/>
    </w:p>
    <w:p>
      <w:pPr>
        <w:ind w:firstLine="480"/>
        <w:spacing w:line="264" w:lineRule="auto"/>
        <w:rPr>
          <w:rFonts w:ascii="宋体" w:hAnsi="宋体"/>
          <w:sz w:val="24"/>
          <w:szCs w:val="24"/>
        </w:rPr>
      </w:pPr>
      <w:r>
        <w:rPr>
          <w:rFonts w:hint="eastAsia" w:ascii="宋体" w:hAnsi="宋体"/>
          <w:sz w:val="24"/>
          <w:szCs w:val="24"/>
        </w:rPr>
        <w:t xml:space="preserve">1.采购人</w:t>
      </w:r>
      <w:r/>
    </w:p>
    <w:p>
      <w:pPr>
        <w:ind w:firstLine="480"/>
        <w:spacing w:line="264" w:lineRule="auto"/>
        <w:rPr>
          <w:rFonts w:ascii="宋体" w:hAnsi="宋体"/>
          <w:sz w:val="24"/>
          <w:szCs w:val="24"/>
        </w:rPr>
      </w:pPr>
      <w:r/>
      <w:bookmarkStart w:id="34" w:name="_Toc28359086"/>
      <w:r/>
      <w:bookmarkStart w:id="35" w:name="_Toc28359009"/>
      <w:r>
        <w:rPr>
          <w:rFonts w:hint="eastAsia" w:ascii="宋体" w:hAnsi="宋体"/>
          <w:sz w:val="24"/>
          <w:szCs w:val="24"/>
        </w:rPr>
        <w:t xml:space="preserve">名  称：南京市江宁生态环境局 </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南京市江宁区秦淮路58号</w:t>
      </w:r>
      <w:r/>
    </w:p>
    <w:p>
      <w:pPr>
        <w:ind w:firstLine="480"/>
        <w:spacing w:line="264" w:lineRule="auto"/>
        <w:rPr>
          <w:rFonts w:ascii="宋体" w:hAnsi="宋体"/>
          <w:sz w:val="24"/>
          <w:szCs w:val="24"/>
        </w:rPr>
      </w:pPr>
      <w:r>
        <w:rPr>
          <w:rFonts w:hint="eastAsia" w:ascii="宋体" w:hAnsi="宋体"/>
          <w:sz w:val="24"/>
          <w:szCs w:val="24"/>
        </w:rPr>
        <w:t xml:space="preserve">联系人：许为忠</w:t>
      </w:r>
      <w:r/>
    </w:p>
    <w:p>
      <w:pPr>
        <w:ind w:firstLine="480"/>
        <w:spacing w:line="264" w:lineRule="auto"/>
        <w:rPr>
          <w:rFonts w:ascii="宋体" w:hAnsi="宋体"/>
          <w:sz w:val="24"/>
          <w:szCs w:val="24"/>
        </w:rPr>
      </w:pPr>
      <w:r>
        <w:rPr>
          <w:rFonts w:hint="eastAsia" w:ascii="宋体" w:hAnsi="宋体"/>
          <w:sz w:val="24"/>
          <w:szCs w:val="24"/>
        </w:rPr>
        <w:t xml:space="preserve">联系电话：025-</w:t>
      </w:r>
      <w:r>
        <w:rPr>
          <w:rFonts w:ascii="宋体" w:hAnsi="宋体"/>
          <w:sz w:val="24"/>
          <w:szCs w:val="24"/>
        </w:rPr>
        <w:t xml:space="preserve">69510780</w:t>
      </w:r>
      <w:r/>
    </w:p>
    <w:p>
      <w:pPr>
        <w:ind w:firstLine="480"/>
        <w:spacing w:line="264" w:lineRule="auto"/>
        <w:rPr>
          <w:rFonts w:ascii="宋体" w:hAnsi="宋体"/>
          <w:sz w:val="24"/>
          <w:szCs w:val="24"/>
        </w:rPr>
      </w:pPr>
      <w:r>
        <w:rPr>
          <w:rFonts w:hint="eastAsia" w:ascii="宋体" w:hAnsi="宋体"/>
          <w:sz w:val="24"/>
          <w:szCs w:val="24"/>
        </w:rPr>
        <w:t xml:space="preserve">2.交易中心</w:t>
      </w:r>
      <w:bookmarkEnd w:id="34"/>
      <w:r/>
      <w:bookmarkEnd w:id="35"/>
      <w:r/>
      <w:r/>
    </w:p>
    <w:p>
      <w:pPr>
        <w:ind w:firstLine="480"/>
        <w:spacing w:line="264" w:lineRule="auto"/>
        <w:rPr>
          <w:rFonts w:ascii="宋体" w:hAnsi="宋体"/>
          <w:sz w:val="24"/>
          <w:szCs w:val="24"/>
        </w:rPr>
      </w:pPr>
      <w:r>
        <w:rPr>
          <w:rFonts w:hint="eastAsia" w:ascii="宋体" w:hAnsi="宋体"/>
          <w:sz w:val="24"/>
          <w:szCs w:val="24"/>
        </w:rPr>
        <w:t xml:space="preserve">地　址：南京市</w:t>
      </w:r>
      <w:r>
        <w:rPr>
          <w:rFonts w:ascii="宋体" w:hAnsi="宋体"/>
          <w:sz w:val="24"/>
          <w:szCs w:val="24"/>
        </w:rPr>
        <w:t xml:space="preserve">江宁区</w:t>
      </w:r>
      <w:r>
        <w:rPr>
          <w:rFonts w:ascii="宋体" w:hAnsi="宋体"/>
          <w:sz w:val="24"/>
          <w:szCs w:val="24"/>
        </w:rPr>
        <w:t xml:space="preserve">杨家圩路2号</w:t>
      </w:r>
      <w:r>
        <w:rPr>
          <w:rFonts w:ascii="宋体" w:hAnsi="宋体"/>
          <w:sz w:val="24"/>
          <w:szCs w:val="24"/>
        </w:rPr>
        <w:t xml:space="preserve">市民中心</w:t>
      </w:r>
      <w:r>
        <w:rPr>
          <w:rFonts w:hint="eastAsia" w:ascii="宋体" w:hAnsi="宋体"/>
          <w:sz w:val="24"/>
          <w:szCs w:val="24"/>
        </w:rPr>
        <w:t xml:space="preserve">A</w:t>
      </w:r>
      <w:r>
        <w:rPr>
          <w:rFonts w:ascii="宋体" w:hAnsi="宋体"/>
          <w:sz w:val="24"/>
          <w:szCs w:val="24"/>
        </w:rPr>
        <w:t xml:space="preserve">区</w:t>
      </w:r>
      <w:r>
        <w:rPr>
          <w:rFonts w:hint="eastAsia" w:ascii="宋体" w:hAnsi="宋体"/>
          <w:sz w:val="24"/>
          <w:szCs w:val="24"/>
        </w:rPr>
        <w:t xml:space="preserve">3</w:t>
      </w:r>
      <w:r>
        <w:rPr>
          <w:rFonts w:ascii="宋体" w:hAnsi="宋体"/>
          <w:sz w:val="24"/>
          <w:szCs w:val="24"/>
        </w:rPr>
        <w:t xml:space="preserve">楼</w:t>
      </w:r>
      <w:r/>
    </w:p>
    <w:p>
      <w:pPr>
        <w:ind w:firstLine="480"/>
        <w:spacing w:line="264" w:lineRule="auto"/>
        <w:rPr>
          <w:rFonts w:ascii="宋体" w:hAnsi="宋体"/>
          <w:sz w:val="24"/>
          <w:szCs w:val="24"/>
        </w:rPr>
      </w:pPr>
      <w:r>
        <w:rPr>
          <w:rFonts w:hint="eastAsia" w:ascii="宋体" w:hAnsi="宋体"/>
          <w:sz w:val="24"/>
          <w:szCs w:val="24"/>
        </w:rPr>
        <w:t xml:space="preserve">联系人：庄瑞琦</w:t>
      </w:r>
      <w:r/>
    </w:p>
    <w:p>
      <w:pPr>
        <w:ind w:firstLine="480"/>
        <w:spacing w:line="264" w:lineRule="auto"/>
      </w:pPr>
      <w:r>
        <w:rPr>
          <w:rFonts w:hint="eastAsia" w:ascii="宋体" w:hAnsi="宋体"/>
          <w:sz w:val="24"/>
          <w:szCs w:val="24"/>
        </w:rPr>
        <w:t xml:space="preserve">联系电话：025-69613982 </w:t>
      </w:r>
      <w:r/>
    </w:p>
    <w:p>
      <w:pPr>
        <w:jc w:val="center"/>
        <w:tabs>
          <w:tab w:val="left" w:pos="463" w:leader="none"/>
        </w:tabs>
        <w:rPr>
          <w:rFonts w:ascii="方正小标宋简体" w:hAnsi="方正小标宋简体" w:eastAsia="方正小标宋简体" w:cs="方正小标宋简体"/>
          <w:color w:val="000000"/>
          <w:sz w:val="36"/>
          <w:szCs w:val="36"/>
        </w:rPr>
      </w:pPr>
      <w:r/>
      <w:bookmarkStart w:id="36" w:name="_Toc120614211"/>
      <w:r/>
      <w:bookmarkStart w:id="37" w:name="_Toc513029242"/>
      <w:r/>
      <w:bookmarkStart w:id="38" w:name="_Toc20823314"/>
      <w:r/>
      <w:bookmarkStart w:id="39" w:name="_Toc120614221"/>
      <w:r/>
      <w:bookmarkStart w:id="40" w:name="_Toc16938558"/>
      <w:r/>
      <w:bookmarkStart w:id="41" w:name="_Toc479757207"/>
      <w:r/>
      <w:bookmarkStart w:id="42" w:name="_Hlt16619350"/>
      <w:r/>
      <w:bookmarkStart w:id="43" w:name="_Toc120614244"/>
      <w:r/>
      <w:bookmarkStart w:id="44" w:name="_Toc20823346"/>
      <w:r/>
      <w:bookmarkStart w:id="45" w:name="_Toc16938590"/>
      <w:r/>
      <w:bookmarkStart w:id="46" w:name="_Toc462564139"/>
      <w:r/>
      <w:bookmarkStart w:id="47" w:name="_Toc479757211"/>
      <w:r>
        <w:rPr>
          <w:rFonts w:hint="eastAsia" w:ascii="方正小标宋简体" w:hAnsi="方正小标宋简体" w:eastAsia="方正小标宋简体" w:cs="方正小标宋简体"/>
          <w:color w:val="000000"/>
          <w:sz w:val="36"/>
          <w:szCs w:val="36"/>
        </w:rPr>
        <w:t xml:space="preserve">第二章  </w:t>
      </w:r>
      <w:bookmarkStart w:id="48" w:name="_Toc16938518"/>
      <w:r/>
      <w:bookmarkStart w:id="49" w:name="_Toc20823274"/>
      <w:r/>
      <w:bookmarkStart w:id="50" w:name="_Toc120614213"/>
      <w:r/>
      <w:bookmarkStart w:id="51" w:name="_Toc513029202"/>
      <w:r/>
      <w:bookmarkEnd w:id="36"/>
      <w:r>
        <w:rPr>
          <w:rFonts w:hint="eastAsia" w:ascii="方正小标宋简体" w:hAnsi="方正小标宋简体" w:eastAsia="方正小标宋简体" w:cs="方正小标宋简体"/>
          <w:color w:val="000000"/>
          <w:sz w:val="36"/>
          <w:szCs w:val="36"/>
        </w:rPr>
        <w:t xml:space="preserve">投标人须知</w:t>
      </w:r>
      <w:bookmarkEnd w:id="48"/>
      <w:r/>
      <w:bookmarkEnd w:id="49"/>
      <w:r/>
      <w:bookmarkEnd w:id="50"/>
      <w:r/>
      <w:bookmarkEnd w:id="51"/>
      <w:r/>
      <w:r/>
    </w:p>
    <w:p>
      <w:pPr>
        <w:ind w:firstLine="465"/>
        <w:keepLines/>
        <w:keepNext/>
        <w:spacing w:line="252" w:lineRule="auto"/>
        <w:rPr>
          <w:rFonts w:ascii="方正黑体_GBK" w:hAnsi="方正黑体_GBK" w:eastAsia="方正黑体_GBK" w:cs="方正黑体_GBK"/>
          <w:sz w:val="30"/>
          <w:szCs w:val="30"/>
        </w:rPr>
        <w:outlineLvl w:val="2"/>
      </w:pPr>
      <w:r/>
      <w:bookmarkStart w:id="52" w:name="_Toc20823275"/>
      <w:r/>
      <w:bookmarkStart w:id="53" w:name="_Toc16938519"/>
      <w:r/>
      <w:bookmarkStart w:id="54" w:name="_Toc513029203"/>
      <w:r/>
      <w:bookmarkStart w:id="55" w:name="_Toc120614214"/>
      <w:r>
        <w:rPr>
          <w:rFonts w:hint="eastAsia" w:ascii="方正黑体_GBK" w:hAnsi="方正黑体_GBK" w:eastAsia="方正黑体_GBK" w:cs="方正黑体_GBK"/>
          <w:sz w:val="30"/>
          <w:szCs w:val="30"/>
        </w:rPr>
        <w:t xml:space="preserve">一、总则</w:t>
      </w:r>
      <w:bookmarkEnd w:id="52"/>
      <w:r/>
      <w:bookmarkEnd w:id="53"/>
      <w:r/>
      <w:bookmarkEnd w:id="54"/>
      <w:r/>
      <w:bookmarkEnd w:id="55"/>
      <w:r/>
      <w:r/>
    </w:p>
    <w:p>
      <w:pPr>
        <w:ind w:firstLine="420"/>
        <w:keepLines/>
        <w:keepNext/>
        <w:spacing w:line="252" w:lineRule="auto"/>
        <w:rPr>
          <w:rFonts w:ascii="方正楷体_GBK" w:hAnsi="方正楷体_GBK" w:eastAsia="方正楷体_GBK" w:cs="方正楷体_GBK"/>
          <w:b/>
          <w:bCs/>
          <w:sz w:val="28"/>
          <w:szCs w:val="28"/>
        </w:rPr>
        <w:outlineLvl w:val="3"/>
      </w:pPr>
      <w:r/>
      <w:bookmarkStart w:id="56" w:name="_Hlt16619475"/>
      <w:r/>
      <w:bookmarkStart w:id="57" w:name="_Toc458694821"/>
      <w:r/>
      <w:bookmarkStart w:id="58" w:name="_Toc513029204"/>
      <w:r/>
      <w:bookmarkStart w:id="59" w:name="_Toc16938520"/>
      <w:r/>
      <w:bookmarkStart w:id="60" w:name="_Toc20823276"/>
      <w:r/>
      <w:bookmarkEnd w:id="56"/>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rPr>
        <w:t xml:space="preserve">.招标方式</w:t>
      </w:r>
      <w:bookmarkEnd w:id="58"/>
      <w:r/>
      <w:bookmarkEnd w:id="59"/>
      <w:r/>
      <w:bookmarkEnd w:id="60"/>
      <w:r/>
      <w:r/>
    </w:p>
    <w:p>
      <w:pPr>
        <w:ind w:firstLine="420"/>
        <w:spacing w:line="252" w:lineRule="auto"/>
        <w:rPr>
          <w:rFonts w:ascii="宋体" w:hAnsi="宋体"/>
          <w:sz w:val="24"/>
        </w:rPr>
      </w:pPr>
      <w:r>
        <w:rPr>
          <w:rFonts w:hint="eastAsia" w:ascii="宋体" w:hAnsi="宋体"/>
          <w:sz w:val="24"/>
        </w:rPr>
        <w:t xml:space="preserve">1.1 本次招标采取公开招标方式，本文件仅适用于招标公告中所述项目。</w:t>
      </w:r>
      <w:r/>
    </w:p>
    <w:p>
      <w:pPr>
        <w:ind w:firstLine="420"/>
        <w:keepLines/>
        <w:keepNext/>
        <w:spacing w:line="252" w:lineRule="auto"/>
        <w:rPr>
          <w:rFonts w:ascii="方正楷体_GBK" w:hAnsi="方正楷体_GBK" w:eastAsia="方正楷体_GBK" w:cs="方正楷体_GBK"/>
          <w:b/>
          <w:bCs/>
          <w:sz w:val="28"/>
          <w:szCs w:val="28"/>
        </w:rPr>
        <w:outlineLvl w:val="3"/>
      </w:pPr>
      <w:r/>
      <w:bookmarkStart w:id="61" w:name="_Toc513029205"/>
      <w:r/>
      <w:bookmarkStart w:id="62" w:name="_Toc16938521"/>
      <w:r/>
      <w:bookmarkStart w:id="63" w:name="_Toc20823277"/>
      <w:r>
        <w:rPr>
          <w:rFonts w:hint="eastAsia" w:ascii="方正楷体_GBK" w:hAnsi="方正楷体_GBK" w:eastAsia="方正楷体_GBK" w:cs="方正楷体_GBK"/>
          <w:b/>
          <w:bCs/>
          <w:sz w:val="28"/>
          <w:szCs w:val="28"/>
        </w:rPr>
        <w:t xml:space="preserve">2.合格的投标人</w:t>
      </w:r>
      <w:bookmarkEnd w:id="61"/>
      <w:r/>
      <w:bookmarkEnd w:id="62"/>
      <w:r/>
      <w:bookmarkEnd w:id="63"/>
      <w:r/>
      <w:r/>
    </w:p>
    <w:p>
      <w:pPr>
        <w:ind w:firstLine="420"/>
        <w:spacing w:line="252" w:lineRule="auto"/>
        <w:rPr>
          <w:rFonts w:ascii="宋体" w:hAnsi="宋体"/>
          <w:sz w:val="24"/>
        </w:rPr>
      </w:pPr>
      <w:r>
        <w:rPr>
          <w:rFonts w:hint="eastAsia" w:ascii="宋体" w:hAnsi="宋体"/>
          <w:sz w:val="24"/>
        </w:rPr>
        <w:t xml:space="preserve">2.1 满足招标公告对供应商资格要求的规定。</w:t>
      </w:r>
      <w:r/>
    </w:p>
    <w:p>
      <w:pPr>
        <w:ind w:firstLine="420"/>
        <w:spacing w:line="252" w:lineRule="auto"/>
        <w:rPr>
          <w:rFonts w:ascii="宋体" w:hAnsi="宋体"/>
          <w:sz w:val="24"/>
        </w:rPr>
      </w:pPr>
      <w:r>
        <w:rPr>
          <w:rFonts w:hint="eastAsia" w:ascii="宋体" w:hAnsi="宋体"/>
          <w:sz w:val="24"/>
        </w:rPr>
        <w:t xml:space="preserve">2.2 满足招标文件规定的实质性要求和条件。</w:t>
      </w:r>
      <w:r/>
    </w:p>
    <w:p>
      <w:pPr>
        <w:ind w:firstLine="420"/>
        <w:keepLines/>
        <w:keepNext/>
        <w:spacing w:line="252" w:lineRule="auto"/>
        <w:rPr>
          <w:rFonts w:ascii="方正楷体_GBK" w:hAnsi="方正楷体_GBK" w:eastAsia="方正楷体_GBK" w:cs="方正楷体_GBK"/>
          <w:b/>
          <w:bCs/>
          <w:sz w:val="28"/>
          <w:szCs w:val="28"/>
        </w:rPr>
        <w:outlineLvl w:val="3"/>
      </w:pPr>
      <w:r/>
      <w:bookmarkStart w:id="64" w:name="_Toc16938522"/>
      <w:r/>
      <w:bookmarkStart w:id="65" w:name="_Toc20823278"/>
      <w:r/>
      <w:bookmarkStart w:id="66" w:name="_Toc513029206"/>
      <w:r>
        <w:rPr>
          <w:rFonts w:hint="eastAsia" w:ascii="方正楷体_GBK" w:hAnsi="方正楷体_GBK" w:eastAsia="方正楷体_GBK" w:cs="方正楷体_GBK"/>
          <w:b/>
          <w:bCs/>
          <w:sz w:val="28"/>
          <w:szCs w:val="28"/>
        </w:rPr>
        <w:t xml:space="preserve">3.适用法律</w:t>
      </w:r>
      <w:bookmarkEnd w:id="64"/>
      <w:r/>
      <w:bookmarkEnd w:id="65"/>
      <w:r/>
      <w:bookmarkEnd w:id="66"/>
      <w:r/>
      <w:r/>
    </w:p>
    <w:p>
      <w:pPr>
        <w:ind w:firstLine="420"/>
        <w:spacing w:line="252" w:lineRule="auto"/>
        <w:rPr>
          <w:rFonts w:ascii="宋体" w:hAnsi="宋体"/>
          <w:sz w:val="24"/>
        </w:rPr>
      </w:pPr>
      <w:r>
        <w:rPr>
          <w:rFonts w:hint="eastAsia" w:ascii="宋体" w:hAnsi="宋体"/>
          <w:sz w:val="24"/>
        </w:rPr>
        <w:t xml:space="preserve">3.1 本次招标及由此产生的合同受中华人民共和国有关的法律法规制约和保护。</w:t>
      </w:r>
      <w:r/>
    </w:p>
    <w:p>
      <w:pPr>
        <w:ind w:firstLine="420"/>
        <w:keepLines/>
        <w:keepNext/>
        <w:spacing w:line="252" w:lineRule="auto"/>
        <w:rPr>
          <w:rFonts w:ascii="方正楷体_GBK" w:hAnsi="方正楷体_GBK" w:eastAsia="方正楷体_GBK" w:cs="方正楷体_GBK"/>
          <w:b/>
          <w:bCs/>
          <w:sz w:val="28"/>
          <w:szCs w:val="28"/>
        </w:rPr>
        <w:outlineLvl w:val="3"/>
      </w:pPr>
      <w:r/>
      <w:bookmarkStart w:id="67" w:name="_Toc16938523"/>
      <w:r/>
      <w:bookmarkStart w:id="68" w:name="_Toc513029207"/>
      <w:r/>
      <w:bookmarkStart w:id="69" w:name="_Toc462564067"/>
      <w:r/>
      <w:bookmarkStart w:id="70" w:name="_Toc20823279"/>
      <w:r>
        <w:rPr>
          <w:rFonts w:hint="eastAsia" w:ascii="方正楷体_GBK" w:hAnsi="方正楷体_GBK" w:eastAsia="方正楷体_GBK" w:cs="方正楷体_GBK"/>
          <w:b/>
          <w:bCs/>
          <w:sz w:val="28"/>
          <w:szCs w:val="28"/>
        </w:rPr>
        <w:t xml:space="preserve">4.投标费用</w:t>
      </w:r>
      <w:bookmarkEnd w:id="67"/>
      <w:r/>
      <w:bookmarkEnd w:id="68"/>
      <w:r/>
      <w:bookmarkEnd w:id="69"/>
      <w:r/>
      <w:bookmarkEnd w:id="70"/>
      <w:r/>
      <w:r/>
    </w:p>
    <w:p>
      <w:pPr>
        <w:ind w:firstLine="420"/>
        <w:spacing w:line="252" w:lineRule="auto"/>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spacing w:line="252" w:lineRule="auto"/>
        <w:rPr>
          <w:rFonts w:ascii="宋体" w:hAnsi="宋体"/>
          <w:sz w:val="24"/>
        </w:rPr>
      </w:pPr>
      <w:r>
        <w:rPr>
          <w:rFonts w:hint="eastAsia" w:ascii="宋体" w:hAnsi="宋体"/>
          <w:sz w:val="24"/>
        </w:rPr>
        <w:t xml:space="preserve">4.2 本次招标交易中心和采购人不收取标书工本费与中标服务费。</w:t>
      </w:r>
      <w:r/>
    </w:p>
    <w:p>
      <w:pPr>
        <w:ind w:firstLine="420"/>
        <w:keepLines/>
        <w:keepNext/>
        <w:spacing w:line="252" w:lineRule="auto"/>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5.招标文件的约束力</w:t>
      </w:r>
      <w:r/>
    </w:p>
    <w:p>
      <w:pPr>
        <w:ind w:firstLine="420"/>
        <w:spacing w:line="252" w:lineRule="auto"/>
        <w:rPr>
          <w:rFonts w:ascii="宋体" w:hAnsi="宋体"/>
          <w:sz w:val="24"/>
        </w:rPr>
      </w:pPr>
      <w:r>
        <w:rPr>
          <w:rFonts w:hint="eastAsia" w:ascii="宋体" w:hAnsi="宋体"/>
          <w:sz w:val="24"/>
        </w:rPr>
        <w:t xml:space="preserve">5.1 投标人一旦参加本项目采购活动，即被认为接受了本文件的规定和约束。</w:t>
      </w:r>
      <w:r/>
    </w:p>
    <w:p>
      <w:pPr>
        <w:ind w:firstLine="465"/>
        <w:keepLines/>
        <w:keepNext/>
        <w:spacing w:line="252" w:lineRule="auto"/>
        <w:rPr>
          <w:rFonts w:ascii="方正黑体_GBK" w:hAnsi="方正黑体_GBK" w:eastAsia="方正黑体_GBK" w:cs="方正黑体_GBK"/>
          <w:sz w:val="30"/>
          <w:szCs w:val="30"/>
        </w:rPr>
        <w:outlineLvl w:val="2"/>
      </w:pPr>
      <w:r/>
      <w:bookmarkStart w:id="71" w:name="_Toc20823281"/>
      <w:r/>
      <w:bookmarkStart w:id="72" w:name="_Toc513029209"/>
      <w:r/>
      <w:bookmarkStart w:id="73" w:name="_Toc120614215"/>
      <w:r/>
      <w:bookmarkStart w:id="74" w:name="_Toc16938525"/>
      <w:r>
        <w:rPr>
          <w:rFonts w:hint="eastAsia" w:ascii="方正黑体_GBK" w:hAnsi="方正黑体_GBK" w:eastAsia="方正黑体_GBK" w:cs="方正黑体_GBK"/>
          <w:sz w:val="30"/>
          <w:szCs w:val="30"/>
        </w:rPr>
        <w:t xml:space="preserve">二、招标文件</w:t>
      </w:r>
      <w:bookmarkEnd w:id="71"/>
      <w:r/>
      <w:bookmarkEnd w:id="72"/>
      <w:r/>
      <w:bookmarkEnd w:id="73"/>
      <w:r/>
      <w:bookmarkEnd w:id="74"/>
      <w:r/>
      <w:r/>
    </w:p>
    <w:p>
      <w:pPr>
        <w:ind w:firstLine="420"/>
        <w:keepLines/>
        <w:keepNext/>
        <w:spacing w:line="252" w:lineRule="auto"/>
        <w:rPr>
          <w:rFonts w:ascii="方正楷体_GBK" w:hAnsi="方正楷体_GBK" w:eastAsia="方正楷体_GBK" w:cs="方正楷体_GBK"/>
          <w:b/>
          <w:bCs/>
          <w:sz w:val="28"/>
          <w:szCs w:val="28"/>
        </w:rPr>
        <w:outlineLvl w:val="3"/>
      </w:pPr>
      <w:r/>
      <w:bookmarkStart w:id="75" w:name="_Toc513029210"/>
      <w:r/>
      <w:bookmarkStart w:id="76" w:name="_Toc20823282"/>
      <w:r/>
      <w:bookmarkStart w:id="77" w:name="_Toc16938526"/>
      <w:r>
        <w:rPr>
          <w:rFonts w:hint="eastAsia" w:ascii="方正楷体_GBK" w:hAnsi="方正楷体_GBK" w:eastAsia="方正楷体_GBK" w:cs="方正楷体_GBK"/>
          <w:b/>
          <w:bCs/>
          <w:sz w:val="28"/>
          <w:szCs w:val="28"/>
        </w:rPr>
        <w:t xml:space="preserve">6.招标文件构成</w:t>
      </w:r>
      <w:bookmarkEnd w:id="75"/>
      <w:r/>
      <w:bookmarkEnd w:id="76"/>
      <w:r/>
      <w:bookmarkEnd w:id="77"/>
      <w:r/>
      <w:r/>
    </w:p>
    <w:p>
      <w:pPr>
        <w:ind w:firstLine="420"/>
        <w:spacing w:line="252" w:lineRule="auto"/>
        <w:rPr>
          <w:rFonts w:ascii="宋体" w:hAnsi="宋体"/>
          <w:sz w:val="24"/>
        </w:rPr>
      </w:pPr>
      <w:r>
        <w:rPr>
          <w:rFonts w:hint="eastAsia" w:ascii="宋体" w:hAnsi="宋体"/>
          <w:sz w:val="24"/>
        </w:rPr>
        <w:t xml:space="preserve">6.1 招标文件由以下部分组成：</w:t>
      </w:r>
      <w:r/>
    </w:p>
    <w:p>
      <w:pPr>
        <w:ind w:firstLine="420"/>
        <w:spacing w:line="252" w:lineRule="auto"/>
        <w:rPr>
          <w:rFonts w:ascii="宋体" w:hAnsi="宋体"/>
          <w:sz w:val="24"/>
        </w:rPr>
      </w:pPr>
      <w:r>
        <w:rPr>
          <w:rFonts w:hint="eastAsia" w:ascii="宋体" w:hAnsi="宋体"/>
          <w:sz w:val="24"/>
        </w:rPr>
        <w:t xml:space="preserve">（1）投标邀请</w:t>
      </w:r>
      <w:r/>
    </w:p>
    <w:p>
      <w:pPr>
        <w:ind w:firstLine="420"/>
        <w:spacing w:line="252" w:lineRule="auto"/>
        <w:rPr>
          <w:rFonts w:ascii="宋体" w:hAnsi="宋体"/>
          <w:sz w:val="24"/>
        </w:rPr>
      </w:pPr>
      <w:r>
        <w:rPr>
          <w:rFonts w:hint="eastAsia" w:ascii="宋体" w:hAnsi="宋体"/>
          <w:sz w:val="24"/>
        </w:rPr>
        <w:t xml:space="preserve">（2）投标人须知</w:t>
      </w:r>
      <w:r/>
    </w:p>
    <w:p>
      <w:pPr>
        <w:ind w:firstLine="420"/>
        <w:spacing w:line="252" w:lineRule="auto"/>
        <w:rPr>
          <w:rFonts w:ascii="宋体" w:hAnsi="宋体"/>
          <w:sz w:val="24"/>
        </w:rPr>
      </w:pPr>
      <w:r>
        <w:rPr>
          <w:rFonts w:hint="eastAsia" w:ascii="宋体" w:hAnsi="宋体"/>
          <w:sz w:val="24"/>
        </w:rPr>
        <w:t xml:space="preserve">（3）合同文本</w:t>
      </w:r>
      <w:r/>
    </w:p>
    <w:p>
      <w:pPr>
        <w:ind w:firstLine="420"/>
        <w:spacing w:line="252" w:lineRule="auto"/>
        <w:rPr>
          <w:rFonts w:ascii="宋体" w:hAnsi="宋体"/>
          <w:sz w:val="24"/>
        </w:rPr>
      </w:pPr>
      <w:r>
        <w:rPr>
          <w:rFonts w:hint="eastAsia" w:ascii="宋体" w:hAnsi="宋体"/>
          <w:sz w:val="24"/>
        </w:rPr>
        <w:t xml:space="preserve">（4）采购需求</w:t>
      </w:r>
      <w:r/>
    </w:p>
    <w:p>
      <w:pPr>
        <w:ind w:firstLine="420"/>
        <w:spacing w:line="252" w:lineRule="auto"/>
        <w:rPr>
          <w:rFonts w:ascii="宋体" w:hAnsi="宋体"/>
          <w:sz w:val="24"/>
        </w:rPr>
      </w:pPr>
      <w:r>
        <w:rPr>
          <w:rFonts w:hint="eastAsia" w:ascii="宋体" w:hAnsi="宋体"/>
          <w:sz w:val="24"/>
        </w:rPr>
        <w:t xml:space="preserve">（5）评标方法与评标标准</w:t>
      </w:r>
      <w:r/>
    </w:p>
    <w:p>
      <w:pPr>
        <w:ind w:firstLine="420"/>
        <w:spacing w:line="252" w:lineRule="auto"/>
        <w:rPr>
          <w:rFonts w:ascii="宋体" w:hAnsi="宋体"/>
          <w:sz w:val="24"/>
        </w:rPr>
      </w:pPr>
      <w:r>
        <w:rPr>
          <w:rFonts w:hint="eastAsia" w:ascii="宋体" w:hAnsi="宋体"/>
          <w:sz w:val="24"/>
        </w:rPr>
        <w:t xml:space="preserve">（6）投标文件格式</w:t>
      </w:r>
      <w:r/>
    </w:p>
    <w:p>
      <w:pPr>
        <w:ind w:firstLine="420"/>
        <w:spacing w:line="252" w:lineRule="auto"/>
        <w:rPr>
          <w:rFonts w:ascii="宋体" w:hAnsi="宋体"/>
          <w:sz w:val="24"/>
        </w:rPr>
      </w:pPr>
      <w:r>
        <w:rPr>
          <w:rFonts w:hint="eastAsia" w:ascii="宋体" w:hAnsi="宋体"/>
          <w:sz w:val="24"/>
        </w:rPr>
        <w:t xml:space="preserve">投标人应仔细检查招标文件是否齐全，如有</w:t>
      </w:r>
      <w:r>
        <w:rPr>
          <w:rFonts w:hint="eastAsia" w:ascii="宋体" w:hAnsi="宋体"/>
          <w:sz w:val="24"/>
        </w:rPr>
        <w:t xml:space="preserve">缺漏请</w:t>
      </w:r>
      <w:r>
        <w:rPr>
          <w:rFonts w:hint="eastAsia" w:ascii="宋体" w:hAnsi="宋体"/>
          <w:sz w:val="24"/>
        </w:rPr>
        <w:t xml:space="preserve">立即与交易中心联系。</w:t>
      </w:r>
      <w:r/>
    </w:p>
    <w:p>
      <w:pPr>
        <w:ind w:firstLine="420"/>
        <w:spacing w:line="252" w:lineRule="auto"/>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ind w:firstLine="420"/>
        <w:keepLines/>
        <w:keepNext/>
        <w:spacing w:line="252" w:lineRule="auto"/>
        <w:rPr>
          <w:rFonts w:ascii="方正楷体_GBK" w:hAnsi="方正楷体_GBK" w:eastAsia="方正楷体_GBK" w:cs="方正楷体_GBK"/>
          <w:b/>
          <w:bCs/>
          <w:sz w:val="28"/>
          <w:szCs w:val="28"/>
        </w:rPr>
        <w:outlineLvl w:val="3"/>
      </w:pPr>
      <w:r/>
      <w:bookmarkStart w:id="78" w:name="_Toc20823283"/>
      <w:r/>
      <w:bookmarkStart w:id="79" w:name="_Toc462564070"/>
      <w:r/>
      <w:bookmarkStart w:id="80" w:name="_Toc16938527"/>
      <w:r/>
      <w:bookmarkStart w:id="81" w:name="_Toc513029211"/>
      <w:r>
        <w:rPr>
          <w:rFonts w:hint="eastAsia" w:ascii="方正楷体_GBK" w:hAnsi="方正楷体_GBK" w:eastAsia="方正楷体_GBK" w:cs="方正楷体_GBK"/>
          <w:b/>
          <w:bCs/>
          <w:sz w:val="28"/>
          <w:szCs w:val="28"/>
        </w:rPr>
        <w:t xml:space="preserve">7.招标文件的澄清</w:t>
      </w:r>
      <w:bookmarkEnd w:id="78"/>
      <w:r/>
      <w:bookmarkEnd w:id="79"/>
      <w:r/>
      <w:bookmarkEnd w:id="80"/>
      <w:r/>
      <w:bookmarkEnd w:id="81"/>
      <w:r/>
      <w:r/>
    </w:p>
    <w:p>
      <w:pPr>
        <w:ind w:firstLine="420"/>
        <w:spacing w:line="252" w:lineRule="auto"/>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ind w:firstLine="420"/>
        <w:keepLines/>
        <w:keepNext/>
        <w:spacing w:line="252" w:lineRule="auto"/>
        <w:rPr>
          <w:rFonts w:ascii="方正楷体_GBK" w:hAnsi="方正楷体_GBK" w:eastAsia="方正楷体_GBK" w:cs="方正楷体_GBK"/>
          <w:b/>
          <w:bCs/>
          <w:sz w:val="28"/>
          <w:szCs w:val="28"/>
        </w:rPr>
        <w:outlineLvl w:val="3"/>
      </w:pPr>
      <w:r/>
      <w:bookmarkStart w:id="82" w:name="_Toc16938528"/>
      <w:r/>
      <w:bookmarkStart w:id="83" w:name="_Toc462564071"/>
      <w:r/>
      <w:bookmarkStart w:id="84" w:name="_Toc20823284"/>
      <w:r/>
      <w:bookmarkStart w:id="85" w:name="_Toc513029212"/>
      <w:r>
        <w:rPr>
          <w:rFonts w:hint="eastAsia" w:ascii="方正楷体_GBK" w:hAnsi="方正楷体_GBK" w:eastAsia="方正楷体_GBK" w:cs="方正楷体_GBK"/>
          <w:b/>
          <w:bCs/>
          <w:sz w:val="28"/>
          <w:szCs w:val="28"/>
        </w:rPr>
        <w:t xml:space="preserve">8.招标文件的修改</w:t>
      </w:r>
      <w:bookmarkEnd w:id="82"/>
      <w:r/>
      <w:bookmarkEnd w:id="83"/>
      <w:r/>
      <w:bookmarkEnd w:id="84"/>
      <w:r/>
      <w:bookmarkEnd w:id="85"/>
      <w:r/>
      <w:r/>
    </w:p>
    <w:p>
      <w:pPr>
        <w:ind w:firstLine="420"/>
        <w:spacing w:line="252" w:lineRule="auto"/>
        <w:rPr>
          <w:rFonts w:ascii="宋体" w:hAnsi="宋体"/>
          <w:sz w:val="24"/>
        </w:rPr>
      </w:pPr>
      <w:r/>
      <w:bookmarkStart w:id="86" w:name="_Toc16938529"/>
      <w:r/>
      <w:bookmarkStart w:id="87" w:name="_Toc120614216"/>
      <w:r/>
      <w:bookmarkStart w:id="88" w:name="_Toc513029213"/>
      <w:r/>
      <w:bookmarkStart w:id="89" w:name="_Toc20823285"/>
      <w:r/>
      <w:bookmarkStart w:id="90" w:name="_Toc462564072"/>
      <w:r>
        <w:rPr>
          <w:rFonts w:hint="eastAsia" w:ascii="宋体" w:hAnsi="宋体"/>
          <w:sz w:val="24"/>
        </w:rPr>
        <w:t xml:space="preserve">8.1 在投标截止时间前，交易中心可以对招标文件进行修改。招标文件的修改将在原公告</w:t>
      </w:r>
      <w:r>
        <w:rPr>
          <w:rFonts w:hint="eastAsia" w:ascii="宋体" w:hAnsi="宋体"/>
          <w:sz w:val="24"/>
        </w:rPr>
        <w:t xml:space="preserve">媒体发布更正公告，更正内容将作为招标文件的组成部分，并对投标人具有约束力。</w:t>
      </w:r>
      <w:r/>
    </w:p>
    <w:p>
      <w:pPr>
        <w:ind w:firstLine="420"/>
        <w:spacing w:line="252" w:lineRule="auto"/>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spacing w:line="252" w:lineRule="auto"/>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ind w:firstLine="465"/>
        <w:keepLines/>
        <w:keepNext/>
        <w:spacing w:line="252" w:lineRule="auto"/>
        <w:rPr>
          <w:rFonts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三、投标文件的编制</w:t>
      </w:r>
      <w:bookmarkEnd w:id="86"/>
      <w:r/>
      <w:bookmarkEnd w:id="87"/>
      <w:r/>
      <w:bookmarkEnd w:id="88"/>
      <w:r/>
      <w:bookmarkEnd w:id="89"/>
      <w:r/>
      <w:bookmarkEnd w:id="90"/>
      <w:r/>
      <w:r/>
    </w:p>
    <w:p>
      <w:pPr>
        <w:ind w:firstLine="420"/>
        <w:keepLines/>
        <w:keepNext/>
        <w:spacing w:line="252" w:lineRule="auto"/>
        <w:rPr>
          <w:rFonts w:ascii="方正楷体_GBK" w:hAnsi="方正楷体_GBK" w:eastAsia="方正楷体_GBK" w:cs="方正楷体_GBK"/>
          <w:b/>
          <w:bCs/>
          <w:sz w:val="28"/>
          <w:szCs w:val="28"/>
        </w:rPr>
        <w:outlineLvl w:val="3"/>
      </w:pPr>
      <w:r/>
      <w:bookmarkStart w:id="91" w:name="_Toc20823286"/>
      <w:r/>
      <w:bookmarkStart w:id="92" w:name="_Toc16938530"/>
      <w:r/>
      <w:bookmarkStart w:id="93" w:name="_Toc513029214"/>
      <w:r/>
      <w:bookmarkStart w:id="94" w:name="_Toc462564073"/>
      <w:r>
        <w:rPr>
          <w:rFonts w:hint="eastAsia" w:ascii="方正楷体_GBK" w:hAnsi="方正楷体_GBK" w:eastAsia="方正楷体_GBK" w:cs="方正楷体_GBK"/>
          <w:b/>
          <w:bCs/>
          <w:sz w:val="28"/>
          <w:szCs w:val="28"/>
        </w:rPr>
        <w:t xml:space="preserve">9.投标文件的语言及度量衡单位</w:t>
      </w:r>
      <w:bookmarkEnd w:id="91"/>
      <w:r/>
      <w:bookmarkEnd w:id="92"/>
      <w:r/>
      <w:bookmarkEnd w:id="93"/>
      <w:r/>
      <w:bookmarkEnd w:id="94"/>
      <w:r/>
      <w:r/>
    </w:p>
    <w:p>
      <w:pPr>
        <w:ind w:firstLine="420"/>
        <w:spacing w:line="252" w:lineRule="auto"/>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spacing w:line="252" w:lineRule="auto"/>
        <w:rPr>
          <w:rFonts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ind w:firstLine="420"/>
        <w:keepLines/>
        <w:keepNext/>
        <w:spacing w:line="252" w:lineRule="auto"/>
        <w:rPr>
          <w:rFonts w:ascii="方正楷体_GBK" w:hAnsi="方正楷体_GBK" w:eastAsia="方正楷体_GBK" w:cs="方正楷体_GBK"/>
          <w:b/>
          <w:bCs/>
          <w:sz w:val="28"/>
          <w:szCs w:val="28"/>
        </w:rPr>
        <w:outlineLvl w:val="3"/>
      </w:pPr>
      <w:r/>
      <w:bookmarkStart w:id="95" w:name="_Toc513029215"/>
      <w:r/>
      <w:bookmarkStart w:id="96" w:name="_Toc462564074"/>
      <w:r/>
      <w:bookmarkStart w:id="97" w:name="_Toc20823287"/>
      <w:r/>
      <w:bookmarkStart w:id="98" w:name="_Toc16938531"/>
      <w:r>
        <w:rPr>
          <w:rFonts w:hint="eastAsia" w:ascii="方正楷体_GBK" w:hAnsi="方正楷体_GBK" w:eastAsia="方正楷体_GBK" w:cs="方正楷体_GBK"/>
          <w:b/>
          <w:bCs/>
          <w:sz w:val="28"/>
          <w:szCs w:val="28"/>
        </w:rPr>
        <w:t xml:space="preserve">10.投标文件构成</w:t>
      </w:r>
      <w:bookmarkEnd w:id="95"/>
      <w:r/>
      <w:bookmarkEnd w:id="96"/>
      <w:r/>
      <w:bookmarkEnd w:id="97"/>
      <w:r/>
      <w:bookmarkEnd w:id="98"/>
      <w:r/>
      <w:r/>
    </w:p>
    <w:p>
      <w:pPr>
        <w:ind w:firstLine="420"/>
        <w:spacing w:line="252" w:lineRule="auto"/>
        <w:rPr>
          <w:rFonts w:ascii="宋体" w:hAnsi="宋体"/>
          <w:sz w:val="24"/>
          <w:szCs w:val="22"/>
        </w:rPr>
      </w:pPr>
      <w:r>
        <w:rPr>
          <w:rFonts w:hint="eastAsia" w:ascii="宋体" w:hAnsi="宋体"/>
          <w:sz w:val="24"/>
          <w:szCs w:val="22"/>
        </w:rPr>
        <w:t xml:space="preserve">10.1 投标人编写的投标文件应包括资格证明文件、符合性证明文件、投标分项报价表、响应及偏离表、其他证明文件、投标函、开标一览表等部分。</w:t>
      </w:r>
      <w:r/>
    </w:p>
    <w:p>
      <w:pPr>
        <w:ind w:firstLine="420"/>
        <w:spacing w:line="252" w:lineRule="auto"/>
        <w:rPr>
          <w:rFonts w:ascii="宋体" w:hAnsi="宋体"/>
          <w:sz w:val="24"/>
          <w:szCs w:val="22"/>
        </w:rPr>
      </w:pPr>
      <w:r>
        <w:rPr>
          <w:rFonts w:hint="eastAsia" w:ascii="宋体" w:hAnsi="宋体"/>
          <w:sz w:val="24"/>
          <w:szCs w:val="22"/>
        </w:rPr>
        <w:t xml:space="preserve">10.2 如标书制作工具中格式和内容与“江苏政府采购网”发布的招标文件不一致，以“江苏政府采购网”发布的招标文件为准。</w:t>
      </w:r>
      <w:r/>
    </w:p>
    <w:p>
      <w:pPr>
        <w:ind w:firstLine="420"/>
        <w:keepLines/>
        <w:keepNext/>
        <w:spacing w:line="252" w:lineRule="auto"/>
        <w:rPr>
          <w:rFonts w:ascii="方正楷体_GBK" w:hAnsi="方正楷体_GBK" w:eastAsia="方正楷体_GBK" w:cs="方正楷体_GBK"/>
          <w:b/>
          <w:bCs/>
          <w:sz w:val="28"/>
          <w:szCs w:val="28"/>
        </w:rPr>
        <w:outlineLvl w:val="3"/>
      </w:pPr>
      <w:r/>
      <w:bookmarkStart w:id="99" w:name="_Hlt26954838"/>
      <w:r/>
      <w:bookmarkStart w:id="100" w:name="_Hlt26670360"/>
      <w:r/>
      <w:bookmarkStart w:id="101" w:name="_Hlt26668975"/>
      <w:r/>
      <w:bookmarkStart w:id="102" w:name="_Toc14577357"/>
      <w:r/>
      <w:bookmarkStart w:id="103" w:name="_Toc513029219"/>
      <w:r/>
      <w:bookmarkStart w:id="104" w:name="_Toc49090509"/>
      <w:r/>
      <w:bookmarkStart w:id="105" w:name="_Toc14577354"/>
      <w:r/>
      <w:bookmarkStart w:id="106" w:name="_Toc49090507"/>
      <w:r/>
      <w:bookmarkStart w:id="107" w:name="_Toc513029216"/>
      <w:r/>
      <w:bookmarkEnd w:id="99"/>
      <w:r/>
      <w:bookmarkEnd w:id="100"/>
      <w:r/>
      <w:bookmarkEnd w:id="101"/>
      <w:r>
        <w:rPr>
          <w:rFonts w:hint="eastAsia" w:ascii="方正楷体_GBK" w:hAnsi="方正楷体_GBK" w:eastAsia="方正楷体_GBK" w:cs="方正楷体_GBK"/>
          <w:b/>
          <w:bCs/>
          <w:sz w:val="28"/>
          <w:szCs w:val="28"/>
        </w:rPr>
        <w:t xml:space="preserve">11.证明投标人及投标标的符合招标文件规定的文件</w:t>
      </w:r>
      <w:bookmarkEnd w:id="102"/>
      <w:r/>
      <w:bookmarkEnd w:id="103"/>
      <w:r/>
      <w:bookmarkEnd w:id="104"/>
      <w:r/>
      <w:r/>
    </w:p>
    <w:p>
      <w:pPr>
        <w:ind w:firstLine="420"/>
        <w:spacing w:line="252" w:lineRule="auto"/>
        <w:rPr>
          <w:rFonts w:ascii="宋体" w:hAnsi="宋体"/>
          <w:sz w:val="24"/>
        </w:rPr>
      </w:pPr>
      <w:r/>
      <w:bookmarkStart w:id="108" w:name="_Toc49090508"/>
      <w:r/>
      <w:bookmarkStart w:id="109" w:name="_Toc14577355"/>
      <w:r/>
      <w:bookmarkEnd w:id="105"/>
      <w:r/>
      <w:bookmarkEnd w:id="106"/>
      <w:r/>
      <w:bookmarkEnd w:id="107"/>
      <w:r>
        <w:rPr>
          <w:rFonts w:hint="eastAsia" w:ascii="宋体" w:hAnsi="宋体"/>
          <w:sz w:val="24"/>
        </w:rPr>
        <w:t xml:space="preserve">11.1 投标人应按照法律、法规、规章和规范性文件以及招标文件要求提交证明文件，证明其投标标的符合招标文件规定。</w:t>
      </w:r>
      <w:r/>
    </w:p>
    <w:p>
      <w:pPr>
        <w:ind w:firstLine="420"/>
        <w:spacing w:line="252" w:lineRule="auto"/>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ind w:firstLine="420"/>
        <w:keepLines/>
        <w:keepNext/>
        <w:spacing w:line="252" w:lineRule="auto"/>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rPr>
        <w:t xml:space="preserve">.投标分项报价表（如有）</w:t>
      </w:r>
      <w:r/>
    </w:p>
    <w:p>
      <w:pPr>
        <w:ind w:firstLine="420"/>
        <w:spacing w:line="252" w:lineRule="auto"/>
        <w:rPr>
          <w:rFonts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投标分项报价表。</w:t>
      </w:r>
      <w:r/>
    </w:p>
    <w:p>
      <w:pPr>
        <w:ind w:firstLine="420"/>
        <w:spacing w:line="252" w:lineRule="auto"/>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ind w:firstLine="420"/>
        <w:keepLines/>
        <w:keepNext/>
        <w:spacing w:line="252" w:lineRule="auto"/>
        <w:rPr>
          <w:rFonts w:ascii="方正楷体_GBK" w:hAnsi="方正楷体_GBK" w:eastAsia="方正楷体_GBK" w:cs="方正楷体_GBK"/>
          <w:b/>
          <w:bCs/>
          <w:sz w:val="28"/>
          <w:szCs w:val="28"/>
        </w:rPr>
        <w:outlineLvl w:val="3"/>
      </w:pPr>
      <w:r/>
      <w:bookmarkStart w:id="112" w:name="_Hlt26670403"/>
      <w:r/>
      <w:bookmarkStart w:id="113" w:name="_Hlt26954846"/>
      <w:r/>
      <w:bookmarkStart w:id="114" w:name="_Hlt26954842"/>
      <w:r/>
      <w:bookmarkStart w:id="115" w:name="_Hlt26954844"/>
      <w:r/>
      <w:bookmarkStart w:id="116" w:name="_Hlt26954848"/>
      <w:r/>
      <w:bookmarkStart w:id="117" w:name="_Hlt26954731"/>
      <w:r/>
      <w:bookmarkStart w:id="118" w:name="_Hlt26670482"/>
      <w:r/>
      <w:bookmarkStart w:id="119" w:name="_Hlt26670425"/>
      <w:r/>
      <w:bookmarkStart w:id="120" w:name="_Hlt26670486"/>
      <w:r/>
      <w:bookmarkStart w:id="121" w:name="_Hlt26668983"/>
      <w:r/>
      <w:bookmarkEnd w:id="112"/>
      <w:r/>
      <w:bookmarkEnd w:id="113"/>
      <w:r/>
      <w:bookmarkEnd w:id="114"/>
      <w:r/>
      <w:bookmarkEnd w:id="115"/>
      <w:r/>
      <w:bookmarkEnd w:id="116"/>
      <w:r/>
      <w:bookmarkEnd w:id="117"/>
      <w:r/>
      <w:bookmarkEnd w:id="118"/>
      <w:r/>
      <w:bookmarkEnd w:id="119"/>
      <w:r/>
      <w:bookmarkEnd w:id="120"/>
      <w:r/>
      <w:bookmarkEnd w:id="121"/>
      <w:r>
        <w:rPr>
          <w:rFonts w:hint="eastAsia" w:ascii="方正楷体_GBK" w:hAnsi="方正楷体_GBK" w:eastAsia="方正楷体_GBK" w:cs="方正楷体_GBK"/>
          <w:b/>
          <w:bCs/>
          <w:sz w:val="28"/>
          <w:szCs w:val="28"/>
        </w:rPr>
        <w:t xml:space="preserve">13.响应及偏离表</w:t>
      </w:r>
      <w:r/>
    </w:p>
    <w:p>
      <w:pPr>
        <w:ind w:firstLine="420"/>
        <w:spacing w:line="252" w:lineRule="auto"/>
        <w:rPr>
          <w:rFonts w:ascii="宋体" w:hAnsi="宋体"/>
          <w:sz w:val="24"/>
          <w:lang w:val="zh-CN"/>
        </w:rPr>
      </w:pPr>
      <w:r>
        <w:rPr>
          <w:rFonts w:hint="eastAsia" w:ascii="宋体" w:hAnsi="宋体"/>
          <w:sz w:val="24"/>
          <w:lang w:val="zh-CN"/>
        </w:rPr>
        <w:t xml:space="preserve">13.1 投标人需对招标文件中的技术要求与商务要求逐项</w:t>
      </w:r>
      <w:r>
        <w:rPr>
          <w:rFonts w:hint="eastAsia" w:ascii="宋体" w:hAnsi="宋体"/>
          <w:sz w:val="24"/>
          <w:lang w:val="zh-CN"/>
        </w:rPr>
        <w:t xml:space="preserve">作出</w:t>
      </w:r>
      <w:r>
        <w:rPr>
          <w:rFonts w:hint="eastAsia" w:ascii="宋体" w:hAnsi="宋体"/>
          <w:sz w:val="24"/>
          <w:lang w:val="zh-CN"/>
        </w:rPr>
        <w:t xml:space="preserve">响应</w:t>
      </w:r>
      <w:r>
        <w:rPr>
          <w:rFonts w:hint="eastAsia" w:ascii="宋体" w:hAnsi="宋体"/>
          <w:sz w:val="24"/>
        </w:rPr>
        <w:t xml:space="preserve">或</w:t>
      </w:r>
      <w:r>
        <w:rPr>
          <w:rFonts w:hint="eastAsia" w:ascii="宋体" w:hAnsi="宋体"/>
          <w:sz w:val="24"/>
          <w:lang w:val="zh-CN"/>
        </w:rPr>
        <w:t xml:space="preserve">偏离说明。</w:t>
      </w:r>
      <w:r/>
    </w:p>
    <w:p>
      <w:pPr>
        <w:ind w:firstLine="420"/>
        <w:spacing w:line="252" w:lineRule="auto"/>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ind w:firstLine="420"/>
        <w:keepLines/>
        <w:keepNext/>
        <w:spacing w:line="252" w:lineRule="auto"/>
        <w:rPr>
          <w:rFonts w:ascii="方正楷体_GBK" w:hAnsi="方正楷体_GBK" w:eastAsia="方正楷体_GBK" w:cs="方正楷体_GBK"/>
          <w:b/>
          <w:bCs/>
          <w:sz w:val="28"/>
          <w:szCs w:val="28"/>
        </w:rPr>
        <w:outlineLvl w:val="3"/>
      </w:pPr>
      <w:r/>
      <w:bookmarkStart w:id="122" w:name="_Toc49090510"/>
      <w:r/>
      <w:bookmarkStart w:id="123" w:name="_Toc14577359"/>
      <w:r>
        <w:rPr>
          <w:rFonts w:hint="eastAsia" w:ascii="方正楷体_GBK" w:hAnsi="方正楷体_GBK" w:eastAsia="方正楷体_GBK" w:cs="方正楷体_GBK"/>
          <w:b/>
          <w:bCs/>
          <w:sz w:val="28"/>
          <w:szCs w:val="28"/>
        </w:rPr>
        <w:t xml:space="preserve">14.投标函和开标一览表</w:t>
      </w:r>
      <w:r/>
    </w:p>
    <w:p>
      <w:pPr>
        <w:ind w:firstLine="420"/>
        <w:spacing w:line="252" w:lineRule="auto"/>
        <w:rPr>
          <w:rFonts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spacing w:line="252" w:lineRule="auto"/>
        <w:rPr>
          <w:rFonts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r/>
    </w:p>
    <w:p>
      <w:pPr>
        <w:ind w:firstLine="420"/>
        <w:keepLines/>
        <w:keepNext/>
        <w:spacing w:line="252" w:lineRule="auto"/>
        <w:rPr>
          <w:rFonts w:ascii="方正楷体_GBK" w:hAnsi="方正楷体_GBK" w:eastAsia="方正楷体_GBK" w:cs="方正楷体_GBK"/>
          <w:b/>
          <w:bCs/>
          <w:sz w:val="28"/>
          <w:szCs w:val="28"/>
        </w:rPr>
        <w:outlineLvl w:val="3"/>
      </w:pPr>
      <w:r/>
      <w:bookmarkStart w:id="124" w:name="_Hlt26954734"/>
      <w:r/>
      <w:bookmarkStart w:id="125" w:name="_Hlt26954850"/>
      <w:r/>
      <w:bookmarkStart w:id="126" w:name="_Hlt26670489"/>
      <w:r/>
      <w:bookmarkStart w:id="127" w:name="_Toc49090511"/>
      <w:r/>
      <w:bookmarkStart w:id="128" w:name="_Toc14577360"/>
      <w:r/>
      <w:bookmarkEnd w:id="122"/>
      <w:r/>
      <w:bookmarkEnd w:id="123"/>
      <w:r/>
      <w:bookmarkEnd w:id="124"/>
      <w:r/>
      <w:bookmarkEnd w:id="125"/>
      <w:r/>
      <w:bookmarkEnd w:id="126"/>
      <w:r>
        <w:rPr>
          <w:rFonts w:hint="eastAsia" w:ascii="方正楷体_GBK" w:hAnsi="方正楷体_GBK" w:eastAsia="方正楷体_GBK" w:cs="方正楷体_GBK"/>
          <w:b/>
          <w:bCs/>
          <w:sz w:val="28"/>
          <w:szCs w:val="28"/>
        </w:rPr>
        <w:t xml:space="preserve">15.投标有效期</w:t>
      </w:r>
      <w:bookmarkEnd w:id="127"/>
      <w:r/>
      <w:bookmarkEnd w:id="128"/>
      <w:r/>
      <w:r/>
    </w:p>
    <w:p>
      <w:pPr>
        <w:ind w:firstLine="420"/>
        <w:spacing w:line="252" w:lineRule="auto"/>
        <w:rPr>
          <w:rFonts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ind w:firstLine="420"/>
        <w:keepLines/>
        <w:keepNext/>
        <w:spacing w:line="252" w:lineRule="auto"/>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16.投标有效期的延长</w:t>
      </w:r>
      <w:r/>
    </w:p>
    <w:p>
      <w:pPr>
        <w:ind w:firstLine="420"/>
        <w:spacing w:line="252" w:lineRule="auto"/>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w:t>
      </w:r>
      <w:r>
        <w:rPr>
          <w:rFonts w:hint="eastAsia" w:ascii="宋体" w:hAnsi="宋体"/>
          <w:sz w:val="24"/>
          <w:lang w:val="zh-CN"/>
        </w:rPr>
        <w:t xml:space="preserve">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ind w:firstLine="465"/>
        <w:keepLines/>
        <w:keepNext/>
        <w:spacing w:line="252" w:lineRule="auto"/>
        <w:rPr>
          <w:rFonts w:ascii="方正黑体_GBK" w:hAnsi="方正黑体_GBK" w:eastAsia="方正黑体_GBK" w:cs="方正黑体_GBK"/>
          <w:sz w:val="30"/>
          <w:szCs w:val="30"/>
        </w:rPr>
        <w:outlineLvl w:val="2"/>
      </w:pPr>
      <w:r/>
      <w:bookmarkStart w:id="129" w:name="_Hlt26954852"/>
      <w:r/>
      <w:bookmarkStart w:id="130" w:name="_Hlt26954739"/>
      <w:r/>
      <w:bookmarkStart w:id="131" w:name="_Toc120614217"/>
      <w:r/>
      <w:bookmarkStart w:id="132" w:name="_Toc20823296"/>
      <w:r/>
      <w:bookmarkStart w:id="133" w:name="_Toc16938540"/>
      <w:r/>
      <w:bookmarkStart w:id="134" w:name="_Toc513029224"/>
      <w:r/>
      <w:bookmarkStart w:id="135" w:name="_Toc513029237"/>
      <w:r/>
      <w:bookmarkStart w:id="136" w:name="_Toc20823309"/>
      <w:r/>
      <w:bookmarkStart w:id="137" w:name="_Toc16938553"/>
      <w:r/>
      <w:bookmarkEnd w:id="129"/>
      <w:r/>
      <w:bookmarkEnd w:id="130"/>
      <w:r>
        <w:rPr>
          <w:rFonts w:hint="eastAsia" w:ascii="方正黑体_GBK" w:hAnsi="方正黑体_GBK" w:eastAsia="方正黑体_GBK" w:cs="方正黑体_GBK"/>
          <w:sz w:val="30"/>
          <w:szCs w:val="30"/>
        </w:rPr>
        <w:t xml:space="preserve">四、投标文件的递交</w:t>
      </w:r>
      <w:bookmarkEnd w:id="131"/>
      <w:r/>
      <w:bookmarkEnd w:id="132"/>
      <w:r/>
      <w:bookmarkEnd w:id="133"/>
      <w:r/>
      <w:bookmarkEnd w:id="134"/>
      <w:r/>
      <w:r/>
    </w:p>
    <w:p>
      <w:pPr>
        <w:ind w:firstLine="420"/>
        <w:keepLines/>
        <w:keepNext/>
        <w:spacing w:line="252" w:lineRule="auto"/>
        <w:rPr>
          <w:rFonts w:ascii="方正楷体_GBK" w:hAnsi="方正楷体_GBK" w:eastAsia="方正楷体_GBK" w:cs="方正楷体_GBK"/>
          <w:b/>
          <w:bCs/>
          <w:sz w:val="28"/>
          <w:szCs w:val="28"/>
        </w:rPr>
        <w:outlineLvl w:val="3"/>
      </w:pPr>
      <w:r/>
      <w:bookmarkStart w:id="138" w:name="_Toc462564084"/>
      <w:r/>
      <w:bookmarkStart w:id="139" w:name="_Toc20823297"/>
      <w:r/>
      <w:bookmarkStart w:id="140" w:name="_Toc16938541"/>
      <w:r/>
      <w:bookmarkStart w:id="141" w:name="_Toc513029225"/>
      <w:r>
        <w:rPr>
          <w:rFonts w:hint="eastAsia" w:ascii="方正楷体_GBK" w:hAnsi="方正楷体_GBK" w:eastAsia="方正楷体_GBK" w:cs="方正楷体_GBK"/>
          <w:b/>
          <w:bCs/>
          <w:sz w:val="28"/>
          <w:szCs w:val="28"/>
        </w:rPr>
        <w:t xml:space="preserve">17.投标文件</w:t>
      </w:r>
      <w:bookmarkEnd w:id="138"/>
      <w:r/>
      <w:bookmarkEnd w:id="139"/>
      <w:r/>
      <w:bookmarkEnd w:id="140"/>
      <w:r/>
      <w:bookmarkEnd w:id="141"/>
      <w:r>
        <w:rPr>
          <w:rFonts w:hint="eastAsia" w:ascii="方正楷体_GBK" w:hAnsi="方正楷体_GBK" w:eastAsia="方正楷体_GBK" w:cs="方正楷体_GBK"/>
          <w:b/>
          <w:bCs/>
          <w:sz w:val="28"/>
          <w:szCs w:val="28"/>
        </w:rPr>
        <w:t xml:space="preserve">的递交</w:t>
      </w:r>
      <w:r/>
    </w:p>
    <w:p>
      <w:pPr>
        <w:ind w:firstLine="420"/>
        <w:spacing w:line="252" w:lineRule="auto"/>
        <w:rPr>
          <w:rFonts w:ascii="宋体" w:hAnsi="宋体"/>
          <w:sz w:val="24"/>
          <w:lang w:val="zh-CN"/>
        </w:rPr>
      </w:pPr>
      <w:r>
        <w:rPr>
          <w:rFonts w:hint="eastAsia" w:ascii="宋体" w:hAnsi="宋体"/>
          <w:sz w:val="24"/>
          <w:lang w:val="zh-CN"/>
        </w:rPr>
        <w:t xml:space="preserve">17.1 投标人应当按照《操作手册》规定，在招标公告规定的投标截止时间</w:t>
      </w:r>
      <w:r>
        <w:rPr>
          <w:rFonts w:hint="eastAsia" w:ascii="宋体" w:hAnsi="宋体"/>
          <w:sz w:val="24"/>
          <w:lang w:val="zh-CN"/>
        </w:rPr>
        <w:t xml:space="preserve">前制作</w:t>
      </w:r>
      <w:r>
        <w:rPr>
          <w:rFonts w:hint="eastAsia" w:ascii="宋体" w:hAnsi="宋体"/>
          <w:sz w:val="24"/>
          <w:lang w:val="zh-CN"/>
        </w:rPr>
        <w:t xml:space="preserve">并上传电子投标文件。</w:t>
      </w:r>
      <w:bookmarkStart w:id="142" w:name="_Toc513029226"/>
      <w:r/>
      <w:bookmarkStart w:id="143" w:name="_Toc20823298"/>
      <w:r/>
      <w:bookmarkStart w:id="144" w:name="_Toc16938542"/>
      <w:r/>
      <w:bookmarkEnd w:id="142"/>
      <w:bookmarkEnd w:id="143"/>
      <w:bookmarkEnd w:id="144"/>
      <w:r/>
    </w:p>
    <w:p>
      <w:pPr>
        <w:ind w:firstLine="420"/>
        <w:spacing w:line="252" w:lineRule="auto"/>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spacing w:line="252" w:lineRule="auto"/>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ind w:firstLine="420"/>
        <w:keepLines/>
        <w:keepNext/>
        <w:spacing w:line="252" w:lineRule="auto"/>
        <w:rPr>
          <w:rFonts w:ascii="方正楷体_GBK" w:hAnsi="方正楷体_GBK" w:eastAsia="方正楷体_GBK" w:cs="方正楷体_GBK"/>
          <w:b/>
          <w:bCs/>
          <w:sz w:val="28"/>
          <w:szCs w:val="28"/>
        </w:rPr>
        <w:outlineLvl w:val="3"/>
      </w:pPr>
      <w:r/>
      <w:bookmarkStart w:id="145" w:name="_Toc513029227"/>
      <w:r/>
      <w:bookmarkStart w:id="146" w:name="_Toc16938543"/>
      <w:r/>
      <w:bookmarkStart w:id="147" w:name="_Toc20823299"/>
      <w:r>
        <w:rPr>
          <w:rFonts w:hint="eastAsia" w:ascii="方正楷体_GBK" w:hAnsi="方正楷体_GBK" w:eastAsia="方正楷体_GBK" w:cs="方正楷体_GBK"/>
          <w:b/>
          <w:bCs/>
          <w:sz w:val="28"/>
          <w:szCs w:val="28"/>
        </w:rPr>
        <w:t xml:space="preserve">18.投标文件</w:t>
      </w:r>
      <w:bookmarkEnd w:id="145"/>
      <w:r/>
      <w:bookmarkEnd w:id="146"/>
      <w:r/>
      <w:bookmarkEnd w:id="147"/>
      <w:r>
        <w:rPr>
          <w:rFonts w:hint="eastAsia" w:ascii="方正楷体_GBK" w:hAnsi="方正楷体_GBK" w:eastAsia="方正楷体_GBK" w:cs="方正楷体_GBK"/>
          <w:b/>
          <w:bCs/>
          <w:sz w:val="28"/>
          <w:szCs w:val="28"/>
        </w:rPr>
        <w:t xml:space="preserve">的拒收</w:t>
      </w:r>
      <w:r/>
    </w:p>
    <w:p>
      <w:pPr>
        <w:ind w:firstLine="420"/>
        <w:spacing w:line="252" w:lineRule="auto"/>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ind w:firstLine="420"/>
        <w:keepLines/>
        <w:keepNext/>
        <w:spacing w:line="252" w:lineRule="auto"/>
        <w:rPr>
          <w:rFonts w:ascii="方正楷体_GBK" w:hAnsi="方正楷体_GBK" w:eastAsia="方正楷体_GBK" w:cs="方正楷体_GBK"/>
          <w:b/>
          <w:bCs/>
          <w:sz w:val="28"/>
          <w:szCs w:val="28"/>
        </w:rPr>
        <w:outlineLvl w:val="3"/>
      </w:pPr>
      <w:r/>
      <w:bookmarkStart w:id="148" w:name="_Toc20823300"/>
      <w:r/>
      <w:bookmarkStart w:id="149" w:name="_Toc513029228"/>
      <w:r/>
      <w:bookmarkStart w:id="150" w:name="_Toc16938544"/>
      <w:r>
        <w:rPr>
          <w:rFonts w:hint="eastAsia" w:ascii="方正楷体_GBK" w:hAnsi="方正楷体_GBK" w:eastAsia="方正楷体_GBK" w:cs="方正楷体_GBK"/>
          <w:b/>
          <w:bCs/>
          <w:sz w:val="28"/>
          <w:szCs w:val="28"/>
        </w:rPr>
        <w:t xml:space="preserve">19.投标文件的撤回和修改</w:t>
      </w:r>
      <w:bookmarkEnd w:id="148"/>
      <w:r/>
      <w:bookmarkEnd w:id="149"/>
      <w:r/>
      <w:bookmarkEnd w:id="150"/>
      <w:r/>
      <w:r/>
    </w:p>
    <w:p>
      <w:pPr>
        <w:ind w:firstLine="420"/>
        <w:spacing w:line="252"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spacing w:line="252"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spacing w:line="252"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spacing w:line="252"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spacing w:line="252"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spacing w:line="252"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spacing w:line="252"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120614218"/>
      <w:r/>
      <w:bookmarkStart w:id="152" w:name="_Toc513029229"/>
      <w:r/>
      <w:bookmarkStart w:id="153" w:name="_Toc16938545"/>
      <w:r/>
      <w:bookmarkStart w:id="154" w:name="_Toc20823301"/>
      <w:r/>
      <w:r/>
    </w:p>
    <w:p>
      <w:pPr>
        <w:ind w:firstLine="465"/>
        <w:keepLines/>
        <w:keepNext/>
        <w:spacing w:line="252" w:lineRule="auto"/>
        <w:rPr>
          <w:rFonts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五、开标与评标</w:t>
      </w:r>
      <w:bookmarkEnd w:id="151"/>
      <w:r/>
      <w:bookmarkEnd w:id="152"/>
      <w:r/>
      <w:bookmarkEnd w:id="153"/>
      <w:r/>
      <w:bookmarkEnd w:id="154"/>
      <w:r/>
      <w:r/>
    </w:p>
    <w:p>
      <w:pPr>
        <w:ind w:firstLine="420"/>
        <w:keepLines/>
        <w:keepNext/>
        <w:spacing w:line="252" w:lineRule="auto"/>
        <w:rPr>
          <w:rFonts w:ascii="方正楷体_GBK" w:hAnsi="方正楷体_GBK" w:eastAsia="方正楷体_GBK" w:cs="方正楷体_GBK"/>
          <w:b/>
          <w:bCs/>
          <w:sz w:val="28"/>
          <w:szCs w:val="28"/>
        </w:rPr>
        <w:outlineLvl w:val="3"/>
      </w:pPr>
      <w:r/>
      <w:bookmarkStart w:id="155" w:name="_Toc20823302"/>
      <w:r/>
      <w:bookmarkStart w:id="156" w:name="_Toc16938546"/>
      <w:r/>
      <w:bookmarkStart w:id="157" w:name="_Toc513029230"/>
      <w:r>
        <w:rPr>
          <w:rFonts w:hint="eastAsia" w:ascii="方正楷体_GBK" w:hAnsi="方正楷体_GBK" w:eastAsia="方正楷体_GBK" w:cs="方正楷体_GBK"/>
          <w:b/>
          <w:bCs/>
          <w:sz w:val="28"/>
          <w:szCs w:val="28"/>
        </w:rPr>
        <w:t xml:space="preserve">20.开标</w:t>
      </w:r>
      <w:bookmarkEnd w:id="155"/>
      <w:r/>
      <w:bookmarkEnd w:id="156"/>
      <w:r/>
      <w:bookmarkEnd w:id="157"/>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w:t>
      </w:r>
      <w:r>
        <w:rPr>
          <w:rFonts w:hint="eastAsia" w:ascii="宋体" w:hAnsi="宋体"/>
          <w:sz w:val="24"/>
          <w:lang w:val="zh-CN"/>
        </w:rPr>
        <w:t xml:space="preserve">采云</w:t>
      </w:r>
      <w:r>
        <w:rPr>
          <w:rFonts w:hint="eastAsia" w:ascii="宋体" w:hAnsi="宋体"/>
          <w:sz w:val="24"/>
          <w:lang w:val="zh-CN"/>
        </w:rPr>
        <w:t xml:space="preserve">系统规定的时间内对投标文件进行解密。苏</w:t>
      </w:r>
      <w:r>
        <w:rPr>
          <w:rFonts w:hint="eastAsia" w:ascii="宋体" w:hAnsi="宋体"/>
          <w:sz w:val="24"/>
          <w:lang w:val="zh-CN"/>
        </w:rPr>
        <w:t xml:space="preserve">采云</w:t>
      </w:r>
      <w:r>
        <w:rPr>
          <w:rFonts w:hint="eastAsia" w:ascii="宋体" w:hAnsi="宋体"/>
          <w:sz w:val="24"/>
          <w:lang w:val="zh-CN"/>
        </w:rPr>
        <w:t xml:space="preserve">系统公布各投标人名称和投标价格。</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w:t>
      </w:r>
      <w:r>
        <w:rPr>
          <w:rFonts w:hint="eastAsia" w:ascii="宋体" w:hAnsi="宋体"/>
          <w:sz w:val="24"/>
          <w:lang w:val="zh-CN"/>
        </w:rPr>
        <w:t xml:space="preserve">采云</w:t>
      </w:r>
      <w:r>
        <w:rPr>
          <w:rFonts w:hint="eastAsia" w:ascii="宋体" w:hAnsi="宋体"/>
          <w:sz w:val="24"/>
          <w:lang w:val="zh-CN"/>
        </w:rPr>
        <w:t xml:space="preserve">系统中《开标记录表》公布后5分钟内未提出的，视同认可开标结果。</w:t>
      </w:r>
      <w:r/>
    </w:p>
    <w:p>
      <w:pPr>
        <w:ind w:firstLine="420"/>
        <w:keepLines/>
        <w:keepNext/>
        <w:spacing w:line="252" w:lineRule="auto"/>
        <w:rPr>
          <w:rFonts w:ascii="方正楷体_GBK" w:hAnsi="方正楷体_GBK" w:eastAsia="方正楷体_GBK" w:cs="方正楷体_GBK"/>
          <w:b/>
          <w:bCs/>
          <w:sz w:val="28"/>
          <w:szCs w:val="28"/>
        </w:rPr>
        <w:outlineLvl w:val="3"/>
      </w:pPr>
      <w:r/>
      <w:bookmarkStart w:id="158" w:name="_Toc16938547"/>
      <w:r/>
      <w:bookmarkStart w:id="159" w:name="_Toc513029231"/>
      <w:r/>
      <w:bookmarkStart w:id="160" w:name="_Toc20823303"/>
      <w:r>
        <w:rPr>
          <w:rFonts w:hint="eastAsia" w:ascii="方正楷体_GBK" w:hAnsi="方正楷体_GBK" w:eastAsia="方正楷体_GBK" w:cs="方正楷体_GBK"/>
          <w:b/>
          <w:bCs/>
          <w:sz w:val="28"/>
          <w:szCs w:val="28"/>
        </w:rPr>
        <w:t xml:space="preserve">21.评标</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w:t>
      </w:r>
      <w:r>
        <w:rPr>
          <w:rFonts w:hint="eastAsia" w:ascii="宋体" w:hAnsi="宋体"/>
          <w:sz w:val="24"/>
          <w:lang w:val="zh-CN"/>
        </w:rPr>
        <w:t xml:space="preserve">且人员</w:t>
      </w:r>
      <w:r>
        <w:rPr>
          <w:rFonts w:hint="eastAsia" w:ascii="宋体" w:hAnsi="宋体"/>
          <w:sz w:val="24"/>
          <w:lang w:val="zh-CN"/>
        </w:rPr>
        <w:t xml:space="preserve">构成符合</w:t>
      </w:r>
      <w:r>
        <w:rPr>
          <w:rFonts w:hint="eastAsia" w:ascii="宋体" w:hAnsi="宋体"/>
          <w:sz w:val="24"/>
          <w:lang w:val="zh-CN"/>
        </w:rPr>
        <w:t xml:space="preserve">政府采购有关规定。</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ind w:firstLine="420"/>
        <w:keepLines/>
        <w:keepNext/>
        <w:spacing w:line="252" w:lineRule="auto"/>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22.评标过程的保密与公正</w:t>
      </w:r>
      <w:bookmarkEnd w:id="158"/>
      <w:bookmarkEnd w:id="159"/>
      <w:bookmarkEnd w:id="160"/>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.2投标人不得以任何方式影响评标，否则其投标文件将被作为无效投标文件。</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w:t>
      </w:r>
      <w:r>
        <w:rPr>
          <w:rFonts w:hint="eastAsia" w:ascii="宋体" w:hAnsi="宋体"/>
          <w:sz w:val="24"/>
          <w:lang w:val="zh-CN"/>
        </w:rPr>
        <w:t xml:space="preserve">采云</w:t>
      </w:r>
      <w:r>
        <w:rPr>
          <w:rFonts w:hint="eastAsia" w:ascii="宋体" w:hAnsi="宋体"/>
          <w:sz w:val="24"/>
          <w:lang w:val="zh-CN"/>
        </w:rPr>
        <w:t xml:space="preserve">系统查看本单位的评审得分及排名情况。</w:t>
      </w:r>
      <w:r/>
    </w:p>
    <w:p>
      <w:pPr>
        <w:ind w:firstLine="420"/>
        <w:keepLines/>
        <w:keepNext/>
        <w:spacing w:line="252" w:lineRule="auto"/>
        <w:rPr>
          <w:rFonts w:ascii="方正楷体_GBK" w:hAnsi="方正楷体_GBK" w:eastAsia="方正楷体_GBK" w:cs="方正楷体_GBK"/>
          <w:b/>
          <w:bCs/>
          <w:sz w:val="28"/>
          <w:szCs w:val="28"/>
        </w:rPr>
        <w:outlineLvl w:val="3"/>
      </w:pPr>
      <w:r/>
      <w:bookmarkStart w:id="161" w:name="_Toc16938548"/>
      <w:r/>
      <w:bookmarkStart w:id="162" w:name="_Toc513029232"/>
      <w:r/>
      <w:bookmarkStart w:id="163" w:name="_Toc20823304"/>
      <w:r>
        <w:rPr>
          <w:rFonts w:hint="eastAsia" w:ascii="方正楷体_GBK" w:hAnsi="方正楷体_GBK" w:eastAsia="方正楷体_GBK" w:cs="方正楷体_GBK"/>
          <w:b/>
          <w:bCs/>
          <w:sz w:val="28"/>
          <w:szCs w:val="28"/>
        </w:rPr>
        <w:t xml:space="preserve">23.投标文件的澄清</w:t>
      </w:r>
      <w:bookmarkEnd w:id="161"/>
      <w:r/>
      <w:bookmarkEnd w:id="162"/>
      <w:r/>
      <w:bookmarkEnd w:id="163"/>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w:t>
      </w:r>
      <w:r>
        <w:rPr>
          <w:rFonts w:hint="eastAsia" w:ascii="宋体" w:hAnsi="宋体"/>
          <w:sz w:val="24"/>
          <w:lang w:val="zh-CN"/>
        </w:rPr>
        <w:t xml:space="preserve">作出</w:t>
      </w:r>
      <w:r>
        <w:rPr>
          <w:rFonts w:hint="eastAsia" w:ascii="宋体" w:hAnsi="宋体"/>
          <w:sz w:val="24"/>
          <w:lang w:val="zh-CN"/>
        </w:rPr>
        <w:t xml:space="preserve">必要的澄清、说明或者补正。</w:t>
      </w:r>
      <w:r/>
    </w:p>
    <w:p>
      <w:pPr>
        <w:ind w:firstLine="420"/>
        <w:spacing w:line="252" w:lineRule="auto"/>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spacing w:line="252" w:lineRule="auto"/>
        <w:rPr>
          <w:rFonts w:ascii="宋体" w:hAnsi="宋体"/>
          <w:sz w:val="24"/>
          <w:lang w:val="zh-CN"/>
        </w:rPr>
      </w:pPr>
      <w:r>
        <w:rPr>
          <w:rFonts w:hint="eastAsia" w:ascii="宋体" w:hAnsi="宋体"/>
          <w:sz w:val="24"/>
          <w:lang w:val="zh-CN"/>
        </w:rPr>
        <w:t xml:space="preserve">评委会并非对每个投标人都做澄清要求。</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w:t>
      </w:r>
      <w:r>
        <w:rPr>
          <w:rFonts w:hint="eastAsia" w:ascii="宋体" w:hAnsi="宋体"/>
          <w:sz w:val="24"/>
          <w:lang w:val="zh-CN"/>
        </w:rPr>
        <w:t xml:space="preserve">采云</w:t>
      </w:r>
      <w:r>
        <w:rPr>
          <w:rFonts w:hint="eastAsia" w:ascii="宋体" w:hAnsi="宋体"/>
          <w:sz w:val="24"/>
          <w:lang w:val="zh-CN"/>
        </w:rPr>
        <w:t xml:space="preserve">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w:t>
      </w:r>
      <w:r>
        <w:rPr>
          <w:rFonts w:hint="eastAsia" w:ascii="宋体" w:hAnsi="宋体"/>
          <w:sz w:val="24"/>
          <w:lang w:val="zh-CN"/>
        </w:rPr>
        <w:t xml:space="preserve">采云</w:t>
      </w:r>
      <w:r>
        <w:rPr>
          <w:rFonts w:hint="eastAsia" w:ascii="宋体" w:hAnsi="宋体"/>
          <w:sz w:val="24"/>
          <w:lang w:val="zh-CN"/>
        </w:rPr>
        <w:t xml:space="preserve">系统中提交《澄清响应函》并加盖电子公章。澄清、说明和补正的内容作为投标文件的补充部分，具体操作方式见《操作手册》。</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lang w:val="zh-CN"/>
        </w:rPr>
        <w:t xml:space="preserve">作出</w:t>
      </w:r>
      <w:r>
        <w:rPr>
          <w:rFonts w:hint="eastAsia" w:ascii="宋体" w:hAnsi="宋体"/>
          <w:sz w:val="24"/>
          <w:lang w:val="zh-CN"/>
        </w:rPr>
        <w:t xml:space="preserve">澄清、说明和补正，其风险由投标人自行承担。</w:t>
      </w:r>
      <w:r/>
    </w:p>
    <w:p>
      <w:pPr>
        <w:ind w:firstLine="420"/>
        <w:keepLines/>
        <w:keepNext/>
        <w:spacing w:line="252" w:lineRule="auto"/>
        <w:rPr>
          <w:rFonts w:ascii="方正楷体_GBK" w:hAnsi="方正楷体_GBK" w:eastAsia="方正楷体_GBK" w:cs="方正楷体_GBK"/>
          <w:b/>
          <w:bCs/>
          <w:sz w:val="28"/>
          <w:szCs w:val="28"/>
        </w:rPr>
        <w:outlineLvl w:val="3"/>
      </w:pPr>
      <w:r/>
      <w:bookmarkStart w:id="164" w:name="_Toc513029233"/>
      <w:r/>
      <w:bookmarkStart w:id="165" w:name="_Toc16938549"/>
      <w:r/>
      <w:bookmarkStart w:id="166" w:name="_Toc20823305"/>
      <w:r>
        <w:rPr>
          <w:rFonts w:hint="eastAsia" w:ascii="方正楷体_GBK" w:hAnsi="方正楷体_GBK" w:eastAsia="方正楷体_GBK" w:cs="方正楷体_GBK"/>
          <w:b/>
          <w:bCs/>
          <w:sz w:val="28"/>
          <w:szCs w:val="28"/>
        </w:rPr>
        <w:t xml:space="preserve">24.投标文件的</w:t>
      </w:r>
      <w:bookmarkEnd w:id="164"/>
      <w:r/>
      <w:bookmarkEnd w:id="165"/>
      <w:r/>
      <w:bookmarkEnd w:id="166"/>
      <w:r>
        <w:rPr>
          <w:rFonts w:hint="eastAsia" w:ascii="方正楷体_GBK" w:hAnsi="方正楷体_GBK" w:eastAsia="方正楷体_GBK" w:cs="方正楷体_GBK"/>
          <w:b/>
          <w:bCs/>
          <w:sz w:val="28"/>
          <w:szCs w:val="28"/>
        </w:rPr>
        <w:t xml:space="preserve">审查</w:t>
      </w:r>
      <w:r/>
    </w:p>
    <w:p>
      <w:pPr>
        <w:ind w:firstLine="420"/>
        <w:spacing w:line="252" w:lineRule="auto"/>
        <w:rPr>
          <w:rFonts w:ascii="宋体" w:hAnsi="宋体"/>
          <w:sz w:val="24"/>
          <w:lang w:val="zh-CN"/>
        </w:rPr>
      </w:pPr>
      <w:r>
        <w:rPr>
          <w:rFonts w:hint="eastAsia" w:ascii="宋体" w:hAnsi="宋体"/>
          <w:sz w:val="24"/>
          <w:lang w:val="zh-CN"/>
        </w:rPr>
        <w:t xml:space="preserve">24.1 投标文件审查分为资格审查和符合性审查。</w:t>
      </w:r>
      <w:r/>
    </w:p>
    <w:p>
      <w:pPr>
        <w:ind w:firstLine="420"/>
        <w:spacing w:line="252" w:lineRule="auto"/>
        <w:rPr>
          <w:rFonts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spacing w:line="252" w:lineRule="auto"/>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spacing w:line="252" w:lineRule="auto"/>
        <w:rPr>
          <w:rFonts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spacing w:line="252" w:lineRule="auto"/>
        <w:rPr>
          <w:rFonts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w:t>
      </w:r>
      <w:r>
        <w:rPr>
          <w:rFonts w:hint="eastAsia" w:ascii="宋体" w:hAnsi="宋体"/>
          <w:sz w:val="24"/>
          <w:lang w:val="zh-CN"/>
        </w:rPr>
        <w:t xml:space="preserve">作出</w:t>
      </w:r>
      <w:r>
        <w:rPr>
          <w:rFonts w:hint="eastAsia" w:ascii="宋体" w:hAnsi="宋体"/>
          <w:sz w:val="24"/>
          <w:lang w:val="zh-CN"/>
        </w:rPr>
        <w:t xml:space="preserve">响应。</w:t>
      </w:r>
      <w:r/>
    </w:p>
    <w:p>
      <w:pPr>
        <w:ind w:firstLine="420"/>
        <w:spacing w:line="252" w:lineRule="auto"/>
        <w:rPr>
          <w:rFonts w:ascii="宋体" w:hAnsi="宋体"/>
          <w:sz w:val="24"/>
          <w:lang w:val="zh-CN"/>
        </w:rPr>
      </w:pPr>
      <w:r>
        <w:rPr>
          <w:rFonts w:hint="eastAsia" w:ascii="宋体" w:hAnsi="宋体"/>
          <w:sz w:val="24"/>
          <w:lang w:val="zh-CN"/>
        </w:rPr>
        <w:t xml:space="preserve">24.1.3 未通过资格审查或符合性审查的投标人，交易中心将通过苏</w:t>
      </w:r>
      <w:r>
        <w:rPr>
          <w:rFonts w:hint="eastAsia" w:ascii="宋体" w:hAnsi="宋体"/>
          <w:sz w:val="24"/>
          <w:lang w:val="zh-CN"/>
        </w:rPr>
        <w:t xml:space="preserve">采云</w:t>
      </w:r>
      <w:r>
        <w:rPr>
          <w:rFonts w:hint="eastAsia" w:ascii="宋体" w:hAnsi="宋体"/>
          <w:sz w:val="24"/>
          <w:lang w:val="zh-CN"/>
        </w:rPr>
        <w:t xml:space="preserve">系统告知其具体原因，评标结束后不再接受有关询问。</w:t>
      </w:r>
      <w:r/>
    </w:p>
    <w:p>
      <w:pPr>
        <w:ind w:firstLine="420"/>
        <w:spacing w:line="252" w:lineRule="auto"/>
        <w:rPr>
          <w:rFonts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252" w:lineRule="auto"/>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w:t>
      </w:r>
      <w:r>
        <w:rPr>
          <w:rFonts w:hint="eastAsia" w:ascii="宋体" w:hAnsi="宋体"/>
          <w:sz w:val="24"/>
          <w:lang w:val="zh-CN"/>
        </w:rPr>
        <w:t xml:space="preserve">作出</w:t>
      </w:r>
      <w:r>
        <w:rPr>
          <w:rFonts w:hint="eastAsia" w:ascii="宋体" w:hAnsi="宋体"/>
          <w:sz w:val="24"/>
          <w:lang w:val="zh-CN"/>
        </w:rPr>
        <w:t xml:space="preserve">结论。评委会认定投标文件的</w:t>
      </w:r>
      <w:r>
        <w:rPr>
          <w:rFonts w:hint="eastAsia" w:ascii="宋体" w:hAnsi="宋体"/>
          <w:sz w:val="24"/>
          <w:lang w:val="zh-CN"/>
        </w:rPr>
        <w:t xml:space="preserve">响应性只根据</w:t>
      </w:r>
      <w:r>
        <w:rPr>
          <w:rFonts w:hint="eastAsia" w:ascii="宋体" w:hAnsi="宋体"/>
          <w:sz w:val="24"/>
          <w:lang w:val="zh-CN"/>
        </w:rPr>
        <w:t xml:space="preserve">投标文件本身的内容，而不寻求外部的证据。</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spacing w:line="252" w:lineRule="auto"/>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spacing w:line="252" w:lineRule="auto"/>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spacing w:line="252" w:lineRule="auto"/>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spacing w:line="252" w:lineRule="auto"/>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spacing w:line="252" w:lineRule="auto"/>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w:t>
      </w:r>
      <w:r>
        <w:rPr>
          <w:rFonts w:hint="eastAsia" w:ascii="宋体" w:hAnsi="宋体"/>
          <w:sz w:val="24"/>
          <w:lang w:val="zh-CN"/>
        </w:rPr>
        <w:t xml:space="preserve">采云</w:t>
      </w:r>
      <w:r>
        <w:rPr>
          <w:rFonts w:hint="eastAsia" w:ascii="宋体" w:hAnsi="宋体"/>
          <w:sz w:val="24"/>
          <w:lang w:val="zh-CN"/>
        </w:rPr>
        <w:t xml:space="preserve">系统告知投标人，调整后的价格对投标人具有约束力。如果投标人不接受修正后的价格，则其投标将被拒绝。</w:t>
      </w:r>
      <w:r/>
    </w:p>
    <w:p>
      <w:pPr>
        <w:ind w:firstLine="420"/>
        <w:spacing w:line="252" w:lineRule="auto"/>
        <w:rPr>
          <w:rFonts w:ascii="宋体" w:hAnsi="宋体"/>
          <w:sz w:val="24"/>
          <w:lang w:val="zh-CN"/>
        </w:rPr>
      </w:pPr>
      <w:r/>
      <w:bookmarkStart w:id="167" w:name="_Toc513029234"/>
      <w:r/>
      <w:bookmarkStart w:id="168" w:name="_Toc20823306"/>
      <w:r/>
      <w:bookmarkStart w:id="169"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w:t>
      </w:r>
      <w:r>
        <w:rPr>
          <w:rFonts w:hint="eastAsia" w:ascii="宋体" w:hAnsi="宋体"/>
          <w:sz w:val="24"/>
          <w:lang w:val="zh-CN"/>
        </w:rPr>
        <w:t xml:space="preserve">采云</w:t>
      </w:r>
      <w:r>
        <w:rPr>
          <w:rFonts w:hint="eastAsia" w:ascii="宋体" w:hAnsi="宋体"/>
          <w:sz w:val="24"/>
          <w:lang w:val="zh-CN"/>
        </w:rPr>
        <w:t xml:space="preserve">系统查阅、答复相关信息，并安排专人与交易中心及评委会联系。</w:t>
      </w:r>
      <w:r/>
    </w:p>
    <w:p>
      <w:pPr>
        <w:ind w:firstLine="420"/>
        <w:keepLines/>
        <w:keepNext/>
        <w:spacing w:line="252" w:lineRule="auto"/>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w:t>
      </w:r>
      <w:bookmarkEnd w:id="167"/>
      <w:r/>
      <w:bookmarkEnd w:id="168"/>
      <w:r/>
      <w:bookmarkEnd w:id="169"/>
      <w:r>
        <w:rPr>
          <w:rFonts w:hint="eastAsia" w:ascii="方正楷体_GBK" w:hAnsi="方正楷体_GBK" w:eastAsia="方正楷体_GBK" w:cs="方正楷体_GBK"/>
          <w:b/>
          <w:bCs/>
          <w:sz w:val="28"/>
          <w:szCs w:val="28"/>
        </w:rPr>
        <w:t xml:space="preserve">5.无效投标和废标</w:t>
      </w:r>
      <w:r/>
    </w:p>
    <w:p>
      <w:pPr>
        <w:ind w:firstLine="420"/>
        <w:spacing w:line="252" w:lineRule="auto"/>
        <w:rPr>
          <w:rFonts w:ascii="宋体" w:hAnsi="宋体"/>
          <w:sz w:val="24"/>
          <w:lang w:val="zh-CN"/>
        </w:rPr>
      </w:pPr>
      <w:r/>
      <w:bookmarkStart w:id="170" w:name="_Toc20823307"/>
      <w:r/>
      <w:bookmarkStart w:id="171" w:name="_Toc513029235"/>
      <w:r/>
      <w:bookmarkStart w:id="172"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.1无效投标情形</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w:t>
      </w:r>
      <w:r>
        <w:rPr>
          <w:rFonts w:hint="eastAsia" w:ascii="宋体" w:hAnsi="宋体"/>
          <w:sz w:val="24"/>
          <w:lang w:val="zh-CN"/>
        </w:rPr>
        <w:t xml:space="preserve">采云</w:t>
      </w:r>
      <w:r>
        <w:rPr>
          <w:rFonts w:hint="eastAsia" w:ascii="宋体" w:hAnsi="宋体"/>
          <w:sz w:val="24"/>
          <w:lang w:val="zh-CN"/>
        </w:rPr>
        <w:t xml:space="preserve">系统规定的时间内未成功解密电子投标文件。</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.1.7不符合招标文件中实质性要求和条件的</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w:t>
      </w:r>
      <w:r>
        <w:rPr>
          <w:rFonts w:hint="eastAsia" w:ascii="宋体" w:hAnsi="宋体"/>
          <w:sz w:val="24"/>
          <w:lang w:val="zh-CN"/>
        </w:rPr>
        <w:t xml:space="preserve">采云</w:t>
      </w:r>
      <w:r>
        <w:rPr>
          <w:rFonts w:hint="eastAsia" w:ascii="宋体" w:hAnsi="宋体"/>
          <w:sz w:val="24"/>
          <w:lang w:val="zh-CN"/>
        </w:rPr>
        <w:t xml:space="preserve">系统要求其在合理的时间内提供说明，必要时提交相关证明材料。投标人不能证明其报价合理性的，评委会应当将其作为无效投标处理。</w:t>
      </w:r>
      <w:r/>
    </w:p>
    <w:p>
      <w:pPr>
        <w:ind w:firstLine="420"/>
        <w:spacing w:line="252" w:lineRule="auto"/>
        <w:rPr>
          <w:rFonts w:ascii="宋体" w:hAnsi="宋体"/>
          <w:sz w:val="24"/>
          <w:lang w:val="zh-CN"/>
        </w:rPr>
      </w:pPr>
      <w:r>
        <w:rPr>
          <w:rFonts w:hint="eastAsia" w:ascii="宋体" w:hAnsi="宋体"/>
          <w:sz w:val="24"/>
          <w:lang w:val="zh-CN"/>
        </w:rPr>
        <w:t xml:space="preserve">25.1.11 采购产品被财政部、</w:t>
      </w:r>
      <w:r>
        <w:rPr>
          <w:rFonts w:hint="eastAsia" w:ascii="宋体" w:hAnsi="宋体"/>
          <w:sz w:val="24"/>
          <w:lang w:val="zh-CN"/>
        </w:rPr>
        <w:t xml:space="preserve">国家发改委</w:t>
      </w:r>
      <w:r>
        <w:rPr>
          <w:rFonts w:hint="eastAsia" w:ascii="宋体" w:hAnsi="宋体"/>
          <w:sz w:val="24"/>
          <w:lang w:val="zh-CN"/>
        </w:rPr>
        <w:t xml:space="preserve">、生态环境部等列入“节能产品品目清单”强制采购范围，而投标人提供的产品不在强制采购范围内。</w:t>
      </w:r>
      <w:r/>
    </w:p>
    <w:p>
      <w:pPr>
        <w:ind w:firstLine="420"/>
        <w:spacing w:line="252" w:lineRule="auto"/>
        <w:rPr>
          <w:rFonts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lang w:val="zh-CN"/>
        </w:rPr>
        <w:t xml:space="preserve">废标情形</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w:t>
      </w:r>
      <w:r>
        <w:rPr>
          <w:rFonts w:hint="eastAsia" w:ascii="宋体" w:hAnsi="宋体"/>
          <w:sz w:val="24"/>
          <w:lang w:val="zh-CN"/>
        </w:rPr>
        <w:t xml:space="preserve">采云</w:t>
      </w:r>
      <w:r>
        <w:rPr>
          <w:rFonts w:hint="eastAsia" w:ascii="宋体" w:hAnsi="宋体"/>
          <w:sz w:val="24"/>
          <w:lang w:val="zh-CN"/>
        </w:rPr>
        <w:t xml:space="preserve">系统故障造成开标不成功。</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w:t>
      </w:r>
      <w:r>
        <w:rPr>
          <w:rFonts w:hint="eastAsia" w:ascii="宋体" w:hAnsi="宋体"/>
          <w:sz w:val="24"/>
          <w:lang w:val="zh-CN"/>
        </w:rPr>
        <w:t xml:space="preserve">作出</w:t>
      </w:r>
      <w:r>
        <w:rPr>
          <w:rFonts w:hint="eastAsia" w:ascii="宋体" w:hAnsi="宋体"/>
          <w:sz w:val="24"/>
          <w:lang w:val="zh-CN"/>
        </w:rPr>
        <w:t xml:space="preserve">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65"/>
        <w:keepLines/>
        <w:keepNext/>
        <w:spacing w:line="252" w:lineRule="auto"/>
        <w:rPr>
          <w:rFonts w:ascii="方正黑体_GBK" w:hAnsi="方正黑体_GBK" w:eastAsia="方正黑体_GBK" w:cs="方正黑体_GBK"/>
          <w:sz w:val="30"/>
          <w:szCs w:val="30"/>
        </w:rPr>
        <w:outlineLvl w:val="2"/>
      </w:pPr>
      <w:r/>
      <w:bookmarkStart w:id="173" w:name="_Toc120614219"/>
      <w:r/>
      <w:bookmarkEnd w:id="135"/>
      <w:r/>
      <w:bookmarkEnd w:id="136"/>
      <w:r/>
      <w:bookmarkEnd w:id="137"/>
      <w:r/>
      <w:bookmarkEnd w:id="170"/>
      <w:r/>
      <w:bookmarkEnd w:id="171"/>
      <w:r/>
      <w:bookmarkEnd w:id="172"/>
      <w:r>
        <w:rPr>
          <w:rFonts w:hint="eastAsia" w:ascii="方正黑体_GBK" w:hAnsi="方正黑体_GBK" w:eastAsia="方正黑体_GBK" w:cs="方正黑体_GBK"/>
          <w:sz w:val="30"/>
          <w:szCs w:val="30"/>
        </w:rPr>
        <w:t xml:space="preserve">六、定标</w:t>
      </w:r>
      <w:bookmarkEnd w:id="173"/>
      <w:r/>
      <w:r/>
    </w:p>
    <w:p>
      <w:pPr>
        <w:ind w:firstLine="420"/>
        <w:keepLines/>
        <w:keepNext/>
        <w:spacing w:line="252" w:lineRule="auto"/>
        <w:rPr>
          <w:rFonts w:ascii="方正楷体_GBK" w:hAnsi="方正楷体_GBK" w:eastAsia="方正楷体_GBK" w:cs="方正楷体_GBK"/>
          <w:b/>
          <w:bCs/>
          <w:sz w:val="28"/>
          <w:szCs w:val="28"/>
        </w:rPr>
        <w:outlineLvl w:val="3"/>
      </w:pPr>
      <w:r/>
      <w:bookmarkStart w:id="174" w:name="_Toc513029238"/>
      <w:r/>
      <w:bookmarkStart w:id="175" w:name="_Toc16938554"/>
      <w:r/>
      <w:bookmarkStart w:id="176" w:name="_Toc20823310"/>
      <w:r>
        <w:rPr>
          <w:rFonts w:hint="eastAsia" w:ascii="方正楷体_GBK" w:hAnsi="方正楷体_GBK" w:eastAsia="方正楷体_GBK" w:cs="方正楷体_GBK"/>
          <w:b/>
          <w:bCs/>
          <w:sz w:val="28"/>
          <w:szCs w:val="28"/>
        </w:rPr>
        <w:t xml:space="preserve">2</w:t>
      </w:r>
      <w:bookmarkEnd w:id="174"/>
      <w:r>
        <w:rPr>
          <w:rFonts w:hint="eastAsia" w:ascii="方正楷体_GBK" w:hAnsi="方正楷体_GBK" w:eastAsia="方正楷体_GBK" w:cs="方正楷体_GBK"/>
          <w:b/>
          <w:bCs/>
          <w:sz w:val="28"/>
          <w:szCs w:val="28"/>
        </w:rPr>
        <w:t xml:space="preserve">6.确定</w:t>
      </w:r>
      <w:bookmarkEnd w:id="175"/>
      <w:r/>
      <w:bookmarkEnd w:id="176"/>
      <w:r>
        <w:rPr>
          <w:rFonts w:hint="eastAsia" w:ascii="方正楷体_GBK" w:hAnsi="方正楷体_GBK" w:eastAsia="方正楷体_GBK" w:cs="方正楷体_GBK"/>
          <w:b/>
          <w:bCs/>
          <w:sz w:val="28"/>
          <w:szCs w:val="28"/>
        </w:rPr>
        <w:t xml:space="preserve">中标单位</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lang w:val="zh-CN"/>
        </w:rPr>
        <w:t xml:space="preserve">1</w:t>
      </w:r>
      <w:r>
        <w:rPr>
          <w:rFonts w:hint="eastAsia" w:ascii="宋体" w:hAnsi="宋体"/>
          <w:sz w:val="24"/>
          <w:lang w:val="zh-CN"/>
        </w:rPr>
        <w:t xml:space="preserve">）种方式确定中标人：</w:t>
      </w:r>
      <w:r/>
    </w:p>
    <w:p>
      <w:pPr>
        <w:ind w:firstLine="420"/>
        <w:spacing w:line="252" w:lineRule="auto"/>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spacing w:line="252" w:lineRule="auto"/>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spacing w:line="252" w:lineRule="auto"/>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spacing w:line="252" w:lineRule="auto"/>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spacing w:line="252" w:lineRule="auto"/>
        <w:rPr>
          <w:rFonts w:ascii="宋体" w:hAnsi="宋体"/>
          <w:sz w:val="24"/>
          <w:lang w:val="zh-CN"/>
        </w:rPr>
      </w:pPr>
      <w:r>
        <w:rPr>
          <w:rFonts w:hint="eastAsia" w:ascii="宋体" w:hAnsi="宋体"/>
          <w:sz w:val="24"/>
          <w:lang w:val="zh-CN"/>
        </w:rPr>
        <w:t xml:space="preserve">26.4.1 提供虚假材料谋取中标。</w:t>
      </w:r>
      <w:r/>
    </w:p>
    <w:p>
      <w:pPr>
        <w:ind w:firstLine="420"/>
        <w:spacing w:line="252" w:lineRule="auto"/>
        <w:rPr>
          <w:rFonts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spacing w:line="252" w:lineRule="auto"/>
        <w:rPr>
          <w:rFonts w:ascii="宋体" w:hAnsi="宋体"/>
          <w:sz w:val="24"/>
          <w:lang w:val="zh-CN"/>
        </w:rPr>
      </w:pPr>
      <w:r>
        <w:rPr>
          <w:rFonts w:hint="eastAsia" w:ascii="宋体" w:hAnsi="宋体"/>
          <w:sz w:val="24"/>
          <w:lang w:val="zh-CN"/>
        </w:rPr>
        <w:t xml:space="preserve">26.4.3 与其</w:t>
      </w:r>
      <w:r>
        <w:rPr>
          <w:rFonts w:hint="eastAsia" w:ascii="宋体" w:hAnsi="宋体"/>
          <w:sz w:val="24"/>
          <w:lang w:val="zh-CN"/>
        </w:rPr>
        <w:t xml:space="preserve">他供应</w:t>
      </w:r>
      <w:r>
        <w:rPr>
          <w:rFonts w:hint="eastAsia" w:ascii="宋体" w:hAnsi="宋体"/>
          <w:sz w:val="24"/>
          <w:lang w:val="zh-CN"/>
        </w:rPr>
        <w:t xml:space="preserve">商、评审专家、采购人或交易中心工作人员恶意串通。</w:t>
      </w:r>
      <w:r/>
    </w:p>
    <w:p>
      <w:pPr>
        <w:ind w:firstLine="420"/>
        <w:spacing w:line="252" w:lineRule="auto"/>
        <w:rPr>
          <w:rFonts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spacing w:line="252" w:lineRule="auto"/>
        <w:rPr>
          <w:rFonts w:ascii="宋体" w:hAnsi="宋体"/>
          <w:sz w:val="24"/>
          <w:lang w:val="zh-CN"/>
        </w:rPr>
      </w:pPr>
      <w:r>
        <w:rPr>
          <w:rFonts w:hint="eastAsia" w:ascii="宋体" w:hAnsi="宋体"/>
          <w:sz w:val="24"/>
          <w:lang w:val="zh-CN"/>
        </w:rPr>
        <w:t xml:space="preserve">26.4.5 采取不正当手段诋毁、排挤其他供应商。</w:t>
      </w:r>
      <w:r/>
    </w:p>
    <w:p>
      <w:pPr>
        <w:ind w:firstLine="420"/>
        <w:spacing w:line="252" w:lineRule="auto"/>
        <w:rPr>
          <w:rFonts w:ascii="宋体" w:hAnsi="宋体"/>
          <w:b/>
          <w:bCs/>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77"/>
      <w:r/>
    </w:p>
    <w:p>
      <w:pPr>
        <w:ind w:firstLine="420"/>
        <w:keepLines/>
        <w:keepNext/>
        <w:spacing w:line="252" w:lineRule="auto"/>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27.中标通知书</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w:t>
      </w:r>
      <w:r>
        <w:rPr>
          <w:rFonts w:hint="eastAsia" w:ascii="宋体" w:hAnsi="宋体"/>
          <w:sz w:val="24"/>
          <w:lang w:val="zh-CN"/>
        </w:rPr>
        <w:t xml:space="preserve">采云</w:t>
      </w:r>
      <w:r>
        <w:rPr>
          <w:rFonts w:hint="eastAsia" w:ascii="宋体" w:hAnsi="宋体"/>
          <w:sz w:val="24"/>
          <w:lang w:val="zh-CN"/>
        </w:rPr>
        <w:t xml:space="preserve">系统下载。</w:t>
      </w:r>
      <w:r/>
    </w:p>
    <w:p>
      <w:pPr>
        <w:ind w:firstLine="420"/>
        <w:spacing w:line="252" w:lineRule="auto"/>
        <w:rPr>
          <w:rFonts w:ascii="宋体" w:hAnsi="宋体"/>
          <w:sz w:val="24"/>
          <w:lang w:val="zh-CN"/>
        </w:rPr>
      </w:pPr>
      <w:r>
        <w:rPr>
          <w:rFonts w:hint="eastAsia" w:ascii="宋体" w:hAnsi="宋体"/>
          <w:sz w:val="24"/>
          <w:lang w:val="zh-CN"/>
        </w:rPr>
        <w:t xml:space="preserve">因系统存储空间有限，中标结果公告届满之日起三十日后，苏</w:t>
      </w:r>
      <w:r>
        <w:rPr>
          <w:rFonts w:hint="eastAsia" w:ascii="宋体" w:hAnsi="宋体"/>
          <w:sz w:val="24"/>
          <w:lang w:val="zh-CN"/>
        </w:rPr>
        <w:t xml:space="preserve">采云</w:t>
      </w:r>
      <w:r>
        <w:rPr>
          <w:rFonts w:hint="eastAsia" w:ascii="宋体" w:hAnsi="宋体"/>
          <w:sz w:val="24"/>
          <w:lang w:val="zh-CN"/>
        </w:rPr>
        <w:t xml:space="preserve">系统不再保证提供下载《中标通知书》服务，因未及时下载而造成的不利后果由中标人自行承担。</w:t>
      </w:r>
      <w:r/>
    </w:p>
    <w:p>
      <w:pPr>
        <w:ind w:firstLine="420"/>
        <w:spacing w:line="252"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ind w:firstLine="465"/>
        <w:keepLines/>
        <w:keepNext/>
        <w:spacing w:line="252" w:lineRule="auto"/>
        <w:rPr>
          <w:rFonts w:ascii="方正黑体_GBK" w:hAnsi="方正黑体_GBK" w:eastAsia="方正黑体_GBK" w:cs="方正黑体_GBK"/>
          <w:sz w:val="30"/>
          <w:szCs w:val="30"/>
        </w:rPr>
        <w:outlineLvl w:val="2"/>
      </w:pPr>
      <w:r/>
      <w:bookmarkStart w:id="178" w:name="_Toc120614220"/>
      <w:r/>
      <w:bookmarkStart w:id="179" w:name="_Toc20823308"/>
      <w:r/>
      <w:bookmarkStart w:id="180" w:name="_Toc513029236"/>
      <w:r/>
      <w:bookmarkStart w:id="181" w:name="_Toc16938552"/>
      <w:r>
        <w:rPr>
          <w:rFonts w:hint="eastAsia" w:ascii="方正黑体_GBK" w:hAnsi="方正黑体_GBK" w:eastAsia="方正黑体_GBK" w:cs="方正黑体_GBK"/>
          <w:sz w:val="30"/>
          <w:szCs w:val="30"/>
        </w:rPr>
        <w:t xml:space="preserve">七、授予合同</w:t>
      </w:r>
      <w:bookmarkEnd w:id="178"/>
      <w:r/>
      <w:bookmarkEnd w:id="179"/>
      <w:bookmarkEnd w:id="180"/>
      <w:bookmarkEnd w:id="181"/>
      <w:r/>
    </w:p>
    <w:p>
      <w:pPr>
        <w:ind w:firstLine="420"/>
        <w:keepLines/>
        <w:keepNext/>
        <w:spacing w:line="252" w:lineRule="auto"/>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28.签订合同</w:t>
      </w:r>
      <w:r/>
    </w:p>
    <w:p>
      <w:pPr>
        <w:ind w:firstLine="420"/>
        <w:spacing w:line="252" w:lineRule="auto"/>
        <w:rPr>
          <w:rFonts w:ascii="宋体" w:hAnsi="宋体"/>
          <w:sz w:val="24"/>
          <w:lang w:val="zh-CN"/>
        </w:rPr>
      </w:pPr>
      <w:r>
        <w:rPr>
          <w:rFonts w:hint="eastAsia" w:ascii="宋体" w:hAnsi="宋体"/>
          <w:sz w:val="24"/>
          <w:lang w:val="zh-CN"/>
        </w:rPr>
        <w:t xml:space="preserve">28.l 中标人应当在《中标通知书》发出之日起三十日内，按照招标文件确定的事项与采购人签订政府采购合同。采购人于合同签订后2个工作日内通过苏</w:t>
      </w:r>
      <w:r>
        <w:rPr>
          <w:rFonts w:hint="eastAsia" w:ascii="宋体" w:hAnsi="宋体"/>
          <w:sz w:val="24"/>
          <w:lang w:val="zh-CN"/>
        </w:rPr>
        <w:t xml:space="preserve">采云</w:t>
      </w:r>
      <w:r>
        <w:rPr>
          <w:rFonts w:hint="eastAsia" w:ascii="宋体" w:hAnsi="宋体"/>
          <w:sz w:val="24"/>
          <w:lang w:val="zh-CN"/>
        </w:rPr>
        <w:t xml:space="preserve">系统进行公示。</w:t>
      </w:r>
      <w:r/>
    </w:p>
    <w:p>
      <w:pPr>
        <w:ind w:firstLine="420"/>
        <w:spacing w:line="252" w:lineRule="auto"/>
        <w:rPr>
          <w:rFonts w:ascii="宋体" w:hAnsi="宋体"/>
          <w:sz w:val="24"/>
          <w:lang w:val="zh-CN"/>
        </w:rPr>
      </w:pPr>
      <w:r>
        <w:rPr>
          <w:rFonts w:hint="eastAsia" w:ascii="宋体" w:hAnsi="宋体"/>
          <w:sz w:val="24"/>
          <w:lang w:val="zh-CN"/>
        </w:rPr>
        <w:t xml:space="preserve">28.2 招标文件、中标人的投标文件及招标过程中有关澄清、承诺文件均作为合同附件。</w:t>
      </w:r>
      <w:r/>
    </w:p>
    <w:p>
      <w:pPr>
        <w:ind w:firstLine="420"/>
        <w:spacing w:line="252" w:lineRule="auto"/>
        <w:rPr>
          <w:rFonts w:ascii="宋体" w:hAnsi="宋体"/>
          <w:sz w:val="24"/>
          <w:lang w:val="zh-CN"/>
        </w:rPr>
      </w:pPr>
      <w:r>
        <w:rPr>
          <w:rFonts w:hint="eastAsia" w:ascii="宋体" w:hAnsi="宋体"/>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252" w:lineRule="auto"/>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ind w:firstLine="420"/>
        <w:keepLines/>
        <w:keepNext/>
        <w:spacing w:line="252" w:lineRule="auto"/>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29.标的物的追加</w:t>
      </w:r>
      <w:r/>
    </w:p>
    <w:p>
      <w:pPr>
        <w:ind w:firstLine="420"/>
        <w:spacing w:line="252" w:lineRule="auto"/>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ind w:firstLine="420"/>
        <w:keepLines/>
        <w:keepNext/>
        <w:spacing w:line="252" w:lineRule="auto"/>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30.政府采购履约资金扶持政策</w:t>
      </w:r>
      <w:r/>
    </w:p>
    <w:p>
      <w:pPr>
        <w:ind w:firstLine="420"/>
        <w:spacing w:line="252" w:lineRule="auto"/>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spacing w:line="252" w:lineRule="auto"/>
        <w:rPr>
          <w:lang w:val="zh-CN"/>
        </w:rPr>
      </w:pPr>
      <w:r>
        <w:rPr>
          <w:rFonts w:hint="eastAsia" w:ascii="宋体" w:hAnsi="宋体"/>
          <w:sz w:val="24"/>
        </w:rPr>
        <w:t xml:space="preserve">30.2 依据《关于在全省政府采购领域推行电子履约保函（保险）的通知》（</w:t>
      </w:r>
      <w:r>
        <w:rPr>
          <w:rFonts w:hint="eastAsia" w:ascii="宋体" w:hAnsi="宋体"/>
          <w:sz w:val="24"/>
        </w:rPr>
        <w:t xml:space="preserve">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45"/>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spacing w:line="252" w:lineRule="auto"/>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w:t>
      </w:r>
      <w:r>
        <w:rPr>
          <w:rFonts w:hint="eastAsia" w:ascii="宋体" w:hAnsi="宋体"/>
          <w:sz w:val="24"/>
          <w:lang w:val="zh-CN"/>
        </w:rPr>
        <w:t xml:space="preserve">商依法</w:t>
      </w:r>
      <w:r>
        <w:rPr>
          <w:rFonts w:hint="eastAsia" w:ascii="宋体" w:hAnsi="宋体"/>
          <w:sz w:val="24"/>
          <w:lang w:val="zh-CN"/>
        </w:rPr>
        <w:t xml:space="preserve">获取其可质疑的采购文件的，可以对采购文件提出质疑。</w:t>
      </w:r>
      <w:r/>
    </w:p>
    <w:p>
      <w:pPr>
        <w:ind w:firstLine="420"/>
        <w:spacing w:line="252" w:lineRule="auto"/>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spacing w:line="252"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spacing w:line="252"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spacing w:line="252"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spacing w:line="252" w:lineRule="auto"/>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w:t>
      </w:r>
      <w:r>
        <w:rPr>
          <w:rFonts w:hint="eastAsia" w:ascii="宋体" w:hAnsi="宋体"/>
          <w:sz w:val="24"/>
          <w:lang w:val="zh-CN"/>
        </w:rPr>
        <w:t xml:space="preserve">作出</w:t>
      </w:r>
      <w:r>
        <w:rPr>
          <w:rFonts w:hint="eastAsia" w:ascii="宋体" w:hAnsi="宋体"/>
          <w:sz w:val="24"/>
          <w:lang w:val="zh-CN"/>
        </w:rPr>
        <w:t xml:space="preserve">答复。</w:t>
      </w:r>
      <w:r/>
    </w:p>
    <w:p>
      <w:pPr>
        <w:ind w:firstLine="420"/>
        <w:spacing w:line="252" w:lineRule="auto"/>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spacing w:line="252" w:lineRule="auto"/>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spacing w:line="252" w:lineRule="auto"/>
        <w:rPr>
          <w:rFonts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供应商对除上述事项以外其他事项的询问、质疑向交易中心提出，由交易中心负责答复。</w:t>
      </w:r>
      <w:r/>
    </w:p>
    <w:p>
      <w:pPr>
        <w:ind w:firstLine="422"/>
        <w:rPr>
          <w:rFonts w:ascii="宋体" w:hAnsi="宋体"/>
          <w:color w:val="0000ff"/>
          <w:sz w:val="24"/>
          <w:lang w:val="zh-CN"/>
        </w:rPr>
      </w:pPr>
      <w:r>
        <w:rPr>
          <w:rFonts w:hint="eastAsia" w:ascii="宋体" w:hAnsi="宋体"/>
          <w:b/>
          <w:bCs/>
          <w:sz w:val="24"/>
          <w:lang w:val="zh-CN"/>
        </w:rPr>
        <w:t xml:space="preserve">采购人《质疑函》接收人及联系方式</w:t>
      </w:r>
      <w:r>
        <w:rPr>
          <w:rFonts w:hint="eastAsia" w:ascii="宋体" w:hAnsi="宋体"/>
          <w:b/>
          <w:bCs/>
          <w:sz w:val="24"/>
        </w:rPr>
        <w:t xml:space="preserve">为南</w:t>
      </w:r>
      <w:r>
        <w:rPr>
          <w:rFonts w:hint="eastAsia" w:ascii="宋体" w:hAnsi="宋体"/>
          <w:b/>
          <w:bCs/>
          <w:sz w:val="24"/>
        </w:rPr>
        <w:t xml:space="preserve">京市江宁</w:t>
      </w:r>
      <w:r>
        <w:rPr>
          <w:rFonts w:hint="eastAsia" w:ascii="宋体" w:hAnsi="宋体"/>
          <w:b/>
          <w:bCs/>
          <w:sz w:val="24"/>
        </w:rPr>
        <w:t xml:space="preserve">生态环境局</w:t>
      </w:r>
      <w:r>
        <w:rPr>
          <w:rFonts w:hint="eastAsia" w:ascii="宋体" w:hAnsi="宋体"/>
          <w:b/>
          <w:bCs/>
          <w:sz w:val="24"/>
        </w:rPr>
        <w:t xml:space="preserve">，联系地址：南京市江宁区</w:t>
      </w:r>
      <w:r>
        <w:rPr>
          <w:rFonts w:hint="eastAsia" w:ascii="宋体" w:hAnsi="宋体"/>
          <w:b/>
          <w:bCs/>
          <w:sz w:val="24"/>
        </w:rPr>
        <w:t xml:space="preserve">秦淮路58号</w:t>
      </w:r>
      <w:r>
        <w:rPr>
          <w:rFonts w:hint="eastAsia" w:ascii="宋体" w:hAnsi="宋体"/>
          <w:b/>
          <w:bCs/>
          <w:sz w:val="24"/>
        </w:rPr>
        <w:t xml:space="preserve">，联系人：</w:t>
      </w:r>
      <w:r>
        <w:rPr>
          <w:rFonts w:hint="eastAsia" w:ascii="宋体" w:hAnsi="宋体"/>
          <w:b/>
          <w:bCs/>
          <w:sz w:val="24"/>
        </w:rPr>
        <w:t xml:space="preserve">许为忠</w:t>
      </w:r>
      <w:r>
        <w:rPr>
          <w:rFonts w:hint="eastAsia" w:ascii="宋体" w:hAnsi="宋体"/>
          <w:b/>
          <w:bCs/>
          <w:sz w:val="24"/>
        </w:rPr>
        <w:t xml:space="preserve"> ，联系电话：</w:t>
      </w:r>
      <w:r>
        <w:rPr>
          <w:rFonts w:ascii="宋体" w:hAnsi="宋体"/>
          <w:b/>
          <w:bCs/>
          <w:sz w:val="24"/>
        </w:rPr>
        <w:t xml:space="preserve">025-69510780</w:t>
      </w:r>
      <w:r>
        <w:rPr>
          <w:rFonts w:hint="eastAsia" w:ascii="宋体" w:hAnsi="宋体"/>
          <w:b/>
          <w:bCs/>
          <w:sz w:val="24"/>
        </w:rPr>
        <w:t xml:space="preserve">。</w:t>
      </w:r>
      <w:r/>
    </w:p>
    <w:p>
      <w:pPr>
        <w:ind w:firstLine="420"/>
        <w:spacing w:line="252" w:lineRule="auto"/>
        <w:rPr>
          <w:rFonts w:ascii="宋体" w:hAnsi="宋体"/>
          <w:bCs/>
          <w:sz w:val="24"/>
          <w:lang w:val="zh-CN"/>
        </w:rPr>
      </w:pPr>
      <w:r>
        <w:rPr>
          <w:rFonts w:hint="eastAsia" w:ascii="宋体" w:hAnsi="宋体"/>
          <w:bCs/>
          <w:sz w:val="24"/>
          <w:lang w:val="zh-CN"/>
        </w:rPr>
        <w:t xml:space="preserve">交易中心《质疑函》接收部门为业务受理科。收件人：南京市公共资源交易中心江宁分中心业务受理科，地址：南京市江宁区</w:t>
      </w:r>
      <w:r>
        <w:rPr>
          <w:rFonts w:hint="eastAsia" w:ascii="宋体" w:hAnsi="宋体"/>
          <w:bCs/>
          <w:sz w:val="24"/>
          <w:lang w:val="zh-CN"/>
        </w:rPr>
        <w:t xml:space="preserve">杨家圩路2号</w:t>
      </w:r>
      <w:r>
        <w:rPr>
          <w:rFonts w:hint="eastAsia" w:ascii="宋体" w:hAnsi="宋体"/>
          <w:bCs/>
          <w:sz w:val="24"/>
          <w:lang w:val="zh-CN"/>
        </w:rPr>
        <w:t xml:space="preserve">市民中心A区3楼公共资源交易中心A314，联系电话：025-69634313。</w:t>
      </w:r>
      <w:r/>
    </w:p>
    <w:p>
      <w:pPr>
        <w:ind w:firstLine="422"/>
        <w:spacing w:line="252" w:lineRule="auto"/>
        <w:rPr>
          <w:rFonts w:ascii="宋体" w:hAnsi="宋体"/>
          <w:b/>
          <w:bCs/>
          <w:sz w:val="24"/>
          <w:lang w:val="zh-CN"/>
        </w:rPr>
      </w:pPr>
      <w:r>
        <w:rPr>
          <w:rFonts w:hint="eastAsia" w:ascii="宋体" w:hAnsi="宋体"/>
          <w:b/>
          <w:bCs/>
          <w:sz w:val="24"/>
          <w:lang w:val="zh-CN"/>
        </w:rPr>
        <w:t xml:space="preserve">由采购人负责答复的质疑，采购人将《质疑答复函》抄送交易中心。</w:t>
      </w:r>
      <w:r/>
    </w:p>
    <w:p>
      <w:pPr>
        <w:ind w:firstLine="420"/>
        <w:spacing w:line="252"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spacing w:line="252"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spacing w:line="252"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spacing w:line="252"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spacing w:line="252"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spacing w:line="252"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spacing w:line="252"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spacing w:line="252" w:lineRule="auto"/>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65"/>
        <w:keepLines/>
        <w:keepNext/>
        <w:spacing w:line="252" w:lineRule="auto"/>
        <w:rPr>
          <w:rFonts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九、政策功能落实</w:t>
      </w:r>
      <w:r/>
    </w:p>
    <w:p>
      <w:pPr>
        <w:ind w:firstLine="420"/>
        <w:keepLines/>
        <w:keepNext/>
        <w:spacing w:line="252" w:lineRule="auto"/>
        <w:rPr>
          <w:rFonts w:ascii="方正楷体_GBK" w:hAnsi="方正楷体_GBK" w:eastAsia="方正楷体_GBK" w:cs="方正楷体_GBK"/>
          <w:b/>
          <w:bCs/>
          <w:sz w:val="28"/>
          <w:szCs w:val="28"/>
          <w:lang w:val="zh-CN"/>
        </w:rPr>
        <w:outlineLvl w:val="3"/>
      </w:pPr>
      <w:r>
        <w:rPr>
          <w:rFonts w:hint="eastAsia" w:ascii="方正楷体_GBK" w:hAnsi="方正楷体_GBK" w:eastAsia="方正楷体_GBK" w:cs="方正楷体_GBK"/>
          <w:b/>
          <w:bCs/>
          <w:sz w:val="28"/>
          <w:szCs w:val="28"/>
          <w:lang w:val="zh-CN"/>
        </w:rPr>
        <w:t xml:space="preserve">38.促进中小企业发展</w:t>
      </w:r>
      <w:r/>
    </w:p>
    <w:p>
      <w:pPr>
        <w:ind w:firstLine="420"/>
        <w:spacing w:line="252" w:lineRule="auto"/>
        <w:rPr>
          <w:rFonts w:ascii="宋体" w:hAnsi="宋体"/>
          <w:sz w:val="24"/>
          <w:lang w:val="zh-CN"/>
        </w:rPr>
      </w:pPr>
      <w:r>
        <w:rPr>
          <w:rFonts w:hint="eastAsia" w:ascii="宋体" w:hAnsi="宋体"/>
          <w:sz w:val="24"/>
        </w:rPr>
        <w:t xml:space="preserve">38.1 </w:t>
      </w:r>
      <w:r>
        <w:rPr>
          <w:rFonts w:hint="eastAsia" w:ascii="宋体" w:hAnsi="宋体"/>
          <w:sz w:val="24"/>
          <w:lang w:val="zh-CN"/>
        </w:rPr>
        <w:t xml:space="preserve">本项目服务由中小企业承接的，投标供应</w:t>
      </w:r>
      <w:r>
        <w:rPr>
          <w:rFonts w:hint="eastAsia" w:ascii="宋体" w:hAnsi="宋体"/>
          <w:sz w:val="24"/>
          <w:lang w:val="zh-CN"/>
        </w:rPr>
        <w:t xml:space="preserve">商享受</w:t>
      </w:r>
      <w:r>
        <w:rPr>
          <w:rFonts w:hint="eastAsia" w:ascii="宋体" w:hAnsi="宋体"/>
          <w:sz w:val="24"/>
          <w:lang w:val="zh-CN"/>
        </w:rPr>
        <w:t xml:space="preserve">中小企业扶持政策。</w:t>
      </w:r>
      <w:r/>
    </w:p>
    <w:p>
      <w:pPr>
        <w:ind w:firstLine="420"/>
        <w:spacing w:line="252" w:lineRule="auto"/>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52" w:lineRule="auto"/>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spacing w:line="252" w:lineRule="auto"/>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w:t>
      </w:r>
      <w:r>
        <w:rPr>
          <w:rFonts w:hint="eastAsia" w:ascii="宋体" w:hAnsi="宋体"/>
          <w:sz w:val="24"/>
          <w:lang w:val="zh-CN"/>
        </w:rPr>
        <w:t xml:space="preserve">式参加</w:t>
      </w:r>
      <w:r>
        <w:rPr>
          <w:rFonts w:hint="eastAsia" w:ascii="宋体" w:hAnsi="宋体"/>
          <w:sz w:val="24"/>
          <w:lang w:val="zh-CN"/>
        </w:rPr>
        <w:t xml:space="preserve">政府采购活动，联合体各方均为中小企业的，联合体视同中小企业。其中，联合体各方均为小</w:t>
      </w:r>
      <w:r>
        <w:rPr>
          <w:rFonts w:hint="eastAsia" w:ascii="宋体" w:hAnsi="宋体"/>
          <w:sz w:val="24"/>
          <w:lang w:val="zh-CN"/>
        </w:rPr>
        <w:t xml:space="preserve">微企业</w:t>
      </w:r>
      <w:r>
        <w:rPr>
          <w:rFonts w:hint="eastAsia" w:ascii="宋体" w:hAnsi="宋体"/>
          <w:sz w:val="24"/>
          <w:lang w:val="zh-CN"/>
        </w:rPr>
        <w:t xml:space="preserve">的，联合体视同小微企业。</w:t>
      </w:r>
      <w:r/>
    </w:p>
    <w:p>
      <w:pPr>
        <w:ind w:firstLine="420"/>
        <w:spacing w:line="252" w:lineRule="auto"/>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spacing w:line="252" w:lineRule="auto"/>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ind w:firstLine="420"/>
        <w:keepLines/>
        <w:keepNext/>
        <w:spacing w:line="252" w:lineRule="auto"/>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lang w:val="zh-CN"/>
        </w:rPr>
        <w:t xml:space="preserve">3</w:t>
      </w:r>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zh-CN"/>
        </w:rPr>
        <w:t xml:space="preserve">.</w:t>
      </w:r>
      <w:r>
        <w:rPr>
          <w:rFonts w:hint="eastAsia" w:ascii="方正楷体_GBK" w:hAnsi="方正楷体_GBK" w:eastAsia="方正楷体_GBK" w:cs="方正楷体_GBK"/>
          <w:b/>
          <w:bCs/>
          <w:sz w:val="28"/>
          <w:szCs w:val="28"/>
        </w:rPr>
        <w:t xml:space="preserve">节能环保产品</w:t>
      </w:r>
      <w:r/>
    </w:p>
    <w:p>
      <w:pPr>
        <w:ind w:firstLine="420"/>
        <w:spacing w:line="252" w:lineRule="auto"/>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w:t>
      </w:r>
      <w:r>
        <w:rPr>
          <w:rFonts w:hint="eastAsia" w:ascii="宋体" w:hAnsi="宋体"/>
          <w:sz w:val="24"/>
        </w:rPr>
        <w:t xml:space="preserve">且依据</w:t>
      </w:r>
      <w:r>
        <w:rPr>
          <w:rFonts w:hint="eastAsia" w:ascii="宋体" w:hAnsi="宋体"/>
          <w:sz w:val="24"/>
        </w:rPr>
        <w:t xml:space="preserve">国家相关标准的最新版本、国家能效标准中二级能效（水效）指标认证的节能产品；环境标志产品是指列入财政部、生态环境部制定的《环境标志产品政府采购品目清单》（财库〔2019〕18号），</w:t>
      </w:r>
      <w:r>
        <w:rPr>
          <w:rFonts w:hint="eastAsia" w:ascii="宋体" w:hAnsi="宋体"/>
          <w:sz w:val="24"/>
        </w:rPr>
        <w:t xml:space="preserve">且依据</w:t>
      </w:r>
      <w:r>
        <w:rPr>
          <w:rFonts w:hint="eastAsia" w:ascii="宋体" w:hAnsi="宋体"/>
          <w:sz w:val="24"/>
        </w:rPr>
        <w:t xml:space="preserve">相关标准的最新版本认证的环境标志产品。国家对品目清单进行调整的，按照最新的品目清单执行。</w:t>
      </w:r>
      <w:r/>
    </w:p>
    <w:p>
      <w:pPr>
        <w:ind w:firstLine="420"/>
        <w:spacing w:line="252" w:lineRule="auto"/>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spacing w:line="252" w:lineRule="auto"/>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ind w:firstLine="420"/>
        <w:keepLines/>
        <w:keepNext/>
        <w:spacing w:line="252" w:lineRule="auto"/>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40</w:t>
      </w:r>
      <w:r>
        <w:rPr>
          <w:rFonts w:hint="eastAsia" w:ascii="方正楷体_GBK" w:hAnsi="方正楷体_GBK" w:eastAsia="方正楷体_GBK" w:cs="方正楷体_GBK"/>
          <w:b/>
          <w:bCs/>
          <w:sz w:val="28"/>
          <w:szCs w:val="28"/>
          <w:lang w:val="zh-CN"/>
        </w:rPr>
        <w:t xml:space="preserve">.</w:t>
      </w:r>
      <w:r>
        <w:rPr>
          <w:rFonts w:hint="eastAsia" w:ascii="方正楷体_GBK" w:hAnsi="方正楷体_GBK" w:eastAsia="方正楷体_GBK" w:cs="方正楷体_GBK"/>
          <w:b/>
          <w:bCs/>
          <w:sz w:val="28"/>
          <w:szCs w:val="28"/>
        </w:rPr>
        <w:t xml:space="preserve">绿色采购</w:t>
      </w:r>
      <w:r/>
    </w:p>
    <w:p>
      <w:pPr>
        <w:ind w:firstLine="420"/>
        <w:spacing w:line="252" w:lineRule="auto"/>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w:t>
      </w:r>
      <w:r>
        <w:rPr>
          <w:rFonts w:hint="eastAsia" w:ascii="宋体" w:hAnsi="宋体"/>
          <w:sz w:val="24"/>
        </w:rPr>
        <w:t xml:space="preserve">（试行）》《快递包装政府采购需求标准（试行）》（财办库〔2020〕123号）、</w:t>
      </w:r>
      <w:r>
        <w:rPr>
          <w:rFonts w:hint="eastAsia" w:ascii="宋体" w:hAnsi="宋体" w:cs="宋体"/>
          <w:sz w:val="24"/>
          <w:szCs w:val="24"/>
        </w:rPr>
        <w:t xml:space="preserve">《江苏省财政厅关于加强政府绿色采购有关事项的通知》（</w:t>
      </w:r>
      <w:r>
        <w:rPr>
          <w:rFonts w:hint="eastAsia" w:ascii="宋体" w:hAnsi="宋体" w:cs="宋体"/>
          <w:sz w:val="24"/>
          <w:szCs w:val="24"/>
        </w:rPr>
        <w:t xml:space="preserve">苏财购〔2023〕</w:t>
      </w:r>
      <w:r>
        <w:rPr>
          <w:rFonts w:hint="eastAsia" w:ascii="宋体" w:hAnsi="宋体" w:cs="宋体"/>
          <w:sz w:val="24"/>
          <w:szCs w:val="24"/>
        </w:rPr>
        <w:t xml:space="preserve">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252" w:lineRule="auto"/>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w:t>
      </w:r>
      <w:r>
        <w:rPr>
          <w:rFonts w:hint="eastAsia" w:ascii="宋体" w:hAnsi="宋体" w:cs="宋体"/>
          <w:sz w:val="24"/>
          <w:szCs w:val="24"/>
        </w:rPr>
        <w:t xml:space="preserve">苏财购〔2023〕</w:t>
      </w:r>
      <w:r>
        <w:rPr>
          <w:rFonts w:hint="eastAsia" w:ascii="宋体" w:hAnsi="宋体" w:cs="宋体"/>
          <w:sz w:val="24"/>
          <w:szCs w:val="24"/>
        </w:rPr>
        <w:t xml:space="preserve">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spacing w:line="252" w:lineRule="auto"/>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252" w:lineRule="auto"/>
        <w:rPr>
          <w:rFonts w:ascii="宋体" w:hAnsi="宋体"/>
          <w:sz w:val="24"/>
        </w:rPr>
      </w:pPr>
      <w:r>
        <w:rPr>
          <w:rFonts w:hint="eastAsia" w:ascii="宋体" w:hAnsi="宋体"/>
          <w:sz w:val="24"/>
        </w:rPr>
        <w:t xml:space="preserve">40.4 采购产品中涉及数据库、操作系统、通用服务器、工作站、</w:t>
      </w:r>
      <w:r>
        <w:rPr>
          <w:rFonts w:hint="eastAsia" w:ascii="宋体" w:hAnsi="宋体"/>
          <w:sz w:val="24"/>
        </w:rPr>
        <w:t xml:space="preserve">一</w:t>
      </w:r>
      <w:r>
        <w:rPr>
          <w:rFonts w:hint="eastAsia" w:ascii="宋体" w:hAnsi="宋体"/>
          <w:sz w:val="24"/>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20"/>
        <w:keepLines/>
        <w:keepNext/>
        <w:spacing w:line="252" w:lineRule="auto"/>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41</w:t>
      </w:r>
      <w:r>
        <w:rPr>
          <w:rFonts w:hint="eastAsia" w:ascii="方正楷体_GBK" w:hAnsi="方正楷体_GBK" w:eastAsia="方正楷体_GBK" w:cs="方正楷体_GBK"/>
          <w:b/>
          <w:bCs/>
          <w:sz w:val="28"/>
          <w:szCs w:val="28"/>
          <w:lang w:val="zh-CN"/>
        </w:rPr>
        <w:t xml:space="preserve">.</w:t>
      </w:r>
      <w:r>
        <w:rPr>
          <w:rFonts w:hint="eastAsia" w:ascii="方正楷体_GBK" w:hAnsi="方正楷体_GBK" w:eastAsia="方正楷体_GBK" w:cs="方正楷体_GBK"/>
          <w:b/>
          <w:bCs/>
          <w:sz w:val="28"/>
          <w:szCs w:val="28"/>
        </w:rPr>
        <w:t xml:space="preserve">创新产品采购</w:t>
      </w:r>
      <w:r/>
    </w:p>
    <w:p>
      <w:pPr>
        <w:ind w:firstLine="420"/>
        <w:spacing w:line="252" w:lineRule="auto"/>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ind w:firstLine="420"/>
        <w:keepLines/>
        <w:keepNext/>
        <w:spacing w:line="252" w:lineRule="auto"/>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42.</w:t>
      </w:r>
      <w:r>
        <w:rPr>
          <w:rFonts w:hint="eastAsia" w:ascii="方正楷体_GBK" w:hAnsi="方正楷体_GBK" w:eastAsia="方正楷体_GBK" w:cs="方正楷体_GBK"/>
          <w:b/>
          <w:bCs/>
          <w:sz w:val="28"/>
          <w:szCs w:val="28"/>
          <w:lang w:val="zh-CN"/>
        </w:rPr>
        <w:t xml:space="preserve">网络产品、市场准入类产品采购</w:t>
      </w:r>
      <w:r/>
    </w:p>
    <w:p>
      <w:pPr>
        <w:ind w:firstLine="420"/>
        <w:spacing w:line="252" w:lineRule="auto"/>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w:t>
      </w:r>
      <w:r>
        <w:rPr>
          <w:rFonts w:hint="eastAsia" w:ascii="宋体" w:hAnsi="宋体"/>
          <w:sz w:val="24"/>
          <w:lang w:val="zh-CN"/>
        </w:rPr>
        <w:t xml:space="preserve">商双方</w:t>
      </w:r>
      <w:r>
        <w:rPr>
          <w:rFonts w:hint="eastAsia" w:ascii="宋体" w:hAnsi="宋体"/>
          <w:sz w:val="24"/>
          <w:lang w:val="zh-CN"/>
        </w:rPr>
        <w:t xml:space="preserve">签订合同及验收环节，应包含上述网络安全要求的条款。</w:t>
      </w:r>
      <w:r/>
    </w:p>
    <w:p>
      <w:pPr>
        <w:ind w:firstLine="420"/>
        <w:spacing w:line="252" w:lineRule="auto"/>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w:t>
      </w:r>
      <w:r>
        <w:rPr>
          <w:rFonts w:hint="eastAsia" w:ascii="宋体" w:hAnsi="宋体"/>
          <w:sz w:val="24"/>
          <w:lang w:val="zh-CN"/>
        </w:rPr>
        <w:t xml:space="preserve">商双方</w:t>
      </w:r>
      <w:r>
        <w:rPr>
          <w:rFonts w:hint="eastAsia" w:ascii="宋体" w:hAnsi="宋体"/>
          <w:sz w:val="24"/>
          <w:lang w:val="zh-CN"/>
        </w:rPr>
        <w:t xml:space="preserve">签订合同及验收环节，应包含上述市场准入类资质要求的条款。</w:t>
      </w:r>
      <w:r/>
    </w:p>
    <w:p>
      <w:pPr>
        <w:ind w:firstLine="420"/>
        <w:keepLines/>
        <w:keepNext/>
        <w:spacing w:line="252" w:lineRule="auto"/>
        <w:rPr>
          <w:rFonts w:ascii="方正楷体_GBK" w:hAnsi="方正楷体_GBK" w:eastAsia="方正楷体_GBK" w:cs="方正楷体_GBK"/>
          <w:b/>
          <w:bCs/>
          <w:sz w:val="28"/>
          <w:szCs w:val="28"/>
          <w:lang w:val="zh-CN"/>
        </w:rPr>
        <w:outlineLvl w:val="3"/>
      </w:pPr>
      <w:r>
        <w:rPr>
          <w:rFonts w:hint="eastAsia" w:ascii="方正楷体_GBK" w:hAnsi="方正楷体_GBK" w:eastAsia="方正楷体_GBK" w:cs="方正楷体_GBK"/>
          <w:b/>
          <w:bCs/>
          <w:sz w:val="28"/>
          <w:szCs w:val="28"/>
          <w:lang w:val="zh-CN"/>
        </w:rPr>
        <w:t xml:space="preserve">43.数据交易说明</w:t>
      </w:r>
      <w:r/>
    </w:p>
    <w:p>
      <w:pPr>
        <w:ind w:firstLine="420"/>
        <w:spacing w:line="252" w:lineRule="auto"/>
        <w:rPr>
          <w:rFonts w:ascii="宋体" w:hAnsi="宋体"/>
          <w:sz w:val="24"/>
          <w:lang w:val="zh-CN"/>
        </w:rPr>
      </w:pPr>
      <w:r>
        <w:rPr>
          <w:rFonts w:hint="eastAsia" w:ascii="宋体" w:hAnsi="宋体"/>
          <w:sz w:val="24"/>
        </w:rPr>
        <w:t xml:space="preserve">43.1 </w:t>
      </w:r>
      <w:r>
        <w:rPr>
          <w:rFonts w:hint="eastAsia" w:ascii="宋体" w:hAnsi="宋体"/>
          <w:sz w:val="24"/>
          <w:lang w:val="zh-CN"/>
        </w:rPr>
        <w:t xml:space="preserve">数据交易标的包括数据产品、数据服务、数据工具。</w:t>
      </w:r>
      <w:r/>
    </w:p>
    <w:p>
      <w:pPr>
        <w:ind w:firstLine="420"/>
        <w:spacing w:line="252" w:lineRule="auto"/>
        <w:rPr>
          <w:rFonts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 数据、加密数据等。</w:t>
      </w:r>
      <w:r/>
    </w:p>
    <w:p>
      <w:pPr>
        <w:ind w:firstLine="420"/>
        <w:spacing w:line="252" w:lineRule="auto"/>
        <w:rPr>
          <w:rFonts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p>
    <w:p>
      <w:pPr>
        <w:ind w:firstLine="420"/>
        <w:spacing w:line="252" w:lineRule="auto"/>
        <w:rPr>
          <w:rFonts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p>
    <w:p>
      <w:pPr>
        <w:rPr>
          <w:rFonts w:ascii="宋体" w:hAnsi="宋体"/>
          <w:sz w:val="24"/>
          <w:lang w:val="zh-CN"/>
        </w:rPr>
      </w:pPr>
      <w:r>
        <w:rPr>
          <w:rFonts w:ascii="宋体" w:hAnsi="宋体"/>
          <w:sz w:val="24"/>
          <w:lang w:val="zh-CN"/>
        </w:rPr>
      </w:r>
      <w:r/>
    </w:p>
    <w:p>
      <w:pPr>
        <w:pStyle w:val="731"/>
        <w:ind w:left="0"/>
        <w:jc w:val="center"/>
        <w:tabs>
          <w:tab w:val="left" w:pos="463" w:leader="none"/>
        </w:tabs>
        <w:rPr>
          <w:rFonts w:ascii="方正小标宋简体" w:hAnsi="方正小标宋简体" w:eastAsia="方正小标宋简体" w:cs="方正小标宋简体"/>
          <w:color w:val="000000"/>
          <w:sz w:val="36"/>
          <w:szCs w:val="36"/>
          <w:lang w:val="en-US"/>
        </w:rPr>
      </w:pPr>
      <w:r>
        <w:rPr>
          <w:rFonts w:hint="eastAsia" w:ascii="Times New Roman" w:hAnsi="Times New Roman" w:eastAsia="宋体" w:cs="Times New Roman"/>
          <w:sz w:val="21"/>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37"/>
      <w:r/>
      <w:bookmarkEnd w:id="38"/>
      <w:r/>
      <w:bookmarkEnd w:id="39"/>
      <w:r/>
      <w:bookmarkEnd w:id="40"/>
      <w:r/>
      <w:bookmarkEnd w:id="41"/>
      <w:r>
        <w:rPr>
          <w:rFonts w:hint="eastAsia" w:ascii="方正小标宋简体" w:hAnsi="方正小标宋简体" w:eastAsia="方正小标宋简体" w:cs="方正小标宋简体"/>
          <w:color w:val="000000"/>
          <w:sz w:val="36"/>
          <w:szCs w:val="36"/>
          <w:lang w:val="en-US"/>
        </w:rPr>
        <w:t xml:space="preserve">文本</w:t>
      </w:r>
      <w:r/>
    </w:p>
    <w:p>
      <w:pPr>
        <w:jc w:val="center"/>
        <w:rPr>
          <w:rFonts w:ascii="宋体" w:hAnsi="宋体"/>
          <w:bCs/>
          <w:color w:val="000000"/>
          <w:sz w:val="24"/>
        </w:rPr>
        <w:outlineLvl w:val="0"/>
      </w:pPr>
      <w:r/>
      <w:bookmarkStart w:id="182" w:name="_Toc16938559"/>
      <w:r/>
      <w:bookmarkStart w:id="183" w:name="_Toc513029243"/>
      <w:r/>
      <w:bookmarkStart w:id="184" w:name="_Toc20823315"/>
      <w:r>
        <w:rPr>
          <w:rFonts w:hint="eastAsia" w:ascii="宋体" w:hAnsi="宋体"/>
          <w:bCs/>
          <w:color w:val="000000"/>
          <w:sz w:val="24"/>
        </w:rPr>
        <w:t xml:space="preserve">以下为本项目的合同条款，合同双方不得对招标、投标文件内容作实质性修改。</w:t>
      </w:r>
      <w:r/>
    </w:p>
    <w:p>
      <w:pPr>
        <w:pStyle w:val="731"/>
        <w:ind w:left="0"/>
      </w:pPr>
      <w:r/>
      <w:r/>
    </w:p>
    <w:p>
      <w:pPr>
        <w:jc w:val="center"/>
        <w:rPr>
          <w:rFonts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rPr>
          <w:rFonts w:ascii="宋体" w:hAnsi="宋体" w:cs="Courier New"/>
          <w:color w:val="000000"/>
          <w:sz w:val="24"/>
          <w:szCs w:val="24"/>
        </w:rPr>
        <w:outlineLvl w:val="0"/>
      </w:pPr>
      <w:r>
        <w:rPr>
          <w:rFonts w:ascii="宋体" w:hAnsi="宋体" w:cs="Courier New"/>
          <w:color w:val="000000"/>
          <w:sz w:val="24"/>
          <w:szCs w:val="24"/>
        </w:rPr>
        <w:t xml:space="preserve">甲方（买方）：</w:t>
      </w:r>
      <w:r/>
    </w:p>
    <w:p>
      <w:pPr>
        <w:jc w:val="left"/>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94"/>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本合同金额为（大写）：____________________圆（____________________元）人民币。</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cs="Courier New"/>
          <w:color w:val="000000"/>
          <w:sz w:val="24"/>
          <w:szCs w:val="24"/>
        </w:rPr>
        <w:t xml:space="preserve">向履行</w:t>
      </w:r>
      <w:r>
        <w:rPr>
          <w:rFonts w:hint="eastAsia" w:ascii="宋体" w:hAnsi="宋体" w:cs="Courier New"/>
          <w:color w:val="000000"/>
          <w:sz w:val="24"/>
          <w:szCs w:val="24"/>
        </w:rPr>
        <w:t xml:space="preserve">本合同有关的人员提供，也应注意保密并限于履行合同的必需范围。保密期至保密内容按照相关法律法规规定，以合法方式和途径将其全部披露或本合同终止后5年为止，以两者</w:t>
      </w:r>
      <w:r>
        <w:rPr>
          <w:rFonts w:hint="eastAsia" w:ascii="宋体" w:hAnsi="宋体" w:cs="Courier New"/>
          <w:color w:val="000000"/>
          <w:sz w:val="24"/>
          <w:szCs w:val="24"/>
        </w:rPr>
        <w:t xml:space="preserve">孰</w:t>
      </w:r>
      <w:r>
        <w:rPr>
          <w:rFonts w:hint="eastAsia" w:ascii="宋体" w:hAnsi="宋体" w:cs="Courier New"/>
          <w:color w:val="000000"/>
          <w:sz w:val="24"/>
          <w:szCs w:val="24"/>
        </w:rPr>
        <w:t xml:space="preserve">长为准。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w:t>
      </w:r>
      <w:r>
        <w:rPr>
          <w:rFonts w:hint="eastAsia" w:ascii="宋体" w:hAnsi="宋体" w:cs="Courier New"/>
          <w:sz w:val="24"/>
          <w:szCs w:val="24"/>
        </w:rPr>
        <w:t xml:space="preserve">乙方且</w:t>
      </w:r>
      <w:r>
        <w:rPr>
          <w:rFonts w:hint="eastAsia" w:ascii="宋体" w:hAnsi="宋体" w:cs="Courier New"/>
          <w:sz w:val="24"/>
          <w:szCs w:val="24"/>
        </w:rPr>
        <w:t xml:space="preserve">无任何抵押、查封等产权瑕疵。</w:t>
      </w:r>
      <w:r/>
    </w:p>
    <w:p>
      <w:pP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rPr>
          <w:rFonts w:ascii="宋体" w:hAnsi="宋体" w:cs="Courier New"/>
          <w:sz w:val="24"/>
          <w:szCs w:val="24"/>
        </w:rPr>
      </w:pPr>
      <w:r>
        <w:rPr>
          <w:rFonts w:hint="eastAsia" w:ascii="宋体" w:hAnsi="宋体" w:cs="Courier New"/>
          <w:sz w:val="24"/>
          <w:szCs w:val="24"/>
        </w:rPr>
        <w:t xml:space="preserve">6.1 本项目乙方无需缴纳履约保证金。</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694"/>
        <w:rPr>
          <w:rFonts w:hAnsi="宋体"/>
          <w:sz w:val="24"/>
          <w:szCs w:val="24"/>
        </w:rPr>
      </w:pPr>
      <w:r>
        <w:rPr>
          <w:rFonts w:hint="eastAsia" w:hAnsi="宋体"/>
          <w:sz w:val="24"/>
          <w:szCs w:val="24"/>
        </w:rPr>
        <w:t xml:space="preserve">8.1 合同款项的支付方式及时间</w:t>
      </w:r>
      <w:r/>
    </w:p>
    <w:p>
      <w:pPr>
        <w:pStyle w:val="694"/>
        <w:rPr>
          <w:rFonts w:hAnsi="宋体" w:cs="Courier New"/>
          <w:sz w:val="24"/>
          <w:szCs w:val="24"/>
        </w:rPr>
      </w:pPr>
      <w:r>
        <w:rPr>
          <w:rFonts w:hint="eastAsia" w:hAnsi="宋体" w:cs="Courier New"/>
          <w:sz w:val="24"/>
          <w:szCs w:val="24"/>
        </w:rPr>
        <w:t xml:space="preserve">8.1.1 合同签订之后15个工作日内支付合同总额30%的预付款。</w:t>
      </w:r>
      <w:r/>
    </w:p>
    <w:p>
      <w:pPr>
        <w:pStyle w:val="694"/>
        <w:spacing w:line="264" w:lineRule="auto"/>
        <w:rPr>
          <w:rFonts w:hAnsi="宋体" w:cs="Courier New"/>
          <w:sz w:val="24"/>
          <w:szCs w:val="24"/>
        </w:rPr>
      </w:pPr>
      <w:r>
        <w:rPr>
          <w:rFonts w:hint="eastAsia" w:hAnsi="宋体" w:cs="Courier New"/>
          <w:sz w:val="24"/>
          <w:szCs w:val="24"/>
        </w:rPr>
        <w:t xml:space="preserve">8.1.2项目服务期自</w:t>
      </w:r>
      <w:r>
        <w:rPr>
          <w:rFonts w:hint="eastAsia" w:hAnsi="宋体"/>
          <w:sz w:val="24"/>
          <w:szCs w:val="24"/>
        </w:rPr>
        <w:t xml:space="preserve">监测设备全部安装调试交付使用后</w:t>
      </w:r>
      <w:r>
        <w:rPr>
          <w:rFonts w:hint="eastAsia" w:hAnsi="宋体" w:cs="Courier New"/>
          <w:sz w:val="24"/>
          <w:szCs w:val="24"/>
        </w:rPr>
        <w:t xml:space="preserve">开始计算，项目第二年服务期满经验收合格后15个工作日内支付合同总额的30%款项，项目第三年服务期满经验收合格后15个工作日内支付合同总额的剩余40%款项。</w:t>
      </w:r>
      <w:r/>
    </w:p>
    <w:p>
      <w:pPr>
        <w:pStyle w:val="694"/>
        <w:spacing w:line="264" w:lineRule="auto"/>
      </w:pPr>
      <w:r>
        <w:rPr>
          <w:rFonts w:hint="eastAsia" w:hAnsi="宋体"/>
          <w:sz w:val="24"/>
          <w:szCs w:val="24"/>
        </w:rPr>
        <w:t xml:space="preserve">8.1.3 满足合同约定支付条件的，甲方收到乙方发票后10个工作日内，将资金支付到合同约定的乙方账户。 </w:t>
      </w:r>
      <w:r/>
    </w:p>
    <w:p>
      <w:pPr>
        <w:pStyle w:val="694"/>
        <w:rPr>
          <w:rFonts w:hAnsi="宋体"/>
          <w:sz w:val="24"/>
          <w:szCs w:val="24"/>
        </w:rPr>
      </w:pPr>
      <w:r>
        <w:rPr>
          <w:rFonts w:hint="eastAsia" w:hAnsi="宋体"/>
          <w:sz w:val="24"/>
          <w:szCs w:val="24"/>
        </w:rPr>
        <w:t xml:space="preserve">8.2 根据工业和信息化部关于印发《保障中小企业款项支付投诉处理暂行办法》的通知（工信部企业〔2021〕224 号），甲方未按合同约定支付款项的，乙方可以向有关部门投诉。</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w:t>
      </w:r>
      <w:r>
        <w:rPr>
          <w:rFonts w:hint="eastAsia" w:ascii="宋体" w:hAnsi="宋体" w:cs="Courier New"/>
          <w:color w:val="000000"/>
          <w:sz w:val="24"/>
          <w:szCs w:val="24"/>
        </w:rPr>
        <w:t xml:space="preserve">方专业</w:t>
      </w:r>
      <w:r>
        <w:rPr>
          <w:rFonts w:hint="eastAsia" w:ascii="宋体" w:hAnsi="宋体" w:cs="Courier New"/>
          <w:color w:val="000000"/>
          <w:sz w:val="24"/>
          <w:szCs w:val="24"/>
        </w:rPr>
        <w:t xml:space="preserve">机构及专家参与验收，相关意见将作为验收结论的参考。</w:t>
      </w:r>
      <w:r/>
    </w:p>
    <w:p>
      <w:pPr>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w:t>
      </w:r>
      <w:r>
        <w:rPr>
          <w:rFonts w:hint="eastAsia" w:ascii="宋体" w:hAnsi="宋体" w:cs="Courier New"/>
          <w:color w:val="000000"/>
          <w:sz w:val="24"/>
          <w:szCs w:val="24"/>
        </w:rPr>
        <w:t xml:space="preserve">验收书</w:t>
      </w:r>
      <w:r>
        <w:rPr>
          <w:rFonts w:hint="eastAsia" w:ascii="宋体" w:hAnsi="宋体" w:cs="Courier New"/>
          <w:color w:val="000000"/>
          <w:sz w:val="24"/>
          <w:szCs w:val="24"/>
        </w:rPr>
        <w:t xml:space="preserve">,列明各项服务的验收情况及项目总体评价,由验收双方共同签署。验收结果与采购合同约定的资金支付及履约保证金退还挂钩。履约验收的各项资料存档备查。</w:t>
      </w:r>
      <w:r/>
    </w:p>
    <w:p>
      <w:pPr>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5%   </w:t>
      </w:r>
      <w:r>
        <w:rPr>
          <w:rFonts w:hint="eastAsia" w:ascii="宋体" w:hAnsi="宋体" w:cs="Courier New"/>
          <w:color w:val="000000"/>
          <w:sz w:val="24"/>
          <w:szCs w:val="24"/>
        </w:rPr>
        <w:t xml:space="preserve">的违约金。</w:t>
      </w:r>
      <w:r/>
    </w:p>
    <w:p>
      <w:pPr>
        <w:rPr>
          <w:rFonts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千分之五   </w:t>
      </w:r>
      <w:r>
        <w:rPr>
          <w:rFonts w:hint="eastAsia" w:ascii="宋体" w:hAnsi="宋体" w:cs="Courier New"/>
          <w:sz w:val="24"/>
          <w:szCs w:val="24"/>
        </w:rPr>
        <w:t xml:space="preserve">向乙方支付违约金。</w:t>
      </w:r>
      <w:r/>
    </w:p>
    <w:p>
      <w:pPr>
        <w:rPr>
          <w:rFonts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千分之五  </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rPr>
          <w:rFonts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r>
        <w:rPr>
          <w:rFonts w:hint="eastAsia" w:ascii="宋体" w:hAnsi="宋体" w:cs="Courier New"/>
          <w:color w:val="000000"/>
          <w:sz w:val="24"/>
          <w:szCs w:val="24"/>
        </w:rPr>
        <w:t xml:space="preserve">11.5 甲乙双方任何一方违反本合同约定的，除应承</w:t>
      </w:r>
      <w:r>
        <w:rPr>
          <w:rFonts w:hint="eastAsia" w:ascii="宋体" w:hAnsi="宋体" w:cs="Courier New"/>
          <w:color w:val="000000"/>
          <w:sz w:val="24"/>
          <w:szCs w:val="24"/>
        </w:rPr>
        <w:t xml:space="preserve">担上述</w:t>
      </w:r>
      <w:r>
        <w:rPr>
          <w:rFonts w:hint="eastAsia" w:ascii="宋体" w:hAnsi="宋体" w:cs="Courier New"/>
          <w:color w:val="000000"/>
          <w:sz w:val="24"/>
          <w:szCs w:val="24"/>
        </w:rPr>
        <w:t xml:space="preserve">违约责任外，违约方还应当赔偿因</w:t>
      </w:r>
      <w:r>
        <w:rPr>
          <w:rFonts w:hint="eastAsia" w:ascii="宋体" w:hAnsi="宋体" w:cs="Courier New"/>
          <w:color w:val="000000"/>
          <w:sz w:val="24"/>
          <w:szCs w:val="24"/>
        </w:rPr>
        <w:t xml:space="preserve">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694"/>
        <w:spacing w:before="120" w:after="120"/>
        <w:rPr>
          <w:rFonts w:hAnsi="宋体"/>
          <w:sz w:val="24"/>
          <w:szCs w:val="24"/>
        </w:rPr>
      </w:pPr>
      <w:r>
        <w:rPr>
          <w:rFonts w:hAnsi="宋体"/>
          <w:sz w:val="24"/>
          <w:szCs w:val="24"/>
        </w:rPr>
      </w:r>
      <w:bookmarkEnd w:id="182"/>
      <w:bookmarkEnd w:id="183"/>
      <w:bookmarkEnd w:id="184"/>
      <w:r/>
    </w:p>
    <w:p>
      <w:pPr>
        <w:pStyle w:val="694"/>
        <w:ind w:firstLine="240"/>
        <w:spacing w:before="120" w:after="120"/>
        <w:rPr>
          <w:rFonts w:hAnsi="宋体"/>
          <w:sz w:val="24"/>
          <w:szCs w:val="24"/>
        </w:rPr>
      </w:pPr>
      <w:r>
        <w:rPr>
          <w:rFonts w:hint="eastAsia" w:hAnsi="宋体"/>
          <w:sz w:val="24"/>
          <w:szCs w:val="24"/>
        </w:rPr>
        <w:t xml:space="preserve">甲方：（公章）                       乙方：（公章） </w:t>
      </w:r>
      <w:r/>
    </w:p>
    <w:p>
      <w:pPr>
        <w:pStyle w:val="694"/>
        <w:spacing w:before="120" w:after="120"/>
        <w:rPr>
          <w:rFonts w:hAnsi="宋体"/>
          <w:sz w:val="24"/>
          <w:szCs w:val="24"/>
        </w:rPr>
      </w:pPr>
      <w:r>
        <w:rPr>
          <w:rFonts w:hint="eastAsia" w:hAnsi="宋体"/>
          <w:sz w:val="24"/>
          <w:szCs w:val="24"/>
        </w:rPr>
        <w:t xml:space="preserve">  地址：                               地址： </w:t>
      </w:r>
      <w:r/>
    </w:p>
    <w:p>
      <w:pPr>
        <w:pStyle w:val="694"/>
        <w:spacing w:before="120" w:after="120"/>
        <w:rPr>
          <w:rFonts w:hAnsi="宋体"/>
          <w:sz w:val="24"/>
          <w:szCs w:val="24"/>
        </w:rPr>
      </w:pPr>
      <w:r>
        <w:rPr>
          <w:rFonts w:hint="eastAsia" w:hAnsi="宋体"/>
          <w:sz w:val="24"/>
          <w:szCs w:val="24"/>
        </w:rPr>
        <w:t xml:space="preserve">  法定代表人或授权代表：               法定代表人或授权代表：</w:t>
      </w:r>
      <w:r/>
    </w:p>
    <w:p>
      <w:pPr>
        <w:pStyle w:val="694"/>
        <w:ind w:firstLine="240"/>
        <w:spacing w:before="120" w:after="120"/>
        <w:rPr>
          <w:rFonts w:hAnsi="宋体"/>
          <w:sz w:val="24"/>
          <w:szCs w:val="24"/>
        </w:rPr>
      </w:pPr>
      <w:r>
        <w:rPr>
          <w:rFonts w:hint="eastAsia" w:hAnsi="宋体"/>
          <w:sz w:val="24"/>
          <w:szCs w:val="24"/>
        </w:rPr>
        <w:t xml:space="preserve">联系电话：                           联系电话：          </w:t>
      </w:r>
      <w:r/>
    </w:p>
    <w:p>
      <w:pPr>
        <w:pStyle w:val="694"/>
        <w:spacing w:before="120" w:after="120"/>
        <w:rPr>
          <w:rFonts w:hAnsi="宋体"/>
          <w:sz w:val="24"/>
          <w:szCs w:val="24"/>
        </w:rPr>
      </w:pPr>
      <w:r>
        <w:rPr>
          <w:rFonts w:hAnsi="宋体"/>
          <w:sz w:val="24"/>
          <w:szCs w:val="24"/>
        </w:rPr>
      </w:r>
      <w:r/>
    </w:p>
    <w:p>
      <w:pPr>
        <w:pStyle w:val="694"/>
        <w:ind w:firstLine="5280"/>
        <w:spacing w:before="120" w:after="120"/>
        <w:rPr>
          <w:rFonts w:hAnsi="宋体"/>
          <w:sz w:val="24"/>
          <w:szCs w:val="24"/>
        </w:rPr>
      </w:pPr>
      <w:r>
        <w:rPr>
          <w:rFonts w:hint="eastAsia" w:hAnsi="宋体"/>
          <w:sz w:val="24"/>
          <w:szCs w:val="24"/>
        </w:rPr>
        <w:t xml:space="preserve">签订日期：</w:t>
      </w:r>
      <w:r/>
    </w:p>
    <w:p>
      <w:pPr>
        <w:pStyle w:val="694"/>
        <w:ind w:firstLine="4800"/>
        <w:spacing w:before="120" w:after="120"/>
        <w:rPr>
          <w:rFonts w:hAnsi="宋体"/>
          <w:sz w:val="24"/>
          <w:szCs w:val="24"/>
        </w:rPr>
      </w:pPr>
      <w:r>
        <w:rPr>
          <w:rFonts w:hAnsi="宋体"/>
          <w:sz w:val="24"/>
          <w:szCs w:val="24"/>
        </w:rPr>
      </w:r>
      <w:r/>
    </w:p>
    <w:p>
      <w:pPr>
        <w:jc w:val="center"/>
        <w:rPr>
          <w:rFonts w:ascii="宋体" w:hAnsi="宋体"/>
          <w:b/>
          <w:sz w:val="30"/>
        </w:rPr>
        <w:outlineLvl w:val="0"/>
      </w:pPr>
      <w:r>
        <w:rPr>
          <w:rFonts w:ascii="宋体" w:hAnsi="宋体"/>
          <w:b/>
          <w:sz w:val="30"/>
        </w:rPr>
      </w:r>
      <w:r/>
    </w:p>
    <w:p>
      <w:pPr>
        <w:jc w:val="center"/>
        <w:rPr>
          <w:rFonts w:ascii="宋体" w:hAnsi="宋体"/>
          <w:b/>
          <w:sz w:val="30"/>
        </w:rPr>
        <w:outlineLvl w:val="0"/>
      </w:pPr>
      <w:r>
        <w:rPr>
          <w:rFonts w:hint="eastAsia" w:ascii="宋体" w:hAnsi="宋体"/>
          <w:b/>
          <w:sz w:val="30"/>
        </w:rPr>
        <w:t xml:space="preserve">《*******合同》补充协议（合同附件）</w:t>
      </w:r>
      <w:r/>
    </w:p>
    <w:p>
      <w:pPr>
        <w:pStyle w:val="694"/>
        <w:ind w:firstLine="840"/>
        <w:jc w:val="left"/>
        <w:spacing w:before="120" w:after="120"/>
        <w:rPr>
          <w:rFonts w:hAnsi="宋体"/>
          <w:color w:val="000000"/>
          <w:sz w:val="24"/>
          <w:szCs w:val="24"/>
        </w:rPr>
      </w:pPr>
      <w:r>
        <w:rPr>
          <w:rFonts w:hint="eastAsia" w:hAnsi="宋体"/>
          <w:color w:val="000000"/>
          <w:sz w:val="24"/>
          <w:szCs w:val="24"/>
        </w:rPr>
        <w:t xml:space="preserve">如遇招标文件及合同未约定事项，双方</w:t>
      </w:r>
      <w:r>
        <w:rPr>
          <w:rFonts w:hint="eastAsia" w:hAnsi="宋体"/>
          <w:color w:val="000000"/>
          <w:sz w:val="24"/>
          <w:szCs w:val="24"/>
        </w:rPr>
        <w:t xml:space="preserve">可友好</w:t>
      </w:r>
      <w:r>
        <w:rPr>
          <w:rFonts w:hint="eastAsia" w:hAnsi="宋体"/>
          <w:color w:val="000000"/>
          <w:sz w:val="24"/>
          <w:szCs w:val="24"/>
        </w:rPr>
        <w:t xml:space="preserve">协商签订补充协议。</w:t>
      </w:r>
      <w:r/>
    </w:p>
    <w:p>
      <w:pPr>
        <w:pStyle w:val="694"/>
        <w:ind w:firstLine="840"/>
        <w:jc w:val="left"/>
        <w:spacing w:before="120" w:after="120"/>
        <w:rPr>
          <w:rFonts w:hAnsi="宋体"/>
          <w:color w:val="000000"/>
          <w:sz w:val="24"/>
          <w:szCs w:val="24"/>
        </w:rPr>
      </w:pPr>
      <w:r>
        <w:rPr>
          <w:rFonts w:hAnsi="宋体"/>
          <w:color w:val="000000"/>
          <w:sz w:val="24"/>
          <w:szCs w:val="24"/>
        </w:rPr>
      </w:r>
      <w:r/>
    </w:p>
    <w:p>
      <w:pPr>
        <w:pStyle w:val="770"/>
        <w:jc w:val="center"/>
        <w:spacing w:before="120" w:after="120" w:line="0" w:lineRule="atLeast"/>
        <w:rPr>
          <w:rFonts w:ascii="方正小标宋简体" w:hAnsi="方正小标宋简体" w:eastAsia="方正小标宋简体" w:cs="方正小标宋简体"/>
          <w:color w:val="000000"/>
          <w:sz w:val="36"/>
          <w:szCs w:val="36"/>
        </w:rPr>
      </w:pPr>
      <w:r>
        <w:rPr>
          <w:rFonts w:hint="eastAsia" w:hAnsi="宋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w:t>
      </w:r>
      <w:bookmarkEnd w:id="42"/>
      <w:r>
        <w:rPr>
          <w:rFonts w:hint="eastAsia" w:ascii="方正小标宋简体" w:hAnsi="方正小标宋简体" w:eastAsia="方正小标宋简体" w:cs="方正小标宋简体"/>
          <w:color w:val="000000"/>
          <w:sz w:val="36"/>
          <w:szCs w:val="36"/>
        </w:rPr>
        <w:t xml:space="preserve">四章  采购需求</w:t>
      </w:r>
      <w:bookmarkEnd w:id="43"/>
      <w:r/>
      <w:bookmarkEnd w:id="44"/>
      <w:r/>
      <w:bookmarkEnd w:id="45"/>
      <w:r/>
      <w:r/>
    </w:p>
    <w:p>
      <w:pPr>
        <w:ind w:firstLine="480"/>
        <w:spacing w:line="264" w:lineRule="auto"/>
        <w:rPr>
          <w:rFonts w:ascii="黑体" w:hAnsi="黑体" w:eastAsia="黑体" w:cs="黑体"/>
          <w:color w:val="000000"/>
          <w:sz w:val="24"/>
          <w:szCs w:val="24"/>
        </w:rPr>
      </w:pPr>
      <w:r/>
      <w:bookmarkStart w:id="185" w:name="_Toc49090575"/>
      <w:r/>
      <w:bookmarkStart w:id="186"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ascii="宋体" w:hAnsi="宋体"/>
          <w:sz w:val="24"/>
          <w:szCs w:val="24"/>
        </w:rPr>
      </w:pPr>
      <w:r>
        <w:rPr>
          <w:rFonts w:hint="eastAsia" w:ascii="宋体" w:hAnsi="宋体"/>
          <w:sz w:val="24"/>
          <w:szCs w:val="24"/>
        </w:rPr>
        <w:t xml:space="preserve">（一）项目背景</w:t>
      </w:r>
      <w:r/>
    </w:p>
    <w:p>
      <w:pPr>
        <w:ind w:firstLine="480"/>
        <w:spacing w:line="264" w:lineRule="auto"/>
        <w:rPr>
          <w:rFonts w:ascii="宋体" w:hAnsi="宋体"/>
          <w:sz w:val="24"/>
          <w:szCs w:val="24"/>
        </w:rPr>
      </w:pPr>
      <w:r>
        <w:rPr>
          <w:rFonts w:hint="eastAsia" w:ascii="宋体" w:hAnsi="宋体"/>
          <w:sz w:val="24"/>
          <w:szCs w:val="24"/>
        </w:rPr>
        <w:t xml:space="preserve">江宁区重点区域餐饮油烟在线监控系统运维服务内容包括开展净化器运行状态在线监测，根据监管重点动态调整纳入监测的餐饮企业名单，确保在线监测数量点位不少于300个要求。安排专人对重点区域在线餐饮数据进行采集存储，建立智能分析系统，及时发现净化器运行异常情况，实现预警提醒、跟踪调度、赴现场排查处置、闭环管理。协助指导餐饮企业</w:t>
      </w:r>
      <w:r>
        <w:rPr>
          <w:rFonts w:hint="eastAsia" w:ascii="宋体" w:hAnsi="宋体"/>
          <w:sz w:val="24"/>
          <w:szCs w:val="24"/>
        </w:rPr>
        <w:t xml:space="preserve">按要求</w:t>
      </w:r>
      <w:r>
        <w:rPr>
          <w:rFonts w:hint="eastAsia" w:ascii="宋体" w:hAnsi="宋体"/>
          <w:sz w:val="24"/>
          <w:szCs w:val="24"/>
        </w:rPr>
        <w:t xml:space="preserve">开展油烟净化器清洗</w:t>
      </w:r>
      <w:r>
        <w:rPr>
          <w:rFonts w:hint="eastAsia" w:ascii="宋体" w:hAnsi="宋体"/>
          <w:sz w:val="24"/>
          <w:szCs w:val="24"/>
        </w:rPr>
        <w:t xml:space="preserve">维护，</w:t>
      </w:r>
      <w:r>
        <w:rPr>
          <w:rFonts w:hint="eastAsia" w:ascii="宋体" w:hAnsi="宋体"/>
          <w:sz w:val="24"/>
          <w:szCs w:val="24"/>
        </w:rPr>
        <w:t xml:space="preserve">并将清洗记录上传南京市《餐饮“码”上洗》平台。供应商应提供相关软硬件设备给采购人使用，</w:t>
      </w:r>
      <w:r>
        <w:rPr>
          <w:rFonts w:hint="eastAsia" w:ascii="宋体" w:hAnsi="宋体"/>
          <w:sz w:val="24"/>
          <w:szCs w:val="24"/>
        </w:rPr>
        <w:t xml:space="preserve">按要求</w:t>
      </w:r>
      <w:r>
        <w:rPr>
          <w:rFonts w:hint="eastAsia" w:ascii="宋体" w:hAnsi="宋体"/>
          <w:sz w:val="24"/>
          <w:szCs w:val="24"/>
        </w:rPr>
        <w:t xml:space="preserve">提供数据分析报告，服务周期为三年，服务到期后，软硬件设备产权</w:t>
      </w:r>
      <w:r>
        <w:rPr>
          <w:rFonts w:hint="eastAsia" w:ascii="宋体" w:hAnsi="宋体"/>
          <w:sz w:val="24"/>
          <w:szCs w:val="24"/>
        </w:rPr>
        <w:t xml:space="preserve">归供应</w:t>
      </w:r>
      <w:r>
        <w:rPr>
          <w:rFonts w:hint="eastAsia" w:ascii="宋体" w:hAnsi="宋体"/>
          <w:sz w:val="24"/>
          <w:szCs w:val="24"/>
        </w:rPr>
        <w:t xml:space="preserve">商所有</w:t>
      </w:r>
      <w:r>
        <w:rPr>
          <w:rFonts w:hint="eastAsia" w:ascii="宋体" w:hAnsi="宋体"/>
          <w:sz w:val="24"/>
          <w:szCs w:val="24"/>
        </w:rPr>
        <w:t xml:space="preserve">，具体需求详见技术要求。</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（二）项目建设遵循标准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遵循国家、行业及地方现行的规范和标准。</w:t>
      </w:r>
      <w:r/>
    </w:p>
    <w:p>
      <w:pPr>
        <w:pStyle w:val="774"/>
        <w:ind w:left="0" w:firstLine="0"/>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《饮食业油烟污染物排放标准（试行）》（GB18483-2001）</w:t>
      </w:r>
      <w:r/>
    </w:p>
    <w:p>
      <w:pPr>
        <w:pStyle w:val="774"/>
        <w:ind w:left="0" w:firstLine="0"/>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《餐饮业废气排放过程（工况）监控数据采集技术指南》（T/CAEPI35-2021）</w:t>
      </w:r>
      <w:r/>
    </w:p>
    <w:p>
      <w:pPr>
        <w:pStyle w:val="774"/>
        <w:ind w:left="0" w:firstLine="0"/>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《污</w:t>
      </w:r>
      <w:r>
        <w:rPr>
          <w:rFonts w:hint="eastAsia" w:ascii="宋体" w:hAnsi="宋体" w:cs="宋体"/>
          <w:bCs/>
          <w:sz w:val="24"/>
          <w:szCs w:val="24"/>
        </w:rPr>
        <w:t xml:space="preserve">染源在线自动监控（监测）系统数据传输标准》（HJ/T212-2017）</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三、项目清单</w:t>
      </w:r>
      <w:r/>
    </w:p>
    <w:tbl>
      <w:tblPr>
        <w:tblW w:w="5119"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000" w:firstRow="0" w:lastRow="0" w:firstColumn="0" w:lastColumn="0" w:noHBand="0" w:noVBand="0"/>
      </w:tblPr>
      <w:tblGrid>
        <w:gridCol w:w="544"/>
        <w:gridCol w:w="1656"/>
        <w:gridCol w:w="635"/>
        <w:gridCol w:w="671"/>
        <w:gridCol w:w="1468"/>
        <w:gridCol w:w="1418"/>
        <w:gridCol w:w="1458"/>
        <w:gridCol w:w="1129"/>
        <w:gridCol w:w="1009"/>
      </w:tblGrid>
      <w:tr>
        <w:trPr>
          <w:trHeight w:val="470"/>
        </w:trPr>
        <w:tc>
          <w:tcPr>
            <w:shd w:val="clear" w:color="auto" w:fill="auto"/>
            <w:tcW w:w="272"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序号</w:t>
            </w:r>
            <w:r/>
          </w:p>
        </w:tc>
        <w:tc>
          <w:tcPr>
            <w:shd w:val="clear" w:color="auto" w:fill="auto"/>
            <w:tcW w:w="829"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名称</w:t>
            </w:r>
            <w:r/>
          </w:p>
        </w:tc>
        <w:tc>
          <w:tcPr>
            <w:shd w:val="clear" w:color="auto" w:fill="auto"/>
            <w:tcW w:w="318"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数量</w:t>
            </w:r>
            <w:r/>
          </w:p>
        </w:tc>
        <w:tc>
          <w:tcPr>
            <w:shd w:val="clear" w:color="auto" w:fill="auto"/>
            <w:tcW w:w="336"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单位</w:t>
            </w:r>
            <w:r/>
          </w:p>
        </w:tc>
        <w:tc>
          <w:tcPr>
            <w:shd w:val="clear" w:color="auto" w:fill="auto"/>
            <w:tcW w:w="735"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产品类型</w:t>
            </w:r>
            <w:r/>
          </w:p>
        </w:tc>
        <w:tc>
          <w:tcPr>
            <w:shd w:val="clear" w:color="auto" w:fill="auto"/>
            <w:tcW w:w="710"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单价上限（元）</w:t>
            </w:r>
            <w:r/>
          </w:p>
        </w:tc>
        <w:tc>
          <w:tcPr>
            <w:shd w:val="clear" w:color="auto" w:fill="auto"/>
            <w:tcW w:w="730"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所属行业类型</w:t>
            </w:r>
            <w:r/>
          </w:p>
        </w:tc>
        <w:tc>
          <w:tcPr>
            <w:shd w:val="clear" w:color="auto" w:fill="auto"/>
            <w:tcW w:w="565" w:type="pct"/>
            <w:vAlign w:val="center"/>
            <w:textDirection w:val="lrTb"/>
            <w:noWrap w:val="false"/>
          </w:tcPr>
          <w:p>
            <w:pPr>
              <w:jc w:val="center"/>
              <w:spacing w:line="264" w:lineRule="auto"/>
              <w:rPr>
                <w:rFonts w:ascii="宋体" w:hAnsi="宋体"/>
                <w:bCs/>
                <w:sz w:val="24"/>
                <w:szCs w:val="24"/>
              </w:rPr>
            </w:pPr>
            <w:r>
              <w:rPr>
                <w:rFonts w:hint="eastAsia" w:ascii="宋体" w:hAnsi="宋体" w:cs="宋体"/>
                <w:bCs/>
                <w:sz w:val="24"/>
                <w:szCs w:val="24"/>
              </w:rPr>
              <w:t xml:space="preserve">产品属性</w:t>
            </w:r>
            <w:r/>
          </w:p>
        </w:tc>
        <w:tc>
          <w:tcPr>
            <w:shd w:val="clear" w:color="auto" w:fill="auto"/>
            <w:tcW w:w="505"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数据产品类型</w:t>
            </w:r>
            <w:r/>
          </w:p>
        </w:tc>
      </w:tr>
      <w:tr>
        <w:trPr>
          <w:trHeight w:val="597"/>
        </w:trPr>
        <w:tc>
          <w:tcPr>
            <w:shd w:val="clear" w:color="auto" w:fill="auto"/>
            <w:tcW w:w="272" w:type="pct"/>
            <w:vAlign w:val="center"/>
            <w:textDirection w:val="lrTb"/>
            <w:noWrap w:val="false"/>
          </w:tcPr>
          <w:p>
            <w:pPr>
              <w:jc w:val="center"/>
              <w:spacing w:line="264" w:lineRule="auto"/>
              <w:rPr>
                <w:rFonts w:ascii="宋体" w:hAnsi="宋体"/>
                <w:bCs/>
                <w:sz w:val="24"/>
                <w:szCs w:val="24"/>
              </w:rPr>
            </w:pPr>
            <w:r>
              <w:rPr>
                <w:rFonts w:hint="eastAsia" w:ascii="宋体" w:hAnsi="宋体" w:cs="宋体"/>
                <w:bCs/>
                <w:sz w:val="24"/>
                <w:szCs w:val="24"/>
              </w:rPr>
              <w:t xml:space="preserve">1</w:t>
            </w:r>
            <w:r/>
          </w:p>
        </w:tc>
        <w:tc>
          <w:tcPr>
            <w:shd w:val="clear" w:color="auto" w:fill="auto"/>
            <w:tcW w:w="829" w:type="pct"/>
            <w:vAlign w:val="center"/>
            <w:textDirection w:val="lrTb"/>
            <w:noWrap w:val="false"/>
          </w:tcPr>
          <w:p>
            <w:pPr>
              <w:spacing w:line="264" w:lineRule="auto"/>
              <w:rPr>
                <w:rFonts w:ascii="宋体" w:hAnsi="宋体"/>
                <w:bCs/>
                <w:sz w:val="24"/>
                <w:szCs w:val="24"/>
              </w:rPr>
            </w:pPr>
            <w:r>
              <w:rPr>
                <w:rFonts w:hint="eastAsia" w:ascii="宋体" w:hAnsi="宋体" w:cs="宋体"/>
                <w:bCs/>
                <w:sz w:val="24"/>
                <w:szCs w:val="24"/>
              </w:rPr>
              <w:t xml:space="preserve">重点区域餐饮企业净化器运行状态在线监测服务</w:t>
            </w:r>
            <w:r/>
          </w:p>
        </w:tc>
        <w:tc>
          <w:tcPr>
            <w:shd w:val="clear" w:color="auto" w:fill="auto"/>
            <w:tcW w:w="318" w:type="pct"/>
            <w:vAlign w:val="center"/>
            <w:textDirection w:val="lrTb"/>
            <w:noWrap w:val="false"/>
          </w:tcPr>
          <w:p>
            <w:pPr>
              <w:jc w:val="center"/>
              <w:spacing w:line="264" w:lineRule="auto"/>
              <w:rPr>
                <w:rFonts w:ascii="宋体" w:hAnsi="宋体"/>
                <w:bCs/>
                <w:sz w:val="24"/>
                <w:szCs w:val="24"/>
              </w:rPr>
            </w:pPr>
            <w:r>
              <w:rPr>
                <w:rFonts w:hint="eastAsia" w:ascii="宋体" w:hAnsi="宋体" w:cs="宋体"/>
                <w:bCs/>
                <w:sz w:val="24"/>
                <w:szCs w:val="24"/>
              </w:rPr>
              <w:t xml:space="preserve">1</w:t>
            </w:r>
            <w:r/>
          </w:p>
        </w:tc>
        <w:tc>
          <w:tcPr>
            <w:shd w:val="clear" w:color="auto" w:fill="auto"/>
            <w:tcW w:w="336"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项</w:t>
            </w:r>
            <w:r/>
          </w:p>
        </w:tc>
        <w:tc>
          <w:tcPr>
            <w:shd w:val="clear" w:color="auto" w:fill="auto"/>
            <w:tcW w:w="735"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主要产品</w:t>
            </w:r>
            <w:r/>
          </w:p>
        </w:tc>
        <w:tc>
          <w:tcPr>
            <w:shd w:val="clear" w:color="auto" w:fill="auto"/>
            <w:tcW w:w="710" w:type="pct"/>
            <w:vAlign w:val="center"/>
            <w:textDirection w:val="lrTb"/>
            <w:noWrap w:val="false"/>
          </w:tcPr>
          <w:p>
            <w:pPr>
              <w:jc w:val="center"/>
              <w:spacing w:line="264" w:lineRule="auto"/>
              <w:rPr>
                <w:rFonts w:ascii="宋体" w:hAnsi="宋体"/>
                <w:bCs/>
                <w:sz w:val="24"/>
                <w:szCs w:val="24"/>
              </w:rPr>
            </w:pPr>
            <w:r>
              <w:rPr>
                <w:rFonts w:ascii="宋体" w:hAnsi="宋体"/>
                <w:bCs/>
                <w:sz w:val="24"/>
                <w:szCs w:val="24"/>
              </w:rPr>
            </w:r>
            <w:r/>
          </w:p>
        </w:tc>
        <w:tc>
          <w:tcPr>
            <w:shd w:val="clear" w:color="auto" w:fill="auto"/>
            <w:tcW w:w="73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软件和信息技术服务业</w:t>
            </w:r>
            <w:r/>
          </w:p>
        </w:tc>
        <w:tc>
          <w:tcPr>
            <w:shd w:val="clear" w:color="auto" w:fill="auto"/>
            <w:tcW w:w="565"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服务</w:t>
            </w:r>
            <w:r/>
          </w:p>
        </w:tc>
        <w:tc>
          <w:tcPr>
            <w:shd w:val="clear" w:color="auto" w:fill="auto"/>
            <w:tcW w:w="505"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数据服务</w:t>
            </w:r>
            <w:r/>
          </w:p>
        </w:tc>
      </w:tr>
      <w:tr>
        <w:trPr>
          <w:trHeight w:val="597"/>
        </w:trPr>
        <w:tc>
          <w:tcPr>
            <w:shd w:val="clear" w:color="auto" w:fill="auto"/>
            <w:tcW w:w="272"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2</w:t>
            </w:r>
            <w:r/>
          </w:p>
        </w:tc>
        <w:tc>
          <w:tcPr>
            <w:shd w:val="clear" w:color="auto" w:fill="auto"/>
            <w:tcW w:w="829" w:type="pct"/>
            <w:vAlign w:val="center"/>
            <w:textDirection w:val="lrTb"/>
            <w:noWrap w:val="false"/>
          </w:tcPr>
          <w:p>
            <w:pPr>
              <w:spacing w:line="264" w:lineRule="auto"/>
              <w:rPr>
                <w:rFonts w:ascii="宋体" w:hAnsi="宋体" w:cs="宋体"/>
                <w:bCs/>
                <w:sz w:val="24"/>
                <w:szCs w:val="24"/>
              </w:rPr>
            </w:pPr>
            <w:r>
              <w:rPr>
                <w:rFonts w:hint="eastAsia" w:ascii="宋体" w:hAnsi="宋体" w:cs="宋体"/>
                <w:bCs/>
                <w:sz w:val="24"/>
                <w:szCs w:val="24"/>
              </w:rPr>
              <w:t xml:space="preserve">重点区域在线餐饮数据采集分析及技术帮扶服务</w:t>
            </w:r>
            <w:r/>
          </w:p>
        </w:tc>
        <w:tc>
          <w:tcPr>
            <w:shd w:val="clear" w:color="auto" w:fill="auto"/>
            <w:tcW w:w="318"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w:t>
            </w:r>
            <w:r/>
          </w:p>
        </w:tc>
        <w:tc>
          <w:tcPr>
            <w:shd w:val="clear" w:color="auto" w:fill="auto"/>
            <w:tcW w:w="336"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项</w:t>
            </w:r>
            <w:r/>
          </w:p>
        </w:tc>
        <w:tc>
          <w:tcPr>
            <w:shd w:val="clear" w:color="auto" w:fill="auto"/>
            <w:tcW w:w="735" w:type="pct"/>
            <w:vAlign w:val="center"/>
            <w:textDirection w:val="lrTb"/>
            <w:noWrap w:val="false"/>
          </w:tcPr>
          <w:p>
            <w:pPr>
              <w:jc w:val="center"/>
              <w:spacing w:line="264" w:lineRule="auto"/>
              <w:rPr>
                <w:rFonts w:ascii="宋体" w:hAnsi="宋体"/>
                <w:bCs/>
                <w:sz w:val="24"/>
                <w:szCs w:val="24"/>
              </w:rPr>
            </w:pPr>
            <w:r>
              <w:rPr>
                <w:rFonts w:hint="eastAsia" w:ascii="宋体" w:hAnsi="宋体"/>
                <w:bCs/>
                <w:sz w:val="24"/>
                <w:szCs w:val="24"/>
              </w:rPr>
              <w:t xml:space="preserve">主要产品</w:t>
            </w:r>
            <w:r/>
          </w:p>
        </w:tc>
        <w:tc>
          <w:tcPr>
            <w:shd w:val="clear" w:color="auto" w:fill="auto"/>
            <w:tcW w:w="710" w:type="pct"/>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c>
          <w:tcPr>
            <w:shd w:val="clear" w:color="auto" w:fill="auto"/>
            <w:tcW w:w="73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软件和信息技术服务业</w:t>
            </w:r>
            <w:r/>
          </w:p>
        </w:tc>
        <w:tc>
          <w:tcPr>
            <w:shd w:val="clear" w:color="auto" w:fill="auto"/>
            <w:tcW w:w="565"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服务</w:t>
            </w:r>
            <w:r/>
          </w:p>
        </w:tc>
        <w:tc>
          <w:tcPr>
            <w:shd w:val="clear" w:color="auto" w:fill="auto"/>
            <w:tcW w:w="505"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数据服务</w:t>
            </w:r>
            <w:r/>
          </w:p>
        </w:tc>
      </w:tr>
    </w:tbl>
    <w:p>
      <w:pPr>
        <w:ind w:firstLine="480"/>
        <w:spacing w:line="264" w:lineRule="auto"/>
        <w:rPr>
          <w:rFonts w:ascii="宋体" w:hAnsi="宋体" w:cs="宋体"/>
          <w:bCs/>
          <w:color w:val="0000ff"/>
          <w:sz w:val="24"/>
          <w:szCs w:val="24"/>
          <w:lang w:val="zh-CN"/>
        </w:rPr>
      </w:pPr>
      <w:r>
        <w:rPr>
          <w:rFonts w:ascii="宋体" w:hAnsi="宋体" w:cs="宋体"/>
          <w:bCs/>
          <w:color w:val="0000ff"/>
          <w:sz w:val="24"/>
          <w:szCs w:val="24"/>
          <w:lang w:val="zh-CN"/>
        </w:rPr>
      </w:r>
      <w:r/>
    </w:p>
    <w:p>
      <w:pPr>
        <w:ind w:firstLine="480"/>
        <w:spacing w:line="264" w:lineRule="auto"/>
        <w:rPr>
          <w:rFonts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（一）技术要求</w:t>
      </w:r>
      <w:r/>
    </w:p>
    <w:p>
      <w:pPr>
        <w:ind w:firstLine="480"/>
        <w:spacing w:line="264" w:lineRule="auto"/>
        <w:rPr>
          <w:rFonts w:ascii="宋体" w:hAnsi="宋体"/>
          <w:sz w:val="24"/>
          <w:szCs w:val="24"/>
        </w:rPr>
      </w:pPr>
      <w:r>
        <w:rPr>
          <w:rFonts w:hint="eastAsia" w:ascii="宋体" w:hAnsi="宋体"/>
          <w:sz w:val="24"/>
          <w:szCs w:val="24"/>
        </w:rPr>
        <w:t xml:space="preserve">1、</w:t>
      </w:r>
      <w:r>
        <w:rPr>
          <w:rFonts w:hint="eastAsia" w:ascii="宋体" w:hAnsi="宋体" w:cs="宋体"/>
          <w:bCs/>
          <w:sz w:val="24"/>
          <w:szCs w:val="24"/>
        </w:rPr>
        <w:t xml:space="preserve">重点区域餐饮企业净化器运行状态在线监测服务</w:t>
      </w:r>
      <w:r/>
    </w:p>
    <w:tbl>
      <w:tblPr>
        <w:tblW w:w="506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8"/>
        <w:gridCol w:w="1419"/>
        <w:gridCol w:w="7862"/>
      </w:tblGrid>
      <w:tr>
        <w:trPr>
          <w:tblHeader/>
        </w:trPr>
        <w:tc>
          <w:tcPr>
            <w:tcMar>
              <w:top w:w="100" w:type="dxa"/>
              <w:bottom w:w="100" w:type="dxa"/>
            </w:tcMar>
            <w:tcW w:w="396" w:type="pct"/>
            <w:vAlign w:val="center"/>
            <w:textDirection w:val="lrTb"/>
            <w:noWrap/>
          </w:tcPr>
          <w:p>
            <w:pPr>
              <w:spacing w:line="264" w:lineRule="auto"/>
              <w:rPr>
                <w:rFonts w:ascii="宋体" w:hAnsi="宋体"/>
                <w:b/>
                <w:bCs/>
                <w:sz w:val="24"/>
                <w:szCs w:val="24"/>
              </w:rPr>
            </w:pPr>
            <w:r>
              <w:rPr>
                <w:rFonts w:hint="eastAsia" w:ascii="宋体" w:hAnsi="宋体"/>
                <w:b/>
                <w:bCs/>
                <w:sz w:val="24"/>
                <w:szCs w:val="24"/>
              </w:rPr>
              <w:t xml:space="preserve">序号</w:t>
            </w:r>
            <w:r/>
          </w:p>
        </w:tc>
        <w:tc>
          <w:tcPr>
            <w:tcMar>
              <w:top w:w="100" w:type="dxa"/>
              <w:bottom w:w="100" w:type="dxa"/>
            </w:tcMar>
            <w:tcW w:w="704" w:type="pct"/>
            <w:vAlign w:val="center"/>
            <w:textDirection w:val="lrTb"/>
            <w:noWrap/>
          </w:tcPr>
          <w:p>
            <w:pPr>
              <w:ind w:firstLine="482"/>
              <w:spacing w:line="264" w:lineRule="auto"/>
              <w:rPr>
                <w:rFonts w:ascii="宋体" w:hAnsi="宋体"/>
                <w:b/>
                <w:bCs/>
                <w:sz w:val="24"/>
                <w:szCs w:val="24"/>
              </w:rPr>
            </w:pPr>
            <w:r>
              <w:rPr>
                <w:rFonts w:hint="eastAsia" w:ascii="宋体" w:hAnsi="宋体"/>
                <w:b/>
                <w:bCs/>
                <w:sz w:val="24"/>
                <w:szCs w:val="24"/>
              </w:rPr>
              <w:t xml:space="preserve">类型</w:t>
            </w:r>
            <w:r/>
          </w:p>
        </w:tc>
        <w:tc>
          <w:tcPr>
            <w:tcMar>
              <w:top w:w="100" w:type="dxa"/>
              <w:bottom w:w="100" w:type="dxa"/>
            </w:tcMar>
            <w:tcW w:w="3900" w:type="pct"/>
            <w:vAlign w:val="center"/>
            <w:textDirection w:val="lrTb"/>
            <w:noWrap/>
          </w:tcPr>
          <w:p>
            <w:pPr>
              <w:ind w:firstLine="482"/>
              <w:spacing w:line="264" w:lineRule="auto"/>
              <w:rPr>
                <w:rFonts w:ascii="宋体" w:hAnsi="宋体"/>
                <w:b/>
                <w:bCs/>
                <w:sz w:val="24"/>
                <w:szCs w:val="24"/>
              </w:rPr>
            </w:pPr>
            <w:r>
              <w:rPr>
                <w:rFonts w:hint="eastAsia" w:ascii="宋体" w:hAnsi="宋体"/>
                <w:b/>
                <w:bCs/>
                <w:sz w:val="24"/>
                <w:szCs w:val="24"/>
              </w:rPr>
              <w:t xml:space="preserve">功能、性能、配置要求</w:t>
            </w:r>
            <w:r/>
          </w:p>
        </w:tc>
      </w:tr>
      <w:tr>
        <w:trPr>
          <w:trHeight w:val="90"/>
        </w:trPr>
        <w:tc>
          <w:tcPr>
            <w:tcW w:w="396" w:type="pct"/>
            <w:vAlign w:val="center"/>
            <w:textDirection w:val="lrTb"/>
            <w:noWrap w:val="false"/>
          </w:tcPr>
          <w:p>
            <w:pPr>
              <w:ind w:firstLine="480"/>
              <w:spacing w:line="264" w:lineRule="auto"/>
              <w:rPr>
                <w:rFonts w:ascii="宋体" w:hAnsi="宋体"/>
                <w:sz w:val="24"/>
                <w:szCs w:val="24"/>
              </w:rPr>
            </w:pPr>
            <w:r>
              <w:rPr>
                <w:rFonts w:hint="eastAsia" w:ascii="宋体" w:hAnsi="宋体"/>
                <w:sz w:val="24"/>
                <w:szCs w:val="24"/>
              </w:rPr>
              <w:t xml:space="preserve">1</w:t>
            </w:r>
            <w:r/>
          </w:p>
        </w:tc>
        <w:tc>
          <w:tcPr>
            <w:tcW w:w="704" w:type="pct"/>
            <w:vAlign w:val="center"/>
            <w:textDirection w:val="lrTb"/>
            <w:noWrap w:val="false"/>
          </w:tcPr>
          <w:p>
            <w:pPr>
              <w:spacing w:line="264" w:lineRule="auto"/>
              <w:rPr>
                <w:rFonts w:ascii="宋体" w:hAnsi="宋体"/>
                <w:sz w:val="24"/>
                <w:szCs w:val="24"/>
              </w:rPr>
            </w:pPr>
            <w:r>
              <w:rPr>
                <w:rFonts w:hint="eastAsia" w:ascii="宋体" w:hAnsi="宋体"/>
                <w:b/>
                <w:sz w:val="24"/>
                <w:szCs w:val="24"/>
              </w:rPr>
              <w:t xml:space="preserve">★</w:t>
            </w:r>
            <w:r>
              <w:rPr>
                <w:rFonts w:hint="eastAsia" w:ascii="宋体" w:hAnsi="宋体"/>
                <w:sz w:val="24"/>
                <w:szCs w:val="24"/>
              </w:rPr>
              <w:t xml:space="preserve">实质性要求</w:t>
            </w:r>
            <w:r/>
          </w:p>
        </w:tc>
        <w:tc>
          <w:tcPr>
            <w:tcW w:w="3900" w:type="pct"/>
            <w:vAlign w:val="center"/>
            <w:textDirection w:val="lrTb"/>
            <w:noWrap w:val="false"/>
          </w:tcPr>
          <w:p>
            <w:pPr>
              <w:spacing w:line="264" w:lineRule="auto"/>
              <w:rPr>
                <w:rFonts w:ascii="宋体" w:hAnsi="宋体" w:cs="宋体"/>
                <w:bCs/>
                <w:sz w:val="24"/>
                <w:szCs w:val="24"/>
              </w:rPr>
            </w:pPr>
            <w:r>
              <w:rPr>
                <w:rFonts w:hint="eastAsia" w:ascii="宋体" w:hAnsi="宋体"/>
                <w:sz w:val="24"/>
                <w:szCs w:val="24"/>
              </w:rPr>
              <w:t xml:space="preserve">供应商需提供为期三年的</w:t>
            </w:r>
            <w:r>
              <w:rPr>
                <w:rFonts w:hint="eastAsia" w:ascii="宋体" w:hAnsi="宋体" w:cs="宋体"/>
                <w:bCs/>
                <w:sz w:val="24"/>
                <w:szCs w:val="24"/>
              </w:rPr>
              <w:t xml:space="preserve">重点区域餐饮企业净化器运行状态在线监测服务，具体服务内容包括：</w:t>
            </w:r>
            <w:r/>
          </w:p>
          <w:p>
            <w:pPr>
              <w:spacing w:line="264" w:lineRule="auto"/>
              <w:rPr>
                <w:rFonts w:ascii="宋体" w:hAnsi="宋体"/>
                <w:sz w:val="24"/>
                <w:szCs w:val="24"/>
              </w:rPr>
            </w:pPr>
            <w:r>
              <w:rPr>
                <w:rFonts w:hint="eastAsia" w:ascii="宋体" w:hAnsi="宋体" w:cs="宋体"/>
                <w:bCs/>
                <w:sz w:val="24"/>
                <w:szCs w:val="24"/>
              </w:rPr>
              <w:t xml:space="preserve">1、对江宁区重点区域餐饮企业进行实地走访，形成安装具体油烟排放口净化器运行状态的监测设备点位清单，并报采购单位最终确定不少于 300 </w:t>
            </w:r>
            <w:r>
              <w:rPr>
                <w:rFonts w:hint="eastAsia" w:ascii="宋体" w:hAnsi="宋体" w:cs="宋体"/>
                <w:bCs/>
                <w:sz w:val="24"/>
                <w:szCs w:val="24"/>
              </w:rPr>
              <w:t xml:space="preserve">个</w:t>
            </w:r>
            <w:r>
              <w:rPr>
                <w:rFonts w:hint="eastAsia" w:ascii="宋体" w:hAnsi="宋体" w:cs="宋体"/>
                <w:bCs/>
                <w:sz w:val="24"/>
                <w:szCs w:val="24"/>
              </w:rPr>
              <w:t xml:space="preserve">监测设备具体安放点位。</w:t>
            </w:r>
            <w:r>
              <w:rPr>
                <w:rFonts w:ascii="宋体" w:hAnsi="宋体"/>
                <w:sz w:val="24"/>
                <w:szCs w:val="24"/>
              </w:rPr>
              <w:t xml:space="preserve">在每个监测设备安放点位</w:t>
            </w:r>
            <w:r>
              <w:rPr>
                <w:rFonts w:hint="eastAsia" w:ascii="宋体" w:hAnsi="宋体"/>
                <w:sz w:val="24"/>
                <w:szCs w:val="24"/>
              </w:rPr>
              <w:t xml:space="preserve">安装净化器运行状态</w:t>
            </w:r>
            <w:r>
              <w:rPr>
                <w:rFonts w:hint="eastAsia" w:ascii="宋体" w:hAnsi="宋体"/>
                <w:sz w:val="24"/>
                <w:szCs w:val="24"/>
              </w:rPr>
              <w:t xml:space="preserve">在线监测设备，确保在线监测设备正常运行，并提供数据校准、设备故障维修等维护服务</w:t>
            </w:r>
            <w:r>
              <w:rPr>
                <w:rFonts w:hint="eastAsia" w:ascii="宋体" w:hAnsi="宋体"/>
                <w:sz w:val="24"/>
                <w:szCs w:val="24"/>
              </w:rPr>
              <w:t xml:space="preserve">。服务期间</w:t>
            </w:r>
            <w:r>
              <w:rPr>
                <w:rFonts w:hint="eastAsia" w:ascii="宋体" w:hAnsi="宋体" w:cs="宋体"/>
                <w:bCs/>
                <w:sz w:val="24"/>
                <w:szCs w:val="24"/>
              </w:rPr>
              <w:t xml:space="preserve">净化器运行状态在线检测设备所有权属</w:t>
            </w:r>
            <w:r>
              <w:rPr>
                <w:rFonts w:hint="eastAsia" w:ascii="宋体" w:hAnsi="宋体" w:cs="宋体"/>
                <w:bCs/>
                <w:sz w:val="24"/>
                <w:szCs w:val="24"/>
              </w:rPr>
              <w:t xml:space="preserve">于供应</w:t>
            </w:r>
            <w:r>
              <w:rPr>
                <w:rFonts w:hint="eastAsia" w:ascii="宋体" w:hAnsi="宋体" w:cs="宋体"/>
                <w:bCs/>
                <w:sz w:val="24"/>
                <w:szCs w:val="24"/>
              </w:rPr>
              <w:t xml:space="preserve">商，</w:t>
            </w:r>
            <w:r>
              <w:rPr>
                <w:rFonts w:hint="eastAsia" w:ascii="宋体" w:hAnsi="宋体"/>
                <w:sz w:val="24"/>
                <w:szCs w:val="24"/>
              </w:rPr>
              <w:t xml:space="preserve">服务期满供应商负</w:t>
            </w:r>
            <w:r>
              <w:rPr>
                <w:rFonts w:hint="eastAsia" w:ascii="宋体" w:hAnsi="宋体"/>
                <w:sz w:val="24"/>
                <w:szCs w:val="24"/>
              </w:rPr>
              <w:t xml:space="preserve">责拆除所有不少于300个点位的监测设备。</w:t>
            </w:r>
            <w:r/>
          </w:p>
          <w:p>
            <w:pPr>
              <w:spacing w:line="264" w:lineRule="auto"/>
              <w:rPr>
                <w:rFonts w:ascii="宋体" w:hAnsi="宋体"/>
                <w:sz w:val="24"/>
                <w:szCs w:val="24"/>
              </w:rPr>
            </w:pPr>
            <w:r>
              <w:rPr>
                <w:rFonts w:hint="eastAsia" w:ascii="宋体" w:hAnsi="宋体"/>
                <w:sz w:val="24"/>
                <w:szCs w:val="24"/>
              </w:rPr>
              <w:t xml:space="preserve">2、提供在线监测设备本地化服务，供应商必须安排2名专职服务人员常驻江宁提供运维服务，运维服务人员要求学历本科及以上，至少具有2年以上工作经验。随时响应包括采购</w:t>
            </w:r>
            <w:r>
              <w:rPr>
                <w:rFonts w:hint="eastAsia" w:ascii="宋体" w:hAnsi="宋体"/>
                <w:sz w:val="24"/>
                <w:szCs w:val="24"/>
              </w:rPr>
              <w:t xml:space="preserve">人用户</w:t>
            </w:r>
            <w:r>
              <w:rPr>
                <w:rFonts w:hint="eastAsia" w:ascii="宋体" w:hAnsi="宋体"/>
                <w:sz w:val="24"/>
                <w:szCs w:val="24"/>
              </w:rPr>
              <w:t xml:space="preserve">和餐饮企业用户在内的所有用户需求并解决问题，提供的服务需满足采购要求，并切实为采购方提供有效可靠的数据支撑。</w:t>
            </w:r>
            <w:r/>
          </w:p>
          <w:p>
            <w:pPr>
              <w:spacing w:line="264" w:lineRule="auto"/>
              <w:rPr>
                <w:rFonts w:ascii="宋体" w:hAnsi="宋体"/>
                <w:sz w:val="24"/>
                <w:szCs w:val="24"/>
              </w:rPr>
            </w:pPr>
            <w:r>
              <w:rPr>
                <w:rFonts w:hint="eastAsia" w:ascii="宋体" w:hAnsi="宋体"/>
                <w:sz w:val="24"/>
                <w:szCs w:val="24"/>
              </w:rPr>
              <w:t xml:space="preserve">3、供应商须制定运营规范和日常保养制度， 建立日常运行记录和台账， 建立相应的质量保证体系和报告报表体系，台账记录、报告报表等保存完整方便采购人随时检查。</w:t>
            </w:r>
            <w:r/>
          </w:p>
          <w:p>
            <w:pPr>
              <w:spacing w:line="264"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供应商应至少每六个月进行一轮现场设备巡检和数据校准，</w:t>
            </w:r>
            <w:r>
              <w:rPr>
                <w:rFonts w:hint="eastAsia" w:ascii="宋体" w:hAnsi="宋体"/>
                <w:sz w:val="24"/>
                <w:szCs w:val="24"/>
              </w:rPr>
              <w:t xml:space="preserve">更换故障的设备及所需配件，负责监测设备的通讯费，保障监测数据准确性和完整</w:t>
            </w:r>
            <w:r>
              <w:rPr>
                <w:rFonts w:hint="eastAsia" w:ascii="宋体" w:hAnsi="宋体"/>
                <w:sz w:val="24"/>
                <w:szCs w:val="24"/>
              </w:rPr>
              <w:t xml:space="preserve">性，相关费用包含在本项目总报价中。</w:t>
            </w:r>
            <w:r/>
          </w:p>
          <w:p>
            <w:pPr>
              <w:spacing w:line="264" w:lineRule="auto"/>
              <w:rPr>
                <w:rFonts w:ascii="宋体" w:hAnsi="宋体"/>
                <w:sz w:val="24"/>
                <w:szCs w:val="24"/>
              </w:rPr>
            </w:pPr>
            <w:r>
              <w:rPr>
                <w:rFonts w:hint="eastAsia" w:ascii="宋体" w:hAnsi="宋体"/>
                <w:sz w:val="24"/>
                <w:szCs w:val="24"/>
              </w:rPr>
              <w:t xml:space="preserve">5、运</w:t>
            </w:r>
            <w:r>
              <w:rPr>
                <w:rFonts w:hint="eastAsia" w:ascii="宋体" w:hAnsi="宋体"/>
                <w:sz w:val="24"/>
                <w:szCs w:val="24"/>
              </w:rPr>
              <w:t xml:space="preserve">维人员</w:t>
            </w:r>
            <w:r>
              <w:rPr>
                <w:rFonts w:hint="eastAsia" w:ascii="宋体" w:hAnsi="宋体"/>
                <w:sz w:val="24"/>
                <w:szCs w:val="24"/>
              </w:rPr>
              <w:t xml:space="preserve">提供7*24小时的技术支持服务，采购人提交的故障处理事件必须4小时到达餐饮企业现场处理问题，若8小时内无法解决时须立即更换备品备件。</w:t>
            </w:r>
            <w:r/>
          </w:p>
          <w:p>
            <w:pPr>
              <w:spacing w:line="264" w:lineRule="auto"/>
              <w:rPr>
                <w:rFonts w:ascii="宋体" w:hAnsi="宋体"/>
                <w:sz w:val="24"/>
                <w:szCs w:val="24"/>
              </w:rPr>
            </w:pPr>
            <w:r>
              <w:rPr>
                <w:rFonts w:hint="eastAsia" w:ascii="宋体" w:hAnsi="宋体"/>
                <w:sz w:val="24"/>
                <w:szCs w:val="24"/>
              </w:rPr>
              <w:t xml:space="preserve">6、根据采购人的监管需求，供应商需针对餐饮企业停业、装修、烟道改造等情况主动进行设备移机。</w:t>
            </w:r>
            <w:r/>
          </w:p>
          <w:p>
            <w:pPr>
              <w:spacing w:line="264" w:lineRule="auto"/>
              <w:rPr>
                <w:rFonts w:ascii="宋体" w:hAnsi="宋体"/>
                <w:sz w:val="24"/>
                <w:szCs w:val="24"/>
              </w:rPr>
            </w:pPr>
            <w:r>
              <w:rPr>
                <w:rFonts w:hint="eastAsia" w:ascii="宋体" w:hAnsi="宋体"/>
                <w:sz w:val="24"/>
                <w:szCs w:val="24"/>
              </w:rPr>
              <w:t xml:space="preserve">供应商需负责监测设备的SIM卡及通讯费。</w:t>
            </w:r>
            <w:r/>
          </w:p>
        </w:tc>
      </w:tr>
      <w:tr>
        <w:trPr>
          <w:trHeight w:val="90"/>
        </w:trPr>
        <w:tc>
          <w:tcPr>
            <w:tcW w:w="396" w:type="pct"/>
            <w:vAlign w:val="center"/>
            <w:textDirection w:val="lrTb"/>
            <w:noWrap w:val="false"/>
          </w:tcPr>
          <w:p>
            <w:pPr>
              <w:ind w:firstLine="480"/>
              <w:spacing w:line="264" w:lineRule="auto"/>
              <w:rPr>
                <w:rFonts w:ascii="宋体" w:hAnsi="宋体"/>
                <w:sz w:val="24"/>
                <w:szCs w:val="24"/>
              </w:rPr>
            </w:pPr>
            <w:r>
              <w:rPr>
                <w:rFonts w:hint="eastAsia" w:ascii="宋体" w:hAnsi="宋体"/>
                <w:sz w:val="24"/>
                <w:szCs w:val="24"/>
              </w:rPr>
              <w:t xml:space="preserve">2</w:t>
            </w:r>
            <w:r/>
          </w:p>
        </w:tc>
        <w:tc>
          <w:tcPr>
            <w:tcW w:w="704" w:type="pct"/>
            <w:vAlign w:val="center"/>
            <w:textDirection w:val="lrTb"/>
            <w:noWrap w:val="false"/>
          </w:tcPr>
          <w:p>
            <w:pPr>
              <w:spacing w:line="264" w:lineRule="auto"/>
              <w:rPr>
                <w:rFonts w:ascii="宋体" w:hAnsi="宋体"/>
                <w:b/>
                <w:sz w:val="24"/>
                <w:szCs w:val="24"/>
              </w:rPr>
            </w:pPr>
            <w:r>
              <w:rPr>
                <w:rFonts w:hint="eastAsia" w:ascii="宋体" w:hAnsi="宋体"/>
                <w:sz w:val="24"/>
                <w:szCs w:val="24"/>
              </w:rPr>
              <w:t xml:space="preserve">非实质性要求</w:t>
            </w:r>
            <w:r/>
          </w:p>
        </w:tc>
        <w:tc>
          <w:tcPr>
            <w:tcW w:w="3900" w:type="pct"/>
            <w:vAlign w:val="center"/>
            <w:textDirection w:val="lrTb"/>
            <w:noWrap w:val="false"/>
          </w:tcPr>
          <w:p>
            <w:pPr>
              <w:spacing w:line="264" w:lineRule="auto"/>
              <w:rPr>
                <w:rFonts w:ascii="宋体" w:hAnsi="宋体"/>
                <w:sz w:val="24"/>
                <w:szCs w:val="24"/>
              </w:rPr>
            </w:pPr>
            <w:r>
              <w:rPr>
                <w:rFonts w:hint="eastAsia" w:ascii="宋体" w:hAnsi="宋体"/>
                <w:sz w:val="24"/>
                <w:szCs w:val="24"/>
              </w:rPr>
              <w:t xml:space="preserve">净化器运行状态在线监测</w:t>
            </w:r>
            <w:r>
              <w:rPr>
                <w:rFonts w:ascii="宋体" w:hAnsi="宋体"/>
                <w:sz w:val="24"/>
                <w:szCs w:val="24"/>
              </w:rPr>
              <w:t xml:space="preserve">设备技术参数要求如下</w:t>
            </w:r>
            <w:r>
              <w:rPr>
                <w:rFonts w:hint="eastAsia" w:ascii="宋体" w:hAnsi="宋体"/>
                <w:sz w:val="24"/>
                <w:szCs w:val="24"/>
              </w:rPr>
              <w:t xml:space="preserve">(</w:t>
            </w:r>
            <w:r>
              <w:rPr>
                <w:rFonts w:hint="eastAsia" w:ascii="宋体" w:hAnsi="宋体"/>
                <w:b/>
                <w:sz w:val="24"/>
                <w:szCs w:val="24"/>
              </w:rPr>
              <w:t xml:space="preserve">投标人注明拟投入净化器运行状态在线监测</w:t>
            </w:r>
            <w:r>
              <w:rPr>
                <w:rFonts w:ascii="宋体" w:hAnsi="宋体"/>
                <w:b/>
                <w:sz w:val="24"/>
                <w:szCs w:val="24"/>
              </w:rPr>
              <w:t xml:space="preserve">设备具体品牌型号</w:t>
            </w:r>
            <w:r>
              <w:rPr>
                <w:rFonts w:hint="eastAsia" w:ascii="宋体" w:hAnsi="宋体"/>
                <w:sz w:val="24"/>
                <w:szCs w:val="24"/>
              </w:rPr>
              <w:t xml:space="preserve">)</w:t>
            </w:r>
            <w:r>
              <w:rPr>
                <w:rFonts w:ascii="宋体" w:hAnsi="宋体"/>
                <w:sz w:val="24"/>
                <w:szCs w:val="24"/>
              </w:rPr>
              <w:t xml:space="preserve">：</w:t>
            </w:r>
            <w:r/>
          </w:p>
          <w:p>
            <w:pPr>
              <w:spacing w:line="264" w:lineRule="auto"/>
              <w:rPr>
                <w:rFonts w:ascii="宋体" w:hAnsi="宋体"/>
                <w:sz w:val="24"/>
                <w:szCs w:val="24"/>
              </w:rPr>
            </w:pPr>
            <w:r>
              <w:rPr>
                <w:rFonts w:hint="eastAsia" w:ascii="宋体" w:hAnsi="宋体"/>
                <w:sz w:val="24"/>
                <w:szCs w:val="24"/>
              </w:rPr>
              <w:t xml:space="preserve">1、能够采集油烟净化器所有运行参数的实时数据，包括净化器的工作电流、工作电压、工作状态，风机的工作电流、工作状态，并针对净化器每个高压电源测量输入电压、输入电流，输出电压、输出电流等。</w:t>
            </w:r>
            <w:r/>
          </w:p>
          <w:p>
            <w:pPr>
              <w:spacing w:line="264" w:lineRule="auto"/>
              <w:rPr>
                <w:rFonts w:ascii="宋体" w:hAnsi="宋体"/>
                <w:sz w:val="24"/>
                <w:szCs w:val="24"/>
              </w:rPr>
            </w:pPr>
            <w:r>
              <w:rPr>
                <w:rFonts w:hint="eastAsia" w:ascii="宋体" w:hAnsi="宋体"/>
                <w:sz w:val="24"/>
                <w:szCs w:val="24"/>
              </w:rPr>
              <w:t xml:space="preserve">2、采用4G无线数据传输方式，保证数据准确、及时地进行传输，数据采集时间间隔和发送时间可调，网络通讯失败自动重连服务器。</w:t>
            </w:r>
            <w:r/>
          </w:p>
          <w:p>
            <w:pPr>
              <w:spacing w:line="264" w:lineRule="auto"/>
              <w:rPr>
                <w:rFonts w:ascii="宋体" w:hAnsi="宋体"/>
                <w:sz w:val="24"/>
                <w:szCs w:val="24"/>
              </w:rPr>
            </w:pPr>
            <w:r>
              <w:rPr>
                <w:rFonts w:hint="eastAsia" w:ascii="宋体" w:hAnsi="宋体"/>
                <w:sz w:val="24"/>
                <w:szCs w:val="24"/>
              </w:rPr>
              <w:t xml:space="preserve">3、▲</w:t>
            </w:r>
            <w:r>
              <w:rPr>
                <w:rFonts w:hint="eastAsia" w:ascii="宋体" w:hAnsi="宋体"/>
                <w:b/>
                <w:sz w:val="24"/>
                <w:szCs w:val="24"/>
              </w:rPr>
              <w:t xml:space="preserve">应具有</w:t>
            </w:r>
            <w:r>
              <w:rPr>
                <w:rFonts w:hint="eastAsia" w:ascii="宋体" w:hAnsi="宋体"/>
                <w:b/>
                <w:sz w:val="24"/>
                <w:szCs w:val="24"/>
              </w:rPr>
              <w:t xml:space="preserve">断网续传</w:t>
            </w:r>
            <w:r>
              <w:rPr>
                <w:rFonts w:hint="eastAsia" w:ascii="宋体" w:hAnsi="宋体"/>
                <w:b/>
                <w:sz w:val="24"/>
                <w:szCs w:val="24"/>
              </w:rPr>
              <w:t xml:space="preserve">功能，无线网络恢复后，数据自动补传至监控中心。</w:t>
            </w:r>
            <w:r>
              <w:rPr>
                <w:rFonts w:hint="eastAsia" w:ascii="宋体" w:hAnsi="宋体"/>
                <w:b/>
                <w:sz w:val="24"/>
                <w:szCs w:val="24"/>
              </w:rPr>
              <w:t xml:space="preserve">提</w:t>
            </w:r>
            <w:r>
              <w:rPr>
                <w:rFonts w:hint="eastAsia" w:ascii="宋体" w:hAnsi="宋体"/>
                <w:b/>
                <w:sz w:val="24"/>
                <w:szCs w:val="24"/>
              </w:rPr>
              <w:t xml:space="preserve">供具有检验资质的检测机构出具的CMA标志的检测报告证明，检测产品型号与</w:t>
            </w:r>
            <w:r>
              <w:rPr>
                <w:rFonts w:hint="eastAsia" w:ascii="宋体" w:hAnsi="宋体"/>
                <w:b/>
                <w:sz w:val="24"/>
                <w:szCs w:val="24"/>
              </w:rPr>
              <w:t xml:space="preserve">拟投</w:t>
            </w:r>
            <w:r>
              <w:rPr>
                <w:rFonts w:hint="eastAsia" w:ascii="宋体" w:hAnsi="宋体"/>
                <w:b/>
                <w:sz w:val="24"/>
                <w:szCs w:val="24"/>
              </w:rPr>
              <w:t xml:space="preserve">入净化器运行状态在线监测</w:t>
            </w:r>
            <w:r>
              <w:rPr>
                <w:rFonts w:ascii="宋体" w:hAnsi="宋体"/>
                <w:b/>
                <w:sz w:val="24"/>
                <w:szCs w:val="24"/>
              </w:rPr>
              <w:t xml:space="preserve">设备</w:t>
            </w:r>
            <w:r>
              <w:rPr>
                <w:rFonts w:hint="eastAsia" w:ascii="宋体" w:hAnsi="宋体"/>
                <w:b/>
                <w:sz w:val="24"/>
                <w:szCs w:val="24"/>
              </w:rPr>
              <w:t xml:space="preserve">型</w:t>
            </w:r>
            <w:r>
              <w:rPr>
                <w:rFonts w:hint="eastAsia" w:ascii="宋体" w:hAnsi="宋体"/>
                <w:b/>
                <w:sz w:val="24"/>
                <w:szCs w:val="24"/>
              </w:rPr>
              <w:t xml:space="preserve">号一致。</w:t>
            </w:r>
            <w:r/>
          </w:p>
          <w:p>
            <w:pPr>
              <w:spacing w:line="264" w:lineRule="auto"/>
              <w:rPr>
                <w:rFonts w:ascii="宋体" w:hAnsi="宋体"/>
                <w:sz w:val="24"/>
                <w:szCs w:val="24"/>
              </w:rPr>
            </w:pPr>
            <w:r>
              <w:rPr>
                <w:rFonts w:hint="eastAsia" w:ascii="宋体" w:hAnsi="宋体"/>
                <w:sz w:val="24"/>
                <w:szCs w:val="24"/>
              </w:rPr>
              <w:t xml:space="preserve">4、应遵循《餐饮业废气排放过程（工况）监控数据采集技术指南》（T/CAEPI 35—2021）和《污染源在线自动监控（监测）系统数据传输标准》（HJ/T 212-2017）数据通信协议。</w:t>
            </w:r>
            <w:r/>
          </w:p>
          <w:p>
            <w:pPr>
              <w:spacing w:line="264" w:lineRule="auto"/>
              <w:rPr>
                <w:rFonts w:ascii="宋体" w:hAnsi="宋体"/>
                <w:sz w:val="24"/>
                <w:szCs w:val="24"/>
              </w:rPr>
            </w:pPr>
            <w:r>
              <w:rPr>
                <w:rFonts w:hint="eastAsia" w:ascii="宋体" w:hAnsi="宋体"/>
                <w:sz w:val="24"/>
                <w:szCs w:val="24"/>
              </w:rPr>
              <w:t xml:space="preserve">5、支持液晶屏显示，可实时显示净化器的每个高压电源的关键运行参数，如输入电压、输入电流、输出电压、输出电流等。</w:t>
            </w:r>
            <w:r/>
          </w:p>
          <w:p>
            <w:pPr>
              <w:spacing w:line="264" w:lineRule="auto"/>
              <w:rPr>
                <w:rFonts w:ascii="宋体" w:hAnsi="宋体"/>
                <w:b/>
                <w:sz w:val="24"/>
                <w:szCs w:val="24"/>
              </w:rPr>
            </w:pPr>
            <w:r>
              <w:rPr>
                <w:rFonts w:hint="eastAsia" w:ascii="宋体" w:hAnsi="宋体"/>
                <w:b/>
                <w:sz w:val="24"/>
                <w:szCs w:val="24"/>
              </w:rPr>
              <w:t xml:space="preserve">6、▲交流输入电压测量范围0~250V，示值误差≤±5%，其中示值误差提供具有检验资质的检测机构出具的校准证书证明，检测产品型号与拟投入净化器运行状态在线监测</w:t>
            </w:r>
            <w:r>
              <w:rPr>
                <w:rFonts w:ascii="宋体" w:hAnsi="宋体"/>
                <w:b/>
                <w:sz w:val="24"/>
                <w:szCs w:val="24"/>
              </w:rPr>
              <w:t xml:space="preserve">设备</w:t>
            </w:r>
            <w:r>
              <w:rPr>
                <w:rFonts w:hint="eastAsia" w:ascii="宋体" w:hAnsi="宋体"/>
                <w:b/>
                <w:sz w:val="24"/>
                <w:szCs w:val="24"/>
              </w:rPr>
              <w:t xml:space="preserve">型号一致。</w:t>
            </w:r>
            <w:r/>
          </w:p>
          <w:p>
            <w:pPr>
              <w:spacing w:line="264" w:lineRule="auto"/>
              <w:rPr>
                <w:rFonts w:ascii="宋体" w:hAnsi="宋体"/>
                <w:b/>
                <w:sz w:val="24"/>
                <w:szCs w:val="24"/>
              </w:rPr>
            </w:pPr>
            <w:r>
              <w:rPr>
                <w:rFonts w:hint="eastAsia" w:ascii="宋体" w:hAnsi="宋体"/>
                <w:b/>
                <w:sz w:val="24"/>
                <w:szCs w:val="24"/>
              </w:rPr>
              <w:t xml:space="preserve">7、▲交流输入电流测量范围0~5A，示值误差≤±5%，其中示值误差提供</w:t>
            </w:r>
            <w:r>
              <w:rPr>
                <w:rFonts w:hint="eastAsia" w:ascii="宋体" w:hAnsi="宋体"/>
                <w:b/>
                <w:sz w:val="24"/>
                <w:szCs w:val="24"/>
              </w:rPr>
              <w:t xml:space="preserve">具有检验资质的检测机构出具的校准证书证明，检测产品型号与拟投入净化器运行状态在线监测</w:t>
            </w:r>
            <w:r>
              <w:rPr>
                <w:rFonts w:ascii="宋体" w:hAnsi="宋体"/>
                <w:b/>
                <w:sz w:val="24"/>
                <w:szCs w:val="24"/>
              </w:rPr>
              <w:t xml:space="preserve">设备</w:t>
            </w:r>
            <w:r>
              <w:rPr>
                <w:rFonts w:hint="eastAsia" w:ascii="宋体" w:hAnsi="宋体"/>
                <w:b/>
                <w:sz w:val="24"/>
                <w:szCs w:val="24"/>
              </w:rPr>
              <w:t xml:space="preserve">型号一致。</w:t>
            </w:r>
            <w:r/>
          </w:p>
          <w:p>
            <w:pPr>
              <w:spacing w:line="264" w:lineRule="auto"/>
              <w:rPr>
                <w:rFonts w:ascii="宋体" w:hAnsi="宋体"/>
                <w:b/>
                <w:sz w:val="24"/>
                <w:szCs w:val="24"/>
              </w:rPr>
            </w:pPr>
            <w:r>
              <w:rPr>
                <w:rFonts w:hint="eastAsia" w:ascii="宋体" w:hAnsi="宋体"/>
                <w:b/>
                <w:sz w:val="24"/>
                <w:szCs w:val="24"/>
              </w:rPr>
              <w:t xml:space="preserve">8、▲直流输出电压测量范围0~20kV，示值误差≤±5%，其中示值误差提供具有检验资质的检测机构出具的校准证书证明，检测产品型号与拟投入净化器运行状态在线监测</w:t>
            </w:r>
            <w:r>
              <w:rPr>
                <w:rFonts w:ascii="宋体" w:hAnsi="宋体"/>
                <w:b/>
                <w:sz w:val="24"/>
                <w:szCs w:val="24"/>
              </w:rPr>
              <w:t xml:space="preserve">设备</w:t>
            </w:r>
            <w:r>
              <w:rPr>
                <w:rFonts w:hint="eastAsia" w:ascii="宋体" w:hAnsi="宋体"/>
                <w:b/>
                <w:sz w:val="24"/>
                <w:szCs w:val="24"/>
              </w:rPr>
              <w:t xml:space="preserve">型号一致。</w:t>
            </w:r>
            <w:r/>
          </w:p>
          <w:p>
            <w:pPr>
              <w:spacing w:line="264" w:lineRule="auto"/>
              <w:rPr>
                <w:rFonts w:ascii="宋体" w:hAnsi="宋体"/>
                <w:b/>
                <w:sz w:val="24"/>
                <w:szCs w:val="24"/>
              </w:rPr>
            </w:pPr>
            <w:r>
              <w:rPr>
                <w:rFonts w:hint="eastAsia" w:ascii="宋体" w:hAnsi="宋体"/>
                <w:b/>
                <w:sz w:val="24"/>
                <w:szCs w:val="24"/>
              </w:rPr>
              <w:t xml:space="preserve">9、▲直流输出电流测量范围0~30mA，示值误差≤±5%，其中示值误差提供具有检验资质的检测机构出具的校准证书证明，检测产品型号与拟投入净化器运行状态在线监测</w:t>
            </w:r>
            <w:r>
              <w:rPr>
                <w:rFonts w:ascii="宋体" w:hAnsi="宋体"/>
                <w:b/>
                <w:sz w:val="24"/>
                <w:szCs w:val="24"/>
              </w:rPr>
              <w:t xml:space="preserve">设备</w:t>
            </w:r>
            <w:r>
              <w:rPr>
                <w:rFonts w:hint="eastAsia" w:ascii="宋体" w:hAnsi="宋体"/>
                <w:b/>
                <w:sz w:val="24"/>
                <w:szCs w:val="24"/>
              </w:rPr>
              <w:t xml:space="preserve">型号一致。</w:t>
            </w:r>
            <w:r/>
          </w:p>
          <w:p>
            <w:pPr>
              <w:spacing w:line="264" w:lineRule="auto"/>
              <w:rPr>
                <w:rFonts w:ascii="宋体" w:hAnsi="宋体"/>
                <w:b/>
                <w:sz w:val="24"/>
                <w:szCs w:val="24"/>
              </w:rPr>
            </w:pPr>
            <w:r>
              <w:rPr>
                <w:rFonts w:hint="eastAsia" w:ascii="宋体" w:hAnsi="宋体"/>
                <w:b/>
                <w:sz w:val="24"/>
                <w:szCs w:val="24"/>
              </w:rPr>
              <w:t xml:space="preserve">10、▲为保障现场校准工作的准确性，需配套净化器运行状态监测设备的比对工装或套件，可实现对交流输入电压、交流输入电流、直流输出电压、直流输出电流的现场比对监测，提供比对工装或套件的具有检验资质的检测机构出具的校准证书证明。</w:t>
            </w:r>
            <w:r/>
          </w:p>
          <w:p>
            <w:pPr>
              <w:pStyle w:val="779"/>
              <w:numPr>
                <w:ilvl w:val="0"/>
                <w:numId w:val="21"/>
              </w:numPr>
              <w:spacing w:line="264" w:lineRule="auto"/>
              <w:rPr>
                <w:rFonts w:ascii="宋体" w:hAnsi="宋体"/>
                <w:sz w:val="24"/>
                <w:szCs w:val="24"/>
              </w:rPr>
            </w:pPr>
            <w:r>
              <w:rPr>
                <w:rFonts w:hint="eastAsia" w:ascii="宋体" w:hAnsi="宋体"/>
                <w:sz w:val="24"/>
                <w:szCs w:val="24"/>
              </w:rPr>
              <w:t xml:space="preserve">绝缘阻抗≥500MΩ</w:t>
            </w:r>
            <w:r/>
          </w:p>
          <w:p>
            <w:pPr>
              <w:pStyle w:val="779"/>
              <w:numPr>
                <w:ilvl w:val="0"/>
                <w:numId w:val="21"/>
              </w:numPr>
              <w:spacing w:line="264" w:lineRule="auto"/>
              <w:rPr>
                <w:rFonts w:ascii="宋体" w:hAnsi="宋体"/>
                <w:sz w:val="24"/>
                <w:szCs w:val="24"/>
              </w:rPr>
            </w:pPr>
            <w:r>
              <w:rPr>
                <w:rFonts w:hint="eastAsia" w:ascii="宋体" w:hAnsi="宋体"/>
                <w:sz w:val="24"/>
                <w:szCs w:val="24"/>
              </w:rPr>
              <w:t xml:space="preserve">耐电压电弧和击穿无异常现象</w:t>
            </w:r>
            <w:r/>
          </w:p>
          <w:p>
            <w:pPr>
              <w:spacing w:line="264" w:lineRule="auto"/>
              <w:rPr>
                <w:rFonts w:ascii="宋体" w:hAnsi="宋体"/>
                <w:b/>
                <w:sz w:val="24"/>
                <w:szCs w:val="24"/>
              </w:rPr>
            </w:pPr>
            <w:r>
              <w:rPr>
                <w:rFonts w:hint="eastAsia" w:ascii="宋体" w:hAnsi="宋体"/>
                <w:sz w:val="24"/>
                <w:szCs w:val="24"/>
              </w:rPr>
              <w:t xml:space="preserve">1</w:t>
            </w:r>
            <w:r>
              <w:rPr>
                <w:rFonts w:hint="eastAsia" w:ascii="宋体" w:hAnsi="宋体"/>
                <w:b/>
                <w:sz w:val="24"/>
                <w:szCs w:val="24"/>
              </w:rPr>
              <w:t xml:space="preserve">3、▲应具有断电复位功能，停电复位后，能自动恢复到原来的工作状态。提供具有检验资质的检测机构出具的CMA标志的检测报告证明，检测产品型号与拟投入净化器运行状态在线监测</w:t>
            </w:r>
            <w:r>
              <w:rPr>
                <w:rFonts w:ascii="宋体" w:hAnsi="宋体"/>
                <w:b/>
                <w:sz w:val="24"/>
                <w:szCs w:val="24"/>
              </w:rPr>
              <w:t xml:space="preserve">设备</w:t>
            </w:r>
            <w:r>
              <w:rPr>
                <w:rFonts w:hint="eastAsia" w:ascii="宋体" w:hAnsi="宋体"/>
                <w:b/>
                <w:sz w:val="24"/>
                <w:szCs w:val="24"/>
              </w:rPr>
              <w:t xml:space="preserve">型号一致。</w:t>
            </w:r>
            <w:r/>
          </w:p>
          <w:p>
            <w:pPr>
              <w:spacing w:line="264" w:lineRule="auto"/>
              <w:rPr>
                <w:rFonts w:ascii="宋体" w:hAnsi="宋体"/>
                <w:b/>
                <w:sz w:val="24"/>
                <w:szCs w:val="24"/>
              </w:rPr>
            </w:pPr>
            <w:r>
              <w:rPr>
                <w:rFonts w:hint="eastAsia" w:ascii="宋体" w:hAnsi="宋体"/>
                <w:b/>
                <w:sz w:val="24"/>
                <w:szCs w:val="24"/>
              </w:rPr>
              <w:t xml:space="preserve">14、▲应具有自动校时功能。提供具有检验资质的检测机构出具的CMA标志的检测报告证明，检测产品型号与拟投入净化器运行状态在线监测</w:t>
            </w:r>
            <w:r>
              <w:rPr>
                <w:rFonts w:ascii="宋体" w:hAnsi="宋体"/>
                <w:b/>
                <w:sz w:val="24"/>
                <w:szCs w:val="24"/>
              </w:rPr>
              <w:t xml:space="preserve">设备</w:t>
            </w:r>
            <w:r>
              <w:rPr>
                <w:rFonts w:hint="eastAsia" w:ascii="宋体" w:hAnsi="宋体"/>
                <w:b/>
                <w:sz w:val="24"/>
                <w:szCs w:val="24"/>
              </w:rPr>
              <w:t xml:space="preserve">型号一致。</w:t>
            </w:r>
            <w:r/>
          </w:p>
          <w:p>
            <w:pPr>
              <w:spacing w:line="264" w:lineRule="auto"/>
              <w:rPr>
                <w:rFonts w:ascii="宋体" w:hAnsi="宋体"/>
                <w:sz w:val="24"/>
                <w:szCs w:val="24"/>
              </w:rPr>
            </w:pPr>
            <w:r>
              <w:rPr>
                <w:rFonts w:hint="eastAsia" w:ascii="宋体" w:hAnsi="宋体"/>
                <w:sz w:val="24"/>
                <w:szCs w:val="24"/>
              </w:rPr>
              <w:t xml:space="preserve">15、供电：应支持220V市电供电，具有备用电源。</w:t>
            </w:r>
            <w:r/>
          </w:p>
          <w:p>
            <w:pPr>
              <w:spacing w:line="264" w:lineRule="auto"/>
              <w:rPr>
                <w:rFonts w:ascii="宋体" w:hAnsi="宋体"/>
                <w:sz w:val="24"/>
                <w:szCs w:val="24"/>
              </w:rPr>
            </w:pPr>
            <w:r>
              <w:rPr>
                <w:rFonts w:hint="eastAsia" w:ascii="宋体" w:hAnsi="宋体"/>
                <w:sz w:val="24"/>
                <w:szCs w:val="24"/>
              </w:rPr>
              <w:t xml:space="preserve">16、安装方式：应支持壁挂式安装</w:t>
            </w:r>
            <w:r/>
          </w:p>
          <w:p>
            <w:pPr>
              <w:spacing w:line="264" w:lineRule="auto"/>
              <w:rPr>
                <w:rFonts w:ascii="宋体" w:hAnsi="宋体"/>
                <w:sz w:val="24"/>
                <w:szCs w:val="24"/>
              </w:rPr>
            </w:pPr>
            <w:r>
              <w:rPr>
                <w:rFonts w:hint="eastAsia" w:ascii="宋体" w:hAnsi="宋体"/>
                <w:sz w:val="24"/>
                <w:szCs w:val="24"/>
              </w:rPr>
              <w:t xml:space="preserve">17、工作环境温度：(－20～70)℃</w:t>
            </w:r>
            <w:r>
              <w:rPr>
                <w:rFonts w:ascii="宋体" w:hAnsi="宋体"/>
                <w:sz w:val="24"/>
                <w:szCs w:val="24"/>
              </w:rPr>
              <w:t xml:space="preserve">，</w:t>
            </w:r>
            <w:r>
              <w:rPr>
                <w:rFonts w:hint="eastAsia" w:ascii="宋体" w:hAnsi="宋体"/>
                <w:sz w:val="24"/>
                <w:szCs w:val="24"/>
              </w:rPr>
              <w:t xml:space="preserve">相对湿度：(0～90)％</w:t>
            </w:r>
            <w:r/>
          </w:p>
        </w:tc>
      </w:tr>
    </w:tbl>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lang w:val="zh-CN"/>
        </w:rPr>
      </w:pPr>
      <w:r>
        <w:rPr>
          <w:rFonts w:hint="eastAsia" w:ascii="宋体" w:hAnsi="宋体"/>
          <w:sz w:val="24"/>
          <w:szCs w:val="24"/>
        </w:rPr>
        <w:t xml:space="preserve">2、</w:t>
      </w:r>
      <w:r>
        <w:rPr>
          <w:rFonts w:hint="eastAsia" w:ascii="宋体" w:hAnsi="宋体" w:cs="宋体"/>
          <w:bCs/>
          <w:sz w:val="24"/>
          <w:szCs w:val="24"/>
        </w:rPr>
        <w:t xml:space="preserve">重点区域在线餐饮数据采集分析及技术帮扶服务</w:t>
      </w:r>
      <w:r/>
    </w:p>
    <w:tbl>
      <w:tblPr>
        <w:tblW w:w="507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7"/>
        <w:gridCol w:w="1460"/>
        <w:gridCol w:w="7878"/>
      </w:tblGrid>
      <w:tr>
        <w:trPr>
          <w:tblHeader/>
        </w:trPr>
        <w:tc>
          <w:tcPr>
            <w:tcMar>
              <w:top w:w="100" w:type="dxa"/>
              <w:bottom w:w="100" w:type="dxa"/>
            </w:tcMar>
            <w:tcW w:w="375" w:type="pct"/>
            <w:vAlign w:val="center"/>
            <w:textDirection w:val="lrTb"/>
            <w:noWrap/>
          </w:tcPr>
          <w:p>
            <w:pPr>
              <w:spacing w:line="264" w:lineRule="auto"/>
              <w:rPr>
                <w:rFonts w:ascii="宋体" w:hAnsi="宋体"/>
                <w:b/>
                <w:bCs/>
                <w:sz w:val="24"/>
                <w:szCs w:val="24"/>
              </w:rPr>
            </w:pPr>
            <w:r>
              <w:rPr>
                <w:rFonts w:hint="eastAsia" w:ascii="宋体" w:hAnsi="宋体"/>
                <w:b/>
                <w:bCs/>
                <w:sz w:val="24"/>
                <w:szCs w:val="24"/>
              </w:rPr>
              <w:t xml:space="preserve">序号</w:t>
            </w:r>
            <w:r/>
          </w:p>
        </w:tc>
        <w:tc>
          <w:tcPr>
            <w:tcMar>
              <w:top w:w="100" w:type="dxa"/>
              <w:bottom w:w="100" w:type="dxa"/>
            </w:tcMar>
            <w:tcW w:w="723" w:type="pct"/>
            <w:vAlign w:val="center"/>
            <w:textDirection w:val="lrTb"/>
            <w:noWrap/>
          </w:tcPr>
          <w:p>
            <w:pPr>
              <w:ind w:firstLine="482"/>
              <w:spacing w:line="264" w:lineRule="auto"/>
              <w:rPr>
                <w:rFonts w:ascii="宋体" w:hAnsi="宋体"/>
                <w:b/>
                <w:bCs/>
                <w:sz w:val="24"/>
                <w:szCs w:val="24"/>
              </w:rPr>
            </w:pPr>
            <w:r>
              <w:rPr>
                <w:rFonts w:hint="eastAsia" w:ascii="宋体" w:hAnsi="宋体"/>
                <w:b/>
                <w:bCs/>
                <w:sz w:val="24"/>
                <w:szCs w:val="24"/>
              </w:rPr>
              <w:t xml:space="preserve">类型</w:t>
            </w:r>
            <w:r/>
          </w:p>
        </w:tc>
        <w:tc>
          <w:tcPr>
            <w:tcMar>
              <w:top w:w="100" w:type="dxa"/>
              <w:bottom w:w="100" w:type="dxa"/>
            </w:tcMar>
            <w:tcW w:w="3902" w:type="pct"/>
            <w:vAlign w:val="center"/>
            <w:textDirection w:val="lrTb"/>
            <w:noWrap/>
          </w:tcPr>
          <w:p>
            <w:pPr>
              <w:ind w:firstLine="482"/>
              <w:spacing w:line="264" w:lineRule="auto"/>
              <w:rPr>
                <w:rFonts w:ascii="宋体" w:hAnsi="宋体"/>
                <w:b/>
                <w:bCs/>
                <w:sz w:val="24"/>
                <w:szCs w:val="24"/>
              </w:rPr>
            </w:pPr>
            <w:r>
              <w:rPr>
                <w:rFonts w:hint="eastAsia" w:ascii="宋体" w:hAnsi="宋体"/>
                <w:b/>
                <w:bCs/>
                <w:sz w:val="24"/>
                <w:szCs w:val="24"/>
              </w:rPr>
              <w:t xml:space="preserve">功能、性能、配置要求</w:t>
            </w:r>
            <w:r/>
          </w:p>
        </w:tc>
      </w:tr>
      <w:tr>
        <w:trPr>
          <w:trHeight w:val="951"/>
        </w:trPr>
        <w:tc>
          <w:tcPr>
            <w:tcW w:w="375" w:type="pct"/>
            <w:vAlign w:val="center"/>
            <w:textDirection w:val="lrTb"/>
            <w:noWrap w:val="false"/>
          </w:tcPr>
          <w:p>
            <w:pPr>
              <w:ind w:firstLine="480"/>
              <w:spacing w:line="264" w:lineRule="auto"/>
              <w:rPr>
                <w:rFonts w:ascii="宋体" w:hAnsi="宋体"/>
                <w:sz w:val="24"/>
                <w:szCs w:val="24"/>
              </w:rPr>
            </w:pPr>
            <w:r>
              <w:rPr>
                <w:rFonts w:hint="eastAsia" w:ascii="宋体" w:hAnsi="宋体"/>
                <w:sz w:val="24"/>
                <w:szCs w:val="24"/>
              </w:rPr>
              <w:t xml:space="preserve">1</w:t>
            </w:r>
            <w:r/>
          </w:p>
        </w:tc>
        <w:tc>
          <w:tcPr>
            <w:tcW w:w="723" w:type="pct"/>
            <w:vAlign w:val="center"/>
            <w:textDirection w:val="lrTb"/>
            <w:noWrap w:val="false"/>
          </w:tcPr>
          <w:p>
            <w:pPr>
              <w:spacing w:line="264" w:lineRule="auto"/>
              <w:rPr>
                <w:rFonts w:ascii="宋体" w:hAnsi="宋体"/>
                <w:sz w:val="24"/>
                <w:szCs w:val="24"/>
              </w:rPr>
            </w:pPr>
            <w:r>
              <w:rPr>
                <w:rFonts w:hint="eastAsia" w:ascii="宋体" w:hAnsi="宋体"/>
                <w:b/>
                <w:sz w:val="24"/>
                <w:szCs w:val="24"/>
              </w:rPr>
              <w:t xml:space="preserve">★</w:t>
            </w:r>
            <w:r>
              <w:rPr>
                <w:rFonts w:hint="eastAsia" w:ascii="宋体" w:hAnsi="宋体"/>
                <w:sz w:val="24"/>
                <w:szCs w:val="24"/>
              </w:rPr>
              <w:t xml:space="preserve">实质性要求</w:t>
            </w:r>
            <w:r/>
          </w:p>
        </w:tc>
        <w:tc>
          <w:tcPr>
            <w:tcW w:w="3902" w:type="pct"/>
            <w:vAlign w:val="center"/>
            <w:textDirection w:val="lrTb"/>
            <w:noWrap w:val="false"/>
          </w:tcPr>
          <w:p>
            <w:pPr>
              <w:spacing w:line="264" w:lineRule="auto"/>
              <w:rPr>
                <w:rFonts w:ascii="宋体" w:hAnsi="宋体"/>
                <w:sz w:val="24"/>
                <w:szCs w:val="24"/>
              </w:rPr>
            </w:pPr>
            <w:r>
              <w:rPr>
                <w:rFonts w:hint="eastAsia" w:ascii="宋体" w:hAnsi="宋体" w:cs="宋体"/>
                <w:bCs/>
                <w:sz w:val="24"/>
                <w:szCs w:val="24"/>
              </w:rPr>
              <w:t xml:space="preserve">供应商须提供为期三年的重点区域在线餐饮数据采集分析及技术帮扶服务，具体包括：</w:t>
            </w:r>
            <w:r/>
          </w:p>
          <w:p>
            <w:pPr>
              <w:spacing w:line="264" w:lineRule="auto"/>
              <w:rPr>
                <w:rFonts w:ascii="宋体" w:hAnsi="宋体"/>
                <w:sz w:val="24"/>
                <w:szCs w:val="24"/>
              </w:rPr>
            </w:pPr>
            <w:r>
              <w:rPr>
                <w:rFonts w:hint="eastAsia" w:ascii="宋体" w:hAnsi="宋体"/>
                <w:sz w:val="24"/>
                <w:szCs w:val="24"/>
              </w:rPr>
              <w:t xml:space="preserve">1、供应商需提供净化器运行状态在线监测系统软件平台应用服务，对餐饮企业油烟净化器运行状态进行实时监测及数据展示。</w:t>
            </w:r>
            <w:r/>
          </w:p>
          <w:p>
            <w:pPr>
              <w:spacing w:line="264" w:lineRule="auto"/>
              <w:rPr>
                <w:rFonts w:ascii="宋体" w:hAnsi="宋体"/>
                <w:sz w:val="24"/>
                <w:szCs w:val="24"/>
              </w:rPr>
            </w:pPr>
            <w:r>
              <w:rPr>
                <w:rFonts w:hint="eastAsia" w:ascii="宋体" w:hAnsi="宋体"/>
                <w:sz w:val="24"/>
                <w:szCs w:val="24"/>
              </w:rPr>
              <w:t xml:space="preserve">2、供应商所提供的软件平台需具有配套的APP和</w:t>
            </w:r>
            <w:r>
              <w:rPr>
                <w:rFonts w:hint="eastAsia" w:ascii="宋体" w:hAnsi="宋体"/>
                <w:sz w:val="24"/>
                <w:szCs w:val="24"/>
              </w:rPr>
              <w:t xml:space="preserve">微信端</w:t>
            </w:r>
            <w:r>
              <w:rPr>
                <w:rFonts w:hint="eastAsia" w:ascii="宋体" w:hAnsi="宋体"/>
                <w:sz w:val="24"/>
                <w:szCs w:val="24"/>
              </w:rPr>
              <w:t xml:space="preserve">应用，使环境部门及企业用户可随时随地查看监测数据。</w:t>
            </w:r>
            <w:r/>
          </w:p>
          <w:p>
            <w:pPr>
              <w:spacing w:line="264" w:lineRule="auto"/>
              <w:rPr>
                <w:rFonts w:ascii="宋体" w:hAnsi="宋体"/>
                <w:sz w:val="24"/>
                <w:szCs w:val="24"/>
              </w:rPr>
            </w:pPr>
            <w:r>
              <w:rPr>
                <w:rFonts w:hint="eastAsia" w:ascii="宋体" w:hAnsi="宋体"/>
                <w:sz w:val="24"/>
                <w:szCs w:val="24"/>
              </w:rPr>
              <w:t xml:space="preserve">3、供应商需在服务期三年内保存平台数据，采购人能随时调取。在服务期满后数据完整移交给采购人。</w:t>
            </w:r>
            <w:r/>
          </w:p>
          <w:p>
            <w:pPr>
              <w:spacing w:line="264" w:lineRule="auto"/>
              <w:rPr>
                <w:rFonts w:ascii="宋体" w:hAnsi="宋体"/>
                <w:sz w:val="24"/>
                <w:szCs w:val="24"/>
              </w:rPr>
            </w:pPr>
            <w:r>
              <w:rPr>
                <w:rFonts w:hint="eastAsia" w:ascii="宋体" w:hAnsi="宋体"/>
                <w:sz w:val="24"/>
                <w:szCs w:val="24"/>
              </w:rPr>
              <w:t xml:space="preserve">4、供应商需配套便携的工具，实现餐饮企业基础信息台账的建立和管理维护，需要及时对新增企业及站点信息初始化，保障信息准确，并进行动态更新，同时便于对餐饮企业现场开展的各类运行维护活动的信息记录及存档。</w:t>
            </w:r>
            <w:r/>
          </w:p>
          <w:p>
            <w:pPr>
              <w:spacing w:line="264" w:lineRule="auto"/>
              <w:rPr>
                <w:rFonts w:ascii="宋体" w:hAnsi="宋体"/>
                <w:sz w:val="24"/>
                <w:szCs w:val="24"/>
              </w:rPr>
            </w:pPr>
            <w:r>
              <w:rPr>
                <w:rFonts w:hint="eastAsia" w:ascii="宋体" w:hAnsi="宋体"/>
                <w:sz w:val="24"/>
                <w:szCs w:val="24"/>
              </w:rPr>
              <w:t xml:space="preserve">5、供应商需提供平台运行保障服务，及时</w:t>
            </w:r>
            <w:r>
              <w:rPr>
                <w:rFonts w:hint="eastAsia" w:ascii="宋体" w:hAnsi="宋体"/>
                <w:sz w:val="24"/>
                <w:szCs w:val="24"/>
              </w:rPr>
              <w:t xml:space="preserve">对监管人员用户、餐饮企业用户权限管理；每日进行平台日常巡检和记录；每季度进行数据库</w:t>
            </w:r>
            <w:r>
              <w:rPr>
                <w:rFonts w:hint="eastAsia" w:ascii="宋体" w:hAnsi="宋体"/>
                <w:sz w:val="24"/>
                <w:szCs w:val="24"/>
              </w:rPr>
              <w:t xml:space="preserve">清理、备份，操作系统维护。</w:t>
            </w:r>
            <w:r/>
          </w:p>
          <w:p>
            <w:pPr>
              <w:spacing w:line="264" w:lineRule="auto"/>
              <w:rPr>
                <w:rFonts w:ascii="宋体" w:hAnsi="宋体"/>
                <w:sz w:val="24"/>
                <w:szCs w:val="24"/>
              </w:rPr>
            </w:pPr>
            <w:r>
              <w:rPr>
                <w:rFonts w:hint="eastAsia" w:ascii="宋体" w:hAnsi="宋体"/>
                <w:sz w:val="24"/>
                <w:szCs w:val="24"/>
              </w:rPr>
              <w:t xml:space="preserve">6、供应商需每日对平台产生的净化器问题报警信息汇总和分析，协调现场监测设备保障人员开展现场情况核查和记录。</w:t>
            </w:r>
            <w:r/>
          </w:p>
          <w:p>
            <w:pPr>
              <w:spacing w:line="264" w:lineRule="auto"/>
              <w:rPr>
                <w:rFonts w:ascii="宋体" w:hAnsi="宋体"/>
                <w:sz w:val="24"/>
                <w:szCs w:val="24"/>
              </w:rPr>
            </w:pPr>
            <w:r>
              <w:rPr>
                <w:rFonts w:hint="eastAsia" w:ascii="宋体" w:hAnsi="宋体"/>
                <w:sz w:val="24"/>
                <w:szCs w:val="24"/>
              </w:rPr>
              <w:t xml:space="preserve">7、供应商需对净化器运行状态在线监测系统软件平台收集的数据进行整合分析</w:t>
            </w:r>
            <w:r>
              <w:rPr>
                <w:rFonts w:hint="eastAsia" w:ascii="宋体" w:hAnsi="宋体"/>
                <w:sz w:val="24"/>
                <w:szCs w:val="24"/>
              </w:rPr>
              <w:t xml:space="preserve">，每周/</w:t>
            </w:r>
            <w:r>
              <w:rPr>
                <w:rFonts w:ascii="宋体" w:hAnsi="宋体"/>
                <w:sz w:val="24"/>
                <w:szCs w:val="24"/>
              </w:rPr>
              <w:t xml:space="preserve">月</w:t>
            </w:r>
            <w:r>
              <w:rPr>
                <w:rFonts w:hint="eastAsia" w:ascii="宋体" w:hAnsi="宋体"/>
                <w:sz w:val="24"/>
                <w:szCs w:val="24"/>
              </w:rPr>
              <w:t xml:space="preserve">/年形成</w:t>
            </w:r>
            <w:r>
              <w:rPr>
                <w:rFonts w:hint="eastAsia" w:ascii="宋体" w:hAnsi="宋体"/>
                <w:sz w:val="24"/>
                <w:szCs w:val="24"/>
              </w:rPr>
              <w:t xml:space="preserve">数据报告提交给采购人。</w:t>
            </w:r>
            <w:r/>
          </w:p>
          <w:p>
            <w:pPr>
              <w:spacing w:line="264" w:lineRule="auto"/>
              <w:rPr>
                <w:rFonts w:ascii="宋体" w:hAnsi="宋体"/>
                <w:sz w:val="24"/>
                <w:szCs w:val="24"/>
              </w:rPr>
            </w:pPr>
            <w:r>
              <w:rPr>
                <w:rFonts w:hint="eastAsia" w:ascii="宋体" w:hAnsi="宋体"/>
                <w:sz w:val="24"/>
                <w:szCs w:val="24"/>
              </w:rPr>
              <w:t xml:space="preserve">8、供应商需面向净化设备故障餐饮企业开展技术支持工作，帮助餐饮企业分析净化设备故障原因，并给出科学的整改建议。</w:t>
            </w:r>
            <w:r/>
          </w:p>
          <w:p>
            <w:pPr>
              <w:spacing w:line="264" w:lineRule="auto"/>
              <w:rPr>
                <w:rFonts w:ascii="宋体" w:hAnsi="宋体"/>
                <w:sz w:val="24"/>
                <w:szCs w:val="24"/>
              </w:rPr>
            </w:pPr>
            <w:r>
              <w:rPr>
                <w:rFonts w:hint="eastAsia" w:ascii="宋体" w:hAnsi="宋体"/>
                <w:sz w:val="24"/>
                <w:szCs w:val="24"/>
              </w:rPr>
              <w:t xml:space="preserve">9、供应商需为采购人提供餐饮油烟在线监控的实时服务，配合执法人员开展现场净化器故障、不正常使用问题发现和分析，通过数据分析及专业经验给予采购人合理的执法线索。</w:t>
            </w:r>
            <w:r/>
          </w:p>
          <w:p>
            <w:pPr>
              <w:spacing w:line="264" w:lineRule="auto"/>
              <w:rPr>
                <w:rFonts w:ascii="宋体" w:hAnsi="宋体"/>
                <w:sz w:val="24"/>
                <w:szCs w:val="24"/>
              </w:rPr>
            </w:pPr>
            <w:r>
              <w:rPr>
                <w:rFonts w:hint="eastAsia" w:ascii="宋体" w:hAnsi="宋体"/>
                <w:sz w:val="24"/>
                <w:szCs w:val="24"/>
              </w:rPr>
              <w:t xml:space="preserve">10、供应商需建立“分级预警处置”闭环管理体系，至少应包括一级预警处置-餐饮企业立查立改，二级预警处置-服务团队现场帮扶整改，三级预警处置-执法人员现场/非现场执法检查，为执法工作开展提供数据支撑，总结形成《江宁区重点区域餐饮油烟净化器运行状态在线监测工作指南》。</w:t>
            </w:r>
            <w:r/>
          </w:p>
        </w:tc>
      </w:tr>
      <w:tr>
        <w:trPr>
          <w:trHeight w:val="951"/>
        </w:trPr>
        <w:tc>
          <w:tcPr>
            <w:tcW w:w="375" w:type="pct"/>
            <w:vAlign w:val="center"/>
            <w:textDirection w:val="lrTb"/>
            <w:noWrap w:val="false"/>
          </w:tcPr>
          <w:p>
            <w:pPr>
              <w:ind w:firstLine="480"/>
              <w:spacing w:line="264" w:lineRule="auto"/>
              <w:rPr>
                <w:rFonts w:ascii="宋体" w:hAnsi="宋体"/>
                <w:sz w:val="24"/>
                <w:szCs w:val="24"/>
              </w:rPr>
            </w:pPr>
            <w:r>
              <w:rPr>
                <w:rFonts w:hint="eastAsia" w:ascii="宋体" w:hAnsi="宋体"/>
                <w:sz w:val="24"/>
                <w:szCs w:val="24"/>
              </w:rPr>
              <w:t xml:space="preserve">2</w:t>
            </w:r>
            <w:r/>
          </w:p>
        </w:tc>
        <w:tc>
          <w:tcPr>
            <w:tcW w:w="723" w:type="pct"/>
            <w:vAlign w:val="center"/>
            <w:textDirection w:val="lrTb"/>
            <w:noWrap w:val="false"/>
          </w:tcPr>
          <w:p>
            <w:pPr>
              <w:spacing w:line="264" w:lineRule="auto"/>
              <w:rPr>
                <w:rFonts w:ascii="宋体" w:hAnsi="宋体"/>
                <w:b/>
                <w:sz w:val="24"/>
                <w:szCs w:val="24"/>
              </w:rPr>
            </w:pPr>
            <w:r>
              <w:rPr>
                <w:rFonts w:hint="eastAsia" w:ascii="宋体" w:hAnsi="宋体"/>
                <w:sz w:val="24"/>
                <w:szCs w:val="24"/>
              </w:rPr>
              <w:t xml:space="preserve">非实质性要求</w:t>
            </w:r>
            <w:r/>
          </w:p>
        </w:tc>
        <w:tc>
          <w:tcPr>
            <w:tcW w:w="3902" w:type="pct"/>
            <w:vAlign w:val="center"/>
            <w:textDirection w:val="lrTb"/>
            <w:noWrap w:val="false"/>
          </w:tcPr>
          <w:p>
            <w:pPr>
              <w:spacing w:line="264" w:lineRule="auto"/>
              <w:rPr>
                <w:rFonts w:ascii="宋体" w:hAnsi="宋体"/>
                <w:sz w:val="24"/>
                <w:szCs w:val="24"/>
              </w:rPr>
            </w:pPr>
            <w:r>
              <w:rPr>
                <w:rFonts w:hint="eastAsia" w:ascii="宋体" w:hAnsi="宋体"/>
                <w:sz w:val="24"/>
                <w:szCs w:val="24"/>
              </w:rPr>
              <w:t xml:space="preserve">供应商提供的净化器运行状态在线监测系统软件平台</w:t>
            </w:r>
            <w:r>
              <w:rPr>
                <w:rFonts w:ascii="宋体" w:hAnsi="宋体"/>
                <w:sz w:val="24"/>
                <w:szCs w:val="24"/>
              </w:rPr>
              <w:t xml:space="preserve">性能和功能要求如下：</w:t>
            </w:r>
            <w:r/>
          </w:p>
          <w:p>
            <w:pPr>
              <w:spacing w:line="264" w:lineRule="auto"/>
              <w:rPr>
                <w:rFonts w:ascii="宋体" w:hAnsi="宋体"/>
                <w:sz w:val="24"/>
                <w:szCs w:val="24"/>
              </w:rPr>
            </w:pPr>
            <w:r>
              <w:rPr>
                <w:rFonts w:hint="eastAsia" w:ascii="宋体" w:hAnsi="宋体"/>
                <w:sz w:val="24"/>
                <w:szCs w:val="24"/>
              </w:rPr>
              <w:t xml:space="preserve">1、应具有地图功能，应能通过地图实时展示餐饮企业位置分布，在地图上应能以不同类型的图标展示净化器正常、待清洗、故障、关闭、监测设备离线、冻结的餐饮企业，并实时统计数量。应具有筛选功能可通过区域、企业规模、菜系、企业简称进行筛选查询，也可通过指定子站查看子站周边不同范围餐饮企业数量。点选图标可进一步查看单个企业的实时工况、状态曲线、企业信息、现场图片详细数据。</w:t>
            </w:r>
            <w:r/>
          </w:p>
          <w:p>
            <w:pPr>
              <w:spacing w:line="264" w:lineRule="auto"/>
              <w:rPr>
                <w:rFonts w:ascii="宋体" w:hAnsi="宋体"/>
                <w:sz w:val="24"/>
                <w:szCs w:val="24"/>
              </w:rPr>
            </w:pPr>
            <w:r>
              <w:rPr>
                <w:rFonts w:hint="eastAsia" w:ascii="宋体" w:hAnsi="宋体"/>
                <w:sz w:val="24"/>
                <w:szCs w:val="24"/>
              </w:rPr>
              <w:t xml:space="preserve">2、应具有实时查看功能，应能够展示餐饮企业的实时监测数据，包括净化器每个高压电源运行情况，可以直观掌握发生故障的电源占比，查询结果可通过Excel格式导出到本地。可通过工况图实时展示餐饮企业使用的各工艺类型净化器的运行状态、净化器安装时间等信息，通过趋势曲线自动监测并识别净化器运行异常数据，并具备异常数据以背景颜色标识功能。</w:t>
            </w:r>
            <w:r/>
          </w:p>
          <w:p>
            <w:pPr>
              <w:spacing w:line="264" w:lineRule="auto"/>
              <w:rPr>
                <w:rFonts w:ascii="宋体" w:hAnsi="宋体"/>
                <w:sz w:val="24"/>
                <w:szCs w:val="24"/>
              </w:rPr>
            </w:pPr>
            <w:r>
              <w:rPr>
                <w:rFonts w:hint="eastAsia" w:ascii="宋体" w:hAnsi="宋体"/>
                <w:sz w:val="24"/>
                <w:szCs w:val="24"/>
              </w:rPr>
              <w:t xml:space="preserve">3、应能够</w:t>
            </w:r>
            <w:r>
              <w:rPr>
                <w:rFonts w:hint="eastAsia" w:ascii="宋体" w:hAnsi="宋体"/>
                <w:sz w:val="24"/>
                <w:szCs w:val="24"/>
              </w:rPr>
              <w:t xml:space="preserve">按排</w:t>
            </w:r>
            <w:r>
              <w:rPr>
                <w:rFonts w:hint="eastAsia" w:ascii="宋体" w:hAnsi="宋体"/>
                <w:sz w:val="24"/>
                <w:szCs w:val="24"/>
              </w:rPr>
              <w:t xml:space="preserve">口对净化设备每个单元的运行状态数据进行查询和图表展示，查询结果可导出。</w:t>
            </w:r>
            <w:r/>
          </w:p>
          <w:p>
            <w:pPr>
              <w:spacing w:line="264" w:lineRule="auto"/>
              <w:rPr>
                <w:rFonts w:ascii="宋体" w:hAnsi="宋体"/>
                <w:sz w:val="24"/>
                <w:szCs w:val="24"/>
              </w:rPr>
            </w:pPr>
            <w:r>
              <w:rPr>
                <w:rFonts w:hint="eastAsia" w:ascii="宋体" w:hAnsi="宋体"/>
                <w:sz w:val="24"/>
                <w:szCs w:val="24"/>
              </w:rPr>
              <w:t xml:space="preserve">4、能够动态配置报警条件，自动识别并产生满足条件的故障、待清洗、离线等问题的餐饮企业，多种报警类型横向动态展示，并能够根据实时数据记录净化器问题占比。发生净化器故障、待清洗或运行异常预警时，可以查看预警持续时长、净化器问题类型、净化器问题单元的分布及数据情况，以及预警发生时的趋势曲线情况；也可根据时间、预警类型、自治状态等查询已解除的历史预警信息。</w:t>
            </w:r>
            <w:r/>
          </w:p>
          <w:p>
            <w:pPr>
              <w:spacing w:line="264" w:lineRule="auto"/>
              <w:rPr>
                <w:rFonts w:ascii="宋体" w:hAnsi="宋体"/>
                <w:sz w:val="24"/>
                <w:szCs w:val="24"/>
              </w:rPr>
            </w:pPr>
            <w:r>
              <w:rPr>
                <w:rFonts w:hint="eastAsia" w:ascii="宋体" w:hAnsi="宋体"/>
                <w:sz w:val="24"/>
                <w:szCs w:val="24"/>
              </w:rPr>
              <w:t xml:space="preserve">5、应支持净化器清洗服</w:t>
            </w:r>
            <w:r>
              <w:rPr>
                <w:rFonts w:hint="eastAsia" w:ascii="宋体" w:hAnsi="宋体"/>
                <w:sz w:val="24"/>
                <w:szCs w:val="24"/>
              </w:rPr>
              <w:t xml:space="preserve">务表单上传，平台可查询企业净化器清洗详情，</w:t>
            </w:r>
            <w:r>
              <w:rPr>
                <w:rFonts w:hint="eastAsia" w:ascii="宋体" w:hAnsi="宋体"/>
                <w:sz w:val="24"/>
                <w:szCs w:val="24"/>
              </w:rPr>
              <w:t xml:space="preserve">并可对净化器清洗活动进行统计</w:t>
            </w:r>
            <w:r>
              <w:rPr>
                <w:rFonts w:hint="eastAsia" w:ascii="宋体" w:hAnsi="宋体"/>
                <w:sz w:val="24"/>
                <w:szCs w:val="24"/>
              </w:rPr>
              <w:t xml:space="preserve">。清洗服务记录可上传至南京市“码上洗”平台。</w:t>
            </w:r>
            <w:r/>
          </w:p>
          <w:p>
            <w:pPr>
              <w:spacing w:line="264" w:lineRule="auto"/>
              <w:rPr>
                <w:rFonts w:ascii="宋体" w:hAnsi="宋体"/>
                <w:sz w:val="24"/>
                <w:szCs w:val="24"/>
              </w:rPr>
            </w:pPr>
            <w:r>
              <w:rPr>
                <w:rFonts w:hint="eastAsia" w:ascii="宋体" w:hAnsi="宋体"/>
                <w:sz w:val="24"/>
                <w:szCs w:val="24"/>
              </w:rPr>
              <w:t xml:space="preserve">6、具备完善的</w:t>
            </w:r>
            <w:r>
              <w:rPr>
                <w:rFonts w:hint="eastAsia" w:ascii="宋体" w:hAnsi="宋体"/>
                <w:sz w:val="24"/>
                <w:szCs w:val="24"/>
              </w:rPr>
              <w:t xml:space="preserve">一</w:t>
            </w:r>
            <w:r>
              <w:rPr>
                <w:rFonts w:hint="eastAsia" w:ascii="宋体" w:hAnsi="宋体"/>
                <w:sz w:val="24"/>
                <w:szCs w:val="24"/>
              </w:rPr>
              <w:t xml:space="preserve">企一档功能，实现餐饮企业各类信息综合展现，包括基本信息、净化器信息、排口信息、运行数据信息等。</w:t>
            </w:r>
            <w:r/>
          </w:p>
          <w:p>
            <w:pPr>
              <w:spacing w:line="264" w:lineRule="auto"/>
              <w:rPr>
                <w:rFonts w:ascii="宋体" w:hAnsi="宋体"/>
                <w:sz w:val="24"/>
                <w:szCs w:val="24"/>
              </w:rPr>
            </w:pPr>
            <w:r>
              <w:rPr>
                <w:rFonts w:hint="eastAsia" w:ascii="宋体" w:hAnsi="宋体"/>
                <w:sz w:val="24"/>
                <w:szCs w:val="24"/>
              </w:rPr>
              <w:t xml:space="preserve">7、应支持APP</w:t>
            </w:r>
            <w:r>
              <w:rPr>
                <w:rFonts w:hint="eastAsia" w:ascii="宋体" w:hAnsi="宋体"/>
                <w:sz w:val="24"/>
                <w:szCs w:val="24"/>
              </w:rPr>
              <w:t xml:space="preserve">或微信便捷</w:t>
            </w:r>
            <w:r>
              <w:rPr>
                <w:rFonts w:hint="eastAsia" w:ascii="宋体" w:hAnsi="宋体"/>
                <w:sz w:val="24"/>
                <w:szCs w:val="24"/>
              </w:rPr>
              <w:t xml:space="preserve">查看监测信息和报警信息，主要包括GIS地图、实时监测、报警管理、待办任务和统计分析等功能。</w:t>
            </w:r>
            <w:r/>
          </w:p>
          <w:p>
            <w:pPr>
              <w:spacing w:line="264" w:lineRule="auto"/>
              <w:rPr>
                <w:rFonts w:ascii="宋体" w:hAnsi="宋体"/>
                <w:sz w:val="24"/>
                <w:szCs w:val="24"/>
              </w:rPr>
            </w:pPr>
            <w:r>
              <w:rPr>
                <w:rFonts w:hint="eastAsia" w:ascii="宋体" w:hAnsi="宋体"/>
                <w:sz w:val="24"/>
                <w:szCs w:val="24"/>
              </w:rPr>
              <w:t xml:space="preserve">8、</w:t>
            </w:r>
            <w:r>
              <w:rPr>
                <w:rFonts w:hint="eastAsia" w:ascii="宋体" w:hAnsi="宋体"/>
                <w:b/>
                <w:sz w:val="24"/>
                <w:szCs w:val="24"/>
              </w:rPr>
              <w:t xml:space="preserve">▲净化器运行状态在线监测系统软件平台和移动端应用需具有软件著作权证书。提供拟投入净化器运行状态在线监测系统软件平台软件著作权证书。</w:t>
            </w:r>
            <w:r/>
          </w:p>
        </w:tc>
      </w:tr>
    </w:tbl>
    <w:p>
      <w:pPr>
        <w:ind w:firstLine="480"/>
        <w:spacing w:line="264" w:lineRule="auto"/>
        <w:rPr>
          <w:rFonts w:ascii="宋体" w:hAnsi="宋体" w:cs="宋体"/>
          <w:bCs/>
          <w:sz w:val="24"/>
          <w:szCs w:val="24"/>
        </w:rPr>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（1）供应商应按三年服务总费用报价。报价应</w:t>
      </w:r>
      <w:r>
        <w:rPr>
          <w:rFonts w:hint="eastAsia" w:ascii="宋体" w:hAnsi="宋体" w:cs="宋体"/>
          <w:sz w:val="24"/>
          <w:szCs w:val="24"/>
        </w:rPr>
        <w:t xml:space="preserve">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bCs/>
          <w:sz w:val="24"/>
          <w:szCs w:val="24"/>
        </w:rPr>
      </w:pPr>
      <w:r>
        <w:rPr>
          <w:rFonts w:hint="eastAsia" w:ascii="宋体" w:hAnsi="宋体" w:cs="宋体"/>
          <w:sz w:val="24"/>
          <w:szCs w:val="24"/>
        </w:rPr>
        <w:t xml:space="preserve">（3）供应商报价除包含招标文件中列明的项目外还应包括保障服务正常运行应当具有的物资</w:t>
      </w:r>
      <w:r>
        <w:rPr>
          <w:rFonts w:hint="eastAsia" w:ascii="宋体" w:hAnsi="宋体" w:cs="宋体"/>
          <w:sz w:val="24"/>
          <w:szCs w:val="24"/>
        </w:rPr>
        <w:t xml:space="preserve">和服务，对服务正常运行应当具有的物资和服务理解不一致的以采购单位理解为准。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2.实施要求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ascii="宋体" w:hAnsi="宋体"/>
          <w:sz w:val="24"/>
          <w:szCs w:val="24"/>
        </w:rPr>
      </w:pPr>
      <w:r>
        <w:rPr>
          <w:rFonts w:hint="eastAsia" w:ascii="宋体" w:hAnsi="宋体"/>
          <w:sz w:val="24"/>
          <w:szCs w:val="24"/>
        </w:rPr>
        <w:t xml:space="preserve">供应商需保障在线监测设备是全新的</w:t>
      </w:r>
      <w:r>
        <w:rPr>
          <w:rFonts w:hint="eastAsia" w:ascii="宋体" w:hAnsi="宋体"/>
          <w:sz w:val="24"/>
          <w:szCs w:val="24"/>
        </w:rPr>
        <w:t xml:space="preserve">且规范</w:t>
      </w:r>
      <w:r>
        <w:rPr>
          <w:rFonts w:hint="eastAsia" w:ascii="宋体" w:hAnsi="宋体"/>
          <w:sz w:val="24"/>
          <w:szCs w:val="24"/>
        </w:rPr>
        <w:t xml:space="preserve">安装。</w:t>
      </w:r>
      <w:r/>
    </w:p>
    <w:p>
      <w:pPr>
        <w:ind w:firstLine="480"/>
        <w:spacing w:line="264"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2</w:t>
      </w:r>
      <w:r>
        <w:rPr>
          <w:rFonts w:hint="eastAsia" w:ascii="宋体" w:hAnsi="宋体" w:cs="宋体"/>
          <w:bCs/>
          <w:sz w:val="24"/>
          <w:szCs w:val="24"/>
        </w:rPr>
        <w:t xml:space="preserve">）验收要求</w:t>
      </w:r>
      <w:r/>
    </w:p>
    <w:p>
      <w:pPr>
        <w:ind w:firstLine="480"/>
        <w:spacing w:line="264" w:lineRule="auto"/>
        <w:rPr>
          <w:rFonts w:ascii="宋体" w:hAnsi="宋体"/>
          <w:sz w:val="24"/>
          <w:szCs w:val="24"/>
        </w:rPr>
      </w:pPr>
      <w:r>
        <w:rPr>
          <w:rFonts w:hint="eastAsia" w:ascii="宋体" w:hAnsi="宋体"/>
          <w:sz w:val="24"/>
          <w:szCs w:val="24"/>
        </w:rPr>
        <w:t xml:space="preserve">项目三年服务期结束后3</w:t>
      </w:r>
      <w:r>
        <w:rPr>
          <w:rFonts w:ascii="宋体" w:hAnsi="宋体"/>
          <w:sz w:val="24"/>
          <w:szCs w:val="24"/>
        </w:rPr>
        <w:t xml:space="preserve">0日内</w:t>
      </w:r>
      <w:r>
        <w:rPr>
          <w:rFonts w:hint="eastAsia" w:ascii="宋体" w:hAnsi="宋体"/>
          <w:sz w:val="24"/>
          <w:szCs w:val="24"/>
        </w:rPr>
        <w:t xml:space="preserve">采购人将组织履约验收，以采购人的验收报告为最终验收结果。</w:t>
      </w:r>
      <w:r/>
    </w:p>
    <w:p>
      <w:pPr>
        <w:ind w:firstLine="480"/>
        <w:spacing w:line="264"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3</w:t>
      </w:r>
      <w:r>
        <w:rPr>
          <w:rFonts w:hint="eastAsia" w:ascii="宋体" w:hAnsi="宋体" w:cs="宋体"/>
          <w:bCs/>
          <w:sz w:val="24"/>
          <w:szCs w:val="24"/>
        </w:rPr>
        <w:t xml:space="preserve">）人员要求</w:t>
      </w:r>
      <w:r/>
    </w:p>
    <w:p>
      <w:pPr>
        <w:ind w:firstLine="480"/>
        <w:spacing w:line="264" w:lineRule="auto"/>
        <w:rPr>
          <w:rFonts w:ascii="宋体" w:hAnsi="宋体" w:cs="宋体"/>
          <w:bCs/>
          <w:sz w:val="24"/>
          <w:szCs w:val="24"/>
        </w:rPr>
      </w:pPr>
      <w:r>
        <w:rPr>
          <w:rFonts w:hint="eastAsia" w:ascii="宋体" w:hAnsi="宋体"/>
          <w:sz w:val="24"/>
          <w:szCs w:val="24"/>
        </w:rPr>
        <w:t xml:space="preserve">供应商针对本项目应至少投入2名专职服务人员提供本地化服务工作，学历本科及以上，至少具有2年以上工作经验，常驻项目地，处理设备故障并提供相关服务。 </w:t>
      </w:r>
      <w:r/>
    </w:p>
    <w:p>
      <w:pPr>
        <w:ind w:firstLine="480"/>
        <w:spacing w:line="264"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4</w:t>
      </w:r>
      <w:r>
        <w:rPr>
          <w:rFonts w:hint="eastAsia" w:ascii="宋体" w:hAnsi="宋体" w:cs="宋体"/>
          <w:bCs/>
          <w:sz w:val="24"/>
          <w:szCs w:val="24"/>
        </w:rPr>
        <w:t xml:space="preserve">）知识产权及保密要求</w:t>
      </w:r>
      <w:r/>
    </w:p>
    <w:p>
      <w:pPr>
        <w:ind w:firstLine="480"/>
        <w:spacing w:line="264" w:lineRule="auto"/>
        <w:rPr>
          <w:rFonts w:ascii="宋体" w:hAnsi="宋体"/>
          <w:sz w:val="24"/>
          <w:szCs w:val="24"/>
        </w:rPr>
      </w:pPr>
      <w:r>
        <w:rPr>
          <w:rFonts w:hint="eastAsia" w:ascii="宋体" w:hAnsi="宋体"/>
          <w:sz w:val="24"/>
          <w:szCs w:val="24"/>
        </w:rPr>
        <w:t xml:space="preserve">供应商在服务过程中使用的专有技术、知识产权、实物及提交的成果不得侵犯任何第三方的合法权益，如果第三方提出异议或提起侵权索赔的，供应商应当出面并自行解决，且不得影响服务工作，给甲方造成声誉影响或经济损失的，供应商应当承担赔偿责任。</w:t>
      </w:r>
      <w:r/>
    </w:p>
    <w:p>
      <w:pPr>
        <w:ind w:firstLine="480"/>
        <w:spacing w:line="264" w:lineRule="auto"/>
        <w:rPr>
          <w:rFonts w:ascii="宋体" w:hAnsi="宋体"/>
          <w:sz w:val="24"/>
          <w:szCs w:val="24"/>
        </w:rPr>
      </w:pPr>
      <w:r>
        <w:rPr>
          <w:rFonts w:hint="eastAsia" w:ascii="宋体" w:hAnsi="宋体"/>
          <w:sz w:val="24"/>
          <w:szCs w:val="24"/>
        </w:rPr>
        <w:t xml:space="preserve">供应商在服务期间须严格履行安全责任和保密义务，所获数据未经允许不得传输、拷贝或挪作他用。供应商在服务过程中，对采购人所提供的所有相关资料、数据，未经采购人书面同意不得向任何第三方泄露。且保密责任不因合同的终止或解除而失效。采购人保留因供应商泄密而造成的一切损失的追究权利</w:t>
      </w:r>
      <w:r>
        <w:rPr>
          <w:rFonts w:hint="eastAsia"/>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ind w:firstLine="420"/>
        <w:spacing w:line="360" w:lineRule="auto"/>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ascii="宋体" w:hAnsi="宋体" w:cs="宋体"/>
          <w:sz w:val="24"/>
          <w:szCs w:val="24"/>
        </w:rPr>
      </w:pPr>
      <w:r>
        <w:rPr>
          <w:rFonts w:ascii="宋体" w:hAnsi="宋体" w:cs="宋体"/>
          <w:sz w:val="24"/>
          <w:szCs w:val="24"/>
        </w:rPr>
        <w:t xml:space="preserve">（1）交付时间：</w:t>
      </w:r>
      <w:r>
        <w:rPr>
          <w:rFonts w:hint="eastAsia" w:ascii="宋体" w:hAnsi="宋体" w:cs="宋体"/>
          <w:sz w:val="24"/>
          <w:szCs w:val="24"/>
        </w:rPr>
        <w:t xml:space="preserve">合同签订后45天内完成所有软硬件安装调试和数据联网，并交付使用</w:t>
      </w:r>
      <w:r>
        <w:rPr>
          <w:rFonts w:hint="eastAsia" w:ascii="宋体" w:hAnsi="宋体" w:cs="宋体"/>
          <w:sz w:val="24"/>
          <w:szCs w:val="24"/>
        </w:rPr>
        <w:t xml:space="preserve">。</w:t>
      </w:r>
      <w:r>
        <w:rPr>
          <w:rFonts w:hint="eastAsia" w:ascii="宋体" w:hAnsi="宋体"/>
          <w:sz w:val="24"/>
          <w:szCs w:val="24"/>
        </w:rPr>
        <w:t xml:space="preserve">监测设备全部安装调试交付使用后</w:t>
      </w:r>
      <w:r>
        <w:rPr>
          <w:rFonts w:hint="eastAsia" w:ascii="宋体" w:hAnsi="宋体"/>
          <w:sz w:val="24"/>
          <w:szCs w:val="24"/>
        </w:rPr>
        <w:t xml:space="preserve">提供三年</w:t>
      </w:r>
      <w:r>
        <w:rPr>
          <w:rFonts w:hint="eastAsia" w:ascii="宋体" w:hAnsi="宋体"/>
          <w:sz w:val="24"/>
          <w:szCs w:val="24"/>
        </w:rPr>
        <w:t xml:space="preserve">服务期。</w:t>
      </w:r>
      <w:r/>
    </w:p>
    <w:p>
      <w:pPr>
        <w:ind w:firstLine="480"/>
        <w:spacing w:line="264" w:lineRule="auto"/>
        <w:rPr>
          <w:rFonts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731"/>
        <w:rPr>
          <w:rFonts w:ascii="宋体" w:hAnsi="宋体" w:eastAsia="宋体"/>
          <w:sz w:val="24"/>
          <w:szCs w:val="24"/>
        </w:rPr>
      </w:pPr>
      <w:r>
        <w:rPr>
          <w:rFonts w:ascii="宋体" w:hAnsi="宋体" w:eastAsia="宋体"/>
          <w:sz w:val="24"/>
          <w:szCs w:val="24"/>
        </w:rPr>
      </w:r>
      <w:r/>
    </w:p>
    <w:p>
      <w:r/>
      <w:r/>
    </w:p>
    <w:p>
      <w:pPr>
        <w:pStyle w:val="731"/>
        <w:rPr>
          <w:rFonts w:ascii="宋体" w:hAnsi="宋体" w:eastAsia="宋体"/>
          <w:sz w:val="24"/>
          <w:szCs w:val="24"/>
        </w:rPr>
      </w:pPr>
      <w:r>
        <w:rPr>
          <w:rFonts w:ascii="宋体" w:hAnsi="宋体" w:eastAsia="宋体"/>
          <w:sz w:val="24"/>
          <w:szCs w:val="24"/>
        </w:rPr>
      </w:r>
      <w:r/>
    </w:p>
    <w:p>
      <w:pPr>
        <w:rPr>
          <w:rFonts w:ascii="宋体" w:hAnsi="宋体" w:cs="宋体"/>
          <w:sz w:val="24"/>
          <w:szCs w:val="24"/>
        </w:rPr>
      </w:pPr>
      <w:r>
        <w:rPr>
          <w:rFonts w:ascii="宋体" w:hAnsi="宋体" w:cs="宋体"/>
          <w:sz w:val="24"/>
          <w:szCs w:val="24"/>
        </w:rPr>
      </w:r>
      <w:r/>
    </w:p>
    <w:p>
      <w:pPr>
        <w:pStyle w:val="731"/>
        <w:rPr>
          <w:rFonts w:ascii="宋体" w:hAnsi="宋体" w:eastAsia="宋体"/>
          <w:sz w:val="24"/>
          <w:szCs w:val="24"/>
        </w:rPr>
      </w:pPr>
      <w:r>
        <w:rPr>
          <w:rFonts w:ascii="宋体" w:hAnsi="宋体" w:eastAsia="宋体"/>
          <w:sz w:val="24"/>
          <w:szCs w:val="24"/>
        </w:rPr>
      </w:r>
      <w:r/>
    </w:p>
    <w:p>
      <w:pPr>
        <w:rPr>
          <w:rFonts w:ascii="宋体" w:hAnsi="宋体" w:cs="宋体"/>
          <w:sz w:val="24"/>
          <w:szCs w:val="24"/>
        </w:rPr>
      </w:pPr>
      <w:r>
        <w:rPr>
          <w:rFonts w:ascii="宋体" w:hAnsi="宋体" w:cs="宋体"/>
          <w:sz w:val="24"/>
          <w:szCs w:val="24"/>
        </w:rPr>
      </w:r>
      <w:r/>
    </w:p>
    <w:p>
      <w:pPr>
        <w:pStyle w:val="731"/>
        <w:rPr>
          <w:rFonts w:ascii="宋体" w:hAnsi="宋体" w:eastAsia="宋体"/>
          <w:sz w:val="24"/>
          <w:szCs w:val="24"/>
        </w:rPr>
      </w:pPr>
      <w:r>
        <w:rPr>
          <w:rFonts w:ascii="宋体" w:hAnsi="宋体" w:eastAsia="宋体"/>
          <w:sz w:val="24"/>
          <w:szCs w:val="24"/>
        </w:rPr>
      </w:r>
      <w:r/>
    </w:p>
    <w:p>
      <w:pPr>
        <w:rPr>
          <w:rFonts w:ascii="宋体" w:hAnsi="宋体" w:cs="宋体"/>
          <w:sz w:val="24"/>
          <w:szCs w:val="24"/>
        </w:rPr>
      </w:pPr>
      <w:r>
        <w:rPr>
          <w:rFonts w:ascii="宋体" w:hAnsi="宋体" w:cs="宋体"/>
          <w:sz w:val="24"/>
          <w:szCs w:val="24"/>
        </w:rPr>
      </w:r>
      <w:r/>
    </w:p>
    <w:p>
      <w:pPr>
        <w:ind w:firstLine="480"/>
        <w:rPr>
          <w:rFonts w:cs="宋体"/>
          <w:sz w:val="24"/>
          <w:szCs w:val="24"/>
        </w:rPr>
      </w:pPr>
      <w:r>
        <w:rPr>
          <w:rFonts w:cs="宋体"/>
          <w:sz w:val="24"/>
          <w:szCs w:val="24"/>
        </w:rPr>
      </w:r>
      <w:r/>
    </w:p>
    <w:p>
      <w:r/>
      <w:r/>
    </w:p>
    <w:p>
      <w:pPr>
        <w:ind w:right="840"/>
        <w:jc w:val="center"/>
        <w:rPr>
          <w:rFonts w:ascii="方正小标宋简体" w:hAnsi="方正小标宋简体" w:eastAsia="方正小标宋简体" w:cs="方正小标宋简体"/>
          <w:color w:val="000000"/>
          <w:sz w:val="36"/>
          <w:szCs w:val="36"/>
        </w:rPr>
      </w:pPr>
      <w:r/>
      <w:bookmarkStart w:id="187" w:name="_Toc120614281"/>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w:t>
      </w:r>
      <w:r>
        <w:rPr>
          <w:rFonts w:hint="eastAsia" w:ascii="宋体" w:hAnsi="宋体" w:cs="宋体"/>
          <w:sz w:val="24"/>
          <w:szCs w:val="24"/>
        </w:rPr>
        <w:t xml:space="preserve">中</w:t>
      </w:r>
      <w:r>
        <w:rPr>
          <w:rFonts w:ascii="宋体" w:hAnsi="宋体"/>
          <w:sz w:val="24"/>
          <w:szCs w:val="24"/>
        </w:rPr>
        <w:t xml:space="preserve">2.1、</w:t>
      </w: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3.2、3.3、</w:t>
      </w:r>
      <w:r>
        <w:rPr>
          <w:rFonts w:ascii="宋体" w:hAnsi="宋体"/>
          <w:sz w:val="24"/>
          <w:szCs w:val="24"/>
        </w:rPr>
        <w:t xml:space="preserve">3.4</w:t>
      </w:r>
      <w:r>
        <w:rPr>
          <w:rFonts w:hint="eastAsia" w:ascii="宋体" w:hAnsi="宋体" w:cs="宋体"/>
          <w:sz w:val="24"/>
          <w:szCs w:val="24"/>
        </w:rPr>
        <w:t xml:space="preserve">项”得分由高到低顺序排列。在投标文件满足招标文件全部实质性要求的供应商中，按照评审得分由高到低选取</w:t>
      </w:r>
      <w:r>
        <w:rPr>
          <w:rFonts w:ascii="宋体" w:hAnsi="宋体"/>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w:t>
      </w:r>
      <w:r>
        <w:rPr>
          <w:rFonts w:hint="eastAsia" w:ascii="黑体" w:hAnsi="黑体" w:eastAsia="黑体" w:cs="黑体"/>
          <w:sz w:val="24"/>
          <w:szCs w:val="24"/>
        </w:rPr>
        <w:t xml:space="preserve">微企业</w:t>
      </w:r>
      <w:r>
        <w:rPr>
          <w:rFonts w:hint="eastAsia" w:ascii="黑体" w:hAnsi="黑体" w:eastAsia="黑体" w:cs="黑体"/>
          <w:sz w:val="24"/>
          <w:szCs w:val="24"/>
        </w:rPr>
        <w:t xml:space="preserve">价格扣除</w:t>
      </w:r>
      <w:r/>
    </w:p>
    <w:p>
      <w:pPr>
        <w:ind w:firstLine="480"/>
        <w:spacing w:line="264" w:lineRule="auto"/>
        <w:rPr>
          <w:rFonts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w:t>
      </w:r>
      <w:r>
        <w:rPr>
          <w:rFonts w:hint="eastAsia" w:ascii="宋体" w:hAnsi="宋体" w:cs="宋体"/>
          <w:sz w:val="24"/>
          <w:szCs w:val="24"/>
          <w:lang w:val="zh-CN"/>
        </w:rPr>
        <w:t xml:space="preserve">微企业</w:t>
      </w:r>
      <w:r>
        <w:rPr>
          <w:rFonts w:hint="eastAsia" w:ascii="宋体" w:hAnsi="宋体" w:cs="宋体"/>
          <w:sz w:val="24"/>
          <w:szCs w:val="24"/>
          <w:lang w:val="zh-CN"/>
        </w:rPr>
        <w:t xml:space="preserve">承接的，</w:t>
      </w:r>
      <w:r>
        <w:rPr>
          <w:rFonts w:hint="eastAsia" w:ascii="宋体" w:hAnsi="宋体" w:cs="宋体"/>
          <w:sz w:val="24"/>
          <w:szCs w:val="24"/>
        </w:rPr>
        <w:t xml:space="preserve">对报价</w:t>
      </w:r>
      <w:r>
        <w:rPr>
          <w:rFonts w:hint="eastAsia" w:ascii="宋体" w:hAnsi="宋体" w:cs="宋体"/>
          <w:sz w:val="24"/>
          <w:szCs w:val="24"/>
        </w:rPr>
        <w:t xml:space="preserve">给予</w:t>
      </w:r>
      <w:r>
        <w:rPr>
          <w:rFonts w:hint="eastAsia" w:ascii="宋体" w:hAnsi="宋体"/>
          <w:sz w:val="24"/>
          <w:szCs w:val="24"/>
        </w:rPr>
        <w:t xml:space="preserve">1</w:t>
      </w:r>
      <w:r>
        <w:rPr>
          <w:rFonts w:hint="eastAsia" w:ascii="宋体" w:hAnsi="宋体"/>
          <w:sz w:val="24"/>
          <w:szCs w:val="24"/>
          <w:lang w:val="zh-CN"/>
        </w:rPr>
        <w:t xml:space="preserve">5%</w:t>
      </w:r>
      <w:r>
        <w:rPr>
          <w:rFonts w:hint="eastAsia" w:ascii="宋体" w:hAnsi="宋体" w:cs="宋体"/>
          <w:sz w:val="24"/>
          <w:szCs w:val="24"/>
        </w:rPr>
        <w:t xml:space="preserve">的扣</w:t>
      </w:r>
      <w:r>
        <w:rPr>
          <w:rFonts w:hint="eastAsia" w:ascii="宋体" w:hAnsi="宋体" w:cs="宋体"/>
          <w:sz w:val="24"/>
          <w:szCs w:val="24"/>
        </w:rPr>
        <w:t xml:space="preserve">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w:t>
      </w:r>
      <w:r>
        <w:rPr>
          <w:rFonts w:hint="eastAsia" w:ascii="宋体" w:hAnsi="宋体"/>
          <w:sz w:val="24"/>
          <w:szCs w:val="24"/>
        </w:rPr>
        <w:t xml:space="preserve">微企业</w:t>
      </w:r>
      <w:r>
        <w:rPr>
          <w:rFonts w:hint="eastAsia" w:ascii="宋体" w:hAnsi="宋体"/>
          <w:sz w:val="24"/>
          <w:szCs w:val="24"/>
        </w:rPr>
        <w:t xml:space="preserve">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w:t>
      </w:r>
      <w:r>
        <w:rPr>
          <w:rFonts w:hint="eastAsia" w:ascii="宋体" w:hAnsi="宋体"/>
          <w:sz w:val="24"/>
          <w:szCs w:val="24"/>
        </w:rPr>
        <w:t xml:space="preserve">微企业</w:t>
      </w:r>
      <w:r>
        <w:rPr>
          <w:rFonts w:hint="eastAsia" w:ascii="宋体" w:hAnsi="宋体"/>
          <w:sz w:val="24"/>
          <w:szCs w:val="24"/>
        </w:rPr>
        <w:t xml:space="preserve">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2"/>
        <w:spacing w:line="264" w:lineRule="auto"/>
        <w:rPr>
          <w:rFonts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ind w:firstLine="480"/>
        <w:rPr>
          <w:rFonts w:ascii="黑体" w:hAnsi="黑体" w:eastAsia="黑体" w:cs="黑体"/>
          <w:sz w:val="24"/>
          <w:szCs w:val="24"/>
        </w:rPr>
      </w:pPr>
      <w:r>
        <w:rPr>
          <w:rFonts w:hint="eastAsia" w:ascii="黑体" w:hAnsi="黑体" w:eastAsia="黑体" w:cs="黑体"/>
          <w:sz w:val="24"/>
          <w:szCs w:val="24"/>
        </w:rPr>
        <w:t xml:space="preserve">三、评</w:t>
      </w:r>
      <w:r>
        <w:rPr>
          <w:rFonts w:hint="eastAsia" w:ascii="黑体" w:hAnsi="黑体" w:eastAsia="黑体" w:cs="黑体"/>
          <w:sz w:val="24"/>
          <w:szCs w:val="24"/>
        </w:rPr>
        <w:t xml:space="preserve">标标准</w:t>
      </w:r>
      <w:r/>
    </w:p>
    <w:tbl>
      <w:tblPr>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000" w:firstRow="0" w:lastRow="0" w:firstColumn="0" w:lastColumn="0" w:noHBand="0" w:noVBand="0"/>
      </w:tblPr>
      <w:tblGrid>
        <w:gridCol w:w="519"/>
        <w:gridCol w:w="1179"/>
        <w:gridCol w:w="6330"/>
        <w:gridCol w:w="647"/>
        <w:gridCol w:w="900"/>
      </w:tblGrid>
      <w:tr>
        <w:trPr>
          <w:jc w:val="center"/>
          <w:trHeight w:val="793"/>
          <w:tblHeader/>
        </w:trPr>
        <w:tc>
          <w:tcPr>
            <w:shd w:val="clear" w:color="auto" w:fill="auto"/>
            <w:tcBorders>
              <w:top w:val="single" w:color="000000" w:sz="2" w:space="0"/>
              <w:bottom w:val="single" w:color="000000" w:sz="2" w:space="0"/>
            </w:tcBorders>
            <w:tcW w:w="519" w:type="dxa"/>
            <w:textDirection w:val="lrTb"/>
            <w:noWrap w:val="false"/>
          </w:tcPr>
          <w:p>
            <w:pPr>
              <w:jc w:val="center"/>
              <w:spacing w:before="264"/>
              <w:rPr>
                <w:rFonts w:ascii="宋体" w:hAnsi="宋体" w:cs="宋体"/>
                <w:b/>
                <w:bCs/>
                <w:spacing w:val="-2"/>
              </w:rPr>
            </w:pPr>
            <w:r>
              <w:rPr>
                <w:rFonts w:ascii="宋体" w:hAnsi="宋体" w:cs="宋体"/>
                <w:b/>
                <w:bCs/>
                <w:spacing w:val="-2"/>
              </w:rPr>
              <w:t xml:space="preserve">序号</w:t>
            </w:r>
            <w:r/>
          </w:p>
        </w:tc>
        <w:tc>
          <w:tcPr>
            <w:shd w:val="clear" w:color="auto" w:fill="auto"/>
            <w:tcBorders>
              <w:top w:val="single" w:color="000000" w:sz="2" w:space="0"/>
              <w:bottom w:val="single" w:color="000000" w:sz="2" w:space="0"/>
            </w:tcBorders>
            <w:tcW w:w="1179" w:type="dxa"/>
            <w:textDirection w:val="lrTb"/>
            <w:noWrap w:val="false"/>
          </w:tcPr>
          <w:p>
            <w:pPr>
              <w:jc w:val="center"/>
              <w:spacing w:before="264"/>
              <w:rPr>
                <w:rFonts w:ascii="宋体" w:hAnsi="宋体" w:cs="宋体"/>
                <w:b/>
                <w:bCs/>
                <w:spacing w:val="-2"/>
              </w:rPr>
            </w:pPr>
            <w:r>
              <w:rPr>
                <w:rFonts w:ascii="宋体" w:hAnsi="宋体" w:cs="宋体"/>
                <w:b/>
                <w:bCs/>
                <w:spacing w:val="-2"/>
              </w:rPr>
              <w:t xml:space="preserve">评审因素</w:t>
            </w:r>
            <w:r/>
          </w:p>
        </w:tc>
        <w:tc>
          <w:tcPr>
            <w:shd w:val="clear" w:color="auto" w:fill="auto"/>
            <w:tcBorders>
              <w:top w:val="single" w:color="000000" w:sz="2" w:space="0"/>
              <w:bottom w:val="single" w:color="000000" w:sz="2" w:space="0"/>
            </w:tcBorders>
            <w:tcW w:w="6330" w:type="dxa"/>
            <w:textDirection w:val="lrTb"/>
            <w:noWrap w:val="false"/>
          </w:tcPr>
          <w:p>
            <w:pPr>
              <w:jc w:val="center"/>
              <w:spacing w:before="264"/>
              <w:rPr>
                <w:rFonts w:ascii="宋体" w:hAnsi="宋体" w:cs="宋体"/>
                <w:b/>
                <w:bCs/>
                <w:spacing w:val="-2"/>
              </w:rPr>
            </w:pPr>
            <w:r>
              <w:rPr>
                <w:rFonts w:ascii="宋体" w:hAnsi="宋体" w:cs="宋体"/>
                <w:b/>
                <w:bCs/>
                <w:spacing w:val="-2"/>
              </w:rPr>
              <w:t xml:space="preserve">评审细则</w:t>
            </w:r>
            <w:r/>
          </w:p>
        </w:tc>
        <w:tc>
          <w:tcPr>
            <w:shd w:val="clear" w:color="auto" w:fill="auto"/>
            <w:tcBorders>
              <w:top w:val="single" w:color="000000" w:sz="2" w:space="0"/>
              <w:bottom w:val="single" w:color="000000" w:sz="2" w:space="0"/>
            </w:tcBorders>
            <w:tcW w:w="647" w:type="dxa"/>
            <w:textDirection w:val="lrTb"/>
            <w:noWrap w:val="false"/>
          </w:tcPr>
          <w:p>
            <w:pPr>
              <w:jc w:val="center"/>
              <w:spacing w:before="264"/>
              <w:rPr>
                <w:rFonts w:ascii="宋体" w:hAnsi="宋体" w:cs="宋体"/>
                <w:b/>
                <w:bCs/>
                <w:spacing w:val="-2"/>
              </w:rPr>
            </w:pPr>
            <w:r>
              <w:rPr>
                <w:rFonts w:ascii="宋体" w:hAnsi="宋体" w:cs="宋体"/>
                <w:b/>
                <w:bCs/>
                <w:spacing w:val="-2"/>
              </w:rPr>
              <w:t xml:space="preserve">分值</w:t>
            </w:r>
            <w:r/>
          </w:p>
        </w:tc>
        <w:tc>
          <w:tcPr>
            <w:shd w:val="clear" w:color="auto" w:fill="auto"/>
            <w:tcBorders>
              <w:top w:val="single" w:color="000000" w:sz="2" w:space="0"/>
              <w:bottom w:val="single" w:color="000000" w:sz="2" w:space="0"/>
            </w:tcBorders>
            <w:tcW w:w="900" w:type="dxa"/>
            <w:textDirection w:val="lrTb"/>
            <w:noWrap w:val="false"/>
          </w:tcPr>
          <w:p>
            <w:pPr>
              <w:jc w:val="center"/>
              <w:spacing w:before="264"/>
              <w:rPr>
                <w:rFonts w:ascii="宋体" w:hAnsi="宋体" w:cs="宋体"/>
                <w:b/>
                <w:bCs/>
                <w:spacing w:val="-2"/>
              </w:rPr>
            </w:pPr>
            <w:r>
              <w:rPr>
                <w:rFonts w:ascii="宋体" w:hAnsi="宋体" w:cs="宋体"/>
                <w:b/>
                <w:bCs/>
                <w:spacing w:val="-2"/>
              </w:rPr>
              <w:t xml:space="preserve">类型</w:t>
            </w:r>
            <w:r/>
          </w:p>
        </w:tc>
      </w:tr>
      <w:tr>
        <w:trPr>
          <w:jc w:val="center"/>
          <w:trHeight w:val="460"/>
        </w:trPr>
        <w:tc>
          <w:tcPr>
            <w:gridSpan w:val="5"/>
            <w:shd w:val="clear" w:color="auto" w:fill="auto"/>
            <w:tcBorders>
              <w:top w:val="single" w:color="000000" w:sz="2" w:space="0"/>
              <w:bottom w:val="single" w:color="000000" w:sz="2" w:space="0"/>
            </w:tcBorders>
            <w:tcW w:w="9575" w:type="dxa"/>
            <w:textDirection w:val="lrTb"/>
            <w:noWrap w:val="false"/>
          </w:tcPr>
          <w:p>
            <w:pPr>
              <w:ind w:left="114"/>
              <w:spacing w:before="122"/>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1030"/>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rPr>
            </w:pPr>
            <w:r>
              <w:rPr>
                <w:rFonts w:ascii="宋体" w:hAnsi="宋体" w:cs="宋体"/>
                <w:spacing w:val="-6"/>
              </w:rPr>
              <w:t xml:space="preserve">1</w:t>
            </w:r>
            <w:r>
              <w:rPr>
                <w:rFonts w:ascii="宋体" w:hAnsi="宋体" w:cs="宋体"/>
                <w:spacing w:val="-5"/>
              </w:rPr>
              <w:t xml:space="preserve">.1</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rPr>
                <w:rFonts w:ascii="宋体" w:hAnsi="宋体" w:cs="宋体"/>
              </w:rPr>
            </w:pPr>
            <w:r>
              <w:rPr>
                <w:rFonts w:ascii="宋体" w:hAnsi="宋体" w:cs="宋体"/>
                <w:spacing w:val="-2"/>
              </w:rPr>
              <w:t xml:space="preserve">价格分</w:t>
            </w:r>
            <w:r/>
          </w:p>
        </w:tc>
        <w:tc>
          <w:tcPr>
            <w:shd w:val="clear" w:color="auto" w:fill="auto"/>
            <w:tcBorders>
              <w:top w:val="single" w:color="000000" w:sz="2" w:space="0"/>
              <w:bottom w:val="single" w:color="000000" w:sz="2" w:space="0"/>
            </w:tcBorders>
            <w:tcW w:w="6330" w:type="dxa"/>
            <w:vAlign w:val="center"/>
            <w:textDirection w:val="lrTb"/>
            <w:noWrap w:val="false"/>
          </w:tcPr>
          <w:p>
            <w:pPr>
              <w:jc w:val="left"/>
            </w:pPr>
            <w:r>
              <w:t xml:space="preserve">采用低价优先法计算，即满足招标文件要求且投标价格最低的投标报价为评标基准价，其价格分为满分。其他投标人的价格</w:t>
            </w:r>
            <w:r>
              <w:t xml:space="preserve">分统一</w:t>
            </w:r>
            <w:r>
              <w:t xml:space="preserve">按照下列公式计算：投标报价得分</w:t>
            </w:r>
            <w:r>
              <w:t xml:space="preserve">=(</w:t>
            </w:r>
            <w:r>
              <w:t xml:space="preserve">评标基准价</w:t>
            </w:r>
            <w:r>
              <w:t xml:space="preserve">/</w:t>
            </w:r>
            <w:r>
              <w:t xml:space="preserve">投标报价</w:t>
            </w:r>
            <w:r>
              <w:t xml:space="preserve">)×</w:t>
            </w:r>
            <w:r>
              <w:rPr>
                <w:rFonts w:hint="eastAsia"/>
              </w:rPr>
              <w:t xml:space="preserve">15</w:t>
            </w:r>
            <w:r>
              <w:rPr>
                <w:rFonts w:hint="eastAsia"/>
              </w:rPr>
              <w:t xml:space="preserve">（小数点保留两位）</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rPr>
                <w:rFonts w:ascii="宋体" w:hAnsi="宋体" w:cs="宋体"/>
              </w:rPr>
            </w:pPr>
            <w:r>
              <w:rPr>
                <w:rFonts w:hint="eastAsia" w:ascii="宋体" w:hAnsi="宋体" w:cs="宋体"/>
              </w:rPr>
              <w:t xml:space="preserve">15</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rPr>
                <w:rFonts w:ascii="宋体" w:hAnsi="宋体" w:cs="宋体"/>
              </w:rPr>
            </w:pPr>
            <w:r>
              <w:rPr>
                <w:rFonts w:hint="eastAsia" w:ascii="宋体" w:hAnsi="宋体" w:cs="宋体"/>
              </w:rPr>
              <w:t xml:space="preserve">价格分</w:t>
            </w:r>
            <w:r/>
          </w:p>
        </w:tc>
      </w:tr>
      <w:tr>
        <w:trPr>
          <w:jc w:val="center"/>
          <w:trHeight w:val="460"/>
        </w:trPr>
        <w:tc>
          <w:tcPr>
            <w:gridSpan w:val="5"/>
            <w:shd w:val="clear" w:color="auto" w:fill="auto"/>
            <w:tcBorders>
              <w:top w:val="single" w:color="000000" w:sz="2" w:space="0"/>
              <w:bottom w:val="single" w:color="000000" w:sz="2" w:space="0"/>
            </w:tcBorders>
            <w:tcW w:w="9575" w:type="dxa"/>
            <w:textDirection w:val="lrTb"/>
            <w:noWrap w:val="false"/>
          </w:tcPr>
          <w:p>
            <w:pPr>
              <w:ind w:left="114"/>
              <w:spacing w:before="123"/>
              <w:rPr>
                <w:rFonts w:ascii="宋体" w:hAnsi="宋体" w:cs="宋体"/>
              </w:rPr>
            </w:pPr>
            <w:r>
              <w:rPr>
                <w:rFonts w:hint="eastAsia" w:ascii="宋体" w:hAnsi="宋体" w:cs="宋体"/>
                <w:b/>
                <w:bCs/>
                <w:spacing w:val="-3"/>
              </w:rPr>
              <w:t xml:space="preserve">2.技术</w:t>
            </w:r>
            <w:r/>
          </w:p>
        </w:tc>
      </w:tr>
      <w:tr>
        <w:trPr>
          <w:jc w:val="center"/>
          <w:trHeight w:val="479"/>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ascii="宋体" w:hAnsi="宋体" w:cs="宋体"/>
                <w:spacing w:val="-2"/>
              </w:rPr>
              <w:t xml:space="preserve">2.1</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rPr>
                <w:rFonts w:ascii="宋体" w:hAnsi="宋体" w:cs="宋体"/>
                <w:spacing w:val="-2"/>
              </w:rPr>
            </w:pPr>
            <w:r>
              <w:rPr>
                <w:rFonts w:hint="eastAsia"/>
              </w:rPr>
              <w:t xml:space="preserve">产品</w:t>
            </w:r>
            <w:r>
              <w:t xml:space="preserve">技术参数</w:t>
            </w:r>
            <w:r/>
          </w:p>
        </w:tc>
        <w:tc>
          <w:tcPr>
            <w:shd w:val="clear" w:color="auto" w:fill="auto"/>
            <w:tcBorders>
              <w:top w:val="single" w:color="000000" w:sz="2" w:space="0"/>
              <w:bottom w:val="single" w:color="000000" w:sz="2" w:space="0"/>
            </w:tcBorders>
            <w:tcW w:w="6330" w:type="dxa"/>
            <w:vAlign w:val="center"/>
            <w:textDirection w:val="lrTb"/>
            <w:noWrap w:val="false"/>
          </w:tcPr>
          <w:p>
            <w:pPr>
              <w:jc w:val="left"/>
              <w:rPr>
                <w:rFonts w:ascii="宋体" w:hAnsi="宋体" w:cs="宋体"/>
              </w:rPr>
            </w:pPr>
            <w:r>
              <w:rPr>
                <w:rFonts w:hint="eastAsia" w:ascii="宋体" w:hAnsi="宋体" w:cs="宋体"/>
              </w:rPr>
              <w:t xml:space="preserve">产品</w:t>
            </w:r>
            <w:r>
              <w:rPr>
                <w:rFonts w:ascii="宋体" w:hAnsi="宋体" w:cs="宋体"/>
              </w:rPr>
              <w:t xml:space="preserve">技术参数全部满足招标要求的得满分；打★指标为必须满足项，如有负偏离将作为无效投标；打▲指标为重要指标，有</w:t>
            </w:r>
            <w:r>
              <w:rPr>
                <w:rFonts w:hint="eastAsia" w:ascii="宋体" w:hAnsi="宋体" w:cs="宋体"/>
              </w:rPr>
              <w:t xml:space="preserve">1</w:t>
            </w:r>
            <w:r>
              <w:rPr>
                <w:rFonts w:ascii="宋体" w:hAnsi="宋体" w:cs="宋体"/>
              </w:rPr>
              <w:t xml:space="preserve">项负偏离扣</w:t>
            </w:r>
            <w:r>
              <w:rPr>
                <w:rFonts w:hint="eastAsia" w:ascii="宋体" w:hAnsi="宋体" w:cs="宋体"/>
              </w:rPr>
              <w:t xml:space="preserve">3</w:t>
            </w:r>
            <w:r>
              <w:rPr>
                <w:rFonts w:ascii="宋体" w:hAnsi="宋体" w:cs="宋体"/>
              </w:rPr>
              <w:t xml:space="preserve">分；其余指标</w:t>
            </w:r>
            <w:r>
              <w:rPr>
                <w:rFonts w:hint="eastAsia" w:ascii="宋体" w:hAnsi="宋体" w:cs="宋体"/>
              </w:rPr>
              <w:t xml:space="preserve">，</w:t>
            </w:r>
            <w:r>
              <w:rPr>
                <w:rFonts w:ascii="宋体" w:hAnsi="宋体" w:cs="宋体"/>
              </w:rPr>
              <w:t xml:space="preserve">有</w:t>
            </w:r>
            <w:r>
              <w:rPr>
                <w:rFonts w:hint="eastAsia" w:ascii="宋体" w:hAnsi="宋体" w:cs="宋体"/>
              </w:rPr>
              <w:t xml:space="preserve">1</w:t>
            </w:r>
            <w:r>
              <w:rPr>
                <w:rFonts w:ascii="宋体" w:hAnsi="宋体" w:cs="宋体"/>
              </w:rPr>
              <w:t xml:space="preserve">项负偏离扣</w:t>
            </w:r>
            <w:r>
              <w:rPr>
                <w:rFonts w:ascii="宋体" w:hAnsi="宋体" w:cs="宋体"/>
              </w:rPr>
              <w:t xml:space="preserve">2</w:t>
            </w:r>
            <w:r>
              <w:rPr>
                <w:rFonts w:ascii="宋体" w:hAnsi="宋体" w:cs="宋体"/>
              </w:rPr>
              <w:t xml:space="preserve">分，扣完</w:t>
            </w:r>
            <w:r>
              <w:rPr>
                <w:rFonts w:ascii="宋体" w:hAnsi="宋体" w:cs="宋体"/>
              </w:rPr>
              <w:t xml:space="preserve">为止。</w:t>
            </w:r>
            <w:r/>
          </w:p>
          <w:p>
            <w:pPr>
              <w:jc w:val="left"/>
            </w:pPr>
            <w:r>
              <w:rPr>
                <w:rFonts w:hint="eastAsia"/>
              </w:rPr>
              <w:t xml:space="preserve">供应商提供《技术要求响应及偏离表》（表格中需详</w:t>
            </w:r>
            <w:r>
              <w:rPr>
                <w:rFonts w:hint="eastAsia"/>
              </w:rPr>
              <w:t xml:space="preserve">细阐述每一项参数的投标响应情况，并以醒目方式标注各参数）。</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rPr>
                <w:rFonts w:ascii="宋体" w:hAnsi="宋体" w:cs="宋体"/>
              </w:rPr>
            </w:pPr>
            <w:r>
              <w:rPr>
                <w:rFonts w:ascii="宋体" w:hAnsi="宋体" w:cs="宋体"/>
              </w:rPr>
              <w:t xml:space="preserve">30</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472"/>
        </w:trPr>
        <w:tc>
          <w:tcPr>
            <w:gridSpan w:val="5"/>
            <w:shd w:val="clear" w:color="auto" w:fill="auto"/>
            <w:tcBorders>
              <w:top w:val="single" w:color="000000" w:sz="2" w:space="0"/>
              <w:bottom w:val="single" w:color="000000" w:sz="2" w:space="0"/>
            </w:tcBorders>
            <w:tcW w:w="9575" w:type="dxa"/>
            <w:vAlign w:val="center"/>
            <w:textDirection w:val="lrTb"/>
            <w:noWrap w:val="false"/>
          </w:tcPr>
          <w:p>
            <w:pPr>
              <w:spacing w:before="68"/>
              <w:rPr>
                <w:rFonts w:ascii="宋体" w:hAnsi="宋体" w:cs="宋体"/>
              </w:rPr>
            </w:pPr>
            <w:r>
              <w:rPr>
                <w:rFonts w:hint="eastAsia" w:ascii="宋体" w:hAnsi="宋体" w:cs="宋体"/>
                <w:b/>
                <w:bCs/>
                <w:spacing w:val="-3"/>
              </w:rPr>
              <w:t xml:space="preserve">3.服务</w:t>
            </w:r>
            <w:r/>
          </w:p>
        </w:tc>
      </w:tr>
      <w:tr>
        <w:trPr>
          <w:jc w:val="center"/>
          <w:trHeight w:val="315"/>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hint="eastAsia" w:ascii="宋体" w:hAnsi="宋体" w:cs="宋体"/>
                <w:spacing w:val="-2"/>
              </w:rPr>
              <w:t xml:space="preserve">3</w:t>
            </w:r>
            <w:r>
              <w:rPr>
                <w:rFonts w:ascii="宋体" w:hAnsi="宋体" w:cs="宋体"/>
                <w:spacing w:val="-2"/>
              </w:rPr>
              <w:t xml:space="preserve">.</w:t>
            </w:r>
            <w:r>
              <w:rPr>
                <w:rFonts w:hint="eastAsia" w:ascii="宋体" w:hAnsi="宋体" w:cs="宋体"/>
                <w:spacing w:val="-2"/>
              </w:rPr>
              <w:t xml:space="preserve">1</w:t>
            </w:r>
            <w:r/>
          </w:p>
        </w:tc>
        <w:tc>
          <w:tcPr>
            <w:shd w:val="clear" w:color="auto" w:fill="auto"/>
            <w:tcBorders>
              <w:top w:val="single" w:color="000000" w:sz="2" w:space="0"/>
              <w:bottom w:val="single" w:color="000000" w:sz="2" w:space="0"/>
            </w:tcBorders>
            <w:tcW w:w="1179" w:type="dxa"/>
            <w:vAlign w:val="center"/>
            <w:textDirection w:val="lrTb"/>
            <w:noWrap w:val="false"/>
          </w:tcPr>
          <w:p>
            <w:pPr>
              <w:rPr>
                <w:color w:val="0000ff"/>
              </w:rPr>
            </w:pPr>
            <w:r>
              <w:rPr>
                <w:rFonts w:hint="eastAsia"/>
              </w:rPr>
              <w:t xml:space="preserve">整体服务方案</w:t>
            </w:r>
            <w:r/>
          </w:p>
        </w:tc>
        <w:tc>
          <w:tcPr>
            <w:shd w:val="clear" w:color="auto" w:fill="auto"/>
            <w:tcBorders>
              <w:top w:val="single" w:color="000000" w:sz="2" w:space="0"/>
              <w:bottom w:val="single" w:color="000000" w:sz="2" w:space="0"/>
            </w:tcBorders>
            <w:tcW w:w="6330" w:type="dxa"/>
            <w:vAlign w:val="center"/>
            <w:textDirection w:val="lrTb"/>
            <w:noWrap w:val="false"/>
          </w:tcPr>
          <w:p>
            <w:pPr>
              <w:rPr>
                <w:rFonts w:ascii="宋体" w:hAnsi="宋体" w:cs="宋体"/>
              </w:rPr>
            </w:pPr>
            <w:r>
              <w:rPr>
                <w:rFonts w:hint="eastAsia" w:ascii="宋体" w:hAnsi="宋体" w:cs="宋体"/>
              </w:rPr>
              <w:t xml:space="preserve">根据采购文件要求及投标人提供的整体服务方案情况，进行综合评分：</w:t>
            </w:r>
            <w:r/>
          </w:p>
          <w:p>
            <w:pPr>
              <w:rPr>
                <w:rFonts w:ascii="宋体" w:hAnsi="宋体" w:cs="宋体"/>
              </w:rPr>
            </w:pPr>
            <w:r>
              <w:rPr>
                <w:rFonts w:hint="eastAsia" w:ascii="宋体" w:hAnsi="宋体" w:cs="宋体"/>
              </w:rPr>
              <w:t xml:space="preserve">1、对本项目特点和难点理解准确，并提供高效解决措施，完整详细，可行性、实用性、针对性强，得</w:t>
            </w:r>
            <w:r>
              <w:rPr>
                <w:rFonts w:ascii="宋体" w:hAnsi="宋体" w:cs="宋体"/>
              </w:rPr>
              <w:t xml:space="preserve">10</w:t>
            </w:r>
            <w:r>
              <w:rPr>
                <w:rFonts w:hint="eastAsia" w:ascii="宋体" w:hAnsi="宋体" w:cs="宋体"/>
              </w:rPr>
              <w:t xml:space="preserve">分；</w:t>
            </w:r>
            <w:r/>
          </w:p>
          <w:p>
            <w:pPr>
              <w:rPr>
                <w:rFonts w:ascii="宋体" w:hAnsi="宋体" w:cs="宋体"/>
              </w:rPr>
            </w:pPr>
            <w:r>
              <w:rPr>
                <w:rFonts w:hint="eastAsia" w:ascii="宋体" w:hAnsi="宋体" w:cs="宋体"/>
              </w:rPr>
              <w:t xml:space="preserve">2、对本项目特点和难点理解基本准确，并提供了基本解决措施，内容</w:t>
            </w:r>
            <w:r>
              <w:rPr>
                <w:rFonts w:hint="eastAsia" w:ascii="宋体" w:hAnsi="宋体" w:cs="宋体"/>
              </w:rPr>
              <w:t xml:space="preserve">较</w:t>
            </w:r>
            <w:r>
              <w:rPr>
                <w:rFonts w:hint="eastAsia" w:ascii="宋体" w:hAnsi="宋体" w:cs="宋体"/>
              </w:rPr>
              <w:t xml:space="preserve">完整，可行性、实用性、</w:t>
            </w:r>
            <w:r>
              <w:rPr>
                <w:rFonts w:hint="eastAsia" w:ascii="宋体" w:hAnsi="宋体" w:cs="宋体"/>
              </w:rPr>
              <w:t xml:space="preserve">针对性较好的，得</w:t>
            </w:r>
            <w:r>
              <w:rPr>
                <w:rFonts w:ascii="宋体" w:hAnsi="宋体" w:cs="宋体"/>
              </w:rPr>
              <w:t xml:space="preserve">7</w:t>
            </w:r>
            <w:r>
              <w:rPr>
                <w:rFonts w:hint="eastAsia" w:ascii="宋体" w:hAnsi="宋体" w:cs="宋体"/>
              </w:rPr>
              <w:t xml:space="preserve">分；</w:t>
            </w:r>
            <w:r/>
          </w:p>
          <w:p>
            <w:pPr>
              <w:rPr>
                <w:rFonts w:ascii="宋体" w:hAnsi="宋体" w:cs="宋体"/>
              </w:rPr>
            </w:pPr>
            <w:r>
              <w:rPr>
                <w:rFonts w:ascii="宋体" w:hAnsi="宋体" w:cs="宋体"/>
              </w:rPr>
              <w:t xml:space="preserve">3</w:t>
            </w:r>
            <w:r>
              <w:rPr>
                <w:rFonts w:hint="eastAsia" w:ascii="宋体" w:hAnsi="宋体" w:cs="宋体"/>
              </w:rPr>
              <w:t xml:space="preserve">、对本项目特点和难点理解基本准确，并提供了基本解决措施，内容完整，可行性、实用性、针对性不足的，得</w:t>
            </w:r>
            <w:r>
              <w:rPr>
                <w:rFonts w:ascii="宋体" w:hAnsi="宋体" w:cs="宋体"/>
              </w:rPr>
              <w:t xml:space="preserve">4</w:t>
            </w:r>
            <w:r>
              <w:rPr>
                <w:rFonts w:hint="eastAsia" w:ascii="宋体" w:hAnsi="宋体" w:cs="宋体"/>
              </w:rPr>
              <w:t xml:space="preserve">分；</w:t>
            </w:r>
            <w:r/>
          </w:p>
          <w:p>
            <w:pPr>
              <w:rPr>
                <w:rFonts w:ascii="宋体" w:hAnsi="宋体" w:cs="宋体"/>
              </w:rPr>
            </w:pPr>
            <w:r>
              <w:rPr>
                <w:rFonts w:ascii="宋体" w:hAnsi="宋体" w:cs="宋体"/>
              </w:rPr>
              <w:t xml:space="preserve">4</w:t>
            </w:r>
            <w:r>
              <w:rPr>
                <w:rFonts w:hint="eastAsia" w:ascii="宋体" w:hAnsi="宋体" w:cs="宋体"/>
              </w:rPr>
              <w:t xml:space="preserve">、对本项目特点和难点理解有待提升，或未提供解决措施，可行性、实用性、针对性有较大缺陷的，</w:t>
            </w:r>
            <w:r>
              <w:rPr>
                <w:rFonts w:hint="eastAsia" w:ascii="宋体" w:hAnsi="宋体" w:cs="宋体"/>
              </w:rPr>
              <w:t xml:space="preserve">得 1 分；</w:t>
            </w:r>
            <w:r/>
          </w:p>
          <w:p>
            <w:pPr>
              <w:pStyle w:val="684"/>
              <w:rPr>
                <w:sz w:val="21"/>
              </w:rPr>
            </w:pPr>
            <w:r>
              <w:rPr>
                <w:rFonts w:ascii="宋体" w:hAnsi="宋体" w:cs="宋体"/>
              </w:rPr>
              <w:t xml:space="preserve">5</w:t>
            </w:r>
            <w:r>
              <w:rPr>
                <w:rFonts w:hint="eastAsia" w:ascii="宋体" w:hAnsi="宋体" w:cs="宋体"/>
              </w:rPr>
              <w:t xml:space="preserve">、方案不可行或者未提供得0分。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rPr>
                <w:rFonts w:ascii="宋体" w:hAnsi="宋体" w:cs="宋体"/>
              </w:rPr>
            </w:pPr>
            <w:r>
              <w:rPr>
                <w:rFonts w:ascii="宋体" w:hAnsi="宋体" w:cs="宋体"/>
              </w:rPr>
              <w:t xml:space="preserve">10</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rPr>
                <w:rFonts w:ascii="宋体" w:hAnsi="宋体" w:cs="宋体"/>
              </w:rPr>
            </w:pPr>
            <w:r>
              <w:rPr>
                <w:rFonts w:hint="eastAsia" w:ascii="宋体" w:hAnsi="宋体" w:cs="宋体"/>
                <w:spacing w:val="-4"/>
              </w:rPr>
              <w:t xml:space="preserve">主观分</w:t>
            </w:r>
            <w:r/>
          </w:p>
        </w:tc>
      </w:tr>
      <w:tr>
        <w:trPr>
          <w:jc w:val="center"/>
          <w:trHeight w:val="315"/>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hint="eastAsia" w:ascii="宋体" w:hAnsi="宋体" w:cs="宋体"/>
                <w:spacing w:val="-2"/>
              </w:rPr>
              <w:t xml:space="preserve">3</w:t>
            </w:r>
            <w:r>
              <w:rPr>
                <w:rFonts w:hint="eastAsia" w:ascii="宋体" w:hAnsi="宋体" w:cs="宋体"/>
                <w:spacing w:val="-2"/>
              </w:rPr>
              <w:t xml:space="preserve">.</w:t>
            </w:r>
            <w:r>
              <w:rPr>
                <w:rFonts w:hint="eastAsia" w:ascii="宋体" w:hAnsi="宋体" w:cs="宋体"/>
                <w:spacing w:val="-2"/>
              </w:rPr>
              <w:t xml:space="preserve">2</w:t>
            </w:r>
            <w:r/>
          </w:p>
        </w:tc>
        <w:tc>
          <w:tcPr>
            <w:shd w:val="clear" w:color="auto" w:fill="auto"/>
            <w:tcBorders>
              <w:top w:val="single" w:color="000000" w:sz="2" w:space="0"/>
              <w:bottom w:val="single" w:color="000000" w:sz="2" w:space="0"/>
            </w:tcBorders>
            <w:tcW w:w="1179" w:type="dxa"/>
            <w:vAlign w:val="center"/>
            <w:textDirection w:val="lrTb"/>
            <w:noWrap w:val="false"/>
          </w:tcPr>
          <w:p>
            <w:pPr>
              <w:rPr>
                <w:color w:val="0000ff"/>
              </w:rPr>
            </w:pPr>
            <w:r>
              <w:rPr>
                <w:rFonts w:hint="eastAsia"/>
              </w:rPr>
              <w:t xml:space="preserve">重点区域餐饮企业净化器运行状态在线监测服</w:t>
            </w:r>
            <w:r>
              <w:rPr>
                <w:rFonts w:hint="eastAsia"/>
              </w:rPr>
              <w:t xml:space="preserve">务服务方案</w:t>
            </w:r>
            <w:r/>
          </w:p>
        </w:tc>
        <w:tc>
          <w:tcPr>
            <w:shd w:val="clear" w:color="auto" w:fill="auto"/>
            <w:tcBorders>
              <w:top w:val="single" w:color="000000" w:sz="2" w:space="0"/>
              <w:bottom w:val="single" w:color="000000" w:sz="2" w:space="0"/>
            </w:tcBorders>
            <w:tcW w:w="6330" w:type="dxa"/>
            <w:vAlign w:val="center"/>
            <w:textDirection w:val="lrTb"/>
            <w:noWrap w:val="false"/>
          </w:tcPr>
          <w:p>
            <w:pPr>
              <w:jc w:val="left"/>
            </w:pPr>
            <w:r>
              <w:rPr>
                <w:rFonts w:hint="eastAsia"/>
              </w:rPr>
              <w:t xml:space="preserve">根据采购文件要求及投标人提供的重点区域餐饮企业净化器运行状态在线监测服务服务方案情况，进行综合评分：</w:t>
            </w:r>
            <w:r/>
          </w:p>
          <w:p>
            <w:pPr>
              <w:jc w:val="left"/>
            </w:pPr>
            <w:r>
              <w:rPr>
                <w:rFonts w:hint="eastAsia"/>
              </w:rPr>
              <w:t xml:space="preserve">1</w:t>
            </w:r>
            <w:r>
              <w:rPr>
                <w:rFonts w:hint="eastAsia"/>
              </w:rPr>
              <w:t xml:space="preserve">、服务内容完整详细，响应时间、备件管理和保障措施可行性、实用性、针对性强，得</w:t>
            </w:r>
            <w:r>
              <w:t xml:space="preserve">10</w:t>
            </w:r>
            <w:r>
              <w:rPr>
                <w:rFonts w:hint="eastAsia"/>
              </w:rPr>
              <w:t xml:space="preserve">分；</w:t>
            </w:r>
            <w:r/>
          </w:p>
          <w:p>
            <w:pPr>
              <w:jc w:val="left"/>
            </w:pPr>
            <w:r>
              <w:rPr>
                <w:rFonts w:hint="eastAsia"/>
              </w:rPr>
              <w:t xml:space="preserve">2</w:t>
            </w:r>
            <w:r>
              <w:rPr>
                <w:rFonts w:hint="eastAsia"/>
              </w:rPr>
              <w:t xml:space="preserve">、服务内容较完整，响应时间、备件管理和保障措施可行性、实用性、针对性较好的，得</w:t>
            </w:r>
            <w:r>
              <w:t xml:space="preserve">7</w:t>
            </w:r>
            <w:r>
              <w:rPr>
                <w:rFonts w:hint="eastAsia"/>
              </w:rPr>
              <w:t xml:space="preserve">分；</w:t>
            </w:r>
            <w:r/>
          </w:p>
          <w:p>
            <w:pPr>
              <w:jc w:val="left"/>
            </w:pPr>
            <w:r>
              <w:rPr>
                <w:rFonts w:hint="eastAsia"/>
              </w:rPr>
              <w:t xml:space="preserve">3</w:t>
            </w:r>
            <w:r>
              <w:rPr>
                <w:rFonts w:hint="eastAsia"/>
              </w:rPr>
              <w:t xml:space="preserve">、服务内容较完整，响应时间、备件管理和保障措施的可行性、实用性、针对性不足的，得</w:t>
            </w:r>
            <w:r>
              <w:t xml:space="preserve">4</w:t>
            </w:r>
            <w:r>
              <w:rPr>
                <w:rFonts w:hint="eastAsia"/>
              </w:rPr>
              <w:t xml:space="preserve">分；</w:t>
            </w:r>
            <w:r/>
          </w:p>
          <w:p>
            <w:pPr>
              <w:jc w:val="left"/>
            </w:pPr>
            <w:r>
              <w:t xml:space="preserve">4</w:t>
            </w:r>
            <w:r>
              <w:rPr>
                <w:rFonts w:hint="eastAsia"/>
              </w:rPr>
              <w:t xml:space="preserve">、服务内容、响应时间、备件管理和保证措施可行性、实用性、针对性有</w:t>
            </w:r>
            <w:r>
              <w:rPr>
                <w:rFonts w:hint="eastAsia" w:ascii="宋体" w:hAnsi="宋体" w:cs="宋体"/>
              </w:rPr>
              <w:t xml:space="preserve">较大缺陷</w:t>
            </w:r>
            <w:r>
              <w:rPr>
                <w:rFonts w:hint="eastAsia"/>
              </w:rPr>
              <w:t xml:space="preserve">的，得</w:t>
            </w:r>
            <w:r>
              <w:rPr>
                <w:rFonts w:hint="eastAsia"/>
              </w:rPr>
              <w:t xml:space="preserve"> 1 </w:t>
            </w:r>
            <w:r>
              <w:rPr>
                <w:rFonts w:hint="eastAsia"/>
              </w:rPr>
              <w:t xml:space="preserve">分；</w:t>
            </w:r>
            <w:r/>
          </w:p>
          <w:p>
            <w:r>
              <w:t xml:space="preserve">5</w:t>
            </w:r>
            <w:r>
              <w:rPr>
                <w:rFonts w:hint="eastAsia"/>
              </w:rPr>
              <w:t xml:space="preserve">、方案不可行或者未提供得</w:t>
            </w:r>
            <w:r>
              <w:rPr>
                <w:rFonts w:hint="eastAsia"/>
              </w:rPr>
              <w:t xml:space="preserve">0</w:t>
            </w:r>
            <w:r>
              <w:rPr>
                <w:rFonts w:hint="eastAsia"/>
              </w:rPr>
              <w:t xml:space="preserve">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rPr>
                <w:rFonts w:ascii="宋体" w:hAnsi="宋体" w:cs="宋体"/>
              </w:rPr>
            </w:pPr>
            <w:r>
              <w:rPr>
                <w:rFonts w:ascii="宋体" w:hAnsi="宋体" w:cs="宋体"/>
              </w:rPr>
              <w:t xml:space="preserve">10</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rPr>
                <w:rFonts w:ascii="宋体" w:hAnsi="宋体" w:cs="宋体"/>
              </w:rPr>
            </w:pPr>
            <w:r>
              <w:rPr>
                <w:rFonts w:hint="eastAsia" w:ascii="宋体" w:hAnsi="宋体" w:cs="宋体"/>
                <w:spacing w:val="-4"/>
              </w:rPr>
              <w:t xml:space="preserve">主观分</w:t>
            </w:r>
            <w:r/>
          </w:p>
        </w:tc>
      </w:tr>
      <w:tr>
        <w:trPr>
          <w:jc w:val="center"/>
          <w:trHeight w:val="889"/>
        </w:trPr>
        <w:tc>
          <w:tcPr>
            <w:shd w:val="clear" w:color="auto" w:fill="auto"/>
            <w:tcBorders>
              <w:top w:val="single" w:color="000000" w:sz="2" w:space="0"/>
              <w:bottom w:val="single" w:color="000000" w:sz="2" w:space="0"/>
            </w:tcBorders>
            <w:tcW w:w="519" w:type="dxa"/>
            <w:vAlign w:val="center"/>
            <w:textDirection w:val="lrTb"/>
            <w:noWrap w:val="false"/>
          </w:tcPr>
          <w:p>
            <w:pPr>
              <w:jc w:val="center"/>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3</w:t>
            </w:r>
            <w:r/>
          </w:p>
        </w:tc>
        <w:tc>
          <w:tcPr>
            <w:shd w:val="clear" w:color="auto" w:fill="auto"/>
            <w:tcBorders>
              <w:top w:val="single" w:color="000000" w:sz="2" w:space="0"/>
              <w:bottom w:val="single" w:color="000000" w:sz="2" w:space="0"/>
            </w:tcBorders>
            <w:tcW w:w="1179" w:type="dxa"/>
            <w:vAlign w:val="center"/>
            <w:textDirection w:val="lrTb"/>
            <w:noWrap w:val="false"/>
          </w:tcPr>
          <w:p>
            <w:r>
              <w:rPr>
                <w:rFonts w:hint="eastAsia"/>
              </w:rPr>
              <w:t xml:space="preserve">重点区域在线餐饮数据采集分析及技术帮扶服务服务方案</w:t>
            </w:r>
            <w:r/>
          </w:p>
        </w:tc>
        <w:tc>
          <w:tcPr>
            <w:shd w:val="clear" w:color="auto" w:fill="auto"/>
            <w:tcBorders>
              <w:top w:val="single" w:color="000000" w:sz="2" w:space="0"/>
              <w:bottom w:val="single" w:color="000000" w:sz="2" w:space="0"/>
            </w:tcBorders>
            <w:tcW w:w="6330" w:type="dxa"/>
            <w:vAlign w:val="center"/>
            <w:textDirection w:val="lrTb"/>
            <w:noWrap w:val="false"/>
          </w:tcPr>
          <w:p>
            <w:pPr>
              <w:jc w:val="left"/>
              <w:widowControl/>
            </w:pPr>
            <w:r>
              <w:rPr>
                <w:rFonts w:hint="eastAsia"/>
              </w:rPr>
              <w:t xml:space="preserve">根据采购文件要求及投标人提供的重点区域在线餐饮数据采集分析及技术帮扶服务服务方案情况，说明服务内容与日常执法检查工作充分衔接，包括但不限于日常工作流程、相关模板工具、保障机制等，进行综合评分：</w:t>
            </w:r>
            <w:r/>
          </w:p>
          <w:p>
            <w:pPr>
              <w:jc w:val="left"/>
              <w:widowControl/>
            </w:pPr>
            <w:r>
              <w:rPr>
                <w:rFonts w:hint="eastAsia"/>
              </w:rPr>
              <w:t xml:space="preserve">1</w:t>
            </w:r>
            <w:r>
              <w:rPr>
                <w:rFonts w:hint="eastAsia"/>
              </w:rPr>
              <w:t xml:space="preserve">、服务</w:t>
            </w:r>
            <w:r>
              <w:rPr>
                <w:rFonts w:hint="eastAsia"/>
              </w:rPr>
              <w:t xml:space="preserve">方案方案</w:t>
            </w:r>
            <w:r>
              <w:rPr>
                <w:rFonts w:hint="eastAsia"/>
              </w:rPr>
              <w:t xml:space="preserve">完整详细，可行性、实用性、针对性强，得</w:t>
            </w:r>
            <w:r>
              <w:t xml:space="preserve">10</w:t>
            </w:r>
            <w:r>
              <w:rPr>
                <w:rFonts w:hint="eastAsia"/>
              </w:rPr>
              <w:t xml:space="preserve">分；</w:t>
            </w:r>
            <w:r/>
          </w:p>
          <w:p>
            <w:pPr>
              <w:jc w:val="left"/>
              <w:widowControl/>
            </w:pPr>
            <w:r>
              <w:rPr>
                <w:rFonts w:hint="eastAsia"/>
              </w:rPr>
              <w:t xml:space="preserve">2</w:t>
            </w:r>
            <w:r>
              <w:rPr>
                <w:rFonts w:hint="eastAsia"/>
              </w:rPr>
              <w:t xml:space="preserve">、服务方案较完整，可行性、实用性、针对性较好的，得</w:t>
            </w:r>
            <w:r>
              <w:t xml:space="preserve">7</w:t>
            </w:r>
            <w:r>
              <w:rPr>
                <w:rFonts w:hint="eastAsia"/>
              </w:rPr>
              <w:t xml:space="preserve">分；</w:t>
            </w:r>
            <w:r/>
          </w:p>
          <w:p>
            <w:pPr>
              <w:jc w:val="left"/>
              <w:widowControl/>
            </w:pPr>
            <w:r>
              <w:t xml:space="preserve">3</w:t>
            </w:r>
            <w:r>
              <w:rPr>
                <w:rFonts w:hint="eastAsia"/>
              </w:rPr>
              <w:t xml:space="preserve">、服务方案较完整，可行性、实用性、针对性不足的，得</w:t>
            </w:r>
            <w:r>
              <w:t xml:space="preserve">4</w:t>
            </w:r>
            <w:r>
              <w:rPr>
                <w:rFonts w:hint="eastAsia"/>
              </w:rPr>
              <w:t xml:space="preserve">分；</w:t>
            </w:r>
            <w:r/>
          </w:p>
          <w:p>
            <w:pPr>
              <w:jc w:val="left"/>
              <w:widowControl/>
            </w:pPr>
            <w:r>
              <w:t xml:space="preserve">4</w:t>
            </w:r>
            <w:r>
              <w:rPr>
                <w:rFonts w:hint="eastAsia"/>
              </w:rPr>
              <w:t xml:space="preserve">、服务方案可行性、实用性、针对性有</w:t>
            </w:r>
            <w:r>
              <w:rPr>
                <w:rFonts w:hint="eastAsia" w:ascii="宋体" w:hAnsi="宋体" w:cs="宋体"/>
              </w:rPr>
              <w:t xml:space="preserve">较大缺陷</w:t>
            </w:r>
            <w:r>
              <w:rPr>
                <w:rFonts w:hint="eastAsia"/>
              </w:rPr>
              <w:t xml:space="preserve">的，得</w:t>
            </w:r>
            <w:r>
              <w:rPr>
                <w:rFonts w:hint="eastAsia"/>
              </w:rPr>
              <w:t xml:space="preserve"> 1 </w:t>
            </w:r>
            <w:r>
              <w:rPr>
                <w:rFonts w:hint="eastAsia"/>
              </w:rPr>
              <w:t xml:space="preserve">分；</w:t>
            </w:r>
            <w:r/>
          </w:p>
          <w:p>
            <w:pPr>
              <w:pStyle w:val="731"/>
              <w:ind w:left="0"/>
              <w:rPr>
                <w:lang w:val="en-US"/>
              </w:rPr>
            </w:pPr>
            <w:r>
              <w:rPr>
                <w:lang w:val="en-US"/>
              </w:rPr>
              <w:t xml:space="preserve">5</w:t>
            </w:r>
            <w:r>
              <w:rPr>
                <w:rFonts w:hint="eastAsia" w:ascii="宋体" w:hAnsi="宋体" w:eastAsia="宋体"/>
              </w:rPr>
              <w:t xml:space="preserve">、方案不可行或者未提供得</w:t>
            </w:r>
            <w:r>
              <w:rPr>
                <w:rFonts w:hint="eastAsia"/>
                <w:lang w:val="en-US"/>
              </w:rPr>
              <w:t xml:space="preserve">0</w:t>
            </w:r>
            <w:r>
              <w:rPr>
                <w:rFonts w:hint="eastAsia" w:ascii="宋体" w:hAnsi="宋体" w:eastAsia="宋体"/>
              </w:rPr>
              <w:t xml:space="preserve">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rPr>
                <w:rFonts w:ascii="宋体" w:hAnsi="宋体" w:cs="宋体"/>
              </w:rPr>
            </w:pPr>
            <w:r>
              <w:rPr>
                <w:rFonts w:ascii="宋体" w:hAnsi="宋体" w:cs="宋体"/>
              </w:rPr>
              <w:t xml:space="preserve">10</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rPr>
                <w:rFonts w:ascii="宋体" w:hAnsi="宋体" w:cs="宋体"/>
                <w:spacing w:val="-6"/>
              </w:rPr>
            </w:pPr>
            <w:r>
              <w:rPr>
                <w:rFonts w:hint="eastAsia" w:ascii="宋体" w:hAnsi="宋体" w:cs="宋体"/>
                <w:spacing w:val="-4"/>
              </w:rPr>
              <w:t xml:space="preserve">主观分</w:t>
            </w:r>
            <w:r/>
          </w:p>
        </w:tc>
      </w:tr>
      <w:tr>
        <w:trPr>
          <w:jc w:val="center"/>
          <w:trHeight w:val="889"/>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hint="eastAsia" w:ascii="宋体" w:hAnsi="宋体" w:cs="宋体"/>
                <w:spacing w:val="-2"/>
              </w:rPr>
              <w:t xml:space="preserve">3</w:t>
            </w:r>
            <w:r>
              <w:rPr>
                <w:rFonts w:hint="eastAsia" w:ascii="宋体" w:hAnsi="宋体" w:cs="宋体"/>
                <w:spacing w:val="-2"/>
              </w:rPr>
              <w:t xml:space="preserve">.</w:t>
            </w:r>
            <w:r>
              <w:rPr>
                <w:rFonts w:hint="eastAsia" w:ascii="宋体" w:hAnsi="宋体" w:cs="宋体"/>
                <w:spacing w:val="-2"/>
              </w:rPr>
              <w:t xml:space="preserve">4</w:t>
            </w:r>
            <w:r/>
          </w:p>
        </w:tc>
        <w:tc>
          <w:tcPr>
            <w:shd w:val="clear" w:color="auto" w:fill="auto"/>
            <w:tcBorders>
              <w:top w:val="single" w:color="000000" w:sz="2" w:space="0"/>
              <w:bottom w:val="single" w:color="000000" w:sz="2" w:space="0"/>
            </w:tcBorders>
            <w:tcW w:w="1179" w:type="dxa"/>
            <w:vAlign w:val="center"/>
            <w:textDirection w:val="lrTb"/>
            <w:noWrap w:val="false"/>
          </w:tcPr>
          <w:p>
            <w:pPr>
              <w:rPr>
                <w:color w:val="0000ff"/>
              </w:rPr>
            </w:pPr>
            <w:r>
              <w:rPr>
                <w:rFonts w:hint="eastAsia"/>
              </w:rPr>
              <w:t xml:space="preserve">供货安装组织及保证措施方案</w:t>
            </w:r>
            <w:r/>
          </w:p>
        </w:tc>
        <w:tc>
          <w:tcPr>
            <w:shd w:val="clear" w:color="auto" w:fill="auto"/>
            <w:tcBorders>
              <w:top w:val="single" w:color="000000" w:sz="2" w:space="0"/>
              <w:bottom w:val="single" w:color="000000" w:sz="2" w:space="0"/>
            </w:tcBorders>
            <w:tcW w:w="6330" w:type="dxa"/>
            <w:vAlign w:val="center"/>
            <w:textDirection w:val="lrTb"/>
            <w:noWrap w:val="false"/>
          </w:tcPr>
          <w:p>
            <w:pPr>
              <w:jc w:val="left"/>
              <w:widowControl/>
              <w:rPr>
                <w:rFonts w:ascii="宋体" w:hAnsi="宋体" w:cs="宋体"/>
              </w:rPr>
            </w:pPr>
            <w:r>
              <w:rPr>
                <w:rFonts w:hint="eastAsia" w:ascii="宋体" w:hAnsi="宋体" w:cs="宋体"/>
              </w:rPr>
              <w:t xml:space="preserve">根据采购文件要求及投标人提供的供货安装组织及保证措施方案情况，进行综合评分：</w:t>
            </w:r>
            <w:r/>
          </w:p>
          <w:p>
            <w:pPr>
              <w:jc w:val="left"/>
              <w:widowControl/>
              <w:rPr>
                <w:rFonts w:ascii="宋体" w:hAnsi="宋体" w:cs="宋体"/>
              </w:rPr>
            </w:pPr>
            <w:r>
              <w:rPr>
                <w:rFonts w:hint="eastAsia" w:ascii="宋体" w:hAnsi="宋体" w:cs="宋体"/>
              </w:rPr>
              <w:t xml:space="preserve">1、供货安装组织、保证措施、项目进度计划完整详细，安装实施方案可行性、实用性、针对性强，得</w:t>
            </w:r>
            <w:r>
              <w:rPr>
                <w:rFonts w:ascii="宋体" w:hAnsi="宋体" w:cs="宋体"/>
              </w:rPr>
              <w:t xml:space="preserve">10</w:t>
            </w:r>
            <w:r>
              <w:rPr>
                <w:rFonts w:hint="eastAsia" w:ascii="宋体" w:hAnsi="宋体" w:cs="宋体"/>
              </w:rPr>
              <w:t xml:space="preserve">分；</w:t>
            </w:r>
            <w:r/>
          </w:p>
          <w:p>
            <w:pPr>
              <w:jc w:val="left"/>
              <w:widowControl/>
              <w:rPr>
                <w:rFonts w:ascii="宋体" w:hAnsi="宋体" w:cs="宋体"/>
              </w:rPr>
            </w:pPr>
            <w:r>
              <w:rPr>
                <w:rFonts w:hint="eastAsia" w:ascii="宋体" w:hAnsi="宋体" w:cs="宋体"/>
              </w:rPr>
              <w:t xml:space="preserve">2、供货安装组织、保证措施、项目进度计划内容较完整，安装实施方案可行性、实用性、针对性较好的，得</w:t>
            </w:r>
            <w:r>
              <w:rPr>
                <w:rFonts w:ascii="宋体" w:hAnsi="宋体" w:cs="宋体"/>
              </w:rPr>
              <w:t xml:space="preserve">7</w:t>
            </w:r>
            <w:r>
              <w:rPr>
                <w:rFonts w:hint="eastAsia" w:ascii="宋体" w:hAnsi="宋体" w:cs="宋体"/>
              </w:rPr>
              <w:t xml:space="preserve">分；</w:t>
            </w:r>
            <w:r/>
          </w:p>
          <w:p>
            <w:pPr>
              <w:jc w:val="left"/>
              <w:widowControl/>
              <w:rPr>
                <w:rFonts w:ascii="宋体" w:hAnsi="宋体" w:cs="宋体"/>
              </w:rPr>
            </w:pPr>
            <w:r>
              <w:rPr>
                <w:rFonts w:hint="eastAsia" w:ascii="宋体" w:hAnsi="宋体" w:cs="宋体"/>
              </w:rPr>
              <w:t xml:space="preserve">3、供货安装组织、保证措施、项目进度计划内容较完整，安装实施方案可行性、实用性、针对性</w:t>
            </w:r>
            <w:r>
              <w:rPr>
                <w:rFonts w:hint="eastAsia"/>
              </w:rPr>
              <w:t xml:space="preserve">不足</w:t>
            </w:r>
            <w:r>
              <w:rPr>
                <w:rFonts w:hint="eastAsia" w:ascii="宋体" w:hAnsi="宋体" w:cs="宋体"/>
              </w:rPr>
              <w:t xml:space="preserve">的，得</w:t>
            </w:r>
            <w:r>
              <w:rPr>
                <w:rFonts w:ascii="宋体" w:hAnsi="宋体" w:cs="宋体"/>
              </w:rPr>
              <w:t xml:space="preserve">4</w:t>
            </w:r>
            <w:r>
              <w:rPr>
                <w:rFonts w:hint="eastAsia" w:ascii="宋体" w:hAnsi="宋体" w:cs="宋体"/>
              </w:rPr>
              <w:t xml:space="preserve">分；</w:t>
            </w:r>
            <w:r/>
          </w:p>
          <w:p>
            <w:pPr>
              <w:jc w:val="left"/>
              <w:widowControl/>
              <w:rPr>
                <w:rFonts w:ascii="宋体" w:hAnsi="宋体" w:cs="宋体"/>
              </w:rPr>
            </w:pPr>
            <w:r>
              <w:rPr>
                <w:rFonts w:ascii="宋体" w:hAnsi="宋体" w:cs="宋体"/>
              </w:rPr>
              <w:t xml:space="preserve">4、</w:t>
            </w:r>
            <w:r>
              <w:rPr>
                <w:rFonts w:hint="eastAsia" w:ascii="宋体" w:hAnsi="宋体" w:cs="宋体"/>
              </w:rPr>
              <w:t xml:space="preserve">供货安装组织、保证措施、项目进度计划、安装实施方案可行性、实用性、针对性有较大缺陷的，得 1 分；</w:t>
            </w:r>
            <w:r/>
          </w:p>
          <w:p>
            <w:pPr>
              <w:jc w:val="left"/>
              <w:rPr>
                <w:rFonts w:ascii="宋体" w:hAnsi="宋体" w:cs="宋体"/>
              </w:rPr>
            </w:pPr>
            <w:r>
              <w:rPr>
                <w:rFonts w:hint="eastAsia" w:ascii="宋体" w:hAnsi="宋体" w:cs="宋体"/>
              </w:rPr>
              <w:t xml:space="preserve">4、方案不可行或者未提供得0分。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rPr>
                <w:rFonts w:ascii="宋体" w:hAnsi="宋体" w:cs="宋体"/>
              </w:rPr>
            </w:pPr>
            <w:r>
              <w:rPr>
                <w:rFonts w:ascii="宋体" w:hAnsi="宋体" w:cs="宋体"/>
              </w:rPr>
              <w:t xml:space="preserve">10</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rPr>
                <w:rFonts w:ascii="宋体" w:hAnsi="宋体" w:cs="宋体"/>
              </w:rPr>
            </w:pPr>
            <w:r>
              <w:rPr>
                <w:rFonts w:hint="eastAsia" w:ascii="宋体" w:hAnsi="宋体" w:cs="宋体"/>
              </w:rPr>
              <w:t xml:space="preserve">主观分</w:t>
            </w:r>
            <w:r/>
          </w:p>
        </w:tc>
      </w:tr>
      <w:tr>
        <w:trPr>
          <w:jc w:val="center"/>
          <w:trHeight w:val="455"/>
        </w:trPr>
        <w:tc>
          <w:tcPr>
            <w:gridSpan w:val="5"/>
            <w:shd w:val="clear" w:color="auto" w:fill="auto"/>
            <w:tcBorders>
              <w:top w:val="single" w:color="000000" w:sz="2" w:space="0"/>
              <w:bottom w:val="single" w:color="000000" w:sz="2" w:space="0"/>
            </w:tcBorders>
            <w:tcW w:w="9575" w:type="dxa"/>
            <w:vAlign w:val="center"/>
            <w:textDirection w:val="lrTb"/>
            <w:noWrap w:val="false"/>
          </w:tcPr>
          <w:p>
            <w:pPr>
              <w:rPr>
                <w:rFonts w:ascii="宋体" w:hAnsi="宋体" w:cs="宋体"/>
              </w:rPr>
            </w:pPr>
            <w:r>
              <w:rPr>
                <w:rFonts w:hint="eastAsia" w:ascii="宋体" w:hAnsi="宋体" w:cs="宋体"/>
                <w:b/>
                <w:bCs/>
                <w:spacing w:val="-3"/>
              </w:rPr>
              <w:t xml:space="preserve">4.业绩</w:t>
            </w:r>
            <w:r/>
          </w:p>
        </w:tc>
      </w:tr>
      <w:tr>
        <w:trPr>
          <w:jc w:val="center"/>
          <w:trHeight w:val="1015"/>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shd w:val="clear" w:color="auto" w:fill="auto"/>
            <w:tcBorders>
              <w:top w:val="single" w:color="000000" w:sz="2" w:space="0"/>
              <w:bottom w:val="single" w:color="000000" w:sz="2" w:space="0"/>
            </w:tcBorders>
            <w:tcW w:w="1179" w:type="dxa"/>
            <w:vAlign w:val="center"/>
            <w:textDirection w:val="lrTb"/>
            <w:noWrap w:val="false"/>
          </w:tcPr>
          <w:p>
            <w:pPr>
              <w:spacing w:before="69"/>
              <w:rPr>
                <w:rFonts w:ascii="宋体" w:hAnsi="宋体" w:cs="宋体"/>
                <w:spacing w:val="-2"/>
              </w:rPr>
            </w:pPr>
            <w:r>
              <w:rPr>
                <w:rFonts w:hint="eastAsia" w:ascii="宋体" w:hAnsi="宋体" w:cs="宋体"/>
                <w:spacing w:val="-1"/>
              </w:rPr>
              <w:t xml:space="preserve">投标人</w:t>
            </w:r>
            <w:r>
              <w:rPr>
                <w:rFonts w:ascii="宋体" w:hAnsi="宋体" w:cs="宋体"/>
                <w:spacing w:val="-1"/>
              </w:rPr>
              <w:t xml:space="preserve">业绩</w:t>
            </w:r>
            <w:r/>
          </w:p>
        </w:tc>
        <w:tc>
          <w:tcPr>
            <w:shd w:val="clear" w:color="auto" w:fill="auto"/>
            <w:tcBorders>
              <w:top w:val="single" w:color="000000" w:sz="2" w:space="0"/>
              <w:bottom w:val="single" w:color="000000" w:sz="2" w:space="0"/>
            </w:tcBorders>
            <w:tcW w:w="6330" w:type="dxa"/>
            <w:vAlign w:val="center"/>
            <w:textDirection w:val="lrTb"/>
            <w:noWrap w:val="false"/>
          </w:tcPr>
          <w:p>
            <w:pPr>
              <w:rPr>
                <w:rFonts w:ascii="宋体" w:hAnsi="宋体" w:cs="宋体"/>
              </w:rPr>
            </w:pPr>
            <w:r>
              <w:rPr>
                <w:rFonts w:hint="eastAsia" w:ascii="宋体" w:hAnsi="宋体" w:cs="宋体"/>
              </w:rPr>
              <w:t xml:space="preserve">投标人需提供2</w:t>
            </w:r>
            <w:r>
              <w:rPr>
                <w:rFonts w:ascii="宋体" w:hAnsi="宋体" w:cs="宋体"/>
              </w:rPr>
              <w:t xml:space="preserve">02</w:t>
            </w:r>
            <w:r>
              <w:rPr>
                <w:rFonts w:hint="eastAsia" w:ascii="宋体" w:hAnsi="宋体" w:cs="宋体"/>
              </w:rPr>
              <w:t xml:space="preserve">1</w:t>
            </w:r>
            <w:r>
              <w:rPr>
                <w:rFonts w:ascii="宋体" w:hAnsi="宋体" w:cs="宋体"/>
              </w:rPr>
              <w:t xml:space="preserve">年</w:t>
            </w:r>
            <w:r>
              <w:rPr>
                <w:rFonts w:hint="eastAsia" w:ascii="宋体" w:hAnsi="宋体" w:cs="宋体"/>
              </w:rPr>
              <w:t xml:space="preserve">1月1日以来类似项目业绩，1个业绩得</w:t>
            </w:r>
            <w:r>
              <w:rPr>
                <w:rFonts w:ascii="宋体" w:hAnsi="宋体" w:cs="宋体"/>
              </w:rPr>
              <w:t xml:space="preserve">1</w:t>
            </w:r>
            <w:r>
              <w:rPr>
                <w:rFonts w:hint="eastAsia" w:ascii="宋体" w:hAnsi="宋体" w:cs="宋体"/>
              </w:rPr>
              <w:t xml:space="preserve">分，最高得2分，没有不得分。</w:t>
            </w:r>
            <w:r/>
          </w:p>
          <w:p>
            <w:pPr>
              <w:rPr>
                <w:rFonts w:eastAsia="方正仿宋_GBK"/>
                <w:lang w:bidi="zh-CN"/>
              </w:rPr>
            </w:pPr>
            <w:r>
              <w:rPr>
                <w:rFonts w:hint="eastAsia" w:ascii="宋体" w:hAnsi="宋体" w:cs="宋体"/>
              </w:rPr>
              <w:t xml:space="preserve">注：提供有效合同（必须包括清晰可见的合同首页、含有项目名称和服务内容的页面以及签章页），认定时间以合同签订时间为准。不满足上述要求的业绩不予认可。</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pPr>
            <w:r>
              <w:rPr>
                <w:rFonts w:hint="eastAsia" w:ascii="宋体" w:hAnsi="宋体" w:cs="宋体"/>
              </w:rPr>
              <w:t xml:space="preserve">2</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269"/>
        </w:trPr>
        <w:tc>
          <w:tcPr>
            <w:gridSpan w:val="5"/>
            <w:shd w:val="clear" w:color="auto" w:fill="auto"/>
            <w:tcBorders>
              <w:top w:val="single" w:color="000000" w:sz="2" w:space="0"/>
              <w:bottom w:val="single" w:color="000000" w:sz="2" w:space="0"/>
            </w:tcBorders>
            <w:tcW w:w="9575" w:type="dxa"/>
            <w:textDirection w:val="lrTb"/>
            <w:noWrap w:val="false"/>
          </w:tcPr>
          <w:p>
            <w:pPr>
              <w:spacing w:before="123"/>
              <w:rPr>
                <w:rFonts w:ascii="宋体" w:hAnsi="宋体" w:cs="宋体"/>
              </w:rPr>
            </w:pPr>
            <w:r>
              <w:rPr>
                <w:rFonts w:hint="eastAsia" w:ascii="宋体" w:hAnsi="宋体" w:cs="宋体"/>
                <w:b/>
                <w:bCs/>
                <w:spacing w:val="-3"/>
              </w:rPr>
              <w:t xml:space="preserve">5.履约能力</w:t>
            </w:r>
            <w:r/>
          </w:p>
        </w:tc>
      </w:tr>
      <w:tr>
        <w:trPr>
          <w:jc w:val="center"/>
          <w:trHeight w:val="383"/>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hint="eastAsia" w:ascii="宋体" w:hAnsi="宋体" w:cs="宋体"/>
                <w:spacing w:val="-2"/>
              </w:rPr>
              <w:t xml:space="preserve">5</w:t>
            </w:r>
            <w:r>
              <w:rPr>
                <w:rFonts w:ascii="宋体" w:hAnsi="宋体" w:cs="宋体"/>
                <w:spacing w:val="-2"/>
              </w:rPr>
              <w:t xml:space="preserve">.</w:t>
            </w:r>
            <w:r>
              <w:rPr>
                <w:rFonts w:ascii="宋体" w:hAnsi="宋体" w:cs="宋体"/>
                <w:spacing w:val="-2"/>
              </w:rPr>
              <w:t xml:space="preserve">1</w:t>
            </w:r>
            <w:r/>
          </w:p>
        </w:tc>
        <w:tc>
          <w:tcPr>
            <w:shd w:val="clear" w:color="auto" w:fill="auto"/>
            <w:tcBorders>
              <w:top w:val="single" w:color="000000" w:sz="2" w:space="0"/>
              <w:bottom w:val="single" w:color="000000" w:sz="2" w:space="0"/>
            </w:tcBorders>
            <w:tcW w:w="1179" w:type="dxa"/>
            <w:vAlign w:val="center"/>
            <w:textDirection w:val="lrTb"/>
            <w:noWrap w:val="false"/>
          </w:tcPr>
          <w:p>
            <w:r>
              <w:rPr>
                <w:rFonts w:hint="eastAsia"/>
              </w:rPr>
              <w:t xml:space="preserve">履约能力</w:t>
            </w:r>
            <w:r>
              <w:t xml:space="preserve">1</w:t>
            </w:r>
            <w:r/>
          </w:p>
        </w:tc>
        <w:tc>
          <w:tcPr>
            <w:shd w:val="clear" w:color="auto" w:fill="auto"/>
            <w:tcBorders>
              <w:top w:val="single" w:color="000000" w:sz="2" w:space="0"/>
              <w:bottom w:val="single" w:color="000000" w:sz="2" w:space="0"/>
            </w:tcBorders>
            <w:tcW w:w="6330" w:type="dxa"/>
            <w:vAlign w:val="center"/>
            <w:textDirection w:val="lrTb"/>
            <w:noWrap w:val="false"/>
          </w:tcPr>
          <w:p>
            <w:pPr>
              <w:rPr>
                <w:rFonts w:ascii="宋体" w:hAnsi="宋体" w:cs="宋体"/>
              </w:rPr>
            </w:pPr>
            <w:r>
              <w:rPr>
                <w:rFonts w:hint="eastAsia" w:ascii="宋体" w:hAnsi="宋体" w:cs="宋体"/>
                <w:szCs w:val="22"/>
              </w:rPr>
              <w:t xml:space="preserve">项目经理具有环境监测、环境保护、自动控制</w:t>
            </w:r>
            <w:r>
              <w:rPr>
                <w:rFonts w:hint="eastAsia" w:ascii="宋体" w:hAnsi="宋体" w:cs="宋体"/>
                <w:szCs w:val="22"/>
              </w:rPr>
              <w:t xml:space="preserve">、仪器仪表、系统设计</w:t>
            </w:r>
            <w:r>
              <w:rPr>
                <w:rFonts w:hint="eastAsia" w:ascii="宋体" w:hAnsi="宋体" w:cs="宋体"/>
                <w:szCs w:val="22"/>
              </w:rPr>
              <w:t xml:space="preserve">或信息技术等专业的高级职称证书的得</w:t>
            </w:r>
            <w:r>
              <w:rPr>
                <w:rFonts w:ascii="宋体" w:hAnsi="宋体" w:cs="宋体"/>
                <w:szCs w:val="22"/>
              </w:rPr>
              <w:t xml:space="preserve">3</w:t>
            </w:r>
            <w:r>
              <w:rPr>
                <w:rFonts w:hint="eastAsia" w:ascii="宋体" w:hAnsi="宋体" w:cs="宋体"/>
                <w:szCs w:val="22"/>
              </w:rPr>
              <w:t xml:space="preserve">分，</w:t>
            </w:r>
            <w:r>
              <w:rPr>
                <w:rFonts w:hint="eastAsia" w:ascii="宋体" w:hAnsi="宋体" w:cs="宋体"/>
                <w:szCs w:val="22"/>
              </w:rPr>
              <w:t xml:space="preserve">中级</w:t>
            </w:r>
            <w:r>
              <w:rPr>
                <w:rFonts w:hint="eastAsia" w:ascii="宋体" w:hAnsi="宋体" w:cs="宋体"/>
                <w:szCs w:val="22"/>
              </w:rPr>
              <w:t xml:space="preserve">证书得</w:t>
            </w:r>
            <w:r>
              <w:rPr>
                <w:rFonts w:ascii="宋体" w:hAnsi="宋体" w:cs="宋体"/>
                <w:szCs w:val="22"/>
              </w:rPr>
              <w:t xml:space="preserve">1</w:t>
            </w:r>
            <w:r>
              <w:rPr>
                <w:rFonts w:hint="eastAsia" w:ascii="宋体" w:hAnsi="宋体" w:cs="宋体"/>
                <w:szCs w:val="22"/>
              </w:rPr>
              <w:t xml:space="preserve">分，没有不得分。</w:t>
            </w:r>
            <w:r/>
          </w:p>
          <w:p>
            <w:pPr>
              <w:rPr>
                <w:rFonts w:ascii="宋体" w:hAnsi="宋体" w:cs="宋体"/>
              </w:rPr>
            </w:pPr>
            <w:r>
              <w:rPr>
                <w:rFonts w:hint="eastAsia" w:ascii="宋体" w:hAnsi="宋体" w:cs="宋体"/>
                <w:szCs w:val="22"/>
              </w:rPr>
              <w:t xml:space="preserve">备注: </w:t>
            </w:r>
            <w:r>
              <w:rPr>
                <w:rFonts w:hint="eastAsia"/>
              </w:rPr>
              <w:t xml:space="preserve">提供项目经理职称证书以及投标人</w:t>
            </w:r>
            <w:r>
              <w:rPr>
                <w:rFonts w:hint="eastAsia" w:ascii="宋体" w:hAnsi="宋体" w:cs="宋体"/>
                <w:szCs w:val="22"/>
              </w:rPr>
              <w:t xml:space="preserve">为项目经理缴纳的</w:t>
            </w:r>
            <w:r>
              <w:rPr>
                <w:rFonts w:ascii="宋体" w:hAnsi="宋体" w:cs="宋体"/>
                <w:szCs w:val="22"/>
              </w:rPr>
              <w:t xml:space="preserve">2024</w:t>
            </w:r>
            <w:r>
              <w:rPr>
                <w:rFonts w:hint="eastAsia" w:ascii="宋体" w:hAnsi="宋体" w:cs="宋体"/>
                <w:szCs w:val="22"/>
              </w:rPr>
              <w:t xml:space="preserve">年</w:t>
            </w:r>
            <w:r>
              <w:rPr>
                <w:rFonts w:ascii="宋体" w:hAnsi="宋体" w:cs="宋体"/>
                <w:szCs w:val="22"/>
              </w:rPr>
              <w:t xml:space="preserve">1</w:t>
            </w:r>
            <w:r>
              <w:rPr>
                <w:rFonts w:hint="eastAsia" w:ascii="宋体" w:hAnsi="宋体" w:cs="宋体"/>
                <w:szCs w:val="22"/>
              </w:rPr>
              <w:t xml:space="preserve">月1日</w:t>
            </w:r>
            <w:r>
              <w:rPr>
                <w:rFonts w:hint="eastAsia" w:ascii="宋体" w:hAnsi="宋体" w:cs="宋体"/>
              </w:rPr>
              <w:t xml:space="preserve">以来</w:t>
            </w:r>
            <w:r>
              <w:rPr>
                <w:rFonts w:hint="eastAsia" w:ascii="宋体" w:hAnsi="宋体" w:cs="宋体"/>
                <w:szCs w:val="22"/>
              </w:rPr>
              <w:t xml:space="preserve">任意2个月</w:t>
            </w:r>
            <w:r>
              <w:rPr>
                <w:rFonts w:hint="eastAsia" w:ascii="宋体" w:hAnsi="宋体" w:cs="宋体"/>
                <w:szCs w:val="22"/>
              </w:rPr>
              <w:t xml:space="preserve">社保证明</w:t>
            </w:r>
            <w:r>
              <w:rPr>
                <w:rFonts w:hint="eastAsia" w:ascii="宋体" w:hAnsi="宋体" w:cs="宋体"/>
                <w:szCs w:val="22"/>
              </w:rPr>
              <w:t xml:space="preserve">材料并加盖投标人公章。项目经理具有多个级别的证书按最高级别得分。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rPr>
                <w:rFonts w:ascii="宋体" w:hAnsi="宋体" w:cs="宋体"/>
              </w:rPr>
            </w:pPr>
            <w:r>
              <w:rPr>
                <w:rFonts w:ascii="宋体" w:hAnsi="宋体" w:cs="宋体"/>
              </w:rPr>
              <w:t xml:space="preserve">3</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shd w:val="clear" w:color="auto" w:fill="auto"/>
            <w:tcBorders>
              <w:top w:val="single" w:color="000000" w:sz="2" w:space="0"/>
              <w:bottom w:val="single" w:color="000000" w:sz="2" w:space="0"/>
            </w:tcBorders>
            <w:tcW w:w="519" w:type="dxa"/>
            <w:vAlign w:val="center"/>
            <w:textDirection w:val="lrTb"/>
            <w:noWrap w:val="false"/>
          </w:tcPr>
          <w:p>
            <w:pPr>
              <w:jc w:val="center"/>
              <w:spacing w:before="68"/>
              <w:rPr>
                <w:rFonts w:ascii="宋体" w:hAnsi="宋体" w:cs="宋体"/>
                <w:spacing w:val="-2"/>
              </w:rPr>
            </w:pPr>
            <w:r>
              <w:rPr>
                <w:rFonts w:hint="eastAsia" w:ascii="宋体" w:hAnsi="宋体" w:cs="宋体"/>
                <w:spacing w:val="-2"/>
              </w:rPr>
              <w:t xml:space="preserve">5.</w:t>
            </w:r>
            <w:r>
              <w:rPr>
                <w:rFonts w:ascii="宋体" w:hAnsi="宋体" w:cs="宋体"/>
                <w:spacing w:val="-2"/>
              </w:rPr>
              <w:t xml:space="preserve">2</w:t>
            </w:r>
            <w:r/>
          </w:p>
        </w:tc>
        <w:tc>
          <w:tcPr>
            <w:shd w:val="clear" w:color="auto" w:fill="auto"/>
            <w:tcBorders>
              <w:top w:val="single" w:color="000000" w:sz="2" w:space="0"/>
              <w:bottom w:val="single" w:color="000000" w:sz="2" w:space="0"/>
            </w:tcBorders>
            <w:tcW w:w="1179" w:type="dxa"/>
            <w:vAlign w:val="center"/>
            <w:textDirection w:val="lrTb"/>
            <w:noWrap w:val="false"/>
          </w:tcPr>
          <w:p>
            <w:r>
              <w:rPr>
                <w:rFonts w:hint="eastAsia"/>
              </w:rPr>
              <w:t xml:space="preserve">履约能力</w:t>
            </w:r>
            <w:r>
              <w:t xml:space="preserve">2</w:t>
            </w:r>
            <w:r/>
          </w:p>
        </w:tc>
        <w:tc>
          <w:tcPr>
            <w:shd w:val="clear" w:color="auto" w:fill="auto"/>
            <w:tcBorders>
              <w:top w:val="single" w:color="000000" w:sz="2" w:space="0"/>
              <w:bottom w:val="single" w:color="000000" w:sz="2" w:space="0"/>
            </w:tcBorders>
            <w:tcW w:w="6330" w:type="dxa"/>
            <w:vAlign w:val="center"/>
            <w:textDirection w:val="lrTb"/>
            <w:noWrap w:val="false"/>
          </w:tcPr>
          <w:p>
            <w:pPr>
              <w:rPr>
                <w:rFonts w:ascii="宋体" w:hAnsi="宋体" w:cs="宋体"/>
              </w:rPr>
            </w:pPr>
            <w:r>
              <w:rPr>
                <w:rFonts w:hint="eastAsia" w:ascii="宋体" w:hAnsi="宋体" w:cs="宋体"/>
              </w:rPr>
              <w:t xml:space="preserve">项</w:t>
            </w:r>
            <w:r>
              <w:rPr>
                <w:rFonts w:hint="eastAsia" w:ascii="宋体" w:hAnsi="宋体" w:cs="宋体"/>
                <w:szCs w:val="22"/>
              </w:rPr>
              <w:t xml:space="preserve">目实施团队能力（不含项目经理）：</w:t>
            </w:r>
            <w:r/>
          </w:p>
          <w:p>
            <w:pPr>
              <w:rPr>
                <w:rFonts w:ascii="宋体" w:hAnsi="宋体" w:cs="宋体"/>
              </w:rPr>
            </w:pPr>
            <w:r>
              <w:rPr>
                <w:rFonts w:hint="eastAsia" w:ascii="宋体" w:hAnsi="宋体" w:cs="宋体"/>
                <w:szCs w:val="22"/>
              </w:rPr>
              <w:t xml:space="preserve">项目团队其他人员具有环境监测、环境保护、自动控制</w:t>
            </w:r>
            <w:r>
              <w:rPr>
                <w:rFonts w:hint="eastAsia" w:ascii="宋体" w:hAnsi="宋体" w:cs="宋体"/>
                <w:szCs w:val="22"/>
              </w:rPr>
              <w:t xml:space="preserve">、仪器仪表、系统设计</w:t>
            </w:r>
            <w:r>
              <w:rPr>
                <w:rFonts w:hint="eastAsia" w:ascii="宋体" w:hAnsi="宋体" w:cs="宋体"/>
                <w:szCs w:val="22"/>
              </w:rPr>
              <w:t xml:space="preserve">或信息技术等专业的职称证书，高级得</w:t>
            </w:r>
            <w:r>
              <w:rPr>
                <w:rFonts w:ascii="宋体" w:hAnsi="宋体" w:cs="宋体"/>
                <w:szCs w:val="22"/>
              </w:rPr>
              <w:t xml:space="preserve">3</w:t>
            </w:r>
            <w:r>
              <w:rPr>
                <w:rFonts w:hint="eastAsia" w:ascii="宋体" w:hAnsi="宋体" w:cs="宋体"/>
                <w:szCs w:val="22"/>
              </w:rPr>
              <w:t xml:space="preserve">分，中级得1分，最高得</w:t>
            </w:r>
            <w:r>
              <w:rPr>
                <w:rFonts w:ascii="宋体" w:hAnsi="宋体" w:cs="宋体"/>
                <w:szCs w:val="22"/>
              </w:rPr>
              <w:t xml:space="preserve">10</w:t>
            </w:r>
            <w:r>
              <w:rPr>
                <w:rFonts w:hint="eastAsia" w:ascii="宋体" w:hAnsi="宋体" w:cs="宋体"/>
                <w:szCs w:val="22"/>
              </w:rPr>
              <w:t xml:space="preserve">分。</w:t>
            </w:r>
            <w:r/>
          </w:p>
          <w:p>
            <w:pPr>
              <w:rPr>
                <w:rFonts w:ascii="宋体" w:hAnsi="宋体" w:cs="宋体"/>
              </w:rPr>
            </w:pPr>
            <w:r>
              <w:rPr>
                <w:rFonts w:hint="eastAsia" w:ascii="宋体" w:hAnsi="宋体" w:cs="宋体"/>
                <w:szCs w:val="22"/>
              </w:rPr>
              <w:t xml:space="preserve">备注:</w:t>
            </w:r>
            <w:r>
              <w:rPr>
                <w:rFonts w:hint="eastAsia"/>
              </w:rPr>
              <w:t xml:space="preserve">提供团队其他人员职称证书以及投标人为其缴纳的</w:t>
            </w:r>
            <w:r>
              <w:rPr>
                <w:rFonts w:ascii="宋体" w:hAnsi="宋体" w:cs="宋体"/>
                <w:szCs w:val="22"/>
              </w:rPr>
              <w:t xml:space="preserve">2024</w:t>
            </w:r>
            <w:r>
              <w:rPr>
                <w:rFonts w:hint="eastAsia" w:ascii="宋体" w:hAnsi="宋体" w:cs="宋体"/>
                <w:szCs w:val="22"/>
              </w:rPr>
              <w:t xml:space="preserve">年</w:t>
            </w:r>
            <w:r>
              <w:rPr>
                <w:rFonts w:ascii="宋体" w:hAnsi="宋体" w:cs="宋体"/>
                <w:szCs w:val="22"/>
              </w:rPr>
              <w:t xml:space="preserve">1</w:t>
            </w:r>
            <w:r>
              <w:rPr>
                <w:rFonts w:hint="eastAsia" w:ascii="宋体" w:hAnsi="宋体" w:cs="宋体"/>
                <w:szCs w:val="22"/>
              </w:rPr>
              <w:t xml:space="preserve">月1日</w:t>
            </w:r>
            <w:r>
              <w:rPr>
                <w:rFonts w:hint="eastAsia" w:ascii="宋体" w:hAnsi="宋体" w:cs="宋体"/>
              </w:rPr>
              <w:t xml:space="preserve">以来</w:t>
            </w:r>
            <w:r>
              <w:rPr>
                <w:rFonts w:hint="eastAsia" w:ascii="宋体" w:hAnsi="宋体" w:cs="宋体"/>
                <w:szCs w:val="22"/>
              </w:rPr>
              <w:t xml:space="preserve">任意</w:t>
            </w:r>
            <w:r>
              <w:rPr>
                <w:rFonts w:hint="eastAsia"/>
              </w:rPr>
              <w:t xml:space="preserve">2</w:t>
            </w:r>
            <w:r>
              <w:rPr>
                <w:rFonts w:hint="eastAsia"/>
              </w:rPr>
              <w:t xml:space="preserve">个月的</w:t>
            </w:r>
            <w:r>
              <w:rPr>
                <w:rFonts w:hint="eastAsia"/>
              </w:rPr>
              <w:t xml:space="preserve">社保证明</w:t>
            </w:r>
            <w:r>
              <w:rPr>
                <w:rFonts w:hint="eastAsia"/>
              </w:rPr>
              <w:t xml:space="preserve">材料并加盖投标人公章，</w:t>
            </w:r>
            <w:r>
              <w:rPr>
                <w:rFonts w:hint="eastAsia" w:ascii="宋体" w:hAnsi="宋体" w:cs="宋体"/>
                <w:szCs w:val="22"/>
              </w:rPr>
              <w:t xml:space="preserve">同一名人员</w:t>
            </w:r>
            <w:r>
              <w:rPr>
                <w:rFonts w:hint="eastAsia" w:ascii="宋体" w:hAnsi="宋体" w:cs="宋体"/>
                <w:szCs w:val="22"/>
              </w:rPr>
              <w:t xml:space="preserve">具有多个级别的证书按最高级别得分，同一名人员具有多个高级证书最多得3分，同一名人员具有多个中级证书最多得1分，即1人多证不重复得分。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rPr>
                <w:rFonts w:ascii="宋体" w:hAnsi="宋体" w:cs="宋体"/>
              </w:rPr>
            </w:pPr>
            <w:r>
              <w:rPr>
                <w:rFonts w:ascii="宋体" w:hAnsi="宋体" w:cs="宋体"/>
              </w:rPr>
              <w:t xml:space="preserve">10</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464"/>
        </w:trPr>
        <w:tc>
          <w:tcPr>
            <w:shd w:val="clear" w:color="auto" w:fill="auto"/>
            <w:tcBorders>
              <w:top w:val="single" w:color="000000" w:sz="2" w:space="0"/>
              <w:bottom w:val="single" w:color="000000" w:sz="2" w:space="0"/>
            </w:tcBorders>
            <w:tcW w:w="519" w:type="dxa"/>
            <w:vAlign w:val="center"/>
            <w:textDirection w:val="lrTb"/>
            <w:noWrap w:val="false"/>
          </w:tcPr>
          <w:p>
            <w:pPr>
              <w:jc w:val="center"/>
              <w:rPr>
                <w:color w:val="ff0000"/>
              </w:rPr>
            </w:pPr>
            <w:r>
              <w:rPr>
                <w:rFonts w:ascii="宋体" w:hAnsi="宋体" w:cs="宋体"/>
                <w:spacing w:val="-3"/>
              </w:rPr>
              <w:t xml:space="preserve">合</w:t>
            </w:r>
            <w:r>
              <w:rPr>
                <w:rFonts w:ascii="宋体" w:hAnsi="宋体" w:cs="宋体"/>
                <w:spacing w:val="-2"/>
              </w:rPr>
              <w:t xml:space="preserve">计</w:t>
            </w:r>
            <w:r/>
          </w:p>
        </w:tc>
        <w:tc>
          <w:tcPr>
            <w:gridSpan w:val="2"/>
            <w:shd w:val="clear" w:color="auto" w:fill="auto"/>
            <w:tcBorders>
              <w:top w:val="single" w:color="000000" w:sz="2" w:space="0"/>
              <w:bottom w:val="single" w:color="000000" w:sz="2" w:space="0"/>
            </w:tcBorders>
            <w:tcW w:w="7509" w:type="dxa"/>
            <w:vAlign w:val="center"/>
            <w:textDirection w:val="lrTb"/>
            <w:noWrap w:val="false"/>
          </w:tcPr>
          <w:p>
            <w:pPr>
              <w:ind w:left="172"/>
              <w:jc w:val="center"/>
              <w:spacing w:before="123"/>
              <w:rPr>
                <w:rFonts w:ascii="宋体" w:hAnsi="宋体" w:cs="宋体"/>
                <w:color w:val="ff0000"/>
                <w:spacing w:val="-2"/>
              </w:rPr>
            </w:pPr>
            <w:r>
              <w:rPr>
                <w:rFonts w:ascii="宋体" w:hAnsi="宋体" w:cs="宋体"/>
                <w:color w:val="ff0000"/>
                <w:spacing w:val="-2"/>
              </w:rPr>
            </w:r>
            <w:r/>
          </w:p>
        </w:tc>
        <w:tc>
          <w:tcPr>
            <w:gridSpan w:val="2"/>
            <w:shd w:val="clear" w:color="auto" w:fill="auto"/>
            <w:tcBorders>
              <w:top w:val="single" w:color="000000" w:sz="2" w:space="0"/>
              <w:bottom w:val="single" w:color="000000" w:sz="2" w:space="0"/>
            </w:tcBorders>
            <w:tcW w:w="1547" w:type="dxa"/>
            <w:vAlign w:val="center"/>
            <w:textDirection w:val="lrTb"/>
            <w:noWrap w:val="false"/>
          </w:tcPr>
          <w:p>
            <w:pPr>
              <w:jc w:val="center"/>
            </w:pPr>
            <w:r>
              <w:rPr>
                <w:rFonts w:ascii="宋体" w:hAnsi="宋体" w:cs="宋体"/>
                <w:spacing w:val="-11"/>
              </w:rPr>
              <w:t xml:space="preserve">100分</w:t>
            </w:r>
            <w:r/>
          </w:p>
        </w:tc>
      </w:tr>
    </w:tbl>
    <w:p>
      <w:r/>
      <w:r/>
    </w:p>
    <w:p>
      <w:r/>
      <w:r/>
    </w:p>
    <w:p>
      <w:pPr>
        <w:ind w:firstLine="640"/>
      </w:pPr>
      <w:r/>
      <w:r/>
    </w:p>
    <w:p>
      <w:pPr>
        <w:ind w:firstLine="640"/>
      </w:pPr>
      <w:r/>
      <w:r/>
    </w:p>
    <w:p>
      <w:r/>
      <w:r/>
    </w:p>
    <w:p>
      <w:pPr>
        <w:ind w:firstLine="640"/>
      </w:pPr>
      <w:r/>
      <w:r/>
    </w:p>
    <w:p>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ind w:firstLine="640"/>
      </w:pPr>
      <w:r/>
      <w:r/>
    </w:p>
    <w:p>
      <w:r/>
      <w:r/>
    </w:p>
    <w:p>
      <w:pPr>
        <w:ind w:firstLine="640"/>
      </w:pPr>
      <w:r/>
      <w:r/>
    </w:p>
    <w:p>
      <w:r/>
      <w:r/>
    </w:p>
    <w:p>
      <w:pPr>
        <w:pStyle w:val="731"/>
        <w:rPr>
          <w:rFonts w:ascii="宋体" w:hAnsi="宋体" w:eastAsia="宋体"/>
          <w:b/>
          <w:bCs/>
          <w:color w:val="0000ff"/>
          <w:sz w:val="24"/>
          <w:szCs w:val="24"/>
          <w:lang w:val="en-US"/>
        </w:rPr>
      </w:pPr>
      <w:r>
        <w:rPr>
          <w:rFonts w:ascii="宋体" w:hAnsi="宋体" w:eastAsia="宋体"/>
          <w:b/>
          <w:bCs/>
          <w:color w:val="0000ff"/>
          <w:sz w:val="24"/>
          <w:szCs w:val="24"/>
          <w:lang w:val="en-US"/>
        </w:rPr>
      </w:r>
      <w:r>
        <w:rPr>
          <w:rFonts w:ascii="宋体" w:hAnsi="宋体" w:eastAsia="宋体"/>
          <w:b/>
          <w:bCs/>
          <w:color w:val="0000ff"/>
          <w:sz w:val="24"/>
          <w:szCs w:val="24"/>
          <w:lang w:val="en-US"/>
        </w:rPr>
      </w:r>
    </w:p>
    <w:p>
      <w:pPr>
        <w:pStyle w:val="731"/>
        <w:rPr>
          <w:rFonts w:ascii="宋体" w:hAnsi="宋体" w:eastAsia="宋体"/>
          <w:b/>
          <w:bCs/>
          <w:color w:val="0000ff"/>
          <w:sz w:val="24"/>
          <w:szCs w:val="24"/>
          <w:lang w:val="en-US"/>
        </w:rPr>
      </w:pPr>
      <w:r>
        <w:rPr>
          <w:rFonts w:ascii="宋体" w:hAnsi="宋体" w:eastAsia="宋体"/>
          <w:b/>
          <w:bCs/>
          <w:color w:val="0000ff"/>
          <w:sz w:val="24"/>
          <w:szCs w:val="24"/>
          <w:lang w:val="en-US"/>
        </w:rPr>
      </w:r>
      <w:r>
        <w:rPr>
          <w:rFonts w:ascii="宋体" w:hAnsi="宋体" w:eastAsia="宋体"/>
          <w:b/>
          <w:bCs/>
          <w:color w:val="0000ff"/>
          <w:sz w:val="24"/>
          <w:szCs w:val="24"/>
          <w:lang w:val="en-US"/>
        </w:rPr>
      </w:r>
    </w:p>
    <w:p>
      <w:pPr>
        <w:pStyle w:val="731"/>
        <w:rPr>
          <w:rFonts w:ascii="宋体" w:hAnsi="宋体" w:eastAsia="宋体"/>
          <w:b/>
          <w:bCs/>
          <w:color w:val="0000ff"/>
          <w:sz w:val="24"/>
          <w:szCs w:val="24"/>
          <w:lang w:val="en-US"/>
        </w:rPr>
      </w:pPr>
      <w:r>
        <w:rPr>
          <w:rFonts w:ascii="宋体" w:hAnsi="宋体" w:eastAsia="宋体"/>
          <w:b/>
          <w:bCs/>
          <w:color w:val="0000ff"/>
          <w:sz w:val="24"/>
          <w:szCs w:val="24"/>
          <w:lang w:val="en-US"/>
        </w:rPr>
      </w:r>
      <w:r>
        <w:rPr>
          <w:rFonts w:ascii="宋体" w:hAnsi="宋体" w:eastAsia="宋体"/>
          <w:b/>
          <w:bCs/>
          <w:color w:val="0000ff"/>
          <w:sz w:val="24"/>
          <w:szCs w:val="24"/>
          <w:lang w:val="en-US"/>
        </w:rPr>
      </w:r>
    </w:p>
    <w:p>
      <w:pPr>
        <w:pStyle w:val="731"/>
        <w:rPr>
          <w:rFonts w:ascii="宋体" w:hAnsi="宋体" w:eastAsia="宋体"/>
          <w:b/>
          <w:bCs/>
          <w:color w:val="0000ff"/>
          <w:sz w:val="24"/>
          <w:szCs w:val="24"/>
          <w:lang w:val="en-US"/>
        </w:rPr>
      </w:pPr>
      <w:r>
        <w:rPr>
          <w:rFonts w:ascii="宋体" w:hAnsi="宋体" w:eastAsia="宋体"/>
          <w:b/>
          <w:bCs/>
          <w:color w:val="0000ff"/>
          <w:sz w:val="24"/>
          <w:szCs w:val="24"/>
          <w:lang w:val="en-US"/>
        </w:rPr>
      </w:r>
      <w:r>
        <w:rPr>
          <w:rFonts w:ascii="宋体" w:hAnsi="宋体" w:eastAsia="宋体"/>
          <w:b/>
          <w:bCs/>
          <w:color w:val="0000ff"/>
          <w:sz w:val="24"/>
          <w:szCs w:val="24"/>
          <w:lang w:val="en-US"/>
        </w:rPr>
      </w:r>
    </w:p>
    <w:p>
      <w:pPr>
        <w:pStyle w:val="731"/>
        <w:rPr>
          <w:rFonts w:ascii="宋体" w:hAnsi="宋体" w:eastAsia="宋体"/>
          <w:b/>
          <w:bCs/>
          <w:color w:val="0000ff"/>
          <w:sz w:val="24"/>
          <w:szCs w:val="24"/>
          <w:lang w:val="en-US"/>
        </w:rPr>
      </w:pPr>
      <w:r>
        <w:rPr>
          <w:rFonts w:ascii="宋体" w:hAnsi="宋体" w:eastAsia="宋体"/>
          <w:b/>
          <w:bCs/>
          <w:color w:val="0000ff"/>
          <w:sz w:val="24"/>
          <w:szCs w:val="24"/>
          <w:lang w:val="en-US"/>
        </w:rPr>
      </w:r>
      <w:r>
        <w:rPr>
          <w:rFonts w:ascii="宋体" w:hAnsi="宋体" w:eastAsia="宋体"/>
          <w:b/>
          <w:bCs/>
          <w:color w:val="0000ff"/>
          <w:sz w:val="24"/>
          <w:szCs w:val="24"/>
          <w:lang w:val="en-US"/>
        </w:rPr>
      </w:r>
    </w:p>
    <w:p>
      <w:pPr>
        <w:pStyle w:val="731"/>
        <w:rPr>
          <w:rFonts w:ascii="宋体" w:hAnsi="宋体" w:eastAsia="宋体"/>
          <w:b/>
          <w:bCs/>
          <w:color w:val="0000ff"/>
          <w:sz w:val="24"/>
          <w:szCs w:val="24"/>
          <w:lang w:val="en-US"/>
        </w:rPr>
      </w:pPr>
      <w:r>
        <w:rPr>
          <w:rFonts w:ascii="宋体" w:hAnsi="宋体" w:eastAsia="宋体"/>
          <w:b/>
          <w:bCs/>
          <w:color w:val="0000ff"/>
          <w:sz w:val="24"/>
          <w:szCs w:val="24"/>
          <w:lang w:val="en-US"/>
        </w:rPr>
      </w:r>
      <w:r>
        <w:rPr>
          <w:rFonts w:ascii="宋体" w:hAnsi="宋体" w:eastAsia="宋体"/>
          <w:b/>
          <w:bCs/>
          <w:color w:val="0000ff"/>
          <w:sz w:val="24"/>
          <w:szCs w:val="24"/>
          <w:lang w:val="en-US"/>
        </w:rPr>
      </w:r>
    </w:p>
    <w:p>
      <w:pPr>
        <w:pStyle w:val="731"/>
        <w:rPr>
          <w:rFonts w:ascii="宋体" w:hAnsi="宋体" w:eastAsia="宋体"/>
          <w:b/>
          <w:bCs/>
          <w:color w:val="0000ff"/>
          <w:sz w:val="24"/>
          <w:szCs w:val="24"/>
          <w:lang w:val="en-US"/>
        </w:rPr>
      </w:pPr>
      <w:r>
        <w:rPr>
          <w:rFonts w:ascii="宋体" w:hAnsi="宋体" w:eastAsia="宋体"/>
          <w:b/>
          <w:bCs/>
          <w:color w:val="0000ff"/>
          <w:sz w:val="24"/>
          <w:szCs w:val="24"/>
          <w:lang w:val="en-US"/>
        </w:rPr>
      </w:r>
      <w:r>
        <w:rPr>
          <w:rFonts w:ascii="宋体" w:hAnsi="宋体" w:eastAsia="宋体"/>
          <w:b/>
          <w:bCs/>
          <w:color w:val="0000ff"/>
          <w:sz w:val="24"/>
          <w:szCs w:val="24"/>
          <w:lang w:val="en-US"/>
        </w:rPr>
      </w:r>
    </w:p>
    <w:p>
      <w:pPr>
        <w:pStyle w:val="731"/>
        <w:rPr>
          <w:rFonts w:ascii="宋体" w:hAnsi="宋体" w:eastAsia="宋体"/>
          <w:b/>
          <w:bCs/>
          <w:color w:val="0000ff"/>
          <w:sz w:val="24"/>
          <w:szCs w:val="24"/>
          <w:lang w:val="en-US"/>
        </w:rPr>
      </w:pPr>
      <w:r>
        <w:rPr>
          <w:rFonts w:ascii="宋体" w:hAnsi="宋体" w:eastAsia="宋体"/>
          <w:b/>
          <w:bCs/>
          <w:color w:val="0000ff"/>
          <w:sz w:val="24"/>
          <w:szCs w:val="24"/>
          <w:lang w:val="en-US"/>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85"/>
      <w:r/>
      <w:bookmarkEnd w:id="186"/>
      <w:r/>
      <w:bookmarkEnd w:id="187"/>
      <w:r>
        <w:rPr>
          <w:rFonts w:hint="eastAsia" w:ascii="方正小标宋简体" w:hAnsi="方正小标宋简体" w:eastAsia="方正小标宋简体" w:cs="方正小标宋简体"/>
          <w:color w:val="000000"/>
          <w:sz w:val="36"/>
          <w:szCs w:val="36"/>
        </w:rPr>
        <w:t xml:space="preserve">文件格式 </w:t>
      </w:r>
      <w:r/>
    </w:p>
    <w:p>
      <w:pPr>
        <w:jc w:val="center"/>
        <w:rPr>
          <w:rFonts w:ascii="宋体" w:hAnsi="宋体"/>
          <w:b/>
          <w:sz w:val="72"/>
        </w:rPr>
      </w:pPr>
      <w:r/>
      <w:bookmarkStart w:id="189" w:name="_Hlt26671244"/>
      <w:r/>
      <w:bookmarkStart w:id="190" w:name="_Hlt26955039"/>
      <w:r/>
      <w:bookmarkStart w:id="191" w:name="_Toc26554094"/>
      <w:r/>
      <w:bookmarkStart w:id="192" w:name="_Toc49090576"/>
      <w:r/>
      <w:bookmarkStart w:id="193" w:name="_Toc120614282"/>
      <w:r/>
      <w:bookmarkEnd w:id="189"/>
      <w:r/>
      <w:bookmarkEnd w:id="190"/>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rPr>
          <w:rFonts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734"/>
        <w:rPr>
          <w:sz w:val="24"/>
        </w:rPr>
      </w:pPr>
      <w:r>
        <w:rPr>
          <w:sz w:val="24"/>
        </w:rPr>
      </w:r>
      <w:r/>
    </w:p>
    <w:p>
      <w:pPr>
        <w:pStyle w:val="734"/>
        <w:rPr>
          <w:sz w:val="24"/>
        </w:rPr>
      </w:pPr>
      <w:r>
        <w:rPr>
          <w:sz w:val="24"/>
        </w:rPr>
      </w:r>
      <w:r/>
    </w:p>
    <w:p>
      <w:pPr>
        <w:pStyle w:val="734"/>
        <w:rPr>
          <w:sz w:val="24"/>
        </w:rPr>
      </w:pPr>
      <w:r>
        <w:rPr>
          <w:sz w:val="24"/>
        </w:rPr>
      </w:r>
      <w:r/>
    </w:p>
    <w:p>
      <w:pPr>
        <w:pStyle w:val="734"/>
        <w:rPr>
          <w:sz w:val="24"/>
        </w:rPr>
      </w:pPr>
      <w:r>
        <w:rPr>
          <w:sz w:val="24"/>
        </w:rPr>
      </w:r>
      <w:r/>
    </w:p>
    <w:p>
      <w:pPr>
        <w:pStyle w:val="734"/>
        <w:rPr>
          <w:sz w:val="24"/>
        </w:rPr>
      </w:pPr>
      <w:r>
        <w:rPr>
          <w:sz w:val="24"/>
        </w:rPr>
      </w:r>
      <w:r/>
    </w:p>
    <w:p>
      <w:pPr>
        <w:pStyle w:val="734"/>
        <w:rPr>
          <w:sz w:val="24"/>
        </w:rPr>
      </w:pPr>
      <w:r>
        <w:rPr>
          <w:sz w:val="24"/>
        </w:rPr>
      </w:r>
      <w:r/>
    </w:p>
    <w:p>
      <w:pPr>
        <w:pStyle w:val="734"/>
        <w:rPr>
          <w:sz w:val="24"/>
        </w:rPr>
      </w:pPr>
      <w:r>
        <w:rPr>
          <w:sz w:val="24"/>
        </w:rPr>
      </w:r>
      <w:r/>
    </w:p>
    <w:p>
      <w:pPr>
        <w:pStyle w:val="734"/>
        <w:rPr>
          <w:sz w:val="24"/>
        </w:rPr>
      </w:pPr>
      <w:r>
        <w:rPr>
          <w:sz w:val="24"/>
        </w:rPr>
      </w:r>
      <w:r/>
    </w:p>
    <w:p>
      <w:pPr>
        <w:pStyle w:val="734"/>
        <w:rPr>
          <w:sz w:val="24"/>
        </w:rPr>
      </w:pPr>
      <w:r>
        <w:rPr>
          <w:sz w:val="24"/>
        </w:rPr>
      </w:r>
      <w:r/>
    </w:p>
    <w:p>
      <w:pPr>
        <w:pStyle w:val="734"/>
        <w:rPr>
          <w:sz w:val="24"/>
        </w:rPr>
      </w:pPr>
      <w:r>
        <w:rPr>
          <w:sz w:val="24"/>
        </w:rPr>
      </w:r>
      <w:r/>
    </w:p>
    <w:p>
      <w:pPr>
        <w:pStyle w:val="734"/>
        <w:rPr>
          <w:sz w:val="24"/>
        </w:rPr>
      </w:pPr>
      <w:r>
        <w:rPr>
          <w:sz w:val="24"/>
        </w:rPr>
      </w:r>
      <w:r/>
    </w:p>
    <w:p>
      <w:pPr>
        <w:pStyle w:val="734"/>
        <w:rPr>
          <w:sz w:val="24"/>
        </w:rPr>
      </w:pPr>
      <w:r>
        <w:rPr>
          <w:sz w:val="24"/>
        </w:rPr>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bookmarkStart w:id="194" w:name="_Toc120614284"/>
      <w:r/>
      <w:bookmarkEnd w:id="191"/>
      <w:r/>
      <w:bookmarkEnd w:id="192"/>
      <w:r/>
      <w:bookmarkEnd w:id="193"/>
      <w:r/>
      <w:r/>
    </w:p>
    <w:p>
      <w:pPr>
        <w:rPr>
          <w:rFonts w:ascii="黑体" w:hAnsi="黑体" w:eastAsia="黑体"/>
          <w:bCs/>
          <w:i/>
          <w:sz w:val="32"/>
          <w:szCs w:val="32"/>
          <w:u w:val="single"/>
        </w:rPr>
      </w:pPr>
      <w:r>
        <w:rPr>
          <w:rFonts w:ascii="黑体" w:hAnsi="黑体" w:eastAsia="黑体"/>
          <w:i/>
          <w:sz w:val="32"/>
          <w:szCs w:val="32"/>
          <w:u w:val="single"/>
        </w:rPr>
      </w:r>
      <w:r>
        <w:rPr>
          <w:rFonts w:ascii="黑体" w:hAnsi="黑体" w:eastAsia="黑体"/>
          <w:i/>
          <w:sz w:val="32"/>
          <w:szCs w:val="32"/>
          <w:u w:val="single"/>
        </w:rPr>
      </w:r>
    </w:p>
    <w:p>
      <w:pPr>
        <w:rPr>
          <w:rFonts w:ascii="黑体" w:hAnsi="黑体" w:eastAsia="黑体"/>
          <w:bCs/>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南京市公共资源交易中心江宁分中心：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一</w:t>
      </w:r>
      <w:r>
        <w:rPr>
          <w:rFonts w:hint="eastAsia" w:ascii="宋体" w:hAnsi="宋体"/>
          <w:color w:val="000000"/>
          <w:sz w:val="24"/>
          <w:szCs w:val="24"/>
        </w:rPr>
        <w:t xml:space="preserve">)具有独立承担民事责任的能力；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767"/>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日期：</w:t>
      </w:r>
      <w:r/>
    </w:p>
    <w:p>
      <w:pPr>
        <w:rPr>
          <w:sz w:val="24"/>
          <w:szCs w:val="24"/>
        </w:rPr>
      </w:pPr>
      <w:r>
        <w:rPr>
          <w:sz w:val="24"/>
          <w:szCs w:val="24"/>
        </w:rPr>
      </w:r>
      <w:r/>
    </w:p>
    <w:p>
      <w:pPr>
        <w:pStyle w:val="774"/>
      </w:pPr>
      <w:r/>
      <w:r/>
    </w:p>
    <w:p>
      <w:pPr>
        <w:pStyle w:val="769"/>
        <w:rPr>
          <w:rFonts w:ascii="宋体" w:hAnsi="宋体"/>
          <w:b/>
          <w:bCs/>
          <w:lang w:eastAsia="zh-CN"/>
        </w:rPr>
      </w:pPr>
      <w:r>
        <w:rPr>
          <w:rFonts w:ascii="宋体" w:hAnsi="宋体"/>
          <w:b/>
          <w:bCs/>
          <w:lang w:eastAsia="zh-CN"/>
        </w:rPr>
      </w:r>
      <w:r/>
    </w:p>
    <w:p>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743"/>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769"/>
        <w:rPr>
          <w:lang w:eastAsia="zh-CN"/>
        </w:rPr>
      </w:pPr>
      <w:r>
        <w:rPr>
          <w:lang w:eastAsia="zh-CN"/>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ind w:firstLine="480"/>
        <w:spacing w:line="480" w:lineRule="exact"/>
        <w:tabs>
          <w:tab w:val="left" w:pos="360" w:leader="none"/>
        </w:tabs>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ind w:firstLine="480"/>
        <w:spacing w:line="480" w:lineRule="exact"/>
        <w:tabs>
          <w:tab w:val="left" w:pos="360" w:leader="none"/>
        </w:tabs>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ind w:firstLine="480"/>
        <w:spacing w:line="480" w:lineRule="exact"/>
        <w:tabs>
          <w:tab w:val="left" w:pos="360" w:leader="none"/>
        </w:tabs>
        <w:rPr>
          <w:sz w:val="24"/>
          <w:szCs w:val="24"/>
        </w:rPr>
      </w:pPr>
      <w:r>
        <w:rPr>
          <w:rFonts w:hint="eastAsia"/>
          <w:sz w:val="24"/>
          <w:szCs w:val="24"/>
        </w:rPr>
        <w:t xml:space="preserve">被授权人身份证号码：</w:t>
      </w:r>
      <w:r/>
    </w:p>
    <w:p>
      <w:pPr>
        <w:ind w:firstLine="480"/>
        <w:spacing w:line="480" w:lineRule="exact"/>
        <w:tabs>
          <w:tab w:val="left" w:pos="360" w:leader="none"/>
        </w:tabs>
        <w:rPr>
          <w:sz w:val="24"/>
          <w:szCs w:val="24"/>
          <w:u w:val="single"/>
        </w:rPr>
      </w:pPr>
      <w:r>
        <w:rPr>
          <w:rFonts w:hint="eastAsia"/>
          <w:sz w:val="24"/>
          <w:szCs w:val="24"/>
        </w:rPr>
        <w:t xml:space="preserve">被授权人联系电话：（手机）</w:t>
      </w:r>
      <w:r/>
    </w:p>
    <w:p>
      <w:pPr>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ind w:firstLine="480"/>
        <w:spacing w:line="480" w:lineRule="exact"/>
        <w:tabs>
          <w:tab w:val="left" w:pos="360" w:leader="none"/>
        </w:tabs>
        <w:rPr>
          <w:sz w:val="24"/>
          <w:szCs w:val="24"/>
          <w:u w:val="single"/>
        </w:rPr>
      </w:pPr>
      <w:r>
        <w:rPr>
          <w:rFonts w:hint="eastAsia"/>
          <w:sz w:val="24"/>
          <w:szCs w:val="24"/>
        </w:rPr>
        <w:t xml:space="preserve">单位地址：</w:t>
      </w:r>
      <w:r/>
    </w:p>
    <w:p>
      <w:pPr>
        <w:ind w:firstLine="480"/>
        <w:spacing w:line="480" w:lineRule="exact"/>
        <w:tabs>
          <w:tab w:val="left" w:pos="360" w:leader="none"/>
        </w:tabs>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195" w:name="_Hlt26955070"/>
      <w:r/>
      <w:bookmarkStart w:id="196" w:name="_Hlt26671380"/>
      <w:r/>
      <w:bookmarkStart w:id="197" w:name="_格式3__银行出具的资信证明"/>
      <w:r/>
      <w:bookmarkEnd w:id="195"/>
      <w:r/>
      <w:bookmarkEnd w:id="196"/>
      <w:r/>
      <w:bookmarkEnd w:id="197"/>
      <w:r/>
      <w:r/>
    </w:p>
    <w:p>
      <w:pPr>
        <w:ind w:firstLine="420"/>
        <w:rPr>
          <w:i/>
          <w:sz w:val="24"/>
          <w:szCs w:val="24"/>
          <w:u w:val="single"/>
        </w:rPr>
      </w:pPr>
      <w:r>
        <w:rPr>
          <w:i/>
          <w:sz w:val="24"/>
          <w:szCs w:val="24"/>
          <w:u w:val="single"/>
        </w:rPr>
      </w:r>
      <w:r/>
    </w:p>
    <w:p>
      <w:pPr>
        <w:ind w:firstLine="420"/>
        <w:rPr>
          <w:i/>
          <w:sz w:val="24"/>
          <w:szCs w:val="24"/>
          <w:u w:val="single"/>
        </w:rPr>
      </w:pPr>
      <w:r>
        <w:rPr>
          <w:i/>
          <w:sz w:val="24"/>
          <w:szCs w:val="24"/>
          <w:u w:val="single"/>
        </w:rPr>
      </w:r>
      <w:r/>
    </w:p>
    <w:p>
      <w:pPr>
        <w:ind w:firstLine="420"/>
        <w:rPr>
          <w:i/>
          <w:sz w:val="24"/>
          <w:szCs w:val="24"/>
          <w:u w:val="single"/>
        </w:rPr>
      </w:pPr>
      <w:r>
        <w:rPr>
          <w:i/>
          <w:sz w:val="24"/>
          <w:szCs w:val="24"/>
          <w:u w:val="single"/>
        </w:rPr>
      </w:r>
      <w:r/>
    </w:p>
    <w:p>
      <w:pPr>
        <w:spacing w:line="460" w:lineRule="exact"/>
        <w:rPr>
          <w:rFonts w:ascii="楷体" w:hAnsi="楷体" w:eastAsia="楷体"/>
          <w:sz w:val="24"/>
          <w:szCs w:val="24"/>
        </w:rPr>
      </w:pPr>
      <w:r>
        <w:rPr>
          <w:rFonts w:ascii="楷体" w:hAnsi="楷体" w:eastAsia="楷体"/>
          <w:bCs/>
          <w:sz w:val="24"/>
          <w:szCs w:val="24"/>
        </w:rPr>
      </w:r>
      <w:r>
        <w:rPr>
          <w:rFonts w:ascii="楷体" w:hAnsi="楷体" w:eastAsia="楷体"/>
          <w:bCs/>
          <w:sz w:val="24"/>
          <w:szCs w:val="24"/>
        </w:rPr>
      </w:r>
    </w:p>
    <w:p>
      <w:pPr>
        <w:spacing w:line="460" w:lineRule="exact"/>
        <w:rPr>
          <w:rFonts w:ascii="楷体" w:hAnsi="楷体" w:eastAsia="楷体"/>
          <w:sz w:val="24"/>
          <w:szCs w:val="24"/>
        </w:rPr>
      </w:pPr>
      <w:r>
        <w:rPr>
          <w:rFonts w:ascii="楷体" w:hAnsi="楷体" w:eastAsia="楷体"/>
          <w:sz w:val="24"/>
          <w:szCs w:val="24"/>
        </w:rPr>
      </w:r>
      <w:r>
        <w:rPr>
          <w:rFonts w:ascii="楷体" w:hAnsi="楷体" w:eastAsia="楷体"/>
          <w:sz w:val="24"/>
          <w:szCs w:val="24"/>
        </w:rPr>
      </w:r>
    </w:p>
    <w:p>
      <w:pPr>
        <w:spacing w:line="460" w:lineRule="exact"/>
        <w:rPr>
          <w:rFonts w:ascii="楷体" w:hAnsi="楷体" w:eastAsia="楷体"/>
          <w:sz w:val="24"/>
          <w:szCs w:val="24"/>
        </w:rPr>
      </w:pPr>
      <w:r>
        <w:rPr>
          <w:rFonts w:ascii="楷体" w:hAnsi="楷体" w:eastAsia="楷体"/>
          <w:sz w:val="24"/>
          <w:szCs w:val="24"/>
        </w:rPr>
      </w:r>
      <w:r>
        <w:rPr>
          <w:rFonts w:ascii="楷体" w:hAnsi="楷体" w:eastAsia="楷体"/>
          <w:sz w:val="24"/>
          <w:szCs w:val="24"/>
        </w:rPr>
      </w:r>
    </w:p>
    <w:p>
      <w:pPr>
        <w:spacing w:line="460" w:lineRule="exact"/>
        <w:rPr>
          <w:rFonts w:ascii="楷体" w:hAnsi="楷体" w:eastAsia="楷体"/>
          <w:sz w:val="24"/>
          <w:szCs w:val="24"/>
        </w:rPr>
      </w:pPr>
      <w:r>
        <w:rPr>
          <w:rFonts w:ascii="楷体" w:hAnsi="楷体" w:eastAsia="楷体"/>
          <w:sz w:val="24"/>
          <w:szCs w:val="24"/>
        </w:rPr>
      </w:r>
      <w:r>
        <w:rPr>
          <w:rFonts w:ascii="楷体" w:hAnsi="楷体" w:eastAsia="楷体"/>
          <w:sz w:val="24"/>
          <w:szCs w:val="24"/>
        </w:rPr>
      </w:r>
    </w:p>
    <w:p>
      <w:pPr>
        <w:spacing w:line="460" w:lineRule="exact"/>
        <w:rPr>
          <w:rFonts w:ascii="楷体" w:hAnsi="楷体" w:eastAsia="楷体"/>
          <w:sz w:val="24"/>
          <w:szCs w:val="24"/>
        </w:rPr>
      </w:pPr>
      <w:r>
        <w:rPr>
          <w:rFonts w:ascii="楷体" w:hAnsi="楷体" w:eastAsia="楷体"/>
          <w:sz w:val="24"/>
          <w:szCs w:val="24"/>
        </w:rPr>
      </w:r>
      <w:r>
        <w:rPr>
          <w:rFonts w:ascii="楷体" w:hAnsi="楷体" w:eastAsia="楷体"/>
          <w:sz w:val="24"/>
          <w:szCs w:val="24"/>
        </w:rPr>
      </w:r>
    </w:p>
    <w:p>
      <w:pPr>
        <w:spacing w:line="460" w:lineRule="exact"/>
        <w:rPr>
          <w:rFonts w:ascii="楷体" w:hAnsi="楷体" w:eastAsia="楷体"/>
          <w:sz w:val="24"/>
          <w:szCs w:val="24"/>
        </w:rPr>
      </w:pPr>
      <w:r>
        <w:rPr>
          <w:rFonts w:ascii="楷体" w:hAnsi="楷体" w:eastAsia="楷体"/>
          <w:sz w:val="24"/>
          <w:szCs w:val="24"/>
        </w:rPr>
      </w:r>
      <w:r>
        <w:rPr>
          <w:rFonts w:ascii="楷体" w:hAnsi="楷体" w:eastAsia="楷体"/>
          <w:sz w:val="24"/>
          <w:szCs w:val="24"/>
        </w:rPr>
      </w:r>
    </w:p>
    <w:p>
      <w:pPr>
        <w:spacing w:line="460" w:lineRule="exact"/>
        <w:rPr>
          <w:rFonts w:ascii="楷体" w:hAnsi="楷体" w:eastAsia="楷体"/>
          <w:sz w:val="24"/>
          <w:szCs w:val="24"/>
        </w:rPr>
      </w:pPr>
      <w:r>
        <w:rPr>
          <w:rFonts w:ascii="楷体" w:hAnsi="楷体" w:eastAsia="楷体"/>
          <w:sz w:val="24"/>
          <w:szCs w:val="24"/>
        </w:rPr>
      </w:r>
      <w:r>
        <w:rPr>
          <w:rFonts w:ascii="楷体" w:hAnsi="楷体" w:eastAsia="楷体"/>
          <w:sz w:val="24"/>
          <w:szCs w:val="24"/>
        </w:rPr>
      </w:r>
    </w:p>
    <w:p>
      <w:pPr>
        <w:spacing w:line="460" w:lineRule="exact"/>
        <w:rPr>
          <w:rFonts w:ascii="楷体" w:hAnsi="楷体" w:eastAsia="楷体"/>
          <w:sz w:val="24"/>
          <w:szCs w:val="24"/>
        </w:rPr>
      </w:pPr>
      <w:r>
        <w:rPr>
          <w:rFonts w:ascii="楷体" w:hAnsi="楷体" w:eastAsia="楷体"/>
          <w:sz w:val="24"/>
          <w:szCs w:val="24"/>
        </w:rPr>
      </w:r>
      <w:r>
        <w:rPr>
          <w:rFonts w:ascii="楷体" w:hAnsi="楷体" w:eastAsia="楷体"/>
          <w:sz w:val="24"/>
          <w:szCs w:val="24"/>
        </w:rPr>
      </w:r>
    </w:p>
    <w:p>
      <w:pPr>
        <w:spacing w:line="460" w:lineRule="exact"/>
        <w:rPr>
          <w:rFonts w:ascii="楷体" w:hAnsi="楷体" w:eastAsia="楷体"/>
          <w:sz w:val="24"/>
          <w:szCs w:val="24"/>
        </w:rPr>
      </w:pPr>
      <w:r>
        <w:rPr>
          <w:rFonts w:ascii="楷体" w:hAnsi="楷体" w:eastAsia="楷体"/>
          <w:sz w:val="24"/>
          <w:szCs w:val="24"/>
        </w:rPr>
      </w:r>
      <w:r>
        <w:rPr>
          <w:rFonts w:ascii="楷体" w:hAnsi="楷体" w:eastAsia="楷体"/>
          <w:sz w:val="24"/>
          <w:szCs w:val="24"/>
        </w:rPr>
      </w:r>
    </w:p>
    <w:p>
      <w:pPr>
        <w:spacing w:line="460" w:lineRule="exact"/>
        <w:rPr>
          <w:rFonts w:ascii="楷体" w:hAnsi="楷体" w:eastAsia="楷体"/>
          <w:sz w:val="24"/>
          <w:szCs w:val="24"/>
        </w:rPr>
      </w:pPr>
      <w:r>
        <w:rPr>
          <w:rFonts w:ascii="楷体" w:hAnsi="楷体" w:eastAsia="楷体"/>
          <w:sz w:val="24"/>
          <w:szCs w:val="24"/>
        </w:rPr>
      </w:r>
      <w:r>
        <w:rPr>
          <w:rFonts w:ascii="楷体" w:hAnsi="楷体" w:eastAsia="楷体"/>
          <w:sz w:val="24"/>
          <w:szCs w:val="24"/>
        </w:rPr>
      </w:r>
    </w:p>
    <w:p>
      <w:pPr>
        <w:spacing w:line="460" w:lineRule="exact"/>
        <w:rPr>
          <w:rFonts w:ascii="楷体" w:hAnsi="楷体" w:eastAsia="楷体"/>
          <w:sz w:val="24"/>
          <w:szCs w:val="24"/>
        </w:rPr>
      </w:pPr>
      <w:r>
        <w:rPr>
          <w:rFonts w:ascii="楷体" w:hAnsi="楷体" w:eastAsia="楷体"/>
          <w:sz w:val="24"/>
          <w:szCs w:val="24"/>
        </w:rPr>
      </w:r>
      <w:r>
        <w:rPr>
          <w:rFonts w:ascii="楷体" w:hAnsi="楷体" w:eastAsia="楷体"/>
          <w:sz w:val="24"/>
          <w:szCs w:val="24"/>
        </w:rPr>
      </w:r>
    </w:p>
    <w:p>
      <w:pPr>
        <w:spacing w:line="460" w:lineRule="exact"/>
        <w:rPr>
          <w:rFonts w:ascii="楷体" w:hAnsi="楷体" w:eastAsia="楷体"/>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734"/>
        <w:rPr>
          <w:bCs/>
          <w:sz w:val="24"/>
        </w:rPr>
      </w:pPr>
      <w:r>
        <w:rPr>
          <w:bCs/>
          <w:sz w:val="24"/>
        </w:rPr>
      </w:r>
      <w:r/>
    </w:p>
    <w:p>
      <w:pPr>
        <w:pStyle w:val="734"/>
        <w:rPr>
          <w:bCs/>
          <w:sz w:val="24"/>
        </w:rPr>
      </w:pPr>
      <w:r>
        <w:rPr>
          <w:bCs/>
          <w:sz w:val="24"/>
        </w:rPr>
      </w:r>
      <w:r/>
    </w:p>
    <w:p>
      <w:pPr>
        <w:pStyle w:val="734"/>
        <w:rPr>
          <w:bCs/>
          <w:sz w:val="24"/>
        </w:rPr>
      </w:pPr>
      <w:r>
        <w:rPr>
          <w:bCs/>
          <w:sz w:val="24"/>
        </w:rPr>
      </w:r>
      <w:r/>
    </w:p>
    <w:p>
      <w:pPr>
        <w:pStyle w:val="734"/>
        <w:rPr>
          <w:bCs/>
          <w:sz w:val="24"/>
        </w:rPr>
      </w:pPr>
      <w:r>
        <w:rPr>
          <w:bCs/>
          <w:sz w:val="24"/>
        </w:rPr>
      </w:r>
      <w:r/>
    </w:p>
    <w:p>
      <w:pPr>
        <w:pStyle w:val="734"/>
        <w:rPr>
          <w:bCs/>
          <w:sz w:val="24"/>
        </w:rPr>
      </w:pPr>
      <w:r>
        <w:rPr>
          <w:bCs/>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744"/>
        <w:spacing w:before="0" w:after="0" w:line="420" w:lineRule="exact"/>
        <w:rPr>
          <w:rFonts w:ascii="宋体" w:hAnsi="宋体"/>
          <w:szCs w:val="21"/>
        </w:rPr>
      </w:pPr>
      <w:r>
        <w:rPr>
          <w:rFonts w:hint="eastAsia" w:ascii="宋体" w:hAnsi="宋体"/>
          <w:szCs w:val="21"/>
        </w:rPr>
        <w:t xml:space="preserve">致：南京市公共资源交易中心江宁分中心</w:t>
      </w:r>
      <w:r/>
    </w:p>
    <w:p>
      <w:pPr>
        <w:pStyle w:val="744"/>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744"/>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744"/>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744"/>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44"/>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4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4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744"/>
        <w:spacing w:before="0" w:after="0" w:line="420" w:lineRule="exact"/>
        <w:rPr>
          <w:rFonts w:ascii="宋体" w:hAnsi="宋体"/>
          <w:szCs w:val="21"/>
        </w:rPr>
      </w:pPr>
      <w:r>
        <w:rPr>
          <w:rFonts w:hint="eastAsia" w:ascii="宋体" w:hAnsi="宋体"/>
          <w:szCs w:val="21"/>
        </w:rPr>
        <w:t xml:space="preserve">8.我方与本次投标有关信息</w:t>
      </w:r>
      <w:r/>
    </w:p>
    <w:p>
      <w:pPr>
        <w:pStyle w:val="744"/>
        <w:spacing w:before="0" w:after="0" w:line="420" w:lineRule="exact"/>
        <w:rPr>
          <w:rFonts w:ascii="宋体" w:hAnsi="宋体"/>
          <w:szCs w:val="21"/>
        </w:rPr>
      </w:pPr>
      <w:r>
        <w:rPr>
          <w:rFonts w:hint="eastAsia" w:ascii="宋体" w:hAnsi="宋体"/>
          <w:szCs w:val="21"/>
        </w:rPr>
        <w:t xml:space="preserve">地  址：</w:t>
      </w:r>
      <w:r/>
    </w:p>
    <w:p>
      <w:pPr>
        <w:pStyle w:val="744"/>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744"/>
        <w:spacing w:before="0" w:after="0" w:line="420" w:lineRule="exact"/>
        <w:rPr>
          <w:rFonts w:ascii="宋体" w:hAnsi="宋体"/>
          <w:szCs w:val="21"/>
          <w:u w:val="single"/>
        </w:rPr>
      </w:pPr>
      <w:r>
        <w:rPr>
          <w:rFonts w:hint="eastAsia" w:ascii="宋体" w:hAnsi="宋体"/>
          <w:szCs w:val="21"/>
        </w:rPr>
        <w:t xml:space="preserve">电  话：</w:t>
      </w:r>
      <w:r/>
    </w:p>
    <w:p>
      <w:pPr>
        <w:pStyle w:val="744"/>
        <w:spacing w:before="0" w:after="0" w:line="420" w:lineRule="exact"/>
        <w:rPr>
          <w:rFonts w:ascii="宋体" w:hAnsi="宋体"/>
          <w:szCs w:val="21"/>
          <w:u w:val="single"/>
        </w:rPr>
      </w:pPr>
      <w:r>
        <w:rPr>
          <w:rFonts w:hint="eastAsia" w:ascii="宋体" w:hAnsi="宋体"/>
          <w:szCs w:val="21"/>
        </w:rPr>
        <w:t xml:space="preserve">传  真：</w:t>
      </w:r>
      <w:r/>
    </w:p>
    <w:p>
      <w:pPr>
        <w:pStyle w:val="744"/>
        <w:spacing w:before="0" w:after="0" w:line="420" w:lineRule="exact"/>
        <w:rPr>
          <w:rFonts w:ascii="宋体" w:hAnsi="宋体"/>
          <w:szCs w:val="21"/>
          <w:u w:val="single"/>
        </w:rPr>
      </w:pPr>
      <w:r>
        <w:rPr>
          <w:rFonts w:hint="eastAsia" w:ascii="宋体" w:hAnsi="宋体"/>
          <w:szCs w:val="21"/>
        </w:rPr>
        <w:t xml:space="preserve">开户行：</w:t>
      </w:r>
      <w:r/>
    </w:p>
    <w:p>
      <w:pPr>
        <w:pStyle w:val="744"/>
        <w:spacing w:before="0" w:after="0" w:line="420" w:lineRule="exact"/>
        <w:rPr>
          <w:rFonts w:ascii="宋体" w:hAnsi="宋体"/>
          <w:szCs w:val="21"/>
          <w:u w:val="single"/>
        </w:rPr>
      </w:pPr>
      <w:r>
        <w:rPr>
          <w:rFonts w:hint="eastAsia" w:ascii="宋体" w:hAnsi="宋体"/>
          <w:szCs w:val="21"/>
        </w:rPr>
        <w:t xml:space="preserve">账</w:t>
      </w:r>
      <w:r>
        <w:rPr>
          <w:rFonts w:hint="eastAsia" w:ascii="宋体" w:hAnsi="宋体"/>
          <w:szCs w:val="21"/>
        </w:rPr>
        <w:t xml:space="preserve">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744"/>
        <w:spacing w:before="0" w:after="0" w:line="420" w:lineRule="exact"/>
        <w:rPr>
          <w:rFonts w:ascii="宋体" w:hAnsi="宋体"/>
          <w:szCs w:val="21"/>
        </w:rPr>
      </w:pPr>
      <w:r>
        <w:rPr>
          <w:rFonts w:hint="eastAsia" w:ascii="宋体" w:hAnsi="宋体"/>
          <w:szCs w:val="21"/>
        </w:rPr>
        <w:t xml:space="preserve">日  期：</w:t>
      </w:r>
      <w:r/>
    </w:p>
    <w:p>
      <w:pPr>
        <w:pStyle w:val="744"/>
        <w:ind w:left="420"/>
        <w:spacing w:before="0" w:after="0" w:line="420" w:lineRule="exact"/>
        <w:rPr>
          <w:rFonts w:ascii="宋体" w:hAnsi="宋体"/>
          <w:szCs w:val="21"/>
        </w:rPr>
      </w:pPr>
      <w:r>
        <w:rPr>
          <w:rFonts w:ascii="宋体" w:hAnsi="宋体"/>
          <w:szCs w:val="21"/>
        </w:rPr>
      </w:r>
      <w:r/>
    </w:p>
    <w:p>
      <w:pPr>
        <w:pStyle w:val="744"/>
        <w:ind w:left="420"/>
        <w:spacing w:before="0" w:after="0" w:line="420" w:lineRule="exact"/>
        <w:rPr>
          <w:rFonts w:ascii="宋体" w:hAnsi="宋体"/>
          <w:szCs w:val="21"/>
        </w:rPr>
      </w:pPr>
      <w:r>
        <w:rPr>
          <w:rFonts w:ascii="宋体" w:hAnsi="宋体"/>
          <w:szCs w:val="21"/>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sz w:val="24"/>
          <w:szCs w:val="24"/>
        </w:rPr>
      </w:pPr>
      <w:r>
        <w:rPr>
          <w:rFonts w:ascii="宋体" w:hAnsi="宋体"/>
          <w:bCs/>
          <w:sz w:val="24"/>
        </w:rPr>
      </w:r>
      <w:r>
        <w:rPr>
          <w:rFonts w:ascii="宋体" w:hAnsi="宋体"/>
          <w:bCs/>
          <w:sz w:val="24"/>
        </w:rPr>
      </w:r>
    </w:p>
    <w:p>
      <w:pPr>
        <w:ind w:firstLine="240"/>
        <w:jc w:val="center"/>
        <w:spacing w:line="560" w:lineRule="exact"/>
        <w:rPr>
          <w:rFonts w:ascii="宋体" w:hAnsi="宋体"/>
          <w:sz w:val="24"/>
          <w:szCs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分包号：</w:t>
      </w:r>
      <w:r/>
    </w:p>
    <w:tbl>
      <w:tblPr>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8"/>
      </w:tblGrid>
      <w:tr>
        <w:trPr>
          <w:cantSplit/>
          <w:trHeight w:val="725"/>
        </w:trPr>
        <w:tc>
          <w:tcPr>
            <w:tcW w:w="9748"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744"/>
              <w:ind w:firstLine="0"/>
              <w:spacing w:before="0" w:after="0" w:line="480" w:lineRule="auto"/>
              <w:rPr>
                <w:rFonts w:ascii="宋体" w:hAnsi="宋体"/>
                <w:szCs w:val="21"/>
              </w:rPr>
            </w:pPr>
            <w:r>
              <w:rPr>
                <w:rFonts w:hint="eastAsia" w:ascii="宋体" w:hAnsi="宋体" w:cs="宋体"/>
              </w:rPr>
              <w:t xml:space="preserve">小写（人民币：元）：</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ind w:firstLine="480"/>
        <w:rPr>
          <w:rFonts w:ascii="黑体" w:hAnsi="黑体" w:eastAsia="黑体"/>
          <w:b/>
          <w:i/>
          <w:sz w:val="32"/>
          <w:szCs w:val="32"/>
          <w:u w:val="single"/>
        </w:rPr>
      </w:pPr>
      <w:r>
        <w:rPr>
          <w:rFonts w:ascii="黑体" w:hAnsi="黑体" w:eastAsia="黑体"/>
          <w:b/>
          <w:i/>
          <w:sz w:val="32"/>
          <w:szCs w:val="32"/>
          <w:u w:val="single"/>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pStyle w:val="731"/>
        <w:rPr>
          <w:rFonts w:ascii="黑体" w:eastAsia="黑体" w:cs="Times New Roman"/>
          <w:color w:val="000000"/>
          <w:sz w:val="32"/>
          <w:szCs w:val="32"/>
          <w:lang w:val="en-US"/>
        </w:rPr>
      </w:pPr>
      <w:r>
        <w:rPr>
          <w:rFonts w:ascii="黑体" w:eastAsia="黑体" w:cs="Times New Roman"/>
          <w:color w:val="000000"/>
          <w:sz w:val="32"/>
          <w:szCs w:val="32"/>
          <w:lang w:val="en-US"/>
        </w:rPr>
      </w:r>
      <w:r/>
    </w:p>
    <w:p>
      <w:pPr>
        <w:rPr>
          <w:rFonts w:ascii="黑体" w:eastAsia="黑体"/>
          <w:color w:val="000000"/>
          <w:sz w:val="32"/>
          <w:szCs w:val="32"/>
        </w:rPr>
      </w:pPr>
      <w:r>
        <w:rPr>
          <w:rFonts w:ascii="黑体" w:eastAsia="黑体"/>
          <w:color w:val="000000"/>
          <w:sz w:val="32"/>
          <w:szCs w:val="32"/>
        </w:rPr>
      </w:r>
      <w:r/>
    </w:p>
    <w:p>
      <w:pPr>
        <w:pStyle w:val="731"/>
        <w:rPr>
          <w:rFonts w:ascii="黑体" w:eastAsia="黑体" w:cs="Times New Roman"/>
          <w:color w:val="000000"/>
          <w:sz w:val="32"/>
          <w:szCs w:val="32"/>
          <w:lang w:val="en-US"/>
        </w:rPr>
      </w:pPr>
      <w:r>
        <w:rPr>
          <w:rFonts w:ascii="黑体" w:eastAsia="黑体" w:cs="Times New Roman"/>
          <w:color w:val="000000"/>
          <w:sz w:val="32"/>
          <w:szCs w:val="32"/>
          <w:lang w:val="en-US"/>
        </w:rPr>
      </w:r>
      <w:r/>
    </w:p>
    <w:p>
      <w:pPr>
        <w:rPr>
          <w:rFonts w:ascii="黑体" w:eastAsia="黑体"/>
          <w:color w:val="000000"/>
          <w:sz w:val="32"/>
          <w:szCs w:val="32"/>
        </w:rPr>
      </w:pPr>
      <w:r>
        <w:rPr>
          <w:rFonts w:ascii="黑体" w:eastAsia="黑体"/>
          <w:color w:val="000000"/>
          <w:sz w:val="32"/>
          <w:szCs w:val="32"/>
        </w:rPr>
      </w:r>
      <w:r/>
    </w:p>
    <w:p>
      <w:pPr>
        <w:pStyle w:val="731"/>
        <w:rPr>
          <w:rFonts w:ascii="黑体" w:eastAsia="黑体" w:cs="Times New Roman"/>
          <w:color w:val="000000"/>
          <w:sz w:val="32"/>
          <w:szCs w:val="32"/>
          <w:lang w:val="en-US"/>
        </w:rPr>
      </w:pPr>
      <w:r>
        <w:rPr>
          <w:rFonts w:ascii="黑体" w:eastAsia="黑体" w:cs="Times New Roman"/>
          <w:color w:val="000000"/>
          <w:sz w:val="32"/>
          <w:szCs w:val="32"/>
          <w:lang w:val="en-US"/>
        </w:rPr>
      </w:r>
      <w:r/>
    </w:p>
    <w:p>
      <w:pPr>
        <w:rPr>
          <w:rFonts w:ascii="黑体" w:eastAsia="黑体"/>
          <w:color w:val="000000"/>
          <w:sz w:val="32"/>
          <w:szCs w:val="32"/>
        </w:rPr>
      </w:pPr>
      <w:r>
        <w:rPr>
          <w:rFonts w:ascii="黑体" w:eastAsia="黑体"/>
          <w:color w:val="000000"/>
          <w:sz w:val="32"/>
          <w:szCs w:val="32"/>
        </w:rPr>
      </w:r>
      <w:r/>
    </w:p>
    <w:p>
      <w:pPr>
        <w:pStyle w:val="731"/>
        <w:rPr>
          <w:rFonts w:ascii="黑体" w:eastAsia="黑体" w:cs="Times New Roman"/>
          <w:color w:val="000000"/>
          <w:sz w:val="32"/>
          <w:szCs w:val="32"/>
          <w:lang w:val="en-US"/>
        </w:rPr>
      </w:pPr>
      <w:r>
        <w:rPr>
          <w:rFonts w:ascii="黑体" w:eastAsia="黑体" w:cs="Times New Roman"/>
          <w:color w:val="000000"/>
          <w:sz w:val="32"/>
          <w:szCs w:val="32"/>
          <w:lang w:val="en-US"/>
        </w:rPr>
      </w:r>
      <w:r/>
    </w:p>
    <w:p>
      <w:pPr>
        <w:rPr>
          <w:rFonts w:ascii="黑体" w:eastAsia="黑体"/>
          <w:color w:val="000000"/>
          <w:sz w:val="32"/>
          <w:szCs w:val="32"/>
        </w:rPr>
      </w:pPr>
      <w:r>
        <w:rPr>
          <w:rFonts w:ascii="黑体" w:eastAsia="黑体"/>
          <w:color w:val="000000"/>
          <w:sz w:val="32"/>
          <w:szCs w:val="32"/>
        </w:rPr>
      </w:r>
      <w:r>
        <w:rPr>
          <w:rFonts w:ascii="黑体" w:eastAsia="黑体"/>
          <w:color w:val="000000"/>
          <w:sz w:val="32"/>
          <w:szCs w:val="32"/>
        </w:rPr>
      </w:r>
    </w:p>
    <w:p>
      <w:pPr>
        <w:rPr>
          <w:rFonts w:ascii="黑体" w:eastAsia="黑体"/>
          <w:color w:val="000000"/>
          <w:sz w:val="32"/>
          <w:szCs w:val="32"/>
        </w:rPr>
      </w:pPr>
      <w:r>
        <w:rPr>
          <w:rFonts w:ascii="黑体" w:eastAsia="黑体"/>
          <w:color w:val="000000"/>
          <w:sz w:val="32"/>
          <w:szCs w:val="32"/>
        </w:rPr>
      </w:r>
      <w:r>
        <w:rPr>
          <w:rFonts w:ascii="黑体" w:eastAsia="黑体"/>
          <w:color w:val="000000"/>
          <w:sz w:val="32"/>
          <w:szCs w:val="32"/>
        </w:rPr>
      </w:r>
    </w:p>
    <w:p>
      <w:pPr>
        <w:rPr>
          <w:rFonts w:ascii="黑体" w:eastAsia="黑体"/>
          <w:color w:val="000000"/>
          <w:sz w:val="32"/>
          <w:szCs w:val="32"/>
        </w:rPr>
      </w:pPr>
      <w:r>
        <w:rPr>
          <w:rFonts w:ascii="黑体" w:eastAsia="黑体"/>
          <w:color w:val="000000"/>
          <w:sz w:val="32"/>
          <w:szCs w:val="32"/>
        </w:rPr>
      </w:r>
      <w:r>
        <w:rPr>
          <w:rFonts w:ascii="黑体" w:eastAsia="黑体"/>
          <w:color w:val="000000"/>
          <w:sz w:val="32"/>
          <w:szCs w:val="32"/>
        </w:rPr>
      </w:r>
    </w:p>
    <w:p>
      <w:pPr>
        <w:rPr>
          <w:rFonts w:ascii="黑体" w:eastAsia="黑体"/>
          <w:color w:val="000000"/>
          <w:sz w:val="32"/>
          <w:szCs w:val="32"/>
        </w:rPr>
      </w:pPr>
      <w:r>
        <w:rPr>
          <w:rFonts w:ascii="黑体" w:eastAsia="黑体"/>
          <w:color w:val="000000"/>
          <w:sz w:val="32"/>
          <w:szCs w:val="32"/>
        </w:rPr>
      </w:r>
      <w:r/>
    </w:p>
    <w:p>
      <w:pPr>
        <w:pStyle w:val="731"/>
        <w:rPr>
          <w:rFonts w:ascii="黑体" w:eastAsia="黑体" w:cs="Times New Roman"/>
          <w:color w:val="000000"/>
          <w:sz w:val="32"/>
          <w:szCs w:val="32"/>
          <w:lang w:val="en-US"/>
        </w:rPr>
      </w:pPr>
      <w:r>
        <w:rPr>
          <w:rFonts w:ascii="黑体" w:eastAsia="黑体" w:cs="Times New Roman"/>
          <w:color w:val="000000"/>
          <w:sz w:val="32"/>
          <w:szCs w:val="32"/>
          <w:lang w:val="en-US"/>
        </w:rPr>
      </w:r>
      <w:r/>
    </w:p>
    <w:p>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六、投标分项报价表</w:t>
      </w:r>
      <w:r/>
    </w:p>
    <w:p>
      <w:pPr>
        <w:jc w:val="center"/>
        <w:spacing w:line="48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p>
    <w:tbl>
      <w:tblPr>
        <w:tblW w:w="95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81"/>
        <w:gridCol w:w="2017"/>
        <w:gridCol w:w="1605"/>
        <w:gridCol w:w="990"/>
        <w:gridCol w:w="990"/>
        <w:gridCol w:w="1515"/>
        <w:gridCol w:w="1845"/>
      </w:tblGrid>
      <w:tr>
        <w:trPr>
          <w:cantSplit/>
          <w:trHeight w:val="544"/>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20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60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51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8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0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160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515" w:type="dxa"/>
            <w:vAlign w:val="center"/>
            <w:textDirection w:val="lrTb"/>
            <w:noWrap w:val="false"/>
          </w:tcPr>
          <w:p>
            <w:pPr>
              <w:jc w:val="center"/>
              <w:spacing w:line="0" w:lineRule="atLeast"/>
            </w:pPr>
            <w:r>
              <w:rPr>
                <w:rFonts w:hint="eastAsia" w:ascii="宋体" w:hAnsi="宋体"/>
                <w:sz w:val="24"/>
                <w:szCs w:val="24"/>
              </w:rPr>
              <w:t xml:space="preserve">单价</w:t>
            </w:r>
            <w:r/>
          </w:p>
        </w:tc>
        <w:tc>
          <w:tcPr>
            <w:tcW w:w="18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0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1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4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0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1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4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20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0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1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4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20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投标总价（元）</w:t>
            </w:r>
            <w:r/>
          </w:p>
        </w:tc>
        <w:tc>
          <w:tcPr>
            <w:gridSpan w:val="5"/>
            <w:tcW w:w="694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bl>
    <w:p>
      <w:pPr>
        <w:pStyle w:val="720"/>
        <w:jc w:val="both"/>
        <w:spacing w:before="0" w:beforeAutospacing="0" w:after="0" w:afterAutospacing="0"/>
        <w:rPr>
          <w:color w:val="000000"/>
        </w:rPr>
      </w:pPr>
      <w:r>
        <w:rPr>
          <w:color w:val="000000"/>
        </w:r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spacing w:line="360" w:lineRule="auto"/>
        <w:rPr>
          <w:rFonts w:ascii="宋体" w:hAnsi="宋体"/>
          <w:sz w:val="24"/>
        </w:rPr>
      </w:pPr>
      <w:r>
        <w:rPr>
          <w:rFonts w:ascii="宋体" w:hAnsi="宋体"/>
          <w:sz w:val="24"/>
        </w:rPr>
      </w:r>
      <w:r/>
    </w:p>
    <w:p>
      <w:pPr>
        <w:pStyle w:val="720"/>
        <w:ind w:firstLine="480"/>
        <w:jc w:val="both"/>
        <w:spacing w:before="0" w:beforeAutospacing="0" w:after="0" w:afterAutospacing="0" w:line="360" w:lineRule="auto"/>
        <w:rPr>
          <w:color w:val="000000"/>
        </w:rPr>
      </w:pPr>
      <w:r>
        <w:rPr>
          <w:color w:val="000000"/>
        </w:rPr>
        <w:t xml:space="preserve">备注： </w:t>
      </w:r>
      <w:r/>
    </w:p>
    <w:p>
      <w:pPr>
        <w:pStyle w:val="720"/>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720"/>
        <w:ind w:firstLine="480"/>
        <w:jc w:val="both"/>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720"/>
        <w:ind w:firstLine="480"/>
        <w:jc w:val="both"/>
        <w:spacing w:before="0" w:beforeAutospacing="0" w:after="0" w:afterAutospacing="0" w:line="360" w:lineRule="auto"/>
        <w:rPr>
          <w:color w:val="000000"/>
        </w:rPr>
      </w:pPr>
      <w:r>
        <w:rPr>
          <w:rFonts w:hint="eastAsia"/>
          <w:color w:val="000000"/>
        </w:rPr>
        <w:t xml:space="preserve">3.供应商所</w:t>
      </w:r>
      <w:r>
        <w:rPr>
          <w:rFonts w:hint="eastAsia"/>
          <w:color w:val="000000"/>
        </w:rPr>
        <w:t xml:space="preserve">报产品</w:t>
      </w:r>
      <w:r>
        <w:rPr>
          <w:rFonts w:hint="eastAsia"/>
          <w:color w:val="000000"/>
        </w:rPr>
        <w:t xml:space="preserve">须与“第四章-项目清单”中的产品一一对应，如有缺项、漏项或者超出单价上限的，视为无效投标。</w:t>
      </w:r>
      <w:r>
        <w:rPr>
          <w:rFonts w:hint="eastAsia"/>
        </w:rPr>
        <w:t xml:space="preserve">“项目清单”中分项仅为一项的，此表无需提供。</w:t>
      </w:r>
      <w:r/>
    </w:p>
    <w:p>
      <w:pPr>
        <w:pStyle w:val="720"/>
        <w:ind w:firstLine="480"/>
        <w:jc w:val="both"/>
        <w:spacing w:before="0" w:beforeAutospacing="0" w:after="0" w:afterAutospacing="0" w:line="360" w:lineRule="auto"/>
        <w:rPr>
          <w:color w:val="000000"/>
        </w:rPr>
      </w:pPr>
      <w:r>
        <w:rPr>
          <w:rFonts w:hint="eastAsia"/>
          <w:color w:val="000000"/>
        </w:rPr>
        <w:t xml:space="preserve">4.行数不够，可自行添加。</w:t>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731"/>
        <w:rPr>
          <w:rFonts w:ascii="黑体" w:hAnsi="黑体" w:eastAsia="黑体" w:cs="Times New Roman"/>
          <w:sz w:val="32"/>
          <w:szCs w:val="32"/>
          <w:lang w:val="en-US"/>
        </w:rPr>
      </w:pPr>
      <w:r>
        <w:rPr>
          <w:rFonts w:ascii="黑体" w:hAnsi="黑体" w:eastAsia="黑体" w:cs="Times New Roman"/>
          <w:sz w:val="32"/>
          <w:szCs w:val="32"/>
          <w:lang w:val="en-US"/>
        </w:rPr>
      </w:r>
      <w:r/>
    </w:p>
    <w:p>
      <w:pPr>
        <w:rPr>
          <w:rFonts w:ascii="黑体" w:hAnsi="黑体" w:eastAsia="黑体"/>
          <w:sz w:val="32"/>
          <w:szCs w:val="32"/>
        </w:rPr>
      </w:pPr>
      <w:r>
        <w:rPr>
          <w:rFonts w:hint="eastAsia" w:ascii="黑体" w:hAnsi="黑体" w:eastAsia="黑体"/>
          <w:iCs/>
          <w:sz w:val="32"/>
          <w:szCs w:val="32"/>
          <w:highlight w:val="none"/>
        </w:rPr>
      </w:r>
      <w:r>
        <w:rPr>
          <w:rFonts w:hint="eastAsia" w:ascii="黑体" w:hAnsi="黑体" w:eastAsia="黑体"/>
          <w:iCs/>
          <w:sz w:val="32"/>
          <w:szCs w:val="32"/>
          <w:highlight w:val="none"/>
        </w:rP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p>
    <w:p>
      <w:pPr>
        <w:rPr>
          <w:rFonts w:hint="eastAsia" w:ascii="黑体" w:hAnsi="黑体" w:eastAsia="黑体"/>
          <w:iCs/>
          <w:sz w:val="32"/>
          <w:szCs w:val="32"/>
          <w:highlight w:val="none"/>
        </w:rPr>
      </w:pPr>
      <w:r>
        <w:rPr>
          <w:rFonts w:hint="eastAsia" w:ascii="黑体" w:hAnsi="黑体" w:eastAsia="黑体"/>
          <w:iCs/>
          <w:sz w:val="32"/>
          <w:szCs w:val="32"/>
        </w:rPr>
        <w:t xml:space="preserve">七</w:t>
      </w:r>
      <w:bookmarkEnd w:id="46"/>
      <w:r/>
      <w:bookmarkEnd w:id="47"/>
      <w:r/>
      <w:bookmarkEnd w:id="194"/>
      <w:r>
        <w:rPr>
          <w:rFonts w:hint="eastAsia" w:ascii="黑体" w:hAnsi="黑体" w:eastAsia="黑体"/>
          <w:iCs/>
          <w:sz w:val="32"/>
          <w:szCs w:val="32"/>
        </w:rPr>
        <w:t xml:space="preserve">、技术要求响应及偏离表</w:t>
      </w:r>
      <w:r/>
    </w:p>
    <w:p>
      <w:pPr>
        <w:jc w:val="center"/>
        <w:spacing w:line="360" w:lineRule="auto"/>
        <w:rPr>
          <w:rFonts w:ascii="方正小标宋简体" w:hAnsi="方正小标宋简体" w:eastAsia="方正小标宋简体" w:cs="方正小标宋简体"/>
          <w:sz w:val="32"/>
          <w:szCs w:val="32"/>
        </w:rPr>
      </w:pPr>
      <w:r/>
      <w:bookmarkStart w:id="199" w:name="_Hlt26955054"/>
      <w:r/>
      <w:bookmarkEnd w:id="199"/>
      <w:r>
        <w:rPr>
          <w:rFonts w:hint="eastAsia" w:ascii="方正小标宋简体" w:hAnsi="方正小标宋简体" w:eastAsia="方正小标宋简体" w:cs="方正小标宋简体"/>
          <w:sz w:val="32"/>
          <w:szCs w:val="32"/>
        </w:rPr>
        <w:t xml:space="preserve">技术要求响应及偏离表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48"/>
        <w:gridCol w:w="2925"/>
        <w:gridCol w:w="2832"/>
        <w:gridCol w:w="3370"/>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70"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pPr>
            <w:r/>
            <w:r/>
          </w:p>
          <w:p>
            <w:pPr>
              <w:pStyle w:val="774"/>
            </w:p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70" w:type="dxa"/>
            <w:textDirection w:val="lrTb"/>
            <w:noWrap w:val="false"/>
          </w:tcPr>
          <w:p>
            <w:pPr>
              <w:jc w:val="center"/>
              <w:rPr>
                <w:rFonts w:ascii="宋体" w:hAnsi="宋体"/>
                <w:sz w:val="24"/>
                <w:szCs w:val="24"/>
              </w:rPr>
            </w:pPr>
            <w:r>
              <w:rPr>
                <w:rFonts w:ascii="宋体" w:hAnsi="宋体"/>
                <w:sz w:val="24"/>
                <w:szCs w:val="24"/>
              </w:rPr>
            </w:r>
            <w:r/>
          </w:p>
        </w:tc>
      </w:tr>
    </w:tbl>
    <w:p>
      <w:pPr>
        <w:pStyle w:val="720"/>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ind w:firstLine="480"/>
        <w:spacing w:line="360" w:lineRule="auto"/>
        <w:widowControl/>
        <w:rPr>
          <w:rFonts w:ascii="宋体" w:hAnsi="宋体" w:cs="宋体"/>
          <w:sz w:val="24"/>
          <w:szCs w:val="24"/>
        </w:rPr>
      </w:pPr>
      <w:r>
        <w:rPr>
          <w:rFonts w:ascii="宋体" w:hAnsi="宋体" w:cs="宋体"/>
          <w:sz w:val="24"/>
          <w:szCs w:val="24"/>
        </w:rPr>
        <w:t xml:space="preserve">备注： </w:t>
      </w:r>
      <w:r/>
    </w:p>
    <w:p>
      <w:pPr>
        <w:ind w:firstLine="480"/>
        <w:spacing w:line="360" w:lineRule="auto"/>
        <w:widowControl/>
        <w:rPr>
          <w:rFonts w:ascii="宋体" w:hAnsi="宋体" w:cs="宋体"/>
          <w:color w:val="000000"/>
          <w:sz w:val="24"/>
          <w:szCs w:val="24"/>
        </w:rPr>
      </w:pPr>
      <w:r>
        <w:rPr>
          <w:rFonts w:ascii="宋体" w:hAnsi="宋体" w:cs="宋体"/>
          <w:color w:val="000000"/>
          <w:sz w:val="24"/>
          <w:szCs w:val="24"/>
        </w:rPr>
        <w:t xml:space="preserve">1.供应商必须对</w:t>
      </w:r>
      <w:r>
        <w:rPr>
          <w:rFonts w:hint="eastAsia" w:ascii="宋体" w:hAnsi="宋体" w:cs="宋体"/>
          <w:color w:val="000000"/>
          <w:sz w:val="24"/>
          <w:szCs w:val="24"/>
        </w:rPr>
        <w:t xml:space="preserve">招标文件技术要求中的</w:t>
      </w:r>
      <w:r>
        <w:rPr>
          <w:rFonts w:ascii="宋体" w:hAnsi="宋体" w:cs="宋体"/>
          <w:color w:val="000000"/>
          <w:sz w:val="24"/>
          <w:szCs w:val="24"/>
        </w:rPr>
        <w:t xml:space="preserve">实质性要求（</w:t>
      </w:r>
      <w:r>
        <w:rPr>
          <w:rFonts w:ascii="宋体" w:hAnsi="宋体" w:cs="宋体"/>
          <w:b/>
          <w:bCs/>
          <w:iCs/>
          <w:color w:val="000000"/>
          <w:sz w:val="24"/>
          <w:szCs w:val="24"/>
        </w:rPr>
        <w:t xml:space="preserve">斜体下划线内容</w:t>
      </w:r>
      <w:r>
        <w:rPr>
          <w:rFonts w:ascii="宋体" w:hAnsi="宋体" w:cs="宋体"/>
          <w:b/>
          <w:bCs/>
          <w:color w:val="000000"/>
          <w:sz w:val="24"/>
          <w:szCs w:val="24"/>
        </w:rPr>
        <w:t xml:space="preserve">或打“★”内容</w:t>
      </w:r>
      <w:r>
        <w:rPr>
          <w:rFonts w:ascii="宋体" w:hAnsi="宋体" w:cs="宋体"/>
          <w:color w:val="000000"/>
          <w:sz w:val="24"/>
          <w:szCs w:val="24"/>
        </w:rPr>
        <w:t xml:space="preserve">）</w:t>
      </w:r>
      <w:r>
        <w:rPr>
          <w:rFonts w:hint="eastAsia" w:ascii="宋体" w:hAnsi="宋体" w:cs="宋体"/>
          <w:color w:val="000000"/>
          <w:sz w:val="24"/>
          <w:szCs w:val="24"/>
        </w:rPr>
        <w:t xml:space="preserve">及其他要求</w:t>
      </w:r>
      <w:r>
        <w:rPr>
          <w:rFonts w:hint="eastAsia" w:ascii="宋体" w:hAnsi="宋体" w:cs="宋体"/>
          <w:color w:val="000000"/>
          <w:sz w:val="24"/>
          <w:szCs w:val="24"/>
        </w:rPr>
        <w:t xml:space="preserve">做</w:t>
      </w:r>
      <w:r>
        <w:rPr>
          <w:rFonts w:ascii="宋体" w:hAnsi="宋体" w:cs="宋体"/>
          <w:color w:val="000000"/>
          <w:sz w:val="24"/>
          <w:szCs w:val="24"/>
        </w:rPr>
        <w:t xml:space="preserve">出明确响应。</w:t>
      </w:r>
      <w:r/>
    </w:p>
    <w:p>
      <w:pPr>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2.技术要求中</w:t>
      </w:r>
      <w:r>
        <w:rPr>
          <w:rFonts w:ascii="宋体" w:hAnsi="宋体" w:cs="宋体"/>
          <w:color w:val="000000"/>
          <w:sz w:val="24"/>
          <w:szCs w:val="24"/>
        </w:rPr>
        <w:t xml:space="preserve">采购文件要求</w:t>
      </w:r>
      <w:r>
        <w:rPr>
          <w:rFonts w:hint="eastAsia" w:ascii="宋体" w:hAnsi="宋体" w:cs="宋体"/>
          <w:color w:val="000000"/>
          <w:sz w:val="24"/>
          <w:szCs w:val="24"/>
        </w:rPr>
        <w:t xml:space="preserve">投标时</w:t>
      </w:r>
      <w:r>
        <w:rPr>
          <w:rFonts w:ascii="宋体" w:hAnsi="宋体" w:cs="宋体"/>
          <w:color w:val="000000"/>
          <w:sz w:val="24"/>
          <w:szCs w:val="24"/>
        </w:rPr>
        <w:t xml:space="preserve">提供证明材料</w:t>
      </w:r>
      <w:r>
        <w:rPr>
          <w:rFonts w:hint="eastAsia" w:ascii="宋体" w:hAnsi="宋体" w:cs="宋体"/>
          <w:color w:val="000000"/>
          <w:sz w:val="24"/>
          <w:szCs w:val="24"/>
        </w:rPr>
        <w:t xml:space="preserve">的</w:t>
      </w:r>
      <w:r>
        <w:rPr>
          <w:rFonts w:ascii="宋体" w:hAnsi="宋体" w:cs="宋体"/>
          <w:color w:val="000000"/>
          <w:sz w:val="24"/>
          <w:szCs w:val="24"/>
        </w:rPr>
        <w:t xml:space="preserve">，供应商</w:t>
      </w:r>
      <w:r>
        <w:rPr>
          <w:rFonts w:hint="eastAsia" w:ascii="宋体" w:hAnsi="宋体" w:cs="宋体"/>
          <w:color w:val="000000"/>
          <w:sz w:val="24"/>
          <w:szCs w:val="24"/>
        </w:rPr>
        <w:t xml:space="preserve">应按要求</w:t>
      </w:r>
      <w:r>
        <w:rPr>
          <w:rFonts w:hint="eastAsia" w:ascii="宋体" w:hAnsi="宋体" w:cs="宋体"/>
          <w:color w:val="000000"/>
          <w:sz w:val="24"/>
          <w:szCs w:val="24"/>
        </w:rPr>
        <w:t xml:space="preserve">在此表</w:t>
      </w:r>
      <w:r>
        <w:rPr>
          <w:rFonts w:hint="eastAsia" w:ascii="宋体" w:hAnsi="宋体" w:cs="宋体"/>
          <w:color w:val="000000"/>
          <w:sz w:val="24"/>
          <w:szCs w:val="24"/>
        </w:rPr>
        <w:t xml:space="preserve">下方提供。要求合同签订后提供</w:t>
      </w:r>
      <w:r>
        <w:rPr>
          <w:rFonts w:ascii="宋体" w:hAnsi="宋体" w:cs="宋体"/>
          <w:color w:val="000000"/>
          <w:sz w:val="24"/>
          <w:szCs w:val="24"/>
        </w:rPr>
        <w:t xml:space="preserve">证明材料</w:t>
      </w:r>
      <w:r>
        <w:rPr>
          <w:rFonts w:hint="eastAsia" w:ascii="宋体" w:hAnsi="宋体" w:cs="宋体"/>
          <w:color w:val="000000"/>
          <w:sz w:val="24"/>
          <w:szCs w:val="24"/>
        </w:rPr>
        <w:t xml:space="preserve">的，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.供应商未对实质性要求</w:t>
      </w:r>
      <w:r>
        <w:rPr>
          <w:rFonts w:ascii="宋体" w:hAnsi="宋体" w:cs="宋体"/>
          <w:color w:val="000000"/>
          <w:sz w:val="24"/>
          <w:szCs w:val="24"/>
        </w:rPr>
        <w:t xml:space="preserve">作出</w:t>
      </w:r>
      <w:r>
        <w:rPr>
          <w:rFonts w:ascii="宋体" w:hAnsi="宋体" w:cs="宋体"/>
          <w:color w:val="000000"/>
          <w:sz w:val="24"/>
          <w:szCs w:val="24"/>
        </w:rPr>
        <w:t xml:space="preserve">明确响应的，或未按采购文件要求提供证明材料的，作无效</w:t>
      </w:r>
      <w:r>
        <w:rPr>
          <w:rFonts w:hint="eastAsia" w:ascii="宋体" w:hAnsi="宋体" w:cs="宋体"/>
          <w:color w:val="000000"/>
          <w:sz w:val="24"/>
          <w:szCs w:val="24"/>
        </w:rPr>
        <w:t xml:space="preserve">投标</w:t>
      </w:r>
      <w:r>
        <w:rPr>
          <w:rFonts w:ascii="宋体" w:hAnsi="宋体" w:cs="宋体"/>
          <w:color w:val="000000"/>
          <w:sz w:val="24"/>
          <w:szCs w:val="24"/>
        </w:rPr>
        <w:t xml:space="preserve">处理。</w:t>
      </w:r>
      <w:r/>
    </w:p>
    <w:p>
      <w:pPr>
        <w:ind w:firstLine="480"/>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4.行数不够，可自行添加。</w:t>
      </w:r>
      <w:r/>
    </w:p>
    <w:p>
      <w:pPr>
        <w:pStyle w:val="720"/>
        <w:jc w:val="both"/>
        <w:spacing w:before="0" w:beforeAutospacing="0" w:after="0" w:afterAutospacing="0" w:line="360" w:lineRule="auto"/>
      </w:pPr>
      <w:r/>
      <w:r/>
    </w:p>
    <w:p>
      <w:pPr>
        <w:rPr>
          <w:rFonts w:ascii="黑体" w:hAnsi="黑体" w:eastAsia="黑体"/>
          <w:iCs/>
          <w:sz w:val="32"/>
          <w:szCs w:val="32"/>
        </w:rPr>
      </w:pPr>
      <w:r>
        <w:rPr>
          <w:rFonts w:hint="eastAsia" w:ascii="黑体" w:hAnsi="黑体" w:eastAsia="黑体"/>
          <w:iCs/>
          <w:sz w:val="32"/>
          <w:szCs w:val="32"/>
        </w:rPr>
        <w:t xml:space="preserve">八、商务要求响应及偏离表</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5"/>
        <w:gridCol w:w="2838"/>
        <w:gridCol w:w="2832"/>
        <w:gridCol w:w="3381"/>
      </w:tblGrid>
      <w:tr>
        <w:trPr>
          <w:cantSplit/>
        </w:trPr>
        <w:tc>
          <w:tcPr>
            <w:tcW w:w="835" w:type="dxa"/>
            <w:vAlign w:val="center"/>
            <w:textDirection w:val="lrTb"/>
            <w:noWrap w:val="false"/>
          </w:tcPr>
          <w:p>
            <w:pPr>
              <w:jc w:val="center"/>
              <w:rPr>
                <w:rFonts w:ascii="宋体" w:hAnsi="宋体"/>
                <w:sz w:val="24"/>
                <w:szCs w:val="24"/>
              </w:rPr>
            </w:pPr>
            <w:r/>
            <w:bookmarkStart w:id="200" w:name="_Hlt24879081"/>
            <w:r/>
            <w:bookmarkStart w:id="201" w:name="_Hlt26671372"/>
            <w:r/>
            <w:bookmarkStart w:id="202" w:name="_Hlt26671343"/>
            <w:r/>
            <w:bookmarkStart w:id="203" w:name="_Hlt26580838"/>
            <w:r/>
            <w:bookmarkStart w:id="204" w:name="_Hlt26955056"/>
            <w:r/>
            <w:bookmarkStart w:id="205" w:name="_Hlt26955064"/>
            <w:r/>
            <w:bookmarkStart w:id="206" w:name="_Hlt26609391"/>
            <w:r/>
            <w:bookmarkStart w:id="207" w:name="_Hlt26782999"/>
            <w:r/>
            <w:bookmarkEnd w:id="200"/>
            <w:r/>
            <w:bookmarkEnd w:id="201"/>
            <w:r/>
            <w:bookmarkEnd w:id="202"/>
            <w:r/>
            <w:bookmarkEnd w:id="203"/>
            <w:r/>
            <w:bookmarkEnd w:id="204"/>
            <w:r/>
            <w:bookmarkEnd w:id="205"/>
            <w:r/>
            <w:bookmarkEnd w:id="206"/>
            <w:r/>
            <w:bookmarkEnd w:id="207"/>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81"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pPr>
            <w:r/>
            <w:r/>
          </w:p>
          <w:p>
            <w:pPr>
              <w:pStyle w:val="774"/>
            </w:p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81" w:type="dxa"/>
            <w:textDirection w:val="lrTb"/>
            <w:noWrap w:val="false"/>
          </w:tcPr>
          <w:p>
            <w:pPr>
              <w:jc w:val="center"/>
              <w:rPr>
                <w:rFonts w:ascii="宋体" w:hAnsi="宋体"/>
                <w:sz w:val="24"/>
                <w:szCs w:val="24"/>
              </w:rPr>
            </w:pPr>
            <w:r>
              <w:rPr>
                <w:rFonts w:ascii="宋体" w:hAnsi="宋体"/>
                <w:sz w:val="24"/>
                <w:szCs w:val="24"/>
              </w:rPr>
            </w:r>
            <w:r/>
          </w:p>
        </w:tc>
      </w:tr>
    </w:tbl>
    <w:p>
      <w:pPr>
        <w:pStyle w:val="720"/>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720"/>
        <w:ind w:firstLine="480"/>
        <w:jc w:val="both"/>
        <w:spacing w:before="0" w:beforeAutospacing="0" w:after="0" w:afterAutospacing="0" w:line="360" w:lineRule="auto"/>
      </w:pPr>
      <w:r>
        <w:rPr>
          <w:rFonts w:hint="eastAsia"/>
        </w:rPr>
        <w:t xml:space="preserve">备注： </w:t>
      </w:r>
      <w:r/>
    </w:p>
    <w:p>
      <w:pPr>
        <w:pStyle w:val="720"/>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20"/>
        <w:ind w:firstLine="480"/>
        <w:jc w:val="both"/>
        <w:spacing w:before="0" w:beforeAutospacing="0" w:after="0" w:afterAutospacing="0" w:line="360" w:lineRule="auto"/>
      </w:pPr>
      <w:r>
        <w:rPr>
          <w:rFonts w:hint="eastAsia"/>
        </w:rPr>
        <w:t xml:space="preserve">2.行数不够，可自行添加。</w:t>
      </w:r>
      <w:r/>
    </w:p>
    <w:p>
      <w:pPr>
        <w:jc w:val="center"/>
        <w:rPr>
          <w:rFonts w:ascii="宋体" w:hAnsi="宋体" w:cs="仿宋"/>
          <w:b/>
          <w:bCs/>
          <w:color w:val="000000"/>
          <w:sz w:val="32"/>
          <w:szCs w:val="32"/>
        </w:rPr>
      </w:pPr>
      <w:r>
        <w:rPr>
          <w:rFonts w:ascii="宋体" w:hAnsi="宋体" w:cs="仿宋"/>
          <w:b/>
          <w:bCs/>
          <w:color w:val="000000"/>
          <w:sz w:val="32"/>
          <w:szCs w:val="32"/>
        </w:rPr>
      </w:r>
      <w:r/>
    </w:p>
    <w:p>
      <w:pPr>
        <w:pStyle w:val="731"/>
        <w:rPr>
          <w:rFonts w:ascii="宋体" w:hAnsi="宋体" w:cs="仿宋"/>
          <w:b/>
          <w:bCs/>
          <w:color w:val="000000"/>
          <w:sz w:val="32"/>
          <w:szCs w:val="32"/>
        </w:rPr>
      </w:pPr>
      <w:r>
        <w:rPr>
          <w:rFonts w:ascii="宋体" w:hAnsi="宋体" w:cs="仿宋"/>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pStyle w:val="731"/>
        <w:rPr>
          <w:color w:val="000000"/>
        </w:rPr>
      </w:pPr>
      <w:r>
        <w:rPr>
          <w:color w:val="000000"/>
        </w:rPr>
      </w:r>
      <w:r/>
    </w:p>
    <w:p>
      <w:pPr>
        <w:rPr>
          <w:rFonts w:ascii="黑体" w:hAnsi="黑体" w:eastAsia="黑体"/>
          <w:iCs/>
          <w:color w:val="000000"/>
          <w:sz w:val="32"/>
          <w:szCs w:val="32"/>
        </w:rPr>
      </w:pPr>
      <w:r>
        <w:rPr>
          <w:rFonts w:ascii="黑体" w:hAnsi="黑体" w:eastAsia="黑体"/>
          <w:iCs/>
          <w:color w:val="000000"/>
          <w:sz w:val="32"/>
          <w:szCs w:val="32"/>
        </w:rPr>
      </w:r>
      <w:r/>
    </w:p>
    <w:p>
      <w:pPr>
        <w:pStyle w:val="774"/>
      </w:pPr>
      <w:r/>
      <w:r/>
    </w:p>
    <w:p>
      <w:pPr>
        <w:pStyle w:val="774"/>
      </w:pPr>
      <w:r/>
      <w:r/>
    </w:p>
    <w:p>
      <w:pPr>
        <w:pStyle w:val="774"/>
      </w:pPr>
      <w:r/>
      <w:r/>
    </w:p>
    <w:p>
      <w:pPr>
        <w:pStyle w:val="774"/>
      </w:pPr>
      <w:r/>
      <w:r/>
    </w:p>
    <w:p>
      <w:pPr>
        <w:pStyle w:val="774"/>
      </w:pPr>
      <w:r/>
      <w:r/>
    </w:p>
    <w:p>
      <w:pPr>
        <w:pStyle w:val="774"/>
      </w:pPr>
      <w:r/>
      <w:r/>
    </w:p>
    <w:p>
      <w:pPr>
        <w:pStyle w:val="774"/>
      </w:pPr>
      <w:r/>
      <w:r/>
    </w:p>
    <w:p>
      <w:pPr>
        <w:rPr>
          <w:rFonts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31"/>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日期：</w:t>
      </w:r>
      <w:r/>
    </w:p>
    <w:p>
      <w:pPr>
        <w:ind w:firstLine="480"/>
        <w:spacing w:line="360" w:lineRule="auto"/>
        <w:widowControl/>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w:t>
      </w:r>
      <w:r>
        <w:rPr>
          <w:rFonts w:hint="eastAsia" w:ascii="宋体" w:hAnsi="宋体"/>
          <w:sz w:val="24"/>
          <w:szCs w:val="24"/>
        </w:rPr>
        <w:t xml:space="preserve">微企业</w:t>
      </w:r>
      <w:r>
        <w:rPr>
          <w:rFonts w:hint="eastAsia" w:ascii="宋体" w:hAnsi="宋体"/>
          <w:sz w:val="24"/>
          <w:szCs w:val="24"/>
        </w:rPr>
        <w:t xml:space="preserve">价格扣除政策。项目清单中列示的所有服务，投标人须在声明函中逐项列示并明确承接企业的类型，如有缺失将按“不提供声明函”处理。此</w:t>
      </w:r>
      <w:r>
        <w:rPr>
          <w:rFonts w:hint="eastAsia" w:ascii="宋体" w:hAnsi="宋体"/>
          <w:sz w:val="24"/>
          <w:szCs w:val="24"/>
        </w:rPr>
        <w:t xml:space="preserve">声明函将随</w:t>
      </w:r>
      <w:r>
        <w:rPr>
          <w:rFonts w:hint="eastAsia" w:ascii="宋体" w:hAnsi="宋体"/>
          <w:sz w:val="24"/>
          <w:szCs w:val="24"/>
        </w:rPr>
        <w:t xml:space="preserve">成交结果同时公告，接受社会监督。4.服务采购项目中，服务的</w:t>
      </w:r>
      <w:r>
        <w:rPr>
          <w:rFonts w:hint="eastAsia" w:ascii="宋体" w:hAnsi="宋体"/>
          <w:sz w:val="24"/>
          <w:szCs w:val="24"/>
        </w:rPr>
        <w:t xml:space="preserve">承接商</w:t>
      </w:r>
      <w:r>
        <w:rPr>
          <w:rFonts w:hint="eastAsia" w:ascii="宋体" w:hAnsi="宋体"/>
          <w:sz w:val="24"/>
          <w:szCs w:val="24"/>
        </w:rPr>
        <w:t xml:space="preserve">应当为中小企业，不对其中涉及的货物的制造商、工程的承建商</w:t>
      </w:r>
      <w:r>
        <w:rPr>
          <w:rFonts w:hint="eastAsia" w:ascii="宋体" w:hAnsi="宋体"/>
          <w:sz w:val="24"/>
          <w:szCs w:val="24"/>
        </w:rPr>
        <w:t xml:space="preserve">作出</w:t>
      </w:r>
      <w:r>
        <w:rPr>
          <w:rFonts w:hint="eastAsia" w:ascii="宋体" w:hAnsi="宋体"/>
          <w:sz w:val="24"/>
          <w:szCs w:val="24"/>
        </w:rPr>
        <w:t xml:space="preserve">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31"/>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bCs/>
          <w:sz w:val="32"/>
          <w:szCs w:val="32"/>
        </w:rPr>
      </w:pPr>
      <w:r>
        <w:rPr>
          <w:rFonts w:ascii="黑体" w:hAnsi="黑体" w:eastAsia="黑体"/>
          <w:b/>
          <w:sz w:val="32"/>
          <w:szCs w:val="32"/>
        </w:rPr>
      </w:r>
      <w:r>
        <w:rPr>
          <w:rFonts w:ascii="黑体" w:hAnsi="黑体" w:eastAsia="黑体"/>
          <w:b/>
          <w:sz w:val="32"/>
          <w:szCs w:val="32"/>
        </w:rPr>
      </w:r>
    </w:p>
    <w:p>
      <w:pPr>
        <w:jc w:val="center"/>
        <w:spacing w:line="560" w:lineRule="exact"/>
        <w:rPr>
          <w:rFonts w:ascii="黑体" w:hAnsi="黑体" w:eastAsia="黑体"/>
          <w:b/>
          <w:bCs/>
          <w:sz w:val="32"/>
          <w:szCs w:val="32"/>
        </w:rPr>
      </w:pPr>
      <w:r>
        <w:rPr>
          <w:rFonts w:ascii="黑体" w:hAnsi="黑体" w:eastAsia="黑体"/>
          <w:b/>
          <w:sz w:val="32"/>
          <w:szCs w:val="32"/>
        </w:r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w:t>
      </w:r>
      <w:r>
        <w:rPr>
          <w:rFonts w:hint="eastAsia" w:ascii="宋体" w:hAnsi="宋体" w:cs="仿宋"/>
          <w:sz w:val="24"/>
          <w:szCs w:val="24"/>
        </w:rPr>
        <w:t xml:space="preserve">商法定</w:t>
      </w:r>
      <w:r>
        <w:rPr>
          <w:rFonts w:hint="eastAsia" w:ascii="宋体" w:hAnsi="宋体" w:cs="仿宋"/>
          <w:sz w:val="24"/>
          <w:szCs w:val="24"/>
        </w:rPr>
        <w:t xml:space="preserve">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p>
      <w:r/>
      <w:r/>
    </w:p>
    <w:p>
      <w:pPr>
        <w:spacing w:line="360" w:lineRule="auto"/>
      </w:pPr>
      <w:r/>
      <w:r/>
    </w:p>
    <w:p>
      <w:r/>
      <w:r/>
    </w:p>
    <w:p>
      <w:r/>
      <w:r/>
    </w:p>
    <w:sectPr>
      <w:footnotePr/>
      <w:endnotePr/>
      <w:type w:val="nextPage"/>
      <w:pgSz w:w="11906" w:h="16838" w:orient="portrait"/>
      <w:pgMar w:top="1440" w:right="1083" w:bottom="1440" w:left="108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3"/>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upperLetter"/>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420" w:hanging="420"/>
      </w:pPr>
      <w:rPr>
        <w:rFonts w:ascii="宋体" w:hAnsi="宋体" w:eastAsia="宋体"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840" w:hanging="42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decimal"/>
      <w:isLgl w:val="false"/>
      <w:suff w:val="tab"/>
      <w:lvlText w:val="%1、"/>
      <w:lvlJc w:val="left"/>
      <w:pPr>
        <w:ind w:left="420" w:hanging="420"/>
      </w:pPr>
      <w:rPr>
        <w:rFonts w:ascii="宋体" w:hAnsi="宋体" w:eastAsia="宋体"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1"/>
      <w:numFmt w:val="decimal"/>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420" w:hanging="420"/>
      </w:pPr>
      <w:rPr>
        <w:rFonts w:ascii="宋体" w:hAnsi="宋体" w:eastAsia="宋体"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5">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decimal"/>
      <w:isLgl w:val="false"/>
      <w:suff w:val="tab"/>
      <w:lvlText w:val="%3"/>
      <w:lvlJc w:val="left"/>
      <w:pPr>
        <w:ind w:left="1260" w:hanging="420"/>
      </w:pPr>
      <w:rPr>
        <w:rFonts w:hint="eastAsia"/>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19">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4"/>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8"/>
  </w:num>
  <w:num w:numId="2">
    <w:abstractNumId w:val="4"/>
  </w:num>
  <w:num w:numId="3">
    <w:abstractNumId w:val="14"/>
  </w:num>
  <w:num w:numId="4">
    <w:abstractNumId w:val="0"/>
  </w:num>
  <w:num w:numId="5">
    <w:abstractNumId w:val="13"/>
  </w:num>
  <w:num w:numId="6">
    <w:abstractNumId w:val="12"/>
  </w:num>
  <w:num w:numId="7">
    <w:abstractNumId w:val="2"/>
  </w:num>
  <w:num w:numId="8">
    <w:abstractNumId w:val="8"/>
  </w:num>
  <w:num w:numId="9">
    <w:abstractNumId w:val="17"/>
  </w:num>
  <w:num w:numId="10">
    <w:abstractNumId w:val="7"/>
  </w:num>
  <w:num w:numId="11">
    <w:abstractNumId w:val="15"/>
  </w:num>
  <w:num w:numId="12">
    <w:abstractNumId w:val="6"/>
  </w:num>
  <w:num w:numId="13">
    <w:abstractNumId w:val="9"/>
  </w:num>
  <w:num w:numId="14">
    <w:abstractNumId w:val="10"/>
  </w:num>
  <w:num w:numId="15">
    <w:abstractNumId w:val="16"/>
  </w:num>
  <w:num w:numId="16">
    <w:abstractNumId w:val="19"/>
  </w:num>
  <w:num w:numId="17">
    <w:abstractNumId w:val="21"/>
  </w:num>
  <w:num w:numId="18">
    <w:abstractNumId w:val="3"/>
  </w:num>
  <w:num w:numId="19">
    <w:abstractNumId w:val="20"/>
  </w:num>
  <w:num w:numId="20">
    <w:abstractNumId w:val="1"/>
  </w:num>
  <w:num w:numId="21">
    <w:abstractNumId w:val="11"/>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3"/>
    <w:uiPriority w:val="9"/>
    <w:rPr>
      <w:rFonts w:ascii="Arial" w:hAnsi="Arial" w:eastAsia="Arial" w:cs="Arial"/>
      <w:sz w:val="40"/>
      <w:szCs w:val="40"/>
    </w:rPr>
  </w:style>
  <w:style w:type="character" w:styleId="15">
    <w:name w:val="Heading 2 Char"/>
    <w:basedOn w:val="652"/>
    <w:link w:val="644"/>
    <w:uiPriority w:val="9"/>
    <w:rPr>
      <w:rFonts w:ascii="Arial" w:hAnsi="Arial" w:eastAsia="Arial" w:cs="Arial"/>
      <w:sz w:val="34"/>
    </w:rPr>
  </w:style>
  <w:style w:type="character" w:styleId="17">
    <w:name w:val="Heading 3 Char"/>
    <w:basedOn w:val="652"/>
    <w:link w:val="645"/>
    <w:uiPriority w:val="9"/>
    <w:rPr>
      <w:rFonts w:ascii="Arial" w:hAnsi="Arial" w:eastAsia="Arial" w:cs="Arial"/>
      <w:sz w:val="30"/>
      <w:szCs w:val="30"/>
    </w:rPr>
  </w:style>
  <w:style w:type="character" w:styleId="19">
    <w:name w:val="Heading 4 Char"/>
    <w:basedOn w:val="652"/>
    <w:link w:val="646"/>
    <w:uiPriority w:val="9"/>
    <w:rPr>
      <w:rFonts w:ascii="Arial" w:hAnsi="Arial" w:eastAsia="Arial" w:cs="Arial"/>
      <w:b/>
      <w:bCs/>
      <w:sz w:val="26"/>
      <w:szCs w:val="26"/>
    </w:rPr>
  </w:style>
  <w:style w:type="character" w:styleId="21">
    <w:name w:val="Heading 5 Char"/>
    <w:basedOn w:val="652"/>
    <w:link w:val="647"/>
    <w:uiPriority w:val="9"/>
    <w:rPr>
      <w:rFonts w:ascii="Arial" w:hAnsi="Arial" w:eastAsia="Arial" w:cs="Arial"/>
      <w:b/>
      <w:bCs/>
      <w:sz w:val="24"/>
      <w:szCs w:val="24"/>
    </w:rPr>
  </w:style>
  <w:style w:type="character" w:styleId="23">
    <w:name w:val="Heading 6 Char"/>
    <w:basedOn w:val="652"/>
    <w:link w:val="648"/>
    <w:uiPriority w:val="9"/>
    <w:rPr>
      <w:rFonts w:ascii="Arial" w:hAnsi="Arial" w:eastAsia="Arial" w:cs="Arial"/>
      <w:b/>
      <w:bCs/>
      <w:sz w:val="22"/>
      <w:szCs w:val="22"/>
    </w:rPr>
  </w:style>
  <w:style w:type="character" w:styleId="25">
    <w:name w:val="Heading 7 Char"/>
    <w:basedOn w:val="652"/>
    <w:link w:val="649"/>
    <w:uiPriority w:val="9"/>
    <w:rPr>
      <w:rFonts w:ascii="Arial" w:hAnsi="Arial" w:eastAsia="Arial" w:cs="Arial"/>
      <w:b/>
      <w:bCs/>
      <w:i/>
      <w:iCs/>
      <w:sz w:val="22"/>
      <w:szCs w:val="22"/>
    </w:rPr>
  </w:style>
  <w:style w:type="character" w:styleId="27">
    <w:name w:val="Heading 8 Char"/>
    <w:basedOn w:val="652"/>
    <w:link w:val="650"/>
    <w:uiPriority w:val="9"/>
    <w:rPr>
      <w:rFonts w:ascii="Arial" w:hAnsi="Arial" w:eastAsia="Arial" w:cs="Arial"/>
      <w:i/>
      <w:iCs/>
      <w:sz w:val="22"/>
      <w:szCs w:val="22"/>
    </w:rPr>
  </w:style>
  <w:style w:type="character" w:styleId="29">
    <w:name w:val="Heading 9 Char"/>
    <w:basedOn w:val="652"/>
    <w:link w:val="651"/>
    <w:uiPriority w:val="9"/>
    <w:rPr>
      <w:rFonts w:ascii="Arial" w:hAnsi="Arial" w:eastAsia="Arial" w:cs="Arial"/>
      <w:i/>
      <w:iCs/>
      <w:sz w:val="21"/>
      <w:szCs w:val="21"/>
    </w:rPr>
  </w:style>
  <w:style w:type="paragraph" w:styleId="33">
    <w:name w:val="Title"/>
    <w:basedOn w:val="642"/>
    <w:next w:val="642"/>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2"/>
    <w:next w:val="642"/>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2"/>
    <w:next w:val="642"/>
    <w:link w:val="38"/>
    <w:uiPriority w:val="29"/>
    <w:qFormat/>
    <w:pPr>
      <w:ind w:left="720" w:right="720"/>
    </w:pPr>
    <w:rPr>
      <w:i/>
    </w:rPr>
  </w:style>
  <w:style w:type="character" w:styleId="38">
    <w:name w:val="Quote Char"/>
    <w:link w:val="37"/>
    <w:uiPriority w:val="29"/>
    <w:rPr>
      <w:i/>
    </w:rPr>
  </w:style>
  <w:style w:type="paragraph" w:styleId="39">
    <w:name w:val="Intense Quote"/>
    <w:basedOn w:val="642"/>
    <w:next w:val="6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709"/>
    <w:uiPriority w:val="99"/>
  </w:style>
  <w:style w:type="character" w:styleId="44">
    <w:name w:val="Footer Char"/>
    <w:basedOn w:val="652"/>
    <w:link w:val="706"/>
    <w:uiPriority w:val="99"/>
  </w:style>
  <w:style w:type="paragraph" w:styleId="45">
    <w:name w:val="Caption"/>
    <w:basedOn w:val="642"/>
    <w:next w:val="642"/>
    <w:uiPriority w:val="35"/>
    <w:semiHidden/>
    <w:unhideWhenUsed/>
    <w:qFormat/>
    <w:pPr>
      <w:spacing w:line="276" w:lineRule="auto"/>
    </w:pPr>
    <w:rPr>
      <w:b/>
      <w:bCs/>
      <w:color w:val="4f81bd" w:themeColor="accent1"/>
      <w:sz w:val="18"/>
      <w:szCs w:val="18"/>
    </w:rPr>
  </w:style>
  <w:style w:type="character" w:styleId="46">
    <w:name w:val="Caption Char"/>
    <w:basedOn w:val="45"/>
    <w:link w:val="706"/>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0">
    <w:name w:val="toc 1"/>
    <w:basedOn w:val="642"/>
    <w:next w:val="642"/>
    <w:uiPriority w:val="39"/>
    <w:unhideWhenUsed/>
    <w:pPr>
      <w:ind w:left="0" w:right="0" w:firstLine="0"/>
      <w:spacing w:after="57"/>
    </w:pPr>
  </w:style>
  <w:style w:type="paragraph" w:styleId="181">
    <w:name w:val="toc 2"/>
    <w:basedOn w:val="642"/>
    <w:next w:val="642"/>
    <w:uiPriority w:val="39"/>
    <w:unhideWhenUsed/>
    <w:pPr>
      <w:ind w:left="283" w:right="0" w:firstLine="0"/>
      <w:spacing w:after="57"/>
    </w:pPr>
  </w:style>
  <w:style w:type="paragraph" w:styleId="182">
    <w:name w:val="toc 3"/>
    <w:basedOn w:val="642"/>
    <w:next w:val="642"/>
    <w:uiPriority w:val="39"/>
    <w:unhideWhenUsed/>
    <w:pPr>
      <w:ind w:left="567" w:right="0" w:firstLine="0"/>
      <w:spacing w:after="57"/>
    </w:pPr>
  </w:style>
  <w:style w:type="paragraph" w:styleId="183">
    <w:name w:val="toc 4"/>
    <w:basedOn w:val="642"/>
    <w:next w:val="642"/>
    <w:uiPriority w:val="39"/>
    <w:unhideWhenUsed/>
    <w:pPr>
      <w:ind w:left="850" w:right="0" w:firstLine="0"/>
      <w:spacing w:after="57"/>
    </w:pPr>
  </w:style>
  <w:style w:type="paragraph" w:styleId="184">
    <w:name w:val="toc 5"/>
    <w:basedOn w:val="642"/>
    <w:next w:val="642"/>
    <w:uiPriority w:val="39"/>
    <w:unhideWhenUsed/>
    <w:pPr>
      <w:ind w:left="1134" w:right="0" w:firstLine="0"/>
      <w:spacing w:after="57"/>
    </w:pPr>
  </w:style>
  <w:style w:type="paragraph" w:styleId="185">
    <w:name w:val="toc 6"/>
    <w:basedOn w:val="642"/>
    <w:next w:val="642"/>
    <w:uiPriority w:val="39"/>
    <w:unhideWhenUsed/>
    <w:pPr>
      <w:ind w:left="1417" w:right="0" w:firstLine="0"/>
      <w:spacing w:after="57"/>
    </w:pPr>
  </w:style>
  <w:style w:type="paragraph" w:styleId="186">
    <w:name w:val="toc 7"/>
    <w:basedOn w:val="642"/>
    <w:next w:val="642"/>
    <w:uiPriority w:val="39"/>
    <w:unhideWhenUsed/>
    <w:pPr>
      <w:ind w:left="1701" w:right="0" w:firstLine="0"/>
      <w:spacing w:after="57"/>
    </w:pPr>
  </w:style>
  <w:style w:type="paragraph" w:styleId="187">
    <w:name w:val="toc 8"/>
    <w:basedOn w:val="642"/>
    <w:next w:val="642"/>
    <w:uiPriority w:val="39"/>
    <w:unhideWhenUsed/>
    <w:pPr>
      <w:ind w:left="1984" w:right="0" w:firstLine="0"/>
      <w:spacing w:after="57"/>
    </w:pPr>
  </w:style>
  <w:style w:type="paragraph" w:styleId="188">
    <w:name w:val="toc 9"/>
    <w:basedOn w:val="642"/>
    <w:next w:val="642"/>
    <w:uiPriority w:val="39"/>
    <w:unhideWhenUsed/>
    <w:pPr>
      <w:ind w:left="2268" w:right="0" w:firstLine="0"/>
      <w:spacing w:after="57"/>
    </w:pPr>
  </w:style>
  <w:style w:type="paragraph" w:styleId="189">
    <w:name w:val="TOC Heading"/>
    <w:uiPriority w:val="39"/>
    <w:unhideWhenUsed/>
  </w:style>
  <w:style w:type="paragraph" w:styleId="642" w:default="1">
    <w:name w:val="Normal"/>
    <w:next w:val="774"/>
    <w:qFormat/>
    <w:pPr>
      <w:jc w:val="both"/>
      <w:widowControl w:val="off"/>
    </w:pPr>
    <w:rPr>
      <w:rFonts w:ascii="Times New Roman" w:hAnsi="Times New Roman" w:eastAsia="宋体" w:cs="Times New Roman"/>
      <w:szCs w:val="21"/>
    </w:rPr>
  </w:style>
  <w:style w:type="paragraph" w:styleId="643">
    <w:name w:val="Heading 1"/>
    <w:basedOn w:val="642"/>
    <w:next w:val="642"/>
    <w:link w:val="669"/>
    <w:qFormat/>
    <w:pPr>
      <w:jc w:val="center"/>
      <w:keepNext/>
      <w:outlineLvl w:val="0"/>
    </w:pPr>
    <w:rPr>
      <w:rFonts w:ascii="楷体_GB2312" w:eastAsia="楷体_GB2312"/>
      <w:sz w:val="28"/>
      <w:szCs w:val="28"/>
    </w:rPr>
  </w:style>
  <w:style w:type="paragraph" w:styleId="644">
    <w:name w:val="Heading 2"/>
    <w:basedOn w:val="642"/>
    <w:next w:val="671"/>
    <w:link w:val="670"/>
    <w:qFormat/>
    <w:pPr>
      <w:jc w:val="center"/>
      <w:keepLines/>
      <w:keepNext/>
      <w:spacing w:before="260" w:after="260" w:line="416" w:lineRule="auto"/>
      <w:outlineLvl w:val="1"/>
    </w:pPr>
    <w:rPr>
      <w:rFonts w:ascii="Arial" w:hAnsi="Arial" w:eastAsia="幼圆"/>
      <w:b/>
      <w:bCs/>
      <w:sz w:val="44"/>
      <w:szCs w:val="44"/>
    </w:rPr>
  </w:style>
  <w:style w:type="paragraph" w:styleId="645">
    <w:name w:val="Heading 3"/>
    <w:basedOn w:val="642"/>
    <w:next w:val="671"/>
    <w:link w:val="673"/>
    <w:qFormat/>
    <w:pPr>
      <w:keepLines/>
      <w:keepNext/>
      <w:spacing w:before="260" w:after="260" w:line="416" w:lineRule="auto"/>
      <w:outlineLvl w:val="2"/>
    </w:pPr>
    <w:rPr>
      <w:b/>
      <w:bCs/>
      <w:sz w:val="32"/>
      <w:szCs w:val="32"/>
    </w:rPr>
  </w:style>
  <w:style w:type="paragraph" w:styleId="646">
    <w:name w:val="Heading 4"/>
    <w:basedOn w:val="642"/>
    <w:next w:val="671"/>
    <w:link w:val="674"/>
    <w:qFormat/>
    <w:pPr>
      <w:keepLines/>
      <w:keepNext/>
      <w:spacing w:before="280" w:after="290" w:line="376" w:lineRule="auto"/>
      <w:outlineLvl w:val="3"/>
    </w:pPr>
    <w:rPr>
      <w:rFonts w:ascii="Arial" w:hAnsi="Arial" w:eastAsia="黑体"/>
      <w:b/>
      <w:bCs/>
      <w:sz w:val="28"/>
      <w:szCs w:val="28"/>
    </w:rPr>
  </w:style>
  <w:style w:type="paragraph" w:styleId="647">
    <w:name w:val="Heading 5"/>
    <w:basedOn w:val="642"/>
    <w:next w:val="671"/>
    <w:link w:val="675"/>
    <w:qFormat/>
    <w:pPr>
      <w:keepNext/>
      <w:outlineLvl w:val="4"/>
    </w:pPr>
    <w:rPr>
      <w:rFonts w:ascii="宋体"/>
      <w:color w:val="000000"/>
      <w:sz w:val="28"/>
      <w:szCs w:val="28"/>
    </w:rPr>
  </w:style>
  <w:style w:type="paragraph" w:styleId="648">
    <w:name w:val="Heading 6"/>
    <w:basedOn w:val="642"/>
    <w:next w:val="642"/>
    <w:link w:val="676"/>
    <w:qFormat/>
    <w:pPr>
      <w:keepLines/>
      <w:keepNext/>
      <w:spacing w:before="240" w:after="64" w:line="320" w:lineRule="auto"/>
      <w:outlineLvl w:val="5"/>
    </w:pPr>
    <w:rPr>
      <w:rFonts w:ascii="Arial" w:hAnsi="Arial" w:eastAsia="黑体"/>
      <w:b/>
      <w:bCs/>
      <w:sz w:val="24"/>
      <w:szCs w:val="24"/>
    </w:rPr>
  </w:style>
  <w:style w:type="paragraph" w:styleId="649">
    <w:name w:val="Heading 7"/>
    <w:basedOn w:val="642"/>
    <w:next w:val="642"/>
    <w:link w:val="677"/>
    <w:qFormat/>
    <w:pPr>
      <w:keepLines/>
      <w:keepNext/>
      <w:spacing w:before="240" w:after="64" w:line="320" w:lineRule="auto"/>
      <w:outlineLvl w:val="6"/>
    </w:pPr>
    <w:rPr>
      <w:b/>
      <w:bCs/>
      <w:sz w:val="24"/>
      <w:szCs w:val="24"/>
    </w:rPr>
  </w:style>
  <w:style w:type="paragraph" w:styleId="650">
    <w:name w:val="Heading 8"/>
    <w:basedOn w:val="642"/>
    <w:next w:val="642"/>
    <w:link w:val="678"/>
    <w:qFormat/>
    <w:pPr>
      <w:keepLines/>
      <w:keepNext/>
      <w:spacing w:before="240" w:after="64" w:line="320" w:lineRule="auto"/>
      <w:outlineLvl w:val="7"/>
    </w:pPr>
    <w:rPr>
      <w:rFonts w:ascii="Arial" w:hAnsi="Arial" w:eastAsia="黑体"/>
      <w:sz w:val="24"/>
      <w:szCs w:val="24"/>
    </w:rPr>
  </w:style>
  <w:style w:type="paragraph" w:styleId="651">
    <w:name w:val="Heading 9"/>
    <w:basedOn w:val="642"/>
    <w:next w:val="642"/>
    <w:link w:val="679"/>
    <w:qFormat/>
    <w:pPr>
      <w:keepLines/>
      <w:keepNext/>
      <w:spacing w:before="240" w:after="64" w:line="320" w:lineRule="auto"/>
      <w:outlineLvl w:val="8"/>
    </w:pPr>
    <w:rPr>
      <w:rFonts w:ascii="Arial" w:hAnsi="Arial" w:eastAsia="黑体"/>
      <w:sz w:val="20"/>
    </w:rPr>
  </w:style>
  <w:style w:type="character" w:styleId="652" w:default="1">
    <w:name w:val="Default Paragraph Font"/>
    <w:uiPriority w:val="1"/>
    <w:semiHidden/>
    <w:unhideWhenUsed/>
  </w:style>
  <w:style w:type="table" w:styleId="653" w:default="1">
    <w:name w:val="Normal Table"/>
    <w:uiPriority w:val="99"/>
    <w:semiHidden/>
    <w:unhideWhenUsed/>
    <w:qFormat/>
    <w:tblPr>
      <w:tblInd w:w="0" w:type="dxa"/>
      <w:tblCellMar>
        <w:left w:w="108" w:type="dxa"/>
        <w:top w:w="0" w:type="dxa"/>
        <w:right w:w="108" w:type="dxa"/>
        <w:bottom w:w="0" w:type="dxa"/>
      </w:tblCellMar>
    </w:tblPr>
  </w:style>
  <w:style w:type="numbering" w:styleId="654" w:default="1">
    <w:name w:val="No List"/>
    <w:uiPriority w:val="99"/>
    <w:semiHidden/>
    <w:unhideWhenUsed/>
  </w:style>
  <w:style w:type="character" w:styleId="655" w:customStyle="1">
    <w:name w:val="标题 1 Char"/>
    <w:basedOn w:val="652"/>
    <w:link w:val="643"/>
    <w:uiPriority w:val="9"/>
    <w:rPr>
      <w:rFonts w:ascii="Times New Roman" w:hAnsi="Times New Roman" w:eastAsia="宋体" w:cs="Times New Roman"/>
      <w:b/>
      <w:bCs/>
      <w:sz w:val="44"/>
      <w:szCs w:val="44"/>
    </w:rPr>
  </w:style>
  <w:style w:type="character" w:styleId="656" w:customStyle="1">
    <w:name w:val="标题 2 Char"/>
    <w:basedOn w:val="652"/>
    <w:link w:val="644"/>
    <w:uiPriority w:val="9"/>
    <w:semiHidden/>
    <w:rPr>
      <w:rFonts w:asciiTheme="majorHAnsi" w:hAnsiTheme="majorHAnsi" w:eastAsiaTheme="majorEastAsia" w:cstheme="majorBidi"/>
      <w:b/>
      <w:bCs/>
      <w:sz w:val="32"/>
      <w:szCs w:val="32"/>
    </w:rPr>
  </w:style>
  <w:style w:type="character" w:styleId="657" w:customStyle="1">
    <w:name w:val="标题 3 Char"/>
    <w:basedOn w:val="652"/>
    <w:link w:val="645"/>
    <w:uiPriority w:val="9"/>
    <w:semiHidden/>
    <w:rPr>
      <w:rFonts w:ascii="Times New Roman" w:hAnsi="Times New Roman" w:eastAsia="宋体" w:cs="Times New Roman"/>
      <w:b/>
      <w:bCs/>
      <w:sz w:val="32"/>
      <w:szCs w:val="32"/>
    </w:rPr>
  </w:style>
  <w:style w:type="character" w:styleId="658" w:customStyle="1">
    <w:name w:val="标题 4 Char"/>
    <w:basedOn w:val="652"/>
    <w:link w:val="646"/>
    <w:uiPriority w:val="9"/>
    <w:semiHidden/>
    <w:rPr>
      <w:rFonts w:asciiTheme="majorHAnsi" w:hAnsiTheme="majorHAnsi" w:eastAsiaTheme="majorEastAsia" w:cstheme="majorBidi"/>
      <w:b/>
      <w:bCs/>
      <w:sz w:val="28"/>
      <w:szCs w:val="28"/>
    </w:rPr>
  </w:style>
  <w:style w:type="character" w:styleId="659" w:customStyle="1">
    <w:name w:val="标题 5 Char"/>
    <w:basedOn w:val="652"/>
    <w:link w:val="647"/>
    <w:uiPriority w:val="9"/>
    <w:semiHidden/>
    <w:rPr>
      <w:rFonts w:ascii="Times New Roman" w:hAnsi="Times New Roman" w:eastAsia="宋体" w:cs="Times New Roman"/>
      <w:b/>
      <w:bCs/>
      <w:sz w:val="28"/>
      <w:szCs w:val="28"/>
    </w:rPr>
  </w:style>
  <w:style w:type="character" w:styleId="660" w:customStyle="1">
    <w:name w:val="标题 6 Char"/>
    <w:basedOn w:val="652"/>
    <w:link w:val="648"/>
    <w:uiPriority w:val="9"/>
    <w:semiHidden/>
    <w:rPr>
      <w:rFonts w:asciiTheme="majorHAnsi" w:hAnsiTheme="majorHAnsi" w:eastAsiaTheme="majorEastAsia" w:cstheme="majorBidi"/>
      <w:b/>
      <w:bCs/>
      <w:sz w:val="24"/>
      <w:szCs w:val="24"/>
    </w:rPr>
  </w:style>
  <w:style w:type="character" w:styleId="661" w:customStyle="1">
    <w:name w:val="标题 7 Char"/>
    <w:basedOn w:val="652"/>
    <w:link w:val="649"/>
    <w:uiPriority w:val="9"/>
    <w:semiHidden/>
    <w:rPr>
      <w:rFonts w:ascii="Times New Roman" w:hAnsi="Times New Roman" w:eastAsia="宋体" w:cs="Times New Roman"/>
      <w:b/>
      <w:bCs/>
      <w:sz w:val="24"/>
      <w:szCs w:val="24"/>
    </w:rPr>
  </w:style>
  <w:style w:type="character" w:styleId="662" w:customStyle="1">
    <w:name w:val="标题 8 Char"/>
    <w:basedOn w:val="652"/>
    <w:link w:val="650"/>
    <w:uiPriority w:val="9"/>
    <w:semiHidden/>
    <w:rPr>
      <w:rFonts w:asciiTheme="majorHAnsi" w:hAnsiTheme="majorHAnsi" w:eastAsiaTheme="majorEastAsia" w:cstheme="majorBidi"/>
      <w:sz w:val="24"/>
      <w:szCs w:val="24"/>
    </w:rPr>
  </w:style>
  <w:style w:type="character" w:styleId="663" w:customStyle="1">
    <w:name w:val="标题 9 Char"/>
    <w:basedOn w:val="652"/>
    <w:link w:val="651"/>
    <w:uiPriority w:val="9"/>
    <w:semiHidden/>
    <w:rPr>
      <w:rFonts w:asciiTheme="majorHAnsi" w:hAnsiTheme="majorHAnsi" w:eastAsiaTheme="majorEastAsia" w:cstheme="majorBidi"/>
      <w:szCs w:val="21"/>
    </w:rPr>
  </w:style>
  <w:style w:type="paragraph" w:styleId="664">
    <w:name w:val="Body Text Indent"/>
    <w:basedOn w:val="642"/>
    <w:next w:val="667"/>
    <w:link w:val="666"/>
    <w:pPr>
      <w:ind w:firstLine="645"/>
    </w:pPr>
    <w:rPr>
      <w:rFonts w:ascii="楷体_GB2312" w:eastAsia="楷体_GB2312"/>
      <w:sz w:val="32"/>
      <w:szCs w:val="32"/>
    </w:rPr>
  </w:style>
  <w:style w:type="character" w:styleId="665" w:customStyle="1">
    <w:name w:val="正文文本缩进 Char"/>
    <w:basedOn w:val="652"/>
    <w:link w:val="664"/>
    <w:uiPriority w:val="99"/>
    <w:semiHidden/>
    <w:rPr>
      <w:rFonts w:ascii="Times New Roman" w:hAnsi="Times New Roman" w:eastAsia="宋体" w:cs="Times New Roman"/>
      <w:szCs w:val="21"/>
    </w:rPr>
  </w:style>
  <w:style w:type="character" w:styleId="666" w:customStyle="1">
    <w:name w:val="正文文本缩进 Char1"/>
    <w:link w:val="664"/>
    <w:rPr>
      <w:rFonts w:ascii="楷体_GB2312" w:hAnsi="Times New Roman" w:eastAsia="楷体_GB2312" w:cs="Times New Roman"/>
      <w:sz w:val="32"/>
      <w:szCs w:val="32"/>
    </w:rPr>
  </w:style>
  <w:style w:type="paragraph" w:styleId="667">
    <w:name w:val="envelope return"/>
    <w:basedOn w:val="642"/>
    <w:qFormat/>
    <w:rPr>
      <w:rFonts w:ascii="Arial" w:hAnsi="Arial" w:cs="宋体"/>
    </w:rPr>
  </w:style>
  <w:style w:type="character" w:styleId="668" w:customStyle="1">
    <w:name w:val="正文文本首行缩进 2 字符"/>
    <w:rPr>
      <w:rFonts w:ascii="宋体" w:hAnsi="宋体" w:eastAsia="宋体" w:cs="Times New Roman"/>
      <w:sz w:val="32"/>
      <w:szCs w:val="20"/>
    </w:rPr>
  </w:style>
  <w:style w:type="character" w:styleId="669" w:customStyle="1">
    <w:name w:val="标题 1 Char1"/>
    <w:link w:val="643"/>
    <w:rPr>
      <w:rFonts w:ascii="楷体_GB2312" w:hAnsi="Times New Roman" w:eastAsia="楷体_GB2312" w:cs="Times New Roman"/>
      <w:sz w:val="28"/>
      <w:szCs w:val="28"/>
    </w:rPr>
  </w:style>
  <w:style w:type="character" w:styleId="670" w:customStyle="1">
    <w:name w:val="标题 2 Char1"/>
    <w:link w:val="644"/>
    <w:rPr>
      <w:rFonts w:ascii="Arial" w:hAnsi="Arial" w:eastAsia="幼圆" w:cs="Times New Roman"/>
      <w:b/>
      <w:bCs/>
      <w:sz w:val="44"/>
      <w:szCs w:val="44"/>
    </w:rPr>
  </w:style>
  <w:style w:type="paragraph" w:styleId="671">
    <w:name w:val="Normal Indent"/>
    <w:basedOn w:val="642"/>
    <w:link w:val="672"/>
    <w:pPr>
      <w:ind w:firstLine="420"/>
    </w:pPr>
    <w:rPr>
      <w:sz w:val="20"/>
    </w:rPr>
  </w:style>
  <w:style w:type="character" w:styleId="672" w:customStyle="1">
    <w:name w:val="正文缩进 Char"/>
    <w:link w:val="671"/>
    <w:rPr>
      <w:rFonts w:ascii="Times New Roman" w:hAnsi="Times New Roman" w:eastAsia="宋体" w:cs="Times New Roman"/>
      <w:sz w:val="20"/>
      <w:szCs w:val="21"/>
    </w:rPr>
  </w:style>
  <w:style w:type="character" w:styleId="673" w:customStyle="1">
    <w:name w:val="标题 3 Char1"/>
    <w:link w:val="645"/>
    <w:rPr>
      <w:rFonts w:ascii="Times New Roman" w:hAnsi="Times New Roman" w:eastAsia="宋体" w:cs="Times New Roman"/>
      <w:b/>
      <w:bCs/>
      <w:sz w:val="32"/>
      <w:szCs w:val="32"/>
    </w:rPr>
  </w:style>
  <w:style w:type="character" w:styleId="674" w:customStyle="1">
    <w:name w:val="标题 4 Char1"/>
    <w:link w:val="646"/>
    <w:rPr>
      <w:rFonts w:ascii="Arial" w:hAnsi="Arial" w:eastAsia="黑体" w:cs="Times New Roman"/>
      <w:b/>
      <w:bCs/>
      <w:sz w:val="28"/>
      <w:szCs w:val="28"/>
    </w:rPr>
  </w:style>
  <w:style w:type="character" w:styleId="675" w:customStyle="1">
    <w:name w:val="标题 5 Char1"/>
    <w:link w:val="647"/>
    <w:rPr>
      <w:rFonts w:ascii="宋体" w:hAnsi="Times New Roman" w:eastAsia="宋体" w:cs="Times New Roman"/>
      <w:color w:val="000000"/>
      <w:sz w:val="28"/>
      <w:szCs w:val="28"/>
    </w:rPr>
  </w:style>
  <w:style w:type="character" w:styleId="676" w:customStyle="1">
    <w:name w:val="标题 6 Char1"/>
    <w:link w:val="648"/>
    <w:rPr>
      <w:rFonts w:ascii="Arial" w:hAnsi="Arial" w:eastAsia="黑体" w:cs="Times New Roman"/>
      <w:b/>
      <w:bCs/>
      <w:sz w:val="24"/>
      <w:szCs w:val="24"/>
    </w:rPr>
  </w:style>
  <w:style w:type="character" w:styleId="677" w:customStyle="1">
    <w:name w:val="标题 7 Char1"/>
    <w:link w:val="649"/>
    <w:rPr>
      <w:rFonts w:ascii="Times New Roman" w:hAnsi="Times New Roman" w:eastAsia="宋体" w:cs="Times New Roman"/>
      <w:b/>
      <w:bCs/>
      <w:sz w:val="24"/>
      <w:szCs w:val="24"/>
    </w:rPr>
  </w:style>
  <w:style w:type="character" w:styleId="678" w:customStyle="1">
    <w:name w:val="标题 8 Char1"/>
    <w:link w:val="650"/>
    <w:rPr>
      <w:rFonts w:ascii="Arial" w:hAnsi="Arial" w:eastAsia="黑体" w:cs="Times New Roman"/>
      <w:sz w:val="24"/>
      <w:szCs w:val="24"/>
    </w:rPr>
  </w:style>
  <w:style w:type="character" w:styleId="679" w:customStyle="1">
    <w:name w:val="标题 9 Char1"/>
    <w:link w:val="651"/>
    <w:rPr>
      <w:rFonts w:ascii="Arial" w:hAnsi="Arial" w:eastAsia="黑体" w:cs="Times New Roman"/>
      <w:sz w:val="20"/>
      <w:szCs w:val="21"/>
    </w:rPr>
  </w:style>
  <w:style w:type="paragraph" w:styleId="680">
    <w:name w:val="List 3"/>
    <w:basedOn w:val="642"/>
    <w:pPr>
      <w:ind w:left="100" w:hanging="200"/>
    </w:pPr>
  </w:style>
  <w:style w:type="paragraph" w:styleId="681">
    <w:name w:val="Document Map"/>
    <w:basedOn w:val="642"/>
    <w:link w:val="683"/>
    <w:semiHidden/>
    <w:pPr>
      <w:shd w:val="clear" w:color="auto" w:fill="000080"/>
    </w:pPr>
    <w:rPr>
      <w:sz w:val="20"/>
    </w:rPr>
  </w:style>
  <w:style w:type="character" w:styleId="682" w:customStyle="1">
    <w:name w:val="文档结构图 Char"/>
    <w:basedOn w:val="652"/>
    <w:link w:val="681"/>
    <w:uiPriority w:val="99"/>
    <w:semiHidden/>
    <w:rPr>
      <w:rFonts w:ascii="宋体" w:hAnsi="Times New Roman" w:eastAsia="宋体" w:cs="Times New Roman"/>
      <w:sz w:val="18"/>
      <w:szCs w:val="18"/>
    </w:rPr>
  </w:style>
  <w:style w:type="character" w:styleId="683" w:customStyle="1">
    <w:name w:val="文档结构图 Char1"/>
    <w:link w:val="681"/>
    <w:semiHidden/>
    <w:rPr>
      <w:rFonts w:ascii="Times New Roman" w:hAnsi="Times New Roman" w:eastAsia="宋体" w:cs="Times New Roman"/>
      <w:sz w:val="20"/>
      <w:szCs w:val="21"/>
      <w:shd w:val="clear" w:color="auto" w:fill="000080"/>
    </w:rPr>
  </w:style>
  <w:style w:type="paragraph" w:styleId="684">
    <w:name w:val="annotation text"/>
    <w:basedOn w:val="642"/>
    <w:link w:val="686"/>
    <w:uiPriority w:val="99"/>
    <w:qFormat/>
    <w:pPr>
      <w:jc w:val="left"/>
    </w:pPr>
    <w:rPr>
      <w:sz w:val="20"/>
    </w:rPr>
  </w:style>
  <w:style w:type="character" w:styleId="685" w:customStyle="1">
    <w:name w:val="批注文字 Char"/>
    <w:basedOn w:val="652"/>
    <w:link w:val="684"/>
    <w:uiPriority w:val="99"/>
    <w:qFormat/>
    <w:rPr>
      <w:rFonts w:ascii="Times New Roman" w:hAnsi="Times New Roman" w:eastAsia="宋体" w:cs="Times New Roman"/>
      <w:szCs w:val="21"/>
    </w:rPr>
  </w:style>
  <w:style w:type="character" w:styleId="686" w:customStyle="1">
    <w:name w:val="批注文字 Char2"/>
    <w:link w:val="684"/>
    <w:uiPriority w:val="99"/>
    <w:rPr>
      <w:rFonts w:ascii="Times New Roman" w:hAnsi="Times New Roman" w:eastAsia="宋体" w:cs="Times New Roman"/>
      <w:sz w:val="20"/>
      <w:szCs w:val="21"/>
    </w:rPr>
  </w:style>
  <w:style w:type="paragraph" w:styleId="687">
    <w:name w:val="Body Text 3"/>
    <w:basedOn w:val="642"/>
    <w:link w:val="689"/>
    <w:rPr>
      <w:rFonts w:ascii="仿宋_GB2312" w:hAnsi="Arial" w:eastAsia="仿宋_GB2312"/>
      <w:sz w:val="32"/>
      <w:szCs w:val="32"/>
    </w:rPr>
  </w:style>
  <w:style w:type="character" w:styleId="688" w:customStyle="1">
    <w:name w:val="正文文本 3 Char"/>
    <w:basedOn w:val="652"/>
    <w:link w:val="687"/>
    <w:uiPriority w:val="99"/>
    <w:semiHidden/>
    <w:rPr>
      <w:rFonts w:ascii="Times New Roman" w:hAnsi="Times New Roman" w:eastAsia="宋体" w:cs="Times New Roman"/>
      <w:sz w:val="16"/>
      <w:szCs w:val="16"/>
    </w:rPr>
  </w:style>
  <w:style w:type="character" w:styleId="689" w:customStyle="1">
    <w:name w:val="正文文本 3 Char1"/>
    <w:link w:val="687"/>
    <w:rPr>
      <w:rFonts w:ascii="仿宋_GB2312" w:hAnsi="Arial" w:eastAsia="仿宋_GB2312" w:cs="Times New Roman"/>
      <w:sz w:val="32"/>
      <w:szCs w:val="32"/>
    </w:rPr>
  </w:style>
  <w:style w:type="paragraph" w:styleId="690">
    <w:name w:val="Body Text"/>
    <w:basedOn w:val="642"/>
    <w:link w:val="692"/>
    <w:rPr>
      <w:rFonts w:ascii="楷体_GB2312" w:hAnsi="Arial" w:eastAsia="楷体_GB2312"/>
      <w:sz w:val="28"/>
      <w:szCs w:val="28"/>
    </w:rPr>
  </w:style>
  <w:style w:type="character" w:styleId="691" w:customStyle="1">
    <w:name w:val="正文文本 Char"/>
    <w:basedOn w:val="652"/>
    <w:link w:val="690"/>
    <w:uiPriority w:val="99"/>
    <w:semiHidden/>
    <w:rPr>
      <w:rFonts w:ascii="Times New Roman" w:hAnsi="Times New Roman" w:eastAsia="宋体" w:cs="Times New Roman"/>
      <w:szCs w:val="21"/>
    </w:rPr>
  </w:style>
  <w:style w:type="character" w:styleId="692" w:customStyle="1">
    <w:name w:val="正文文本 Char1"/>
    <w:link w:val="690"/>
    <w:rPr>
      <w:rFonts w:ascii="楷体_GB2312" w:hAnsi="Arial" w:eastAsia="楷体_GB2312" w:cs="Times New Roman"/>
      <w:sz w:val="28"/>
      <w:szCs w:val="28"/>
    </w:rPr>
  </w:style>
  <w:style w:type="paragraph" w:styleId="693">
    <w:name w:val="List 2"/>
    <w:basedOn w:val="642"/>
    <w:pPr>
      <w:ind w:left="100" w:hanging="200"/>
    </w:pPr>
  </w:style>
  <w:style w:type="paragraph" w:styleId="694">
    <w:name w:val="Plain Text"/>
    <w:basedOn w:val="642"/>
    <w:link w:val="696"/>
    <w:rPr>
      <w:rFonts w:ascii="宋体" w:hAnsi="Courier New"/>
      <w:sz w:val="20"/>
    </w:rPr>
  </w:style>
  <w:style w:type="character" w:styleId="695" w:customStyle="1">
    <w:name w:val="纯文本 Char"/>
    <w:basedOn w:val="652"/>
    <w:link w:val="694"/>
    <w:uiPriority w:val="99"/>
    <w:semiHidden/>
    <w:rPr>
      <w:rFonts w:ascii="宋体" w:hAnsi="Courier New" w:eastAsia="宋体" w:cs="Courier New"/>
      <w:szCs w:val="21"/>
    </w:rPr>
  </w:style>
  <w:style w:type="character" w:styleId="696" w:customStyle="1">
    <w:name w:val="纯文本 Char1"/>
    <w:link w:val="694"/>
    <w:rPr>
      <w:rFonts w:ascii="宋体" w:hAnsi="Courier New" w:eastAsia="宋体" w:cs="Times New Roman"/>
      <w:sz w:val="20"/>
      <w:szCs w:val="21"/>
    </w:rPr>
  </w:style>
  <w:style w:type="paragraph" w:styleId="697">
    <w:name w:val="Date"/>
    <w:basedOn w:val="642"/>
    <w:next w:val="642"/>
    <w:link w:val="699"/>
    <w:rPr>
      <w:sz w:val="24"/>
      <w:szCs w:val="24"/>
    </w:rPr>
  </w:style>
  <w:style w:type="character" w:styleId="698" w:customStyle="1">
    <w:name w:val="日期 Char"/>
    <w:basedOn w:val="652"/>
    <w:link w:val="697"/>
    <w:uiPriority w:val="99"/>
    <w:semiHidden/>
    <w:rPr>
      <w:rFonts w:ascii="Times New Roman" w:hAnsi="Times New Roman" w:eastAsia="宋体" w:cs="Times New Roman"/>
      <w:szCs w:val="21"/>
    </w:rPr>
  </w:style>
  <w:style w:type="character" w:styleId="699" w:customStyle="1">
    <w:name w:val="日期 Char1"/>
    <w:link w:val="697"/>
    <w:rPr>
      <w:rFonts w:ascii="Times New Roman" w:hAnsi="Times New Roman" w:eastAsia="宋体" w:cs="Times New Roman"/>
      <w:sz w:val="24"/>
      <w:szCs w:val="24"/>
    </w:rPr>
  </w:style>
  <w:style w:type="paragraph" w:styleId="700">
    <w:name w:val="Body Text Indent 2"/>
    <w:basedOn w:val="642"/>
    <w:link w:val="702"/>
    <w:pPr>
      <w:ind w:left="630" w:firstLine="645"/>
    </w:pPr>
    <w:rPr>
      <w:rFonts w:ascii="Arial" w:hAnsi="Arial" w:eastAsia="仿宋_GB2312"/>
      <w:sz w:val="32"/>
      <w:szCs w:val="32"/>
    </w:rPr>
  </w:style>
  <w:style w:type="character" w:styleId="701" w:customStyle="1">
    <w:name w:val="正文文本缩进 2 Char"/>
    <w:basedOn w:val="652"/>
    <w:link w:val="700"/>
    <w:uiPriority w:val="99"/>
    <w:semiHidden/>
    <w:rPr>
      <w:rFonts w:ascii="Times New Roman" w:hAnsi="Times New Roman" w:eastAsia="宋体" w:cs="Times New Roman"/>
      <w:szCs w:val="21"/>
    </w:rPr>
  </w:style>
  <w:style w:type="character" w:styleId="702" w:customStyle="1">
    <w:name w:val="正文文本缩进 2 Char1"/>
    <w:link w:val="700"/>
    <w:rPr>
      <w:rFonts w:ascii="Arial" w:hAnsi="Arial" w:eastAsia="仿宋_GB2312" w:cs="Times New Roman"/>
      <w:sz w:val="32"/>
      <w:szCs w:val="32"/>
    </w:rPr>
  </w:style>
  <w:style w:type="paragraph" w:styleId="703">
    <w:name w:val="Balloon Text"/>
    <w:basedOn w:val="642"/>
    <w:link w:val="705"/>
    <w:semiHidden/>
    <w:rPr>
      <w:sz w:val="18"/>
      <w:szCs w:val="18"/>
    </w:rPr>
  </w:style>
  <w:style w:type="character" w:styleId="704" w:customStyle="1">
    <w:name w:val="批注框文本 Char"/>
    <w:basedOn w:val="652"/>
    <w:link w:val="703"/>
    <w:uiPriority w:val="99"/>
    <w:semiHidden/>
    <w:rPr>
      <w:rFonts w:ascii="Times New Roman" w:hAnsi="Times New Roman" w:eastAsia="宋体" w:cs="Times New Roman"/>
      <w:sz w:val="18"/>
      <w:szCs w:val="18"/>
    </w:rPr>
  </w:style>
  <w:style w:type="character" w:styleId="705" w:customStyle="1">
    <w:name w:val="批注框文本 Char1"/>
    <w:link w:val="703"/>
    <w:semiHidden/>
    <w:rPr>
      <w:rFonts w:ascii="Times New Roman" w:hAnsi="Times New Roman" w:eastAsia="宋体" w:cs="Times New Roman"/>
      <w:sz w:val="18"/>
      <w:szCs w:val="18"/>
    </w:rPr>
  </w:style>
  <w:style w:type="paragraph" w:styleId="706">
    <w:name w:val="Footer"/>
    <w:basedOn w:val="642"/>
    <w:link w:val="708"/>
    <w:pPr>
      <w:jc w:val="left"/>
      <w:tabs>
        <w:tab w:val="center" w:pos="4153" w:leader="none"/>
        <w:tab w:val="right" w:pos="8306" w:leader="none"/>
      </w:tabs>
    </w:pPr>
    <w:rPr>
      <w:sz w:val="18"/>
      <w:szCs w:val="18"/>
    </w:rPr>
  </w:style>
  <w:style w:type="character" w:styleId="707" w:customStyle="1">
    <w:name w:val="页脚 Char"/>
    <w:basedOn w:val="652"/>
    <w:link w:val="706"/>
    <w:uiPriority w:val="99"/>
    <w:semiHidden/>
    <w:rPr>
      <w:rFonts w:ascii="Times New Roman" w:hAnsi="Times New Roman" w:eastAsia="宋体" w:cs="Times New Roman"/>
      <w:sz w:val="18"/>
      <w:szCs w:val="18"/>
    </w:rPr>
  </w:style>
  <w:style w:type="character" w:styleId="708" w:customStyle="1">
    <w:name w:val="页脚 Char1"/>
    <w:link w:val="706"/>
    <w:rPr>
      <w:rFonts w:ascii="Times New Roman" w:hAnsi="Times New Roman" w:eastAsia="宋体" w:cs="Times New Roman"/>
      <w:sz w:val="18"/>
      <w:szCs w:val="18"/>
    </w:rPr>
  </w:style>
  <w:style w:type="paragraph" w:styleId="709">
    <w:name w:val="Header"/>
    <w:basedOn w:val="642"/>
    <w:link w:val="711"/>
    <w:pPr>
      <w:jc w:val="center"/>
      <w:tabs>
        <w:tab w:val="center" w:pos="4153" w:leader="none"/>
        <w:tab w:val="right" w:pos="8306" w:leader="none"/>
      </w:tabs>
      <w:pBdr>
        <w:bottom w:val="single" w:color="auto" w:sz="6" w:space="1"/>
      </w:pBdr>
    </w:pPr>
    <w:rPr>
      <w:sz w:val="18"/>
      <w:szCs w:val="18"/>
    </w:rPr>
  </w:style>
  <w:style w:type="character" w:styleId="710" w:customStyle="1">
    <w:name w:val="页眉 Char"/>
    <w:basedOn w:val="652"/>
    <w:link w:val="709"/>
    <w:uiPriority w:val="99"/>
    <w:semiHidden/>
    <w:rPr>
      <w:rFonts w:ascii="Times New Roman" w:hAnsi="Times New Roman" w:eastAsia="宋体" w:cs="Times New Roman"/>
      <w:sz w:val="18"/>
      <w:szCs w:val="18"/>
    </w:rPr>
  </w:style>
  <w:style w:type="character" w:styleId="711" w:customStyle="1">
    <w:name w:val="页眉 Char1"/>
    <w:link w:val="709"/>
    <w:rPr>
      <w:rFonts w:ascii="Times New Roman" w:hAnsi="Times New Roman" w:eastAsia="宋体" w:cs="Times New Roman"/>
      <w:sz w:val="18"/>
      <w:szCs w:val="18"/>
    </w:rPr>
  </w:style>
  <w:style w:type="paragraph" w:styleId="712">
    <w:name w:val="List"/>
    <w:basedOn w:val="642"/>
    <w:pPr>
      <w:ind w:left="200" w:hanging="200"/>
    </w:pPr>
  </w:style>
  <w:style w:type="paragraph" w:styleId="713">
    <w:name w:val="Body Text Indent 3"/>
    <w:basedOn w:val="642"/>
    <w:link w:val="715"/>
    <w:pPr>
      <w:ind w:left="645" w:firstLine="645"/>
    </w:pPr>
    <w:rPr>
      <w:rFonts w:ascii="Arial" w:hAnsi="Arial" w:eastAsia="仿宋_GB2312"/>
      <w:color w:val="ffff00"/>
      <w:sz w:val="32"/>
      <w:szCs w:val="32"/>
    </w:rPr>
  </w:style>
  <w:style w:type="character" w:styleId="714" w:customStyle="1">
    <w:name w:val="正文文本缩进 3 Char"/>
    <w:basedOn w:val="652"/>
    <w:link w:val="713"/>
    <w:uiPriority w:val="99"/>
    <w:semiHidden/>
    <w:rPr>
      <w:rFonts w:ascii="Times New Roman" w:hAnsi="Times New Roman" w:eastAsia="宋体" w:cs="Times New Roman"/>
      <w:sz w:val="16"/>
      <w:szCs w:val="16"/>
    </w:rPr>
  </w:style>
  <w:style w:type="character" w:styleId="715" w:customStyle="1">
    <w:name w:val="正文文本缩进 3 Char1"/>
    <w:link w:val="713"/>
    <w:rPr>
      <w:rFonts w:ascii="Arial" w:hAnsi="Arial" w:eastAsia="仿宋_GB2312" w:cs="Times New Roman"/>
      <w:color w:val="ffff00"/>
      <w:sz w:val="32"/>
      <w:szCs w:val="32"/>
    </w:rPr>
  </w:style>
  <w:style w:type="paragraph" w:styleId="716">
    <w:name w:val="table of figures"/>
    <w:basedOn w:val="642"/>
    <w:next w:val="642"/>
    <w:semiHidden/>
    <w:pPr>
      <w:ind w:left="840" w:hanging="420"/>
    </w:pPr>
  </w:style>
  <w:style w:type="paragraph" w:styleId="717">
    <w:name w:val="Body Text 2"/>
    <w:basedOn w:val="642"/>
    <w:link w:val="719"/>
    <w:pPr>
      <w:jc w:val="center"/>
      <w:widowControl/>
    </w:pPr>
    <w:rPr>
      <w:rFonts w:ascii="楷体_GB2312" w:eastAsia="楷体_GB2312"/>
      <w:sz w:val="28"/>
      <w:szCs w:val="28"/>
    </w:rPr>
  </w:style>
  <w:style w:type="character" w:styleId="718" w:customStyle="1">
    <w:name w:val="正文文本 2 Char"/>
    <w:basedOn w:val="652"/>
    <w:link w:val="717"/>
    <w:uiPriority w:val="99"/>
    <w:semiHidden/>
    <w:rPr>
      <w:rFonts w:ascii="Times New Roman" w:hAnsi="Times New Roman" w:eastAsia="宋体" w:cs="Times New Roman"/>
      <w:szCs w:val="21"/>
    </w:rPr>
  </w:style>
  <w:style w:type="character" w:styleId="719" w:customStyle="1">
    <w:name w:val="正文文本 2 Char1"/>
    <w:link w:val="717"/>
    <w:rPr>
      <w:rFonts w:ascii="楷体_GB2312" w:hAnsi="Times New Roman" w:eastAsia="楷体_GB2312" w:cs="Times New Roman"/>
      <w:sz w:val="28"/>
      <w:szCs w:val="28"/>
    </w:rPr>
  </w:style>
  <w:style w:type="paragraph" w:styleId="720">
    <w:name w:val="Normal (Web)"/>
    <w:basedOn w:val="642"/>
    <w:uiPriority w:val="99"/>
    <w:pPr>
      <w:jc w:val="left"/>
      <w:spacing w:before="100" w:beforeAutospacing="1" w:after="100" w:afterAutospacing="1"/>
      <w:widowControl/>
    </w:pPr>
    <w:rPr>
      <w:rFonts w:ascii="宋体" w:hAnsi="宋体" w:cs="宋体"/>
      <w:sz w:val="24"/>
      <w:szCs w:val="24"/>
    </w:rPr>
  </w:style>
  <w:style w:type="paragraph" w:styleId="721">
    <w:name w:val="index 1"/>
    <w:basedOn w:val="642"/>
    <w:next w:val="642"/>
    <w:semiHidden/>
    <w:pPr>
      <w:spacing w:line="240" w:lineRule="atLeast"/>
    </w:pPr>
    <w:rPr>
      <w:b/>
      <w:bCs/>
    </w:rPr>
  </w:style>
  <w:style w:type="paragraph" w:styleId="722">
    <w:name w:val="annotation subject"/>
    <w:basedOn w:val="684"/>
    <w:next w:val="684"/>
    <w:link w:val="724"/>
    <w:semiHidden/>
    <w:rPr>
      <w:b/>
      <w:bCs/>
    </w:rPr>
  </w:style>
  <w:style w:type="character" w:styleId="723" w:customStyle="1">
    <w:name w:val="批注主题 Char"/>
    <w:basedOn w:val="685"/>
    <w:link w:val="722"/>
    <w:uiPriority w:val="99"/>
    <w:semiHidden/>
    <w:rPr>
      <w:b/>
      <w:bCs/>
    </w:rPr>
  </w:style>
  <w:style w:type="character" w:styleId="724" w:customStyle="1">
    <w:name w:val="批注主题 Char1"/>
    <w:link w:val="722"/>
    <w:semiHidden/>
    <w:rPr>
      <w:rFonts w:ascii="Times New Roman" w:hAnsi="Times New Roman" w:eastAsia="宋体" w:cs="Times New Roman"/>
      <w:b/>
      <w:bCs/>
      <w:sz w:val="20"/>
      <w:szCs w:val="21"/>
    </w:rPr>
  </w:style>
  <w:style w:type="character" w:styleId="725" w:customStyle="1">
    <w:name w:val="正文文本首行缩进 字符"/>
    <w:rPr>
      <w:rFonts w:ascii="仿宋_GB2312" w:hAnsi="Times New Roman" w:eastAsia="仿宋_GB2312" w:cs="Times New Roman"/>
      <w:sz w:val="30"/>
      <w:szCs w:val="30"/>
    </w:rPr>
  </w:style>
  <w:style w:type="table" w:styleId="726">
    <w:name w:val="Table Grid"/>
    <w:basedOn w:val="653"/>
    <w:uiPriority w:val="59"/>
    <w:pPr>
      <w:jc w:val="both"/>
      <w:widowControl w:val="off"/>
    </w:pPr>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qFormat/>
    <w:rPr>
      <w:b/>
      <w:bCs/>
    </w:rPr>
  </w:style>
  <w:style w:type="character" w:styleId="728">
    <w:name w:val="page number"/>
  </w:style>
  <w:style w:type="character" w:styleId="729">
    <w:name w:val="Hyperlink"/>
    <w:rPr>
      <w:color w:val="0000ff"/>
      <w:u w:val="single"/>
    </w:rPr>
  </w:style>
  <w:style w:type="character" w:styleId="730">
    <w:name w:val="annotation reference"/>
    <w:qFormat/>
    <w:rPr>
      <w:sz w:val="21"/>
      <w:szCs w:val="21"/>
    </w:rPr>
  </w:style>
  <w:style w:type="paragraph" w:styleId="731" w:customStyle="1">
    <w:name w:val="索引 41"/>
    <w:basedOn w:val="642"/>
    <w:next w:val="642"/>
    <w:semiHidden/>
    <w:qFormat/>
    <w:pPr>
      <w:ind w:left="1260"/>
    </w:pPr>
    <w:rPr>
      <w:rFonts w:ascii="Calibri" w:hAnsi="Calibri" w:eastAsia="Calibri" w:cs="宋体"/>
      <w:sz w:val="20"/>
      <w:lang w:val="zh-CN"/>
    </w:rPr>
  </w:style>
  <w:style w:type="paragraph" w:styleId="732" w:customStyle="1">
    <w:name w:val="标题 41"/>
    <w:basedOn w:val="642"/>
    <w:next w:val="733"/>
    <w:qFormat/>
    <w:pPr>
      <w:keepLines/>
      <w:keepNext/>
      <w:spacing w:before="280" w:after="290" w:line="376" w:lineRule="auto"/>
      <w:outlineLvl w:val="3"/>
    </w:pPr>
    <w:rPr>
      <w:rFonts w:ascii="Arial" w:hAnsi="Arial" w:eastAsia="黑体" w:cs="Arial"/>
      <w:b/>
      <w:bCs/>
      <w:sz w:val="28"/>
      <w:szCs w:val="28"/>
    </w:rPr>
  </w:style>
  <w:style w:type="paragraph" w:styleId="733" w:customStyle="1">
    <w:name w:val="正文缩进1"/>
    <w:basedOn w:val="642"/>
    <w:qFormat/>
    <w:pPr>
      <w:ind w:firstLine="420"/>
    </w:pPr>
  </w:style>
  <w:style w:type="paragraph" w:styleId="734" w:customStyle="1">
    <w:name w:val="正文文本12"/>
    <w:basedOn w:val="642"/>
    <w:uiPriority w:val="1"/>
    <w:qFormat/>
    <w:pPr>
      <w:ind w:left="120"/>
    </w:pPr>
    <w:rPr>
      <w:rFonts w:ascii="宋体" w:hAnsi="宋体" w:cs="宋体"/>
      <w:lang w:val="zh-CN" w:bidi="zh-CN"/>
    </w:rPr>
  </w:style>
  <w:style w:type="character" w:styleId="735" w:customStyle="1">
    <w:name w:val="font5 Char"/>
    <w:rPr>
      <w:rFonts w:ascii="宋体" w:hAnsi="宋体" w:eastAsia="宋体"/>
      <w:sz w:val="28"/>
      <w:szCs w:val="28"/>
      <w:lang w:val="en-US" w:eastAsia="zh-CN" w:bidi="ar-SA"/>
    </w:rPr>
  </w:style>
  <w:style w:type="character" w:styleId="736" w:customStyle="1">
    <w:name w:val="二级目录 Char"/>
    <w:link w:val="737"/>
    <w:rPr>
      <w:b/>
      <w:sz w:val="30"/>
      <w:szCs w:val="28"/>
    </w:rPr>
  </w:style>
  <w:style w:type="paragraph" w:styleId="737" w:customStyle="1">
    <w:name w:val="二级目录"/>
    <w:next w:val="642"/>
    <w:link w:val="736"/>
    <w:pPr>
      <w:ind w:left="907" w:hanging="907"/>
      <w:tabs>
        <w:tab w:val="left" w:pos="907" w:leader="none"/>
        <w:tab w:val="left" w:pos="1145" w:leader="none"/>
      </w:tabs>
      <w:outlineLvl w:val="1"/>
    </w:pPr>
    <w:rPr>
      <w:b/>
      <w:sz w:val="30"/>
      <w:szCs w:val="28"/>
    </w:rPr>
  </w:style>
  <w:style w:type="character" w:styleId="738" w:customStyle="1">
    <w:name w:val="列出段落 Char"/>
    <w:link w:val="739"/>
    <w:rPr>
      <w:rFonts w:ascii="Calibri" w:hAnsi="Calibri"/>
      <w:sz w:val="24"/>
      <w:szCs w:val="24"/>
      <w:lang w:eastAsia="en-US" w:bidi="en-US"/>
    </w:rPr>
  </w:style>
  <w:style w:type="paragraph" w:styleId="739" w:customStyle="1">
    <w:name w:val="列出段落1"/>
    <w:basedOn w:val="642"/>
    <w:link w:val="738"/>
    <w:qFormat/>
    <w:pPr>
      <w:contextualSpacing/>
      <w:ind w:left="720"/>
      <w:jc w:val="left"/>
      <w:widowControl/>
    </w:pPr>
    <w:rPr>
      <w:rFonts w:ascii="Calibri" w:hAnsi="Calibri" w:eastAsiaTheme="minorEastAsia" w:cstheme="minorBidi"/>
      <w:sz w:val="24"/>
      <w:szCs w:val="24"/>
      <w:lang w:eastAsia="en-US" w:bidi="en-US"/>
    </w:rPr>
  </w:style>
  <w:style w:type="paragraph" w:styleId="740" w:customStyle="1">
    <w:name w:val="Body Text(ch)"/>
    <w:basedOn w:val="642"/>
    <w:next w:val="690"/>
    <w:pPr>
      <w:spacing w:after="120"/>
    </w:pPr>
    <w:rPr>
      <w:rFonts w:ascii="宋体" w:hAnsi="Arial"/>
      <w:bCs/>
      <w:iCs/>
      <w:szCs w:val="24"/>
    </w:rPr>
  </w:style>
  <w:style w:type="paragraph" w:styleId="741" w:customStyle="1">
    <w:name w:val="xl27"/>
    <w:basedOn w:val="64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42" w:customStyle="1">
    <w:name w:val="xl26"/>
    <w:basedOn w:val="64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43" w:customStyle="1">
    <w:name w:val="Char"/>
    <w:basedOn w:val="642"/>
    <w:pPr>
      <w:ind w:firstLine="200"/>
      <w:tabs>
        <w:tab w:val="left" w:pos="360" w:leader="none"/>
      </w:tabs>
    </w:pPr>
    <w:rPr>
      <w:sz w:val="28"/>
      <w:szCs w:val="30"/>
    </w:rPr>
  </w:style>
  <w:style w:type="paragraph" w:styleId="744" w:customStyle="1">
    <w:name w:val="普通正文"/>
    <w:basedOn w:val="642"/>
    <w:pPr>
      <w:ind w:firstLine="480"/>
      <w:jc w:val="left"/>
      <w:spacing w:before="120" w:after="120" w:line="360" w:lineRule="auto"/>
    </w:pPr>
    <w:rPr>
      <w:rFonts w:ascii="Arial" w:hAnsi="Arial"/>
      <w:sz w:val="24"/>
      <w:szCs w:val="24"/>
    </w:rPr>
  </w:style>
  <w:style w:type="paragraph" w:styleId="745" w:customStyle="1">
    <w:name w:val="table_lines"/>
    <w:basedOn w:val="642"/>
    <w:pPr>
      <w:jc w:val="left"/>
      <w:widowControl/>
    </w:pPr>
    <w:rPr>
      <w:sz w:val="20"/>
      <w:szCs w:val="20"/>
      <w:lang w:val="de-DE" w:eastAsia="de-DE"/>
    </w:rPr>
  </w:style>
  <w:style w:type="paragraph" w:styleId="746" w:customStyle="1">
    <w:name w:val="附录1"/>
    <w:pPr>
      <w:ind w:left="907" w:hanging="907"/>
      <w:spacing w:before="240" w:line="600" w:lineRule="atLeast"/>
      <w:tabs>
        <w:tab w:val="left" w:pos="907" w:leader="none"/>
      </w:tabs>
    </w:pPr>
    <w:rPr>
      <w:rFonts w:ascii="Times New Roman" w:hAnsi="Times New Roman" w:eastAsia="宋体" w:cs="Times New Roman"/>
      <w:b/>
      <w:i/>
      <w:sz w:val="28"/>
      <w:szCs w:val="20"/>
    </w:rPr>
  </w:style>
  <w:style w:type="paragraph" w:styleId="747" w:customStyle="1">
    <w:name w:val="font7"/>
    <w:basedOn w:val="642"/>
    <w:pPr>
      <w:jc w:val="left"/>
      <w:spacing w:before="100" w:beforeAutospacing="1" w:after="100" w:afterAutospacing="1"/>
      <w:widowControl/>
    </w:pPr>
    <w:rPr>
      <w:rFonts w:hint="eastAsia" w:ascii="宋体" w:hAnsi="宋体"/>
      <w:sz w:val="18"/>
      <w:szCs w:val="18"/>
    </w:rPr>
  </w:style>
  <w:style w:type="paragraph" w:styleId="748" w:customStyle="1">
    <w:name w:val="Char Char Char Char"/>
    <w:basedOn w:val="681"/>
    <w:pPr>
      <w:spacing w:line="360" w:lineRule="auto"/>
    </w:pPr>
    <w:rPr>
      <w:rFonts w:ascii="Tahoma" w:hAnsi="Tahoma"/>
      <w:sz w:val="24"/>
      <w:szCs w:val="24"/>
    </w:rPr>
  </w:style>
  <w:style w:type="paragraph" w:styleId="749" w:customStyle="1">
    <w:name w:val="4"/>
    <w:basedOn w:val="642"/>
    <w:next w:val="713"/>
    <w:pPr>
      <w:ind w:firstLine="420"/>
      <w:spacing w:line="360" w:lineRule="auto"/>
    </w:pPr>
    <w:rPr>
      <w:color w:val="ff0000"/>
      <w:sz w:val="24"/>
      <w:szCs w:val="24"/>
    </w:rPr>
  </w:style>
  <w:style w:type="paragraph" w:styleId="750" w:customStyle="1">
    <w:name w:val="普通 (Web)"/>
    <w:basedOn w:val="642"/>
    <w:pPr>
      <w:jc w:val="left"/>
      <w:spacing w:before="100" w:beforeAutospacing="1" w:after="100" w:afterAutospacing="1"/>
      <w:widowControl/>
    </w:pPr>
    <w:rPr>
      <w:rFonts w:ascii="宋体" w:hAnsi="宋体"/>
      <w:sz w:val="24"/>
      <w:szCs w:val="24"/>
    </w:rPr>
  </w:style>
  <w:style w:type="paragraph" w:styleId="751" w:customStyle="1">
    <w:name w:val="Char Char Char Char Char Char Char Char Char Char"/>
    <w:basedOn w:val="642"/>
    <w:pPr>
      <w:spacing w:line="360" w:lineRule="auto"/>
    </w:pPr>
    <w:rPr>
      <w:sz w:val="24"/>
      <w:szCs w:val="20"/>
    </w:rPr>
  </w:style>
  <w:style w:type="paragraph" w:styleId="752" w:customStyle="1">
    <w:name w:val="样式1"/>
    <w:basedOn w:val="642"/>
    <w:pPr>
      <w:ind w:left="709" w:hanging="709"/>
      <w:tabs>
        <w:tab w:val="left" w:pos="709" w:leader="none"/>
      </w:tabs>
    </w:pPr>
    <w:rPr>
      <w:rFonts w:ascii="宋体" w:hAnsi="宋体"/>
    </w:rPr>
  </w:style>
  <w:style w:type="paragraph" w:styleId="753" w:customStyle="1">
    <w:name w:val="font6"/>
    <w:basedOn w:val="642"/>
    <w:pPr>
      <w:jc w:val="left"/>
      <w:spacing w:before="100" w:beforeAutospacing="1" w:after="100" w:afterAutospacing="1"/>
      <w:widowControl/>
    </w:pPr>
    <w:rPr>
      <w:rFonts w:hint="eastAsia" w:ascii="宋体" w:hAnsi="宋体"/>
      <w:sz w:val="28"/>
      <w:szCs w:val="28"/>
      <w:u w:val="single"/>
    </w:rPr>
  </w:style>
  <w:style w:type="paragraph" w:styleId="754" w:customStyle="1">
    <w:name w:val="xl25"/>
    <w:basedOn w:val="64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5" w:customStyle="1">
    <w:name w:val="图标"/>
    <w:basedOn w:val="642"/>
    <w:next w:val="64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56" w:customStyle="1">
    <w:name w:val="标题3"/>
    <w:basedOn w:val="642"/>
    <w:next w:val="642"/>
    <w:pPr>
      <w:ind w:firstLine="624"/>
      <w:spacing w:line="590" w:lineRule="atLeast"/>
    </w:pPr>
    <w:rPr>
      <w:rFonts w:ascii="方正黑体_GBK" w:eastAsia="方正黑体_GBK"/>
      <w:sz w:val="32"/>
      <w:szCs w:val="32"/>
    </w:rPr>
  </w:style>
  <w:style w:type="paragraph" w:styleId="757" w:customStyle="1">
    <w:name w:val="xl24"/>
    <w:basedOn w:val="64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58" w:customStyle="1">
    <w:name w:val="xl29"/>
    <w:basedOn w:val="642"/>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59" w:customStyle="1">
    <w:name w:val="Char Char Char Char Char Char Char Char"/>
    <w:basedOn w:val="642"/>
    <w:pPr>
      <w:jc w:val="left"/>
      <w:spacing w:after="160" w:line="240" w:lineRule="exact"/>
      <w:widowControl/>
    </w:pPr>
    <w:rPr>
      <w:rFonts w:ascii="Verdana" w:hAnsi="Verdana"/>
      <w:sz w:val="20"/>
      <w:szCs w:val="20"/>
      <w:lang w:eastAsia="en-US"/>
    </w:rPr>
  </w:style>
  <w:style w:type="paragraph" w:styleId="760" w:customStyle="1">
    <w:name w:val="xl28"/>
    <w:basedOn w:val="642"/>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61" w:customStyle="1">
    <w:name w:val="xl30"/>
    <w:basedOn w:val="642"/>
    <w:pPr>
      <w:jc w:val="center"/>
      <w:spacing w:before="100" w:beforeAutospacing="1" w:after="100" w:afterAutospacing="1"/>
      <w:widowControl/>
    </w:pPr>
    <w:rPr>
      <w:rFonts w:ascii="宋体" w:hAnsi="宋体"/>
      <w:b/>
      <w:bCs/>
      <w:sz w:val="36"/>
      <w:szCs w:val="36"/>
    </w:rPr>
  </w:style>
  <w:style w:type="paragraph" w:styleId="762" w:customStyle="1">
    <w:name w:val="table_1stline"/>
    <w:basedOn w:val="642"/>
    <w:pPr>
      <w:jc w:val="left"/>
      <w:spacing w:before="120"/>
      <w:widowControl/>
    </w:pPr>
    <w:rPr>
      <w:bCs/>
      <w:sz w:val="20"/>
      <w:szCs w:val="20"/>
      <w:lang w:val="de-DE" w:eastAsia="de-DE"/>
    </w:rPr>
  </w:style>
  <w:style w:type="paragraph" w:styleId="763" w:customStyle="1">
    <w:name w:val="font5"/>
    <w:basedOn w:val="642"/>
    <w:pPr>
      <w:jc w:val="left"/>
      <w:spacing w:before="100" w:beforeAutospacing="1" w:after="100" w:afterAutospacing="1"/>
      <w:widowControl/>
    </w:pPr>
    <w:rPr>
      <w:rFonts w:hint="eastAsia" w:ascii="宋体" w:hAnsi="宋体"/>
      <w:sz w:val="28"/>
      <w:szCs w:val="28"/>
    </w:rPr>
  </w:style>
  <w:style w:type="paragraph" w:styleId="764" w:customStyle="1">
    <w:name w:val="标题1"/>
    <w:basedOn w:val="642"/>
    <w:next w:val="642"/>
    <w:pPr>
      <w:jc w:val="center"/>
      <w:spacing w:line="700" w:lineRule="atLeast"/>
      <w:tabs>
        <w:tab w:val="left" w:pos="9193" w:leader="none"/>
        <w:tab w:val="left" w:pos="9827" w:leader="none"/>
      </w:tabs>
    </w:pPr>
    <w:rPr>
      <w:rFonts w:ascii="方正小标宋_GBK" w:eastAsia="方正小标宋_GBK"/>
      <w:sz w:val="44"/>
      <w:szCs w:val="20"/>
    </w:rPr>
  </w:style>
  <w:style w:type="paragraph" w:styleId="765">
    <w:name w:val="Revision"/>
    <w:uiPriority w:val="99"/>
    <w:semiHidden/>
    <w:rPr>
      <w:rFonts w:ascii="Times New Roman" w:hAnsi="Times New Roman" w:eastAsia="宋体" w:cs="Times New Roman"/>
      <w:szCs w:val="21"/>
    </w:rPr>
  </w:style>
  <w:style w:type="paragraph" w:styleId="766">
    <w:name w:val="No Spacing"/>
    <w:uiPriority w:val="99"/>
    <w:qFormat/>
    <w:pPr>
      <w:jc w:val="both"/>
      <w:widowControl w:val="off"/>
    </w:pPr>
    <w:rPr>
      <w:rFonts w:ascii="Times New Roman" w:hAnsi="Times New Roman" w:eastAsia="宋体" w:cs="Times New Roman"/>
      <w:szCs w:val="21"/>
    </w:rPr>
  </w:style>
  <w:style w:type="paragraph" w:styleId="767" w:customStyle="1">
    <w:name w:val="正文文本 211"/>
    <w:basedOn w:val="642"/>
    <w:uiPriority w:val="99"/>
    <w:qFormat/>
    <w:pPr>
      <w:jc w:val="center"/>
    </w:pPr>
    <w:rPr>
      <w:b/>
      <w:bCs/>
      <w:sz w:val="20"/>
      <w:szCs w:val="20"/>
    </w:rPr>
  </w:style>
  <w:style w:type="table" w:styleId="768" w:customStyle="1">
    <w:name w:val="Table Normal"/>
    <w:qFormat/>
    <w:rPr>
      <w:rFonts w:ascii="Times New Roman" w:hAnsi="Times New Roman" w:eastAsia="宋体" w:cs="Times New Roman"/>
      <w:sz w:val="20"/>
      <w:szCs w:val="20"/>
    </w:rPr>
    <w:tblPr>
      <w:tblCellMar>
        <w:left w:w="0" w:type="dxa"/>
        <w:top w:w="0" w:type="dxa"/>
        <w:right w:w="0" w:type="dxa"/>
        <w:bottom w:w="0" w:type="dxa"/>
      </w:tblCellMar>
    </w:tblPr>
  </w:style>
  <w:style w:type="paragraph" w:styleId="769" w:customStyle="1">
    <w:name w:val="正文文本1"/>
    <w:basedOn w:val="642"/>
    <w:next w:val="642"/>
    <w:semiHidden/>
    <w:qFormat/>
    <w:rPr>
      <w:rFonts w:ascii="Arial" w:hAnsi="Arial" w:eastAsia="Arial" w:cs="Arial"/>
      <w:lang w:eastAsia="en-US"/>
    </w:rPr>
  </w:style>
  <w:style w:type="paragraph" w:styleId="770" w:customStyle="1">
    <w:name w:val="纯文本1"/>
    <w:basedOn w:val="642"/>
    <w:qFormat/>
    <w:rPr>
      <w:rFonts w:ascii="宋体" w:hAnsi="Courier New" w:cs="Courier New"/>
    </w:rPr>
  </w:style>
  <w:style w:type="table" w:styleId="771" w:customStyle="1">
    <w:name w:val="网格型1"/>
    <w:basedOn w:val="772"/>
    <w:qFormat/>
    <w:pPr>
      <w:jc w:val="both"/>
      <w:widowControl w:val="off"/>
    </w:pPr>
    <w:tblPr>
      <w:tblCellMar>
        <w:left w:w="0" w:type="dxa"/>
        <w:top w:w="0" w:type="dxa"/>
        <w:right w:w="0" w:type="dxa"/>
        <w:bottom w:w="0" w:type="dxa"/>
      </w:tblCellMar>
    </w:tblPr>
  </w:style>
  <w:style w:type="table" w:styleId="772" w:customStyle="1">
    <w:name w:val="普通表格1"/>
    <w:uiPriority w:val="99"/>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character" w:styleId="773" w:customStyle="1">
    <w:name w:val="批注文字 Char1"/>
    <w:uiPriority w:val="99"/>
    <w:rPr>
      <w:sz w:val="21"/>
      <w:szCs w:val="21"/>
    </w:rPr>
  </w:style>
  <w:style w:type="paragraph" w:styleId="774">
    <w:name w:val="Body Text First Indent 2"/>
    <w:basedOn w:val="664"/>
    <w:link w:val="775"/>
    <w:uiPriority w:val="99"/>
    <w:semiHidden/>
    <w:unhideWhenUsed/>
    <w:pPr>
      <w:ind w:left="420" w:firstLine="420"/>
      <w:spacing w:after="120"/>
    </w:pPr>
    <w:rPr>
      <w:rFonts w:ascii="Times New Roman" w:eastAsia="宋体"/>
      <w:sz w:val="21"/>
      <w:szCs w:val="21"/>
    </w:rPr>
  </w:style>
  <w:style w:type="character" w:styleId="775" w:customStyle="1">
    <w:name w:val="正文首行缩进 2 Char"/>
    <w:basedOn w:val="665"/>
    <w:link w:val="774"/>
    <w:uiPriority w:val="99"/>
    <w:semiHidden/>
  </w:style>
  <w:style w:type="paragraph" w:styleId="776">
    <w:name w:val="Body Text First Indent"/>
    <w:basedOn w:val="690"/>
    <w:link w:val="777"/>
    <w:uiPriority w:val="99"/>
    <w:semiHidden/>
    <w:unhideWhenUsed/>
    <w:pPr>
      <w:ind w:firstLine="420"/>
      <w:spacing w:after="120"/>
    </w:pPr>
    <w:rPr>
      <w:rFonts w:ascii="Times New Roman" w:hAnsi="Times New Roman" w:eastAsia="宋体"/>
      <w:sz w:val="21"/>
      <w:szCs w:val="21"/>
    </w:rPr>
  </w:style>
  <w:style w:type="character" w:styleId="777" w:customStyle="1">
    <w:name w:val="正文首行缩进 Char"/>
    <w:basedOn w:val="691"/>
    <w:link w:val="776"/>
    <w:uiPriority w:val="99"/>
    <w:semiHidden/>
  </w:style>
  <w:style w:type="character" w:styleId="778">
    <w:name w:val="FollowedHyperlink"/>
    <w:basedOn w:val="652"/>
    <w:uiPriority w:val="99"/>
    <w:semiHidden/>
    <w:unhideWhenUsed/>
    <w:rPr>
      <w:color w:val="800080" w:themeColor="followedHyperlink"/>
      <w:u w:val="single"/>
    </w:rPr>
  </w:style>
  <w:style w:type="paragraph" w:styleId="779">
    <w:name w:val="List Paragraph"/>
    <w:basedOn w:val="642"/>
    <w:uiPriority w:val="34"/>
    <w:qFormat/>
    <w:pPr>
      <w:ind w:firstLine="420"/>
    </w:pPr>
  </w:style>
  <w:style w:type="paragraph" w:styleId="780" w:customStyle="1">
    <w:name w:val="Default"/>
    <w:pPr>
      <w:widowControl w:val="off"/>
    </w:pPr>
    <w:rPr>
      <w:rFonts w:ascii="宋体" w:eastAsia="宋体"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෈৴რড়ᨘ৊ጐড়‰৴ឨড়</dc:creator>
  <cp:keywords/>
  <dc:description/>
  <cp:lastModifiedBy>庄瑞琦</cp:lastModifiedBy>
  <cp:revision>4</cp:revision>
  <dcterms:created xsi:type="dcterms:W3CDTF">2024-12-18T01:55:00Z</dcterms:created>
  <dcterms:modified xsi:type="dcterms:W3CDTF">2024-12-18T06:38:25Z</dcterms:modified>
</cp:coreProperties>
</file>