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0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南通高新区2024年雨污水管网检测项目（二次）</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项目编号：JSZC-320612-HSGL-G2024-0081</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3248025" cy="24955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43894" name=""/>
                              <pic:cNvPicPr>
                                <a:picLocks noChangeAspect="1"/>
                              </pic:cNvPicPr>
                              <pic:nvPr/>
                            </pic:nvPicPr>
                            <pic:blipFill>
                              <a:blip/>
                              <a:stretch/>
                            </pic:blipFill>
                            <pic:spPr bwMode="auto">
                              <a:xfrm>
                                <a:off x="0" y="0"/>
                                <a:ext cx="3248024" cy="2495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8pt;height:196.5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南通高新技术产业开发区招商服务中心</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二〇二四年九月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受[南通高新技术产业开发区招商服务中心]的委托，江苏衡晟项目管理咨询有限公司就[南通高新区2024年雨污水管网检测项目（二次）]进行公开招标采购，欢迎符合条件的供应商投标。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南通高新区2024年雨污水管网检测项目（二次）</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2024年10月18日 9点 30分（</w:t>
      </w:r>
      <w:r>
        <w:rPr>
          <w:rFonts w:ascii="SimSun" w:hAnsi="SimSun" w:eastAsia="SimSun" w:cs="SimSun"/>
          <w:color w:val="000000"/>
          <w:sz w:val="24"/>
        </w:rPr>
        <w:t xml:space="preserve">北京时间）前递交投标文件。</w:t>
      </w:r>
      <w:r/>
    </w:p>
    <w:p>
      <w:pPr>
        <w:pStyle w:val="646"/>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1.项目编号：JSZC-320612-HSGL-G2024-0081</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2.项目名称：南通高新区2024年雨污水管网检测项目（二次）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3.预算金额：本项目采购预算为人民币约80万元。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b/>
          <w:color w:val="000000"/>
          <w:sz w:val="24"/>
        </w:rPr>
        <w:t xml:space="preserve">本项目招标控制费率为《城镇排水管道检测与非开挖修复工程消耗量定额2020》×90%，投标报价超过最高限价的投标将作为无效投标处理。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本项目采用的是费率报价，因苏采云报价系统中显示的为优惠率，如在开标一览表中优惠率为10%，则表示投标人对该项目的投标费率为（1-10%）。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高新区范围内雨污水管道检测，包含但不仅限于对南通高新区西区、南区、西南区等道路雨污水管网及修复后雨污水管网进行检测，并对现状雨污水管网进行测绘（具体内容包含但不仅限于管道CCTV检测并出具符合业主要求的检测报告；包含但不仅限于对现状雨污水管网进行测绘，测绘成果符合GIS入库要求）。计划工程量见附件清单内容，清单上的数量为暂估量，最终以派工及审计为准，最终价格以区审计局审定金额为准，最高不超过80万元。本项目是南通高新区2024年雨污水管网维护服务项目的关联项目，南通高新区2024年雨污水管网维</w:t>
      </w:r>
      <w:r>
        <w:rPr>
          <w:rFonts w:ascii="SimSun" w:hAnsi="SimSun" w:eastAsia="SimSun" w:cs="SimSun"/>
          <w:color w:val="000000"/>
          <w:sz w:val="24"/>
        </w:rPr>
        <w:t xml:space="preserve">护服务项目的成交服务商不得再参加本项目的采购活动。详细内容见本招标文件第四章）。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6.合同履行期限：1年。具体详见项目需求部分。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pacing w:val="7"/>
          <w:sz w:val="24"/>
        </w:rPr>
        <w:t xml:space="preserve">质量要求：</w:t>
      </w:r>
      <w:r>
        <w:rPr>
          <w:rFonts w:ascii="SimSun" w:hAnsi="SimSun" w:eastAsia="SimSun" w:cs="SimSun"/>
          <w:color w:val="000000"/>
          <w:sz w:val="24"/>
        </w:rPr>
        <w:t xml:space="preserve">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646"/>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（7）、专门面向中小企业采购的项目或者采购包，不再执行价格评审优惠的扶持政策。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1、具备测绘乙级及以上资质和省级及以上质量技术监督局颁发的CMA资质证书（范围包括排水管道检测）。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具备管道CCTV检测证书。拟派项目负责人需提供投标单位与拟派项目负责人签订的有效劳动合同和投标企业为其缴纳的投标截止时间前三个月（不含投标截止时间当月）中至少一个月的养老保险缴纳证明材料。</w:t>
      </w:r>
      <w:r/>
    </w:p>
    <w:p>
      <w:pPr>
        <w:pStyle w:val="646"/>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46"/>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2024 年 10月18日9点30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46"/>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46"/>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46"/>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南通高新技术产业开发区招商服务中心   </w:t>
      </w: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曹先生联系电话：0513-86028603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15206290292</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46"/>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4.2本次招标交易中心和采购人不收取标书工本费与中标服务费。</w:t>
      </w:r>
      <w:r/>
    </w:p>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4.3本项目代理费为人民币3000元，由中标供应商支付，投标报价时综合考虑。</w:t>
      </w:r>
      <w:r/>
    </w:p>
    <w:p>
      <w:pPr>
        <w:pStyle w:val="648"/>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46"/>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请仔细检查招标文件是否齐全，如有缺漏请立即与交易中心联系解决。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8"/>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前按招标公告中的通讯地址，以书面形式通知交易中心。</w:t>
      </w:r>
      <w:r/>
    </w:p>
    <w:p>
      <w:pPr>
        <w:pStyle w:val="648"/>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46"/>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48"/>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10、投标文件构成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投标有效期为交易中心规定的开标之日后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46"/>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48"/>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17、投标文件的递交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中标单位在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pStyle w:val="648"/>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18、投标截止时间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20、投标文件的撤回和修改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46"/>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21、开标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23.1凡是与审查、澄清、评价和比较投标的有关资料以及授标建议等，采购人、评委、交易中心均不得向投标人或与评标无关的其他人员透露。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25、对投标文件的初审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25.6投标人在开、评标全过程中应保持通讯畅通，及时登录苏采云系统查阅、答复相关信息，并安排专人与交易中心及评标委员会联系。</w:t>
      </w:r>
      <w:r/>
    </w:p>
    <w:p>
      <w:pPr>
        <w:pStyle w:val="648"/>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26、无效投标条款和废标条款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46"/>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48"/>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交招标人和招标代理将在“江苏政府采购网”发布中标公告，公告期限为1个工作日。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27.4.2向采购人、交易中心行贿或者提供其他不正当利益的。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48"/>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48"/>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46"/>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48"/>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48"/>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8"/>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提交的履约保证金为人民币贰万元整。以银行汇票或现金支票或银行保函（见索即付）形式在签订合同前交纳。招标人账户信息：南通高新技术产业开发区财政局，账号：32001647454052501495，开户银行：建行银河路支行。投标人在收到中标通知书后，须在签订合同前向招标人足额提交履约保证金，否则招标人可以取消其中标资格。履约保证金用以约束成交供应商在合同履行中的行为，弥补合同执行中由于自身行为可能给采购人带来的各种损失。</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 (全称)：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 (全称)：</w:t>
      </w:r>
      <w:r/>
    </w:p>
    <w:p>
      <w:pPr>
        <w:ind w:left="0" w:right="0" w:firstLine="48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本合同甲方委托乙方就</w:t>
      </w:r>
      <w:r>
        <w:rPr>
          <w:rFonts w:ascii="SimSun" w:hAnsi="SimSun" w:eastAsia="SimSun" w:cs="SimSun"/>
          <w:color w:val="000000"/>
          <w:sz w:val="24"/>
          <w:u w:val="single"/>
        </w:rPr>
        <w:t xml:space="preserve">                    </w:t>
      </w:r>
      <w:r>
        <w:rPr>
          <w:rFonts w:ascii="SimSun" w:hAnsi="SimSun" w:eastAsia="SimSun" w:cs="SimSun"/>
          <w:color w:val="000000"/>
          <w:sz w:val="24"/>
        </w:rPr>
        <w:t xml:space="preserve">进行检测、测绘服务，并支付相应的检测、测绘服务报酬。</w:t>
      </w:r>
      <w:r/>
    </w:p>
    <w:p>
      <w:pPr>
        <w:ind w:left="0" w:right="0" w:firstLine="48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双方经过平等协商，在真实、充分地表达各自意愿的基础上，根据《中华人民共和国民法典》的规定，达成如下协议，并由双方共同恪守。</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甲方委托乙方进行技术服务的内容如下：</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技术服务的目标：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受甲方委托，按规范完成该项目的雨污水管道检测(含管道修复后检测)，出具真实、科学、准确、公正的CCTV检测与评估报告书（检测的视频影像资料电子版，检测报告，雨污水混接点摸排）；提供满足地理信息系统数据入库要求的测量成果（管底标高、管径大小、材质、水流方向等）；被绿化掩埋的检查井的定位等工作，为甲方工程监管提供科学依据和技术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南通高新区西区、南区、西南区等道路雨污水管网进行检测及修复后雨污水管网进行检测并对现状雨污水管网进行测绘等内容）。计划工程量见清单内容，清单上的数量为暂估量，最终以派工及审计为准。最终价格以区审计局审定金额为准，最高不超过80万元.</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技术服务的内容和方式：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按甲方要求配备具有相应资格和技术水平的试验检测人员；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②具有相关检测、测绘设备，对业主的委托及时周到服务；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③如乙方有故意刁难施工方的行为，发包人将给予重罚，第一次发现，合同检测费打5折计，第二次发现终止合同，网上公示12个月，不得在任何政府投资项目中投标。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④乙方需按照甲方指定要求及施工方管道清淤、修复的进度要求及时进行CCTV电视检测（乙方需在高新区范围内有固定服务处所，保证随时能跟上检测进度）。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⑤及时提供符合国家标准及行业标准的工程检测报告。检测内容及成果应符合《室外排水设计规范GB50014-2006（2014年版）》、《给水排水管道工程施工及验收规范》（GB50268-2008）及南通市公共排水管道电视和声呐检测评估技术规程。</w:t>
      </w:r>
      <w:r/>
    </w:p>
    <w:p>
      <w:pPr>
        <w:ind w:left="0" w:right="0" w:firstLine="51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 乙方应当按下列要求完成技术服务工作：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1．服务地点：</w:t>
      </w:r>
      <w:r>
        <w:rPr>
          <w:rFonts w:ascii="SimSun" w:hAnsi="SimSun" w:eastAsia="SimSun" w:cs="SimSun"/>
          <w:b/>
          <w:color w:val="000000"/>
          <w:sz w:val="24"/>
          <w:u w:val="single"/>
        </w:rPr>
        <w:t xml:space="preserve">本合同项目工程工地；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w:t>
      </w:r>
      <w:r>
        <w:rPr>
          <w:rFonts w:ascii="SimSun" w:hAnsi="SimSun" w:eastAsia="SimSun" w:cs="SimSun"/>
          <w:b/>
          <w:color w:val="000000"/>
          <w:sz w:val="24"/>
          <w:u w:val="single"/>
        </w:rPr>
        <w:t xml:space="preserve">本合同项目交工验收完成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3．服务进度：</w:t>
      </w:r>
      <w:r>
        <w:rPr>
          <w:rFonts w:ascii="SimSun" w:hAnsi="SimSun" w:eastAsia="SimSun" w:cs="SimSun"/>
          <w:b/>
          <w:color w:val="000000"/>
          <w:sz w:val="24"/>
          <w:u w:val="single"/>
        </w:rPr>
        <w:t xml:space="preserve">按甲方进度要求及施工方管道清淤、修复的进度要求相同步；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4．服务质量：</w:t>
      </w:r>
      <w:r>
        <w:rPr>
          <w:rFonts w:ascii="SimSun" w:hAnsi="SimSun" w:eastAsia="SimSun" w:cs="SimSun"/>
          <w:b/>
          <w:color w:val="000000"/>
          <w:sz w:val="24"/>
          <w:u w:val="single"/>
        </w:rPr>
        <w:t xml:space="preserve">符合相关国家及行业标准和甲方管理规定，且测绘成果符合GIS入库要求。</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 为保证乙方有效进行技术服务工作，甲方应当向乙方提供下列工作条件和协作事项：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1．提供技术资料：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本合同项目工程设计图纸、相关技术及管理文件；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 甲方施工技术管理制度和规定。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2．提供工作条件：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指定委托人及联系人；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 需乙方现场试验的应提供必要的工作条件；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 检测、测绘所需的交通工具和其他配套设施由乙方自行解决；检测、测绘过程中所发生的安全问题由乙方负责。</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3．甲方提供上述工作条件和协作事项的时间及方式：</w:t>
      </w:r>
      <w:r>
        <w:rPr>
          <w:rFonts w:ascii="SimSun" w:hAnsi="SimSun" w:eastAsia="SimSun" w:cs="SimSun"/>
          <w:b/>
          <w:color w:val="000000"/>
          <w:sz w:val="24"/>
          <w:u w:val="single"/>
        </w:rPr>
        <w:t xml:space="preserve">双方另行商定。</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甲方向乙方支付技术服务报酬及支付方式为：</w:t>
      </w:r>
      <w:r/>
    </w:p>
    <w:p>
      <w:pPr>
        <w:ind w:left="420" w:right="0" w:firstLine="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1．技术服务报酬：</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《城镇排水管道检测与非开挖修复工程消耗量定额2020》×90%×中标费率(含检测、测绘过程发生的所有费用及专家评审费）；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②实际检测、测绘工作量包含但不限于工程量清单、修复后雨污水管网检测、甲方指定雨污水管网检测等内容。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③不合格项目的重复检测费由施工单位承担，招标人只支付项目的一次检测费。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2．具体支付方式和时间如下：</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①付款方式：提交符合要求的检测报告和其它相关成果后，征得甲方认可后一次性付清。</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②按实结算，最终价格以区审计局审定金额为准，最多不超过80万元。</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双方确定在履行本合同期间应遵守的保密义务如下：</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1．保密内容(包括技术信息和经营信息)：</w:t>
      </w:r>
      <w:r>
        <w:rPr>
          <w:rFonts w:ascii="SimSun" w:hAnsi="SimSun" w:eastAsia="SimSun" w:cs="SimSun"/>
          <w:b/>
          <w:color w:val="000000"/>
          <w:sz w:val="24"/>
          <w:u w:val="single"/>
        </w:rPr>
        <w:t xml:space="preserve">专利技术。</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2．涉密人员范围：</w:t>
      </w:r>
      <w:r>
        <w:rPr>
          <w:rFonts w:ascii="SimSun" w:hAnsi="SimSun" w:eastAsia="SimSun" w:cs="SimSun"/>
          <w:b/>
          <w:color w:val="000000"/>
          <w:sz w:val="24"/>
          <w:u w:val="single"/>
        </w:rPr>
        <w:t xml:space="preserve">相关人员。</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3．保密期限：</w:t>
      </w:r>
      <w:r>
        <w:rPr>
          <w:rFonts w:ascii="SimSun" w:hAnsi="SimSun" w:eastAsia="SimSun" w:cs="SimSun"/>
          <w:b/>
          <w:color w:val="000000"/>
          <w:sz w:val="24"/>
          <w:u w:val="single"/>
        </w:rPr>
        <w:t xml:space="preserve">该工程档案保存期限。</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4．泄密责任：</w:t>
      </w:r>
      <w:r>
        <w:rPr>
          <w:rFonts w:ascii="SimSun" w:hAnsi="SimSun" w:eastAsia="SimSun" w:cs="SimSun"/>
          <w:b/>
          <w:color w:val="000000"/>
          <w:sz w:val="24"/>
          <w:u w:val="single"/>
        </w:rPr>
        <w:t xml:space="preserve">按国家现行有效法律执行。</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1．保密内容(包括技术信息和经营信息)：</w:t>
      </w:r>
      <w:r>
        <w:rPr>
          <w:rFonts w:ascii="SimSun" w:hAnsi="SimSun" w:eastAsia="SimSun" w:cs="SimSun"/>
          <w:b/>
          <w:color w:val="000000"/>
          <w:sz w:val="24"/>
          <w:u w:val="single"/>
        </w:rPr>
        <w:t xml:space="preserve">甲方规定的内容。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2．涉密人员范围：</w:t>
      </w:r>
      <w:r>
        <w:rPr>
          <w:rFonts w:ascii="SimSun" w:hAnsi="SimSun" w:eastAsia="SimSun" w:cs="SimSun"/>
          <w:b/>
          <w:color w:val="000000"/>
          <w:sz w:val="24"/>
          <w:u w:val="single"/>
        </w:rPr>
        <w:t xml:space="preserve">相关人员。</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3．保密期限：</w:t>
      </w:r>
      <w:r>
        <w:rPr>
          <w:rFonts w:ascii="SimSun" w:hAnsi="SimSun" w:eastAsia="SimSun" w:cs="SimSun"/>
          <w:b/>
          <w:color w:val="000000"/>
          <w:sz w:val="24"/>
          <w:u w:val="single"/>
        </w:rPr>
        <w:t xml:space="preserve">甲方规定期限。</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4．泄密责任：</w:t>
      </w:r>
      <w:r>
        <w:rPr>
          <w:rFonts w:ascii="SimSun" w:hAnsi="SimSun" w:eastAsia="SimSun" w:cs="SimSun"/>
          <w:b/>
          <w:color w:val="000000"/>
          <w:sz w:val="24"/>
          <w:u w:val="single"/>
        </w:rPr>
        <w:t xml:space="preserve">按国家现行有效法律执行。</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5．履约保证金金额（大写）：</w:t>
      </w:r>
      <w:r>
        <w:rPr>
          <w:rFonts w:ascii="SimSun" w:hAnsi="SimSun" w:eastAsia="SimSun" w:cs="SimSun"/>
          <w:color w:val="000000"/>
          <w:sz w:val="24"/>
          <w:u w:val="single"/>
        </w:rPr>
        <w:t xml:space="preserve">贰万元整 </w:t>
      </w:r>
      <w:r>
        <w:rPr>
          <w:rFonts w:ascii="SimSun" w:hAnsi="SimSun" w:eastAsia="SimSun" w:cs="SimSun"/>
          <w:color w:val="000000"/>
          <w:sz w:val="24"/>
        </w:rPr>
        <w:t xml:space="preserve">。提交形式可以采用银行汇票或现金支票或银行保函（见索即付）等形式。其中：工期履约保证金为壹万元 ，安全履约保证金为壹万元。</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本合同的变更必须由双方协商一致，并以书面形式确定。</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  双方确定：</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1．在本合同有效期内，甲方利用乙方提交的技术服务工作成果所完成的新的技术成果，归</w:t>
      </w:r>
      <w:r>
        <w:rPr>
          <w:rFonts w:ascii="SimSun" w:hAnsi="SimSun" w:eastAsia="SimSun" w:cs="SimSun"/>
          <w:b/>
          <w:color w:val="000000"/>
          <w:sz w:val="24"/>
          <w:u w:val="single"/>
        </w:rPr>
        <w:t xml:space="preserve">双方</w:t>
      </w:r>
      <w:r>
        <w:rPr>
          <w:rFonts w:ascii="SimSun" w:hAnsi="SimSun" w:eastAsia="SimSun" w:cs="SimSun"/>
          <w:color w:val="000000"/>
          <w:sz w:val="24"/>
        </w:rPr>
        <w:t xml:space="preserve">所有。</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2．在本合同有效期内，乙方利用甲方提供的技术资料和工作条件所完成的新的技术成果，归</w:t>
      </w:r>
      <w:r>
        <w:rPr>
          <w:rFonts w:ascii="SimSun" w:hAnsi="SimSun" w:eastAsia="SimSun" w:cs="SimSun"/>
          <w:b/>
          <w:color w:val="000000"/>
          <w:sz w:val="24"/>
          <w:u w:val="single"/>
        </w:rPr>
        <w:t xml:space="preserve">双方</w:t>
      </w:r>
      <w:r>
        <w:rPr>
          <w:rFonts w:ascii="SimSun" w:hAnsi="SimSun" w:eastAsia="SimSun" w:cs="SimSun"/>
          <w:color w:val="000000"/>
          <w:sz w:val="24"/>
        </w:rPr>
        <w:t xml:space="preserve">所有。</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双方确定，本合同乙方的履约保证金为</w:t>
      </w:r>
      <w:r>
        <w:rPr>
          <w:rFonts w:ascii="SimSun" w:hAnsi="SimSun" w:eastAsia="SimSun" w:cs="SimSun"/>
          <w:b/>
          <w:color w:val="000000"/>
          <w:sz w:val="24"/>
          <w:u w:val="single"/>
        </w:rPr>
        <w:t xml:space="preserve">贰万元，</w:t>
      </w:r>
      <w:r>
        <w:rPr>
          <w:rFonts w:ascii="SimSun" w:hAnsi="SimSun" w:eastAsia="SimSun" w:cs="SimSun"/>
          <w:color w:val="000000"/>
          <w:sz w:val="24"/>
        </w:rPr>
        <w:t xml:space="preserve">在工程检测结束，提交符合要求的检测、测绘成果后退还。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w:t>
      </w:r>
      <w:r>
        <w:rPr>
          <w:rFonts w:ascii="SimSun" w:hAnsi="SimSun" w:eastAsia="SimSun" w:cs="SimSun"/>
          <w:color w:val="000000"/>
          <w:sz w:val="24"/>
        </w:rPr>
        <w:t xml:space="preserve">  双方确定，</w:t>
      </w:r>
      <w:r>
        <w:rPr>
          <w:rFonts w:ascii="SimSun" w:hAnsi="SimSun" w:eastAsia="SimSun" w:cs="SimSun"/>
          <w:b/>
          <w:color w:val="000000"/>
          <w:sz w:val="24"/>
          <w:u w:val="single"/>
        </w:rPr>
        <w:t xml:space="preserve">按国家现行有效法律</w:t>
      </w:r>
      <w:r>
        <w:rPr>
          <w:rFonts w:ascii="SimSun" w:hAnsi="SimSun" w:eastAsia="SimSun" w:cs="SimSun"/>
          <w:color w:val="000000"/>
          <w:sz w:val="24"/>
        </w:rPr>
        <w:t xml:space="preserve">承担各自的违约责任：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w:t>
      </w:r>
      <w:r>
        <w:rPr>
          <w:rFonts w:ascii="SimSun" w:hAnsi="SimSun" w:eastAsia="SimSun" w:cs="SimSun"/>
          <w:color w:val="000000"/>
          <w:sz w:val="24"/>
        </w:rPr>
        <w:t xml:space="preserve">  双方确定，在本合同有效期内，甲方指定为甲方项目联系人，乙方指定为乙方项目联系人。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一方变更项目联系人的，应当及时以书面形式通知另一方。未及时通知并影响本合同履行或造成损失的，应承担相应的责任。</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w:t>
      </w:r>
      <w:r>
        <w:rPr>
          <w:rFonts w:ascii="SimSun" w:hAnsi="SimSun" w:eastAsia="SimSun" w:cs="SimSun"/>
          <w:color w:val="000000"/>
          <w:sz w:val="24"/>
        </w:rPr>
        <w:t xml:space="preserve">  双方因履行本合同而发生的争议，应当协商解决。协商、调解不成的，确定按以下第</w:t>
      </w:r>
      <w:r>
        <w:rPr>
          <w:rFonts w:ascii="SimSun" w:hAnsi="SimSun" w:eastAsia="SimSun" w:cs="SimSun"/>
          <w:b/>
          <w:color w:val="000000"/>
          <w:sz w:val="24"/>
          <w:u w:val="single"/>
        </w:rPr>
        <w:t xml:space="preserve"> 2 </w:t>
      </w:r>
      <w:r>
        <w:rPr>
          <w:rFonts w:ascii="SimSun" w:hAnsi="SimSun" w:eastAsia="SimSun" w:cs="SimSun"/>
          <w:color w:val="000000"/>
          <w:sz w:val="24"/>
        </w:rPr>
        <w:t xml:space="preserve">种方式处理：</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1．提交仲裁委员会仲裁；</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2．依法向人民法院起诉。</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w:t>
      </w: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 四 </w:t>
      </w:r>
      <w:r>
        <w:rPr>
          <w:rFonts w:ascii="SimSun" w:hAnsi="SimSun" w:eastAsia="SimSun" w:cs="SimSun"/>
          <w:color w:val="000000"/>
          <w:sz w:val="24"/>
        </w:rPr>
        <w:t xml:space="preserve">份，具有同等法律效力。</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w:t>
      </w:r>
      <w:r>
        <w:rPr>
          <w:rFonts w:ascii="SimSun" w:hAnsi="SimSun" w:eastAsia="SimSun" w:cs="SimSun"/>
          <w:color w:val="000000"/>
          <w:sz w:val="24"/>
        </w:rPr>
        <w:t xml:space="preserve">  本合同经双方签字盖章后生效。</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甲方：</w:t>
      </w:r>
      <w:r>
        <w:rPr>
          <w:rFonts w:ascii="SimSun" w:hAnsi="SimSun" w:eastAsia="SimSun" w:cs="SimSun"/>
          <w:color w:val="000000"/>
          <w:sz w:val="24"/>
        </w:rPr>
        <w:t xml:space="preserve">(盖章)</w:t>
      </w:r>
      <w:r>
        <w:rPr>
          <w:rFonts w:ascii="SimSun" w:hAnsi="SimSun" w:eastAsia="SimSun" w:cs="SimSun"/>
          <w:color w:val="000000"/>
          <w:spacing w:val="-10"/>
          <w:sz w:val="24"/>
        </w:rPr>
        <w:t xml:space="preserve">                 乙方：</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法定代表人／委托代理人：(签名)              法定代表人/委托代理人：(签名)</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委托人保留对合同文本的修改和完善的权利。</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 </w:t>
      </w:r>
      <w:r>
        <w:rPr>
          <w:rFonts w:ascii="SimSun" w:hAnsi="SimSun" w:eastAsia="SimSun" w:cs="SimSun"/>
          <w:b/>
          <w:color w:val="000000"/>
          <w:sz w:val="21"/>
        </w:rPr>
        <w:t xml:space="preserve">                      </w:t>
      </w:r>
      <w:r>
        <w:rPr>
          <w:rFonts w:ascii="SimSun" w:hAnsi="SimSun" w:eastAsia="SimSun" w:cs="SimSun"/>
          <w:b/>
          <w:color w:val="000000"/>
          <w:sz w:val="28"/>
        </w:rPr>
        <w:t xml:space="preserve"> 廉政合同</w:t>
      </w:r>
      <w:r/>
    </w:p>
    <w:p>
      <w:pPr>
        <w:ind w:left="0" w:right="0" w:firstLine="42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南通高新技术产业开发区招商服务中心 </w:t>
      </w:r>
      <w:r/>
    </w:p>
    <w:p>
      <w:pPr>
        <w:ind w:left="0" w:right="0" w:firstLine="10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pacing w:val="2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为进一步加强党风廉政建设，保证工程建设优质、高效、有序地进行，</w:t>
      </w:r>
      <w:r>
        <w:rPr>
          <w:rFonts w:ascii="SimSun" w:hAnsi="SimSun" w:eastAsia="SimSun" w:cs="SimSun"/>
          <w:color w:val="000000"/>
          <w:sz w:val="21"/>
          <w:u w:val="single"/>
        </w:rPr>
        <w:t xml:space="preserve">南通高新技术产业开发区招商服务中心</w:t>
      </w:r>
      <w:r>
        <w:rPr>
          <w:rFonts w:ascii="SimSun" w:hAnsi="SimSun" w:eastAsia="SimSun" w:cs="SimSun"/>
          <w:color w:val="000000"/>
          <w:sz w:val="21"/>
        </w:rPr>
        <w:t xml:space="preserve">（以下简称“甲方”）与承担</w:t>
      </w:r>
      <w:r>
        <w:rPr>
          <w:rFonts w:ascii="SimSun" w:hAnsi="SimSun" w:eastAsia="SimSun" w:cs="SimSun"/>
          <w:color w:val="000000"/>
          <w:sz w:val="21"/>
          <w:u w:val="single"/>
        </w:rPr>
        <w:t xml:space="preserve">                    </w:t>
      </w:r>
      <w:r>
        <w:rPr>
          <w:rFonts w:ascii="SimSun" w:hAnsi="SimSun" w:eastAsia="SimSun" w:cs="SimSun"/>
          <w:color w:val="000000"/>
          <w:sz w:val="21"/>
        </w:rPr>
        <w:t xml:space="preserve">工程的施工单位 </w:t>
      </w:r>
      <w:r>
        <w:rPr>
          <w:rFonts w:ascii="SimSun" w:hAnsi="SimSun" w:eastAsia="SimSun" w:cs="SimSun"/>
          <w:color w:val="000000"/>
          <w:sz w:val="21"/>
          <w:u w:val="single"/>
        </w:rPr>
        <w:t xml:space="preserve">                  </w:t>
      </w:r>
      <w:r>
        <w:rPr>
          <w:rFonts w:ascii="SimSun" w:hAnsi="SimSun" w:eastAsia="SimSun" w:cs="SimSun"/>
          <w:color w:val="000000"/>
          <w:sz w:val="21"/>
        </w:rPr>
        <w:t xml:space="preserve">，经双方协商一致，自愿签订以下廉政合同。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（一）甲方及其工作人员不得挤占、截留、挪用工程款或超进度拨付工程款。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（四）甲方工作人员不准参加乙方提供的宴请、娱乐活动；不准要求乙方提供交通工具、通讯工具、高档办公用品等。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（一）甲方若违法乱纪违反本《廉政合同》有关规定的，对违法乱纪人员，由甲方依据有关规定查处，给乙方造成的损失，按有关规定予以赔偿。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双方约定：自愿接受各相关监督主体对合同执行情况的监督检查，接受提出本合同规定范围内的裁定意见。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第七条：本合同有效期为工程开工之日起至该合同段工程项目竣工验收合格且质保期满后止。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第八条：本合同一式三份，甲、乙双方各执一份，送交督查部门一份。</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6"/>
        <w:gridCol w:w="3141"/>
        <w:gridCol w:w="29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525" w:right="0" w:hanging="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单位地址：通州区银河路68号工商银行9楼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1"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5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3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廉政监督单位(盖章)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340" w:after="33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b/>
          <w:color w:val="000000"/>
          <w:sz w:val="30"/>
        </w:rPr>
        <w:t xml:space="preserve">         </w:t>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35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安全生产合同</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w:t>
      </w:r>
      <w:r/>
    </w:p>
    <w:p>
      <w:pPr>
        <w:ind w:left="0" w:right="0" w:firstLine="1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pacing w:val="20"/>
          <w:sz w:val="21"/>
          <w:u w:val="single"/>
        </w:rPr>
        <w:t xml:space="preserve">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 </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工程施工合同的实施过程中创造安全、整洁的施工环境，切实搞好本项目的安全管理工作，本项目发包人与承包人特此签订安全生产合同：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一、发包人职责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1．自觉遵守国家有关安全生产的法律法规、认真执行工程承包合同中的有关安全要求。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2．按照“安全第一、预防为主”和坚持“管生产必须管安全”的原则进行安全生产管理，做到生产与安全工作同时。</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3．重要的安全设施必须坚持与主体工程“三同时”的原则，即：同时设计、审批，同时施工，同时验收，投入使用。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4．组织对承包人施工现场安全生产检查，监督承包人及时处理发现的各项隐患并组织召开安全生产协调会。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二、承包人职责</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1．严格遵守国家有关安全生产的法律法规和有关安全生产的规定，认真执行工程承包合同中的有关安全要求。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4．承包人在任何时候都应采取各种合理的预防措施，防止其员工发生任何违法、违禁、暴力或妨碍治安的行为。</w:t>
      </w:r>
      <w:r/>
    </w:p>
    <w:p>
      <w:pPr>
        <w:ind w:left="99" w:right="0" w:hanging="9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7．操作人员上岗，必须按规定穿戴防护用品。施工负责人和安全检查员应随时检查劳动防护用品的穿戴情况，不按规定穿戴防护用品的人员不得上岗。</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8．所有施工机具设备和高空作业的设备均应定期检查，并有安全员的签字记录，保证其经常处于完好状态；不合格的机具、设备和劳动保护用品严禁使用。</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9．施工中采用新技术、新工艺、新设备、新材料时，必须制定相应的安全技术措施，施工现场必须具有相关的安全标志牌。</w:t>
      </w:r>
      <w:r/>
    </w:p>
    <w:p>
      <w:pPr>
        <w:ind w:left="396" w:right="0" w:hanging="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三、违约责任</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若发生由承包人责任所引起的各类事故、事件及违章违规行为的，将接受有关部门处罚。</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本合同正本一式二份，副本八份，合同双方各执正本一份，副本四份。由双方法定代表人或其授权的代理人签署与加盖公章后生效，全部工程竣工验收后失效。</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  包  人：(公章)</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委托代表人：委托代表人：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年月日年月日</w:t>
      </w:r>
      <w:r/>
    </w:p>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8、采购需求中必须满足的实质性要求。（请单独列出）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一、项目名称：南通高新区2024年雨污水管网检测项目。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二、招标范围：高新区雨污水管道检测。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三、预算金额：本项目采购预算约80万元。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四、本项目设定最高限价：本项目招标控制费率为《城镇排水管道检测与非开挖修复工程消耗量定额2020》×90%，投标报价超过最高限价的投标将作为无效投标处理。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结算公式：</w:t>
      </w:r>
      <w:r>
        <w:rPr>
          <w:rFonts w:ascii="SimSun" w:hAnsi="SimSun" w:eastAsia="SimSun" w:cs="SimSun"/>
          <w:b/>
          <w:color w:val="000000"/>
          <w:sz w:val="24"/>
          <w:u w:val="single"/>
        </w:rPr>
        <w:t xml:space="preserve">《城镇排水管道检测与非开挖修复工程消耗量定额2020》×90%×中标费率(含检测、测绘过程发生的所有费用及专家评审费）；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五、其他详细需求：因本项目是南通高新区2024年雨污水管网维护服务项目的关联项目，南通高新区2024年雨污水管网维护服务项目的成交服务商不得再参加本项目的采购活动。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六、其他详见本项目附件和合同条款。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9、采购标的对应的中小企业划分标准所属行业一览表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南通高新区2024年雨污水管网检测项目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本项目专门面向中小企业采购，专门面向中小企业采购的项目不再执行价格扣除政策。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44"/>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（8）投标人资质要求：具备测绘乙级及以上资质和省级及以上质量技术监督局颁发的CMA资质证书（范围包括排水管道检测）；</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（9）拟派项目负责人具备管道CCTV检测证书；</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（10）拟派项目负责人有效劳动合同，投标企业为其缴纳的投标截止时间前三个月（不含投标截止时间当月）中至少一个月的养老保险缴纳证明材料；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（11）①中小企业声明函（如符合中、小型和微型企业的需提供）；②监狱企业证明函（如符合监狱企业的需提供）；③残疾人福利性单位声明函（如符合残疾人福利性单位的需提供）；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本项目专门面向中小企业采购。</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42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详细评审标准</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4.1商务技术标评审标准（70分）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1、企业资信（11分）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1）投标人具有质量管理体系认证、环境管理体系认证、职业健康安全管理体系认证、信息安全管理体系认证、信息技术服务管理体系认证证书的，有一项得1分，最高得5分。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2）投标人具有排水管道检测与评估作业企业证书得6分。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2、相关业绩（8分）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自2019年9月以来（以合同签订时间为准）承担过管网检测或排查、测绘项目，有一个得4分，最高得8分【需提供项目中标通知书、中标公告网址及网页截屏、合同关键页，竣工验收证书，四样缺一不可。不按要求提供或提供网址无效的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3、拟投入人员情况（23分）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1）拟派的人员具有管道检测与评估员证有1人得1.5分，如同时具有有毒有害有限空间作业证书的，有1人加1.5分，本项最高得9分；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2）拟派的人员具有管工证（发证单位为人力资源和社会保障部门颁发并附有在线验证截图）的得1分，最高得4分；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3）拟派人员具有测绘中级职称的得 4 分，具备测绘初级职称的得 2 分，最高得4分；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4）拟派的人员具有城市地下管线探测工程项目经理证书的得2分，最高6分。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拥有证书人员必须是企业合法员工且拥有证书人员需1人1岗，若存在一人多岗的，仅能按其中一个岗位计算得分。提供投标截止日前三个月内（不含投标截止日当月）任意一个月的社保部门出具的本单位为其缴纳的社会保险证明，否则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4、拟投入设备情况（12分）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投标人具有测绘设备，包括GIS（gps）测深仪、全站仪、管线探测仪的，每具备 1 台得2分，共计6分，需提供购置发票，如提供的发票为投标人自有，每台加2分，本项最高得 12分。</w:t>
      </w:r>
      <w:r/>
    </w:p>
    <w:p>
      <w:pPr>
        <w:ind w:left="482"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5、工作方案（16分）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工作方案应包含：</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1）排水管网CCTV检测方案（4分）；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2）排水管网测绘方案（4分）；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3）管网现状数据统计规范、信息齐全（4分）；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4）本项目施工过程中技术难点、合理化建议（4分）。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以上每项符合或优于项目需求的各得4分，有一定关联的得3分，欠合理的得1分，不提供不得分。本项最多得16分。</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w:t>
      </w:r>
      <w:r>
        <w:rPr>
          <w:rFonts w:ascii="SimSun" w:hAnsi="SimSun" w:eastAsia="SimSun" w:cs="SimSun"/>
          <w:color w:val="000000"/>
          <w:sz w:val="24"/>
        </w:rPr>
        <w:t xml:space="preserve">30分</w:t>
      </w:r>
      <w:r>
        <w:rPr>
          <w:rFonts w:ascii="SimSun" w:hAnsi="SimSun" w:eastAsia="SimSun" w:cs="SimSun"/>
          <w:b/>
          <w:color w:val="000000"/>
          <w:sz w:val="24"/>
        </w:rPr>
        <w:t xml:space="preserve">）</w:t>
      </w:r>
      <w:r/>
    </w:p>
    <w:p>
      <w:pPr>
        <w:numPr>
          <w:ilvl w:val="0"/>
          <w:numId w:val="4"/>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本项目采用的是费率报价，因苏采云报价系统中显示的为优惠率，如在开标一览表中优惠率为10%，则表示投标人对该项目的投标费率为90%×（1-10%）。</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=（评标基准价/报价）×100%×30</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5、成交原则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3、评标委员会将向招标人推荐评标最后综合得分最高的前三名投标人为中标候选人，并标明排列顺序。（若“四舍五入”后出现得分相同且影响中标候选人排名时，则应以可排名的数值为准而决定排名顺序）。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（8）投标人资质要求：具备测绘乙级及以上资质和省级及以上质量技术监督局颁发的CMA资质证书（范围包括排水管道检测）；</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（9）拟派项目负责人具备管道CCTV检测证书；</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（10）拟派项目负责人有效劳动合同，投标企业为其缴纳的投标截止时间前三个月（不含投标截止时间当月）中至少一个月的养老保险缴纳证明材料；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（11）①中小企业声明函（如符合中、小型和微型企业的需提供）；②监狱企业证明函（如符合监狱企业的需提供）；③残疾人福利性单位声明函（如符合残疾人福利性单位的需提供）；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报价折扣证明材料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14.中小微企业声明函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16.监狱企业证明函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投标优惠率</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本项目采用的是费率报价，因苏采云报价系统中显示的为优惠率，如在开标一览表中优惠率为10%，则表示投标人对该项目的投标费率为（1-10%）。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ascii="Times New Roman" w:hAnsi="Times New Roman" w:eastAsia="Times New Roman" w:cs="Times New Roman"/>
          <w:color w:val="000000"/>
          <w:sz w:val="32"/>
        </w:rPr>
        <w:t xml:space="preserve">57</w:t>
      </w:r>
      <w:r>
        <w:rPr>
          <w:rFonts w:ascii="FangSong" w:hAnsi="FangSong" w:eastAsia="FangSong" w:cs="FangSong"/>
          <w:color w:val="000000"/>
          <w:sz w:val="32"/>
        </w:rPr>
        <w:t xml:space="preserve">号）和《关于深入开展南通市政府采购线上合同信用融资业务的通知》（通财购〔</w:t>
      </w:r>
      <w:r>
        <w:rPr>
          <w:rFonts w:ascii="Times New Roman" w:hAnsi="Times New Roman" w:eastAsia="Times New Roman" w:cs="Times New Roman"/>
          <w:color w:val="000000"/>
          <w:sz w:val="32"/>
        </w:rPr>
        <w:t xml:space="preserve">2022</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68</w:t>
      </w:r>
      <w:r>
        <w:rPr>
          <w:rFonts w:ascii="FangSong" w:hAnsi="FangSong" w:eastAsia="FangSong" w:cs="FangSong"/>
          <w:color w:val="000000"/>
          <w:sz w:val="32"/>
        </w:rPr>
        <w:t xml:space="preserve">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条"/>
      <w:lvlJc w:val="left"/>
      <w:pPr>
        <w:ind w:left="1470" w:hanging="960"/>
      </w:pPr>
      <w:rPr>
        <w:rFonts w:ascii="SimHei" w:hAnsi="SimHei" w:eastAsia="SimHei" w:cs="SimHei"/>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70" w:hanging="360"/>
      </w:pPr>
      <w:rPr>
        <w:color w:val="000000"/>
      </w:rPr>
    </w:lvl>
    <w:lvl w:ilvl="1">
      <w:start w:val="1"/>
      <w:numFmt w:val="lowerLetter"/>
      <w:isLgl w:val="false"/>
      <w:suff w:val="tab"/>
      <w:lvlText w:val="%2)"/>
      <w:lvlJc w:val="left"/>
      <w:pPr>
        <w:ind w:left="1350" w:hanging="420"/>
      </w:pPr>
    </w:lvl>
    <w:lvl w:ilvl="2">
      <w:start w:val="1"/>
      <w:numFmt w:val="decimal"/>
      <w:isLgl w:val="false"/>
      <w:suff w:val="tab"/>
      <w:lvlText w:val="%3."/>
      <w:lvlJc w:val="right"/>
      <w:pPr>
        <w:ind w:left="1770" w:hanging="420"/>
      </w:pPr>
    </w:lvl>
    <w:lvl w:ilvl="3">
      <w:start w:val="1"/>
      <w:numFmt w:val="decimal"/>
      <w:isLgl w:val="false"/>
      <w:suff w:val="tab"/>
      <w:lvlText w:val="%4."/>
      <w:lvlJc w:val="left"/>
      <w:pPr>
        <w:ind w:left="2190" w:hanging="420"/>
      </w:pPr>
    </w:lvl>
    <w:lvl w:ilvl="4">
      <w:start w:val="1"/>
      <w:numFmt w:val="lowerLetter"/>
      <w:isLgl w:val="false"/>
      <w:suff w:val="tab"/>
      <w:lvlText w:val="%5)"/>
      <w:lvlJc w:val="left"/>
      <w:pPr>
        <w:ind w:left="2610" w:hanging="420"/>
      </w:pPr>
    </w:lvl>
    <w:lvl w:ilvl="5">
      <w:start w:val="1"/>
      <w:numFmt w:val="decimal"/>
      <w:isLgl w:val="false"/>
      <w:suff w:val="tab"/>
      <w:lvlText w:val="%6."/>
      <w:lvlJc w:val="right"/>
      <w:pPr>
        <w:ind w:left="3030" w:hanging="420"/>
      </w:pPr>
    </w:lvl>
    <w:lvl w:ilvl="6">
      <w:start w:val="1"/>
      <w:numFmt w:val="decimal"/>
      <w:isLgl w:val="false"/>
      <w:suff w:val="tab"/>
      <w:lvlText w:val="%7."/>
      <w:lvlJc w:val="left"/>
      <w:pPr>
        <w:ind w:left="3450" w:hanging="420"/>
      </w:pPr>
    </w:lvl>
    <w:lvl w:ilvl="7">
      <w:start w:val="1"/>
      <w:numFmt w:val="lowerLetter"/>
      <w:isLgl w:val="false"/>
      <w:suff w:val="tab"/>
      <w:lvlText w:val="%8)"/>
      <w:lvlJc w:val="left"/>
      <w:pPr>
        <w:ind w:left="3870" w:hanging="420"/>
      </w:pPr>
    </w:lvl>
    <w:lvl w:ilvl="8">
      <w:start w:val="1"/>
      <w:numFmt w:val="decimal"/>
      <w:isLgl w:val="false"/>
      <w:suff w:val="tab"/>
      <w:lvlText w:val="%9."/>
      <w:lvlJc w:val="right"/>
      <w:pPr>
        <w:ind w:left="4290" w:hanging="420"/>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2024-09-24T01:42:15Z</dcterms:created>
  <dcterms:modified xsi:type="dcterms:W3CDTF">2024-09-24T02:06:18Z</dcterms:modified>
</cp:coreProperties>
</file>