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9739B">
      <w:pPr>
        <w:pageBreakBefore w:val="0"/>
        <w:wordWrap/>
        <w:overflowPunct/>
        <w:topLinePunct w:val="0"/>
        <w:bidi w:val="0"/>
        <w:spacing w:line="360" w:lineRule="auto"/>
        <w:rPr>
          <w:rFonts w:hint="eastAsia" w:ascii="宋体" w:hAnsi="宋体" w:eastAsia="宋体" w:cs="宋体"/>
          <w:color w:val="000000"/>
        </w:rPr>
      </w:pPr>
    </w:p>
    <w:p w14:paraId="6DF11A71">
      <w:pPr>
        <w:pageBreakBefore w:val="0"/>
        <w:wordWrap/>
        <w:overflowPunct/>
        <w:topLinePunct w:val="0"/>
        <w:bidi w:val="0"/>
        <w:spacing w:line="360" w:lineRule="auto"/>
        <w:rPr>
          <w:rFonts w:hint="eastAsia" w:ascii="宋体" w:hAnsi="宋体" w:eastAsia="宋体" w:cs="宋体"/>
          <w:color w:val="000000"/>
        </w:rPr>
      </w:pPr>
    </w:p>
    <w:p w14:paraId="42F3C478">
      <w:pPr>
        <w:pageBreakBefore w:val="0"/>
        <w:wordWrap/>
        <w:overflowPunct/>
        <w:topLinePunct w:val="0"/>
        <w:bidi w:val="0"/>
        <w:spacing w:line="360" w:lineRule="auto"/>
        <w:rPr>
          <w:rFonts w:hint="eastAsia" w:ascii="宋体" w:hAnsi="宋体" w:eastAsia="宋体" w:cs="宋体"/>
          <w:color w:val="000000"/>
        </w:rPr>
      </w:pPr>
    </w:p>
    <w:p w14:paraId="13E7000F">
      <w:pPr>
        <w:pageBreakBefore w:val="0"/>
        <w:wordWrap/>
        <w:overflowPunct/>
        <w:topLinePunct w:val="0"/>
        <w:bidi w:val="0"/>
        <w:spacing w:line="360" w:lineRule="auto"/>
        <w:jc w:val="center"/>
        <w:rPr>
          <w:rFonts w:hint="eastAsia" w:ascii="宋体" w:hAnsi="宋体" w:eastAsia="宋体" w:cs="宋体"/>
          <w:b/>
          <w:color w:val="000000"/>
          <w:sz w:val="84"/>
          <w:szCs w:val="84"/>
        </w:rPr>
      </w:pPr>
    </w:p>
    <w:p w14:paraId="1176A933">
      <w:pPr>
        <w:pageBreakBefore w:val="0"/>
        <w:wordWrap/>
        <w:overflowPunct/>
        <w:topLinePunct w:val="0"/>
        <w:bidi w:val="0"/>
        <w:spacing w:line="360" w:lineRule="auto"/>
        <w:jc w:val="center"/>
        <w:rPr>
          <w:rFonts w:hint="eastAsia" w:ascii="宋体" w:hAnsi="宋体" w:eastAsia="宋体" w:cs="宋体"/>
          <w:b/>
          <w:color w:val="000000"/>
          <w:sz w:val="84"/>
          <w:szCs w:val="84"/>
        </w:rPr>
      </w:pPr>
      <w:r>
        <w:rPr>
          <w:rFonts w:hint="eastAsia" w:ascii="宋体" w:hAnsi="宋体" w:eastAsia="宋体" w:cs="宋体"/>
          <w:b/>
          <w:color w:val="000000"/>
          <w:sz w:val="84"/>
          <w:szCs w:val="84"/>
        </w:rPr>
        <w:t>招　标　文　件</w:t>
      </w:r>
    </w:p>
    <w:p w14:paraId="202C2517">
      <w:pPr>
        <w:pageBreakBefore w:val="0"/>
        <w:wordWrap/>
        <w:overflowPunct/>
        <w:topLinePunct w:val="0"/>
        <w:bidi w:val="0"/>
        <w:spacing w:line="360" w:lineRule="auto"/>
        <w:ind w:firstLine="2249"/>
        <w:jc w:val="left"/>
        <w:rPr>
          <w:rFonts w:hint="eastAsia" w:ascii="宋体" w:hAnsi="宋体" w:eastAsia="宋体" w:cs="宋体"/>
          <w:b/>
          <w:bCs/>
          <w:color w:val="000000"/>
          <w:sz w:val="32"/>
          <w:szCs w:val="24"/>
        </w:rPr>
      </w:pPr>
    </w:p>
    <w:p w14:paraId="79DF2F09">
      <w:pPr>
        <w:pageBreakBefore w:val="0"/>
        <w:wordWrap/>
        <w:overflowPunct/>
        <w:topLinePunct w:val="0"/>
        <w:bidi w:val="0"/>
        <w:spacing w:line="360" w:lineRule="auto"/>
        <w:ind w:firstLine="2249"/>
        <w:jc w:val="left"/>
        <w:rPr>
          <w:rFonts w:hint="eastAsia" w:ascii="宋体" w:hAnsi="宋体" w:eastAsia="宋体" w:cs="宋体"/>
          <w:b/>
          <w:bCs/>
          <w:color w:val="000000"/>
          <w:sz w:val="32"/>
          <w:szCs w:val="24"/>
        </w:rPr>
      </w:pPr>
    </w:p>
    <w:p w14:paraId="07BC5580">
      <w:pPr>
        <w:pageBreakBefore w:val="0"/>
        <w:wordWrap/>
        <w:overflowPunct/>
        <w:topLinePunct w:val="0"/>
        <w:bidi w:val="0"/>
        <w:spacing w:line="360" w:lineRule="auto"/>
        <w:ind w:firstLine="2249"/>
        <w:jc w:val="left"/>
        <w:rPr>
          <w:rFonts w:hint="eastAsia" w:ascii="宋体" w:hAnsi="宋体" w:eastAsia="宋体" w:cs="宋体"/>
          <w:b/>
          <w:bCs/>
          <w:color w:val="000000"/>
          <w:sz w:val="32"/>
          <w:szCs w:val="24"/>
        </w:rPr>
      </w:pPr>
    </w:p>
    <w:p w14:paraId="1B2354DC">
      <w:pPr>
        <w:pageBreakBefore w:val="0"/>
        <w:wordWrap/>
        <w:overflowPunct/>
        <w:topLinePunct w:val="0"/>
        <w:bidi w:val="0"/>
        <w:spacing w:line="360" w:lineRule="auto"/>
        <w:ind w:firstLine="2249"/>
        <w:jc w:val="left"/>
        <w:rPr>
          <w:rFonts w:hint="eastAsia" w:ascii="宋体" w:hAnsi="宋体" w:eastAsia="宋体" w:cs="宋体"/>
          <w:b/>
          <w:bCs/>
          <w:color w:val="000000"/>
          <w:sz w:val="32"/>
          <w:szCs w:val="24"/>
        </w:rPr>
      </w:pPr>
    </w:p>
    <w:p w14:paraId="46F84C8A">
      <w:pPr>
        <w:pageBreakBefore w:val="0"/>
        <w:wordWrap/>
        <w:overflowPunct/>
        <w:topLinePunct w:val="0"/>
        <w:bidi w:val="0"/>
        <w:spacing w:line="360" w:lineRule="auto"/>
        <w:ind w:firstLine="2249"/>
        <w:jc w:val="left"/>
        <w:rPr>
          <w:rFonts w:hint="eastAsia" w:ascii="宋体" w:hAnsi="宋体" w:eastAsia="宋体" w:cs="宋体"/>
          <w:b/>
          <w:bCs/>
          <w:color w:val="000000"/>
          <w:sz w:val="32"/>
          <w:szCs w:val="24"/>
        </w:rPr>
      </w:pPr>
    </w:p>
    <w:p w14:paraId="78F73653">
      <w:pPr>
        <w:pageBreakBefore w:val="0"/>
        <w:wordWrap/>
        <w:overflowPunct/>
        <w:topLinePunct w:val="0"/>
        <w:bidi w:val="0"/>
        <w:spacing w:line="360" w:lineRule="auto"/>
        <w:rPr>
          <w:rFonts w:hint="eastAsia" w:ascii="宋体" w:hAnsi="宋体" w:eastAsia="宋体" w:cs="宋体"/>
          <w:b/>
          <w:color w:val="000000"/>
          <w:sz w:val="44"/>
          <w:szCs w:val="21"/>
          <w:lang w:eastAsia="zh-CN"/>
        </w:rPr>
      </w:pPr>
      <w:r>
        <w:rPr>
          <w:rFonts w:hint="eastAsia" w:ascii="宋体" w:hAnsi="宋体" w:eastAsia="宋体" w:cs="宋体"/>
          <w:b/>
          <w:bCs/>
          <w:color w:val="000000"/>
          <w:sz w:val="32"/>
          <w:szCs w:val="24"/>
        </w:rPr>
        <w:t>项目名称：</w:t>
      </w:r>
      <w:r>
        <w:rPr>
          <w:rFonts w:hint="eastAsia" w:ascii="宋体" w:hAnsi="宋体" w:eastAsia="宋体" w:cs="宋体"/>
          <w:b/>
          <w:bCs/>
          <w:color w:val="000000"/>
          <w:sz w:val="32"/>
          <w:szCs w:val="24"/>
          <w:lang w:eastAsia="zh-CN"/>
        </w:rPr>
        <w:t>东海县残疾人寄宿制托养服务项目</w:t>
      </w:r>
    </w:p>
    <w:p w14:paraId="01AEF07F">
      <w:pPr>
        <w:pageBreakBefore w:val="0"/>
        <w:wordWrap/>
        <w:overflowPunct/>
        <w:topLinePunct w:val="0"/>
        <w:bidi w:val="0"/>
        <w:spacing w:line="360" w:lineRule="auto"/>
        <w:rPr>
          <w:rFonts w:hint="eastAsia" w:ascii="宋体" w:hAnsi="宋体" w:eastAsia="宋体" w:cs="宋体"/>
          <w:b/>
          <w:color w:val="000000"/>
          <w:sz w:val="44"/>
          <w:szCs w:val="21"/>
          <w:lang w:eastAsia="zh-CN"/>
        </w:rPr>
      </w:pPr>
      <w:r>
        <w:rPr>
          <w:rFonts w:hint="eastAsia" w:ascii="宋体" w:hAnsi="宋体" w:eastAsia="宋体" w:cs="宋体"/>
          <w:b/>
          <w:bCs/>
          <w:color w:val="000000"/>
          <w:sz w:val="32"/>
          <w:szCs w:val="24"/>
        </w:rPr>
        <w:t>项目编号：</w:t>
      </w:r>
      <w:r>
        <w:rPr>
          <w:rFonts w:hint="eastAsia" w:ascii="宋体" w:hAnsi="宋体" w:cs="宋体"/>
          <w:b/>
          <w:bCs/>
          <w:color w:val="000000"/>
          <w:sz w:val="32"/>
          <w:szCs w:val="24"/>
          <w:lang w:eastAsia="zh-CN"/>
        </w:rPr>
        <w:t>JSZC-320722-JSYA-G2025-0005</w:t>
      </w:r>
      <w:r>
        <w:rPr>
          <w:rFonts w:hint="eastAsia" w:ascii="宋体" w:hAnsi="宋体" w:cs="宋体"/>
          <w:b/>
          <w:bCs/>
          <w:color w:val="000000"/>
          <w:sz w:val="32"/>
          <w:szCs w:val="24"/>
          <w:lang w:eastAsia="zh-CN"/>
        </w:rPr>
        <w:tab/>
      </w:r>
    </w:p>
    <w:p w14:paraId="770A4A93">
      <w:pPr>
        <w:pageBreakBefore w:val="0"/>
        <w:wordWrap/>
        <w:overflowPunct/>
        <w:topLinePunct w:val="0"/>
        <w:bidi w:val="0"/>
        <w:spacing w:line="360" w:lineRule="auto"/>
        <w:jc w:val="center"/>
        <w:rPr>
          <w:rFonts w:hint="eastAsia" w:ascii="宋体" w:hAnsi="宋体" w:eastAsia="宋体" w:cs="宋体"/>
          <w:b/>
          <w:color w:val="000000"/>
          <w:sz w:val="44"/>
          <w:szCs w:val="21"/>
        </w:rPr>
      </w:pPr>
    </w:p>
    <w:p w14:paraId="3C3BD4FF">
      <w:pPr>
        <w:pageBreakBefore w:val="0"/>
        <w:wordWrap/>
        <w:overflowPunct/>
        <w:topLinePunct w:val="0"/>
        <w:bidi w:val="0"/>
        <w:spacing w:line="360" w:lineRule="auto"/>
        <w:jc w:val="center"/>
        <w:rPr>
          <w:rFonts w:hint="eastAsia" w:ascii="宋体" w:hAnsi="宋体" w:eastAsia="宋体" w:cs="宋体"/>
          <w:b/>
          <w:color w:val="000000"/>
          <w:sz w:val="44"/>
          <w:szCs w:val="21"/>
        </w:rPr>
      </w:pPr>
    </w:p>
    <w:tbl>
      <w:tblPr>
        <w:tblStyle w:val="28"/>
        <w:tblW w:w="0" w:type="auto"/>
        <w:tblInd w:w="-108" w:type="dxa"/>
        <w:tblBorders>
          <w:top w:val="single" w:color="000000" w:sz="18"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2694"/>
        <w:gridCol w:w="5386"/>
        <w:gridCol w:w="872"/>
      </w:tblGrid>
      <w:tr w14:paraId="6EFBB9AC">
        <w:tblPrEx>
          <w:tblBorders>
            <w:top w:val="single" w:color="000000" w:sz="18"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50" w:hRule="atLeast"/>
        </w:trPr>
        <w:tc>
          <w:tcPr>
            <w:tcW w:w="2694" w:type="dxa"/>
            <w:vAlign w:val="bottom"/>
          </w:tcPr>
          <w:p w14:paraId="4A7BA193">
            <w:pPr>
              <w:pageBreakBefore w:val="0"/>
              <w:wordWrap/>
              <w:overflowPunct/>
              <w:topLinePunct w:val="0"/>
              <w:bidi w:val="0"/>
              <w:spacing w:after="0" w:line="360" w:lineRule="auto"/>
              <w:ind w:firstLine="0" w:firstLineChars="0"/>
              <w:jc w:val="left"/>
              <w:rPr>
                <w:rFonts w:hint="eastAsia" w:ascii="宋体" w:hAnsi="宋体" w:eastAsia="宋体" w:cs="宋体"/>
                <w:b/>
                <w:color w:val="000000"/>
                <w:w w:val="95"/>
                <w:sz w:val="32"/>
                <w:szCs w:val="24"/>
                <w:lang w:eastAsia="en-US"/>
              </w:rPr>
            </w:pPr>
            <w:r>
              <w:rPr>
                <w:rFonts w:hint="eastAsia" w:ascii="宋体" w:hAnsi="宋体" w:eastAsia="宋体" w:cs="宋体"/>
                <w:b/>
                <w:color w:val="000000"/>
                <w:w w:val="95"/>
                <w:sz w:val="32"/>
                <w:szCs w:val="24"/>
                <w:lang w:eastAsia="en-US"/>
              </w:rPr>
              <w:t xml:space="preserve">采   购   人：   </w:t>
            </w:r>
          </w:p>
        </w:tc>
        <w:tc>
          <w:tcPr>
            <w:tcW w:w="5386" w:type="dxa"/>
            <w:vAlign w:val="bottom"/>
          </w:tcPr>
          <w:p w14:paraId="6F122754">
            <w:pPr>
              <w:pageBreakBefore w:val="0"/>
              <w:wordWrap/>
              <w:overflowPunct/>
              <w:topLinePunct w:val="0"/>
              <w:bidi w:val="0"/>
              <w:spacing w:after="0" w:line="360" w:lineRule="auto"/>
              <w:ind w:firstLine="0" w:firstLineChars="0"/>
              <w:jc w:val="left"/>
              <w:rPr>
                <w:rFonts w:hint="eastAsia" w:ascii="宋体" w:hAnsi="宋体" w:eastAsia="宋体" w:cs="宋体"/>
                <w:b/>
                <w:color w:val="000000"/>
                <w:w w:val="95"/>
                <w:sz w:val="32"/>
                <w:szCs w:val="20"/>
                <w:lang w:eastAsia="zh-CN"/>
              </w:rPr>
            </w:pPr>
            <w:r>
              <w:rPr>
                <w:rFonts w:hint="eastAsia" w:ascii="宋体" w:hAnsi="宋体" w:eastAsia="宋体" w:cs="宋体"/>
                <w:b/>
                <w:color w:val="000000"/>
                <w:w w:val="95"/>
                <w:sz w:val="32"/>
                <w:szCs w:val="20"/>
                <w:lang w:eastAsia="zh-CN"/>
              </w:rPr>
              <w:t>东海县残疾人联合会</w:t>
            </w:r>
          </w:p>
        </w:tc>
        <w:tc>
          <w:tcPr>
            <w:tcW w:w="872" w:type="dxa"/>
            <w:vAlign w:val="top"/>
          </w:tcPr>
          <w:p w14:paraId="5DE469E6">
            <w:pPr>
              <w:pageBreakBefore w:val="0"/>
              <w:wordWrap/>
              <w:overflowPunct/>
              <w:topLinePunct w:val="0"/>
              <w:bidi w:val="0"/>
              <w:spacing w:after="0" w:line="360" w:lineRule="auto"/>
              <w:ind w:firstLine="0" w:firstLineChars="0"/>
              <w:jc w:val="left"/>
              <w:rPr>
                <w:rFonts w:hint="eastAsia" w:ascii="宋体" w:hAnsi="宋体" w:eastAsia="宋体" w:cs="宋体"/>
                <w:b/>
                <w:color w:val="000000"/>
                <w:w w:val="95"/>
                <w:sz w:val="32"/>
                <w:szCs w:val="32"/>
                <w:lang w:eastAsia="en-US"/>
              </w:rPr>
            </w:pPr>
          </w:p>
        </w:tc>
      </w:tr>
      <w:tr w14:paraId="3A78373F">
        <w:tblPrEx>
          <w:tblBorders>
            <w:top w:val="single" w:color="000000" w:sz="18"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843" w:hRule="atLeast"/>
        </w:trPr>
        <w:tc>
          <w:tcPr>
            <w:tcW w:w="2694" w:type="dxa"/>
            <w:vAlign w:val="center"/>
          </w:tcPr>
          <w:p w14:paraId="2424623B">
            <w:pPr>
              <w:pageBreakBefore w:val="0"/>
              <w:wordWrap/>
              <w:overflowPunct/>
              <w:topLinePunct w:val="0"/>
              <w:bidi w:val="0"/>
              <w:spacing w:after="0" w:line="360" w:lineRule="auto"/>
              <w:ind w:firstLine="0" w:firstLineChars="0"/>
              <w:jc w:val="left"/>
              <w:rPr>
                <w:rFonts w:hint="eastAsia" w:ascii="宋体" w:hAnsi="宋体" w:eastAsia="宋体" w:cs="宋体"/>
                <w:b/>
                <w:color w:val="000000"/>
                <w:w w:val="95"/>
                <w:sz w:val="32"/>
                <w:szCs w:val="24"/>
                <w:lang w:eastAsia="en-US"/>
              </w:rPr>
            </w:pPr>
            <w:r>
              <w:rPr>
                <w:rFonts w:hint="eastAsia" w:ascii="宋体" w:hAnsi="宋体" w:eastAsia="宋体" w:cs="宋体"/>
                <w:b/>
                <w:color w:val="000000"/>
                <w:w w:val="95"/>
                <w:sz w:val="32"/>
                <w:szCs w:val="24"/>
                <w:lang w:eastAsia="en-US"/>
              </w:rPr>
              <w:t>采购代理机构：</w:t>
            </w:r>
          </w:p>
        </w:tc>
        <w:tc>
          <w:tcPr>
            <w:tcW w:w="5386" w:type="dxa"/>
            <w:vAlign w:val="center"/>
          </w:tcPr>
          <w:p w14:paraId="47B90CE8">
            <w:pPr>
              <w:keepNext w:val="0"/>
              <w:keepLines w:val="0"/>
              <w:pageBreakBefore w:val="0"/>
              <w:widowControl w:val="0"/>
              <w:tabs>
                <w:tab w:val="left" w:pos="2208"/>
                <w:tab w:val="left" w:pos="3105"/>
              </w:tabs>
              <w:kinsoku/>
              <w:wordWrap/>
              <w:overflowPunct/>
              <w:topLinePunct w:val="0"/>
              <w:autoSpaceDE/>
              <w:autoSpaceDN/>
              <w:bidi w:val="0"/>
              <w:snapToGrid/>
              <w:spacing w:before="0" w:after="0" w:line="360" w:lineRule="auto"/>
              <w:ind w:right="0"/>
              <w:jc w:val="both"/>
              <w:rPr>
                <w:rFonts w:hint="eastAsia" w:ascii="宋体" w:hAnsi="宋体" w:eastAsia="宋体" w:cs="宋体"/>
                <w:b/>
                <w:color w:val="000000"/>
                <w:w w:val="95"/>
                <w:sz w:val="32"/>
                <w:szCs w:val="20"/>
                <w:lang w:val="en-US" w:eastAsia="zh-CN" w:bidi="ar-SA"/>
              </w:rPr>
            </w:pPr>
            <w:r>
              <w:rPr>
                <w:rFonts w:hint="eastAsia" w:ascii="宋体" w:hAnsi="宋体" w:eastAsia="宋体" w:cs="宋体"/>
                <w:b/>
                <w:bCs/>
                <w:color w:val="000000"/>
                <w:sz w:val="30"/>
                <w:szCs w:val="30"/>
                <w:lang w:val="en-US" w:eastAsia="zh-CN"/>
              </w:rPr>
              <w:t>江苏永安工程项目管理有限公司</w:t>
            </w:r>
          </w:p>
        </w:tc>
        <w:tc>
          <w:tcPr>
            <w:tcW w:w="872" w:type="dxa"/>
            <w:vAlign w:val="top"/>
          </w:tcPr>
          <w:p w14:paraId="18D19FF3">
            <w:pPr>
              <w:pageBreakBefore w:val="0"/>
              <w:widowControl w:val="0"/>
              <w:wordWrap/>
              <w:overflowPunct/>
              <w:topLinePunct w:val="0"/>
              <w:bidi w:val="0"/>
              <w:spacing w:after="0" w:line="360" w:lineRule="auto"/>
              <w:ind w:firstLine="0" w:firstLineChars="0"/>
              <w:rPr>
                <w:rFonts w:hint="eastAsia" w:ascii="宋体" w:hAnsi="宋体" w:eastAsia="宋体" w:cs="宋体"/>
                <w:b/>
                <w:color w:val="000000"/>
                <w:w w:val="95"/>
                <w:sz w:val="32"/>
                <w:szCs w:val="20"/>
                <w:lang w:val="en-US" w:eastAsia="en-US" w:bidi="ar-SA"/>
              </w:rPr>
            </w:pPr>
          </w:p>
        </w:tc>
      </w:tr>
      <w:tr w14:paraId="4D978B92">
        <w:tblPrEx>
          <w:tblBorders>
            <w:top w:val="single" w:color="000000" w:sz="18"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93" w:hRule="atLeast"/>
        </w:trPr>
        <w:tc>
          <w:tcPr>
            <w:tcW w:w="2694" w:type="dxa"/>
            <w:vAlign w:val="center"/>
          </w:tcPr>
          <w:p w14:paraId="4BF6F37F">
            <w:pPr>
              <w:pageBreakBefore w:val="0"/>
              <w:wordWrap/>
              <w:overflowPunct/>
              <w:topLinePunct w:val="0"/>
              <w:bidi w:val="0"/>
              <w:spacing w:after="0" w:line="360" w:lineRule="auto"/>
              <w:ind w:firstLine="0" w:firstLineChars="0"/>
              <w:jc w:val="left"/>
              <w:rPr>
                <w:rFonts w:hint="eastAsia" w:ascii="宋体" w:hAnsi="宋体" w:eastAsia="宋体" w:cs="宋体"/>
                <w:b/>
                <w:bCs/>
                <w:color w:val="000000"/>
                <w:w w:val="95"/>
                <w:sz w:val="30"/>
                <w:szCs w:val="30"/>
                <w:lang w:eastAsia="en-US"/>
              </w:rPr>
            </w:pPr>
            <w:r>
              <w:rPr>
                <w:rFonts w:hint="eastAsia" w:ascii="宋体" w:hAnsi="宋体" w:eastAsia="宋体" w:cs="宋体"/>
                <w:b/>
                <w:bCs/>
                <w:color w:val="000000"/>
                <w:w w:val="95"/>
                <w:sz w:val="30"/>
                <w:szCs w:val="30"/>
                <w:lang w:eastAsia="en-US"/>
              </w:rPr>
              <w:t>日</w:t>
            </w:r>
            <w:r>
              <w:rPr>
                <w:rFonts w:hint="eastAsia" w:ascii="宋体" w:hAnsi="宋体" w:eastAsia="宋体" w:cs="宋体"/>
                <w:b/>
                <w:bCs/>
                <w:color w:val="000000"/>
                <w:w w:val="95"/>
                <w:sz w:val="30"/>
                <w:szCs w:val="30"/>
                <w:lang w:eastAsia="en-US"/>
              </w:rPr>
              <w:tab/>
            </w:r>
            <w:r>
              <w:rPr>
                <w:rFonts w:hint="eastAsia" w:ascii="宋体" w:hAnsi="宋体" w:eastAsia="宋体" w:cs="宋体"/>
                <w:b/>
                <w:bCs/>
                <w:color w:val="000000"/>
                <w:w w:val="95"/>
                <w:sz w:val="30"/>
                <w:szCs w:val="30"/>
                <w:lang w:val="en-US" w:eastAsia="zh-CN"/>
              </w:rPr>
              <w:t xml:space="preserve">     </w:t>
            </w:r>
            <w:r>
              <w:rPr>
                <w:rFonts w:hint="eastAsia" w:ascii="宋体" w:hAnsi="宋体" w:eastAsia="宋体" w:cs="宋体"/>
                <w:b/>
                <w:bCs/>
                <w:color w:val="000000"/>
                <w:sz w:val="30"/>
                <w:szCs w:val="30"/>
                <w:lang w:eastAsia="en-US"/>
              </w:rPr>
              <w:t>期：</w:t>
            </w:r>
          </w:p>
        </w:tc>
        <w:tc>
          <w:tcPr>
            <w:tcW w:w="5386" w:type="dxa"/>
            <w:vAlign w:val="center"/>
          </w:tcPr>
          <w:p w14:paraId="0D4CA9B6">
            <w:pPr>
              <w:keepNext w:val="0"/>
              <w:keepLines w:val="0"/>
              <w:pageBreakBefore w:val="0"/>
              <w:widowControl w:val="0"/>
              <w:tabs>
                <w:tab w:val="left" w:pos="2208"/>
                <w:tab w:val="left" w:pos="3105"/>
              </w:tabs>
              <w:kinsoku/>
              <w:wordWrap/>
              <w:overflowPunct/>
              <w:topLinePunct w:val="0"/>
              <w:autoSpaceDE/>
              <w:autoSpaceDN/>
              <w:bidi w:val="0"/>
              <w:snapToGrid/>
              <w:spacing w:before="0" w:after="0" w:line="360" w:lineRule="auto"/>
              <w:ind w:right="0"/>
              <w:jc w:val="both"/>
              <w:rPr>
                <w:rFonts w:hint="eastAsia" w:ascii="宋体" w:hAnsi="宋体" w:eastAsia="宋体" w:cs="宋体"/>
                <w:b/>
                <w:bCs/>
                <w:color w:val="000000"/>
                <w:sz w:val="30"/>
                <w:szCs w:val="30"/>
                <w:lang w:eastAsia="zh-CN"/>
              </w:rPr>
            </w:pPr>
            <w:r>
              <w:rPr>
                <w:rFonts w:hint="eastAsia" w:ascii="宋体" w:hAnsi="宋体" w:eastAsia="宋体" w:cs="宋体"/>
                <w:b/>
                <w:bCs/>
                <w:color w:val="000000"/>
                <w:sz w:val="30"/>
                <w:szCs w:val="30"/>
                <w:lang w:eastAsia="zh-CN"/>
              </w:rPr>
              <w:t>二〇二</w:t>
            </w:r>
            <w:r>
              <w:rPr>
                <w:rFonts w:hint="eastAsia" w:ascii="宋体" w:hAnsi="宋体" w:eastAsia="宋体" w:cs="宋体"/>
                <w:b/>
                <w:bCs/>
                <w:color w:val="000000"/>
                <w:sz w:val="30"/>
                <w:szCs w:val="30"/>
                <w:lang w:val="en-US" w:eastAsia="zh-CN"/>
              </w:rPr>
              <w:t>四</w:t>
            </w:r>
            <w:r>
              <w:rPr>
                <w:rFonts w:hint="eastAsia" w:ascii="宋体" w:hAnsi="宋体" w:eastAsia="宋体" w:cs="宋体"/>
                <w:b/>
                <w:bCs/>
                <w:color w:val="000000"/>
                <w:sz w:val="30"/>
                <w:szCs w:val="30"/>
                <w:lang w:eastAsia="zh-CN"/>
              </w:rPr>
              <w:t>年</w:t>
            </w:r>
            <w:r>
              <w:rPr>
                <w:rFonts w:hint="eastAsia" w:ascii="宋体" w:hAnsi="宋体" w:eastAsia="宋体" w:cs="宋体"/>
                <w:b/>
                <w:bCs/>
                <w:color w:val="000000"/>
                <w:sz w:val="30"/>
                <w:szCs w:val="30"/>
                <w:lang w:val="en-US" w:eastAsia="zh-CN"/>
              </w:rPr>
              <w:t>七</w:t>
            </w:r>
            <w:r>
              <w:rPr>
                <w:rFonts w:hint="eastAsia" w:ascii="宋体" w:hAnsi="宋体" w:eastAsia="宋体" w:cs="宋体"/>
                <w:b/>
                <w:bCs/>
                <w:color w:val="000000"/>
                <w:sz w:val="30"/>
                <w:szCs w:val="30"/>
                <w:lang w:eastAsia="zh-CN"/>
              </w:rPr>
              <w:t>月</w:t>
            </w:r>
          </w:p>
        </w:tc>
        <w:tc>
          <w:tcPr>
            <w:tcW w:w="872" w:type="dxa"/>
            <w:vAlign w:val="top"/>
          </w:tcPr>
          <w:p w14:paraId="5C5BAB7F">
            <w:pPr>
              <w:pageBreakBefore w:val="0"/>
              <w:widowControl w:val="0"/>
              <w:wordWrap/>
              <w:overflowPunct/>
              <w:topLinePunct w:val="0"/>
              <w:bidi w:val="0"/>
              <w:spacing w:after="0" w:line="360" w:lineRule="auto"/>
              <w:ind w:firstLine="0" w:firstLineChars="0"/>
              <w:rPr>
                <w:rFonts w:hint="eastAsia" w:ascii="宋体" w:hAnsi="宋体" w:eastAsia="宋体" w:cs="宋体"/>
                <w:b/>
                <w:color w:val="000000"/>
                <w:w w:val="95"/>
                <w:sz w:val="32"/>
                <w:szCs w:val="20"/>
                <w:lang w:val="en-US" w:eastAsia="en-US" w:bidi="ar-SA"/>
              </w:rPr>
            </w:pPr>
          </w:p>
        </w:tc>
      </w:tr>
    </w:tbl>
    <w:p w14:paraId="119C3DE4">
      <w:pPr>
        <w:pageBreakBefore w:val="0"/>
        <w:wordWrap/>
        <w:overflowPunct/>
        <w:topLinePunct w:val="0"/>
        <w:bidi w:val="0"/>
        <w:spacing w:line="360" w:lineRule="auto"/>
        <w:jc w:val="center"/>
        <w:rPr>
          <w:rFonts w:hint="eastAsia" w:ascii="宋体" w:hAnsi="宋体" w:eastAsia="宋体" w:cs="宋体"/>
          <w:b/>
          <w:color w:val="000000"/>
          <w:sz w:val="44"/>
          <w:szCs w:val="21"/>
        </w:rPr>
      </w:pPr>
    </w:p>
    <w:p w14:paraId="2E30B805">
      <w:pPr>
        <w:pageBreakBefore w:val="0"/>
        <w:wordWrap/>
        <w:overflowPunct/>
        <w:topLinePunct w:val="0"/>
        <w:bidi w:val="0"/>
        <w:spacing w:before="120" w:after="120" w:line="360" w:lineRule="auto"/>
        <w:jc w:val="center"/>
        <w:rPr>
          <w:rFonts w:hint="eastAsia" w:ascii="宋体" w:hAnsi="宋体" w:eastAsia="宋体" w:cs="宋体"/>
          <w:color w:val="000000"/>
        </w:rPr>
      </w:pPr>
      <w:r>
        <w:rPr>
          <w:rFonts w:hint="eastAsia" w:ascii="宋体" w:hAnsi="宋体" w:eastAsia="宋体" w:cs="宋体"/>
          <w:color w:val="000000"/>
        </w:rPr>
        <w:fldChar w:fldCharType="begin"/>
      </w:r>
      <w:r>
        <w:rPr>
          <w:rFonts w:hint="eastAsia" w:ascii="宋体" w:hAnsi="宋体" w:eastAsia="宋体" w:cs="宋体"/>
          <w:color w:val="000000"/>
        </w:rPr>
        <w:instrText xml:space="preserve"> TOC \o "1-1" \u </w:instrText>
      </w:r>
      <w:r>
        <w:rPr>
          <w:rFonts w:hint="eastAsia" w:ascii="宋体" w:hAnsi="宋体" w:eastAsia="宋体" w:cs="宋体"/>
          <w:color w:val="000000"/>
        </w:rPr>
        <w:fldChar w:fldCharType="separate"/>
      </w:r>
    </w:p>
    <w:p w14:paraId="1D55A9CA">
      <w:pPr>
        <w:pStyle w:val="182"/>
        <w:pageBreakBefore w:val="0"/>
        <w:wordWrap/>
        <w:overflowPunct/>
        <w:topLinePunct w:val="0"/>
        <w:bidi w:val="0"/>
        <w:spacing w:before="156" w:after="156" w:line="360" w:lineRule="auto"/>
        <w:jc w:val="center"/>
        <w:rPr>
          <w:rFonts w:hint="eastAsia" w:ascii="宋体" w:hAnsi="宋体" w:eastAsia="宋体" w:cs="宋体"/>
          <w:b w:val="0"/>
          <w:color w:val="000000"/>
        </w:rPr>
      </w:pPr>
      <w:r>
        <w:rPr>
          <w:rFonts w:hint="eastAsia" w:ascii="宋体" w:hAnsi="宋体" w:eastAsia="宋体" w:cs="宋体"/>
          <w:b w:val="0"/>
          <w:color w:val="000000"/>
        </w:rPr>
        <w:t>目  录</w:t>
      </w:r>
    </w:p>
    <w:p w14:paraId="432AD251">
      <w:pPr>
        <w:pStyle w:val="208"/>
        <w:pageBreakBefore w:val="0"/>
        <w:tabs>
          <w:tab w:val="right" w:leader="dot" w:pos="8296"/>
        </w:tabs>
        <w:wordWrap/>
        <w:overflowPunct/>
        <w:topLinePunct w:val="0"/>
        <w:bidi w:val="0"/>
        <w:spacing w:line="360" w:lineRule="auto"/>
        <w:rPr>
          <w:rFonts w:hint="eastAsia" w:ascii="宋体" w:hAnsi="宋体" w:eastAsia="宋体" w:cs="宋体"/>
          <w:color w:val="000000"/>
          <w:sz w:val="32"/>
        </w:rPr>
      </w:pPr>
      <w:r>
        <w:rPr>
          <w:rFonts w:hint="eastAsia" w:ascii="宋体" w:hAnsi="宋体" w:eastAsia="宋体" w:cs="宋体"/>
          <w:color w:val="000000"/>
          <w:sz w:val="32"/>
        </w:rPr>
        <w:t>第一章  投标邀请</w:t>
      </w:r>
      <w:r>
        <w:rPr>
          <w:rFonts w:hint="eastAsia" w:ascii="宋体" w:hAnsi="宋体" w:eastAsia="宋体" w:cs="宋体"/>
          <w:color w:val="000000"/>
          <w:sz w:val="32"/>
        </w:rPr>
        <w:tab/>
      </w:r>
      <w:r>
        <w:rPr>
          <w:rFonts w:hint="eastAsia" w:ascii="宋体" w:hAnsi="宋体" w:eastAsia="宋体" w:cs="宋体"/>
          <w:color w:val="000000"/>
          <w:sz w:val="32"/>
        </w:rPr>
        <w:t>1</w:t>
      </w:r>
    </w:p>
    <w:p w14:paraId="07944D20">
      <w:pPr>
        <w:pStyle w:val="208"/>
        <w:pageBreakBefore w:val="0"/>
        <w:tabs>
          <w:tab w:val="right" w:leader="dot" w:pos="8296"/>
        </w:tabs>
        <w:wordWrap/>
        <w:overflowPunct/>
        <w:topLinePunct w:val="0"/>
        <w:bidi w:val="0"/>
        <w:spacing w:line="360" w:lineRule="auto"/>
        <w:rPr>
          <w:rFonts w:hint="eastAsia" w:ascii="宋体" w:hAnsi="宋体" w:eastAsia="宋体" w:cs="宋体"/>
          <w:color w:val="000000"/>
          <w:sz w:val="32"/>
        </w:rPr>
      </w:pPr>
      <w:r>
        <w:rPr>
          <w:rFonts w:hint="eastAsia" w:ascii="宋体" w:hAnsi="宋体" w:eastAsia="宋体" w:cs="宋体"/>
          <w:color w:val="000000"/>
          <w:sz w:val="32"/>
        </w:rPr>
        <w:t>第二章  投标人须知</w:t>
      </w:r>
      <w:r>
        <w:rPr>
          <w:rFonts w:hint="eastAsia" w:ascii="宋体" w:hAnsi="宋体" w:eastAsia="宋体" w:cs="宋体"/>
          <w:color w:val="000000"/>
          <w:sz w:val="32"/>
        </w:rPr>
        <w:tab/>
      </w:r>
      <w:r>
        <w:rPr>
          <w:rFonts w:hint="eastAsia" w:ascii="宋体" w:hAnsi="宋体" w:eastAsia="宋体" w:cs="宋体"/>
          <w:color w:val="000000"/>
          <w:sz w:val="32"/>
        </w:rPr>
        <w:t>6</w:t>
      </w:r>
    </w:p>
    <w:p w14:paraId="3249BB4D">
      <w:pPr>
        <w:pStyle w:val="208"/>
        <w:pageBreakBefore w:val="0"/>
        <w:tabs>
          <w:tab w:val="right" w:leader="dot" w:pos="8296"/>
        </w:tabs>
        <w:wordWrap/>
        <w:overflowPunct/>
        <w:topLinePunct w:val="0"/>
        <w:bidi w:val="0"/>
        <w:spacing w:line="360" w:lineRule="auto"/>
        <w:rPr>
          <w:rFonts w:hint="eastAsia" w:ascii="宋体" w:hAnsi="宋体" w:eastAsia="宋体" w:cs="宋体"/>
          <w:color w:val="000000"/>
          <w:sz w:val="32"/>
        </w:rPr>
      </w:pPr>
      <w:r>
        <w:rPr>
          <w:rFonts w:hint="eastAsia" w:ascii="宋体" w:hAnsi="宋体" w:eastAsia="宋体" w:cs="宋体"/>
          <w:color w:val="000000"/>
          <w:sz w:val="32"/>
        </w:rPr>
        <w:t>第三章  合同文本</w:t>
      </w:r>
      <w:r>
        <w:rPr>
          <w:rFonts w:hint="eastAsia" w:ascii="宋体" w:hAnsi="宋体" w:eastAsia="宋体" w:cs="宋体"/>
          <w:color w:val="000000"/>
          <w:sz w:val="32"/>
        </w:rPr>
        <w:tab/>
      </w:r>
      <w:r>
        <w:rPr>
          <w:rFonts w:hint="eastAsia" w:ascii="宋体" w:hAnsi="宋体" w:eastAsia="宋体" w:cs="宋体"/>
          <w:color w:val="000000"/>
          <w:sz w:val="32"/>
        </w:rPr>
        <w:fldChar w:fldCharType="begin"/>
      </w:r>
      <w:r>
        <w:rPr>
          <w:rFonts w:hint="eastAsia" w:ascii="宋体" w:hAnsi="宋体" w:eastAsia="宋体" w:cs="宋体"/>
          <w:color w:val="000000"/>
          <w:sz w:val="32"/>
        </w:rPr>
        <w:instrText xml:space="preserve"> PAGEREF _Toc155796358 \h </w:instrText>
      </w:r>
      <w:r>
        <w:rPr>
          <w:rFonts w:hint="eastAsia" w:ascii="宋体" w:hAnsi="宋体" w:eastAsia="宋体" w:cs="宋体"/>
          <w:color w:val="000000"/>
          <w:sz w:val="32"/>
        </w:rPr>
        <w:fldChar w:fldCharType="separate"/>
      </w:r>
      <w:r>
        <w:rPr>
          <w:rFonts w:hint="eastAsia" w:ascii="宋体" w:hAnsi="宋体" w:eastAsia="宋体" w:cs="宋体"/>
          <w:color w:val="000000"/>
          <w:sz w:val="32"/>
        </w:rPr>
        <w:t>28</w:t>
      </w:r>
      <w:r>
        <w:rPr>
          <w:rFonts w:hint="eastAsia" w:ascii="宋体" w:hAnsi="宋体" w:eastAsia="宋体" w:cs="宋体"/>
          <w:color w:val="000000"/>
          <w:sz w:val="32"/>
        </w:rPr>
        <w:fldChar w:fldCharType="end"/>
      </w:r>
    </w:p>
    <w:p w14:paraId="51E6EB49">
      <w:pPr>
        <w:pStyle w:val="208"/>
        <w:pageBreakBefore w:val="0"/>
        <w:tabs>
          <w:tab w:val="right" w:leader="dot" w:pos="8296"/>
        </w:tabs>
        <w:wordWrap/>
        <w:overflowPunct/>
        <w:topLinePunct w:val="0"/>
        <w:bidi w:val="0"/>
        <w:spacing w:line="360" w:lineRule="auto"/>
        <w:rPr>
          <w:rFonts w:hint="eastAsia" w:ascii="宋体" w:hAnsi="宋体" w:eastAsia="宋体" w:cs="宋体"/>
          <w:color w:val="000000"/>
          <w:sz w:val="32"/>
        </w:rPr>
      </w:pPr>
      <w:r>
        <w:rPr>
          <w:rFonts w:hint="eastAsia" w:ascii="宋体" w:hAnsi="宋体" w:eastAsia="宋体" w:cs="宋体"/>
          <w:color w:val="000000"/>
          <w:sz w:val="32"/>
        </w:rPr>
        <w:t>第四章  采购需求</w:t>
      </w:r>
      <w:r>
        <w:rPr>
          <w:rFonts w:hint="eastAsia" w:ascii="宋体" w:hAnsi="宋体" w:eastAsia="宋体" w:cs="宋体"/>
          <w:color w:val="000000"/>
          <w:sz w:val="32"/>
        </w:rPr>
        <w:tab/>
      </w:r>
      <w:r>
        <w:rPr>
          <w:rFonts w:hint="eastAsia" w:ascii="宋体" w:hAnsi="宋体" w:eastAsia="宋体" w:cs="宋体"/>
          <w:color w:val="000000"/>
          <w:sz w:val="32"/>
        </w:rPr>
        <w:fldChar w:fldCharType="begin"/>
      </w:r>
      <w:r>
        <w:rPr>
          <w:rFonts w:hint="eastAsia" w:ascii="宋体" w:hAnsi="宋体" w:eastAsia="宋体" w:cs="宋体"/>
          <w:color w:val="000000"/>
          <w:sz w:val="32"/>
        </w:rPr>
        <w:instrText xml:space="preserve"> PAGEREF _Toc155796359 \h </w:instrText>
      </w:r>
      <w:r>
        <w:rPr>
          <w:rFonts w:hint="eastAsia" w:ascii="宋体" w:hAnsi="宋体" w:eastAsia="宋体" w:cs="宋体"/>
          <w:color w:val="000000"/>
          <w:sz w:val="32"/>
        </w:rPr>
        <w:fldChar w:fldCharType="separate"/>
      </w:r>
      <w:r>
        <w:rPr>
          <w:rFonts w:hint="eastAsia" w:ascii="宋体" w:hAnsi="宋体" w:eastAsia="宋体" w:cs="宋体"/>
          <w:color w:val="000000"/>
          <w:sz w:val="32"/>
        </w:rPr>
        <w:t>28</w:t>
      </w:r>
      <w:r>
        <w:rPr>
          <w:rFonts w:hint="eastAsia" w:ascii="宋体" w:hAnsi="宋体" w:eastAsia="宋体" w:cs="宋体"/>
          <w:color w:val="000000"/>
          <w:sz w:val="32"/>
        </w:rPr>
        <w:fldChar w:fldCharType="end"/>
      </w:r>
    </w:p>
    <w:p w14:paraId="53F593C9">
      <w:pPr>
        <w:pStyle w:val="208"/>
        <w:pageBreakBefore w:val="0"/>
        <w:tabs>
          <w:tab w:val="right" w:leader="dot" w:pos="8296"/>
        </w:tabs>
        <w:wordWrap/>
        <w:overflowPunct/>
        <w:topLinePunct w:val="0"/>
        <w:bidi w:val="0"/>
        <w:spacing w:line="360" w:lineRule="auto"/>
        <w:rPr>
          <w:rFonts w:hint="eastAsia" w:ascii="宋体" w:hAnsi="宋体" w:eastAsia="宋体" w:cs="宋体"/>
          <w:color w:val="000000"/>
          <w:sz w:val="32"/>
        </w:rPr>
      </w:pPr>
      <w:r>
        <w:rPr>
          <w:rFonts w:hint="eastAsia" w:ascii="宋体" w:hAnsi="宋体" w:eastAsia="宋体" w:cs="宋体"/>
          <w:color w:val="000000"/>
          <w:sz w:val="32"/>
        </w:rPr>
        <w:t>第五章  评标方法与评标标准</w:t>
      </w:r>
      <w:r>
        <w:rPr>
          <w:rFonts w:hint="eastAsia" w:ascii="宋体" w:hAnsi="宋体" w:eastAsia="宋体" w:cs="宋体"/>
          <w:color w:val="000000"/>
          <w:sz w:val="32"/>
        </w:rPr>
        <w:tab/>
      </w:r>
      <w:r>
        <w:rPr>
          <w:rFonts w:hint="eastAsia" w:ascii="宋体" w:hAnsi="宋体" w:eastAsia="宋体" w:cs="宋体"/>
          <w:color w:val="000000"/>
          <w:sz w:val="32"/>
        </w:rPr>
        <w:fldChar w:fldCharType="begin"/>
      </w:r>
      <w:r>
        <w:rPr>
          <w:rFonts w:hint="eastAsia" w:ascii="宋体" w:hAnsi="宋体" w:eastAsia="宋体" w:cs="宋体"/>
          <w:color w:val="000000"/>
          <w:sz w:val="32"/>
        </w:rPr>
        <w:instrText xml:space="preserve"> PAGEREF _Toc155796360 \h </w:instrText>
      </w:r>
      <w:r>
        <w:rPr>
          <w:rFonts w:hint="eastAsia" w:ascii="宋体" w:hAnsi="宋体" w:eastAsia="宋体" w:cs="宋体"/>
          <w:color w:val="000000"/>
          <w:sz w:val="32"/>
        </w:rPr>
        <w:fldChar w:fldCharType="separate"/>
      </w:r>
      <w:r>
        <w:rPr>
          <w:rFonts w:hint="eastAsia" w:ascii="宋体" w:hAnsi="宋体" w:eastAsia="宋体" w:cs="宋体"/>
          <w:color w:val="000000"/>
          <w:sz w:val="32"/>
        </w:rPr>
        <w:t>35</w:t>
      </w:r>
      <w:r>
        <w:rPr>
          <w:rFonts w:hint="eastAsia" w:ascii="宋体" w:hAnsi="宋体" w:eastAsia="宋体" w:cs="宋体"/>
          <w:color w:val="000000"/>
          <w:sz w:val="32"/>
        </w:rPr>
        <w:fldChar w:fldCharType="end"/>
      </w:r>
    </w:p>
    <w:p w14:paraId="55177876">
      <w:pPr>
        <w:pStyle w:val="208"/>
        <w:pageBreakBefore w:val="0"/>
        <w:tabs>
          <w:tab w:val="right" w:leader="dot" w:pos="8296"/>
        </w:tabs>
        <w:wordWrap/>
        <w:overflowPunct/>
        <w:topLinePunct w:val="0"/>
        <w:bidi w:val="0"/>
        <w:spacing w:line="360" w:lineRule="auto"/>
        <w:rPr>
          <w:rFonts w:hint="eastAsia" w:ascii="宋体" w:hAnsi="宋体" w:eastAsia="宋体" w:cs="宋体"/>
          <w:color w:val="000000"/>
          <w:sz w:val="32"/>
        </w:rPr>
      </w:pPr>
      <w:r>
        <w:rPr>
          <w:rFonts w:hint="eastAsia" w:ascii="宋体" w:hAnsi="宋体" w:eastAsia="宋体" w:cs="宋体"/>
          <w:color w:val="000000"/>
          <w:sz w:val="32"/>
        </w:rPr>
        <w:t>第六章  投标文件格式</w:t>
      </w:r>
      <w:r>
        <w:rPr>
          <w:rFonts w:hint="eastAsia" w:ascii="宋体" w:hAnsi="宋体" w:eastAsia="宋体" w:cs="宋体"/>
          <w:color w:val="000000"/>
          <w:sz w:val="32"/>
        </w:rPr>
        <w:tab/>
      </w:r>
      <w:r>
        <w:rPr>
          <w:rFonts w:hint="eastAsia" w:ascii="宋体" w:hAnsi="宋体" w:eastAsia="宋体" w:cs="宋体"/>
          <w:color w:val="000000"/>
          <w:sz w:val="32"/>
        </w:rPr>
        <w:fldChar w:fldCharType="begin"/>
      </w:r>
      <w:r>
        <w:rPr>
          <w:rFonts w:hint="eastAsia" w:ascii="宋体" w:hAnsi="宋体" w:eastAsia="宋体" w:cs="宋体"/>
          <w:color w:val="000000"/>
          <w:sz w:val="32"/>
        </w:rPr>
        <w:instrText xml:space="preserve"> PAGEREF _Toc155796361 \h </w:instrText>
      </w:r>
      <w:r>
        <w:rPr>
          <w:rFonts w:hint="eastAsia" w:ascii="宋体" w:hAnsi="宋体" w:eastAsia="宋体" w:cs="宋体"/>
          <w:color w:val="000000"/>
          <w:sz w:val="32"/>
        </w:rPr>
        <w:fldChar w:fldCharType="separate"/>
      </w:r>
      <w:r>
        <w:rPr>
          <w:rFonts w:hint="eastAsia" w:ascii="宋体" w:hAnsi="宋体" w:eastAsia="宋体" w:cs="宋体"/>
          <w:color w:val="000000"/>
          <w:sz w:val="32"/>
        </w:rPr>
        <w:t>56</w:t>
      </w:r>
      <w:r>
        <w:rPr>
          <w:rFonts w:hint="eastAsia" w:ascii="宋体" w:hAnsi="宋体" w:eastAsia="宋体" w:cs="宋体"/>
          <w:color w:val="000000"/>
          <w:sz w:val="32"/>
        </w:rPr>
        <w:fldChar w:fldCharType="end"/>
      </w:r>
    </w:p>
    <w:p w14:paraId="50C0A790">
      <w:pPr>
        <w:pageBreakBefore w:val="0"/>
        <w:widowControl/>
        <w:wordWrap/>
        <w:overflowPunct/>
        <w:topLinePunct w:val="0"/>
        <w:bidi w:val="0"/>
        <w:spacing w:line="360" w:lineRule="auto"/>
        <w:jc w:val="left"/>
        <w:rPr>
          <w:rFonts w:hint="eastAsia" w:ascii="宋体" w:hAnsi="宋体" w:eastAsia="宋体" w:cs="宋体"/>
          <w:color w:val="000000"/>
        </w:rPr>
      </w:pPr>
      <w:r>
        <w:rPr>
          <w:rFonts w:hint="eastAsia" w:ascii="宋体" w:hAnsi="宋体" w:eastAsia="宋体" w:cs="宋体"/>
          <w:color w:val="000000"/>
        </w:rPr>
        <w:fldChar w:fldCharType="end"/>
      </w:r>
    </w:p>
    <w:p w14:paraId="4556858F">
      <w:pPr>
        <w:pStyle w:val="182"/>
        <w:pageBreakBefore w:val="0"/>
        <w:wordWrap/>
        <w:overflowPunct/>
        <w:topLinePunct w:val="0"/>
        <w:bidi w:val="0"/>
        <w:spacing w:before="156" w:after="156" w:line="360" w:lineRule="auto"/>
        <w:jc w:val="center"/>
        <w:rPr>
          <w:rFonts w:hint="eastAsia" w:ascii="宋体" w:hAnsi="宋体" w:eastAsia="宋体" w:cs="宋体"/>
          <w:b w:val="0"/>
          <w:color w:val="000000"/>
        </w:rPr>
        <w:sectPr>
          <w:footerReference r:id="rId3" w:type="default"/>
          <w:pgSz w:w="11906" w:h="16838"/>
          <w:pgMar w:top="1440" w:right="1800" w:bottom="1440" w:left="1800" w:header="851" w:footer="992" w:gutter="0"/>
          <w:cols w:space="1701" w:num="1"/>
          <w:docGrid w:linePitch="360" w:charSpace="0"/>
        </w:sectPr>
      </w:pPr>
      <w:bookmarkStart w:id="0" w:name="_Toc155796356"/>
    </w:p>
    <w:p w14:paraId="4F060631">
      <w:pPr>
        <w:pStyle w:val="182"/>
        <w:pageBreakBefore w:val="0"/>
        <w:wordWrap/>
        <w:overflowPunct/>
        <w:topLinePunct w:val="0"/>
        <w:bidi w:val="0"/>
        <w:spacing w:before="156" w:after="156" w:line="360" w:lineRule="auto"/>
        <w:jc w:val="center"/>
        <w:rPr>
          <w:rFonts w:hint="eastAsia" w:ascii="宋体" w:hAnsi="宋体" w:eastAsia="宋体" w:cs="宋体"/>
          <w:b w:val="0"/>
          <w:color w:val="000000"/>
        </w:rPr>
      </w:pPr>
      <w:r>
        <w:rPr>
          <w:rFonts w:hint="eastAsia" w:ascii="宋体" w:hAnsi="宋体" w:eastAsia="宋体" w:cs="宋体"/>
          <w:b w:val="0"/>
          <w:color w:val="000000"/>
        </w:rPr>
        <w:t>第一章  投标邀请</w:t>
      </w:r>
      <w:bookmarkEnd w:id="0"/>
    </w:p>
    <w:p w14:paraId="36F3ED6D">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受</w:t>
      </w:r>
      <w:r>
        <w:rPr>
          <w:rFonts w:hint="eastAsia" w:ascii="宋体" w:hAnsi="宋体" w:eastAsia="宋体" w:cs="宋体"/>
          <w:color w:val="000000"/>
          <w:sz w:val="24"/>
          <w:szCs w:val="24"/>
          <w:lang w:eastAsia="zh-CN"/>
        </w:rPr>
        <w:t>东海县残疾人联合会</w:t>
      </w:r>
      <w:r>
        <w:rPr>
          <w:rFonts w:hint="eastAsia" w:ascii="宋体" w:hAnsi="宋体" w:eastAsia="宋体" w:cs="宋体"/>
          <w:color w:val="000000"/>
          <w:sz w:val="24"/>
          <w:szCs w:val="24"/>
        </w:rPr>
        <w:t>的委托，</w:t>
      </w:r>
      <w:r>
        <w:rPr>
          <w:rFonts w:hint="eastAsia" w:ascii="宋体" w:hAnsi="宋体" w:eastAsia="宋体" w:cs="宋体"/>
          <w:color w:val="000000"/>
          <w:sz w:val="24"/>
          <w:szCs w:val="24"/>
          <w:lang w:eastAsia="zh-CN"/>
        </w:rPr>
        <w:t>江苏永安工程项目管理有限公司</w:t>
      </w:r>
      <w:r>
        <w:rPr>
          <w:rFonts w:hint="eastAsia" w:ascii="宋体" w:hAnsi="宋体" w:eastAsia="宋体" w:cs="宋体"/>
          <w:color w:val="000000"/>
          <w:sz w:val="24"/>
          <w:szCs w:val="24"/>
        </w:rPr>
        <w:t>就</w:t>
      </w:r>
      <w:r>
        <w:rPr>
          <w:rFonts w:hint="eastAsia" w:ascii="宋体" w:hAnsi="宋体" w:eastAsia="宋体" w:cs="宋体"/>
          <w:color w:val="000000"/>
          <w:sz w:val="24"/>
          <w:szCs w:val="24"/>
          <w:lang w:eastAsia="zh-CN"/>
        </w:rPr>
        <w:t>东海县残疾人寄宿制托养服务项目</w:t>
      </w:r>
      <w:r>
        <w:rPr>
          <w:rFonts w:hint="eastAsia" w:ascii="宋体" w:hAnsi="宋体" w:eastAsia="宋体" w:cs="宋体"/>
          <w:color w:val="000000"/>
          <w:sz w:val="24"/>
          <w:szCs w:val="24"/>
        </w:rPr>
        <w:t>（</w:t>
      </w:r>
      <w:r>
        <w:rPr>
          <w:rFonts w:hint="eastAsia" w:ascii="宋体" w:hAnsi="宋体" w:cs="宋体"/>
          <w:color w:val="000000"/>
          <w:sz w:val="24"/>
          <w:szCs w:val="24"/>
          <w:lang w:eastAsia="zh-CN"/>
        </w:rPr>
        <w:t>JSZC-320722-JSYA-G2025-0005</w:t>
      </w:r>
      <w:r>
        <w:rPr>
          <w:rFonts w:hint="eastAsia" w:ascii="宋体" w:hAnsi="宋体" w:cs="宋体"/>
          <w:color w:val="000000"/>
          <w:sz w:val="24"/>
          <w:szCs w:val="24"/>
          <w:lang w:eastAsia="zh-CN"/>
        </w:rPr>
        <w:tab/>
      </w:r>
      <w:r>
        <w:rPr>
          <w:rFonts w:hint="eastAsia" w:ascii="宋体" w:hAnsi="宋体" w:eastAsia="宋体" w:cs="宋体"/>
          <w:color w:val="000000"/>
          <w:sz w:val="24"/>
          <w:szCs w:val="24"/>
        </w:rPr>
        <w:t>）进行公开招标采购，欢迎符合条件的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投标。</w:t>
      </w:r>
    </w:p>
    <w:tbl>
      <w:tblPr>
        <w:tblStyle w:val="2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6"/>
      </w:tblGrid>
      <w:tr w14:paraId="61740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6" w:type="dxa"/>
            <w:noWrap w:val="0"/>
            <w:vAlign w:val="top"/>
          </w:tcPr>
          <w:p w14:paraId="45ECFF4C">
            <w:pPr>
              <w:pageBreakBefore w:val="0"/>
              <w:wordWrap/>
              <w:overflowPunct/>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项目概况</w:t>
            </w:r>
          </w:p>
          <w:p w14:paraId="7CB1D826">
            <w:pPr>
              <w:pageBreakBefore w:val="0"/>
              <w:wordWrap/>
              <w:overflowPunct/>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东海县残疾人寄宿制托养服务</w:t>
            </w:r>
            <w:r>
              <w:rPr>
                <w:rFonts w:hint="eastAsia" w:ascii="宋体" w:hAnsi="宋体" w:eastAsia="宋体" w:cs="宋体"/>
                <w:color w:val="000000"/>
                <w:sz w:val="24"/>
                <w:szCs w:val="24"/>
              </w:rPr>
              <w:t>招标项目的潜在投标人应在江苏政府采购网自行免费下载招标文件，并于</w:t>
            </w:r>
            <w:r>
              <w:rPr>
                <w:rFonts w:hint="eastAsia" w:ascii="宋体" w:hAnsi="宋体" w:eastAsia="宋体" w:cs="宋体"/>
                <w:color w:val="C00000"/>
                <w:sz w:val="24"/>
                <w:szCs w:val="24"/>
                <w:highlight w:val="none"/>
              </w:rPr>
              <w:t>2025年</w:t>
            </w:r>
            <w:r>
              <w:rPr>
                <w:rFonts w:hint="eastAsia" w:ascii="宋体" w:hAnsi="宋体" w:eastAsia="宋体" w:cs="宋体"/>
                <w:color w:val="C00000"/>
                <w:sz w:val="24"/>
                <w:szCs w:val="24"/>
                <w:highlight w:val="none"/>
                <w:lang w:val="en-US" w:eastAsia="zh-CN"/>
              </w:rPr>
              <w:t>8</w:t>
            </w:r>
            <w:r>
              <w:rPr>
                <w:rFonts w:hint="eastAsia" w:ascii="宋体" w:hAnsi="宋体" w:eastAsia="宋体" w:cs="宋体"/>
                <w:color w:val="C00000"/>
                <w:sz w:val="24"/>
                <w:szCs w:val="24"/>
                <w:highlight w:val="none"/>
              </w:rPr>
              <w:t>月</w:t>
            </w:r>
            <w:r>
              <w:rPr>
                <w:rFonts w:hint="eastAsia" w:ascii="宋体" w:hAnsi="宋体" w:eastAsia="宋体" w:cs="宋体"/>
                <w:color w:val="C00000"/>
                <w:sz w:val="24"/>
                <w:szCs w:val="24"/>
                <w:highlight w:val="none"/>
                <w:lang w:val="en-US" w:eastAsia="zh-CN"/>
              </w:rPr>
              <w:t>18</w:t>
            </w:r>
            <w:r>
              <w:rPr>
                <w:rFonts w:hint="eastAsia" w:ascii="宋体" w:hAnsi="宋体" w:eastAsia="宋体" w:cs="宋体"/>
                <w:color w:val="C00000"/>
                <w:sz w:val="24"/>
                <w:szCs w:val="24"/>
                <w:highlight w:val="none"/>
              </w:rPr>
              <w:t>日9:00:00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rPr>
              <w:t>北京时间）前递交（上传）投标文件。</w:t>
            </w:r>
          </w:p>
        </w:tc>
      </w:tr>
    </w:tbl>
    <w:p w14:paraId="3BDD9035">
      <w:pPr>
        <w:pStyle w:val="183"/>
        <w:pageBreakBefore w:val="0"/>
        <w:wordWrap/>
        <w:overflowPunct/>
        <w:topLinePunct w:val="0"/>
        <w:bidi w:val="0"/>
        <w:spacing w:before="0" w:after="0" w:line="360" w:lineRule="auto"/>
        <w:rPr>
          <w:rFonts w:hint="eastAsia" w:ascii="宋体" w:hAnsi="宋体" w:eastAsia="宋体" w:cs="宋体"/>
          <w:b w:val="0"/>
          <w:color w:val="000000"/>
        </w:rPr>
      </w:pPr>
      <w:r>
        <w:rPr>
          <w:rFonts w:hint="eastAsia" w:ascii="宋体" w:hAnsi="宋体" w:eastAsia="宋体" w:cs="宋体"/>
          <w:b w:val="0"/>
          <w:color w:val="000000"/>
        </w:rPr>
        <w:t>一、项目基本情况</w:t>
      </w:r>
    </w:p>
    <w:p w14:paraId="79B04F53">
      <w:pPr>
        <w:pageBreakBefore w:val="0"/>
        <w:wordWrap/>
        <w:overflowPunct/>
        <w:topLinePunct w:val="0"/>
        <w:bidi w:val="0"/>
        <w:spacing w:line="360" w:lineRule="auto"/>
        <w:ind w:firstLine="48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项目编号：</w:t>
      </w:r>
      <w:bookmarkStart w:id="21" w:name="_GoBack"/>
      <w:bookmarkEnd w:id="21"/>
      <w:r>
        <w:rPr>
          <w:rFonts w:hint="eastAsia" w:ascii="宋体" w:hAnsi="宋体" w:cs="宋体"/>
          <w:color w:val="000000"/>
          <w:sz w:val="24"/>
          <w:szCs w:val="24"/>
          <w:lang w:eastAsia="zh-CN"/>
        </w:rPr>
        <w:t>JSZC-320722-JSYA-G2025-0005</w:t>
      </w:r>
      <w:r>
        <w:rPr>
          <w:rFonts w:hint="eastAsia" w:ascii="宋体" w:hAnsi="宋体" w:cs="宋体"/>
          <w:color w:val="000000"/>
          <w:sz w:val="24"/>
          <w:szCs w:val="24"/>
          <w:lang w:eastAsia="zh-CN"/>
        </w:rPr>
        <w:tab/>
      </w:r>
    </w:p>
    <w:p w14:paraId="47FF95FB">
      <w:pPr>
        <w:pageBreakBefore w:val="0"/>
        <w:wordWrap/>
        <w:overflowPunct/>
        <w:topLinePunct w:val="0"/>
        <w:bidi w:val="0"/>
        <w:spacing w:line="360" w:lineRule="auto"/>
        <w:ind w:firstLine="48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eastAsia="zh-CN"/>
        </w:rPr>
        <w:t>东海县残疾人寄宿制托养服务项目</w:t>
      </w:r>
    </w:p>
    <w:p w14:paraId="11634777">
      <w:pPr>
        <w:pageBreakBefore w:val="0"/>
        <w:wordWrap/>
        <w:overflowPunct/>
        <w:topLinePunct w:val="0"/>
        <w:bidi w:val="0"/>
        <w:spacing w:line="360" w:lineRule="auto"/>
        <w:ind w:firstLine="480"/>
        <w:jc w:val="left"/>
        <w:rPr>
          <w:rFonts w:hint="eastAsia" w:ascii="宋体" w:hAnsi="宋体" w:eastAsia="宋体" w:cs="宋体"/>
          <w:color w:val="000000"/>
          <w:sz w:val="24"/>
          <w:szCs w:val="24"/>
          <w:lang w:val="en-US"/>
        </w:rPr>
      </w:pPr>
      <w:r>
        <w:rPr>
          <w:rFonts w:hint="eastAsia" w:ascii="宋体" w:hAnsi="宋体" w:eastAsia="宋体" w:cs="宋体"/>
          <w:color w:val="000000"/>
          <w:sz w:val="24"/>
          <w:szCs w:val="24"/>
        </w:rPr>
        <w:t>预算金额：</w:t>
      </w:r>
      <w:r>
        <w:rPr>
          <w:rFonts w:hint="eastAsia" w:ascii="宋体" w:hAnsi="宋体" w:eastAsia="宋体" w:cs="宋体"/>
          <w:color w:val="000000"/>
          <w:sz w:val="24"/>
          <w:szCs w:val="24"/>
          <w:lang w:val="en-US" w:eastAsia="zh-CN"/>
        </w:rPr>
        <w:t>500.4万元</w:t>
      </w:r>
      <w:r>
        <w:rPr>
          <w:rFonts w:hint="eastAsia" w:ascii="宋体" w:hAnsi="宋体" w:eastAsia="宋体" w:cs="宋体"/>
          <w:color w:val="000000"/>
          <w:sz w:val="24"/>
          <w:szCs w:val="24"/>
          <w:highlight w:val="yellow"/>
          <w:lang w:val="en-US" w:eastAsia="zh-CN"/>
        </w:rPr>
        <w:t>（采购包1：180万元；采购包2：160.2万元；采购包3：160.2万元）</w:t>
      </w:r>
    </w:p>
    <w:p w14:paraId="76C0D8F9">
      <w:pPr>
        <w:pageBreakBefore w:val="0"/>
        <w:wordWrap/>
        <w:overflowPunct/>
        <w:topLinePunct w:val="0"/>
        <w:bidi w:val="0"/>
        <w:spacing w:line="360" w:lineRule="auto"/>
        <w:ind w:firstLine="482"/>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本项目共分为三个采购包：</w:t>
      </w:r>
    </w:p>
    <w:p w14:paraId="050B70E8">
      <w:pPr>
        <w:pageBreakBefore w:val="0"/>
        <w:wordWrap/>
        <w:overflowPunct/>
        <w:topLinePunct w:val="0"/>
        <w:bidi w:val="0"/>
        <w:spacing w:line="360" w:lineRule="auto"/>
        <w:ind w:firstLine="482"/>
        <w:jc w:val="left"/>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采购包1：</w:t>
      </w:r>
      <w:r>
        <w:rPr>
          <w:rFonts w:hint="eastAsia" w:ascii="宋体" w:hAnsi="宋体" w:eastAsia="宋体" w:cs="宋体"/>
          <w:color w:val="000000"/>
          <w:sz w:val="24"/>
          <w:szCs w:val="24"/>
          <w:lang w:eastAsia="zh-CN"/>
        </w:rPr>
        <w:t>东海县残疾人寄宿制托养服务标段</w:t>
      </w:r>
      <w:r>
        <w:rPr>
          <w:rFonts w:hint="eastAsia" w:ascii="宋体" w:hAnsi="宋体" w:eastAsia="宋体" w:cs="宋体"/>
          <w:color w:val="000000"/>
          <w:sz w:val="24"/>
          <w:szCs w:val="24"/>
          <w:lang w:val="en-US" w:eastAsia="zh-CN"/>
        </w:rPr>
        <w:t>一（预算金额180万元）</w:t>
      </w:r>
    </w:p>
    <w:p w14:paraId="54AEAE6C">
      <w:pPr>
        <w:pageBreakBefore w:val="0"/>
        <w:wordWrap/>
        <w:overflowPunct/>
        <w:topLinePunct w:val="0"/>
        <w:bidi w:val="0"/>
        <w:spacing w:line="360" w:lineRule="auto"/>
        <w:ind w:firstLine="482"/>
        <w:jc w:val="left"/>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采购包2：</w:t>
      </w:r>
      <w:r>
        <w:rPr>
          <w:rFonts w:hint="eastAsia" w:ascii="宋体" w:hAnsi="宋体" w:eastAsia="宋体" w:cs="宋体"/>
          <w:color w:val="000000"/>
          <w:sz w:val="24"/>
          <w:szCs w:val="24"/>
          <w:lang w:eastAsia="zh-CN"/>
        </w:rPr>
        <w:t>东海县残疾人寄宿制托养服务标段</w:t>
      </w:r>
      <w:r>
        <w:rPr>
          <w:rFonts w:hint="eastAsia" w:ascii="宋体" w:hAnsi="宋体" w:eastAsia="宋体" w:cs="宋体"/>
          <w:color w:val="000000"/>
          <w:sz w:val="24"/>
          <w:szCs w:val="24"/>
          <w:lang w:val="en-US" w:eastAsia="zh-CN"/>
        </w:rPr>
        <w:t>二（预算金额160.2万元）</w:t>
      </w:r>
    </w:p>
    <w:p w14:paraId="273A7E6D">
      <w:pPr>
        <w:pageBreakBefore w:val="0"/>
        <w:wordWrap/>
        <w:overflowPunct/>
        <w:topLinePunct w:val="0"/>
        <w:bidi w:val="0"/>
        <w:spacing w:line="360" w:lineRule="auto"/>
        <w:ind w:firstLine="482"/>
        <w:jc w:val="left"/>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采购包3：</w:t>
      </w:r>
      <w:r>
        <w:rPr>
          <w:rFonts w:hint="eastAsia" w:ascii="宋体" w:hAnsi="宋体" w:eastAsia="宋体" w:cs="宋体"/>
          <w:color w:val="000000"/>
          <w:sz w:val="24"/>
          <w:szCs w:val="24"/>
          <w:lang w:eastAsia="zh-CN"/>
        </w:rPr>
        <w:t>东海县残疾人寄宿制托养服务标段</w:t>
      </w:r>
      <w:r>
        <w:rPr>
          <w:rFonts w:hint="eastAsia" w:ascii="宋体" w:hAnsi="宋体" w:eastAsia="宋体" w:cs="宋体"/>
          <w:color w:val="000000"/>
          <w:sz w:val="24"/>
          <w:szCs w:val="24"/>
          <w:lang w:val="en-US" w:eastAsia="zh-CN"/>
        </w:rPr>
        <w:t>三（预算金额160.2万元）</w:t>
      </w:r>
    </w:p>
    <w:p w14:paraId="0A705FCD">
      <w:pPr>
        <w:pageBreakBefore w:val="0"/>
        <w:pBdr>
          <w:top w:val="none" w:color="000000" w:sz="0" w:space="0"/>
          <w:left w:val="none" w:color="000000" w:sz="0" w:space="0"/>
          <w:bottom w:val="none" w:color="000000" w:sz="0" w:space="0"/>
          <w:right w:val="none" w:color="000000" w:sz="0" w:space="0"/>
        </w:pBdr>
        <w:wordWrap/>
        <w:overflowPunct/>
        <w:topLinePunct w:val="0"/>
        <w:bidi w:val="0"/>
        <w:spacing w:line="360" w:lineRule="auto"/>
        <w:ind w:firstLine="480"/>
        <w:jc w:val="left"/>
        <w:rPr>
          <w:rFonts w:hint="eastAsia" w:ascii="宋体" w:hAnsi="宋体" w:eastAsia="宋体" w:cs="宋体"/>
          <w:b/>
          <w:bCs/>
          <w:color w:val="000000"/>
          <w:sz w:val="24"/>
          <w:szCs w:val="24"/>
          <w14:ligatures w14:val="none"/>
        </w:rPr>
      </w:pPr>
      <w:r>
        <w:rPr>
          <w:rFonts w:hint="eastAsia" w:ascii="宋体" w:hAnsi="宋体" w:eastAsia="宋体" w:cs="宋体"/>
          <w:b/>
          <w:bCs/>
          <w:color w:val="000000"/>
          <w:sz w:val="24"/>
          <w:szCs w:val="24"/>
        </w:rPr>
        <w:t>投标人三个采购包皆可投，但只可中一个采购包</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开标、评标的顺序按照采购包1、2、3依次进行，中标顺序根据评标顺序确定。如投标人采购包1被确定为中标人，采购包2、采购包3将不推荐为中标候选人，以此类推。</w:t>
      </w:r>
    </w:p>
    <w:p w14:paraId="329B1026">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采购方式：公开招标</w:t>
      </w:r>
    </w:p>
    <w:p w14:paraId="72498A15">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采购需求：</w:t>
      </w:r>
    </w:p>
    <w:p w14:paraId="43EB5FCF">
      <w:pPr>
        <w:pageBreakBefore w:val="0"/>
        <w:wordWrap/>
        <w:overflowPunct/>
        <w:topLinePunct w:val="0"/>
        <w:bidi w:val="0"/>
        <w:spacing w:line="360" w:lineRule="auto"/>
        <w:ind w:firstLine="480"/>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采购包1：</w:t>
      </w:r>
      <w:r>
        <w:rPr>
          <w:rFonts w:hint="eastAsia" w:ascii="宋体" w:hAnsi="宋体" w:eastAsia="宋体" w:cs="宋体"/>
          <w:color w:val="000000"/>
          <w:sz w:val="24"/>
          <w:szCs w:val="24"/>
          <w:lang w:eastAsia="zh-CN"/>
        </w:rPr>
        <w:t>东海县残疾人寄宿制托养服务标段</w:t>
      </w:r>
      <w:r>
        <w:rPr>
          <w:rFonts w:hint="eastAsia" w:ascii="宋体" w:hAnsi="宋体" w:eastAsia="宋体" w:cs="宋体"/>
          <w:color w:val="000000"/>
          <w:sz w:val="24"/>
          <w:szCs w:val="24"/>
          <w:lang w:val="en-US" w:eastAsia="zh-CN"/>
        </w:rPr>
        <w:t>一</w:t>
      </w:r>
    </w:p>
    <w:p w14:paraId="69EEF125">
      <w:pPr>
        <w:pageBreakBefore w:val="0"/>
        <w:wordWrap/>
        <w:overflowPunct/>
        <w:topLinePunct w:val="0"/>
        <w:bidi w:val="0"/>
        <w:spacing w:line="360" w:lineRule="auto"/>
        <w:ind w:firstLine="4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lang w:val="en-US" w:eastAsia="zh-CN" w:bidi="ar-SA"/>
        </w:rPr>
        <w:t>东海县残疾人联合会拟选择1家投标人，</w:t>
      </w:r>
      <w:r>
        <w:rPr>
          <w:rFonts w:hint="eastAsia" w:ascii="宋体" w:hAnsi="宋体" w:eastAsia="宋体" w:cs="宋体"/>
          <w:color w:val="auto"/>
          <w:sz w:val="24"/>
          <w:szCs w:val="24"/>
          <w:highlight w:val="none"/>
          <w:lang w:val="en-US" w:eastAsia="zh-CN" w:bidi="ar-SA"/>
        </w:rPr>
        <w:t>对 16-59周岁符合条件的智力、重度肢体残疾人提供寄宿制托养服务</w:t>
      </w:r>
      <w:r>
        <w:rPr>
          <w:rFonts w:hint="eastAsia" w:ascii="宋体" w:hAnsi="宋体" w:eastAsia="宋体" w:cs="宋体"/>
          <w:color w:val="000000"/>
          <w:sz w:val="24"/>
          <w:szCs w:val="24"/>
          <w:lang w:val="en-US" w:eastAsia="zh-CN" w:bidi="ar-SA"/>
        </w:rPr>
        <w:t>（总</w:t>
      </w:r>
      <w:r>
        <w:rPr>
          <w:rFonts w:hint="eastAsia" w:ascii="宋体" w:hAnsi="宋体" w:eastAsia="宋体" w:cs="宋体"/>
          <w:color w:val="000000"/>
          <w:sz w:val="24"/>
          <w:szCs w:val="24"/>
          <w:highlight w:val="none"/>
          <w:lang w:val="en-US" w:eastAsia="zh-CN" w:bidi="ar-SA"/>
        </w:rPr>
        <w:t>数</w:t>
      </w:r>
      <w:r>
        <w:rPr>
          <w:rFonts w:hint="eastAsia" w:ascii="宋体" w:hAnsi="宋体" w:eastAsia="宋体" w:cs="宋体"/>
          <w:color w:val="FF0000"/>
          <w:sz w:val="24"/>
          <w:szCs w:val="24"/>
          <w:highlight w:val="none"/>
          <w:lang w:val="en-US" w:eastAsia="zh-CN" w:bidi="ar-SA"/>
        </w:rPr>
        <w:t>暂定50人</w:t>
      </w:r>
      <w:r>
        <w:rPr>
          <w:rFonts w:hint="eastAsia" w:ascii="宋体" w:hAnsi="宋体" w:eastAsia="宋体" w:cs="宋体"/>
          <w:color w:val="000000"/>
          <w:sz w:val="24"/>
          <w:szCs w:val="24"/>
          <w:highlight w:val="none"/>
          <w:lang w:val="en-US" w:eastAsia="zh-CN" w:bidi="ar-SA"/>
        </w:rPr>
        <w:t>，其中重度残疾人暂定人数</w:t>
      </w:r>
      <w:r>
        <w:rPr>
          <w:rFonts w:hint="eastAsia" w:ascii="宋体" w:hAnsi="宋体" w:eastAsia="宋体" w:cs="宋体"/>
          <w:color w:val="FF0000"/>
          <w:sz w:val="24"/>
          <w:szCs w:val="24"/>
          <w:highlight w:val="none"/>
          <w:lang w:val="en-US" w:eastAsia="zh-CN" w:bidi="ar-SA"/>
        </w:rPr>
        <w:t xml:space="preserve"> 40人</w:t>
      </w:r>
      <w:r>
        <w:rPr>
          <w:rFonts w:hint="eastAsia" w:ascii="宋体" w:hAnsi="宋体" w:eastAsia="宋体" w:cs="宋体"/>
          <w:color w:val="000000"/>
          <w:sz w:val="24"/>
          <w:szCs w:val="24"/>
          <w:highlight w:val="none"/>
          <w:lang w:val="en-US" w:eastAsia="zh-CN" w:bidi="ar-SA"/>
        </w:rPr>
        <w:t>，轻度残疾人暂定人数</w:t>
      </w:r>
      <w:r>
        <w:rPr>
          <w:rFonts w:hint="eastAsia" w:ascii="宋体" w:hAnsi="宋体" w:eastAsia="宋体" w:cs="宋体"/>
          <w:color w:val="FF0000"/>
          <w:sz w:val="24"/>
          <w:szCs w:val="24"/>
          <w:highlight w:val="none"/>
          <w:lang w:val="en-US" w:eastAsia="zh-CN" w:bidi="ar-SA"/>
        </w:rPr>
        <w:t>10人</w:t>
      </w:r>
      <w:r>
        <w:rPr>
          <w:rFonts w:hint="eastAsia" w:ascii="宋体" w:hAnsi="宋体" w:eastAsia="宋体" w:cs="宋体"/>
          <w:color w:val="000000"/>
          <w:sz w:val="24"/>
          <w:szCs w:val="24"/>
          <w:highlight w:val="none"/>
          <w:lang w:val="en-US" w:eastAsia="zh-CN" w:bidi="ar-SA"/>
        </w:rPr>
        <w:t>，残疾人类别根据实际招收情况，具体人数以实际托养的人数为准）。服务内容主要包括照护服务、膳食服务、康复服</w:t>
      </w:r>
      <w:r>
        <w:rPr>
          <w:rFonts w:hint="eastAsia" w:ascii="宋体" w:hAnsi="宋体" w:eastAsia="宋体" w:cs="宋体"/>
          <w:color w:val="auto"/>
          <w:sz w:val="24"/>
          <w:szCs w:val="24"/>
          <w:highlight w:val="none"/>
          <w:lang w:val="en-US" w:eastAsia="zh-CN" w:bidi="ar-SA"/>
        </w:rPr>
        <w:t>务、医疗服务、教育服务、心理服务、技能培训服务、辅助性就业、卫生环境服务、文体娱乐服务、其他服务等。经费标准为重度残疾人3300 元/人/月、轻度残疾人1800元/人/月，具体按实际人员入托情况和考核评估结果拨付，具体内容详见项目需求。</w:t>
      </w:r>
    </w:p>
    <w:p w14:paraId="1E6D3F81">
      <w:pPr>
        <w:pageBreakBefore w:val="0"/>
        <w:wordWrap/>
        <w:overflowPunct/>
        <w:topLinePunct w:val="0"/>
        <w:bidi w:val="0"/>
        <w:spacing w:line="360" w:lineRule="auto"/>
        <w:ind w:firstLine="480"/>
        <w:jc w:val="left"/>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采购包2：</w:t>
      </w:r>
      <w:r>
        <w:rPr>
          <w:rFonts w:hint="eastAsia" w:ascii="宋体" w:hAnsi="宋体" w:eastAsia="宋体" w:cs="宋体"/>
          <w:color w:val="000000"/>
          <w:sz w:val="24"/>
          <w:szCs w:val="24"/>
          <w:highlight w:val="none"/>
          <w:lang w:eastAsia="zh-CN"/>
        </w:rPr>
        <w:t>东海县残疾人寄宿制托养服务标段</w:t>
      </w:r>
      <w:r>
        <w:rPr>
          <w:rFonts w:hint="eastAsia" w:ascii="宋体" w:hAnsi="宋体" w:eastAsia="宋体" w:cs="宋体"/>
          <w:color w:val="000000"/>
          <w:sz w:val="24"/>
          <w:szCs w:val="24"/>
          <w:highlight w:val="none"/>
          <w:lang w:val="en-US" w:eastAsia="zh-CN"/>
        </w:rPr>
        <w:t>二</w:t>
      </w:r>
    </w:p>
    <w:p w14:paraId="790BA556">
      <w:pPr>
        <w:pageBreakBefore w:val="0"/>
        <w:wordWrap/>
        <w:overflowPunct/>
        <w:topLinePunct w:val="0"/>
        <w:bidi w:val="0"/>
        <w:spacing w:line="360" w:lineRule="auto"/>
        <w:ind w:firstLine="48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bidi="ar-SA"/>
        </w:rPr>
        <w:t>东海县残疾人联合会拟选择1家投标</w:t>
      </w:r>
      <w:r>
        <w:rPr>
          <w:rFonts w:hint="eastAsia" w:ascii="宋体" w:hAnsi="宋体" w:eastAsia="宋体" w:cs="宋体"/>
          <w:color w:val="auto"/>
          <w:sz w:val="24"/>
          <w:szCs w:val="24"/>
          <w:highlight w:val="none"/>
          <w:lang w:val="en-US" w:eastAsia="zh-CN" w:bidi="ar-SA"/>
        </w:rPr>
        <w:t>人，对 16-59周岁符合条件的智力、重度肢体残疾人提供寄宿制托养服务</w:t>
      </w:r>
      <w:r>
        <w:rPr>
          <w:rFonts w:hint="eastAsia" w:ascii="宋体" w:hAnsi="宋体" w:eastAsia="宋体" w:cs="宋体"/>
          <w:color w:val="000000"/>
          <w:sz w:val="24"/>
          <w:szCs w:val="24"/>
          <w:highlight w:val="none"/>
          <w:lang w:val="en-US" w:eastAsia="zh-CN" w:bidi="ar-SA"/>
        </w:rPr>
        <w:t>（总数</w:t>
      </w:r>
      <w:r>
        <w:rPr>
          <w:rFonts w:hint="eastAsia" w:ascii="宋体" w:hAnsi="宋体" w:eastAsia="宋体" w:cs="宋体"/>
          <w:color w:val="FF0000"/>
          <w:sz w:val="24"/>
          <w:szCs w:val="24"/>
          <w:highlight w:val="none"/>
          <w:lang w:val="en-US" w:eastAsia="zh-CN" w:bidi="ar-SA"/>
        </w:rPr>
        <w:t>暂定45人</w:t>
      </w:r>
      <w:r>
        <w:rPr>
          <w:rFonts w:hint="eastAsia" w:ascii="宋体" w:hAnsi="宋体" w:eastAsia="宋体" w:cs="宋体"/>
          <w:color w:val="000000"/>
          <w:sz w:val="24"/>
          <w:szCs w:val="24"/>
          <w:highlight w:val="none"/>
          <w:lang w:val="en-US" w:eastAsia="zh-CN" w:bidi="ar-SA"/>
        </w:rPr>
        <w:t>，其中重度残疾人暂定人数</w:t>
      </w:r>
      <w:r>
        <w:rPr>
          <w:rFonts w:hint="eastAsia" w:ascii="宋体" w:hAnsi="宋体" w:eastAsia="宋体" w:cs="宋体"/>
          <w:color w:val="FF0000"/>
          <w:sz w:val="24"/>
          <w:szCs w:val="24"/>
          <w:highlight w:val="none"/>
          <w:lang w:val="en-US" w:eastAsia="zh-CN" w:bidi="ar-SA"/>
        </w:rPr>
        <w:t xml:space="preserve"> 35人</w:t>
      </w:r>
      <w:r>
        <w:rPr>
          <w:rFonts w:hint="eastAsia" w:ascii="宋体" w:hAnsi="宋体" w:eastAsia="宋体" w:cs="宋体"/>
          <w:color w:val="000000"/>
          <w:sz w:val="24"/>
          <w:szCs w:val="24"/>
          <w:highlight w:val="none"/>
          <w:lang w:val="en-US" w:eastAsia="zh-CN" w:bidi="ar-SA"/>
        </w:rPr>
        <w:t>，轻度残疾人暂定人数</w:t>
      </w:r>
      <w:r>
        <w:rPr>
          <w:rFonts w:hint="eastAsia" w:ascii="宋体" w:hAnsi="宋体" w:eastAsia="宋体" w:cs="宋体"/>
          <w:color w:val="FF0000"/>
          <w:sz w:val="24"/>
          <w:szCs w:val="24"/>
          <w:highlight w:val="none"/>
          <w:lang w:val="en-US" w:eastAsia="zh-CN" w:bidi="ar-SA"/>
        </w:rPr>
        <w:t>10人</w:t>
      </w:r>
      <w:r>
        <w:rPr>
          <w:rFonts w:hint="eastAsia" w:ascii="宋体" w:hAnsi="宋体" w:eastAsia="宋体" w:cs="宋体"/>
          <w:color w:val="000000"/>
          <w:sz w:val="24"/>
          <w:szCs w:val="24"/>
          <w:highlight w:val="none"/>
          <w:lang w:val="en-US" w:eastAsia="zh-CN" w:bidi="ar-SA"/>
        </w:rPr>
        <w:t>；残疾人类别根据实际招收情况，具体人数以实际托养的人数为准）。服务内容主要包括照护服务、膳食服务、康复服务、医疗服务、教育服务、心理服务、技能培训服务、辅助性就业、卫生环境服务、文体娱乐服务、其他服务等。经费标准为重度残疾人3300 元/人/月、轻度残疾人1800元/人/月，具体按实际人员入托情况和考核评估结果拨付，具体内容详见项目需求。</w:t>
      </w:r>
    </w:p>
    <w:p w14:paraId="4E9CE5BE">
      <w:pPr>
        <w:pageBreakBefore w:val="0"/>
        <w:wordWrap/>
        <w:overflowPunct/>
        <w:topLinePunct w:val="0"/>
        <w:bidi w:val="0"/>
        <w:spacing w:line="360" w:lineRule="auto"/>
        <w:ind w:firstLine="480"/>
        <w:jc w:val="left"/>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采购包3：</w:t>
      </w:r>
      <w:r>
        <w:rPr>
          <w:rFonts w:hint="eastAsia" w:ascii="宋体" w:hAnsi="宋体" w:eastAsia="宋体" w:cs="宋体"/>
          <w:color w:val="000000"/>
          <w:sz w:val="24"/>
          <w:szCs w:val="24"/>
          <w:highlight w:val="none"/>
          <w:lang w:eastAsia="zh-CN"/>
        </w:rPr>
        <w:t>东海县残疾人寄宿制托养服务标段</w:t>
      </w:r>
      <w:r>
        <w:rPr>
          <w:rFonts w:hint="eastAsia" w:ascii="宋体" w:hAnsi="宋体" w:eastAsia="宋体" w:cs="宋体"/>
          <w:color w:val="000000"/>
          <w:sz w:val="24"/>
          <w:szCs w:val="24"/>
          <w:highlight w:val="none"/>
          <w:lang w:val="en-US" w:eastAsia="zh-CN"/>
        </w:rPr>
        <w:t>三</w:t>
      </w:r>
    </w:p>
    <w:p w14:paraId="302F7101">
      <w:pPr>
        <w:pageBreakBefore w:val="0"/>
        <w:wordWrap/>
        <w:overflowPunct/>
        <w:topLinePunct w:val="0"/>
        <w:bidi w:val="0"/>
        <w:spacing w:line="360" w:lineRule="auto"/>
        <w:ind w:firstLine="480"/>
        <w:jc w:val="left"/>
        <w:rPr>
          <w:rFonts w:hint="eastAsia" w:ascii="宋体" w:hAnsi="宋体" w:eastAsia="宋体" w:cs="宋体"/>
          <w:color w:val="000000"/>
          <w:sz w:val="22"/>
          <w:szCs w:val="22"/>
          <w:highlight w:val="none"/>
        </w:rPr>
      </w:pPr>
      <w:r>
        <w:rPr>
          <w:rFonts w:hint="eastAsia" w:ascii="宋体" w:hAnsi="宋体" w:eastAsia="宋体" w:cs="宋体"/>
          <w:color w:val="000000"/>
          <w:sz w:val="24"/>
          <w:szCs w:val="24"/>
          <w:highlight w:val="none"/>
          <w:lang w:val="en-US" w:eastAsia="zh-CN" w:bidi="ar-SA"/>
        </w:rPr>
        <w:t>东海县残疾人联合会拟选择1家投标人，对 16-59周岁符合条件的智力、重度肢体残疾人提供寄宿制托养服务（总数</w:t>
      </w:r>
      <w:r>
        <w:rPr>
          <w:rFonts w:hint="eastAsia" w:ascii="宋体" w:hAnsi="宋体" w:eastAsia="宋体" w:cs="宋体"/>
          <w:color w:val="FF0000"/>
          <w:sz w:val="24"/>
          <w:szCs w:val="24"/>
          <w:highlight w:val="none"/>
          <w:lang w:val="en-US" w:eastAsia="zh-CN" w:bidi="ar-SA"/>
        </w:rPr>
        <w:t>暂定45人</w:t>
      </w:r>
      <w:r>
        <w:rPr>
          <w:rFonts w:hint="eastAsia" w:ascii="宋体" w:hAnsi="宋体" w:eastAsia="宋体" w:cs="宋体"/>
          <w:color w:val="000000"/>
          <w:sz w:val="24"/>
          <w:szCs w:val="24"/>
          <w:highlight w:val="none"/>
          <w:lang w:val="en-US" w:eastAsia="zh-CN" w:bidi="ar-SA"/>
        </w:rPr>
        <w:t>，其中重度残疾人暂定人数</w:t>
      </w:r>
      <w:r>
        <w:rPr>
          <w:rFonts w:hint="eastAsia" w:ascii="宋体" w:hAnsi="宋体" w:eastAsia="宋体" w:cs="宋体"/>
          <w:color w:val="FF0000"/>
          <w:sz w:val="24"/>
          <w:szCs w:val="24"/>
          <w:highlight w:val="none"/>
          <w:lang w:val="en-US" w:eastAsia="zh-CN" w:bidi="ar-SA"/>
        </w:rPr>
        <w:t xml:space="preserve"> 35人</w:t>
      </w:r>
      <w:r>
        <w:rPr>
          <w:rFonts w:hint="eastAsia" w:ascii="宋体" w:hAnsi="宋体" w:eastAsia="宋体" w:cs="宋体"/>
          <w:color w:val="000000"/>
          <w:sz w:val="24"/>
          <w:szCs w:val="24"/>
          <w:highlight w:val="none"/>
          <w:lang w:val="en-US" w:eastAsia="zh-CN" w:bidi="ar-SA"/>
        </w:rPr>
        <w:t>，轻度残疾人暂定人数</w:t>
      </w:r>
      <w:r>
        <w:rPr>
          <w:rFonts w:hint="eastAsia" w:ascii="宋体" w:hAnsi="宋体" w:eastAsia="宋体" w:cs="宋体"/>
          <w:color w:val="FF0000"/>
          <w:sz w:val="24"/>
          <w:szCs w:val="24"/>
          <w:highlight w:val="none"/>
          <w:lang w:val="en-US" w:eastAsia="zh-CN" w:bidi="ar-SA"/>
        </w:rPr>
        <w:t>10人</w:t>
      </w:r>
      <w:r>
        <w:rPr>
          <w:rFonts w:hint="eastAsia" w:ascii="宋体" w:hAnsi="宋体" w:eastAsia="宋体" w:cs="宋体"/>
          <w:color w:val="000000"/>
          <w:sz w:val="24"/>
          <w:szCs w:val="24"/>
          <w:highlight w:val="none"/>
          <w:lang w:val="en-US" w:eastAsia="zh-CN" w:bidi="ar-SA"/>
        </w:rPr>
        <w:t>；残疾人类别根据实际招收情况，具体人数以实际托养的人数为准）。服务内</w:t>
      </w:r>
      <w:r>
        <w:rPr>
          <w:rFonts w:hint="eastAsia" w:ascii="宋体" w:hAnsi="宋体" w:eastAsia="宋体" w:cs="宋体"/>
          <w:color w:val="000000"/>
          <w:sz w:val="24"/>
          <w:szCs w:val="24"/>
          <w:lang w:val="en-US" w:eastAsia="zh-CN" w:bidi="ar-SA"/>
        </w:rPr>
        <w:t>容主要包括照护服务、膳食服务、康复服务、医疗服务、教育服务、心理服务、技能培训服务、辅助性就业、卫生环境服务、文体娱乐服务、其他服务等。经费标准为重度残疾人3300 元/人/月、轻度残疾人1800元/人/月，具体按实际人员入托情况和考核评估结果拨付，具体内容详见项目需求。</w:t>
      </w:r>
    </w:p>
    <w:p w14:paraId="78BFAE5C">
      <w:pPr>
        <w:pageBreakBefore w:val="0"/>
        <w:wordWrap/>
        <w:overflowPunct/>
        <w:topLinePunct w:val="0"/>
        <w:bidi w:val="0"/>
        <w:spacing w:line="360" w:lineRule="auto"/>
        <w:ind w:firstLine="482"/>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对本项目资格要求、采购需求、评标方法与评标标准等部分的询问、质疑请与采购人联系，由采购人负责答复。</w:t>
      </w:r>
    </w:p>
    <w:p w14:paraId="3165E34D">
      <w:pPr>
        <w:pageBreakBefore w:val="0"/>
        <w:wordWrap/>
        <w:overflowPunct/>
        <w:topLinePunct w:val="0"/>
        <w:bidi w:val="0"/>
        <w:spacing w:line="360" w:lineRule="auto"/>
        <w:ind w:firstLine="48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rPr>
        <w:t>合同履行期限：</w:t>
      </w:r>
      <w:r>
        <w:rPr>
          <w:rFonts w:hint="eastAsia" w:ascii="宋体" w:hAnsi="宋体" w:eastAsia="宋体" w:cs="宋体"/>
          <w:color w:val="FF0000"/>
          <w:sz w:val="24"/>
          <w:szCs w:val="24"/>
          <w:highlight w:val="none"/>
        </w:rPr>
        <w:t>1 年（合同约定时间起算）</w:t>
      </w:r>
      <w:r>
        <w:rPr>
          <w:rFonts w:hint="eastAsia" w:ascii="宋体" w:hAnsi="宋体" w:eastAsia="宋体" w:cs="宋体"/>
          <w:color w:val="FF0000"/>
          <w:sz w:val="24"/>
          <w:szCs w:val="24"/>
          <w:highlight w:val="none"/>
          <w:lang w:eastAsia="zh-CN"/>
        </w:rPr>
        <w:t>。</w:t>
      </w:r>
    </w:p>
    <w:p w14:paraId="1753053A">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本项目（是/否）接受联合体投标：不接受联合体。</w:t>
      </w:r>
    </w:p>
    <w:p w14:paraId="6ECD1528">
      <w:pPr>
        <w:pStyle w:val="183"/>
        <w:pageBreakBefore w:val="0"/>
        <w:wordWrap/>
        <w:overflowPunct/>
        <w:topLinePunct w:val="0"/>
        <w:bidi w:val="0"/>
        <w:spacing w:before="0" w:after="0" w:line="360" w:lineRule="auto"/>
        <w:rPr>
          <w:rFonts w:hint="eastAsia" w:ascii="宋体" w:hAnsi="宋体" w:eastAsia="宋体" w:cs="宋体"/>
          <w:b w:val="0"/>
          <w:color w:val="000000"/>
        </w:rPr>
      </w:pPr>
      <w:r>
        <w:rPr>
          <w:rFonts w:hint="eastAsia" w:ascii="宋体" w:hAnsi="宋体" w:eastAsia="宋体" w:cs="宋体"/>
          <w:b w:val="0"/>
          <w:color w:val="000000"/>
        </w:rPr>
        <w:t>二、申请人的资格要求</w:t>
      </w:r>
    </w:p>
    <w:p w14:paraId="6501FF20">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（一）满足《中华人民共和国政府采购法》第二十二条规定，并提供下列材料：</w:t>
      </w:r>
    </w:p>
    <w:p w14:paraId="05C87CB0">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1.法人或者其他组织的营业执照等证明文件，自然人的身份证明；</w:t>
      </w:r>
    </w:p>
    <w:p w14:paraId="42B4CBF8">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2.上一年度的财务状况报告；（成立不满一年无需提供）</w:t>
      </w:r>
    </w:p>
    <w:p w14:paraId="241641E2">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3.依法缴纳税收和社会保障资金的相关材料；（提供提交投标文件截止时间前一年内至少一个月依法缴纳税收及缴纳社会保障资金的证明材料，投标人依法享受缓缴、免缴税收、社会保障资金的提供证明材料）</w:t>
      </w:r>
    </w:p>
    <w:p w14:paraId="733CCB0C">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（根据连财购〔2023〕4号文件精神，2、3项可以提供《财务状况报告及税收、社会保障资金缴纳情况承诺函》，详见第六章 投标文件格式）</w:t>
      </w:r>
    </w:p>
    <w:p w14:paraId="78433FD4">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4.具备履行合同所必需的设备和专业技术能力的声明及证明材料；</w:t>
      </w:r>
    </w:p>
    <w:p w14:paraId="7DEC0965">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5.参加政府采购活动前3年内在经营活动中没有重大违法记录的书面声明；</w:t>
      </w:r>
    </w:p>
    <w:p w14:paraId="5E6D604F">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6.法律、行政法规规定的其他条件；（如有，请按要求提供）</w:t>
      </w:r>
    </w:p>
    <w:p w14:paraId="57DC923B">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7.资格审查现场查询</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信用中国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网站（www.creditchina.gov.cn），无</w:t>
      </w:r>
      <w:r>
        <w:rPr>
          <w:rFonts w:hint="eastAsia" w:ascii="宋体" w:hAnsi="宋体" w:eastAsia="宋体" w:cs="宋体"/>
          <w:color w:val="000000"/>
          <w:sz w:val="24"/>
          <w:szCs w:val="24"/>
        </w:rPr>
        <w:t>被列入失信被执行人、</w:t>
      </w:r>
      <w:r>
        <w:rPr>
          <w:rFonts w:hint="eastAsia" w:ascii="宋体" w:hAnsi="宋体" w:eastAsia="宋体" w:cs="宋体"/>
          <w:color w:val="000000"/>
          <w:sz w:val="24"/>
          <w:szCs w:val="24"/>
          <w:lang w:val="en-US" w:eastAsia="zh-CN"/>
        </w:rPr>
        <w:t>重大</w:t>
      </w:r>
      <w:r>
        <w:rPr>
          <w:rFonts w:hint="eastAsia" w:ascii="宋体" w:hAnsi="宋体" w:eastAsia="宋体" w:cs="宋体"/>
          <w:color w:val="000000"/>
          <w:sz w:val="24"/>
          <w:szCs w:val="24"/>
        </w:rPr>
        <w:t>税收违法</w:t>
      </w:r>
      <w:r>
        <w:rPr>
          <w:rFonts w:hint="eastAsia" w:ascii="宋体" w:hAnsi="宋体" w:eastAsia="宋体" w:cs="宋体"/>
          <w:color w:val="000000"/>
          <w:sz w:val="24"/>
          <w:szCs w:val="24"/>
          <w:lang w:val="en-US" w:eastAsia="zh-CN"/>
        </w:rPr>
        <w:t>案件当事人</w:t>
      </w:r>
      <w:r>
        <w:rPr>
          <w:rFonts w:hint="eastAsia" w:ascii="宋体" w:hAnsi="宋体" w:eastAsia="宋体" w:cs="宋体"/>
          <w:color w:val="000000"/>
          <w:sz w:val="24"/>
          <w:szCs w:val="24"/>
        </w:rPr>
        <w:t>名单、政府采购严重失信行为记录名单及其他不符合《中华人民共和国政府采购法》第二十二条规定</w:t>
      </w:r>
      <w:r>
        <w:rPr>
          <w:rFonts w:hint="eastAsia" w:ascii="宋体" w:hAnsi="宋体" w:eastAsia="宋体" w:cs="宋体"/>
          <w:color w:val="000000"/>
          <w:sz w:val="24"/>
          <w:szCs w:val="24"/>
          <w:lang w:val="en-US" w:eastAsia="zh-CN"/>
        </w:rPr>
        <w:t>条件的信用记录</w:t>
      </w:r>
      <w:r>
        <w:rPr>
          <w:rFonts w:hint="eastAsia" w:ascii="宋体" w:hAnsi="宋体" w:eastAsia="宋体" w:cs="宋体"/>
          <w:color w:val="000000"/>
          <w:sz w:val="24"/>
          <w:szCs w:val="24"/>
        </w:rPr>
        <w:t>。（投标文件中无需提供证明材料）</w:t>
      </w:r>
    </w:p>
    <w:p w14:paraId="3BC10F2E">
      <w:pPr>
        <w:pageBreakBefore w:val="0"/>
        <w:wordWrap/>
        <w:overflowPunct/>
        <w:topLinePunct w:val="0"/>
        <w:bidi w:val="0"/>
        <w:spacing w:line="360" w:lineRule="auto"/>
        <w:ind w:firstLine="480"/>
        <w:jc w:val="left"/>
        <w:rPr>
          <w:rFonts w:hint="eastAsia" w:ascii="宋体" w:hAnsi="宋体" w:eastAsia="宋体" w:cs="宋体"/>
          <w:color w:val="FF0000"/>
          <w:sz w:val="24"/>
          <w:szCs w:val="24"/>
          <w:lang w:val="en-US" w:eastAsia="zh-CN"/>
        </w:rPr>
      </w:pPr>
      <w:r>
        <w:rPr>
          <w:rFonts w:hint="eastAsia" w:ascii="宋体" w:hAnsi="宋体" w:eastAsia="宋体" w:cs="宋体"/>
          <w:color w:val="000000"/>
          <w:sz w:val="24"/>
          <w:szCs w:val="24"/>
        </w:rPr>
        <w:t>（二）落实政府采购政策需满足的资格要求：</w:t>
      </w:r>
      <w:r>
        <w:rPr>
          <w:rFonts w:hint="eastAsia" w:ascii="宋体" w:hAnsi="宋体" w:eastAsia="宋体" w:cs="宋体"/>
          <w:b/>
          <w:bCs/>
          <w:color w:val="auto"/>
          <w:sz w:val="24"/>
          <w:szCs w:val="24"/>
          <w:lang w:val="en-US" w:eastAsia="zh-CN"/>
        </w:rPr>
        <w:t>本项目专门面向中型企业、小型企业、微型企业、残疾人福利性单位、监狱企业采购，符合要求的投标人须提供《中小企业声明函》（详见第六章 投标文件格式）或《残疾人福利性单位声明函》（详见第六章 投标文件格式）或属于监狱企业的证明文件，否则投标无效。</w:t>
      </w:r>
    </w:p>
    <w:p w14:paraId="626FC29F">
      <w:pPr>
        <w:pageBreakBefore w:val="0"/>
        <w:wordWrap/>
        <w:overflowPunct/>
        <w:topLinePunct w:val="0"/>
        <w:bidi w:val="0"/>
        <w:spacing w:line="360" w:lineRule="auto"/>
        <w:ind w:firstLine="48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000000"/>
          <w:sz w:val="24"/>
          <w:szCs w:val="24"/>
        </w:rPr>
        <w:t>（三）本项目的特定资格要求：</w:t>
      </w:r>
      <w:r>
        <w:rPr>
          <w:rFonts w:hint="eastAsia" w:ascii="宋体" w:hAnsi="宋体" w:eastAsia="宋体" w:cs="宋体"/>
          <w:b/>
          <w:bCs/>
          <w:color w:val="auto"/>
          <w:sz w:val="24"/>
          <w:szCs w:val="24"/>
          <w:highlight w:val="none"/>
          <w:lang w:val="en-US" w:eastAsia="zh-CN"/>
        </w:rPr>
        <w:t>服务场所必须通过消防验收合格，需具有建设工程消防验收备案凭证或建设工程消防验收备案抽查结果通知书(合格）或特殊建设工程消防验收意见书（合格）。</w:t>
      </w:r>
    </w:p>
    <w:p w14:paraId="40B6CBAB">
      <w:pPr>
        <w:pStyle w:val="183"/>
        <w:pageBreakBefore w:val="0"/>
        <w:wordWrap/>
        <w:overflowPunct/>
        <w:topLinePunct w:val="0"/>
        <w:bidi w:val="0"/>
        <w:spacing w:before="0" w:after="0" w:line="360" w:lineRule="auto"/>
        <w:rPr>
          <w:rFonts w:hint="eastAsia" w:ascii="宋体" w:hAnsi="宋体" w:eastAsia="宋体" w:cs="宋体"/>
          <w:b w:val="0"/>
          <w:color w:val="000000"/>
        </w:rPr>
      </w:pPr>
      <w:r>
        <w:rPr>
          <w:rFonts w:hint="eastAsia" w:ascii="宋体" w:hAnsi="宋体" w:eastAsia="宋体" w:cs="宋体"/>
          <w:b w:val="0"/>
          <w:color w:val="000000"/>
        </w:rPr>
        <w:t>三、获取招标文件</w:t>
      </w:r>
    </w:p>
    <w:p w14:paraId="5B0B541E">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时间：自招标文件公告发布之日起</w:t>
      </w:r>
      <w:r>
        <w:rPr>
          <w:rFonts w:hint="eastAsia" w:ascii="宋体" w:hAnsi="宋体" w:eastAsia="宋体" w:cs="宋体"/>
          <w:color w:val="000000"/>
          <w:sz w:val="24"/>
          <w:szCs w:val="24"/>
          <w:highlight w:val="none"/>
        </w:rPr>
        <w:t>5个工作日</w:t>
      </w:r>
    </w:p>
    <w:p w14:paraId="2CC589A6">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地点：江苏政府采购网</w:t>
      </w:r>
    </w:p>
    <w:p w14:paraId="738CA70B">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方式：投标人办理江苏省政府采购交易系统CA数字证书，登录“苏采云”政府采购交易系统，自行下载。</w:t>
      </w:r>
    </w:p>
    <w:p w14:paraId="70F8AFC5">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售价：0.00元</w:t>
      </w:r>
    </w:p>
    <w:p w14:paraId="34C41C30">
      <w:pPr>
        <w:pStyle w:val="183"/>
        <w:pageBreakBefore w:val="0"/>
        <w:wordWrap/>
        <w:overflowPunct/>
        <w:topLinePunct w:val="0"/>
        <w:bidi w:val="0"/>
        <w:spacing w:before="0" w:after="0" w:line="360" w:lineRule="auto"/>
        <w:rPr>
          <w:rFonts w:hint="eastAsia" w:ascii="宋体" w:hAnsi="宋体" w:eastAsia="宋体" w:cs="宋体"/>
          <w:b w:val="0"/>
          <w:color w:val="000000"/>
        </w:rPr>
      </w:pPr>
      <w:r>
        <w:rPr>
          <w:rFonts w:hint="eastAsia" w:ascii="宋体" w:hAnsi="宋体" w:eastAsia="宋体" w:cs="宋体"/>
          <w:b w:val="0"/>
          <w:color w:val="000000"/>
        </w:rPr>
        <w:t>四、提交投标文件截止时间、开标时间和地点</w:t>
      </w:r>
    </w:p>
    <w:p w14:paraId="7AAD9C70">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提交投标文件截止时间：</w:t>
      </w:r>
      <w:r>
        <w:rPr>
          <w:rFonts w:hint="eastAsia" w:ascii="宋体" w:hAnsi="宋体" w:eastAsia="宋体" w:cs="宋体"/>
          <w:color w:val="FF0000"/>
          <w:sz w:val="24"/>
          <w:szCs w:val="24"/>
          <w:highlight w:val="none"/>
        </w:rPr>
        <w:t>2025年</w:t>
      </w:r>
      <w:r>
        <w:rPr>
          <w:rFonts w:hint="eastAsia" w:ascii="宋体" w:hAnsi="宋体" w:cs="宋体"/>
          <w:color w:val="FF0000"/>
          <w:sz w:val="24"/>
          <w:szCs w:val="24"/>
          <w:highlight w:val="none"/>
          <w:lang w:val="en-US" w:eastAsia="zh-CN"/>
        </w:rPr>
        <w:t>8</w:t>
      </w:r>
      <w:r>
        <w:rPr>
          <w:rFonts w:hint="eastAsia" w:ascii="宋体" w:hAnsi="宋体" w:eastAsia="宋体" w:cs="宋体"/>
          <w:color w:val="FF0000"/>
          <w:sz w:val="24"/>
          <w:szCs w:val="24"/>
          <w:highlight w:val="none"/>
        </w:rPr>
        <w:t>月</w:t>
      </w:r>
      <w:r>
        <w:rPr>
          <w:rFonts w:hint="eastAsia" w:ascii="宋体" w:hAnsi="宋体" w:cs="宋体"/>
          <w:color w:val="FF0000"/>
          <w:sz w:val="24"/>
          <w:szCs w:val="24"/>
          <w:highlight w:val="none"/>
          <w:lang w:val="en-US" w:eastAsia="zh-CN"/>
        </w:rPr>
        <w:t>18</w:t>
      </w:r>
      <w:r>
        <w:rPr>
          <w:rFonts w:hint="eastAsia" w:ascii="宋体" w:hAnsi="宋体" w:eastAsia="宋体" w:cs="宋体"/>
          <w:color w:val="FF0000"/>
          <w:sz w:val="24"/>
          <w:szCs w:val="24"/>
          <w:highlight w:val="none"/>
        </w:rPr>
        <w:t>日9:00:00</w:t>
      </w:r>
      <w:r>
        <w:rPr>
          <w:rFonts w:hint="eastAsia" w:ascii="宋体" w:hAnsi="宋体" w:eastAsia="宋体" w:cs="宋体"/>
          <w:color w:val="000000"/>
          <w:sz w:val="24"/>
          <w:szCs w:val="24"/>
        </w:rPr>
        <w:t>（北京时间）</w:t>
      </w:r>
    </w:p>
    <w:p w14:paraId="6334ED08">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开标时间：</w:t>
      </w:r>
      <w:r>
        <w:rPr>
          <w:rFonts w:hint="eastAsia" w:ascii="宋体" w:hAnsi="宋体" w:eastAsia="宋体" w:cs="宋体"/>
          <w:color w:val="000000"/>
          <w:sz w:val="24"/>
          <w:szCs w:val="24"/>
          <w:lang w:val="en-US" w:eastAsia="zh-CN"/>
        </w:rPr>
        <w:t>同</w:t>
      </w:r>
      <w:r>
        <w:rPr>
          <w:rFonts w:hint="eastAsia" w:ascii="宋体" w:hAnsi="宋体" w:eastAsia="宋体" w:cs="宋体"/>
          <w:color w:val="000000"/>
          <w:sz w:val="24"/>
          <w:szCs w:val="24"/>
        </w:rPr>
        <w:t>提交投标文件截止时间</w:t>
      </w:r>
    </w:p>
    <w:p w14:paraId="228D57E1">
      <w:pPr>
        <w:pageBreakBefore w:val="0"/>
        <w:wordWrap/>
        <w:overflowPunct/>
        <w:topLinePunct w:val="0"/>
        <w:bidi w:val="0"/>
        <w:spacing w:line="360" w:lineRule="auto"/>
        <w:ind w:firstLine="480"/>
        <w:jc w:val="left"/>
        <w:rPr>
          <w:rFonts w:hint="eastAsia" w:ascii="宋体" w:hAnsi="宋体" w:eastAsia="宋体" w:cs="宋体"/>
          <w:color w:val="000000"/>
        </w:rPr>
      </w:pPr>
      <w:r>
        <w:rPr>
          <w:rFonts w:hint="eastAsia" w:ascii="宋体" w:hAnsi="宋体" w:eastAsia="宋体" w:cs="宋体"/>
          <w:color w:val="000000"/>
          <w:sz w:val="24"/>
          <w:szCs w:val="24"/>
        </w:rPr>
        <w:t>开标地点：“苏采云”政府采购交易系统网上开标大厅</w:t>
      </w:r>
    </w:p>
    <w:p w14:paraId="394D6CEE">
      <w:pPr>
        <w:pStyle w:val="183"/>
        <w:pageBreakBefore w:val="0"/>
        <w:wordWrap/>
        <w:overflowPunct/>
        <w:topLinePunct w:val="0"/>
        <w:bidi w:val="0"/>
        <w:spacing w:before="0" w:after="0" w:line="360" w:lineRule="auto"/>
        <w:rPr>
          <w:rFonts w:hint="eastAsia" w:ascii="宋体" w:hAnsi="宋体" w:eastAsia="宋体" w:cs="宋体"/>
          <w:b w:val="0"/>
          <w:color w:val="000000"/>
        </w:rPr>
      </w:pPr>
      <w:r>
        <w:rPr>
          <w:rFonts w:hint="eastAsia" w:ascii="宋体" w:hAnsi="宋体" w:eastAsia="宋体" w:cs="宋体"/>
          <w:b w:val="0"/>
          <w:color w:val="000000"/>
        </w:rPr>
        <w:t>五、公告期限</w:t>
      </w:r>
    </w:p>
    <w:p w14:paraId="08B8CAAC">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自本公告发布之日起5个工作日。</w:t>
      </w:r>
    </w:p>
    <w:p w14:paraId="329AAA3E">
      <w:pPr>
        <w:pStyle w:val="183"/>
        <w:pageBreakBefore w:val="0"/>
        <w:wordWrap/>
        <w:overflowPunct/>
        <w:topLinePunct w:val="0"/>
        <w:bidi w:val="0"/>
        <w:spacing w:before="0" w:after="0" w:line="360" w:lineRule="auto"/>
        <w:rPr>
          <w:rFonts w:hint="eastAsia" w:ascii="宋体" w:hAnsi="宋体" w:eastAsia="宋体" w:cs="宋体"/>
          <w:b w:val="0"/>
          <w:color w:val="000000"/>
        </w:rPr>
      </w:pPr>
      <w:r>
        <w:rPr>
          <w:rFonts w:hint="eastAsia" w:ascii="宋体" w:hAnsi="宋体" w:eastAsia="宋体" w:cs="宋体"/>
          <w:b w:val="0"/>
          <w:color w:val="000000"/>
        </w:rPr>
        <w:t>六、其他补充事宜</w:t>
      </w:r>
    </w:p>
    <w:p w14:paraId="1649628B">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1.本次招标不收取投标保证金。</w:t>
      </w:r>
    </w:p>
    <w:p w14:paraId="2420774B">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2.本招标文件中斜体且有下划线部分为实质性要求和条件，由采购人根据实际情况设置，投标人须逐条明确作出满足实质性要求和条件的响应，否则将按无效响应处理。</w:t>
      </w:r>
    </w:p>
    <w:p w14:paraId="308A8315">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无论出于何种原因，采购人及其委托的采购代理机构在采购活动开始前可对招标文件进行修改、补充或者变更，其内容作为招标文件的重要组成部分，请各投标人关注江苏政府采购网。若因投标人自身原因未及时关注本项目有关修改、补充或者变更信息，导致投标文件编制或者提交失误，由此造成的一切损失由投标人自行承担。</w:t>
      </w:r>
    </w:p>
    <w:p w14:paraId="5639DB42">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4.根据江苏省财政厅《关于更换全省政府采购交易系统C A数字证书和电子签章的通知》（苏财购〔2023〕101号）要求，“苏采云”政府采购交易系统的CA数字证书、电子签章已更换为江苏省电子政务证书认证中心CA和方正国际软件（北京）有限公司电子签章。投标人通过“苏采云”系统参与政府采购项目，需要办理（更换）CA数字证书和电子签章。具体办理指南和操作手册见链接：</w:t>
      </w:r>
    </w:p>
    <w:p w14:paraId="6BC342C2">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http://www.ccgp-jiangsu.gov.cn/jiangsu/zlxz/ee/ee3a4bc5a3454aa2b0d9312230633ce9.html</w:t>
      </w:r>
    </w:p>
    <w:p w14:paraId="314EF5EA">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请投标人按照《操作手册》要求获取招标文件，制作、递交（上传）电子投标文件，参加开标，澄清、说明或者补正。因投标人未按要求操作原因导致电子投标文件被拒绝、造成无效响应的，自行承担一切损失。</w:t>
      </w:r>
    </w:p>
    <w:p w14:paraId="419CA8C4">
      <w:pPr>
        <w:pStyle w:val="183"/>
        <w:pageBreakBefore w:val="0"/>
        <w:wordWrap/>
        <w:overflowPunct/>
        <w:topLinePunct w:val="0"/>
        <w:bidi w:val="0"/>
        <w:spacing w:before="0" w:after="0" w:line="360" w:lineRule="auto"/>
        <w:rPr>
          <w:rFonts w:hint="eastAsia" w:ascii="宋体" w:hAnsi="宋体" w:eastAsia="宋体" w:cs="宋体"/>
          <w:b w:val="0"/>
          <w:color w:val="000000"/>
        </w:rPr>
      </w:pPr>
      <w:r>
        <w:rPr>
          <w:rFonts w:hint="eastAsia" w:ascii="宋体" w:hAnsi="宋体" w:eastAsia="宋体" w:cs="宋体"/>
          <w:b w:val="0"/>
          <w:color w:val="000000"/>
        </w:rPr>
        <w:t>七、对本次招标提出询问，请按以下方式联系</w:t>
      </w:r>
    </w:p>
    <w:p w14:paraId="2E5A257B">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1.采购人信息</w:t>
      </w:r>
    </w:p>
    <w:p w14:paraId="41B82B2C">
      <w:pPr>
        <w:pageBreakBefore w:val="0"/>
        <w:wordWrap/>
        <w:overflowPunct/>
        <w:topLinePunct w:val="0"/>
        <w:bidi w:val="0"/>
        <w:spacing w:line="360" w:lineRule="auto"/>
        <w:ind w:firstLine="48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lang w:eastAsia="zh-CN"/>
        </w:rPr>
        <w:t>东海县残疾人联合会</w:t>
      </w:r>
    </w:p>
    <w:p w14:paraId="55F9D0BA">
      <w:pPr>
        <w:pageBreakBefore w:val="0"/>
        <w:wordWrap/>
        <w:overflowPunct/>
        <w:topLinePunct w:val="0"/>
        <w:bidi w:val="0"/>
        <w:spacing w:line="360" w:lineRule="auto"/>
        <w:ind w:firstLine="4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highlight w:val="none"/>
          <w:lang w:val="en-US" w:eastAsia="zh-CN"/>
        </w:rPr>
        <w:t>东海县牛山街道迎宾大道北路16号</w:t>
      </w:r>
    </w:p>
    <w:p w14:paraId="406F1F79">
      <w:pPr>
        <w:pageBreakBefore w:val="0"/>
        <w:wordWrap/>
        <w:overflowPunct/>
        <w:topLinePunct w:val="0"/>
        <w:bidi w:val="0"/>
        <w:spacing w:line="360" w:lineRule="auto"/>
        <w:ind w:firstLine="48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 系 人：</w:t>
      </w:r>
      <w:r>
        <w:rPr>
          <w:rFonts w:hint="eastAsia" w:ascii="宋体" w:hAnsi="宋体" w:eastAsia="宋体" w:cs="宋体"/>
          <w:color w:val="000000"/>
          <w:sz w:val="24"/>
          <w:szCs w:val="24"/>
          <w:lang w:val="en-US" w:eastAsia="zh-CN"/>
        </w:rPr>
        <w:t>李科长</w:t>
      </w:r>
    </w:p>
    <w:p w14:paraId="4BA2EB94">
      <w:pPr>
        <w:pageBreakBefore w:val="0"/>
        <w:wordWrap/>
        <w:overflowPunct/>
        <w:topLinePunct w:val="0"/>
        <w:bidi w:val="0"/>
        <w:spacing w:line="360" w:lineRule="auto"/>
        <w:ind w:firstLine="48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lang w:val="en-US" w:eastAsia="zh-CN"/>
        </w:rPr>
        <w:t xml:space="preserve">0518-87290025 </w:t>
      </w:r>
    </w:p>
    <w:p w14:paraId="2B3E9CD0">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2.采购代理机构信息</w:t>
      </w:r>
    </w:p>
    <w:p w14:paraId="31D9EA22">
      <w:pPr>
        <w:pageBreakBefore w:val="0"/>
        <w:wordWrap/>
        <w:overflowPunct/>
        <w:topLinePunct w:val="0"/>
        <w:bidi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color w:val="auto"/>
          <w:sz w:val="24"/>
          <w:szCs w:val="28"/>
          <w:highlight w:val="none"/>
        </w:rPr>
        <w:t>江苏</w:t>
      </w:r>
      <w:r>
        <w:rPr>
          <w:rFonts w:hint="eastAsia" w:ascii="宋体" w:hAnsi="宋体" w:eastAsia="宋体" w:cs="宋体"/>
          <w:color w:val="auto"/>
          <w:sz w:val="24"/>
          <w:szCs w:val="28"/>
          <w:highlight w:val="none"/>
          <w:lang w:val="en-US" w:eastAsia="zh-CN"/>
        </w:rPr>
        <w:t>永安工程项目管理</w:t>
      </w:r>
      <w:r>
        <w:rPr>
          <w:rFonts w:hint="eastAsia" w:ascii="宋体" w:hAnsi="宋体" w:eastAsia="宋体" w:cs="宋体"/>
          <w:color w:val="auto"/>
          <w:sz w:val="24"/>
          <w:szCs w:val="28"/>
          <w:highlight w:val="none"/>
        </w:rPr>
        <w:t>有限公司</w:t>
      </w:r>
    </w:p>
    <w:p w14:paraId="6F6B40BB">
      <w:pPr>
        <w:pageBreakBefore w:val="0"/>
        <w:wordWrap/>
        <w:overflowPunct/>
        <w:topLinePunct w:val="0"/>
        <w:bidi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color w:val="auto"/>
          <w:sz w:val="24"/>
          <w:szCs w:val="28"/>
          <w:highlight w:val="none"/>
          <w:lang w:val="en-US" w:eastAsia="zh-CN"/>
        </w:rPr>
        <w:t>连云港市东海县牛山镇海陵东路309-14号</w:t>
      </w:r>
    </w:p>
    <w:p w14:paraId="51E35746">
      <w:pPr>
        <w:pageBreakBefore w:val="0"/>
        <w:wordWrap/>
        <w:overflowPunct/>
        <w:topLinePunct w:val="0"/>
        <w:bidi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eastAsia="宋体" w:cs="宋体"/>
          <w:color w:val="auto"/>
          <w:sz w:val="24"/>
          <w:szCs w:val="28"/>
          <w:highlight w:val="none"/>
          <w:lang w:val="en-US" w:eastAsia="zh-CN"/>
        </w:rPr>
        <w:t>吉维娟</w:t>
      </w:r>
    </w:p>
    <w:p w14:paraId="71FA13C1">
      <w:pPr>
        <w:pageBreakBefore w:val="0"/>
        <w:wordWrap/>
        <w:overflowPunct/>
        <w:topLinePunct w:val="0"/>
        <w:bidi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13401268777</w:t>
      </w:r>
    </w:p>
    <w:p w14:paraId="0FB0C202">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3.项目联系方式</w:t>
      </w:r>
    </w:p>
    <w:p w14:paraId="166CA61D">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项目联系人：</w:t>
      </w:r>
      <w:r>
        <w:rPr>
          <w:rFonts w:hint="eastAsia" w:ascii="宋体" w:hAnsi="宋体" w:eastAsia="宋体" w:cs="宋体"/>
          <w:color w:val="000000"/>
          <w:sz w:val="24"/>
          <w:szCs w:val="24"/>
          <w:lang w:val="en-US" w:eastAsia="zh-CN"/>
        </w:rPr>
        <w:t>李科长</w:t>
      </w:r>
    </w:p>
    <w:p w14:paraId="3BBAC3A5">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lang w:val="en-US" w:eastAsia="zh-CN"/>
        </w:rPr>
        <w:t>0518-87290025</w:t>
      </w:r>
    </w:p>
    <w:p w14:paraId="65D7E3D4">
      <w:pPr>
        <w:pageBreakBefore w:val="0"/>
        <w:widowControl/>
        <w:wordWrap/>
        <w:overflowPunct/>
        <w:topLinePunct w:val="0"/>
        <w:bidi w:val="0"/>
        <w:spacing w:line="360" w:lineRule="auto"/>
        <w:jc w:val="left"/>
        <w:rPr>
          <w:rFonts w:hint="eastAsia" w:ascii="宋体" w:hAnsi="宋体" w:eastAsia="宋体" w:cs="宋体"/>
          <w:bCs/>
          <w:color w:val="000000"/>
          <w:sz w:val="44"/>
          <w:szCs w:val="44"/>
        </w:rPr>
      </w:pPr>
      <w:bookmarkStart w:id="1" w:name="_Toc155796357"/>
      <w:r>
        <w:rPr>
          <w:rFonts w:hint="eastAsia" w:ascii="宋体" w:hAnsi="宋体" w:eastAsia="宋体" w:cs="宋体"/>
          <w:b/>
          <w:color w:val="000000"/>
        </w:rPr>
        <w:br w:type="page" w:clear="all"/>
      </w:r>
    </w:p>
    <w:p w14:paraId="3A316B37">
      <w:pPr>
        <w:pStyle w:val="182"/>
        <w:pageBreakBefore w:val="0"/>
        <w:wordWrap/>
        <w:overflowPunct/>
        <w:topLinePunct w:val="0"/>
        <w:bidi w:val="0"/>
        <w:spacing w:before="156" w:after="156" w:line="360" w:lineRule="auto"/>
        <w:jc w:val="center"/>
        <w:rPr>
          <w:rFonts w:hint="eastAsia" w:ascii="宋体" w:hAnsi="宋体" w:eastAsia="宋体" w:cs="宋体"/>
          <w:b w:val="0"/>
          <w:color w:val="000000"/>
        </w:rPr>
      </w:pPr>
      <w:r>
        <w:rPr>
          <w:rFonts w:hint="eastAsia" w:ascii="宋体" w:hAnsi="宋体" w:eastAsia="宋体" w:cs="宋体"/>
          <w:b w:val="0"/>
          <w:color w:val="000000"/>
        </w:rPr>
        <w:t>第二章  投标人须知</w:t>
      </w:r>
      <w:bookmarkEnd w:id="1"/>
    </w:p>
    <w:p w14:paraId="64DBF795">
      <w:pPr>
        <w:pStyle w:val="183"/>
        <w:pageBreakBefore w:val="0"/>
        <w:wordWrap/>
        <w:overflowPunct/>
        <w:topLinePunct w:val="0"/>
        <w:bidi w:val="0"/>
        <w:spacing w:before="0" w:after="0" w:line="360" w:lineRule="auto"/>
        <w:rPr>
          <w:rFonts w:hint="eastAsia" w:ascii="宋体" w:hAnsi="宋体" w:eastAsia="宋体" w:cs="宋体"/>
          <w:b w:val="0"/>
          <w:color w:val="000000"/>
        </w:rPr>
      </w:pPr>
      <w:r>
        <w:rPr>
          <w:rFonts w:hint="eastAsia" w:ascii="宋体" w:hAnsi="宋体" w:eastAsia="宋体" w:cs="宋体"/>
          <w:b w:val="0"/>
          <w:color w:val="000000"/>
        </w:rPr>
        <w:t>一、总则</w:t>
      </w:r>
    </w:p>
    <w:p w14:paraId="141AEE39">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1、采购方式</w:t>
      </w:r>
    </w:p>
    <w:p w14:paraId="710F5582">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1.1 本次招标采取公开招标方式，本招标文件仅适用于招标公告中所述项目。</w:t>
      </w:r>
    </w:p>
    <w:p w14:paraId="31265774">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2、合格的投标人</w:t>
      </w:r>
    </w:p>
    <w:p w14:paraId="1027DA6D">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2.1 满足招标公告中申请人的资格要求的规定。</w:t>
      </w:r>
    </w:p>
    <w:p w14:paraId="203B8068">
      <w:pPr>
        <w:pageBreakBefore w:val="0"/>
        <w:wordWrap/>
        <w:overflowPunct/>
        <w:topLinePunct w:val="0"/>
        <w:bidi w:val="0"/>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 银行、保险、石油石化、电力、电信等特殊行业法人的分支机构（不具有独立的法人资格）参与本项目政府采购活动的，应当提供总公司出具的愿为其参与政府采购活动以及履约行为承担民事责任的承诺书（或授权书）。</w:t>
      </w:r>
    </w:p>
    <w:p w14:paraId="184B6B0D">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2.3 满足本招标文件全部实质性要求和条件的规定。</w:t>
      </w:r>
    </w:p>
    <w:p w14:paraId="0BF38557">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2.4 符合上述条件的投标人应承担投标及履约过程应承担的全部责任与义务。</w:t>
      </w:r>
    </w:p>
    <w:p w14:paraId="0A90C40A">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3、适用法律</w:t>
      </w:r>
    </w:p>
    <w:p w14:paraId="27A9478D">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3.1 本次招标及由此产生的合同受中华人民共和国有关的法律法规制约和保护。</w:t>
      </w:r>
    </w:p>
    <w:p w14:paraId="3BA4A482">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4、投标费用</w:t>
      </w:r>
    </w:p>
    <w:p w14:paraId="0A9F0CCE">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4.1 投标人应自行承担所有与参与投标有关的费用，无论投标过程中的做法和结果如何，采购人和</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（以下简称</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）在任何情况下均无义务和责任承担这些费用。</w:t>
      </w:r>
    </w:p>
    <w:p w14:paraId="234413AE">
      <w:pPr>
        <w:pageBreakBefore w:val="0"/>
        <w:wordWrap/>
        <w:overflowPunct/>
        <w:topLinePunct w:val="0"/>
        <w:bidi w:val="0"/>
        <w:spacing w:line="360" w:lineRule="auto"/>
        <w:ind w:firstLine="48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4.2 本项目的招标代理费按照苏招协[2022]2号文标准计取，由中标人在领取中标通知书时一次支付，上述费用由投标人综合考虑在投标报价中，不得单列，其他费用按实际发生计取，由中标人支付。</w:t>
      </w:r>
    </w:p>
    <w:p w14:paraId="67234E45">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5、招标文件的约束力</w:t>
      </w:r>
    </w:p>
    <w:p w14:paraId="0218D0FA">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5.1 投标人一旦参与本项目采购活动，即被认为接受了本招标文件的规定和约束。</w:t>
      </w:r>
    </w:p>
    <w:p w14:paraId="2C9EA339">
      <w:pPr>
        <w:pStyle w:val="183"/>
        <w:pageBreakBefore w:val="0"/>
        <w:wordWrap/>
        <w:overflowPunct/>
        <w:topLinePunct w:val="0"/>
        <w:bidi w:val="0"/>
        <w:spacing w:before="0" w:after="0" w:line="360" w:lineRule="auto"/>
        <w:rPr>
          <w:rFonts w:hint="eastAsia" w:ascii="宋体" w:hAnsi="宋体" w:eastAsia="宋体" w:cs="宋体"/>
          <w:b w:val="0"/>
          <w:color w:val="000000"/>
        </w:rPr>
      </w:pPr>
      <w:r>
        <w:rPr>
          <w:rFonts w:hint="eastAsia" w:ascii="宋体" w:hAnsi="宋体" w:eastAsia="宋体" w:cs="宋体"/>
          <w:b w:val="0"/>
          <w:color w:val="000000"/>
        </w:rPr>
        <w:t>二、招标文件</w:t>
      </w:r>
    </w:p>
    <w:p w14:paraId="22DD70E1">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6、招标文件的构成</w:t>
      </w:r>
    </w:p>
    <w:p w14:paraId="4DD5AA45">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6.1 招标文件由以下部分构成：</w:t>
      </w:r>
    </w:p>
    <w:p w14:paraId="0B9826B9">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（1）投标邀请</w:t>
      </w:r>
    </w:p>
    <w:p w14:paraId="1B59313A">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（2）投标人须知</w:t>
      </w:r>
    </w:p>
    <w:p w14:paraId="579482E6">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（3）合同文本</w:t>
      </w:r>
    </w:p>
    <w:p w14:paraId="5D41B6FD">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（4）采购需求</w:t>
      </w:r>
    </w:p>
    <w:p w14:paraId="77B25091">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（5）评标方法与评标标准</w:t>
      </w:r>
    </w:p>
    <w:p w14:paraId="4137C61A">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（6）投标文件格式</w:t>
      </w:r>
    </w:p>
    <w:p w14:paraId="16F9208F">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b/>
          <w:bCs/>
          <w:color w:val="000000"/>
          <w:sz w:val="24"/>
          <w:szCs w:val="24"/>
        </w:rPr>
        <w:t>请仔细检查招标文件是否齐全，如有缺漏请立即与</w:t>
      </w:r>
      <w:r>
        <w:rPr>
          <w:rFonts w:hint="eastAsia" w:ascii="宋体" w:hAnsi="宋体" w:eastAsia="宋体" w:cs="宋体"/>
          <w:b/>
          <w:bCs/>
          <w:color w:val="000000"/>
          <w:sz w:val="24"/>
          <w:szCs w:val="24"/>
          <w:lang w:eastAsia="zh-CN"/>
        </w:rPr>
        <w:t>采购代理机构</w:t>
      </w:r>
      <w:r>
        <w:rPr>
          <w:rFonts w:hint="eastAsia" w:ascii="宋体" w:hAnsi="宋体" w:eastAsia="宋体" w:cs="宋体"/>
          <w:b/>
          <w:bCs/>
          <w:color w:val="000000"/>
          <w:sz w:val="24"/>
          <w:szCs w:val="24"/>
        </w:rPr>
        <w:t>联系解决。</w:t>
      </w:r>
    </w:p>
    <w:p w14:paraId="3BD31ADB">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7、招标文件的澄清</w:t>
      </w:r>
    </w:p>
    <w:p w14:paraId="56E05C4F">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7.1 任何要求对招标文件进行澄清的投标人，应在投标截止时间十日前按招标公告中的通讯地址，以书面形式通知采购人或者</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w:t>
      </w:r>
    </w:p>
    <w:p w14:paraId="743C50F1">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8、招标文件的修改</w:t>
      </w:r>
    </w:p>
    <w:p w14:paraId="329602DC">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8.1 在投标截止时间前，采购人和</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可以对招标文件进行修改。</w:t>
      </w:r>
    </w:p>
    <w:p w14:paraId="5AFF973F">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8.2 采购人和</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有权按照法定的要求推迟投标截止时间和开标时间。</w:t>
      </w:r>
    </w:p>
    <w:p w14:paraId="2F9F876C">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8.3 招标文件的修改将在江苏政府采购网公布，补充文件将作为招标文件的组成部分，并对投标人具有约束力。</w:t>
      </w:r>
    </w:p>
    <w:p w14:paraId="21CB41AB">
      <w:pPr>
        <w:pStyle w:val="183"/>
        <w:pageBreakBefore w:val="0"/>
        <w:wordWrap/>
        <w:overflowPunct/>
        <w:topLinePunct w:val="0"/>
        <w:bidi w:val="0"/>
        <w:spacing w:before="0" w:after="0" w:line="360" w:lineRule="auto"/>
        <w:rPr>
          <w:rFonts w:hint="eastAsia" w:ascii="宋体" w:hAnsi="宋体" w:eastAsia="宋体" w:cs="宋体"/>
          <w:b w:val="0"/>
          <w:color w:val="000000"/>
        </w:rPr>
      </w:pPr>
      <w:r>
        <w:rPr>
          <w:rFonts w:hint="eastAsia" w:ascii="宋体" w:hAnsi="宋体" w:eastAsia="宋体" w:cs="宋体"/>
          <w:b w:val="0"/>
          <w:color w:val="000000"/>
        </w:rPr>
        <w:t>三、投标文件编制</w:t>
      </w:r>
    </w:p>
    <w:p w14:paraId="3FA38273">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9、投标文件编写注意事项</w:t>
      </w:r>
    </w:p>
    <w:p w14:paraId="42DFB2F9">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9.1 投标人应当仔细阅读招标文件中所有的事项、格式、条款和规范等要求，在完全了解招标内容、技术性能要求和商务条件后，按照招标文件的要求编制投标文件。投标文件应当对招标文件提出的要求和条件作出明确响应，并保证所提供的全部资料的真实性，否则作无效响应处理。</w:t>
      </w:r>
    </w:p>
    <w:p w14:paraId="6C97DB3F">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9.2 对招标文件提出的实质性要求和条件作出响应是指投标人必须对招标文件中标明实质性要求和条件的技术参数及性能配置、数量、价格、售后服务、合同主要条款及其它要求等内容逐条作出满足原要求和条件的响应。</w:t>
      </w:r>
    </w:p>
    <w:p w14:paraId="6464E432">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10、投标文件的语言及度量衡单位</w:t>
      </w:r>
    </w:p>
    <w:p w14:paraId="6C2A811F">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10.1 除专用术语外，投标人提交的投标文件以及投标人与采购人和</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就有关投标的所有来往通知、函件和文件均应使用简体中文。必要时专用术语应附有中文解释。投标人提交的支持资料和已印制的文献可以使用外文，但相应内容应附有中文翻译本，在解释投标文件时以中文翻译本为准。未附中文翻译本或翻译本中文内容明显与外文内容不一致的，其不利后果由投标人自行承担。</w:t>
      </w:r>
    </w:p>
    <w:p w14:paraId="156D3A0E">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10.2 除技术性能另有规定外，投标文件所使用的度量衡单位，均须采用国家法定计量单位。</w:t>
      </w:r>
    </w:p>
    <w:p w14:paraId="1C5E3A95">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11、投标文件的构成</w:t>
      </w:r>
    </w:p>
    <w:p w14:paraId="5B4E0960">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11.1 投标人编写的投标文件应包括资格证明文件、符合性证明文件、投标分项报价表、技术要求响应及偏离表、商务要求响应及偏离表、其他证明文件、投标函、开标一览表等部分。</w:t>
      </w:r>
    </w:p>
    <w:p w14:paraId="5742D73C">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11.2 如投标文件制作工具中格式和内容与江苏政府采购网发布的招标文件不一致，请以江苏政府采购网发布的招标文件为准。</w:t>
      </w:r>
    </w:p>
    <w:p w14:paraId="6F6F9105">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11.3 特别提醒投标人，混乱的编排导致投标文件被误读或评标委员会（以下简称评委会）查找不到有效文件是投标人的风险。</w:t>
      </w:r>
    </w:p>
    <w:p w14:paraId="7BBF6EE9">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12、证明投标人及投标标的符合招标文件规定的文件</w:t>
      </w:r>
    </w:p>
    <w:p w14:paraId="23BE35FD">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12.1 投标人应按照招标文件要求提交证明文件，证明其及投标标的符合招标文件规定。</w:t>
      </w:r>
    </w:p>
    <w:p w14:paraId="01A7D227">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12.2 招标文件对证明文件无明确形式要求的，证明文件可以以文字资料、图纸和数据等形式提交。</w:t>
      </w:r>
    </w:p>
    <w:p w14:paraId="70828753">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 投标人委托代理时应当提交授权委托书，请按招标文件第六章给定格式及要求填写并附法定代表人（单位负责人）与委托代理人身份证明。</w:t>
      </w:r>
    </w:p>
    <w:p w14:paraId="37BE9937">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rPr>
      </w:pPr>
      <w:r>
        <w:rPr>
          <w:rFonts w:hint="eastAsia" w:ascii="宋体" w:hAnsi="宋体" w:eastAsia="宋体" w:cs="宋体"/>
          <w:color w:val="000000"/>
          <w:sz w:val="28"/>
          <w:szCs w:val="28"/>
        </w:rPr>
        <w:t>13、投标分项报价表</w:t>
      </w:r>
    </w:p>
    <w:p w14:paraId="0067D031">
      <w:pPr>
        <w:pageBreakBefore w:val="0"/>
        <w:wordWrap/>
        <w:overflowPunct/>
        <w:topLinePunct w:val="0"/>
        <w:bidi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13.1 投标人应根据投标报价要求在投标分项报价表中列明各项投标单价、总价等，未全部列示的作无效响应处理。</w:t>
      </w:r>
    </w:p>
    <w:p w14:paraId="478FA295">
      <w:pPr>
        <w:pageBreakBefore w:val="0"/>
        <w:wordWrap/>
        <w:overflowPunct/>
        <w:topLinePunct w:val="0"/>
        <w:bidi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13.2 投标文件中的单价和总价无特殊规定的采用人民币报价，以元为单位标注。招标文件中另有规定的按规定执行。</w:t>
      </w:r>
    </w:p>
    <w:p w14:paraId="7F4229BB">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14、技术要求响应及偏离表、商务要求响应及偏离表</w:t>
      </w:r>
    </w:p>
    <w:p w14:paraId="2E5E8D8B">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14.1 </w:t>
      </w:r>
      <w:r>
        <w:rPr>
          <w:rFonts w:hint="eastAsia" w:ascii="宋体" w:hAnsi="宋体" w:eastAsia="宋体" w:cs="宋体"/>
          <w:b/>
          <w:bCs/>
          <w:color w:val="000000"/>
          <w:sz w:val="24"/>
          <w:szCs w:val="24"/>
        </w:rPr>
        <w:t>技术要求是指对采购标的的功能和质量要求，包括性能、材料、结构、外观、安全，或者服务内容和标准等</w:t>
      </w:r>
      <w:r>
        <w:rPr>
          <w:rFonts w:hint="eastAsia" w:ascii="宋体" w:hAnsi="宋体" w:eastAsia="宋体" w:cs="宋体"/>
          <w:color w:val="000000"/>
          <w:sz w:val="24"/>
          <w:szCs w:val="24"/>
        </w:rPr>
        <w:t>。</w:t>
      </w:r>
      <w:r>
        <w:rPr>
          <w:rFonts w:hint="eastAsia" w:ascii="宋体" w:hAnsi="宋体" w:eastAsia="宋体" w:cs="宋体"/>
          <w:b/>
          <w:bCs/>
          <w:color w:val="000000"/>
          <w:sz w:val="24"/>
          <w:szCs w:val="24"/>
        </w:rPr>
        <w:t>商务要求是指取得采购标的的时间、地点、财务和服务要求，包括交付（实施）的时间（期限）和地点（范围）</w:t>
      </w:r>
      <w:r>
        <w:rPr>
          <w:rFonts w:hint="eastAsia" w:ascii="宋体" w:hAnsi="宋体" w:eastAsia="宋体" w:cs="宋体"/>
          <w:color w:val="000000"/>
          <w:sz w:val="24"/>
          <w:szCs w:val="24"/>
        </w:rPr>
        <w:t>，</w:t>
      </w:r>
      <w:r>
        <w:rPr>
          <w:rFonts w:hint="eastAsia" w:ascii="宋体" w:hAnsi="宋体" w:eastAsia="宋体" w:cs="宋体"/>
          <w:b/>
          <w:bCs/>
          <w:color w:val="000000"/>
          <w:sz w:val="24"/>
          <w:szCs w:val="24"/>
        </w:rPr>
        <w:t>付款条件（进度和方式），包装和运输，售后服务，保险等</w:t>
      </w:r>
      <w:r>
        <w:rPr>
          <w:rFonts w:hint="eastAsia" w:ascii="宋体" w:hAnsi="宋体" w:eastAsia="宋体" w:cs="宋体"/>
          <w:color w:val="000000"/>
          <w:sz w:val="24"/>
          <w:szCs w:val="24"/>
        </w:rPr>
        <w:t>。投标人应对招标文件中的技术要求与商务要求逐项作出响应或偏离。</w:t>
      </w:r>
    </w:p>
    <w:p w14:paraId="6116DD7A">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14.2 投标人可在投标文件中提供认为需要的其他技术文件或说明。</w:t>
      </w:r>
    </w:p>
    <w:p w14:paraId="2D5822FE">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15、服务承诺、培训计划、人员安排及其他</w:t>
      </w:r>
    </w:p>
    <w:p w14:paraId="14F92A9E">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15.1 投标人应根据招标文件要求提供有关售后服务的管理制度，售后服务机构的分布情况，售后服务人员的数量、素质、技术水平及售后服务的反应能力等。</w:t>
      </w:r>
    </w:p>
    <w:p w14:paraId="72B8F9BE">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15.2 投标人应根据招标文件要求提供培训计划、人员安排等。</w:t>
      </w:r>
    </w:p>
    <w:p w14:paraId="00E380F2">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15.3 投标人应根据招标文件要求提供所投标的的主要组成部分、功能设计、实现思路及关键技术等。</w:t>
      </w:r>
    </w:p>
    <w:p w14:paraId="07A76F7B">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16、投标函和开标一览表</w:t>
      </w:r>
    </w:p>
    <w:p w14:paraId="6338E701">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16.1 投标人应按照招标文件提供的格式完整、正确填写投标函、开标一览表。</w:t>
      </w:r>
    </w:p>
    <w:p w14:paraId="64C0FFA3">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16.2 对于采用货币报价的项目，开标一览表中的投标总报价应与投标分项报价表中的投标总报价一致，如不一致，不作无效投标处理，但评标时以开标一览表中价格为准。</w:t>
      </w:r>
    </w:p>
    <w:p w14:paraId="72B90EDE">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17、投标有效期</w:t>
      </w:r>
    </w:p>
    <w:p w14:paraId="5065FDEF">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17.1 投标有效期为招标文件规定的开标之日后六十（60）天。</w:t>
      </w:r>
      <w:r>
        <w:rPr>
          <w:rFonts w:hint="eastAsia" w:ascii="宋体" w:hAnsi="宋体" w:eastAsia="宋体" w:cs="宋体"/>
          <w:b/>
          <w:bCs/>
          <w:color w:val="000000"/>
          <w:sz w:val="24"/>
          <w:szCs w:val="24"/>
        </w:rPr>
        <w:t>投标有效期比规定短的将被视为未实质性响应招标文件而予以拒绝。</w:t>
      </w:r>
    </w:p>
    <w:p w14:paraId="5EACDBE6">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17.2 在特殊情况下（法律法规另有规定的除外），经监管部门批准后，</w:t>
      </w:r>
      <w:r>
        <w:rPr>
          <w:rFonts w:hint="eastAsia" w:ascii="宋体" w:hAnsi="宋体" w:eastAsia="宋体" w:cs="宋体"/>
          <w:color w:val="000000"/>
          <w:sz w:val="24"/>
          <w:szCs w:val="24"/>
          <w:lang w:val="en-US" w:eastAsia="zh-CN"/>
        </w:rPr>
        <w:t>采购人</w:t>
      </w:r>
      <w:r>
        <w:rPr>
          <w:rFonts w:hint="eastAsia" w:ascii="宋体" w:hAnsi="宋体" w:eastAsia="宋体" w:cs="宋体"/>
          <w:color w:val="000000"/>
          <w:sz w:val="24"/>
          <w:szCs w:val="24"/>
        </w:rPr>
        <w:t>于原投标有效期满之前可向投标人提出延长投标有效期的要求。这种要求与答复均应采用书面形式。投标人可以拒绝</w:t>
      </w:r>
      <w:r>
        <w:rPr>
          <w:rFonts w:hint="eastAsia" w:ascii="宋体" w:hAnsi="宋体" w:eastAsia="宋体" w:cs="宋体"/>
          <w:color w:val="000000"/>
          <w:sz w:val="24"/>
          <w:szCs w:val="24"/>
          <w:lang w:val="en-US" w:eastAsia="zh-CN"/>
        </w:rPr>
        <w:t>采购人</w:t>
      </w:r>
      <w:r>
        <w:rPr>
          <w:rFonts w:hint="eastAsia" w:ascii="宋体" w:hAnsi="宋体" w:eastAsia="宋体" w:cs="宋体"/>
          <w:color w:val="000000"/>
          <w:sz w:val="24"/>
          <w:szCs w:val="24"/>
        </w:rPr>
        <w:t>的这一要求而放弃投标，同意延长投标有效期的投标人既不能要求也不允许修改其投标文件。受投标有效期约束的所有权利与义务均延长至新的有效期。</w:t>
      </w:r>
    </w:p>
    <w:p w14:paraId="0093FDC8">
      <w:pPr>
        <w:pStyle w:val="183"/>
        <w:pageBreakBefore w:val="0"/>
        <w:wordWrap/>
        <w:overflowPunct/>
        <w:topLinePunct w:val="0"/>
        <w:bidi w:val="0"/>
        <w:spacing w:before="0" w:after="0" w:line="360" w:lineRule="auto"/>
        <w:rPr>
          <w:rFonts w:hint="eastAsia" w:ascii="宋体" w:hAnsi="宋体" w:eastAsia="宋体" w:cs="宋体"/>
          <w:b w:val="0"/>
          <w:color w:val="000000"/>
        </w:rPr>
      </w:pPr>
      <w:r>
        <w:rPr>
          <w:rFonts w:hint="eastAsia" w:ascii="宋体" w:hAnsi="宋体" w:eastAsia="宋体" w:cs="宋体"/>
          <w:b w:val="0"/>
          <w:color w:val="000000"/>
        </w:rPr>
        <w:t>四、投标文件递交</w:t>
      </w:r>
    </w:p>
    <w:p w14:paraId="69CE1AEE">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18、电子投标文件的递交</w:t>
      </w:r>
    </w:p>
    <w:p w14:paraId="5E7B13F9">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18.1 投标人应当按照《操作手册》规定，在投标截止时间前制作并递交（上传）电子投标文件。</w:t>
      </w:r>
    </w:p>
    <w:p w14:paraId="5BC0A14D">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19、投标截止时间</w:t>
      </w:r>
    </w:p>
    <w:p w14:paraId="207B96C2">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19.1 投标人递交（上传）电子投标文件的时间不得迟于招标公告中规定的投标截止时间。</w:t>
      </w:r>
    </w:p>
    <w:p w14:paraId="45DCF607">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投标人应充分考虑计算机硬件、软件及网络环境等风险因素，如因投标人自身原因造成电子投标文件递交（上传）不成功的按照本招标文件第二章第27.1条规定作无效投标处理。</w:t>
      </w:r>
    </w:p>
    <w:p w14:paraId="4E6448C8">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19.2 采购人和</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可以按照规定，通过修改招标文件酌情延长投标截止时间，在此情况下，投标人的所有权利和义务以及投标人受制的截止时间均应以延长后新的截止时间为准。</w:t>
      </w:r>
    </w:p>
    <w:p w14:paraId="7B9DB995">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20、投标文件的拒收</w:t>
      </w:r>
    </w:p>
    <w:p w14:paraId="4BA36582">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20.1 </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拒绝接收在招标文件规定的投标截止时间后递交（上传）的任何投标文件。</w:t>
      </w:r>
    </w:p>
    <w:p w14:paraId="07D94ADD">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21、投标文件的撤回和修改</w:t>
      </w:r>
    </w:p>
    <w:p w14:paraId="10B60869">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21.1 投标人可在投标截止时间前，撤回其电子投标文件，具体操作方法见《操作手册》。</w:t>
      </w:r>
    </w:p>
    <w:p w14:paraId="2D715A6B">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21.2 投标人可在投标截止时间前，对其电子投标文件进行修改，具体操作方法见《操作手册》。在投标截止时间之后，投标人不得对其电子投标文件做任何修改。</w:t>
      </w:r>
    </w:p>
    <w:p w14:paraId="37B91D8E">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21.3 在投标截止时间至招标文件规定的投标有效期满之间的这段时间内，投标人不得撤回其投标。</w:t>
      </w:r>
    </w:p>
    <w:p w14:paraId="22434994">
      <w:pPr>
        <w:pStyle w:val="183"/>
        <w:pageBreakBefore w:val="0"/>
        <w:wordWrap/>
        <w:overflowPunct/>
        <w:topLinePunct w:val="0"/>
        <w:bidi w:val="0"/>
        <w:spacing w:before="0" w:after="0" w:line="360" w:lineRule="auto"/>
        <w:rPr>
          <w:rFonts w:hint="eastAsia" w:ascii="宋体" w:hAnsi="宋体" w:eastAsia="宋体" w:cs="宋体"/>
          <w:b w:val="0"/>
          <w:color w:val="000000"/>
        </w:rPr>
      </w:pPr>
      <w:r>
        <w:rPr>
          <w:rFonts w:hint="eastAsia" w:ascii="宋体" w:hAnsi="宋体" w:eastAsia="宋体" w:cs="宋体"/>
          <w:b w:val="0"/>
          <w:color w:val="000000"/>
        </w:rPr>
        <w:t>五、开标与评标</w:t>
      </w:r>
    </w:p>
    <w:p w14:paraId="7837760D">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22、开标</w:t>
      </w:r>
    </w:p>
    <w:p w14:paraId="759E063D">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22.1 </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将在招标公告中规定的时间和地点组织公开开标。投标人应当按时参加开标活动，并在“苏采云”系统规定的时间内对其投标文件进行解密。</w:t>
      </w:r>
    </w:p>
    <w:p w14:paraId="32AEBDBD">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22.2 开标仪式由</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组织。“苏采云”系统将自动对项目进行开标，并宣布各投标人名称和投标价格。</w:t>
      </w:r>
    </w:p>
    <w:p w14:paraId="4A2758A5">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22.3 投标人在开标过程中涉及到的投标文件解密、开标结果确认等工作，应当按照《操作手册》规定执行。</w:t>
      </w:r>
    </w:p>
    <w:p w14:paraId="45508745">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22.4 投标人如果对开标过程和开标记录有疑义，应当按照《操作手册》规定提出，未在“苏采云”系统《开标记录表》宣布后5分钟内提出的，视同认可开标结果。</w:t>
      </w:r>
    </w:p>
    <w:p w14:paraId="1BA6D829">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22.5 投标人未参加开标的，视同认可开标结果。</w:t>
      </w:r>
    </w:p>
    <w:p w14:paraId="088D0155">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22.6 投标人在开标、评标全过程中应保持通讯畅通，及时登录“苏采云”系统查阅、答复相关信息，并安排专人与</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及评委会联系。</w:t>
      </w:r>
    </w:p>
    <w:p w14:paraId="36C3BC79">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23、评标委员会</w:t>
      </w:r>
    </w:p>
    <w:p w14:paraId="66AC5F8A">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23.1 开标后，</w:t>
      </w:r>
      <w:r>
        <w:rPr>
          <w:rFonts w:hint="eastAsia" w:ascii="宋体" w:hAnsi="宋体" w:eastAsia="宋体" w:cs="宋体"/>
          <w:color w:val="000000"/>
          <w:sz w:val="24"/>
          <w:szCs w:val="24"/>
          <w:lang w:val="en-US" w:eastAsia="zh-CN"/>
        </w:rPr>
        <w:t>采购人</w:t>
      </w:r>
      <w:r>
        <w:rPr>
          <w:rFonts w:hint="eastAsia" w:ascii="宋体" w:hAnsi="宋体" w:eastAsia="宋体" w:cs="宋体"/>
          <w:color w:val="000000"/>
          <w:sz w:val="24"/>
          <w:szCs w:val="24"/>
        </w:rPr>
        <w:t>将组织评委会进行评标。</w:t>
      </w:r>
    </w:p>
    <w:p w14:paraId="40688C9C">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23.2 评委会由采购人代表和有关技术、经济等方面的评审专家组成，且人员构成符合政府采购有关规定。</w:t>
      </w:r>
    </w:p>
    <w:p w14:paraId="40981537">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23.3 评委会按照采购文件规定的评审程序、评审方法和评审标准进行独立评审并确定中标候选人。</w:t>
      </w:r>
    </w:p>
    <w:p w14:paraId="5C400AA8">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24、评标过程的保密与公正</w:t>
      </w:r>
    </w:p>
    <w:p w14:paraId="7F67F646">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24.1 凡是与审查、澄清、评价和比较投标的有关资料以及授标建议等，采购人、评审专家、</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均不得向投标人或与评标无关的其他人员透露。</w:t>
      </w:r>
    </w:p>
    <w:p w14:paraId="29C89A2E">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24.2 在评标过程中，投标人不得以任何行为影响评标过程，否则其投标文件将被作为无效投标文件。</w:t>
      </w:r>
    </w:p>
    <w:p w14:paraId="41FB2CE8">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24.3 </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和评委会不向未中标的投标人解释未中标原因，也不公布评标过程中的相关细节。</w:t>
      </w:r>
    </w:p>
    <w:p w14:paraId="69FACBA4">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24.4 采用综合评分法的项目，未中标的投标人可于中标结果公告期限届满之日起通过“苏采云”系统查看自己的评审得分及排序情况。</w:t>
      </w:r>
    </w:p>
    <w:p w14:paraId="33430A0F">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25、投标文件的澄清</w:t>
      </w:r>
    </w:p>
    <w:p w14:paraId="2642A3A0">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25.1 评标期间，评委会对投标文件中含义不明确、同类问题表述不一致或者有明显文字和计算错误的内容，有权要求投标人作出必要的澄清、说明或者补正。</w:t>
      </w:r>
    </w:p>
    <w:p w14:paraId="6B33CC4B">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投标人的澄清、说明或者补正应当采用书面形式，并加盖公章，或者由法定代表人（单位负责人）或其授权的代表签字。投标人的澄清、说明或者补正不得超出投标文件的范围或者改变投标文件的实质性内容。</w:t>
      </w:r>
    </w:p>
    <w:p w14:paraId="51D38607">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评委会并非对每个投标人都提出澄清、说明或者补正要求。</w:t>
      </w:r>
    </w:p>
    <w:p w14:paraId="48964589">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25.2 需要</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进行澄清、说明或者补正的，评委会将通过“苏采云”系统向</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发出“澄清要求函”，接到“澄清要求函”的投标人应当按照要求在“苏采云”系统中提交“澄清响应函”，并加盖CA电子公章。澄清、说明或者补正的内容作为投标文件的补充部分，具体操作方法见《操作手册》。</w:t>
      </w:r>
    </w:p>
    <w:p w14:paraId="58D28ADA">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25.3 接到评委会澄清、说明或者补正要求的投标人如未按要求响应，其风险由投标人自行承担。</w:t>
      </w:r>
    </w:p>
    <w:p w14:paraId="4DCB49A7">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26、对投标文件的审查</w:t>
      </w:r>
    </w:p>
    <w:p w14:paraId="3D40D238">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26.1 投标文件审查分为资格审查和符合性审查。</w:t>
      </w:r>
    </w:p>
    <w:p w14:paraId="770FB7D1">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（1）资格审查：采购人依据法律法规和招标文件的规定，对投标文件中的资格证明文件进行审查。资格审查的结论，采购人以书面形式向评委会进行反馈。</w:t>
      </w:r>
    </w:p>
    <w:p w14:paraId="21841E1A">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采购人在进行资格审查的同时，将在信用中国网站（www.creditchina.gov.cn）查询投标人的信用记录，以确定投标人是否具备投标资格，查询结果留存并归档。</w:t>
      </w:r>
    </w:p>
    <w:p w14:paraId="1A56BA02">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符合性审查：评委会依据招标文件的规定，从投标文件的有效性、完整性和对招标文件的响应程度进行审查，以确定其是否实质性响应了招标文件要求。实质性响应是与招标文件要求的全部实质性要求和条件相符，且与招标文件的其余非实质性要求和条件没有重大偏离。</w:t>
      </w:r>
    </w:p>
    <w:p w14:paraId="0A029477">
      <w:pPr>
        <w:pageBreakBefore w:val="0"/>
        <w:pBdr>
          <w:top w:val="none" w:color="000000" w:sz="0" w:space="0"/>
          <w:left w:val="none" w:color="000000" w:sz="0" w:space="0"/>
          <w:bottom w:val="none" w:color="000000" w:sz="0" w:space="0"/>
          <w:right w:val="none" w:color="000000" w:sz="0" w:space="0"/>
        </w:pBdr>
        <w:wordWrap/>
        <w:overflowPunct/>
        <w:topLinePunct w:val="0"/>
        <w:bidi w:val="0"/>
        <w:spacing w:before="0" w:after="0" w:line="360" w:lineRule="auto"/>
        <w:ind w:left="0" w:right="0" w:firstLine="480"/>
        <w:rPr>
          <w:rFonts w:hint="eastAsia" w:ascii="宋体" w:hAnsi="宋体" w:eastAsia="宋体" w:cs="宋体"/>
          <w:color w:val="000000"/>
          <w:sz w:val="24"/>
          <w:highlight w:val="yellow"/>
        </w:rPr>
      </w:pPr>
      <w:r>
        <w:rPr>
          <w:rFonts w:hint="eastAsia" w:ascii="宋体" w:hAnsi="宋体" w:eastAsia="宋体" w:cs="宋体"/>
          <w:b/>
          <w:bCs/>
          <w:color w:val="000000"/>
          <w:sz w:val="24"/>
          <w:highlight w:val="none"/>
        </w:rPr>
        <w:t>本招标文件中斜体且有下划线部分为实质性要求和条件，投标人必须逐条做出满足实质性要求和条件的响应，否则将按无效响应处理。</w:t>
      </w:r>
    </w:p>
    <w:p w14:paraId="39262AAC">
      <w:pPr>
        <w:pageBreakBefore w:val="0"/>
        <w:pBdr>
          <w:top w:val="none" w:color="000000" w:sz="0" w:space="0"/>
          <w:left w:val="none" w:color="000000" w:sz="0" w:space="0"/>
          <w:bottom w:val="none" w:color="000000" w:sz="0" w:space="0"/>
          <w:right w:val="none" w:color="000000" w:sz="0" w:space="0"/>
        </w:pBdr>
        <w:wordWrap/>
        <w:overflowPunct/>
        <w:topLinePunct w:val="0"/>
        <w:bidi w:val="0"/>
        <w:spacing w:before="0" w:after="0" w:line="360" w:lineRule="auto"/>
        <w:ind w:left="0" w:right="0" w:firstLine="482"/>
        <w:jc w:val="both"/>
        <w:rPr>
          <w:rFonts w:hint="eastAsia" w:ascii="宋体" w:hAnsi="宋体" w:eastAsia="宋体" w:cs="宋体"/>
          <w:b/>
          <w:bCs/>
          <w:color w:val="auto"/>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b/>
          <w:bCs/>
          <w:color w:val="auto"/>
          <w:sz w:val="24"/>
        </w:rPr>
        <w:t>政府采购异常低价审查：</w:t>
      </w:r>
    </w:p>
    <w:p w14:paraId="377438C6">
      <w:pPr>
        <w:pageBreakBefore w:val="0"/>
        <w:pBdr>
          <w:top w:val="none" w:color="000000" w:sz="0" w:space="0"/>
          <w:left w:val="none" w:color="000000" w:sz="0" w:space="0"/>
          <w:bottom w:val="none" w:color="000000" w:sz="0" w:space="0"/>
          <w:right w:val="none" w:color="000000" w:sz="0" w:space="0"/>
        </w:pBdr>
        <w:wordWrap/>
        <w:overflowPunct/>
        <w:topLinePunct w:val="0"/>
        <w:bidi w:val="0"/>
        <w:spacing w:before="0" w:after="0" w:line="360" w:lineRule="auto"/>
        <w:ind w:left="0" w:right="0" w:firstLine="482"/>
        <w:jc w:val="both"/>
        <w:rPr>
          <w:rFonts w:hint="eastAsia" w:ascii="宋体" w:hAnsi="宋体" w:eastAsia="宋体" w:cs="宋体"/>
          <w:b/>
          <w:bCs/>
          <w:color w:val="auto"/>
        </w:rPr>
      </w:pPr>
      <w:r>
        <w:rPr>
          <w:rFonts w:hint="eastAsia" w:ascii="宋体" w:hAnsi="宋体" w:eastAsia="宋体" w:cs="宋体"/>
          <w:b/>
          <w:bCs/>
          <w:color w:val="auto"/>
          <w:sz w:val="24"/>
        </w:rPr>
        <w:t>评审过程中出现下列情形之一的，评审委员会应当启动异常低价投标（响应）审查程序：</w:t>
      </w:r>
    </w:p>
    <w:p w14:paraId="30BC415F">
      <w:pPr>
        <w:pageBreakBefore w:val="0"/>
        <w:pBdr>
          <w:top w:val="none" w:color="000000" w:sz="0" w:space="0"/>
          <w:left w:val="none" w:color="000000" w:sz="0" w:space="0"/>
          <w:bottom w:val="none" w:color="000000" w:sz="0" w:space="0"/>
          <w:right w:val="none" w:color="000000" w:sz="0" w:space="0"/>
        </w:pBdr>
        <w:wordWrap/>
        <w:overflowPunct/>
        <w:topLinePunct w:val="0"/>
        <w:bidi w:val="0"/>
        <w:spacing w:before="0" w:after="0" w:line="360" w:lineRule="auto"/>
        <w:ind w:left="0" w:right="0" w:firstLine="482"/>
        <w:jc w:val="both"/>
        <w:rPr>
          <w:rFonts w:hint="eastAsia" w:ascii="宋体" w:hAnsi="宋体" w:eastAsia="宋体" w:cs="宋体"/>
          <w:b/>
          <w:bCs/>
          <w:color w:val="auto"/>
        </w:rPr>
      </w:pPr>
      <w:r>
        <w:rPr>
          <w:rFonts w:hint="eastAsia" w:ascii="宋体" w:hAnsi="宋体" w:eastAsia="宋体" w:cs="宋体"/>
          <w:b/>
          <w:bCs/>
          <w:color w:val="auto"/>
          <w:sz w:val="24"/>
        </w:rPr>
        <w:t>1.投标（响应）报价低于采购项目预算50%的，即投标（响应）报价&lt;采购项目预算×50%；</w:t>
      </w:r>
    </w:p>
    <w:p w14:paraId="699D2D34">
      <w:pPr>
        <w:pageBreakBefore w:val="0"/>
        <w:pBdr>
          <w:top w:val="none" w:color="000000" w:sz="0" w:space="0"/>
          <w:left w:val="none" w:color="000000" w:sz="0" w:space="0"/>
          <w:bottom w:val="none" w:color="000000" w:sz="0" w:space="0"/>
          <w:right w:val="none" w:color="000000" w:sz="0" w:space="0"/>
        </w:pBdr>
        <w:wordWrap/>
        <w:overflowPunct/>
        <w:topLinePunct w:val="0"/>
        <w:bidi w:val="0"/>
        <w:spacing w:before="0" w:after="0" w:line="360" w:lineRule="auto"/>
        <w:ind w:left="0" w:right="0" w:firstLine="482"/>
        <w:jc w:val="both"/>
        <w:rPr>
          <w:rFonts w:hint="eastAsia" w:ascii="宋体" w:hAnsi="宋体" w:eastAsia="宋体" w:cs="宋体"/>
          <w:b/>
          <w:bCs/>
          <w:color w:val="auto"/>
        </w:rPr>
      </w:pPr>
      <w:r>
        <w:rPr>
          <w:rFonts w:hint="eastAsia" w:ascii="宋体" w:hAnsi="宋体" w:eastAsia="宋体" w:cs="宋体"/>
          <w:b/>
          <w:bCs/>
          <w:color w:val="auto"/>
          <w:sz w:val="24"/>
        </w:rPr>
        <w:t>2.投标（响应）报价低于采购项目最高限价45%的，即投标（响应）报价&lt;采购项目最高限价×45%；</w:t>
      </w:r>
    </w:p>
    <w:p w14:paraId="448DBB87">
      <w:pPr>
        <w:pageBreakBefore w:val="0"/>
        <w:pBdr>
          <w:top w:val="none" w:color="000000" w:sz="0" w:space="0"/>
          <w:left w:val="none" w:color="000000" w:sz="0" w:space="0"/>
          <w:bottom w:val="none" w:color="000000" w:sz="0" w:space="0"/>
          <w:right w:val="none" w:color="000000" w:sz="0" w:space="0"/>
        </w:pBdr>
        <w:wordWrap/>
        <w:overflowPunct/>
        <w:topLinePunct w:val="0"/>
        <w:bidi w:val="0"/>
        <w:spacing w:before="0" w:after="0" w:line="360" w:lineRule="auto"/>
        <w:ind w:left="0" w:right="0" w:firstLine="482"/>
        <w:jc w:val="both"/>
        <w:rPr>
          <w:rFonts w:hint="eastAsia" w:ascii="宋体" w:hAnsi="宋体" w:eastAsia="宋体" w:cs="宋体"/>
          <w:b/>
          <w:bCs/>
          <w:color w:val="auto"/>
        </w:rPr>
      </w:pPr>
      <w:r>
        <w:rPr>
          <w:rFonts w:hint="eastAsia" w:ascii="宋体" w:hAnsi="宋体" w:eastAsia="宋体" w:cs="宋体"/>
          <w:b/>
          <w:bCs/>
          <w:color w:val="auto"/>
          <w:sz w:val="24"/>
        </w:rPr>
        <w:t>3.评审委员会认定的</w:t>
      </w:r>
      <w:r>
        <w:rPr>
          <w:rFonts w:hint="eastAsia" w:ascii="宋体" w:hAnsi="宋体" w:eastAsia="宋体" w:cs="宋体"/>
          <w:b/>
          <w:bCs/>
          <w:color w:val="auto"/>
          <w:sz w:val="24"/>
          <w:lang w:eastAsia="zh-CN"/>
        </w:rPr>
        <w:t>投标人</w:t>
      </w:r>
      <w:r>
        <w:rPr>
          <w:rFonts w:hint="eastAsia" w:ascii="宋体" w:hAnsi="宋体" w:eastAsia="宋体" w:cs="宋体"/>
          <w:b/>
          <w:bCs/>
          <w:color w:val="auto"/>
          <w:sz w:val="24"/>
        </w:rPr>
        <w:t>报价过低、有可能影响产品质量或者不能诚信履约的其他情形。</w:t>
      </w:r>
    </w:p>
    <w:p w14:paraId="7C5DB9C5">
      <w:pPr>
        <w:pageBreakBefore w:val="0"/>
        <w:pBdr>
          <w:top w:val="none" w:color="000000" w:sz="0" w:space="0"/>
          <w:left w:val="none" w:color="000000" w:sz="0" w:space="0"/>
          <w:bottom w:val="none" w:color="000000" w:sz="0" w:space="0"/>
          <w:right w:val="none" w:color="000000" w:sz="0" w:space="0"/>
        </w:pBdr>
        <w:wordWrap/>
        <w:overflowPunct/>
        <w:topLinePunct w:val="0"/>
        <w:bidi w:val="0"/>
        <w:spacing w:before="0" w:after="0" w:line="360" w:lineRule="auto"/>
        <w:ind w:left="0" w:right="0" w:firstLine="482"/>
        <w:jc w:val="both"/>
        <w:rPr>
          <w:rFonts w:hint="eastAsia" w:ascii="宋体" w:hAnsi="宋体" w:eastAsia="宋体" w:cs="宋体"/>
          <w:b/>
          <w:bCs/>
          <w:color w:val="auto"/>
        </w:rPr>
      </w:pPr>
      <w:r>
        <w:rPr>
          <w:rFonts w:hint="eastAsia" w:ascii="宋体" w:hAnsi="宋体" w:eastAsia="宋体" w:cs="宋体"/>
          <w:b/>
          <w:bCs/>
          <w:color w:val="auto"/>
          <w:sz w:val="24"/>
        </w:rPr>
        <w:t>（二）启动异常低价投标（响应）审查后，评审委员会应当要求相关</w:t>
      </w:r>
      <w:r>
        <w:rPr>
          <w:rFonts w:hint="eastAsia" w:ascii="宋体" w:hAnsi="宋体" w:eastAsia="宋体" w:cs="宋体"/>
          <w:b/>
          <w:bCs/>
          <w:color w:val="auto"/>
          <w:sz w:val="24"/>
          <w:lang w:eastAsia="zh-CN"/>
        </w:rPr>
        <w:t>投标人</w:t>
      </w:r>
      <w:r>
        <w:rPr>
          <w:rFonts w:hint="eastAsia" w:ascii="宋体" w:hAnsi="宋体" w:eastAsia="宋体" w:cs="宋体"/>
          <w:b/>
          <w:bCs/>
          <w:color w:val="auto"/>
          <w:sz w:val="24"/>
        </w:rPr>
        <w:t>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w:t>
      </w:r>
      <w:r>
        <w:rPr>
          <w:rFonts w:hint="eastAsia" w:ascii="宋体" w:hAnsi="宋体" w:eastAsia="宋体" w:cs="宋体"/>
          <w:b/>
          <w:bCs/>
          <w:color w:val="auto"/>
          <w:sz w:val="24"/>
          <w:lang w:eastAsia="zh-CN"/>
        </w:rPr>
        <w:t>投标人</w:t>
      </w:r>
      <w:r>
        <w:rPr>
          <w:rFonts w:hint="eastAsia" w:ascii="宋体" w:hAnsi="宋体" w:eastAsia="宋体" w:cs="宋体"/>
          <w:b/>
          <w:bCs/>
          <w:color w:val="auto"/>
          <w:sz w:val="24"/>
        </w:rPr>
        <w:t>报价合理性进行判断。投标（响应）</w:t>
      </w:r>
      <w:r>
        <w:rPr>
          <w:rFonts w:hint="eastAsia" w:ascii="宋体" w:hAnsi="宋体" w:eastAsia="宋体" w:cs="宋体"/>
          <w:b/>
          <w:bCs/>
          <w:color w:val="auto"/>
          <w:sz w:val="24"/>
          <w:lang w:val="en-US" w:eastAsia="zh-CN"/>
        </w:rPr>
        <w:t>人</w:t>
      </w:r>
      <w:r>
        <w:rPr>
          <w:rFonts w:hint="eastAsia" w:ascii="宋体" w:hAnsi="宋体" w:eastAsia="宋体" w:cs="宋体"/>
          <w:b/>
          <w:bCs/>
          <w:color w:val="auto"/>
          <w:sz w:val="24"/>
        </w:rPr>
        <w:t>不提供书面说明、证明材料，或者提供的书面说明、证明材料不能证明其报价合理性的，评审委员会应当将其作为无效投标（响应）处理。审查相关情况应当在评审报告中进行记录。</w:t>
      </w:r>
    </w:p>
    <w:p w14:paraId="5E205283">
      <w:pPr>
        <w:pageBreakBefore w:val="0"/>
        <w:pBdr>
          <w:top w:val="none" w:color="000000" w:sz="0" w:space="0"/>
          <w:left w:val="none" w:color="000000" w:sz="0" w:space="0"/>
          <w:bottom w:val="none" w:color="000000" w:sz="0" w:space="0"/>
          <w:right w:val="none" w:color="000000" w:sz="0" w:space="0"/>
        </w:pBdr>
        <w:wordWrap/>
        <w:overflowPunct/>
        <w:topLinePunct w:val="0"/>
        <w:bidi w:val="0"/>
        <w:spacing w:before="0" w:after="0" w:line="360" w:lineRule="auto"/>
        <w:ind w:left="0" w:right="0" w:firstLine="482"/>
        <w:jc w:val="both"/>
        <w:rPr>
          <w:rFonts w:hint="eastAsia" w:ascii="宋体" w:hAnsi="宋体" w:eastAsia="宋体" w:cs="宋体"/>
          <w:b/>
          <w:bCs/>
          <w:color w:val="auto"/>
          <w:sz w:val="24"/>
        </w:rPr>
      </w:pPr>
      <w:r>
        <w:rPr>
          <w:rFonts w:hint="eastAsia" w:ascii="宋体" w:hAnsi="宋体" w:eastAsia="宋体" w:cs="宋体"/>
          <w:b/>
          <w:bCs/>
          <w:color w:val="auto"/>
          <w:sz w:val="24"/>
        </w:rPr>
        <w:t>评委会将通过“苏采云”系统要求其在合理的时间内提供书面说明、证明材料。投标人可在投标（响应）文件中提供项目具体成本测算等与报价合理性相关的书面说明及相关证明材料，对投标（响应）价格作出解释，便于评审。</w:t>
      </w:r>
    </w:p>
    <w:p w14:paraId="4EDA33D9">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未通过资格审查或符合性审查的投标人，将通过“苏采云”系统中告知其未通过的原因，评审结束后，将不再告知。</w:t>
      </w:r>
    </w:p>
    <w:p w14:paraId="2ACFC5A7">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26.2 所谓重大偏离</w:t>
      </w:r>
      <w:r>
        <w:rPr>
          <w:rFonts w:hint="eastAsia" w:ascii="宋体" w:hAnsi="宋体" w:eastAsia="宋体" w:cs="宋体"/>
          <w:color w:val="000000"/>
          <w:sz w:val="24"/>
        </w:rPr>
        <w:t>是指</w:t>
      </w:r>
      <w:r>
        <w:rPr>
          <w:rFonts w:hint="eastAsia" w:ascii="宋体" w:hAnsi="宋体" w:eastAsia="宋体" w:cs="宋体"/>
          <w:color w:val="000000"/>
          <w:sz w:val="24"/>
          <w:szCs w:val="24"/>
        </w:rPr>
        <w:t>实质上与招标文件要求不一致，而且限制了合同中买方的权利或投标人的义务，纠正这些偏离将会对其他实质性响应要求的投标人的竞争地位产生不公正的影响。重大偏离的认定须经过评委会以少数服从多数的原则作出结论。评委会决定投标文件的响应性只根据投标文件本身的内容，而不寻求外部的证据。</w:t>
      </w:r>
    </w:p>
    <w:p w14:paraId="59346005">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26.3如果投标文件实质上没有响应招标文件的要求，评委会将予以拒绝，投标人不得通过修改或撤销不符合要求的偏离而使其投标成为实质性响应的投标。</w:t>
      </w:r>
    </w:p>
    <w:p w14:paraId="720D7A1A">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26.4 评委会将对确定为实质性响应的投标进行进一步审核，看其是否有计算上或累加上的算术错误，修正错误的原则如下：</w:t>
      </w:r>
    </w:p>
    <w:p w14:paraId="7F52204F">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（1）投标文件中开标一览表内容与投标文件中相应内容不一致的，以开标一览表为准。</w:t>
      </w:r>
    </w:p>
    <w:p w14:paraId="2FEDCA2D">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（2）大写金额和小写金额不一致的，以大写金额为准。</w:t>
      </w:r>
    </w:p>
    <w:p w14:paraId="26810548">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（3）单价金额小数点或者百分比有明显错位的，以开标一览表的总价为准，并修改单价。</w:t>
      </w:r>
    </w:p>
    <w:p w14:paraId="7CF792F8">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（4）总价金额与按单价汇总金额不一致的，以单价金额计算结果为准。</w:t>
      </w:r>
    </w:p>
    <w:p w14:paraId="40F61DFA">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同时出现两种以上错误的，按照前款规定的顺序修正。</w:t>
      </w:r>
    </w:p>
    <w:p w14:paraId="6C860816">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26.5 评委会将按上述修正错误的方法调整投标文件中的投标报价，并通过“苏采云”系统告知投标人，调整后的价格对投标人具有约束力。如果投标人不接受修正后的价格，则其投标将被拒绝。</w:t>
      </w:r>
    </w:p>
    <w:p w14:paraId="663EFCAB">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27、无效投标条款和废标条款</w:t>
      </w:r>
    </w:p>
    <w:p w14:paraId="413EA1DE">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27.1 无效投标条款：</w:t>
      </w:r>
    </w:p>
    <w:p w14:paraId="79FC99C0">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（1）投标人未按照招标文件要求递交（上传）电子投标文件的。</w:t>
      </w:r>
    </w:p>
    <w:p w14:paraId="587DD9EE">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（2）投标人在“苏采云”系统规定的时间内未成功解密电子投标文件的。</w:t>
      </w:r>
    </w:p>
    <w:p w14:paraId="5C66F860">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（3）投标人不具备招标文件中规定的资格要求的。</w:t>
      </w:r>
    </w:p>
    <w:p w14:paraId="4CCA65B8">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（4）投标人被信用中国网站（www.creditchina.gov.cn）、重大税收违法案件当事人名单、政府采购严重</w:t>
      </w:r>
      <w:r>
        <w:rPr>
          <w:rFonts w:hint="eastAsia" w:ascii="宋体" w:hAnsi="宋体" w:eastAsia="宋体" w:cs="宋体"/>
          <w:color w:val="000000"/>
          <w:sz w:val="24"/>
          <w:szCs w:val="24"/>
          <w:lang w:val="en-US" w:eastAsia="zh-CN"/>
        </w:rPr>
        <w:t>违法</w:t>
      </w:r>
      <w:r>
        <w:rPr>
          <w:rFonts w:hint="eastAsia" w:ascii="宋体" w:hAnsi="宋体" w:eastAsia="宋体" w:cs="宋体"/>
          <w:color w:val="000000"/>
          <w:sz w:val="24"/>
          <w:szCs w:val="24"/>
        </w:rPr>
        <w:t>失信行为记录名单及其他不符合《中华人民共和国政府采购法》第二十二条规定情形的。</w:t>
      </w:r>
    </w:p>
    <w:p w14:paraId="3688FDA9">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（5）投标人提交两个（含两个）以上不同的投标报价的。</w:t>
      </w:r>
    </w:p>
    <w:p w14:paraId="6EC5C9EA">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（6）投标人的报价超过了采购预算或者最高限价的。</w:t>
      </w:r>
    </w:p>
    <w:p w14:paraId="14BD2D0F">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b w:val="0"/>
          <w:bCs w:val="0"/>
          <w:color w:val="000000"/>
          <w:sz w:val="24"/>
        </w:rPr>
        <w:t>评标委员会认为投标人的报价明显低于其他通过符合性审查投标人的报价，有可能影响产品质量或者不能诚信履约的，或评标委员会启动异常低价投标（响应）审查程序，投标人在规定时间内未提供书面说明、证明材料，或提供的书面说明、证明材料不能证明其报价合理性的。</w:t>
      </w:r>
    </w:p>
    <w:p w14:paraId="1CB9CBAF">
      <w:pPr>
        <w:pageBreakBefore w:val="0"/>
        <w:wordWrap/>
        <w:overflowPunct/>
        <w:topLinePunct w:val="0"/>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（8）不符合招标文件规定的实质性要求和条件的</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（本招标文件中斜体且有下划线部分为实质性要求和条件）</w:t>
      </w:r>
    </w:p>
    <w:p w14:paraId="2C81129A">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（9）投标人未通过符合性审查的。</w:t>
      </w:r>
    </w:p>
    <w:p w14:paraId="331521A9">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）投标文件含有采购人不能接受的附加条件的。</w:t>
      </w:r>
    </w:p>
    <w:p w14:paraId="098BDB15">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）投标文件未按照招标文件要求加盖公章（CA电子公章）的。</w:t>
      </w:r>
    </w:p>
    <w:p w14:paraId="3C9E44EC">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）其他法律、法规及本招标文件规定的属于无效投标的情形。</w:t>
      </w:r>
    </w:p>
    <w:p w14:paraId="3716CF3F">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27.2 有下列情形之一的，视为投标人串通投标，投标无效：</w:t>
      </w:r>
    </w:p>
    <w:p w14:paraId="59F6DB83">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（1）不同投标人的投标文件由同一单位或者个人编制。</w:t>
      </w:r>
    </w:p>
    <w:p w14:paraId="7B45A1D5">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（2）不同投标人委托同一单位或者个人办理投标事宜。</w:t>
      </w:r>
    </w:p>
    <w:p w14:paraId="59561FF0">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（3）不同投标人的投标文件载明的项目管理成员或者联系人员为同一人。</w:t>
      </w:r>
    </w:p>
    <w:p w14:paraId="07E7A2A6">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（4）不同投标人的投标文件异常一致或者投标报价呈规律性差异。</w:t>
      </w:r>
    </w:p>
    <w:p w14:paraId="6EE87265">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（5）不同投标人的投标文件相互混装。</w:t>
      </w:r>
    </w:p>
    <w:p w14:paraId="62E2C27D">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27.3 废标条款：</w:t>
      </w:r>
    </w:p>
    <w:p w14:paraId="5E5CC153">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（1）因“苏采云”系统故障原因造成开标不成功的。</w:t>
      </w:r>
    </w:p>
    <w:p w14:paraId="11C3B4AD">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（2）评委会认定招标文件存在歧义、重大缺陷导致评标工作无法进行，或者招标文件内容违反国家有关强制性规定的。</w:t>
      </w:r>
    </w:p>
    <w:p w14:paraId="0E5B068E">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（3）符合专业条件的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或者对招标文件作实质响应的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不足三家的。</w:t>
      </w:r>
    </w:p>
    <w:p w14:paraId="1CC4165D">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（4）出现影响采购公正的违法、违规行为的。</w:t>
      </w:r>
    </w:p>
    <w:p w14:paraId="6F1CF921">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（5）因重大变故，采购任务取消的。</w:t>
      </w:r>
    </w:p>
    <w:p w14:paraId="39EE52B4">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27.4 出现投标截止时间结束后参加投标的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或者在评标期间对招标文件做出实质响应的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不足三家情况的，按照政府采购有关规定执行。</w:t>
      </w:r>
    </w:p>
    <w:p w14:paraId="6BE61862">
      <w:pPr>
        <w:pStyle w:val="183"/>
        <w:pageBreakBefore w:val="0"/>
        <w:wordWrap/>
        <w:overflowPunct/>
        <w:topLinePunct w:val="0"/>
        <w:bidi w:val="0"/>
        <w:spacing w:before="0" w:after="0" w:line="360" w:lineRule="auto"/>
        <w:rPr>
          <w:rFonts w:hint="eastAsia" w:ascii="宋体" w:hAnsi="宋体" w:eastAsia="宋体" w:cs="宋体"/>
          <w:b w:val="0"/>
          <w:color w:val="000000"/>
        </w:rPr>
      </w:pPr>
      <w:r>
        <w:rPr>
          <w:rFonts w:hint="eastAsia" w:ascii="宋体" w:hAnsi="宋体" w:eastAsia="宋体" w:cs="宋体"/>
          <w:b w:val="0"/>
          <w:color w:val="000000"/>
        </w:rPr>
        <w:t>六、定标</w:t>
      </w:r>
    </w:p>
    <w:p w14:paraId="55B34432">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28、确定中标单位</w:t>
      </w:r>
    </w:p>
    <w:p w14:paraId="7BE7CBCD">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28.1 中标候选人的选取原则和数量详见招标文件第五章规定。 </w:t>
      </w:r>
    </w:p>
    <w:p w14:paraId="10B3F1B2">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28.2 采购人应根据评委会推荐的中标候选人确定中标人。</w:t>
      </w:r>
    </w:p>
    <w:p w14:paraId="2DD8CF55">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28.3 </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将在江苏政府采购网发布中标公告，公告期限为1个工作日。</w:t>
      </w:r>
    </w:p>
    <w:p w14:paraId="259A1988">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28.4 若有充分证据证明，中标人存在下列情形之一的，一经查实，将被取消中标资格：</w:t>
      </w:r>
    </w:p>
    <w:p w14:paraId="54E33D75">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（1）提供虚假材料谋取中标、成交的。</w:t>
      </w:r>
    </w:p>
    <w:p w14:paraId="2341270E">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（2）采取不正当手段诋毁、排挤其他</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的。</w:t>
      </w:r>
    </w:p>
    <w:p w14:paraId="5BEBDF92">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（3）与采购人、其他</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或者</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恶意串通的。</w:t>
      </w:r>
    </w:p>
    <w:p w14:paraId="194A8E73">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（4）向采购人、</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行贿或者提供其他不正当利益的。</w:t>
      </w:r>
    </w:p>
    <w:p w14:paraId="3E6BD3F9">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（5）在招标采购过程中与采购人进行协商谈判的。</w:t>
      </w:r>
    </w:p>
    <w:p w14:paraId="3604896A">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（6）属于本招标文件规定的无效情形，但在评标过程中又未被评委会发现的。</w:t>
      </w:r>
    </w:p>
    <w:p w14:paraId="03FBDB3E">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29、中标通知书</w:t>
      </w:r>
    </w:p>
    <w:p w14:paraId="28CEA261">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29.1 中标结果确定后，</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将向中标人发出中标通知书。请中标人在中标结果公告届满之日起30日内，登录“苏采云”系统及时领取（下载）中标通知书。因系统存储空间有限，自中标结果公告届满之日起30日后，“苏采云”系统不再保证提供中标通知书下载服务，因未及时下载造成的不利后果由中标人自行承担。</w:t>
      </w:r>
    </w:p>
    <w:p w14:paraId="454FF2E6">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29.2 中标通知书将作为政府采购合同的一个组成部分。对采购人和中标人均具有法律效力。中标通知书发出后，采购人改变中标结果的，或者中标人放弃中标项目的，应当依法承担法律责任。</w:t>
      </w:r>
    </w:p>
    <w:p w14:paraId="33BF4E02">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29.3 </w:t>
      </w:r>
      <w:r>
        <w:rPr>
          <w:rFonts w:hint="eastAsia" w:ascii="宋体" w:hAnsi="宋体" w:eastAsia="宋体" w:cs="宋体"/>
          <w:b/>
          <w:bCs/>
          <w:color w:val="000000"/>
          <w:sz w:val="24"/>
          <w:szCs w:val="24"/>
        </w:rPr>
        <w:t>中标人应在中标后七个工作日内，向采购人提供</w:t>
      </w:r>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rPr>
        <w:t>份与电子投标文件一致的纸质打印胶装投标文件，封面、骑缝需加盖公章。</w:t>
      </w:r>
    </w:p>
    <w:p w14:paraId="7F1E8887">
      <w:pPr>
        <w:pStyle w:val="183"/>
        <w:pageBreakBefore w:val="0"/>
        <w:wordWrap/>
        <w:overflowPunct/>
        <w:topLinePunct w:val="0"/>
        <w:bidi w:val="0"/>
        <w:spacing w:before="0" w:after="0" w:line="360" w:lineRule="auto"/>
        <w:rPr>
          <w:rFonts w:hint="eastAsia" w:ascii="宋体" w:hAnsi="宋体" w:eastAsia="宋体" w:cs="宋体"/>
          <w:b w:val="0"/>
          <w:color w:val="000000"/>
        </w:rPr>
      </w:pPr>
      <w:r>
        <w:rPr>
          <w:rFonts w:hint="eastAsia" w:ascii="宋体" w:hAnsi="宋体" w:eastAsia="宋体" w:cs="宋体"/>
          <w:b w:val="0"/>
          <w:color w:val="000000"/>
        </w:rPr>
        <w:t>七、授予合同</w:t>
      </w:r>
    </w:p>
    <w:p w14:paraId="1F3CCC18">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30、履约保证金</w:t>
      </w:r>
    </w:p>
    <w:p w14:paraId="3A803F31">
      <w:pPr>
        <w:pageBreakBefore w:val="0"/>
        <w:wordWrap/>
        <w:overflowPunct/>
        <w:topLinePunct w:val="0"/>
        <w:bidi w:val="0"/>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30.1 本项目履约保证金要求详见招标文件第四章 采购需求。</w:t>
      </w:r>
    </w:p>
    <w:p w14:paraId="42680033">
      <w:pPr>
        <w:pStyle w:val="184"/>
        <w:pageBreakBefore w:val="0"/>
        <w:wordWrap/>
        <w:overflowPunct/>
        <w:topLinePunct w:val="0"/>
        <w:bidi w:val="0"/>
        <w:spacing w:before="0" w:after="0"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31、签订合同</w:t>
      </w:r>
    </w:p>
    <w:p w14:paraId="350CDAF3">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31.1 中标人应当在中标通知书发出之日起三十日内，按照招标文件和中标人投标文件的规定，与采购人签订政府采购合同。</w:t>
      </w:r>
    </w:p>
    <w:p w14:paraId="1275692E">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31.2 招标文件、中标人的投标文件及招标过程中有关澄清、承诺等文件均应作为合同附件。</w:t>
      </w:r>
    </w:p>
    <w:p w14:paraId="23510756">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31.3 签订合同后，中标人不得将合同标的转包。未经采购人同意，中标人也不得采用分包的形式履行合同，否则采购人有权终止合同。转包或分包造成采购人损失的，中标人应承担相应赔偿责任。</w:t>
      </w:r>
    </w:p>
    <w:p w14:paraId="3EA02C3B">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32、合同标的的追加</w:t>
      </w:r>
    </w:p>
    <w:p w14:paraId="697CAAB4">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32.1 政府采购合同履行中，采购人需追加与合同标的相同的货物、工程或者服务的，在不改变合同其他条款的前提下，可以按照《中华人民共和国政府采购法》第四十九条规定，与</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协商签订补充合同，但所有补充合同的采购金额不得超过原合同采购金额的百分之十。</w:t>
      </w:r>
    </w:p>
    <w:p w14:paraId="2F017045">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33、政府采购履约资金扶持政策</w:t>
      </w:r>
    </w:p>
    <w:p w14:paraId="3849CE16">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33.1 中标人可凭政府采购合同办理融资贷款，详情请见江苏政府采购网“政采贷”专栏。</w:t>
      </w:r>
    </w:p>
    <w:p w14:paraId="650E3715">
      <w:pPr>
        <w:pStyle w:val="183"/>
        <w:pageBreakBefore w:val="0"/>
        <w:wordWrap/>
        <w:overflowPunct/>
        <w:topLinePunct w:val="0"/>
        <w:bidi w:val="0"/>
        <w:spacing w:before="0" w:after="0" w:line="360" w:lineRule="auto"/>
        <w:rPr>
          <w:rFonts w:hint="eastAsia" w:ascii="宋体" w:hAnsi="宋体" w:eastAsia="宋体" w:cs="宋体"/>
          <w:b w:val="0"/>
          <w:color w:val="000000"/>
        </w:rPr>
      </w:pPr>
      <w:r>
        <w:rPr>
          <w:rFonts w:hint="eastAsia" w:ascii="宋体" w:hAnsi="宋体" w:eastAsia="宋体" w:cs="宋体"/>
          <w:b w:val="0"/>
          <w:color w:val="000000"/>
        </w:rPr>
        <w:t>八、询问与质疑</w:t>
      </w:r>
    </w:p>
    <w:p w14:paraId="0E52CD00">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34、询问</w:t>
      </w:r>
    </w:p>
    <w:p w14:paraId="674ED3D7">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34.1 </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对政府采购活动事项有疑问的，可以提出询问，采购人或者</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应当在3个工作日内对投标人依法提出的询问作出答复，但答复的内容不得涉及商业秘密。</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提出的询问超出采购人对</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委托授权范围的，</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应当告知其向采购人提出。</w:t>
      </w:r>
    </w:p>
    <w:p w14:paraId="1F28F412">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35、质疑提出</w:t>
      </w:r>
    </w:p>
    <w:p w14:paraId="0F669F37">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35.1 提出质疑的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应当是参与所质疑项目采购活动的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w:t>
      </w:r>
    </w:p>
    <w:p w14:paraId="3AA65D16">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35.2 </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认为采购文件、采购过程、采购结果使自己的权益受到损害的，可以在知道或者应知其权益受到损害之日（获取采购文件之日、中标公告发布之日）起七个工作日内以书面形式向采购人、</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提出质疑。</w:t>
      </w:r>
    </w:p>
    <w:p w14:paraId="1354FCA2">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应当在法定质疑期内一次性提出针对同一采购程序环节的质疑，</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如在法定期限内对同一采购程序环节提出多次质疑的，采购人、</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将只对</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第一次质疑作出答复。</w:t>
      </w:r>
    </w:p>
    <w:p w14:paraId="738F84BC">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未按照采购公告要求获取采购文件的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，视为未参与该项目采购活动，不具备对该采购文件提出质疑的法定权利。</w:t>
      </w:r>
    </w:p>
    <w:p w14:paraId="799CB200">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35.3 提出质疑时，必须坚持“实事求是”的原则，不能臆测。属于须由法定部门调查、侦查或先行作出相关认定的事项，质疑</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应当依法申请具有法定职权的部门查清、认定，并将相关结果提供给采购人、</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。采购人、</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不具有法定调查、认定权限。</w:t>
      </w:r>
    </w:p>
    <w:p w14:paraId="63A8D065">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35.4 质疑函的接收方式为</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书面原件提交。联系部门、联系电话和通讯地址详见招标文件第一章。质疑实行实名制，不得进行虚假、恶意质疑。</w:t>
      </w:r>
    </w:p>
    <w:p w14:paraId="33C557C3">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35.5 质疑函应当使用范本，详见招标文件第六章。</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提出质疑应当提交质疑函和必要的证明材料，应当包括下列内容：</w:t>
      </w:r>
    </w:p>
    <w:p w14:paraId="667C4E3F">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的姓名或者名称、地址、邮编、联系人及联系电话；</w:t>
      </w:r>
    </w:p>
    <w:p w14:paraId="138850CB">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（2）质疑项目的名称、编号；</w:t>
      </w:r>
    </w:p>
    <w:p w14:paraId="277218E5">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（3）具体、明确的质疑事项和与质疑事项相关的请求；</w:t>
      </w:r>
    </w:p>
    <w:p w14:paraId="3814CCA6">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（4）事实依据；</w:t>
      </w:r>
    </w:p>
    <w:p w14:paraId="7788D0BB">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（5）必要的法律依据；</w:t>
      </w:r>
    </w:p>
    <w:p w14:paraId="2E654A6D">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（6）提出质疑的日期；</w:t>
      </w:r>
    </w:p>
    <w:p w14:paraId="106FAD85">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（7）必要的证明材料；</w:t>
      </w:r>
    </w:p>
    <w:p w14:paraId="68B4F461">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（8）营业执照复印件及授权委托书原件、法定代表人（单位负责人）身份证复印件、委托代理人身份证复印件。</w:t>
      </w:r>
    </w:p>
    <w:p w14:paraId="2F859C88">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为自然人的，应当由本人签字；</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为法人或者其他组织的，应当由法定代表人、主要负责人，或者其委托代理人签字或者盖章，并加盖单位公章。</w:t>
      </w:r>
    </w:p>
    <w:p w14:paraId="203C5399">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4"/>
          <w:szCs w:val="24"/>
        </w:rPr>
      </w:pPr>
      <w:r>
        <w:rPr>
          <w:rFonts w:hint="eastAsia" w:ascii="宋体" w:hAnsi="宋体" w:eastAsia="宋体" w:cs="宋体"/>
          <w:color w:val="000000"/>
          <w:sz w:val="28"/>
          <w:szCs w:val="28"/>
        </w:rPr>
        <w:t>36、质疑函的受理和答复</w:t>
      </w:r>
    </w:p>
    <w:p w14:paraId="77F1D50B">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36.1 质疑</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应当保证其提出的质疑事项及必要的证明材料的真实性及来源的合法性，并承担相应的法律责任。对不能提供必要的证明材料的、涉及商业秘密的、非书面原件形式的、匿名的质疑函将不予受理。必要的证明材料要具备客观性、关联性、合法性，无法查实的（如宣传册、媒体报道、猜测、推理等）不能作为证明材料。采购人、</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不负责搜集必要的证明材料等工作。</w:t>
      </w:r>
    </w:p>
    <w:p w14:paraId="430A1D8A">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36.2 对符合法定要求的质疑，采购人、</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接收并登记《质疑函登记表》。在处理过程中，发现需要质疑</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进一步补充必要的证明材料的，质疑</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应在法定的时间内提供，质疑答复时间相应顺延。质疑</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不能按时提供必要的证明材料的，不利后果由质疑</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自行承担。</w:t>
      </w:r>
    </w:p>
    <w:p w14:paraId="19739844">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36.3 对不符合质疑要求的，采购人、</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有权要求其补充必要的证明材料，质疑</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未在法定时间内补充必要的证明材料的，不利后果由质疑</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自行承担。</w:t>
      </w:r>
    </w:p>
    <w:p w14:paraId="2F230235">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36.4 以下情形的质疑依法不予受理：</w:t>
      </w:r>
    </w:p>
    <w:p w14:paraId="297BB22F">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（1）内容不符合《政府采购质疑和投诉办法》第十二条规定的质疑。</w:t>
      </w:r>
    </w:p>
    <w:p w14:paraId="4342AB73">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（2）超出政府采购法定期限的质疑。</w:t>
      </w:r>
    </w:p>
    <w:p w14:paraId="4159FE03">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（3）以传真、电子邮件等方式递交的非原件形式的质疑。</w:t>
      </w:r>
    </w:p>
    <w:p w14:paraId="008D001C">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（4）未参与采购活动或在采购活动中自身权益未受到损害的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提出的质疑。</w:t>
      </w:r>
    </w:p>
    <w:p w14:paraId="71F0114C">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组成联合体，联合体中任何一方或多方未按要求签字（盖章）、加盖公章的质疑。</w:t>
      </w:r>
    </w:p>
    <w:p w14:paraId="21196DF4">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36.5 采购人、</w:t>
      </w: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依法受理的质疑，将按照政府采购有关规定，在法定期限内作出答复。</w:t>
      </w:r>
    </w:p>
    <w:p w14:paraId="3091433D">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36.6 因质疑</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所留联系方式无效，或者无故不接收，导致质疑答复结果无法送达的，视为质疑</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主动放弃知晓质疑答复结果的权利。</w:t>
      </w:r>
    </w:p>
    <w:p w14:paraId="28592AD2">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36.7 未尽事宜，依照有关法律、法规执行。</w:t>
      </w:r>
    </w:p>
    <w:p w14:paraId="42E5DB62">
      <w:pPr>
        <w:pStyle w:val="183"/>
        <w:pageBreakBefore w:val="0"/>
        <w:wordWrap/>
        <w:overflowPunct/>
        <w:topLinePunct w:val="0"/>
        <w:bidi w:val="0"/>
        <w:spacing w:before="0" w:after="0" w:line="360" w:lineRule="auto"/>
        <w:rPr>
          <w:rFonts w:hint="eastAsia" w:ascii="宋体" w:hAnsi="宋体" w:eastAsia="宋体" w:cs="宋体"/>
          <w:b w:val="0"/>
          <w:color w:val="000000"/>
        </w:rPr>
      </w:pPr>
      <w:r>
        <w:rPr>
          <w:rFonts w:hint="eastAsia" w:ascii="宋体" w:hAnsi="宋体" w:eastAsia="宋体" w:cs="宋体"/>
          <w:b w:val="0"/>
          <w:color w:val="000000"/>
        </w:rPr>
        <w:t>九、政府采购政策功能</w:t>
      </w:r>
    </w:p>
    <w:p w14:paraId="7E628CF0">
      <w:pPr>
        <w:pStyle w:val="184"/>
        <w:pageBreakBefore w:val="0"/>
        <w:wordWrap/>
        <w:overflowPunct/>
        <w:topLinePunct w:val="0"/>
        <w:bidi w:val="0"/>
        <w:spacing w:before="0" w:after="0" w:line="360" w:lineRule="auto"/>
        <w:ind w:firstLine="562"/>
        <w:jc w:val="left"/>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、促进中小企业发展</w:t>
      </w:r>
    </w:p>
    <w:p w14:paraId="18FB4CE2">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37.1 本项目执行《关于印发&lt;政府采购促进中小企业发展管理办法&gt;的通知》（财库〔2020〕46号）、《关于印发中小企业划型标准规定的通知》（工信部联企业〔2011〕300号）、《关于政府采购支持监狱企业发展有关问题的通知》（财库〔2014〕68号）、《关于促进残疾人就业政府采购政策的通知》（财库〔2017〕141号）、《关于进一步加大政府采购支持中小企业力度的通知》（财库〔2022〕19号）的规定，专门面向中型企业、小型企业、微型企业、残疾人福利性单位、监狱企业采购。</w:t>
      </w:r>
    </w:p>
    <w:p w14:paraId="4C8E2B8F">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37.2 参加本项目政府采购活动的</w:t>
      </w:r>
      <w:r>
        <w:rPr>
          <w:rFonts w:hint="eastAsia" w:ascii="宋体" w:hAnsi="宋体" w:eastAsia="宋体" w:cs="宋体"/>
          <w:sz w:val="24"/>
          <w:szCs w:val="24"/>
          <w:lang w:eastAsia="zh-CN"/>
        </w:rPr>
        <w:t>投标人</w:t>
      </w:r>
      <w:r>
        <w:rPr>
          <w:rFonts w:hint="eastAsia" w:ascii="宋体" w:hAnsi="宋体" w:eastAsia="宋体" w:cs="宋体"/>
          <w:sz w:val="24"/>
          <w:szCs w:val="24"/>
        </w:rPr>
        <w:t xml:space="preserve">应当提供的材料： </w:t>
      </w:r>
    </w:p>
    <w:p w14:paraId="691D7CC9">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（1）投标人为中型企业、小型企业、微型企业的，提供《中小企业声明函》（第六章 投标文件格式）。</w:t>
      </w:r>
    </w:p>
    <w:p w14:paraId="5CE4E4B8">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（2）符合《关于促进残疾人就业政府采购政策的通知》（财库〔2017〕141号）规定的条件并提供《残疾人福利性单位声明函》（第六章 投标文件格式）的残疾人福利性单位视同小型、微型企业。</w:t>
      </w:r>
    </w:p>
    <w:p w14:paraId="783D1A9B">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符合《关于政府采购支持监狱企业发展有关问题的通知》（财库〔2014〕68号）规定的监狱企业并提供省级以上监狱管理局、戒毒管理局（含新疆生产建设兵团）出具的属于监狱企业证明文件的，视同小型、微型企业。</w:t>
      </w:r>
    </w:p>
    <w:p w14:paraId="386377CE">
      <w:pPr>
        <w:keepNext/>
        <w:keepLines/>
        <w:pageBreakBefore w:val="0"/>
        <w:widowControl w:val="0"/>
        <w:kinsoku/>
        <w:wordWrap/>
        <w:overflowPunct/>
        <w:topLinePunct w:val="0"/>
        <w:autoSpaceDE/>
        <w:autoSpaceDN/>
        <w:bidi w:val="0"/>
        <w:adjustRightInd/>
        <w:snapToGrid/>
        <w:spacing w:before="0" w:after="0" w:line="360" w:lineRule="auto"/>
        <w:ind w:firstLine="482"/>
        <w:jc w:val="left"/>
        <w:textAlignment w:val="auto"/>
        <w:outlineLvl w:val="2"/>
        <w:rPr>
          <w:rFonts w:hint="eastAsia" w:ascii="宋体" w:hAnsi="宋体" w:eastAsia="宋体" w:cs="宋体"/>
          <w:b/>
          <w:bCs/>
          <w:sz w:val="28"/>
          <w:szCs w:val="28"/>
          <w:lang w:val="en-US" w:eastAsia="zh-CN" w:bidi="ar-SA"/>
        </w:rPr>
      </w:pPr>
      <w:r>
        <w:rPr>
          <w:rFonts w:hint="eastAsia" w:ascii="宋体" w:hAnsi="宋体" w:eastAsia="宋体" w:cs="宋体"/>
          <w:b/>
          <w:bCs/>
          <w:sz w:val="24"/>
          <w:szCs w:val="24"/>
          <w:lang w:val="en-US" w:eastAsia="zh-CN" w:bidi="ar-SA"/>
        </w:rPr>
        <w:t>37.3 享受扶持政策获得政府采购合同的，小微型企业不得将合同分包给大中型企业，中型企业不得将合同分包给大型企业。</w:t>
      </w:r>
    </w:p>
    <w:p w14:paraId="291C2549">
      <w:pPr>
        <w:pageBreakBefore w:val="0"/>
        <w:widowControl/>
        <w:wordWrap/>
        <w:overflowPunct/>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br w:type="page" w:clear="all"/>
      </w:r>
    </w:p>
    <w:p w14:paraId="0CB5B9DC">
      <w:pPr>
        <w:pStyle w:val="182"/>
        <w:pageBreakBefore w:val="0"/>
        <w:wordWrap/>
        <w:overflowPunct/>
        <w:topLinePunct w:val="0"/>
        <w:bidi w:val="0"/>
        <w:spacing w:before="156" w:after="156" w:line="360" w:lineRule="auto"/>
        <w:jc w:val="center"/>
        <w:rPr>
          <w:rFonts w:hint="eastAsia" w:ascii="宋体" w:hAnsi="宋体" w:eastAsia="宋体" w:cs="宋体"/>
          <w:b w:val="0"/>
          <w:color w:val="000000"/>
        </w:rPr>
      </w:pPr>
      <w:bookmarkStart w:id="2" w:name="_Toc155796358"/>
      <w:r>
        <w:rPr>
          <w:rFonts w:hint="eastAsia" w:ascii="宋体" w:hAnsi="宋体" w:eastAsia="宋体" w:cs="宋体"/>
          <w:b w:val="0"/>
          <w:color w:val="000000"/>
        </w:rPr>
        <w:t>第三章  合同文本</w:t>
      </w:r>
      <w:bookmarkEnd w:id="2"/>
    </w:p>
    <w:p w14:paraId="1EAEC9A4">
      <w:pPr>
        <w:keepNext w:val="0"/>
        <w:keepLines w:val="0"/>
        <w:pageBreakBefore w:val="0"/>
        <w:widowControl/>
        <w:kinsoku/>
        <w:wordWrap/>
        <w:overflowPunct/>
        <w:topLinePunct w:val="0"/>
        <w:autoSpaceDE/>
        <w:autoSpaceDN/>
        <w:bidi w:val="0"/>
        <w:snapToGrid/>
        <w:spacing w:after="0" w:line="360" w:lineRule="auto"/>
        <w:jc w:val="left"/>
        <w:rPr>
          <w:rFonts w:hint="eastAsia" w:ascii="宋体" w:hAnsi="宋体" w:eastAsia="宋体" w:cs="宋体"/>
          <w:kern w:val="2"/>
          <w:sz w:val="36"/>
          <w:szCs w:val="36"/>
          <w:lang w:val="en-US" w:eastAsia="en-US" w:bidi="ar-SA"/>
        </w:rPr>
      </w:pPr>
      <w:bookmarkStart w:id="3" w:name="_Toc155796359"/>
    </w:p>
    <w:p w14:paraId="2B7EC3B6">
      <w:pPr>
        <w:keepNext w:val="0"/>
        <w:keepLines w:val="0"/>
        <w:pageBreakBefore w:val="0"/>
        <w:widowControl/>
        <w:kinsoku/>
        <w:wordWrap/>
        <w:overflowPunct/>
        <w:topLinePunct w:val="0"/>
        <w:autoSpaceDE/>
        <w:autoSpaceDN/>
        <w:bidi w:val="0"/>
        <w:snapToGrid/>
        <w:spacing w:after="0" w:line="360" w:lineRule="auto"/>
        <w:jc w:val="center"/>
        <w:rPr>
          <w:rFonts w:hint="eastAsia" w:ascii="宋体" w:hAnsi="宋体" w:eastAsia="宋体" w:cs="宋体"/>
          <w:kern w:val="2"/>
          <w:sz w:val="48"/>
          <w:szCs w:val="48"/>
          <w:lang w:val="en-US" w:eastAsia="zh-CN" w:bidi="ar-SA"/>
        </w:rPr>
      </w:pPr>
      <w:r>
        <w:rPr>
          <w:rFonts w:hint="eastAsia" w:ascii="宋体" w:hAnsi="宋体" w:eastAsia="宋体" w:cs="宋体"/>
          <w:kern w:val="2"/>
          <w:sz w:val="48"/>
          <w:szCs w:val="48"/>
          <w:lang w:val="en-US" w:eastAsia="en-US" w:bidi="ar-SA"/>
        </w:rPr>
        <w:t>连 云 港 市 政 府 采 购 合</w:t>
      </w:r>
      <w:r>
        <w:rPr>
          <w:rFonts w:hint="eastAsia" w:ascii="宋体" w:hAnsi="宋体" w:eastAsia="宋体" w:cs="宋体"/>
          <w:kern w:val="2"/>
          <w:sz w:val="48"/>
          <w:szCs w:val="48"/>
          <w:lang w:val="en-US" w:eastAsia="zh-CN" w:bidi="ar-SA"/>
        </w:rPr>
        <w:t xml:space="preserve"> </w:t>
      </w:r>
      <w:r>
        <w:rPr>
          <w:rFonts w:hint="eastAsia" w:ascii="宋体" w:hAnsi="宋体" w:eastAsia="宋体" w:cs="宋体"/>
          <w:kern w:val="2"/>
          <w:sz w:val="48"/>
          <w:szCs w:val="48"/>
          <w:lang w:val="en-US" w:eastAsia="en-US" w:bidi="ar-SA"/>
        </w:rPr>
        <w:t>同</w:t>
      </w:r>
    </w:p>
    <w:p w14:paraId="5AD54951">
      <w:pPr>
        <w:keepNext w:val="0"/>
        <w:keepLines w:val="0"/>
        <w:pageBreakBefore w:val="0"/>
        <w:widowControl/>
        <w:kinsoku/>
        <w:wordWrap/>
        <w:overflowPunct/>
        <w:topLinePunct w:val="0"/>
        <w:autoSpaceDE/>
        <w:autoSpaceDN/>
        <w:bidi w:val="0"/>
        <w:snapToGrid/>
        <w:spacing w:after="0" w:line="360" w:lineRule="auto"/>
        <w:jc w:val="left"/>
        <w:rPr>
          <w:rFonts w:hint="eastAsia" w:ascii="宋体" w:hAnsi="宋体" w:eastAsia="宋体" w:cs="宋体"/>
          <w:kern w:val="2"/>
          <w:sz w:val="36"/>
          <w:szCs w:val="36"/>
          <w:lang w:val="en-US" w:eastAsia="en-US" w:bidi="ar-SA"/>
        </w:rPr>
      </w:pPr>
    </w:p>
    <w:p w14:paraId="179C90D5">
      <w:pPr>
        <w:keepNext w:val="0"/>
        <w:keepLines w:val="0"/>
        <w:pageBreakBefore w:val="0"/>
        <w:widowControl/>
        <w:kinsoku/>
        <w:wordWrap/>
        <w:overflowPunct/>
        <w:topLinePunct w:val="0"/>
        <w:autoSpaceDE/>
        <w:autoSpaceDN/>
        <w:bidi w:val="0"/>
        <w:snapToGrid/>
        <w:spacing w:after="0" w:line="360" w:lineRule="auto"/>
        <w:jc w:val="left"/>
        <w:rPr>
          <w:rFonts w:hint="eastAsia" w:ascii="宋体" w:hAnsi="宋体" w:eastAsia="宋体" w:cs="宋体"/>
          <w:kern w:val="2"/>
          <w:sz w:val="36"/>
          <w:szCs w:val="36"/>
          <w:lang w:val="en-US" w:eastAsia="en-US" w:bidi="ar-SA"/>
        </w:rPr>
      </w:pPr>
    </w:p>
    <w:p w14:paraId="75D5D2E2">
      <w:pPr>
        <w:keepNext w:val="0"/>
        <w:keepLines w:val="0"/>
        <w:pageBreakBefore w:val="0"/>
        <w:widowControl/>
        <w:kinsoku/>
        <w:wordWrap/>
        <w:overflowPunct/>
        <w:topLinePunct w:val="0"/>
        <w:autoSpaceDE/>
        <w:autoSpaceDN/>
        <w:bidi w:val="0"/>
        <w:snapToGrid/>
        <w:spacing w:after="0" w:line="360" w:lineRule="auto"/>
        <w:ind w:firstLine="1800" w:firstLineChars="500"/>
        <w:jc w:val="left"/>
        <w:rPr>
          <w:rFonts w:hint="eastAsia" w:ascii="宋体" w:hAnsi="宋体" w:eastAsia="宋体" w:cs="宋体"/>
          <w:kern w:val="2"/>
          <w:sz w:val="36"/>
          <w:szCs w:val="36"/>
          <w:lang w:val="en-US" w:eastAsia="en-US" w:bidi="ar-SA"/>
        </w:rPr>
      </w:pPr>
    </w:p>
    <w:p w14:paraId="1AF3842C">
      <w:pPr>
        <w:keepNext w:val="0"/>
        <w:keepLines w:val="0"/>
        <w:pageBreakBefore w:val="0"/>
        <w:widowControl/>
        <w:kinsoku/>
        <w:wordWrap/>
        <w:overflowPunct/>
        <w:topLinePunct w:val="0"/>
        <w:autoSpaceDE/>
        <w:autoSpaceDN/>
        <w:bidi w:val="0"/>
        <w:snapToGrid/>
        <w:spacing w:after="0" w:line="360" w:lineRule="auto"/>
        <w:ind w:firstLine="1800" w:firstLineChars="500"/>
        <w:jc w:val="left"/>
        <w:rPr>
          <w:rFonts w:hint="eastAsia" w:ascii="宋体" w:hAnsi="宋体" w:eastAsia="宋体" w:cs="宋体"/>
          <w:kern w:val="2"/>
          <w:sz w:val="36"/>
          <w:szCs w:val="36"/>
          <w:lang w:val="en-US" w:eastAsia="en-US" w:bidi="ar-SA"/>
        </w:rPr>
      </w:pPr>
      <w:r>
        <w:rPr>
          <w:rFonts w:hint="eastAsia" w:ascii="宋体" w:hAnsi="宋体" w:eastAsia="宋体" w:cs="宋体"/>
          <w:kern w:val="2"/>
          <w:sz w:val="36"/>
          <w:szCs w:val="36"/>
          <w:lang w:val="en-US" w:eastAsia="en-US" w:bidi="ar-SA"/>
        </w:rPr>
        <w:t>合同编号：</w:t>
      </w:r>
    </w:p>
    <w:p w14:paraId="7547D6F8">
      <w:pPr>
        <w:keepNext w:val="0"/>
        <w:keepLines w:val="0"/>
        <w:pageBreakBefore w:val="0"/>
        <w:widowControl/>
        <w:kinsoku/>
        <w:wordWrap/>
        <w:overflowPunct/>
        <w:topLinePunct w:val="0"/>
        <w:autoSpaceDE/>
        <w:autoSpaceDN/>
        <w:bidi w:val="0"/>
        <w:snapToGrid/>
        <w:spacing w:after="0" w:line="360" w:lineRule="auto"/>
        <w:jc w:val="left"/>
        <w:rPr>
          <w:rFonts w:hint="eastAsia" w:ascii="宋体" w:hAnsi="宋体" w:eastAsia="宋体" w:cs="宋体"/>
          <w:kern w:val="2"/>
          <w:sz w:val="36"/>
          <w:szCs w:val="36"/>
          <w:lang w:val="en-US" w:eastAsia="en-US" w:bidi="ar-SA"/>
        </w:rPr>
      </w:pPr>
    </w:p>
    <w:p w14:paraId="600B6485">
      <w:pPr>
        <w:keepNext w:val="0"/>
        <w:keepLines w:val="0"/>
        <w:pageBreakBefore w:val="0"/>
        <w:widowControl/>
        <w:kinsoku/>
        <w:wordWrap/>
        <w:overflowPunct/>
        <w:topLinePunct w:val="0"/>
        <w:autoSpaceDE/>
        <w:autoSpaceDN/>
        <w:bidi w:val="0"/>
        <w:snapToGrid/>
        <w:spacing w:after="0" w:line="360" w:lineRule="auto"/>
        <w:jc w:val="left"/>
        <w:rPr>
          <w:rFonts w:hint="eastAsia" w:ascii="宋体" w:hAnsi="宋体" w:eastAsia="宋体" w:cs="宋体"/>
          <w:kern w:val="2"/>
          <w:sz w:val="36"/>
          <w:szCs w:val="36"/>
          <w:lang w:val="en-US" w:eastAsia="en-US" w:bidi="ar-SA"/>
        </w:rPr>
      </w:pPr>
    </w:p>
    <w:p w14:paraId="21B5FC99">
      <w:pPr>
        <w:keepNext w:val="0"/>
        <w:keepLines w:val="0"/>
        <w:pageBreakBefore w:val="0"/>
        <w:widowControl/>
        <w:kinsoku/>
        <w:wordWrap/>
        <w:overflowPunct/>
        <w:topLinePunct w:val="0"/>
        <w:autoSpaceDE/>
        <w:autoSpaceDN/>
        <w:bidi w:val="0"/>
        <w:snapToGrid/>
        <w:spacing w:after="0" w:line="360" w:lineRule="auto"/>
        <w:jc w:val="left"/>
        <w:rPr>
          <w:rFonts w:hint="eastAsia" w:ascii="宋体" w:hAnsi="宋体" w:eastAsia="宋体" w:cs="宋体"/>
          <w:kern w:val="2"/>
          <w:sz w:val="36"/>
          <w:szCs w:val="36"/>
          <w:lang w:val="en-US" w:eastAsia="en-US" w:bidi="ar-SA"/>
        </w:rPr>
      </w:pPr>
    </w:p>
    <w:p w14:paraId="32525273">
      <w:pPr>
        <w:keepNext w:val="0"/>
        <w:keepLines w:val="0"/>
        <w:pageBreakBefore w:val="0"/>
        <w:widowControl/>
        <w:kinsoku/>
        <w:wordWrap/>
        <w:overflowPunct/>
        <w:topLinePunct w:val="0"/>
        <w:autoSpaceDE/>
        <w:autoSpaceDN/>
        <w:bidi w:val="0"/>
        <w:snapToGrid/>
        <w:spacing w:after="0" w:line="360" w:lineRule="auto"/>
        <w:jc w:val="left"/>
        <w:rPr>
          <w:rFonts w:hint="eastAsia" w:ascii="宋体" w:hAnsi="宋体" w:eastAsia="宋体" w:cs="宋体"/>
          <w:kern w:val="2"/>
          <w:sz w:val="36"/>
          <w:szCs w:val="36"/>
          <w:lang w:val="en-US" w:eastAsia="en-US" w:bidi="ar-SA"/>
        </w:rPr>
      </w:pPr>
    </w:p>
    <w:p w14:paraId="2410FFAF">
      <w:pPr>
        <w:keepNext w:val="0"/>
        <w:keepLines w:val="0"/>
        <w:pageBreakBefore w:val="0"/>
        <w:widowControl/>
        <w:kinsoku/>
        <w:wordWrap/>
        <w:overflowPunct/>
        <w:topLinePunct w:val="0"/>
        <w:autoSpaceDE/>
        <w:autoSpaceDN/>
        <w:bidi w:val="0"/>
        <w:snapToGrid/>
        <w:spacing w:after="0" w:line="360" w:lineRule="auto"/>
        <w:jc w:val="left"/>
        <w:rPr>
          <w:rFonts w:hint="eastAsia" w:ascii="宋体" w:hAnsi="宋体" w:eastAsia="宋体" w:cs="宋体"/>
          <w:kern w:val="2"/>
          <w:sz w:val="36"/>
          <w:szCs w:val="36"/>
          <w:lang w:val="en-US" w:eastAsia="en-US" w:bidi="ar-SA"/>
        </w:rPr>
      </w:pPr>
    </w:p>
    <w:p w14:paraId="7586E07D">
      <w:pPr>
        <w:keepNext w:val="0"/>
        <w:keepLines w:val="0"/>
        <w:pageBreakBefore w:val="0"/>
        <w:widowControl/>
        <w:kinsoku/>
        <w:wordWrap/>
        <w:overflowPunct/>
        <w:topLinePunct w:val="0"/>
        <w:autoSpaceDE/>
        <w:autoSpaceDN/>
        <w:bidi w:val="0"/>
        <w:snapToGrid/>
        <w:spacing w:after="0" w:line="360" w:lineRule="auto"/>
        <w:jc w:val="left"/>
        <w:rPr>
          <w:rFonts w:hint="eastAsia" w:ascii="宋体" w:hAnsi="宋体" w:eastAsia="宋体" w:cs="宋体"/>
          <w:kern w:val="2"/>
          <w:sz w:val="36"/>
          <w:szCs w:val="36"/>
          <w:lang w:val="en-US" w:eastAsia="en-US" w:bidi="ar-SA"/>
        </w:rPr>
      </w:pPr>
    </w:p>
    <w:p w14:paraId="642D3BDB">
      <w:pPr>
        <w:keepNext w:val="0"/>
        <w:keepLines w:val="0"/>
        <w:pageBreakBefore w:val="0"/>
        <w:widowControl/>
        <w:kinsoku/>
        <w:wordWrap/>
        <w:overflowPunct/>
        <w:topLinePunct w:val="0"/>
        <w:autoSpaceDE/>
        <w:autoSpaceDN/>
        <w:bidi w:val="0"/>
        <w:snapToGrid/>
        <w:spacing w:after="0" w:line="360" w:lineRule="auto"/>
        <w:jc w:val="left"/>
        <w:rPr>
          <w:rFonts w:hint="eastAsia" w:ascii="宋体" w:hAnsi="宋体" w:eastAsia="宋体" w:cs="宋体"/>
          <w:kern w:val="2"/>
          <w:sz w:val="36"/>
          <w:szCs w:val="36"/>
          <w:lang w:val="en-US" w:eastAsia="en-US" w:bidi="ar-SA"/>
        </w:rPr>
      </w:pPr>
    </w:p>
    <w:p w14:paraId="30622742">
      <w:pPr>
        <w:keepNext w:val="0"/>
        <w:keepLines w:val="0"/>
        <w:pageBreakBefore w:val="0"/>
        <w:widowControl/>
        <w:kinsoku/>
        <w:wordWrap/>
        <w:overflowPunct/>
        <w:topLinePunct w:val="0"/>
        <w:autoSpaceDE/>
        <w:autoSpaceDN/>
        <w:bidi w:val="0"/>
        <w:snapToGrid/>
        <w:spacing w:after="0" w:line="360" w:lineRule="auto"/>
        <w:jc w:val="left"/>
        <w:rPr>
          <w:rFonts w:hint="eastAsia" w:ascii="宋体" w:hAnsi="宋体" w:eastAsia="宋体" w:cs="宋体"/>
          <w:kern w:val="2"/>
          <w:sz w:val="36"/>
          <w:szCs w:val="36"/>
          <w:lang w:val="en-US" w:eastAsia="en-US" w:bidi="ar-SA"/>
        </w:rPr>
      </w:pPr>
    </w:p>
    <w:p w14:paraId="38C41778">
      <w:pPr>
        <w:keepNext w:val="0"/>
        <w:keepLines w:val="0"/>
        <w:pageBreakBefore w:val="0"/>
        <w:widowControl/>
        <w:kinsoku/>
        <w:wordWrap/>
        <w:overflowPunct/>
        <w:topLinePunct w:val="0"/>
        <w:autoSpaceDE/>
        <w:autoSpaceDN/>
        <w:bidi w:val="0"/>
        <w:snapToGrid/>
        <w:spacing w:after="0" w:line="360" w:lineRule="auto"/>
        <w:ind w:left="1680" w:leftChars="0" w:firstLine="420" w:firstLineChars="0"/>
        <w:jc w:val="left"/>
        <w:rPr>
          <w:rFonts w:hint="eastAsia" w:ascii="宋体" w:hAnsi="宋体" w:eastAsia="宋体" w:cs="宋体"/>
          <w:kern w:val="2"/>
          <w:sz w:val="36"/>
          <w:szCs w:val="36"/>
          <w:u w:val="single"/>
          <w:lang w:val="en-US" w:eastAsia="zh-CN" w:bidi="ar-SA"/>
        </w:rPr>
      </w:pPr>
      <w:r>
        <w:rPr>
          <w:rFonts w:hint="eastAsia" w:ascii="宋体" w:hAnsi="宋体" w:eastAsia="宋体" w:cs="宋体"/>
          <w:kern w:val="2"/>
          <w:sz w:val="36"/>
          <w:szCs w:val="36"/>
          <w:lang w:val="en-US" w:eastAsia="en-US" w:bidi="ar-SA"/>
        </w:rPr>
        <w:t>采购人：</w:t>
      </w:r>
      <w:r>
        <w:rPr>
          <w:rFonts w:hint="eastAsia" w:ascii="宋体" w:hAnsi="宋体" w:eastAsia="宋体" w:cs="宋体"/>
          <w:kern w:val="2"/>
          <w:sz w:val="36"/>
          <w:szCs w:val="36"/>
          <w:u w:val="single"/>
          <w:lang w:val="en-US" w:eastAsia="zh-CN" w:bidi="ar-SA"/>
        </w:rPr>
        <w:t xml:space="preserve">                       </w:t>
      </w:r>
    </w:p>
    <w:p w14:paraId="36198FAD">
      <w:pPr>
        <w:keepNext w:val="0"/>
        <w:keepLines w:val="0"/>
        <w:pageBreakBefore w:val="0"/>
        <w:widowControl/>
        <w:kinsoku/>
        <w:wordWrap/>
        <w:overflowPunct/>
        <w:topLinePunct w:val="0"/>
        <w:autoSpaceDE/>
        <w:autoSpaceDN/>
        <w:bidi w:val="0"/>
        <w:snapToGrid/>
        <w:spacing w:after="0" w:line="360" w:lineRule="auto"/>
        <w:ind w:left="1680" w:leftChars="0" w:firstLine="420" w:firstLineChars="0"/>
        <w:jc w:val="left"/>
        <w:rPr>
          <w:rFonts w:hint="eastAsia" w:ascii="宋体" w:hAnsi="宋体" w:eastAsia="宋体" w:cs="宋体"/>
          <w:kern w:val="2"/>
          <w:sz w:val="36"/>
          <w:szCs w:val="36"/>
          <w:u w:val="single"/>
          <w:lang w:val="en-US" w:eastAsia="zh-CN" w:bidi="ar-SA"/>
        </w:rPr>
      </w:pPr>
      <w:r>
        <w:rPr>
          <w:rFonts w:hint="eastAsia" w:ascii="宋体" w:hAnsi="宋体" w:eastAsia="宋体" w:cs="宋体"/>
          <w:kern w:val="2"/>
          <w:sz w:val="36"/>
          <w:szCs w:val="36"/>
          <w:lang w:val="en-US" w:eastAsia="en-US" w:bidi="ar-SA"/>
        </w:rPr>
        <w:t>中标人：</w:t>
      </w:r>
      <w:r>
        <w:rPr>
          <w:rFonts w:hint="eastAsia" w:ascii="宋体" w:hAnsi="宋体" w:eastAsia="宋体" w:cs="宋体"/>
          <w:kern w:val="2"/>
          <w:sz w:val="36"/>
          <w:szCs w:val="36"/>
          <w:u w:val="single"/>
          <w:lang w:val="en-US" w:eastAsia="zh-CN" w:bidi="ar-SA"/>
        </w:rPr>
        <w:t xml:space="preserve">                       </w:t>
      </w:r>
    </w:p>
    <w:p w14:paraId="4A5E9CE1">
      <w:pPr>
        <w:keepNext w:val="0"/>
        <w:keepLines w:val="0"/>
        <w:pageBreakBefore w:val="0"/>
        <w:widowControl/>
        <w:kinsoku/>
        <w:wordWrap/>
        <w:overflowPunct/>
        <w:topLinePunct w:val="0"/>
        <w:autoSpaceDE/>
        <w:autoSpaceDN/>
        <w:bidi w:val="0"/>
        <w:snapToGrid/>
        <w:spacing w:after="0" w:line="360" w:lineRule="auto"/>
        <w:jc w:val="left"/>
        <w:rPr>
          <w:rFonts w:hint="eastAsia" w:ascii="宋体" w:hAnsi="宋体" w:eastAsia="宋体" w:cs="宋体"/>
          <w:kern w:val="2"/>
          <w:sz w:val="36"/>
          <w:szCs w:val="36"/>
          <w:lang w:val="en-US" w:eastAsia="en-US" w:bidi="ar-SA"/>
        </w:rPr>
      </w:pPr>
    </w:p>
    <w:p w14:paraId="7C8CBCB0">
      <w:pPr>
        <w:keepNext w:val="0"/>
        <w:keepLines w:val="0"/>
        <w:pageBreakBefore w:val="0"/>
        <w:widowControl/>
        <w:kinsoku/>
        <w:wordWrap/>
        <w:overflowPunct/>
        <w:topLinePunct w:val="0"/>
        <w:autoSpaceDE/>
        <w:autoSpaceDN/>
        <w:bidi w:val="0"/>
        <w:snapToGrid/>
        <w:spacing w:after="0" w:line="360" w:lineRule="auto"/>
        <w:jc w:val="left"/>
        <w:rPr>
          <w:rFonts w:hint="eastAsia" w:ascii="宋体" w:hAnsi="宋体" w:eastAsia="宋体" w:cs="宋体"/>
          <w:kern w:val="2"/>
          <w:sz w:val="36"/>
          <w:szCs w:val="36"/>
          <w:lang w:val="en-US" w:eastAsia="en-US" w:bidi="ar-SA"/>
        </w:rPr>
      </w:pPr>
    </w:p>
    <w:p w14:paraId="3AC1228F">
      <w:pPr>
        <w:pageBreakBefore w:val="0"/>
        <w:wordWrap/>
        <w:overflowPunct/>
        <w:topLinePunct w:val="0"/>
        <w:bidi w:val="0"/>
        <w:spacing w:line="360" w:lineRule="auto"/>
        <w:jc w:val="center"/>
        <w:rPr>
          <w:rFonts w:hint="eastAsia" w:ascii="宋体" w:hAnsi="宋体" w:eastAsia="宋体" w:cs="宋体"/>
          <w:b/>
          <w:bCs/>
          <w:kern w:val="2"/>
          <w:sz w:val="28"/>
          <w:szCs w:val="28"/>
          <w:lang w:val="en-US" w:eastAsia="zh-CN" w:bidi="ar-SA"/>
        </w:rPr>
      </w:pPr>
      <w:r>
        <w:rPr>
          <w:rFonts w:hint="eastAsia" w:ascii="宋体" w:hAnsi="宋体" w:eastAsia="宋体" w:cs="宋体"/>
          <w:b/>
          <w:bCs/>
          <w:color w:val="000000"/>
          <w:sz w:val="32"/>
          <w:szCs w:val="32"/>
          <w:lang w:eastAsia="zh-CN"/>
        </w:rPr>
        <w:t>东海县残疾人寄宿制托养服务项目</w:t>
      </w:r>
      <w:r>
        <w:rPr>
          <w:rFonts w:hint="eastAsia" w:ascii="宋体" w:hAnsi="宋体" w:eastAsia="宋体" w:cs="宋体"/>
          <w:b/>
          <w:bCs/>
          <w:color w:val="000000"/>
          <w:sz w:val="32"/>
          <w:szCs w:val="32"/>
          <w:lang w:val="en-US" w:eastAsia="zh-CN"/>
        </w:rPr>
        <w:t>采购合同（分包：  ）</w:t>
      </w:r>
    </w:p>
    <w:p w14:paraId="13FBEDAD">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kern w:val="2"/>
          <w:sz w:val="22"/>
          <w:szCs w:val="22"/>
          <w:lang w:val="en-US" w:eastAsia="zh-CN" w:bidi="ar-SA"/>
        </w:rPr>
      </w:pPr>
    </w:p>
    <w:p w14:paraId="54D27A14">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甲方：</w:t>
      </w:r>
      <w:r>
        <w:rPr>
          <w:rFonts w:hint="eastAsia" w:ascii="宋体" w:hAnsi="宋体" w:eastAsia="宋体" w:cs="宋体"/>
          <w:kern w:val="2"/>
          <w:sz w:val="24"/>
          <w:szCs w:val="24"/>
          <w:u w:val="single"/>
          <w:lang w:val="en-US" w:eastAsia="zh-CN" w:bidi="ar-SA"/>
        </w:rPr>
        <w:t xml:space="preserve">                  </w:t>
      </w:r>
    </w:p>
    <w:p w14:paraId="6FE1AC5B">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乙方：</w:t>
      </w:r>
      <w:r>
        <w:rPr>
          <w:rFonts w:hint="eastAsia" w:ascii="宋体" w:hAnsi="宋体" w:eastAsia="宋体" w:cs="宋体"/>
          <w:kern w:val="2"/>
          <w:sz w:val="24"/>
          <w:szCs w:val="24"/>
          <w:u w:val="single"/>
          <w:lang w:val="en-US" w:eastAsia="zh-CN" w:bidi="ar-SA"/>
        </w:rPr>
        <w:t xml:space="preserve">                  </w:t>
      </w:r>
    </w:p>
    <w:p w14:paraId="1ED1F36C">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见证方：江苏永安工程项目管理有限公司</w:t>
      </w:r>
    </w:p>
    <w:p w14:paraId="6805585F">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甲、乙双方根据</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r>
        <w:rPr>
          <w:rFonts w:hint="eastAsia" w:ascii="宋体" w:hAnsi="宋体" w:eastAsia="宋体" w:cs="宋体"/>
          <w:kern w:val="2"/>
          <w:sz w:val="24"/>
          <w:szCs w:val="24"/>
          <w:u w:val="single"/>
          <w:lang w:val="en-US" w:eastAsia="zh-CN" w:bidi="ar-SA"/>
        </w:rPr>
        <w:t>【标段名称】</w:t>
      </w:r>
      <w:r>
        <w:rPr>
          <w:rFonts w:hint="eastAsia" w:ascii="宋体" w:hAnsi="宋体" w:eastAsia="宋体" w:cs="宋体"/>
          <w:kern w:val="2"/>
          <w:sz w:val="24"/>
          <w:szCs w:val="24"/>
          <w:lang w:val="en-US" w:eastAsia="zh-CN" w:bidi="ar-SA"/>
        </w:rPr>
        <w:t>项目（标段编号：</w:t>
      </w:r>
      <w:r>
        <w:rPr>
          <w:rFonts w:hint="eastAsia" w:ascii="宋体" w:hAnsi="宋体" w:eastAsia="宋体" w:cs="宋体"/>
          <w:kern w:val="2"/>
          <w:sz w:val="24"/>
          <w:szCs w:val="24"/>
          <w:u w:val="single"/>
          <w:lang w:val="en-US" w:eastAsia="zh-CN" w:bidi="ar-SA"/>
        </w:rPr>
        <w:t>【标段编号】</w:t>
      </w:r>
      <w:r>
        <w:rPr>
          <w:rFonts w:hint="eastAsia" w:ascii="宋体" w:hAnsi="宋体" w:eastAsia="宋体" w:cs="宋体"/>
          <w:kern w:val="2"/>
          <w:sz w:val="24"/>
          <w:szCs w:val="24"/>
          <w:lang w:val="en-US" w:eastAsia="zh-CN" w:bidi="ar-SA"/>
        </w:rPr>
        <w:t>） 招标的结果，签订本合同。</w:t>
      </w:r>
    </w:p>
    <w:p w14:paraId="110E7C77">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一、采购标的</w:t>
      </w:r>
    </w:p>
    <w:p w14:paraId="6B2C04B9">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  服务内容：</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3920EFC1">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  服务期限：</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3AA62309">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  补充条款：</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31738ABB">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二、合同金额</w:t>
      </w:r>
    </w:p>
    <w:p w14:paraId="79D56482">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2.1  本合同金额为人民币（大写）： </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元整（小写：   ），报价明细详见附件。</w:t>
      </w:r>
    </w:p>
    <w:p w14:paraId="0DA3B9EB">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  本合同价款包含所有乙方提供合同约定产品和服务的报酬及乙方提供合同中产品和服务所支出的必要费用，甲方在上述合同价款之外不再向乙方支付其他任何费用。</w:t>
      </w:r>
    </w:p>
    <w:p w14:paraId="2A065E60">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FF0000"/>
          <w:kern w:val="2"/>
          <w:sz w:val="24"/>
          <w:szCs w:val="24"/>
          <w:lang w:val="en-US" w:eastAsia="zh-CN" w:bidi="ar-SA"/>
        </w:rPr>
      </w:pPr>
      <w:r>
        <w:rPr>
          <w:rFonts w:hint="eastAsia" w:ascii="宋体" w:hAnsi="宋体" w:eastAsia="宋体" w:cs="宋体"/>
          <w:kern w:val="2"/>
          <w:sz w:val="24"/>
          <w:szCs w:val="24"/>
          <w:lang w:val="en-US" w:eastAsia="zh-CN" w:bidi="ar-SA"/>
        </w:rPr>
        <w:t>三、</w:t>
      </w:r>
      <w:r>
        <w:rPr>
          <w:rFonts w:hint="eastAsia" w:ascii="宋体" w:hAnsi="宋体" w:eastAsia="宋体" w:cs="宋体"/>
          <w:color w:val="auto"/>
          <w:kern w:val="2"/>
          <w:sz w:val="24"/>
          <w:szCs w:val="24"/>
          <w:lang w:val="en-US" w:eastAsia="zh-CN" w:bidi="ar-SA"/>
        </w:rPr>
        <w:t>技术资料</w:t>
      </w:r>
    </w:p>
    <w:p w14:paraId="36702247">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  乙方应按招标文件规定的时间向甲方提供有关技术资料。</w:t>
      </w:r>
    </w:p>
    <w:p w14:paraId="16E90056">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  没有甲方事先书面同意，乙方不得将由甲方提供的有关合同或任何合同条文、规 格、计划、图纸、样品或资料提供给与履行本合同无关的任何其他人。即使向履行本合同 有关的人员提供，也应注意保密并限于履行合同的必需范围。</w:t>
      </w:r>
    </w:p>
    <w:p w14:paraId="12A61C65">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四、知识产权</w:t>
      </w:r>
    </w:p>
    <w:p w14:paraId="576B3876">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4.1  乙方应保证甲方在使用、接受本合同中产品和服务或其任何一部分时不受第三方 提出侵犯其专利权、版权、商标权和工业设计权等知识产权的起诉。一旦出现侵权，由乙方负全部责任。</w:t>
      </w:r>
    </w:p>
    <w:p w14:paraId="78F599C5">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FF0000"/>
          <w:kern w:val="2"/>
          <w:sz w:val="24"/>
          <w:szCs w:val="24"/>
          <w:lang w:val="en-US" w:eastAsia="en-US" w:bidi="ar-SA"/>
        </w:rPr>
      </w:pPr>
      <w:r>
        <w:rPr>
          <w:rFonts w:hint="eastAsia" w:ascii="宋体" w:hAnsi="宋体" w:eastAsia="宋体" w:cs="宋体"/>
          <w:kern w:val="2"/>
          <w:sz w:val="24"/>
          <w:szCs w:val="24"/>
          <w:lang w:val="en-US" w:eastAsia="en-US" w:bidi="ar-SA"/>
        </w:rPr>
        <w:t>五、</w:t>
      </w:r>
      <w:r>
        <w:rPr>
          <w:rFonts w:hint="eastAsia" w:ascii="宋体" w:hAnsi="宋体" w:eastAsia="宋体" w:cs="宋体"/>
          <w:color w:val="auto"/>
          <w:kern w:val="2"/>
          <w:sz w:val="24"/>
          <w:szCs w:val="24"/>
          <w:lang w:val="en-US" w:eastAsia="en-US" w:bidi="ar-SA"/>
        </w:rPr>
        <w:t>产权担保</w:t>
      </w:r>
    </w:p>
    <w:p w14:paraId="78DC3751">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5.1  乙方保证所交付标的的所有权完全属于乙方且无任何抵押、查封等产权瑕疵。</w:t>
      </w:r>
    </w:p>
    <w:p w14:paraId="015BB9D0">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六、履约保证金</w:t>
      </w:r>
    </w:p>
    <w:p w14:paraId="3BD9FCD5">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6.1 本项目不收取履约保证金。</w:t>
      </w:r>
    </w:p>
    <w:p w14:paraId="6030356B">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en-US" w:bidi="ar-SA"/>
        </w:rPr>
        <w:t>七、转包或分包</w:t>
      </w:r>
    </w:p>
    <w:p w14:paraId="03876CA6">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7.1  本合同范围内产品或服务，应由乙方直接供应，不得转让他人供应或部分分包给他人供应。</w:t>
      </w:r>
    </w:p>
    <w:p w14:paraId="18BC2E95">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7.2  如有转让和未经甲方同意的分包行为，甲方有权终止合同。</w:t>
      </w:r>
    </w:p>
    <w:p w14:paraId="70065FC6">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八、服务时间</w:t>
      </w:r>
    </w:p>
    <w:p w14:paraId="19BCB223">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8.1  服务时间：</w:t>
      </w:r>
      <w:r>
        <w:rPr>
          <w:rFonts w:hint="eastAsia" w:ascii="宋体" w:hAnsi="宋体" w:eastAsia="宋体" w:cs="宋体"/>
          <w:kern w:val="2"/>
          <w:sz w:val="24"/>
          <w:szCs w:val="24"/>
          <w:u w:val="single"/>
          <w:lang w:val="en-US" w:eastAsia="en-US" w:bidi="ar-SA"/>
        </w:rPr>
        <w:t xml:space="preserve">    </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u w:val="single"/>
          <w:lang w:val="en-US" w:eastAsia="en-US" w:bidi="ar-SA"/>
        </w:rPr>
        <w:t xml:space="preserve">     </w:t>
      </w:r>
      <w:r>
        <w:rPr>
          <w:rFonts w:hint="eastAsia" w:ascii="宋体" w:hAnsi="宋体" w:eastAsia="宋体" w:cs="宋体"/>
          <w:kern w:val="2"/>
          <w:sz w:val="24"/>
          <w:szCs w:val="24"/>
          <w:lang w:val="en-US" w:eastAsia="en-US" w:bidi="ar-SA"/>
        </w:rPr>
        <w:t>。</w:t>
      </w:r>
    </w:p>
    <w:p w14:paraId="2AE41F1B">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九、交付期、交付方式及交付地点</w:t>
      </w:r>
    </w:p>
    <w:p w14:paraId="308BF4CF">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 xml:space="preserve">9.1  交 付 期： </w:t>
      </w:r>
      <w:r>
        <w:rPr>
          <w:rFonts w:hint="eastAsia" w:ascii="宋体" w:hAnsi="宋体" w:eastAsia="宋体" w:cs="宋体"/>
          <w:kern w:val="2"/>
          <w:sz w:val="24"/>
          <w:szCs w:val="24"/>
          <w:u w:val="single"/>
          <w:lang w:val="en-US" w:eastAsia="en-US" w:bidi="ar-SA"/>
        </w:rPr>
        <w:t xml:space="preserve">    </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u w:val="single"/>
          <w:lang w:val="en-US" w:eastAsia="en-US" w:bidi="ar-SA"/>
        </w:rPr>
        <w:t xml:space="preserve">     </w:t>
      </w:r>
      <w:r>
        <w:rPr>
          <w:rFonts w:hint="eastAsia" w:ascii="宋体" w:hAnsi="宋体" w:eastAsia="宋体" w:cs="宋体"/>
          <w:kern w:val="2"/>
          <w:sz w:val="24"/>
          <w:szCs w:val="24"/>
          <w:lang w:val="en-US" w:eastAsia="en-US" w:bidi="ar-SA"/>
        </w:rPr>
        <w:t>。</w:t>
      </w:r>
    </w:p>
    <w:p w14:paraId="68CD8BD1">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9.2  交付方式：</w:t>
      </w:r>
      <w:r>
        <w:rPr>
          <w:rFonts w:hint="eastAsia" w:ascii="宋体" w:hAnsi="宋体" w:eastAsia="宋体" w:cs="宋体"/>
          <w:kern w:val="2"/>
          <w:sz w:val="24"/>
          <w:szCs w:val="24"/>
          <w:u w:val="single"/>
          <w:lang w:val="en-US" w:eastAsia="en-US" w:bidi="ar-SA"/>
        </w:rPr>
        <w:t xml:space="preserve">    </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u w:val="single"/>
          <w:lang w:val="en-US" w:eastAsia="en-US" w:bidi="ar-SA"/>
        </w:rPr>
        <w:t xml:space="preserve">     </w:t>
      </w:r>
      <w:r>
        <w:rPr>
          <w:rFonts w:hint="eastAsia" w:ascii="宋体" w:hAnsi="宋体" w:eastAsia="宋体" w:cs="宋体"/>
          <w:kern w:val="2"/>
          <w:sz w:val="24"/>
          <w:szCs w:val="24"/>
          <w:lang w:val="en-US" w:eastAsia="en-US" w:bidi="ar-SA"/>
        </w:rPr>
        <w:t>。</w:t>
      </w:r>
    </w:p>
    <w:p w14:paraId="3196058C">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9.3  交付地点：</w:t>
      </w:r>
      <w:r>
        <w:rPr>
          <w:rFonts w:hint="eastAsia" w:ascii="宋体" w:hAnsi="宋体" w:eastAsia="宋体" w:cs="宋体"/>
          <w:kern w:val="2"/>
          <w:sz w:val="24"/>
          <w:szCs w:val="24"/>
          <w:u w:val="single"/>
          <w:lang w:val="en-US" w:eastAsia="en-US" w:bidi="ar-SA"/>
        </w:rPr>
        <w:t xml:space="preserve">    </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u w:val="single"/>
          <w:lang w:val="en-US" w:eastAsia="en-US" w:bidi="ar-SA"/>
        </w:rPr>
        <w:t xml:space="preserve">     </w:t>
      </w:r>
      <w:r>
        <w:rPr>
          <w:rFonts w:hint="eastAsia" w:ascii="宋体" w:hAnsi="宋体" w:eastAsia="宋体" w:cs="宋体"/>
          <w:kern w:val="2"/>
          <w:sz w:val="24"/>
          <w:szCs w:val="24"/>
          <w:lang w:val="en-US" w:eastAsia="en-US" w:bidi="ar-SA"/>
        </w:rPr>
        <w:t>。</w:t>
      </w:r>
    </w:p>
    <w:p w14:paraId="3F1AE239">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十、合同款支付</w:t>
      </w:r>
    </w:p>
    <w:p w14:paraId="090B315D">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 xml:space="preserve">10.1 </w:t>
      </w:r>
      <w:r>
        <w:rPr>
          <w:rFonts w:hint="eastAsia" w:ascii="宋体" w:hAnsi="宋体" w:eastAsia="宋体" w:cs="宋体"/>
          <w:color w:val="auto"/>
          <w:kern w:val="2"/>
          <w:sz w:val="24"/>
          <w:szCs w:val="24"/>
          <w:lang w:val="en-US" w:eastAsia="en-US" w:bidi="ar-SA"/>
        </w:rPr>
        <w:t xml:space="preserve"> 付款方式：</w:t>
      </w:r>
      <w:r>
        <w:rPr>
          <w:rFonts w:hint="eastAsia" w:ascii="宋体" w:hAnsi="宋体" w:eastAsia="宋体" w:cs="宋体"/>
          <w:kern w:val="2"/>
          <w:sz w:val="24"/>
          <w:szCs w:val="24"/>
          <w:u w:val="single"/>
          <w:lang w:val="en-US" w:eastAsia="en-US" w:bidi="ar-SA"/>
        </w:rPr>
        <w:t xml:space="preserve">  </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u w:val="single"/>
          <w:lang w:val="en-US" w:eastAsia="en-US" w:bidi="ar-SA"/>
        </w:rPr>
        <w:t xml:space="preserve">     </w:t>
      </w:r>
      <w:r>
        <w:rPr>
          <w:rFonts w:hint="eastAsia" w:ascii="宋体" w:hAnsi="宋体" w:eastAsia="宋体" w:cs="宋体"/>
          <w:kern w:val="2"/>
          <w:sz w:val="24"/>
          <w:szCs w:val="24"/>
          <w:lang w:val="en-US" w:eastAsia="en-US" w:bidi="ar-SA"/>
        </w:rPr>
        <w:t>。</w:t>
      </w:r>
    </w:p>
    <w:p w14:paraId="165FE053">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kern w:val="2"/>
          <w:sz w:val="24"/>
          <w:szCs w:val="24"/>
          <w:lang w:val="en-US" w:eastAsia="en-US" w:bidi="ar-SA"/>
        </w:rPr>
        <w:t xml:space="preserve">10.2  </w:t>
      </w:r>
      <w:r>
        <w:rPr>
          <w:rFonts w:hint="eastAsia" w:ascii="宋体" w:hAnsi="宋体" w:eastAsia="宋体" w:cs="宋体"/>
          <w:color w:val="auto"/>
          <w:kern w:val="2"/>
          <w:sz w:val="24"/>
          <w:szCs w:val="24"/>
          <w:lang w:val="en-US" w:eastAsia="en-US" w:bidi="ar-SA"/>
        </w:rPr>
        <w:t>当采购数量与实际使用数量不一致时，乙方根据实际使用量提供产品和服务，合同的最终结算金额按实际使用量乘以中标单价进行计算。</w:t>
      </w:r>
    </w:p>
    <w:p w14:paraId="0E26C753">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十一、税费</w:t>
      </w:r>
    </w:p>
    <w:p w14:paraId="715449A7">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11.1  本合同执行中相关的一切税费均由乙方负担。</w:t>
      </w:r>
    </w:p>
    <w:p w14:paraId="73335527">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FF0000"/>
          <w:kern w:val="2"/>
          <w:sz w:val="24"/>
          <w:szCs w:val="24"/>
          <w:lang w:val="en-US" w:eastAsia="zh-CN" w:bidi="ar-SA"/>
        </w:rPr>
      </w:pPr>
      <w:r>
        <w:rPr>
          <w:rFonts w:hint="eastAsia" w:ascii="宋体" w:hAnsi="宋体" w:eastAsia="宋体" w:cs="宋体"/>
          <w:kern w:val="2"/>
          <w:sz w:val="24"/>
          <w:szCs w:val="24"/>
          <w:lang w:val="en-US" w:eastAsia="en-US" w:bidi="ar-SA"/>
        </w:rPr>
        <w:t>十二、</w:t>
      </w:r>
      <w:r>
        <w:rPr>
          <w:rFonts w:hint="eastAsia" w:ascii="宋体" w:hAnsi="宋体" w:eastAsia="宋体" w:cs="宋体"/>
          <w:color w:val="auto"/>
          <w:kern w:val="2"/>
          <w:sz w:val="24"/>
          <w:szCs w:val="24"/>
          <w:lang w:val="en-US" w:eastAsia="en-US" w:bidi="ar-SA"/>
        </w:rPr>
        <w:t>质量保证及售后服务</w:t>
      </w:r>
    </w:p>
    <w:p w14:paraId="1457DB65">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12.1  乙方应按招标文件规定和投标文件承诺的性能、技术要求、质量标准向甲方提供 产品或服务。</w:t>
      </w:r>
    </w:p>
    <w:p w14:paraId="22EA6CC7">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12.2  乙方提供的服务在服务期内因其本身出现质量问题，根据实际情况，经双方协商，可按以下办法处理：</w:t>
      </w:r>
    </w:p>
    <w:p w14:paraId="3CB6F29D">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（1）更换：由乙方承担所发生的全部费用。</w:t>
      </w:r>
    </w:p>
    <w:p w14:paraId="4FBABDED">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（2）合同终止处理：合同终止，并退还甲方支付的合同款，同时应承担由此产生的 所有费用，甲方不承担发生任何费用。</w:t>
      </w:r>
    </w:p>
    <w:p w14:paraId="6659E4B8">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12.3  如在使用过程中发生质量问题，乙方在接到甲方通知后在</w:t>
      </w:r>
      <w:r>
        <w:rPr>
          <w:rFonts w:hint="eastAsia" w:ascii="宋体" w:hAnsi="宋体" w:eastAsia="宋体" w:cs="宋体"/>
          <w:kern w:val="2"/>
          <w:sz w:val="24"/>
          <w:szCs w:val="24"/>
          <w:u w:val="single"/>
          <w:lang w:val="en-US" w:eastAsia="en-US" w:bidi="ar-SA"/>
        </w:rPr>
        <w:t xml:space="preserve">  </w:t>
      </w:r>
      <w:r>
        <w:rPr>
          <w:rFonts w:hint="eastAsia" w:ascii="宋体" w:hAnsi="宋体" w:eastAsia="宋体" w:cs="宋体"/>
          <w:kern w:val="2"/>
          <w:sz w:val="24"/>
          <w:szCs w:val="24"/>
          <w:u w:val="single"/>
          <w:lang w:val="en-US" w:eastAsia="zh-CN" w:bidi="ar-SA"/>
        </w:rPr>
        <w:t>24</w:t>
      </w:r>
      <w:r>
        <w:rPr>
          <w:rFonts w:hint="eastAsia" w:ascii="宋体" w:hAnsi="宋体" w:eastAsia="宋体" w:cs="宋体"/>
          <w:kern w:val="2"/>
          <w:sz w:val="24"/>
          <w:szCs w:val="24"/>
          <w:u w:val="single"/>
          <w:lang w:val="en-US" w:eastAsia="en-US" w:bidi="ar-SA"/>
        </w:rPr>
        <w:t xml:space="preserve">  </w:t>
      </w:r>
      <w:r>
        <w:rPr>
          <w:rFonts w:hint="eastAsia" w:ascii="宋体" w:hAnsi="宋体" w:eastAsia="宋体" w:cs="宋体"/>
          <w:kern w:val="2"/>
          <w:sz w:val="24"/>
          <w:szCs w:val="24"/>
          <w:lang w:val="en-US" w:eastAsia="en-US" w:bidi="ar-SA"/>
        </w:rPr>
        <w:t>小时内到达甲方现场。</w:t>
      </w:r>
    </w:p>
    <w:p w14:paraId="3F252771">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12.4  在服务期内，乙方应对服务出现的质量及安全问题负责处理解决并承担一切费用。</w:t>
      </w:r>
    </w:p>
    <w:p w14:paraId="3921F2BC">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十三、验收</w:t>
      </w:r>
    </w:p>
    <w:p w14:paraId="69407400">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13.1  甲方对乙方交付的产品或服务依据招标文件中的项目需求要求、乙方投标文件及国家有关质量标准进行验收。</w:t>
      </w:r>
    </w:p>
    <w:p w14:paraId="76154810">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13.2  乙方交付前应对产品或服务作出全面检查和对验收文件进行整理，并列出清单，作为甲方验收和使用的技术条件依据，检验的结果应随交付内容一并提交甲方。</w:t>
      </w:r>
    </w:p>
    <w:p w14:paraId="11CEB08E">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13.3  甲方对乙方提供的产品或服务在使用前，乙方需负责培训甲方的使用操作人员， 并协助甲方一起试用，直到符合技术要求，甲方才做最终验收。</w:t>
      </w:r>
    </w:p>
    <w:p w14:paraId="4BF2C4B9">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13.4 验收时乙方必须在现场，验收完毕后做出验收结果报告，招标文件规定以外的验 收费用由甲乙双方协商解决。</w:t>
      </w:r>
    </w:p>
    <w:p w14:paraId="084DAC35">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十四、合同内容的交付</w:t>
      </w:r>
    </w:p>
    <w:p w14:paraId="6F7FEFFB">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14.1  乙方应保证合同标的安全运达甲方指定地点。</w:t>
      </w:r>
    </w:p>
    <w:p w14:paraId="5A6D5B2C">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14.2  使用说明书、质量检验证明书一并提交甲方。</w:t>
      </w:r>
    </w:p>
    <w:p w14:paraId="21500C22">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14.3  乙方在合同标的交付甲方 48小时前通知甲方准备接收。</w:t>
      </w:r>
    </w:p>
    <w:p w14:paraId="0A86637A">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14.4  合同标的在交付甲方前发生的风险均由乙方负责。</w:t>
      </w:r>
    </w:p>
    <w:p w14:paraId="7D33E258">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14.5  合同标的在规定的交付期限内由乙方送达甲方指定的地点视为交付，乙方同时需 通知甲方已送达。</w:t>
      </w:r>
    </w:p>
    <w:p w14:paraId="157E3346">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FF0000"/>
          <w:kern w:val="2"/>
          <w:sz w:val="24"/>
          <w:szCs w:val="24"/>
          <w:lang w:val="en-US" w:eastAsia="en-US" w:bidi="ar-SA"/>
        </w:rPr>
      </w:pPr>
      <w:r>
        <w:rPr>
          <w:rFonts w:hint="eastAsia" w:ascii="宋体" w:hAnsi="宋体" w:eastAsia="宋体" w:cs="宋体"/>
          <w:kern w:val="2"/>
          <w:sz w:val="24"/>
          <w:szCs w:val="24"/>
          <w:lang w:val="en-US" w:eastAsia="en-US" w:bidi="ar-SA"/>
        </w:rPr>
        <w:t>十五、</w:t>
      </w:r>
      <w:r>
        <w:rPr>
          <w:rFonts w:hint="eastAsia" w:ascii="宋体" w:hAnsi="宋体" w:eastAsia="宋体" w:cs="宋体"/>
          <w:color w:val="auto"/>
          <w:kern w:val="2"/>
          <w:sz w:val="24"/>
          <w:szCs w:val="24"/>
          <w:lang w:val="en-US" w:eastAsia="en-US" w:bidi="ar-SA"/>
        </w:rPr>
        <w:t>违约责任</w:t>
      </w:r>
    </w:p>
    <w:p w14:paraId="55FFFECE">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15.1  甲方无正当理由拒收的，甲方向乙方偿付拒收标的总值的百分之五违约金。</w:t>
      </w:r>
    </w:p>
    <w:p w14:paraId="76C1A296">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15.2  甲方无故逾期验收和办理合同款支付手续的, 甲方应按逾期付款总额每日万分之 五向乙方支付违约金，最高限额为本合同总价的百分之五。</w:t>
      </w:r>
    </w:p>
    <w:p w14:paraId="02BF490E">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15.3  乙方逾期交付合同标的的，乙方应按逾期交付总额每日万分之五向甲方支付违约 金，由甲方从待付合同款中扣除，最高限额为本合同总价的百分之五。逾期超过约定日期 10 个工作日不能交付的，甲方可解除本合同。乙方因逾期交付或因其他违约行为导致甲方 解除合同的，乙方应向甲方支付合同总值百分之五的违约金，如造成甲方损失超过违约金 的，超出部分由乙方继续承担赔偿责任。</w:t>
      </w:r>
    </w:p>
    <w:p w14:paraId="69A1F2DD">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15.4  乙方交付的产品或服务不符合项目需求要求、乙方投标文件承诺及国家有关质量 标准的，甲方有权拒收，乙方愿意更换但逾期交付的，按乙方逾期交付处理。乙方拒绝更 换的，甲方可单方面解除合同，并由乙方赔偿由此造成的甲方全部损失。</w:t>
      </w:r>
    </w:p>
    <w:p w14:paraId="6FD32D30">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十六、不可抗力事件处理</w:t>
      </w:r>
    </w:p>
    <w:p w14:paraId="0AC4C444">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16.1  在合同有效期内，任何一方因不可抗力事件导致不能履行合同，则合同履行期延长，其延长期与不可抗力影响期相同。</w:t>
      </w:r>
    </w:p>
    <w:p w14:paraId="497D465B">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16.2  不可抗力事件发生后，应立即通知对方，并寄送有关权威机构出具的证明。</w:t>
      </w:r>
    </w:p>
    <w:p w14:paraId="32ED474D">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16.3  不可抗力事件延续 120 天以上，双方应通过友好协商，确定是否继续履行合同。</w:t>
      </w:r>
    </w:p>
    <w:p w14:paraId="3608A233">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十七、争议解决</w:t>
      </w:r>
    </w:p>
    <w:p w14:paraId="7005D8F1">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17.1  双方在执行合同中所发生的一切争议，应通过协商解决。如协商不成，按下列第</w:t>
      </w:r>
      <w:r>
        <w:rPr>
          <w:rFonts w:hint="eastAsia" w:ascii="宋体" w:hAnsi="宋体" w:eastAsia="宋体" w:cs="宋体"/>
          <w:kern w:val="2"/>
          <w:sz w:val="24"/>
          <w:szCs w:val="24"/>
          <w:u w:val="single"/>
          <w:lang w:val="en-US" w:eastAsia="en-US" w:bidi="ar-SA"/>
        </w:rPr>
        <w:t>（</w:t>
      </w:r>
      <w:r>
        <w:rPr>
          <w:rFonts w:hint="eastAsia" w:ascii="宋体" w:hAnsi="宋体" w:eastAsia="宋体" w:cs="宋体"/>
          <w:kern w:val="2"/>
          <w:sz w:val="24"/>
          <w:szCs w:val="24"/>
          <w:u w:val="single"/>
          <w:lang w:val="en-US" w:eastAsia="zh-CN" w:bidi="ar-SA"/>
        </w:rPr>
        <w:t>2</w:t>
      </w:r>
      <w:r>
        <w:rPr>
          <w:rFonts w:hint="eastAsia" w:ascii="宋体" w:hAnsi="宋体" w:eastAsia="宋体" w:cs="宋体"/>
          <w:kern w:val="2"/>
          <w:sz w:val="24"/>
          <w:szCs w:val="24"/>
          <w:u w:val="single"/>
          <w:lang w:val="en-US" w:eastAsia="en-US" w:bidi="ar-SA"/>
        </w:rPr>
        <w:t>）</w:t>
      </w:r>
      <w:r>
        <w:rPr>
          <w:rFonts w:hint="eastAsia" w:ascii="宋体" w:hAnsi="宋体" w:eastAsia="宋体" w:cs="宋体"/>
          <w:kern w:val="2"/>
          <w:sz w:val="24"/>
          <w:szCs w:val="24"/>
          <w:lang w:val="en-US" w:eastAsia="en-US" w:bidi="ar-SA"/>
        </w:rPr>
        <w:t>种方式解决：</w:t>
      </w:r>
    </w:p>
    <w:p w14:paraId="094DDFA7">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（1）向连云港仲</w:t>
      </w:r>
      <w:r>
        <w:rPr>
          <w:rFonts w:hint="eastAsia" w:ascii="宋体" w:hAnsi="宋体" w:eastAsia="宋体" w:cs="宋体"/>
          <w:color w:val="auto"/>
          <w:kern w:val="2"/>
          <w:sz w:val="24"/>
          <w:szCs w:val="24"/>
          <w:lang w:val="en-US" w:eastAsia="en-US" w:bidi="ar-SA"/>
        </w:rPr>
        <w:t>裁委员会申请仲裁</w:t>
      </w:r>
      <w:r>
        <w:rPr>
          <w:rFonts w:hint="eastAsia" w:ascii="宋体" w:hAnsi="宋体" w:eastAsia="宋体" w:cs="宋体"/>
          <w:kern w:val="2"/>
          <w:sz w:val="24"/>
          <w:szCs w:val="24"/>
          <w:lang w:val="en-US" w:eastAsia="en-US" w:bidi="ar-SA"/>
        </w:rPr>
        <w:t>。</w:t>
      </w:r>
    </w:p>
    <w:p w14:paraId="495DE08D">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（2）向合同签订地法院起诉，合同签订地在此约定为</w:t>
      </w:r>
      <w:r>
        <w:rPr>
          <w:rFonts w:hint="eastAsia" w:ascii="宋体" w:hAnsi="宋体" w:eastAsia="宋体" w:cs="宋体"/>
          <w:kern w:val="2"/>
          <w:sz w:val="24"/>
          <w:szCs w:val="24"/>
          <w:lang w:val="en-US" w:eastAsia="zh-CN" w:bidi="ar-SA"/>
        </w:rPr>
        <w:t>东海县</w:t>
      </w:r>
      <w:r>
        <w:rPr>
          <w:rFonts w:hint="eastAsia" w:ascii="宋体" w:hAnsi="宋体" w:eastAsia="宋体" w:cs="宋体"/>
          <w:kern w:val="2"/>
          <w:sz w:val="24"/>
          <w:szCs w:val="24"/>
          <w:lang w:val="en-US" w:eastAsia="en-US" w:bidi="ar-SA"/>
        </w:rPr>
        <w:t>。</w:t>
      </w:r>
    </w:p>
    <w:p w14:paraId="77073770">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十八、合同生效及其他</w:t>
      </w:r>
    </w:p>
    <w:p w14:paraId="4BD21A82">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18.1  合同经双方法定代表人或委托代理人签名并加盖单位公章后生效。</w:t>
      </w:r>
    </w:p>
    <w:p w14:paraId="16D4EC95">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18.2  本合同未尽事宜，遵照《中华人民共和国民法典》有关条文执行。</w:t>
      </w:r>
    </w:p>
    <w:p w14:paraId="5205B0F3">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18.3  本合同一式四份，具有同等法律效力，甲方、乙方、见证方及财政监管部门各执一份。</w:t>
      </w:r>
    </w:p>
    <w:p w14:paraId="5FFE8FC1">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p>
    <w:p w14:paraId="2E7F11AE">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 xml:space="preserve">甲方：                             </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乙方：</w:t>
      </w:r>
    </w:p>
    <w:p w14:paraId="380EA578">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 xml:space="preserve">地址：                                </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地址：</w:t>
      </w:r>
    </w:p>
    <w:p w14:paraId="447FB431">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 xml:space="preserve">法定代表人：                            </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法定代表人：</w:t>
      </w:r>
    </w:p>
    <w:p w14:paraId="70A581A0">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 xml:space="preserve">委托代理人：                        </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委托代理人：</w:t>
      </w:r>
    </w:p>
    <w:p w14:paraId="57EECA83">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 xml:space="preserve">电话：                                    </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电话：</w:t>
      </w:r>
    </w:p>
    <w:p w14:paraId="35DAB8D8">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签订日期：      年  月  日</w:t>
      </w:r>
    </w:p>
    <w:p w14:paraId="674B9D30">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p>
    <w:p w14:paraId="4E0D9E68">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见 证 方：江苏永安工程项目管理有限公司</w:t>
      </w:r>
    </w:p>
    <w:p w14:paraId="6E7B8736">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p>
    <w:p w14:paraId="45A7336F">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p>
    <w:p w14:paraId="18B441EA">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p>
    <w:p w14:paraId="78BA77D0">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p>
    <w:p w14:paraId="02EC129D">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p>
    <w:p w14:paraId="4A8AB7B8">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p>
    <w:p w14:paraId="585D7170">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p>
    <w:p w14:paraId="5EE07BB6">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p>
    <w:p w14:paraId="0BB3BEE4">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lang w:val="en-US" w:eastAsia="en-US" w:bidi="ar-SA"/>
        </w:rPr>
      </w:pPr>
    </w:p>
    <w:p w14:paraId="74C7070F">
      <w:pPr>
        <w:pStyle w:val="182"/>
        <w:pageBreakBefore w:val="0"/>
        <w:wordWrap/>
        <w:overflowPunct/>
        <w:topLinePunct w:val="0"/>
        <w:bidi w:val="0"/>
        <w:spacing w:before="156" w:after="156" w:line="360" w:lineRule="auto"/>
        <w:jc w:val="center"/>
        <w:rPr>
          <w:rFonts w:hint="eastAsia" w:ascii="宋体" w:hAnsi="宋体" w:eastAsia="宋体" w:cs="宋体"/>
          <w:b w:val="0"/>
          <w:color w:val="000000"/>
        </w:rPr>
      </w:pPr>
      <w:r>
        <w:rPr>
          <w:rFonts w:hint="eastAsia" w:ascii="宋体" w:hAnsi="宋体" w:eastAsia="宋体" w:cs="宋体"/>
          <w:b w:val="0"/>
          <w:color w:val="000000"/>
        </w:rPr>
        <w:t>第四章  采购需求</w:t>
      </w:r>
      <w:bookmarkEnd w:id="3"/>
    </w:p>
    <w:p w14:paraId="0B38757A">
      <w:pPr>
        <w:pageBreakBefore w:val="0"/>
        <w:wordWrap/>
        <w:overflowPunct/>
        <w:topLinePunct w:val="0"/>
        <w:bidi w:val="0"/>
        <w:spacing w:line="360" w:lineRule="auto"/>
        <w:jc w:val="center"/>
        <w:rPr>
          <w:rFonts w:hint="eastAsia" w:ascii="宋体" w:hAnsi="宋体" w:eastAsia="宋体" w:cs="宋体"/>
          <w:b/>
          <w:bCs/>
          <w:color w:val="000000"/>
          <w:sz w:val="30"/>
          <w:szCs w:val="30"/>
          <w:lang w:val="en-US" w:eastAsia="zh-CN"/>
        </w:rPr>
      </w:pPr>
      <w:r>
        <w:rPr>
          <w:rFonts w:hint="eastAsia" w:ascii="宋体" w:hAnsi="宋体" w:eastAsia="宋体" w:cs="宋体"/>
          <w:b/>
          <w:bCs/>
          <w:color w:val="000000"/>
          <w:sz w:val="30"/>
          <w:szCs w:val="30"/>
          <w:lang w:val="en-US" w:eastAsia="zh-CN"/>
        </w:rPr>
        <w:t>采购包1：</w:t>
      </w:r>
    </w:p>
    <w:p w14:paraId="5C17F2BB">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说明：本</w:t>
      </w:r>
      <w:r>
        <w:rPr>
          <w:rFonts w:hint="eastAsia" w:ascii="宋体" w:hAnsi="宋体" w:eastAsia="宋体" w:cs="宋体"/>
          <w:color w:val="000000"/>
          <w:sz w:val="24"/>
          <w:szCs w:val="24"/>
          <w:lang w:val="en-US" w:eastAsia="zh-CN"/>
        </w:rPr>
        <w:t>采购包</w:t>
      </w:r>
      <w:r>
        <w:rPr>
          <w:rFonts w:hint="eastAsia" w:ascii="宋体" w:hAnsi="宋体" w:eastAsia="宋体" w:cs="宋体"/>
          <w:color w:val="000000"/>
          <w:sz w:val="24"/>
          <w:szCs w:val="24"/>
        </w:rPr>
        <w:t>项目属</w:t>
      </w:r>
      <w:r>
        <w:rPr>
          <w:rFonts w:hint="eastAsia" w:ascii="宋体" w:hAnsi="宋体" w:eastAsia="宋体" w:cs="宋体"/>
          <w:color w:val="000000"/>
          <w:sz w:val="24"/>
          <w:szCs w:val="24"/>
          <w:lang w:val="en-US" w:eastAsia="zh-CN"/>
        </w:rPr>
        <w:t xml:space="preserve">性为服务，采购标的对应的中小企业划分标准所属行业为 </w:t>
      </w:r>
      <w:r>
        <w:rPr>
          <w:rFonts w:hint="eastAsia" w:ascii="宋体" w:hAnsi="宋体" w:eastAsia="宋体" w:cs="宋体"/>
          <w:b/>
          <w:bCs/>
          <w:color w:val="FF0000"/>
          <w:sz w:val="24"/>
          <w:szCs w:val="24"/>
          <w:u w:val="single"/>
          <w:lang w:val="en-US" w:eastAsia="zh-CN"/>
        </w:rPr>
        <w:t xml:space="preserve">其他未列明行业 </w:t>
      </w:r>
      <w:r>
        <w:rPr>
          <w:rFonts w:hint="eastAsia" w:ascii="宋体" w:hAnsi="宋体" w:eastAsia="宋体" w:cs="宋体"/>
          <w:color w:val="000000"/>
          <w:sz w:val="24"/>
          <w:szCs w:val="24"/>
          <w:lang w:val="en-US" w:eastAsia="zh-CN"/>
        </w:rPr>
        <w:t>，</w:t>
      </w:r>
    </w:p>
    <w:p w14:paraId="7255591A">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1、根据《政府采购需求管理办法》等有关规定，采购人确定采购需求。</w:t>
      </w:r>
    </w:p>
    <w:p w14:paraId="4CB6D40E">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b/>
          <w:color w:val="000000"/>
          <w:sz w:val="24"/>
          <w:szCs w:val="24"/>
        </w:rPr>
        <w:t>本招标文件中</w:t>
      </w:r>
      <w:r>
        <w:rPr>
          <w:rFonts w:hint="eastAsia" w:ascii="宋体" w:hAnsi="宋体" w:eastAsia="宋体" w:cs="宋体"/>
          <w:b/>
          <w:i/>
          <w:iCs w:val="0"/>
          <w:color w:val="FF0000"/>
          <w:sz w:val="24"/>
          <w:szCs w:val="24"/>
          <w:u w:val="single"/>
        </w:rPr>
        <w:t>斜体且有下划线部分</w:t>
      </w:r>
      <w:r>
        <w:rPr>
          <w:rFonts w:hint="eastAsia" w:ascii="宋体" w:hAnsi="宋体" w:eastAsia="宋体" w:cs="宋体"/>
          <w:b/>
          <w:color w:val="000000"/>
          <w:sz w:val="24"/>
          <w:szCs w:val="24"/>
        </w:rPr>
        <w:t>为实质性要求和条件</w:t>
      </w:r>
      <w:r>
        <w:rPr>
          <w:rFonts w:hint="eastAsia" w:ascii="宋体" w:hAnsi="宋体" w:eastAsia="宋体" w:cs="宋体"/>
          <w:color w:val="000000"/>
          <w:sz w:val="24"/>
          <w:szCs w:val="24"/>
        </w:rPr>
        <w:t>，由采购人根据实际情况设置，投标人须逐条明确作出满足实质性要求和条件的响应，否则将按无效响应处理。</w:t>
      </w:r>
    </w:p>
    <w:tbl>
      <w:tblPr>
        <w:tblStyle w:val="28"/>
        <w:tblW w:w="93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8519"/>
      </w:tblGrid>
      <w:tr w14:paraId="1E3F0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35" w:type="dxa"/>
            <w:gridSpan w:val="2"/>
            <w:noWrap w:val="0"/>
            <w:vAlign w:val="center"/>
          </w:tcPr>
          <w:p w14:paraId="4358B289">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采购需求中须满足的实质性要求和条件</w:t>
            </w:r>
          </w:p>
        </w:tc>
      </w:tr>
      <w:tr w14:paraId="208FB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0C9AB20F">
            <w:pPr>
              <w:pageBreakBefore w:val="0"/>
              <w:wordWrap/>
              <w:overflowPunct/>
              <w:topLinePunct w:val="0"/>
              <w:bidi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8519" w:type="dxa"/>
            <w:noWrap w:val="0"/>
            <w:vAlign w:val="top"/>
          </w:tcPr>
          <w:p w14:paraId="333D8AE0">
            <w:pPr>
              <w:pageBreakBefore w:val="0"/>
              <w:wordWrap/>
              <w:overflowPunct/>
              <w:topLinePunct w:val="0"/>
              <w:bidi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实质性要求和条件</w:t>
            </w:r>
          </w:p>
        </w:tc>
      </w:tr>
      <w:tr w14:paraId="07147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center"/>
          </w:tcPr>
          <w:p w14:paraId="0AFF81E4">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8519" w:type="dxa"/>
            <w:noWrap w:val="0"/>
            <w:vAlign w:val="top"/>
          </w:tcPr>
          <w:p w14:paraId="19EBC2F6">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i/>
                <w:iCs/>
                <w:snapToGrid w:val="0"/>
                <w:color w:val="000000"/>
                <w:kern w:val="0"/>
                <w:sz w:val="28"/>
                <w:szCs w:val="28"/>
                <w:u w:val="single"/>
                <w:lang w:val="en-US" w:eastAsia="zh-CN"/>
              </w:rPr>
            </w:pPr>
            <w:r>
              <w:rPr>
                <w:rFonts w:hint="eastAsia" w:ascii="宋体" w:hAnsi="宋体" w:eastAsia="宋体" w:cs="宋体"/>
                <w:b/>
                <w:bCs/>
                <w:i/>
                <w:iCs/>
                <w:snapToGrid w:val="0"/>
                <w:color w:val="000000"/>
                <w:kern w:val="0"/>
                <w:sz w:val="28"/>
                <w:szCs w:val="28"/>
                <w:u w:val="single"/>
                <w:lang w:val="en-US" w:eastAsia="zh-CN"/>
              </w:rPr>
              <w:t>五、人员配备要求</w:t>
            </w:r>
          </w:p>
          <w:p w14:paraId="69A47E3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专职服务人员与托养人员比例不低于 1 ：5 。（本项目人员配备要求根据暂定人数</w:t>
            </w:r>
            <w:r>
              <w:rPr>
                <w:rFonts w:hint="eastAsia" w:ascii="宋体" w:hAnsi="宋体" w:eastAsia="宋体" w:cs="宋体"/>
                <w:i/>
                <w:iCs/>
                <w:snapToGrid w:val="0"/>
                <w:color w:val="FF0000"/>
                <w:kern w:val="0"/>
                <w:sz w:val="24"/>
                <w:szCs w:val="24"/>
                <w:highlight w:val="yellow"/>
                <w:u w:val="single"/>
                <w:lang w:val="en-US" w:eastAsia="zh-CN" w:bidi="ar-SA"/>
              </w:rPr>
              <w:t>50人</w:t>
            </w:r>
            <w:r>
              <w:rPr>
                <w:rFonts w:hint="eastAsia" w:ascii="宋体" w:hAnsi="宋体" w:eastAsia="宋体" w:cs="宋体"/>
                <w:i/>
                <w:iCs/>
                <w:snapToGrid w:val="0"/>
                <w:color w:val="000000"/>
                <w:kern w:val="0"/>
                <w:sz w:val="24"/>
                <w:szCs w:val="24"/>
                <w:u w:val="single"/>
                <w:lang w:val="en-US" w:eastAsia="zh-CN" w:bidi="ar-SA"/>
              </w:rPr>
              <w:t>进行配备）</w:t>
            </w:r>
          </w:p>
          <w:p w14:paraId="6ACD9D6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（1）项目负责人</w:t>
            </w:r>
            <w:r>
              <w:rPr>
                <w:rFonts w:hint="eastAsia" w:ascii="宋体" w:hAnsi="宋体" w:eastAsia="宋体" w:cs="宋体"/>
                <w:i/>
                <w:iCs/>
                <w:snapToGrid w:val="0"/>
                <w:color w:val="000000"/>
                <w:kern w:val="0"/>
                <w:sz w:val="24"/>
                <w:szCs w:val="24"/>
                <w:u w:val="single"/>
                <w:lang w:val="en-US" w:eastAsia="zh-CN" w:bidi="ar-SA"/>
              </w:rPr>
              <w:t>：专职负责人1人，从事过管理工作，具有社会工作类、社会福利类或康复医疗类等相关学习培训经历，熟悉残疾人相关法律法规与政策，熟练掌握残疾人托养的基本知识和专业知识，年龄</w:t>
            </w:r>
            <w:r>
              <w:rPr>
                <w:rFonts w:hint="eastAsia" w:ascii="宋体" w:hAnsi="宋体" w:eastAsia="宋体" w:cs="宋体"/>
                <w:i/>
                <w:iCs/>
                <w:snapToGrid w:val="0"/>
                <w:color w:val="auto"/>
                <w:kern w:val="0"/>
                <w:sz w:val="24"/>
                <w:szCs w:val="24"/>
                <w:highlight w:val="none"/>
                <w:u w:val="single"/>
                <w:lang w:val="en-US" w:eastAsia="zh-CN" w:bidi="ar-SA"/>
              </w:rPr>
              <w:t>不宜超过55周岁，2 年以上工作经验。</w:t>
            </w:r>
          </w:p>
          <w:p w14:paraId="3CCA0AA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b/>
                <w:bCs/>
                <w:i/>
                <w:iCs/>
                <w:snapToGrid w:val="0"/>
                <w:color w:val="auto"/>
                <w:kern w:val="0"/>
                <w:sz w:val="24"/>
                <w:szCs w:val="24"/>
                <w:highlight w:val="none"/>
                <w:u w:val="single"/>
                <w:lang w:val="en-US" w:eastAsia="zh-CN" w:bidi="ar-SA"/>
              </w:rPr>
              <w:t>（2）各类专业人员</w:t>
            </w:r>
            <w:r>
              <w:rPr>
                <w:rFonts w:hint="eastAsia" w:ascii="宋体" w:hAnsi="宋体" w:eastAsia="宋体" w:cs="宋体"/>
                <w:i/>
                <w:iCs/>
                <w:snapToGrid w:val="0"/>
                <w:color w:val="auto"/>
                <w:kern w:val="0"/>
                <w:sz w:val="24"/>
                <w:szCs w:val="24"/>
                <w:highlight w:val="none"/>
                <w:u w:val="single"/>
                <w:lang w:val="en-US" w:eastAsia="zh-CN" w:bidi="ar-SA"/>
              </w:rPr>
              <w:t xml:space="preserve"> </w:t>
            </w:r>
          </w:p>
          <w:p w14:paraId="58F0CF5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1.专业人员配置</w:t>
            </w:r>
          </w:p>
          <w:p w14:paraId="080A4AF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1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①</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护理人员不少于12名，具有中专及以上相关或相近学历，持有护理证书或培训证书。</w:t>
            </w:r>
          </w:p>
          <w:p w14:paraId="3F8BDD0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2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②</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医生不少于1名，具有卫生行政主管部门颁发的执业医师执照，2 年以上执业医生工作经验。</w:t>
            </w:r>
          </w:p>
          <w:p w14:paraId="537FC31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3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③</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护士不少于1名。具有中专及以上相关或相近学历，护士资格证书。</w:t>
            </w:r>
          </w:p>
          <w:p w14:paraId="6B912A0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4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④</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财务管理人员</w:t>
            </w:r>
            <w:r>
              <w:rPr>
                <w:rFonts w:hint="eastAsia" w:ascii="宋体" w:hAnsi="宋体" w:eastAsia="宋体" w:cs="宋体"/>
                <w:b w:val="0"/>
                <w:bCs w:val="0"/>
                <w:i/>
                <w:iCs/>
                <w:snapToGrid w:val="0"/>
                <w:color w:val="auto"/>
                <w:kern w:val="0"/>
                <w:sz w:val="24"/>
                <w:szCs w:val="24"/>
                <w:highlight w:val="none"/>
                <w:u w:val="single"/>
                <w:lang w:val="en-US" w:eastAsia="zh-CN" w:bidi="ar-SA"/>
              </w:rPr>
              <w:t>1名</w:t>
            </w:r>
            <w:r>
              <w:rPr>
                <w:rFonts w:hint="eastAsia" w:ascii="宋体" w:hAnsi="宋体" w:eastAsia="宋体" w:cs="宋体"/>
                <w:i/>
                <w:iCs/>
                <w:snapToGrid w:val="0"/>
                <w:color w:val="auto"/>
                <w:kern w:val="0"/>
                <w:sz w:val="24"/>
                <w:szCs w:val="24"/>
                <w:highlight w:val="none"/>
                <w:u w:val="single"/>
                <w:lang w:val="en-US" w:eastAsia="zh-CN" w:bidi="ar-SA"/>
              </w:rPr>
              <w:t>，具有中专及以上学历或相关会计类证书或职称。</w:t>
            </w:r>
          </w:p>
          <w:p w14:paraId="2D59C62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highlight w:val="yellow"/>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5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⑤</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康复、心理咨询等专业技术人员，各1人，具有</w:t>
            </w:r>
            <w:r>
              <w:rPr>
                <w:rFonts w:hint="eastAsia" w:ascii="宋体" w:hAnsi="宋体" w:eastAsia="宋体" w:cs="宋体"/>
                <w:i/>
                <w:iCs/>
                <w:snapToGrid w:val="0"/>
                <w:color w:val="000000"/>
                <w:kern w:val="0"/>
                <w:sz w:val="24"/>
                <w:szCs w:val="24"/>
                <w:highlight w:val="none"/>
                <w:u w:val="single"/>
                <w:lang w:val="en-US" w:eastAsia="zh-CN" w:bidi="ar-SA"/>
              </w:rPr>
              <w:t>相关专业学历或专业职称证书。</w:t>
            </w:r>
          </w:p>
          <w:p w14:paraId="0B9B325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⑥厨师1人，具有健康证。</w:t>
            </w:r>
          </w:p>
          <w:p w14:paraId="5DB99A66">
            <w:pPr>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firstLine="482"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bCs/>
                <w:i/>
                <w:iCs/>
                <w:snapToGrid w:val="0"/>
                <w:color w:val="auto"/>
                <w:kern w:val="0"/>
                <w:sz w:val="24"/>
                <w:szCs w:val="24"/>
                <w:highlight w:val="none"/>
                <w:u w:val="single"/>
                <w:lang w:val="en-US" w:eastAsia="zh-CN" w:bidi="ar-SA"/>
              </w:rPr>
              <w:t>注：以上团队人员提供相关证书及证明材料，项目负责人必须提供由本单位缴纳的2025年5月以来任意一个月社保缴纳证明，其余人员提供有效的劳动合同，所有人员不得提供退休证明。</w:t>
            </w:r>
          </w:p>
        </w:tc>
      </w:tr>
      <w:tr w14:paraId="40B06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center"/>
          </w:tcPr>
          <w:p w14:paraId="6CC8E0D7">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8519" w:type="dxa"/>
            <w:noWrap w:val="0"/>
            <w:vAlign w:val="top"/>
          </w:tcPr>
          <w:p w14:paraId="291CF432">
            <w:pPr>
              <w:pageBreakBefore w:val="0"/>
              <w:widowControl/>
              <w:numPr>
                <w:ilvl w:val="0"/>
                <w:numId w:val="2"/>
              </w:numPr>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i/>
                <w:iCs/>
                <w:snapToGrid w:val="0"/>
                <w:color w:val="000000"/>
                <w:kern w:val="0"/>
                <w:sz w:val="28"/>
                <w:szCs w:val="28"/>
                <w:u w:val="single"/>
                <w:lang w:val="en-US" w:eastAsia="zh-CN"/>
              </w:rPr>
            </w:pPr>
            <w:r>
              <w:rPr>
                <w:rFonts w:hint="eastAsia" w:ascii="宋体" w:hAnsi="宋体" w:eastAsia="宋体" w:cs="宋体"/>
                <w:b w:val="0"/>
                <w:bCs w:val="0"/>
                <w:i/>
                <w:iCs/>
                <w:snapToGrid w:val="0"/>
                <w:color w:val="000000"/>
                <w:kern w:val="0"/>
                <w:sz w:val="28"/>
                <w:szCs w:val="28"/>
                <w:u w:val="single"/>
                <w:lang w:val="en-US" w:eastAsia="zh-CN"/>
              </w:rPr>
              <w:t>场地、设施与环境要求</w:t>
            </w:r>
          </w:p>
          <w:p w14:paraId="7151B07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i/>
                <w:iCs/>
                <w:snapToGrid w:val="0"/>
                <w:color w:val="000000"/>
                <w:kern w:val="0"/>
                <w:sz w:val="24"/>
                <w:szCs w:val="24"/>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（1）场地要求</w:t>
            </w:r>
          </w:p>
          <w:p w14:paraId="2B54524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1. 在东海县区域内有固定服务场所，且为自有用房或协议承租不少于</w:t>
            </w:r>
            <w:r>
              <w:rPr>
                <w:rFonts w:hint="eastAsia" w:ascii="宋体" w:hAnsi="宋体" w:eastAsia="宋体" w:cs="宋体"/>
                <w:i/>
                <w:iCs/>
                <w:snapToGrid w:val="0"/>
                <w:color w:val="000000"/>
                <w:kern w:val="0"/>
                <w:sz w:val="24"/>
                <w:szCs w:val="24"/>
                <w:highlight w:val="yellow"/>
                <w:u w:val="single"/>
                <w:lang w:val="en-US" w:eastAsia="zh-CN" w:bidi="ar-SA"/>
              </w:rPr>
              <w:t>三年以上</w:t>
            </w:r>
            <w:r>
              <w:rPr>
                <w:rFonts w:hint="eastAsia" w:ascii="宋体" w:hAnsi="宋体" w:eastAsia="宋体" w:cs="宋体"/>
                <w:i/>
                <w:iCs/>
                <w:snapToGrid w:val="0"/>
                <w:color w:val="000000"/>
                <w:kern w:val="0"/>
                <w:sz w:val="24"/>
                <w:szCs w:val="24"/>
                <w:u w:val="single"/>
                <w:lang w:val="en-US" w:eastAsia="zh-CN" w:bidi="ar-SA"/>
              </w:rPr>
              <w:t>。</w:t>
            </w:r>
          </w:p>
          <w:p w14:paraId="4D969FC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2. 建筑面积、活动场地及配套设施应满足托养人数、托养服务内容要求。</w:t>
            </w:r>
          </w:p>
          <w:p w14:paraId="55613D7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3. 机构宜设置在交通便利的城区或近郊区的地段，公共交通便利。　</w:t>
            </w:r>
          </w:p>
          <w:p w14:paraId="68A096F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4. 能提供残疾人寄宿制托养所必需的起居室、食堂、浴室、护理保健室、辅助性劳动工作间、文体活动室等功能用房。</w:t>
            </w:r>
          </w:p>
          <w:p w14:paraId="604B99B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5. 房屋建筑质量安全，消防设施符合《消防安全标志设置要求》并取得消防许可资质;公共标识设置应符合《标志用公共信息图形符号》的规定。环境安静、远离污染源及易燃易爆物生产和贮存区、高压线路及其设施;宜为低层建筑，如与其他建筑合并建设应设置于低层部分;有独立出入口。</w:t>
            </w:r>
          </w:p>
          <w:p w14:paraId="2880E5B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6. 托养机构的过道、洗手间、食堂等公共场所使用防滑、防跌地面材料，装有无障碍设施，建筑设计符合《无障碍设计规范》的规定要求。</w:t>
            </w:r>
          </w:p>
          <w:p w14:paraId="2FC993B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7. 环境整洁、卫生，保持空气流通，具备充足的采光条件。</w:t>
            </w:r>
          </w:p>
          <w:p w14:paraId="6151C8B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8.食堂取得《餐饮服务许可证》、《卫生许可证》。</w:t>
            </w:r>
          </w:p>
          <w:p w14:paraId="1B4063E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i/>
                <w:iCs/>
                <w:snapToGrid w:val="0"/>
                <w:color w:val="000000"/>
                <w:kern w:val="0"/>
                <w:sz w:val="24"/>
                <w:szCs w:val="24"/>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（2）设备要求</w:t>
            </w:r>
          </w:p>
          <w:p w14:paraId="60B905F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1. 服务场所装有空调或其他适用的取暖、降温设备，提供全天候热水供应。</w:t>
            </w:r>
          </w:p>
          <w:p w14:paraId="0855C4B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2. 服务场所配置照明设备，公共区域设置应急照明灯。</w:t>
            </w:r>
          </w:p>
          <w:p w14:paraId="4BF6D75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3. 服务场所配备养护起居、护理保健和文体活动等基本设施，设备完好。</w:t>
            </w:r>
          </w:p>
          <w:p w14:paraId="3C51065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i/>
                <w:iCs/>
                <w:snapToGrid w:val="0"/>
                <w:color w:val="000000"/>
                <w:kern w:val="0"/>
                <w:sz w:val="24"/>
                <w:szCs w:val="24"/>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（3）设施与环境要求</w:t>
            </w:r>
          </w:p>
          <w:p w14:paraId="3B9427A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1.场地设置在交通便利、环境良好、有适当人流的区域，有固定的服务场所,房屋建筑质量和无障碍设施应符合相关要求。</w:t>
            </w:r>
          </w:p>
          <w:p w14:paraId="6CC1BDB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2.室内环境应整洁、卫生，应有充足的采光条件，卫生间应有安全防护措施,通风良好、保持清洁无异味。</w:t>
            </w:r>
          </w:p>
          <w:p w14:paraId="570B5A5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3.设置公共洗涤场所，配各洗涤用具并有热水供应。</w:t>
            </w:r>
          </w:p>
          <w:p w14:paraId="42898C0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4.服务场所有取暖、降温设备,温度适宜。应配置适宜的照明、消防设备，公共区域设置应急照明灯，居室和卫生间配置紧急呼叫设备。</w:t>
            </w:r>
          </w:p>
          <w:p w14:paraId="4692F4E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5.服务场所应配置应急处理所需的急救药箱、轮椅等与障碍程度相适应的设备，宜提供康复器械、运动器材、图书报刊、电 视机、计算机和互联网等设备。</w:t>
            </w:r>
          </w:p>
          <w:p w14:paraId="7CC4890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6.场所设置消防、公共信息等安全标志。</w:t>
            </w:r>
          </w:p>
          <w:p w14:paraId="2E7162D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7.设置起居室、食堂、卫生保健室、康复训练室、辅助性就业室、文体活动室等，并配备养护起居、护理服务、文体活动等设施。可根据需要设置心理辅导室,并配各相应的设施。生活用房的使用面积，单人间不小于10平方米；双人间不小于 15 平方米；三人间不小于 20 平方米（上述面积标 准不包括卫生间）。室外活动场所的面积不小于人均 5 平方米。</w:t>
            </w:r>
          </w:p>
          <w:p w14:paraId="1AF804F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b w:val="0"/>
                <w:bCs w:val="0"/>
                <w:i/>
                <w:iCs/>
                <w:snapToGrid w:val="0"/>
                <w:color w:val="000000"/>
                <w:kern w:val="0"/>
                <w:sz w:val="28"/>
                <w:szCs w:val="28"/>
                <w:u w:val="single"/>
                <w:lang w:val="en-US" w:eastAsia="zh-CN"/>
              </w:rPr>
            </w:pPr>
            <w:r>
              <w:rPr>
                <w:rFonts w:hint="eastAsia" w:ascii="宋体" w:hAnsi="宋体" w:eastAsia="宋体" w:cs="宋体"/>
                <w:i/>
                <w:iCs/>
                <w:snapToGrid w:val="0"/>
                <w:color w:val="000000"/>
                <w:kern w:val="0"/>
                <w:sz w:val="24"/>
                <w:szCs w:val="24"/>
                <w:highlight w:val="yellow"/>
                <w:u w:val="single"/>
                <w:lang w:val="en-US" w:eastAsia="zh-CN" w:bidi="ar-SA"/>
              </w:rPr>
              <w:t>注：以上内容须提供照片需添加水印定位（定位需和营业执照位置一致）</w:t>
            </w:r>
          </w:p>
        </w:tc>
      </w:tr>
      <w:tr w14:paraId="3007D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center"/>
          </w:tcPr>
          <w:p w14:paraId="4C468E03">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8519" w:type="dxa"/>
            <w:noWrap w:val="0"/>
            <w:vAlign w:val="top"/>
          </w:tcPr>
          <w:p w14:paraId="4B54989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b w:val="0"/>
                <w:bCs w:val="0"/>
                <w:snapToGrid w:val="0"/>
                <w:color w:val="000000"/>
                <w:kern w:val="0"/>
                <w:sz w:val="28"/>
                <w:szCs w:val="28"/>
                <w:highlight w:val="none"/>
                <w:lang w:val="en-US" w:eastAsia="zh-CN" w:bidi="ar-SA"/>
              </w:rPr>
            </w:pPr>
            <w:r>
              <w:rPr>
                <w:rFonts w:hint="eastAsia" w:ascii="宋体" w:hAnsi="宋体" w:eastAsia="宋体" w:cs="宋体"/>
                <w:b w:val="0"/>
                <w:bCs w:val="0"/>
                <w:i/>
                <w:iCs/>
                <w:snapToGrid w:val="0"/>
                <w:color w:val="000000"/>
                <w:kern w:val="0"/>
                <w:sz w:val="28"/>
                <w:szCs w:val="28"/>
                <w:highlight w:val="none"/>
                <w:u w:val="single"/>
                <w:lang w:val="en-US" w:eastAsia="zh-CN" w:bidi="ar-SA"/>
              </w:rPr>
              <w:t>七、服务期限</w:t>
            </w:r>
          </w:p>
          <w:p w14:paraId="381B252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b w:val="0"/>
                <w:bCs w:val="0"/>
                <w:color w:val="000000"/>
                <w:sz w:val="24"/>
                <w:szCs w:val="24"/>
                <w:highlight w:val="none"/>
              </w:rPr>
            </w:pPr>
            <w:r>
              <w:rPr>
                <w:rFonts w:hint="eastAsia" w:ascii="宋体" w:hAnsi="宋体" w:eastAsia="宋体" w:cs="宋体"/>
                <w:b w:val="0"/>
                <w:bCs w:val="0"/>
                <w:i/>
                <w:iCs/>
                <w:snapToGrid w:val="0"/>
                <w:color w:val="000000"/>
                <w:kern w:val="0"/>
                <w:sz w:val="24"/>
                <w:szCs w:val="24"/>
                <w:highlight w:val="none"/>
                <w:u w:val="single"/>
                <w:lang w:val="en-US" w:eastAsia="zh-CN" w:bidi="ar-SA"/>
              </w:rPr>
              <w:t>服务时间：1 年（合同约定时间起算）。</w:t>
            </w:r>
          </w:p>
        </w:tc>
      </w:tr>
      <w:tr w14:paraId="4E59B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center"/>
          </w:tcPr>
          <w:p w14:paraId="2BAA290D">
            <w:pPr>
              <w:pageBreakBefore w:val="0"/>
              <w:wordWrap/>
              <w:overflowPunct/>
              <w:topLinePunct w:val="0"/>
              <w:bidi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8519" w:type="dxa"/>
            <w:noWrap w:val="0"/>
            <w:vAlign w:val="top"/>
          </w:tcPr>
          <w:p w14:paraId="67E2FF5D">
            <w:pPr>
              <w:keepNext w:val="0"/>
              <w:keepLines w:val="0"/>
              <w:pageBreakBefore w:val="0"/>
              <w:widowControl/>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b w:val="0"/>
                <w:bCs w:val="0"/>
                <w:i/>
                <w:iCs/>
                <w:snapToGrid w:val="0"/>
                <w:color w:val="000000"/>
                <w:kern w:val="0"/>
                <w:sz w:val="24"/>
                <w:szCs w:val="24"/>
                <w:highlight w:val="none"/>
                <w:u w:val="single"/>
                <w:lang w:val="en-US" w:eastAsia="en-US" w:bidi="ar-SA"/>
              </w:rPr>
            </w:pPr>
            <w:r>
              <w:rPr>
                <w:rFonts w:hint="eastAsia" w:ascii="宋体" w:hAnsi="宋体" w:eastAsia="宋体" w:cs="宋体"/>
                <w:b w:val="0"/>
                <w:bCs w:val="0"/>
                <w:i/>
                <w:iCs/>
                <w:snapToGrid w:val="0"/>
                <w:color w:val="000000"/>
                <w:kern w:val="0"/>
                <w:sz w:val="24"/>
                <w:szCs w:val="24"/>
                <w:highlight w:val="none"/>
                <w:u w:val="single"/>
                <w:lang w:val="en-US" w:eastAsia="en-US" w:bidi="ar-SA"/>
              </w:rPr>
              <w:t>1.付款方式：</w:t>
            </w:r>
          </w:p>
          <w:p w14:paraId="7BFB50AE">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b w:val="0"/>
                <w:bCs w:val="0"/>
                <w:color w:val="000000"/>
                <w:sz w:val="24"/>
                <w:szCs w:val="24"/>
                <w:highlight w:val="none"/>
              </w:rPr>
            </w:pPr>
            <w:r>
              <w:rPr>
                <w:rFonts w:hint="eastAsia" w:ascii="宋体" w:hAnsi="宋体" w:eastAsia="宋体" w:cs="宋体"/>
                <w:b w:val="0"/>
                <w:bCs w:val="0"/>
                <w:i/>
                <w:iCs/>
                <w:snapToGrid w:val="0"/>
                <w:color w:val="000000"/>
                <w:kern w:val="0"/>
                <w:sz w:val="24"/>
                <w:szCs w:val="24"/>
                <w:highlight w:val="none"/>
                <w:u w:val="single"/>
                <w:lang w:val="en-US" w:eastAsia="zh-CN" w:bidi="ar-SA"/>
              </w:rPr>
              <w:t>合同签订后，托养经费分别由县残联在每服务季度按照托养机构服务人数、服务标准全额测算，每季度根据考核指标报财政据实拨付。考核结果低于85分的，暂缓拨付经费，整改完成后拨付。每次付款前投标人应向甲方开具正规发票，否则迟延付款的责任由投标人自行承担。</w:t>
            </w:r>
          </w:p>
        </w:tc>
      </w:tr>
      <w:tr w14:paraId="69C21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center"/>
          </w:tcPr>
          <w:p w14:paraId="409BE246">
            <w:pPr>
              <w:pageBreakBefore w:val="0"/>
              <w:wordWrap/>
              <w:overflowPunct/>
              <w:topLinePunct w:val="0"/>
              <w:bidi w:val="0"/>
              <w:spacing w:line="360" w:lineRule="auto"/>
              <w:jc w:val="center"/>
              <w:rPr>
                <w:rFonts w:hint="eastAsia" w:ascii="宋体" w:hAnsi="宋体" w:eastAsia="宋体" w:cs="宋体"/>
                <w:color w:val="000000"/>
                <w:sz w:val="24"/>
                <w:szCs w:val="24"/>
                <w:lang w:val="en-US" w:eastAsia="zh-CN"/>
              </w:rPr>
            </w:pPr>
            <w:bookmarkStart w:id="4" w:name="_Toc155796360"/>
            <w:r>
              <w:rPr>
                <w:rFonts w:hint="eastAsia" w:ascii="宋体" w:hAnsi="宋体" w:eastAsia="宋体" w:cs="宋体"/>
                <w:color w:val="000000"/>
                <w:sz w:val="24"/>
                <w:szCs w:val="24"/>
                <w:lang w:val="en-US" w:eastAsia="zh-CN"/>
              </w:rPr>
              <w:t>5</w:t>
            </w:r>
          </w:p>
        </w:tc>
        <w:tc>
          <w:tcPr>
            <w:tcW w:w="8519" w:type="dxa"/>
            <w:noWrap w:val="0"/>
            <w:vAlign w:val="top"/>
          </w:tcPr>
          <w:p w14:paraId="3B3AA5F3">
            <w:pPr>
              <w:pageBreakBefore w:val="0"/>
              <w:wordWrap/>
              <w:overflowPunct/>
              <w:topLinePunct w:val="0"/>
              <w:bidi w:val="0"/>
              <w:spacing w:line="360" w:lineRule="auto"/>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i/>
                <w:iCs/>
                <w:snapToGrid w:val="0"/>
                <w:color w:val="000000"/>
                <w:kern w:val="0"/>
                <w:sz w:val="24"/>
                <w:szCs w:val="24"/>
                <w:highlight w:val="none"/>
                <w:u w:val="single"/>
                <w:lang w:val="en-US" w:eastAsia="en-US" w:bidi="ar-SA"/>
              </w:rPr>
              <w:t>2</w:t>
            </w:r>
            <w:r>
              <w:rPr>
                <w:rFonts w:hint="eastAsia" w:ascii="宋体" w:hAnsi="宋体" w:eastAsia="宋体" w:cs="宋体"/>
                <w:b w:val="0"/>
                <w:bCs w:val="0"/>
                <w:i/>
                <w:iCs/>
                <w:snapToGrid w:val="0"/>
                <w:color w:val="000000"/>
                <w:kern w:val="0"/>
                <w:sz w:val="24"/>
                <w:szCs w:val="24"/>
                <w:highlight w:val="none"/>
                <w:u w:val="single"/>
                <w:lang w:val="en-US" w:eastAsia="zh-CN" w:bidi="ar-SA"/>
              </w:rPr>
              <w:t>.重度残疾人3300 元/人/月、轻度残疾人1800元/人/月，投标分项报价表中单价报价超过以上最高限价的按无效响应处理</w:t>
            </w:r>
            <w:r>
              <w:rPr>
                <w:rFonts w:hint="eastAsia" w:ascii="宋体" w:hAnsi="宋体" w:eastAsia="宋体" w:cs="宋体"/>
                <w:b w:val="0"/>
                <w:bCs w:val="0"/>
                <w:i/>
                <w:iCs/>
                <w:snapToGrid w:val="0"/>
                <w:color w:val="000000"/>
                <w:kern w:val="0"/>
                <w:sz w:val="24"/>
                <w:szCs w:val="24"/>
                <w:highlight w:val="none"/>
                <w:u w:val="single"/>
                <w:lang w:val="en-US" w:eastAsia="en-US" w:bidi="ar-SA"/>
              </w:rPr>
              <w:t>。</w:t>
            </w:r>
          </w:p>
        </w:tc>
      </w:tr>
    </w:tbl>
    <w:p w14:paraId="606B1EE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2" w:firstLineChars="200"/>
        <w:jc w:val="left"/>
        <w:textAlignment w:val="baseline"/>
        <w:rPr>
          <w:rFonts w:hint="eastAsia" w:ascii="宋体" w:hAnsi="宋体" w:eastAsia="宋体" w:cs="宋体"/>
          <w:b/>
          <w:bCs/>
          <w:snapToGrid w:val="0"/>
          <w:color w:val="000000"/>
          <w:kern w:val="0"/>
          <w:sz w:val="28"/>
          <w:szCs w:val="28"/>
          <w:lang w:val="en-US" w:eastAsia="zh-CN" w:bidi="ar-SA"/>
        </w:rPr>
      </w:pPr>
      <w:r>
        <w:rPr>
          <w:rFonts w:hint="eastAsia" w:ascii="宋体" w:hAnsi="宋体" w:eastAsia="宋体" w:cs="宋体"/>
          <w:b/>
          <w:bCs/>
          <w:snapToGrid w:val="0"/>
          <w:color w:val="000000"/>
          <w:kern w:val="0"/>
          <w:sz w:val="28"/>
          <w:szCs w:val="28"/>
          <w:lang w:val="en-US" w:eastAsia="zh-CN" w:bidi="ar-SA"/>
        </w:rPr>
        <w:t>一、项目概况</w:t>
      </w:r>
    </w:p>
    <w:p w14:paraId="5105EA7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auto"/>
          <w:kern w:val="0"/>
          <w:sz w:val="24"/>
          <w:szCs w:val="24"/>
          <w:highlight w:val="none"/>
          <w:lang w:val="en-US" w:eastAsia="zh-CN" w:bidi="ar-SA"/>
        </w:rPr>
        <w:t>以习近平新时代中国特色社会主义思想为指导，全面贯彻落实党的二十大精神，坚持以增进残疾人民生福祉为导向，进一步健全残疾人托养服务体系，提高托养服务质量，增强托养服务的均衡性和可及性，不断增强残疾人的获得感、幸福感、安全感。根据《连云港市残疾人托养服务实施方案》(连残发〔2021〕24号)、《连云港市残疾人托养服务规范（试行）》（连残发〔2022〕65号）文件精神，经研究决定，2025年在全县开展残疾人寄宿制托养服务项目，</w:t>
      </w:r>
      <w:r>
        <w:rPr>
          <w:rFonts w:hint="eastAsia" w:ascii="宋体" w:hAnsi="宋体" w:eastAsia="宋体" w:cs="宋体"/>
          <w:snapToGrid w:val="0"/>
          <w:color w:val="000000"/>
          <w:kern w:val="0"/>
          <w:sz w:val="24"/>
          <w:szCs w:val="24"/>
          <w:lang w:val="en-US" w:eastAsia="zh-CN" w:bidi="ar-SA"/>
        </w:rPr>
        <w:t>服务符合条件的16-59周岁智力、重度肢体残疾人，采用24小时集中居住和照料模式，主要提供生活照料及护理、生活自理和社会适应能力训练等服务，更好的为残疾人提供针对性的寄宿制托养服务。</w:t>
      </w:r>
    </w:p>
    <w:p w14:paraId="48E66C2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2" w:firstLineChars="200"/>
        <w:jc w:val="left"/>
        <w:textAlignment w:val="baseline"/>
        <w:rPr>
          <w:rFonts w:hint="eastAsia" w:ascii="宋体" w:hAnsi="宋体" w:eastAsia="宋体" w:cs="宋体"/>
          <w:b/>
          <w:bCs/>
          <w:snapToGrid w:val="0"/>
          <w:color w:val="000000"/>
          <w:kern w:val="0"/>
          <w:sz w:val="28"/>
          <w:szCs w:val="28"/>
          <w:lang w:val="en-US" w:eastAsia="zh-CN" w:bidi="ar-SA"/>
        </w:rPr>
      </w:pPr>
      <w:r>
        <w:rPr>
          <w:rFonts w:hint="eastAsia" w:ascii="宋体" w:hAnsi="宋体" w:eastAsia="宋体" w:cs="宋体"/>
          <w:b/>
          <w:bCs/>
          <w:snapToGrid w:val="0"/>
          <w:color w:val="000000"/>
          <w:kern w:val="0"/>
          <w:sz w:val="28"/>
          <w:szCs w:val="28"/>
          <w:lang w:val="en-US" w:eastAsia="zh-CN" w:bidi="ar-SA"/>
        </w:rPr>
        <w:t>二、服务范围</w:t>
      </w:r>
    </w:p>
    <w:p w14:paraId="722FF023">
      <w:pPr>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宋体" w:hAnsi="宋体" w:eastAsia="宋体" w:cs="宋体"/>
          <w:snapToGrid w:val="0"/>
          <w:color w:val="auto"/>
          <w:kern w:val="0"/>
          <w:sz w:val="24"/>
          <w:szCs w:val="21"/>
          <w:highlight w:val="none"/>
          <w:lang w:eastAsia="en-US"/>
        </w:rPr>
      </w:pPr>
      <w:r>
        <w:rPr>
          <w:rFonts w:hint="eastAsia" w:ascii="宋体" w:hAnsi="宋体" w:eastAsia="宋体" w:cs="宋体"/>
          <w:snapToGrid w:val="0"/>
          <w:color w:val="auto"/>
          <w:kern w:val="0"/>
          <w:sz w:val="24"/>
          <w:szCs w:val="21"/>
          <w:highlight w:val="none"/>
          <w:lang w:eastAsia="en-US"/>
        </w:rPr>
        <w:t>具有</w:t>
      </w:r>
      <w:r>
        <w:rPr>
          <w:rFonts w:hint="eastAsia" w:ascii="宋体" w:hAnsi="宋体" w:eastAsia="宋体" w:cs="宋体"/>
          <w:snapToGrid w:val="0"/>
          <w:color w:val="auto"/>
          <w:kern w:val="0"/>
          <w:sz w:val="24"/>
          <w:szCs w:val="21"/>
          <w:highlight w:val="none"/>
          <w:lang w:val="en-US" w:eastAsia="zh-CN"/>
        </w:rPr>
        <w:t>东海县</w:t>
      </w:r>
      <w:r>
        <w:rPr>
          <w:rFonts w:hint="eastAsia" w:ascii="宋体" w:hAnsi="宋体" w:eastAsia="宋体" w:cs="宋体"/>
          <w:snapToGrid w:val="0"/>
          <w:color w:val="auto"/>
          <w:kern w:val="0"/>
          <w:sz w:val="24"/>
          <w:szCs w:val="21"/>
          <w:highlight w:val="none"/>
          <w:lang w:eastAsia="en-US"/>
        </w:rPr>
        <w:t>户籍，持有《中华人民共和国残疾人证》（第二代），</w:t>
      </w:r>
      <w:r>
        <w:rPr>
          <w:rFonts w:hint="eastAsia" w:ascii="宋体" w:hAnsi="宋体" w:eastAsia="宋体" w:cs="宋体"/>
          <w:snapToGrid w:val="0"/>
          <w:color w:val="auto"/>
          <w:kern w:val="0"/>
          <w:sz w:val="24"/>
          <w:szCs w:val="21"/>
          <w:highlight w:val="none"/>
          <w:lang w:eastAsia="zh-CN"/>
        </w:rPr>
        <w:t>年龄在16-59周岁的低保家庭、低收入家庭、“一户多残”家庭、享受“两项补贴”家庭中无固定收入重残生活补贴的智力、重度肢体残疾人</w:t>
      </w:r>
      <w:r>
        <w:rPr>
          <w:rFonts w:hint="eastAsia" w:ascii="宋体" w:hAnsi="宋体" w:eastAsia="宋体" w:cs="宋体"/>
          <w:snapToGrid w:val="0"/>
          <w:color w:val="auto"/>
          <w:kern w:val="0"/>
          <w:sz w:val="24"/>
          <w:szCs w:val="21"/>
          <w:highlight w:val="none"/>
          <w:lang w:eastAsia="en-US"/>
        </w:rPr>
        <w:t>。</w:t>
      </w:r>
    </w:p>
    <w:p w14:paraId="28B628E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2" w:firstLineChars="200"/>
        <w:jc w:val="left"/>
        <w:textAlignment w:val="baseline"/>
        <w:rPr>
          <w:rFonts w:hint="eastAsia" w:ascii="宋体" w:hAnsi="宋体" w:eastAsia="宋体" w:cs="宋体"/>
          <w:b/>
          <w:bCs/>
          <w:snapToGrid w:val="0"/>
          <w:color w:val="000000"/>
          <w:kern w:val="0"/>
          <w:sz w:val="28"/>
          <w:szCs w:val="28"/>
          <w:lang w:val="en-US" w:eastAsia="zh-CN" w:bidi="ar-SA"/>
        </w:rPr>
      </w:pPr>
      <w:r>
        <w:rPr>
          <w:rFonts w:hint="eastAsia" w:ascii="宋体" w:hAnsi="宋体" w:eastAsia="宋体" w:cs="宋体"/>
          <w:b/>
          <w:bCs/>
          <w:snapToGrid w:val="0"/>
          <w:color w:val="000000"/>
          <w:kern w:val="0"/>
          <w:sz w:val="28"/>
          <w:szCs w:val="28"/>
          <w:lang w:val="en-US" w:eastAsia="zh-CN" w:bidi="ar-SA"/>
        </w:rPr>
        <w:t>三、服务内容</w:t>
      </w:r>
    </w:p>
    <w:p w14:paraId="6567183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依照《连云港市残疾人托养服务规范》等相关标准开展工作，其中包含智力残疾人托养服务和肢体残疾人托养服务；</w:t>
      </w:r>
    </w:p>
    <w:p w14:paraId="17B6180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（一）寄宿制托养服务内容</w:t>
      </w:r>
    </w:p>
    <w:p w14:paraId="53B1AE3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服务包含但不限于如下服务项目：照护服务、膳食服务、康复服务、医疗服务、教育服务、心理服务、技能培训服务、辅助性就业、卫生环境服务、文体娱乐服务、其他服务等。</w:t>
      </w:r>
    </w:p>
    <w:p w14:paraId="3B56777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1.照护服务</w:t>
      </w:r>
    </w:p>
    <w:p w14:paraId="5662456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（1）保持服务对象衣服、被物的卫生、整洁、得体，定期 换洗贴身内衣，夏季每天换洗，其它季节一周不少于 3 次；外衣 裤，每月至少换洗 2 次；当内、外衣物有明显污渍时，则及时换洗。</w:t>
      </w:r>
    </w:p>
    <w:p w14:paraId="6D2D818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（2）支持、帮助功能障碍服务对象做好起床、就寝、穿衣、 脱衣、就餐等事项。</w:t>
      </w:r>
    </w:p>
    <w:p w14:paraId="02216A4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（3）协助服务对象洗浴或擦身，夏季每天不少于 1 次，其 它季节每周不少于 1 次。</w:t>
      </w:r>
    </w:p>
    <w:p w14:paraId="0AB6CDC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（4）助浴时，根据季节气候状况和服务对象身体条件，做好防寒保暖、防暑降温及通风。</w:t>
      </w:r>
    </w:p>
    <w:p w14:paraId="1403FD4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（5）支持、协助服务对象管理日常生活。日常梳洗，包括 头、脸、口腔、手、脚、下身部位的清洁、理发、修剪指（趾）甲、剃须；保持身体干净、无异味。</w:t>
      </w:r>
    </w:p>
    <w:p w14:paraId="153DA37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（6）协助行动不便的服务对象如厕及便后清洁。</w:t>
      </w:r>
    </w:p>
    <w:p w14:paraId="30648FB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（7）在正常天气条件下， 保证服务对象每天有不少于 2 小时的户外文体、休闲活动。为行动不便和生活不能完全自理的服 务对象提供户外活动的协助。</w:t>
      </w:r>
    </w:p>
    <w:p w14:paraId="0950E34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（8）每天整理床铺，原则上每周晾晒被褥一次。</w:t>
      </w:r>
    </w:p>
    <w:p w14:paraId="5F4F645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（9）护理精神残疾服务对象时， 应注意保护和监护。遇情绪不稳定，应由专业医务人员或在其指导下适时采取安全保护和监护措施；遇精神病复发，应立即送医院就诊。</w:t>
      </w:r>
    </w:p>
    <w:p w14:paraId="125CCDE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（10）护理智力残疾服务对象时，应注意保护和观察，避免因语言表达障碍或认知障碍造成意外伤害。</w:t>
      </w:r>
    </w:p>
    <w:p w14:paraId="12040B4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（11）护理患有特殊疾病的服务对象时，应注意观察。为特 殊护理的服务对象提供 24 小时护理服务。</w:t>
      </w:r>
    </w:p>
    <w:p w14:paraId="44459A9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2.膳食服务</w:t>
      </w:r>
    </w:p>
    <w:p w14:paraId="6801567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（1）残疾人托养服务机构食堂应取得政府主管部门颁发的相关证明。</w:t>
      </w:r>
    </w:p>
    <w:p w14:paraId="79F1670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（2）餐饮制作和提供，应符合相关食品卫生法规的要求。 食品应每天留样，至少保留 24 小时。</w:t>
      </w:r>
    </w:p>
    <w:p w14:paraId="09B3A7C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（3）按时提供一日三餐，全天供应冷热饮用水， 餐饮卫生应符合 GB/T 27306 相关规定。</w:t>
      </w:r>
    </w:p>
    <w:p w14:paraId="5A1EE38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（4）根据服务对象特点，每周制订、翻新食谱， 保证餐饮的安全、营养和健康。为特殊服务对象及时提供特殊饮食。 </w:t>
      </w:r>
    </w:p>
    <w:p w14:paraId="680D70B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3.康复服务</w:t>
      </w:r>
    </w:p>
    <w:p w14:paraId="1F2C48C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（1）建立适宜服务对象特点的康复计划，按计划开展康复训练。</w:t>
      </w:r>
    </w:p>
    <w:p w14:paraId="33B4925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（2）建立日常康复训练档案，做好服务对象1人1档。</w:t>
      </w:r>
    </w:p>
    <w:p w14:paraId="0E91A00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（3）由专业机构定期进行康复训练效果评估，评估结果应及时告知服务对象及其监护人。</w:t>
      </w:r>
    </w:p>
    <w:p w14:paraId="541974A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（4）根据服务对象康复训练情况和康复评估效果及时调整康复训练计划。</w:t>
      </w:r>
    </w:p>
    <w:p w14:paraId="0E051F6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4.医疗服务</w:t>
      </w:r>
    </w:p>
    <w:p w14:paraId="266A640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（1）建立医务室。</w:t>
      </w:r>
    </w:p>
    <w:p w14:paraId="378133C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（2）聘用执业医师，为服务对象提供医疗、康复训练、卫生保健服务。</w:t>
      </w:r>
    </w:p>
    <w:p w14:paraId="6C4C6DC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（3）医务人员每天 1 次查房问询，医务、护理人员每周至少 1 次联合查房巡诊。</w:t>
      </w:r>
    </w:p>
    <w:p w14:paraId="050A575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（4）为服务对象每年进行 1 次常规体检。</w:t>
      </w:r>
    </w:p>
    <w:p w14:paraId="3A961AA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（5）定期组织服务对象参加健康教育，自我保健、自我护理知识的学习和训练。</w:t>
      </w:r>
    </w:p>
    <w:p w14:paraId="68D5A60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（6）代发代管药品，应有服务对象监护人的委托书；药品使用应按医嘱执行。</w:t>
      </w:r>
    </w:p>
    <w:p w14:paraId="3E16893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（7）接受医疗药品时，应查阅、核对就诊病历卡、处方单等。</w:t>
      </w:r>
    </w:p>
    <w:p w14:paraId="47C771C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（8）医疗药品应由专人、专柜保管，避免丢失、损坏和过期失效。</w:t>
      </w:r>
    </w:p>
    <w:p w14:paraId="1555BE0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（9）应督促或协助服务对象按医嘱服药。对精神类药物的服用，应实施严格监督。</w:t>
      </w:r>
    </w:p>
    <w:p w14:paraId="5FEAB31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（10）代发代管药品的服务工作由医务室指派专门医务人员 负责实施。</w:t>
      </w:r>
    </w:p>
    <w:p w14:paraId="4CCEE03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5.教育服务</w:t>
      </w:r>
    </w:p>
    <w:p w14:paraId="5842D4F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（1）为服务对象提供适宜的运动训练、作业训练等教育训 练的必备场所和设施。</w:t>
      </w:r>
    </w:p>
    <w:p w14:paraId="5AC2BE5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（2）教育培训工作应在特教老师、康复治疗师等专业技术 老师的指导下进行，可以开设语文、数学、音乐、体育、心理等 方面课程。应制定教育培训计划，定期评估教育培训效果，建立 日常教育培训档案。</w:t>
      </w:r>
    </w:p>
    <w:p w14:paraId="18B3638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（3）为适宜的服务对象提供认知、感知培训，手、眼、脑 协调能力培训，开展生活常识教育。</w:t>
      </w:r>
    </w:p>
    <w:p w14:paraId="6E7A0B2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（4）开展文化体育、休闲娱乐活动，定期组织社会各界人 士与服务对象进行互动活动，开展融入社会的实践演练。</w:t>
      </w:r>
    </w:p>
    <w:p w14:paraId="3488A2A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（5）组织服务对象参观、考察社会政治、精神、物质文明 成果。</w:t>
      </w:r>
    </w:p>
    <w:p w14:paraId="0B58314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6.心理服务</w:t>
      </w:r>
    </w:p>
    <w:p w14:paraId="67E2C96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（1）服务工作人员平均每天不少于 20 分钟与服务对象进行 交流对话，及时沟通信息。</w:t>
      </w:r>
    </w:p>
    <w:p w14:paraId="34F169E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（2）开辟同类别残疾人活动室，为服务对象提供交流场所， 满足服务对象的情感交流和人际交往需求。</w:t>
      </w:r>
    </w:p>
    <w:p w14:paraId="324FF74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（3）工作人员应为服务对象提供心理疏导和心理健康的关 爱服务。</w:t>
      </w:r>
    </w:p>
    <w:p w14:paraId="36E6BBF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（4）对有心理障碍的服务对象，及时与家庭或监护人沟通， 通过专业心理咨询师共同做好服务对象的心理疏导工作。</w:t>
      </w:r>
    </w:p>
    <w:p w14:paraId="374B90A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（5）定期安排服务对象家属或监护人、志愿者等与服务对 象进行沟通交流。</w:t>
      </w:r>
    </w:p>
    <w:p w14:paraId="3DE2A41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（6）鼓励服务机构开展适宜的集体活动。</w:t>
      </w:r>
    </w:p>
    <w:p w14:paraId="5A2AEB1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（7）定期邀请心理咨询师、社会工作师介入工作。 </w:t>
      </w:r>
    </w:p>
    <w:p w14:paraId="2A75C56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7.技能培训服务</w:t>
      </w:r>
    </w:p>
    <w:p w14:paraId="5276D18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（1）制定适宜的技能培训与训练计划、培训课程。</w:t>
      </w:r>
    </w:p>
    <w:p w14:paraId="296F904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（2）组织简单的生活自理、生活劳动和社会生产活动训练， 开发服务对象能力，调整或完善培训计划。</w:t>
      </w:r>
    </w:p>
    <w:p w14:paraId="11DB274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（3）通过适宜的方式定期评估培训效果，及时记录、考评 服务对象。</w:t>
      </w:r>
    </w:p>
    <w:p w14:paraId="6B988A4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（4）通过专业机构评估服务对象的身体功能和职业能力， 适时对服务对象的职业适应能力进行技术指导。</w:t>
      </w:r>
    </w:p>
    <w:p w14:paraId="656CD8D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（5）引进社会力量为服务对象提供职业技能培养、职业介绍、职业能力开发等专业服务。</w:t>
      </w:r>
    </w:p>
    <w:p w14:paraId="5CB0825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8.辅助性就业</w:t>
      </w:r>
    </w:p>
    <w:p w14:paraId="5D151BE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为有劳动能力的服务对象提供相应的劳动就业条件，对服务对象进行劳动能力评估，与服务对象或家属、监护人签订劳动协 议，保障服务对象合法权益。设立劳动生产项目，组织托养服务 对象自愿开展生产劳动，获得劳动收入。</w:t>
      </w:r>
    </w:p>
    <w:p w14:paraId="1128150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9.卫生环境服务</w:t>
      </w:r>
    </w:p>
    <w:p w14:paraId="73F6912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（1）室内应保持干净、空气新鲜、无异味，居室清扫每天至少 1 次。</w:t>
      </w:r>
    </w:p>
    <w:p w14:paraId="4B22586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（2）每月 2 次换洗床单、枕套、枕巾、被套等，保持床上用品清洁、平整、干燥； 必要时，随时换洗。</w:t>
      </w:r>
    </w:p>
    <w:p w14:paraId="08992F7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（3）清洗毛巾、洗脸盆，保持干净。</w:t>
      </w:r>
    </w:p>
    <w:p w14:paraId="3932D86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（4）及时倾倒便器，配置消毒器械，卫生间每周至少消毒1 次。</w:t>
      </w:r>
    </w:p>
    <w:p w14:paraId="56AB330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（5）保持居室内的生活护理用具清洁、摆放有序。</w:t>
      </w:r>
    </w:p>
    <w:p w14:paraId="4FCCD17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（6）床位更换时，应进行常规消毒处理；遇服务对象患传染病或死亡的，应对床位和居室进行相关特殊消毒。</w:t>
      </w:r>
    </w:p>
    <w:p w14:paraId="553D8B0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（7）对居室和公共区域至少每周进行 1 次消毒灭菌。</w:t>
      </w:r>
    </w:p>
    <w:p w14:paraId="48672F0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（8）应采取措施，杀灭老鼠、蟑螂、蚊蝇等，防止虫害对服务对象健康和安全造成危害。</w:t>
      </w:r>
    </w:p>
    <w:p w14:paraId="66054DB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（9）下水道畅通，公共区域内雨后无积水。</w:t>
      </w:r>
    </w:p>
    <w:p w14:paraId="6C6953D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（10）楼内走道设置垃圾箱，设置垃圾中转站，并及时运出处理。确保机构区域内空气新鲜，无异味。</w:t>
      </w:r>
    </w:p>
    <w:p w14:paraId="1F7AA16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10.文体娱乐服务</w:t>
      </w:r>
    </w:p>
    <w:p w14:paraId="24922B2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（1）定期开展各类讲座、播放影视资料和收看电视等。</w:t>
      </w:r>
    </w:p>
    <w:p w14:paraId="61A7676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（2）组织服务对象开展娱乐活动、图书阅览。</w:t>
      </w:r>
    </w:p>
    <w:p w14:paraId="49F8432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（3）组织服务对象开展体育活动，定期组织户外活动。</w:t>
      </w:r>
    </w:p>
    <w:p w14:paraId="1CA83A0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（4）制定适宜服务对象的文体娱乐计划方案，确保服务对象安全。</w:t>
      </w:r>
    </w:p>
    <w:p w14:paraId="3D704F4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11.其他服务</w:t>
      </w:r>
    </w:p>
    <w:p w14:paraId="1225F11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（1）提供日常生活物品（贵重物品除外）代保管服务，方便存取。</w:t>
      </w:r>
    </w:p>
    <w:p w14:paraId="1D967AC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（2）为智力残疾和生活不能完全自理的服务对象代保管物品。</w:t>
      </w:r>
    </w:p>
    <w:p w14:paraId="08611B1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（3）提供日常生活用品的代购服务和信件邮寄、报刊订阅服务。</w:t>
      </w:r>
    </w:p>
    <w:p w14:paraId="0329402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（4）为其他类型残疾服务对象提供交流、表达能力培训服务等。</w:t>
      </w:r>
    </w:p>
    <w:p w14:paraId="6288569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jc w:val="left"/>
        <w:textAlignment w:val="baseline"/>
        <w:rPr>
          <w:rFonts w:hint="eastAsia" w:ascii="宋体" w:hAnsi="宋体" w:eastAsia="宋体" w:cs="宋体"/>
          <w:b/>
          <w:bCs/>
          <w:snapToGrid w:val="0"/>
          <w:color w:val="000000"/>
          <w:kern w:val="0"/>
          <w:sz w:val="28"/>
          <w:szCs w:val="28"/>
          <w:lang w:val="en-US" w:eastAsia="zh-CN" w:bidi="ar-SA"/>
        </w:rPr>
      </w:pPr>
      <w:r>
        <w:rPr>
          <w:rFonts w:hint="eastAsia" w:ascii="宋体" w:hAnsi="宋体" w:eastAsia="宋体" w:cs="宋体"/>
          <w:b/>
          <w:bCs/>
          <w:snapToGrid w:val="0"/>
          <w:color w:val="000000"/>
          <w:kern w:val="0"/>
          <w:sz w:val="28"/>
          <w:szCs w:val="28"/>
          <w:lang w:val="en-US" w:eastAsia="zh-CN" w:bidi="ar-SA"/>
        </w:rPr>
        <w:t>四、服务标准及要求</w:t>
      </w:r>
    </w:p>
    <w:p w14:paraId="6605223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1.服务标准</w:t>
      </w:r>
    </w:p>
    <w:p w14:paraId="2F6BD5E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Cs/>
          <w:snapToGrid w:val="0"/>
          <w:color w:val="000000"/>
          <w:kern w:val="0"/>
          <w:sz w:val="24"/>
          <w:szCs w:val="24"/>
          <w:lang w:val="en-US" w:eastAsia="zh-CN" w:bidi="ar-SA"/>
        </w:rPr>
        <w:t>乙方服务内容按照中残联《就业年龄段智力、精神及重度肢体残疾人托养服务规范》（GB/T37516—2019）、《连云港市残疾人托养服务实施方案》</w:t>
      </w:r>
      <w:r>
        <w:rPr>
          <w:rFonts w:hint="eastAsia" w:ascii="宋体" w:hAnsi="宋体" w:eastAsia="宋体" w:cs="宋体"/>
          <w:snapToGrid w:val="0"/>
          <w:color w:val="auto"/>
          <w:kern w:val="0"/>
          <w:sz w:val="24"/>
          <w:szCs w:val="24"/>
          <w:highlight w:val="none"/>
          <w:lang w:val="en-US" w:eastAsia="zh-CN" w:bidi="ar-SA"/>
        </w:rPr>
        <w:t>(连残发〔2021〕24号)及《连云港市残疾人托养服务规范（试行）》（连残发〔2022〕65号）</w:t>
      </w:r>
      <w:r>
        <w:rPr>
          <w:rFonts w:hint="eastAsia" w:ascii="宋体" w:hAnsi="宋体" w:eastAsia="宋体" w:cs="宋体"/>
          <w:bCs/>
          <w:snapToGrid w:val="0"/>
          <w:color w:val="000000"/>
          <w:kern w:val="0"/>
          <w:sz w:val="24"/>
          <w:szCs w:val="24"/>
          <w:lang w:val="en-US" w:eastAsia="zh-CN" w:bidi="ar-SA"/>
        </w:rPr>
        <w:t>要求，</w:t>
      </w:r>
      <w:r>
        <w:rPr>
          <w:rFonts w:hint="eastAsia" w:ascii="宋体" w:hAnsi="宋体" w:eastAsia="宋体" w:cs="宋体"/>
          <w:snapToGrid w:val="0"/>
          <w:color w:val="000000"/>
          <w:kern w:val="0"/>
          <w:sz w:val="24"/>
          <w:szCs w:val="24"/>
          <w:lang w:val="en-US" w:eastAsia="zh-CN" w:bidi="ar-SA"/>
        </w:rPr>
        <w:t>服务符合条件的16-59周岁智力、重度肢体残疾人，采用24小时集中居住和照料模式，主要提供生活照料及护理、生活自理和社会适应能力训练等服务。　</w:t>
      </w:r>
    </w:p>
    <w:p w14:paraId="2AD0A19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（1）生活照料：</w:t>
      </w:r>
      <w:r>
        <w:rPr>
          <w:rFonts w:hint="eastAsia" w:ascii="宋体" w:hAnsi="宋体" w:eastAsia="宋体" w:cs="宋体"/>
          <w:snapToGrid w:val="0"/>
          <w:color w:val="000000"/>
          <w:kern w:val="0"/>
          <w:sz w:val="24"/>
          <w:szCs w:val="24"/>
          <w:lang w:val="en-US" w:eastAsia="zh-CN" w:bidi="ar-SA"/>
        </w:rPr>
        <w:t>提供行为看护、活动协助、助餐助药等日常生活照料服务；服务人员应注意观察服务对象行为和健康状况，及时提供必要的提醒、协助和保护。发现异常，及时处理并联系监护人；机构应提供安全饮用水、如厕和洁手便利。如提供用餐服务需定时供餐；机构提供代发代管药品的应由专人保管、专柜存放，按医嘱使用；机构为残疾服务对象提供服药指导、督促服药，提供休息便利和适当照看；协助有需要的服务对象进行户外活动。在天气情况允许的条件下，每天保证服务对象到户外活动1小时。</w:t>
      </w:r>
    </w:p>
    <w:p w14:paraId="4B1D4D0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（2）生活自理能力训练：</w:t>
      </w:r>
      <w:r>
        <w:rPr>
          <w:rFonts w:hint="eastAsia" w:ascii="宋体" w:hAnsi="宋体" w:eastAsia="宋体" w:cs="宋体"/>
          <w:snapToGrid w:val="0"/>
          <w:color w:val="000000"/>
          <w:kern w:val="0"/>
          <w:sz w:val="24"/>
          <w:szCs w:val="24"/>
          <w:lang w:val="en-US" w:eastAsia="zh-CN" w:bidi="ar-SA"/>
        </w:rPr>
        <w:t>根据服务对象的需求和特点，制定适宜的培养与训练计划，并张贴在显著位置；指导服务对象进行基本生活自理活动训练，使其能够自行洗漱、如厕、穿衣、吃饭等；在模拟家庭环境和劳动环境中指导服务对象学习简单家务和劳动，使其能够在协助和指导下完成煮饭、拣择蔬菜、整理床铺、洗衣服、打扫卫生等活动；应与服务对象的家属或监护人及时其沟通训练的内容和情况，以便服务对象回家时可以在真实家庭生活场景中对其生活自理能力进行重复巩固训练；可根据服务对象个体情况，设计适宜的训练课程，例如制作面食、烘焙饼干、缝制衣物等，发掘其生活自理能力方面可能存在的其他潜力；训练考评结果应记录存档，并依此调整或完善训练计划。</w:t>
      </w:r>
    </w:p>
    <w:p w14:paraId="13B7485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 社会适应能力辅导：</w:t>
      </w:r>
      <w:r>
        <w:rPr>
          <w:rFonts w:hint="eastAsia" w:ascii="宋体" w:hAnsi="宋体" w:eastAsia="宋体" w:cs="宋体"/>
          <w:snapToGrid w:val="0"/>
          <w:color w:val="000000"/>
          <w:kern w:val="0"/>
          <w:sz w:val="24"/>
          <w:szCs w:val="24"/>
          <w:lang w:val="en-US" w:eastAsia="zh-CN" w:bidi="ar-SA"/>
        </w:rPr>
        <w:t>以适当方式为服务对象普及简单的礼仪知识、法律知识等基本社会行为准则和常识；每天与服务对象的交流时间应不少于15分钟，为服务对象提供日常心理疏导和心理健康关爱服务；对心理和行为出现异常的服务对象进行关注，有必要时召集专业人员进行座谈分析，为其制定行为矫正方案。对于心理和行为出现极端异常、严重影响其他服务对象正常生活甚至人身安全的服务对象，应立即转介至专业医疗机构就诊；为有需要的服务对象提供教育培训、图书阅览、上网和收看收听电视广播等服务，使其对社会和舆情具备一定的知晓度；在机构内开展适宜的文化、体育、娱乐活动，可以根据实际情况组织比赛、展示或表演，使其具备基本的人际交往兴趣和能力；指导服务对象在模拟超市、银行、医院、邮局、公共交通等简单社会场景中进行社会适应性训练，提高其参与社会生活的能力；定期安排服务对象家属或监护人、志愿者到机构内进行活动，鼓励服务对象接待访客或外出参加社区或社会公益活动，逐步拓展其在直接参与社会生活方面的能力；根据服务对象的社会适应能力的恢复和提升情况，适时调整社会适应辅导计划。</w:t>
      </w:r>
    </w:p>
    <w:p w14:paraId="12B7B53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（4）职业康复与劳动技能训练</w:t>
      </w:r>
      <w:r>
        <w:rPr>
          <w:rFonts w:hint="eastAsia" w:ascii="宋体" w:hAnsi="宋体" w:eastAsia="宋体" w:cs="宋体"/>
          <w:snapToGrid w:val="0"/>
          <w:color w:val="000000"/>
          <w:kern w:val="0"/>
          <w:sz w:val="24"/>
          <w:szCs w:val="24"/>
          <w:lang w:val="en-US" w:eastAsia="zh-CN" w:bidi="ar-SA"/>
        </w:rPr>
        <w:t>：组织有需要的服务对象开展与其行为能力相适应的简单基本生产劳动，例如制作绢花、组配零件等。通过劳动帮助其活动肢体、锻炼大脑、集中注意力、协调手眼；服务对象参与生产劳动之前，应根据个体实际情况对其进行必要的培训；为有需要的服务对象提供职业指导、职业心理咨询、职业适应评定、职业康复训练、职业介绍等服务；根据实际情况开设专业的劳动技能培训课程，开发服务对象的职业能力；有条件的日间照料机构可与爱心企业等社会力量合作，使部分服务对象实现辅助性就业，获得一定的劳动收入。为条件适宜的服务对象提供支持性就业，进而实现社会性就业；合理处理劳动生产成果和可能获得的收入。处理方式和处理结果应记录并存档；有条件的日间照料机构宜定期组织技能展示、竞赛等相关活动；定期开展身体功能评估和劳动能力评估，适时对服务对象的职业适应性进行测评和评价，及时调整职业康复与劳动技能训练计划。</w:t>
      </w:r>
    </w:p>
    <w:p w14:paraId="12516BB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（5）运动功能训练</w:t>
      </w:r>
      <w:r>
        <w:rPr>
          <w:rFonts w:hint="eastAsia" w:ascii="宋体" w:hAnsi="宋体" w:eastAsia="宋体" w:cs="宋体"/>
          <w:snapToGrid w:val="0"/>
          <w:color w:val="000000"/>
          <w:kern w:val="0"/>
          <w:sz w:val="24"/>
          <w:szCs w:val="24"/>
          <w:lang w:val="en-US" w:eastAsia="zh-CN" w:bidi="ar-SA"/>
        </w:rPr>
        <w:t>：为有需求的服务对象提供适当的以运动功能为主的训练，指导其规范使用矫形器和训练器具，帮助其巩固医疗康复效果，使其身体运动功能得到恢复或代偿；有条件的日间照料机构应定期对服务对象的监护人进行必要的简单技术培训，使其在机构之外也能够得到持续的运动功能训练；根据服务对象的身体情况，开展运动功能评估，适时调整训练计划；服务对象身体状况发生较大变化时，应及时转介到专业医疗康复机构进行诊断和治疗。</w:t>
      </w:r>
    </w:p>
    <w:p w14:paraId="1F6E115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（6）托养管理</w:t>
      </w:r>
    </w:p>
    <w:p w14:paraId="5A3FEFA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 向服务对象或其家属、监护人提供清晰和准确的服务信息，包括服务项目和内容、服务设施、收费标准、服务承诺等。</w:t>
      </w:r>
    </w:p>
    <w:p w14:paraId="3B74590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2.与服务对象或其家属、监护人签订具有法律效力的托养护 理、就业、培训等服务协议书。</w:t>
      </w:r>
    </w:p>
    <w:p w14:paraId="623E461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3.依据各类托养协议规定，安排入住、提供相应的服务。</w:t>
      </w:r>
    </w:p>
    <w:p w14:paraId="1D9F211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4.入驻集中托养服务机构，在签订各类协议前，应进行托养适应性观察和评估。</w:t>
      </w:r>
    </w:p>
    <w:p w14:paraId="3DB3748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（7）信息管理</w:t>
      </w:r>
    </w:p>
    <w:p w14:paraId="62FF3D9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1.建立服务对象档案，1 人 1 档，及时录入和保存服务对象信息，包括个人基本情况、各类托养协议、健康检查、托养类别、 等级评估、康复评估、医疗记录等。</w:t>
      </w:r>
    </w:p>
    <w:p w14:paraId="2CB7215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2.服务对象档案应予以严格保密，实施查阅控制制度。</w:t>
      </w:r>
    </w:p>
    <w:p w14:paraId="2EE5834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3.档案由专人管理，信息登记真实、完整及时更新。</w:t>
      </w:r>
    </w:p>
    <w:p w14:paraId="598B73C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（8）投诉处理</w:t>
      </w:r>
    </w:p>
    <w:p w14:paraId="13599AC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1.设置意见箱，方便服务对象及其家属、监护人投诉、提出 意见和建议的途径。</w:t>
      </w:r>
    </w:p>
    <w:p w14:paraId="338514F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2.服务对象及其家属、监护人可向残疾人托养服务机构的管理部门提出对托养服务机构的意见、建议和投诉，服务机构在 24 小时内受理，负责处理和回复服务对象及其家属、监护人的 投诉，回复时间最长不超过 3 天（自接到投诉之日起）。</w:t>
      </w:r>
    </w:p>
    <w:p w14:paraId="4AED462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2、其他要求</w:t>
      </w:r>
    </w:p>
    <w:p w14:paraId="69B0E87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中标人有以下行为之一的，采购人有权要求限期改正;逾期不改正的，终止托养服务;造成损失的，中标人依法承担赔偿责任:</w:t>
      </w:r>
    </w:p>
    <w:p w14:paraId="1115447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（1）歧视、虐待托养服务对象的;</w:t>
      </w:r>
    </w:p>
    <w:p w14:paraId="73BD27D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（2）未尽到管理和服务义务致使托养服务对象合法权益遭受侵害的;</w:t>
      </w:r>
    </w:p>
    <w:p w14:paraId="30BAEBA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（3）侵占托养服务对象合法财产的;</w:t>
      </w:r>
    </w:p>
    <w:p w14:paraId="391DE10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（4）其他违反规定的行为。</w:t>
      </w:r>
    </w:p>
    <w:p w14:paraId="4115D9B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中标人工作人员有下列行为之一的，予以批评教育，情节严重的，予以辞退，造成损失的，依法承担赔偿责任，构成犯罪的，依法追究刑事责任:</w:t>
      </w:r>
    </w:p>
    <w:p w14:paraId="5063A55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（1）私分、挪用、截留托养服务对象托养款物的;</w:t>
      </w:r>
    </w:p>
    <w:p w14:paraId="54DAB39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（2）私分、挪用劳动生产收入的;</w:t>
      </w:r>
    </w:p>
    <w:p w14:paraId="789F263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（3）辱骂、殴打、虐待托养服务对象的;</w:t>
      </w:r>
    </w:p>
    <w:p w14:paraId="04BD544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（4）盗窃、侵占中标人或者托养服务对象财产的;</w:t>
      </w:r>
    </w:p>
    <w:p w14:paraId="1DD8068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（5）其他违反规定的行为。</w:t>
      </w:r>
    </w:p>
    <w:p w14:paraId="1F1E69D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托养服务对象有下列行为之一的，予以批评教育，情节严重的，报采购人同意停 止托养服务协议，构成犯罪的，依法追究刑事责任:</w:t>
      </w:r>
    </w:p>
    <w:p w14:paraId="0D856D1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（1）违反中标人的规定，扰乱正常秩序的;</w:t>
      </w:r>
    </w:p>
    <w:p w14:paraId="1886FB4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（2）打架、斗殴，造成他人身体伤害的;</w:t>
      </w:r>
    </w:p>
    <w:p w14:paraId="1A1DEC2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（3）损毁、盗窃、侵占中标人或者他人财产的;</w:t>
      </w:r>
    </w:p>
    <w:p w14:paraId="7C5240A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（4）其他违反规定的行为。</w:t>
      </w:r>
    </w:p>
    <w:p w14:paraId="5CF45343">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i/>
          <w:iCs/>
          <w:snapToGrid w:val="0"/>
          <w:color w:val="000000"/>
          <w:kern w:val="0"/>
          <w:sz w:val="28"/>
          <w:szCs w:val="28"/>
          <w:u w:val="single"/>
          <w:lang w:val="en-US" w:eastAsia="zh-CN"/>
        </w:rPr>
      </w:pPr>
      <w:r>
        <w:rPr>
          <w:rFonts w:hint="eastAsia" w:ascii="宋体" w:hAnsi="宋体" w:eastAsia="宋体" w:cs="宋体"/>
          <w:b/>
          <w:bCs/>
          <w:i/>
          <w:iCs/>
          <w:snapToGrid w:val="0"/>
          <w:color w:val="000000"/>
          <w:kern w:val="0"/>
          <w:sz w:val="28"/>
          <w:szCs w:val="28"/>
          <w:u w:val="single"/>
          <w:lang w:val="en-US" w:eastAsia="zh-CN"/>
        </w:rPr>
        <w:t>五、人员配备要求</w:t>
      </w:r>
    </w:p>
    <w:p w14:paraId="5420A31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专职服务人员与托养人员比例不低于 1 ：5 。（本项目人员配备要求根据暂定人数</w:t>
      </w:r>
      <w:r>
        <w:rPr>
          <w:rFonts w:hint="eastAsia" w:ascii="宋体" w:hAnsi="宋体" w:eastAsia="宋体" w:cs="宋体"/>
          <w:i/>
          <w:iCs/>
          <w:snapToGrid w:val="0"/>
          <w:color w:val="FF0000"/>
          <w:kern w:val="0"/>
          <w:sz w:val="24"/>
          <w:szCs w:val="24"/>
          <w:highlight w:val="yellow"/>
          <w:u w:val="single"/>
          <w:lang w:val="en-US" w:eastAsia="zh-CN" w:bidi="ar-SA"/>
        </w:rPr>
        <w:t>50人</w:t>
      </w:r>
      <w:r>
        <w:rPr>
          <w:rFonts w:hint="eastAsia" w:ascii="宋体" w:hAnsi="宋体" w:eastAsia="宋体" w:cs="宋体"/>
          <w:i/>
          <w:iCs/>
          <w:snapToGrid w:val="0"/>
          <w:color w:val="000000"/>
          <w:kern w:val="0"/>
          <w:sz w:val="24"/>
          <w:szCs w:val="24"/>
          <w:u w:val="single"/>
          <w:lang w:val="en-US" w:eastAsia="zh-CN" w:bidi="ar-SA"/>
        </w:rPr>
        <w:t>进行配备）</w:t>
      </w:r>
    </w:p>
    <w:p w14:paraId="18CC445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（1）项目负责人</w:t>
      </w:r>
      <w:r>
        <w:rPr>
          <w:rFonts w:hint="eastAsia" w:ascii="宋体" w:hAnsi="宋体" w:eastAsia="宋体" w:cs="宋体"/>
          <w:i/>
          <w:iCs/>
          <w:snapToGrid w:val="0"/>
          <w:color w:val="000000"/>
          <w:kern w:val="0"/>
          <w:sz w:val="24"/>
          <w:szCs w:val="24"/>
          <w:u w:val="single"/>
          <w:lang w:val="en-US" w:eastAsia="zh-CN" w:bidi="ar-SA"/>
        </w:rPr>
        <w:t>：专职负责人1人，从事过管理工作，具有社会工作类、社会福利类或康复医疗类等相关学习培训经历，熟悉残疾人相关法律法规与政策，熟练掌握残疾人托养的基本知识和专业知识，年龄</w:t>
      </w:r>
      <w:r>
        <w:rPr>
          <w:rFonts w:hint="eastAsia" w:ascii="宋体" w:hAnsi="宋体" w:eastAsia="宋体" w:cs="宋体"/>
          <w:i/>
          <w:iCs/>
          <w:snapToGrid w:val="0"/>
          <w:color w:val="auto"/>
          <w:kern w:val="0"/>
          <w:sz w:val="24"/>
          <w:szCs w:val="24"/>
          <w:highlight w:val="none"/>
          <w:u w:val="single"/>
          <w:lang w:val="en-US" w:eastAsia="zh-CN" w:bidi="ar-SA"/>
        </w:rPr>
        <w:t>不宜超过55周岁，2 年以上工作经验。</w:t>
      </w:r>
    </w:p>
    <w:p w14:paraId="4A9B7CD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b/>
          <w:bCs/>
          <w:i/>
          <w:iCs/>
          <w:snapToGrid w:val="0"/>
          <w:color w:val="auto"/>
          <w:kern w:val="0"/>
          <w:sz w:val="24"/>
          <w:szCs w:val="24"/>
          <w:highlight w:val="none"/>
          <w:u w:val="single"/>
          <w:lang w:val="en-US" w:eastAsia="zh-CN" w:bidi="ar-SA"/>
        </w:rPr>
        <w:t>（2）各类专业人员</w:t>
      </w:r>
      <w:r>
        <w:rPr>
          <w:rFonts w:hint="eastAsia" w:ascii="宋体" w:hAnsi="宋体" w:eastAsia="宋体" w:cs="宋体"/>
          <w:i/>
          <w:iCs/>
          <w:snapToGrid w:val="0"/>
          <w:color w:val="auto"/>
          <w:kern w:val="0"/>
          <w:sz w:val="24"/>
          <w:szCs w:val="24"/>
          <w:highlight w:val="none"/>
          <w:u w:val="single"/>
          <w:lang w:val="en-US" w:eastAsia="zh-CN" w:bidi="ar-SA"/>
        </w:rPr>
        <w:t xml:space="preserve"> </w:t>
      </w:r>
    </w:p>
    <w:p w14:paraId="7AC5FEB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1.专业人员配置</w:t>
      </w:r>
    </w:p>
    <w:p w14:paraId="1452557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1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①</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护理人员不少于12名，具有中专及以上相关或相近学历，持有护理证书或培训证书。</w:t>
      </w:r>
    </w:p>
    <w:p w14:paraId="2561C30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2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②</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医生不少于1名，具有卫生行政主管部门颁发的执业医师执照，2 年以上执业医生工作经验。</w:t>
      </w:r>
    </w:p>
    <w:p w14:paraId="3E05C2A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3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③</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护士不少于1名。具有中专及以上相关或相近学历，护士资格证书。</w:t>
      </w:r>
    </w:p>
    <w:p w14:paraId="57B630D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4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④</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财务管理人员</w:t>
      </w:r>
      <w:r>
        <w:rPr>
          <w:rFonts w:hint="eastAsia" w:ascii="宋体" w:hAnsi="宋体" w:eastAsia="宋体" w:cs="宋体"/>
          <w:b w:val="0"/>
          <w:bCs w:val="0"/>
          <w:i/>
          <w:iCs/>
          <w:snapToGrid w:val="0"/>
          <w:color w:val="auto"/>
          <w:kern w:val="0"/>
          <w:sz w:val="24"/>
          <w:szCs w:val="24"/>
          <w:highlight w:val="none"/>
          <w:u w:val="single"/>
          <w:lang w:val="en-US" w:eastAsia="zh-CN" w:bidi="ar-SA"/>
        </w:rPr>
        <w:t>1名</w:t>
      </w:r>
      <w:r>
        <w:rPr>
          <w:rFonts w:hint="eastAsia" w:ascii="宋体" w:hAnsi="宋体" w:eastAsia="宋体" w:cs="宋体"/>
          <w:i/>
          <w:iCs/>
          <w:snapToGrid w:val="0"/>
          <w:color w:val="auto"/>
          <w:kern w:val="0"/>
          <w:sz w:val="24"/>
          <w:szCs w:val="24"/>
          <w:highlight w:val="none"/>
          <w:u w:val="single"/>
          <w:lang w:val="en-US" w:eastAsia="zh-CN" w:bidi="ar-SA"/>
        </w:rPr>
        <w:t>，具有中专及以上学历或相关会计类证书或职称。</w:t>
      </w:r>
    </w:p>
    <w:p w14:paraId="0AF10EF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highlight w:val="yellow"/>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5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⑤</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康复、心理咨询等专业技术人员，各1人，具有</w:t>
      </w:r>
      <w:r>
        <w:rPr>
          <w:rFonts w:hint="eastAsia" w:ascii="宋体" w:hAnsi="宋体" w:eastAsia="宋体" w:cs="宋体"/>
          <w:i/>
          <w:iCs/>
          <w:snapToGrid w:val="0"/>
          <w:color w:val="000000"/>
          <w:kern w:val="0"/>
          <w:sz w:val="24"/>
          <w:szCs w:val="24"/>
          <w:highlight w:val="none"/>
          <w:u w:val="single"/>
          <w:lang w:val="en-US" w:eastAsia="zh-CN" w:bidi="ar-SA"/>
        </w:rPr>
        <w:t>相关专业学历或专业职称证书。</w:t>
      </w:r>
    </w:p>
    <w:p w14:paraId="3C611A1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⑥厨师1人，具有健康证。</w:t>
      </w:r>
    </w:p>
    <w:p w14:paraId="5544513E">
      <w:pPr>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i/>
          <w:iCs/>
          <w:snapToGrid w:val="0"/>
          <w:color w:val="auto"/>
          <w:kern w:val="0"/>
          <w:sz w:val="24"/>
          <w:szCs w:val="24"/>
          <w:highlight w:val="none"/>
          <w:u w:val="single"/>
          <w:lang w:val="en-US" w:eastAsia="zh-CN" w:bidi="ar-SA"/>
        </w:rPr>
        <w:t>注：以上团队人员提供相关证书及证明材料，项目负责人必须提供由本单位缴纳的2025年5月以来任意一个月社保缴纳证明，其余人员提供有效的劳动合同，所有人员不得提供退休证明。</w:t>
      </w:r>
    </w:p>
    <w:p w14:paraId="1FD8AA9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（3）从业要求与仪表行为</w:t>
      </w:r>
    </w:p>
    <w:p w14:paraId="37BFDE2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1.各类专业服务人员，应取得相关专业从业资格。</w:t>
      </w:r>
    </w:p>
    <w:p w14:paraId="29F9A8F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2.护理人员应接受相关专业技术人员的业务岗位培训与考核，胜任本职工作。</w:t>
      </w:r>
    </w:p>
    <w:p w14:paraId="78611B1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3.护理人员应具备包括生活护理、康复护理、特殊护理（褥疮预防、意外损伤监护） 等残疾人护理所需的专门知识和技能。</w:t>
      </w:r>
    </w:p>
    <w:p w14:paraId="0B75FA6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4.护理人员应身体健康，持有有效的健康证明等资料，持证上岗。服务时，应文明友善、耐心细致。</w:t>
      </w:r>
    </w:p>
    <w:p w14:paraId="3E5BD63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5.尊重服务对象及其家属、监护人，解答询问热情、耐心。 </w:t>
      </w:r>
    </w:p>
    <w:p w14:paraId="4DF7E7F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6.服务人员应穿着岗位制服，穿戴整洁， 佩戴服务标识。</w:t>
      </w:r>
    </w:p>
    <w:p w14:paraId="7D3EB70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7.保持个人卫生，勤洗手，不留长指甲。</w:t>
      </w:r>
    </w:p>
    <w:p w14:paraId="139EA4C3">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i/>
          <w:iCs/>
          <w:snapToGrid w:val="0"/>
          <w:color w:val="000000"/>
          <w:kern w:val="0"/>
          <w:sz w:val="28"/>
          <w:szCs w:val="28"/>
          <w:u w:val="single"/>
          <w:lang w:val="en-US" w:eastAsia="zh-CN"/>
        </w:rPr>
      </w:pPr>
      <w:r>
        <w:rPr>
          <w:rFonts w:hint="eastAsia" w:ascii="宋体" w:hAnsi="宋体" w:eastAsia="宋体" w:cs="宋体"/>
          <w:b/>
          <w:bCs/>
          <w:i/>
          <w:iCs/>
          <w:snapToGrid w:val="0"/>
          <w:color w:val="000000"/>
          <w:kern w:val="0"/>
          <w:sz w:val="28"/>
          <w:szCs w:val="28"/>
          <w:u w:val="single"/>
          <w:lang w:val="en-US" w:eastAsia="zh-CN"/>
        </w:rPr>
        <w:t>六、场地、设施与环境要求</w:t>
      </w:r>
    </w:p>
    <w:p w14:paraId="2518762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根据连残发【2022】65号，东残发【2023】24号文规定投标人需要自行提供固定服务场所，且能满足本项目寄宿制托养人数基本要求。</w:t>
      </w:r>
    </w:p>
    <w:p w14:paraId="079F579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i/>
          <w:iCs/>
          <w:snapToGrid w:val="0"/>
          <w:color w:val="000000"/>
          <w:kern w:val="0"/>
          <w:sz w:val="24"/>
          <w:szCs w:val="24"/>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（1）场地要求</w:t>
      </w:r>
    </w:p>
    <w:p w14:paraId="1867BAF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1. 在东海县区域内有固定服务场所，且为自有用房或协议承租不少于</w:t>
      </w:r>
      <w:r>
        <w:rPr>
          <w:rFonts w:hint="eastAsia" w:ascii="宋体" w:hAnsi="宋体" w:eastAsia="宋体" w:cs="宋体"/>
          <w:i/>
          <w:iCs/>
          <w:snapToGrid w:val="0"/>
          <w:color w:val="000000"/>
          <w:kern w:val="0"/>
          <w:sz w:val="24"/>
          <w:szCs w:val="24"/>
          <w:highlight w:val="yellow"/>
          <w:u w:val="single"/>
          <w:lang w:val="en-US" w:eastAsia="zh-CN" w:bidi="ar-SA"/>
        </w:rPr>
        <w:t>三年以上</w:t>
      </w:r>
      <w:r>
        <w:rPr>
          <w:rFonts w:hint="eastAsia" w:ascii="宋体" w:hAnsi="宋体" w:eastAsia="宋体" w:cs="宋体"/>
          <w:i/>
          <w:iCs/>
          <w:snapToGrid w:val="0"/>
          <w:color w:val="000000"/>
          <w:kern w:val="0"/>
          <w:sz w:val="24"/>
          <w:szCs w:val="24"/>
          <w:u w:val="single"/>
          <w:lang w:val="en-US" w:eastAsia="zh-CN" w:bidi="ar-SA"/>
        </w:rPr>
        <w:t>。</w:t>
      </w:r>
    </w:p>
    <w:p w14:paraId="77191E5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2. 建筑面积、活动场地及配套设施应满足托养人数、托养服务内容要求。</w:t>
      </w:r>
    </w:p>
    <w:p w14:paraId="63C9D24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3. 机构宜设置在交通便利的城区或近郊区的地段，公共交通便利。　</w:t>
      </w:r>
    </w:p>
    <w:p w14:paraId="74A169C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4. 能提供残疾人寄宿制托养所必需的起居室、食堂、浴室、护理保健室、辅助性劳动工作间、文体活动室等功能用房。</w:t>
      </w:r>
    </w:p>
    <w:p w14:paraId="28BF38E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5. 房屋建筑质量安全，消防设施符合《消防安全标志设置要求》并取得消防许可资质;公共标识设置应符合《标志用公共信息图形符号》的规定。环境安静、远离污染源及易燃易爆物生产和贮存区、高压线路及其设施;宜为低层建筑，如与其他建筑合并建设应设置于低层部分;有独立出入口。</w:t>
      </w:r>
    </w:p>
    <w:p w14:paraId="7D13324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6. 托养机构的过道、洗手间、食堂等公共场所使用防滑、防跌地面材料，装有无障碍设施，建筑设计符合《无障碍设计规范》的规定要求。</w:t>
      </w:r>
    </w:p>
    <w:p w14:paraId="538925C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7. 环境整洁、卫生，保持空气流通，具备充足的采光条件。</w:t>
      </w:r>
    </w:p>
    <w:p w14:paraId="4165965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8.食堂取得《餐饮服务许可证》、《卫生许可证》。</w:t>
      </w:r>
    </w:p>
    <w:p w14:paraId="486E707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i/>
          <w:iCs/>
          <w:snapToGrid w:val="0"/>
          <w:color w:val="000000"/>
          <w:kern w:val="0"/>
          <w:sz w:val="24"/>
          <w:szCs w:val="24"/>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（2）设备要求</w:t>
      </w:r>
    </w:p>
    <w:p w14:paraId="3F5CB42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1. 服务场所装有空调或其他适用的取暖、降温设备，提供全天候热水供应。</w:t>
      </w:r>
    </w:p>
    <w:p w14:paraId="018129A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2. 服务场所配置照明设备，公共区域设置应急照明灯。</w:t>
      </w:r>
    </w:p>
    <w:p w14:paraId="01D2652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3. 服务场所配备养护起居、护理保健和文体活动等基本设施，设备完好。</w:t>
      </w:r>
    </w:p>
    <w:p w14:paraId="46B38CE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i/>
          <w:iCs/>
          <w:snapToGrid w:val="0"/>
          <w:color w:val="000000"/>
          <w:kern w:val="0"/>
          <w:sz w:val="24"/>
          <w:szCs w:val="24"/>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（3）设施与环境要求</w:t>
      </w:r>
    </w:p>
    <w:p w14:paraId="6FD83A9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1.场地设置在交通便利、环境良好、有适当人流的区域，有固定的服务场所,房屋建筑质量和无障碍设施应符合相关要求。</w:t>
      </w:r>
    </w:p>
    <w:p w14:paraId="4B9BEDB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2.室内环境应整洁、卫生，应有充足的采光条件，卫生间应有安全防护措施,通风良好、保持清洁无异味。</w:t>
      </w:r>
    </w:p>
    <w:p w14:paraId="51051E8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3.设置公共洗涤场所，配各洗涤用具并有热水供应。</w:t>
      </w:r>
    </w:p>
    <w:p w14:paraId="7612573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4.服务场所有取暖、降温设备,温度适宜。应配置适宜的照明、消防设备，公共区域设置应急照明灯，居室和卫生间配置紧急呼叫设备。</w:t>
      </w:r>
    </w:p>
    <w:p w14:paraId="142BE95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5.服务场所应配置应急处理所需的急救药箱、轮椅等与障碍程度相适应的设备，宜提供康复器械、运动器材、图书报刊、电 视机、计算机和互联网等设备。</w:t>
      </w:r>
    </w:p>
    <w:p w14:paraId="0B5EA93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6.场所设置消防、公共信息等安全标志。</w:t>
      </w:r>
    </w:p>
    <w:p w14:paraId="215FCEA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7.设置起居室、食堂、卫生保健室、康复训练室、辅助性就业室、文体活动室等，并配备养护起居、护理服务、文体活动等设施。可根据需要设置心理辅导室,并配各相应的设施。生活用房的使用面积，单人间不小于10平方米；双人间不小于 15 平方米；三人间不小于 20 平方米（上述面积标 准不包括卫生间）。室外活动场所的面积不小于人均 5 平方米。</w:t>
      </w:r>
    </w:p>
    <w:p w14:paraId="0C129E8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highlight w:val="yellow"/>
          <w:u w:val="single"/>
          <w:lang w:val="en-US" w:eastAsia="zh-CN" w:bidi="ar-SA"/>
        </w:rPr>
      </w:pPr>
      <w:r>
        <w:rPr>
          <w:rFonts w:hint="eastAsia" w:ascii="宋体" w:hAnsi="宋体" w:eastAsia="宋体" w:cs="宋体"/>
          <w:i/>
          <w:iCs/>
          <w:snapToGrid w:val="0"/>
          <w:color w:val="000000"/>
          <w:kern w:val="0"/>
          <w:sz w:val="24"/>
          <w:szCs w:val="24"/>
          <w:highlight w:val="yellow"/>
          <w:u w:val="single"/>
          <w:lang w:val="en-US" w:eastAsia="zh-CN" w:bidi="ar-SA"/>
        </w:rPr>
        <w:t>注：以上内容须提供照片需添加水印定位（定位需和营业执照位置一致）</w:t>
      </w:r>
    </w:p>
    <w:p w14:paraId="1BEDA13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（4）设备与用具</w:t>
      </w:r>
    </w:p>
    <w:p w14:paraId="6B05356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1.根据服务对象的类别和实际状况，卧室内的基本配置应包括单人床、床头柜、衣柜、垃圾桶、窗帘。高档配置应有沙发、办公桌椅、空调、电视机、卫生间、衣柜等。</w:t>
      </w:r>
    </w:p>
    <w:p w14:paraId="3C55E87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2.卧室内和公共过道应设置应急照明灯，特护人员的床头应设置紧急呼叫装置。</w:t>
      </w:r>
    </w:p>
    <w:p w14:paraId="1EC4E6B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3.为行动不便的服务对象提供病床便盆、尿壶。</w:t>
      </w:r>
    </w:p>
    <w:p w14:paraId="3931FC0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4.卧室内家具和各种设施应无锐角。 </w:t>
      </w:r>
    </w:p>
    <w:p w14:paraId="5B25E9F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5.配备急救药箱、轮椅和担架。</w:t>
      </w:r>
    </w:p>
    <w:p w14:paraId="7D588C2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6.有符合环境卫生要求的药品存放、配发场所。</w:t>
      </w:r>
    </w:p>
    <w:p w14:paraId="21F74EE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7.配置健身康复器械，辅助性就业设备， 以及图书、报刊、 电视机、棋牌等设备。</w:t>
      </w:r>
    </w:p>
    <w:p w14:paraId="7FE3FF7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8.对服务设施和设备进行日常维护，保持状态完好。发生故障，应及时维修。</w:t>
      </w:r>
    </w:p>
    <w:p w14:paraId="3775A3C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jc w:val="left"/>
        <w:textAlignment w:val="baseline"/>
        <w:rPr>
          <w:rFonts w:hint="eastAsia" w:ascii="宋体" w:hAnsi="宋体" w:eastAsia="宋体" w:cs="宋体"/>
          <w:b/>
          <w:bCs/>
          <w:snapToGrid w:val="0"/>
          <w:color w:val="000000"/>
          <w:kern w:val="0"/>
          <w:sz w:val="28"/>
          <w:szCs w:val="28"/>
          <w:lang w:val="en-US" w:eastAsia="zh-CN" w:bidi="ar-SA"/>
        </w:rPr>
      </w:pPr>
      <w:r>
        <w:rPr>
          <w:rFonts w:hint="eastAsia" w:ascii="宋体" w:hAnsi="宋体" w:eastAsia="宋体" w:cs="宋体"/>
          <w:b/>
          <w:bCs/>
          <w:i/>
          <w:iCs/>
          <w:snapToGrid w:val="0"/>
          <w:color w:val="000000"/>
          <w:kern w:val="0"/>
          <w:sz w:val="28"/>
          <w:szCs w:val="28"/>
          <w:u w:val="single"/>
          <w:lang w:val="en-US" w:eastAsia="zh-CN" w:bidi="ar-SA"/>
        </w:rPr>
        <w:t>七、服务期限</w:t>
      </w:r>
    </w:p>
    <w:p w14:paraId="1CB2E4E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highlight w:val="yellow"/>
          <w:lang w:val="en-US" w:eastAsia="zh-CN" w:bidi="ar-SA"/>
        </w:rPr>
      </w:pPr>
      <w:r>
        <w:rPr>
          <w:rFonts w:hint="eastAsia" w:ascii="宋体" w:hAnsi="宋体" w:eastAsia="宋体" w:cs="宋体"/>
          <w:i/>
          <w:iCs/>
          <w:snapToGrid w:val="0"/>
          <w:color w:val="000000"/>
          <w:kern w:val="0"/>
          <w:sz w:val="24"/>
          <w:szCs w:val="24"/>
          <w:highlight w:val="yellow"/>
          <w:u w:val="single"/>
          <w:lang w:val="en-US" w:eastAsia="zh-CN" w:bidi="ar-SA"/>
        </w:rPr>
        <w:t>服务时间：1 年（合同约定时间起算）。</w:t>
      </w:r>
    </w:p>
    <w:p w14:paraId="166E123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jc w:val="left"/>
        <w:textAlignment w:val="baseline"/>
        <w:rPr>
          <w:rFonts w:hint="eastAsia" w:ascii="宋体" w:hAnsi="宋体" w:eastAsia="宋体" w:cs="宋体"/>
          <w:b/>
          <w:bCs/>
          <w:snapToGrid w:val="0"/>
          <w:color w:val="000000"/>
          <w:kern w:val="0"/>
          <w:sz w:val="28"/>
          <w:szCs w:val="28"/>
          <w:lang w:val="en-US" w:eastAsia="zh-CN" w:bidi="ar-SA"/>
        </w:rPr>
      </w:pPr>
      <w:r>
        <w:rPr>
          <w:rFonts w:hint="eastAsia" w:ascii="宋体" w:hAnsi="宋体" w:eastAsia="宋体" w:cs="宋体"/>
          <w:b/>
          <w:bCs/>
          <w:snapToGrid w:val="0"/>
          <w:color w:val="000000"/>
          <w:kern w:val="0"/>
          <w:sz w:val="28"/>
          <w:szCs w:val="28"/>
          <w:lang w:val="en-US" w:eastAsia="zh-CN" w:bidi="ar-SA"/>
        </w:rPr>
        <w:t>八、考核标准（服务标准）及考核办法</w:t>
      </w:r>
    </w:p>
    <w:p w14:paraId="482AE6C7">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000000"/>
          <w:kern w:val="0"/>
          <w:sz w:val="24"/>
          <w:szCs w:val="24"/>
          <w:highlight w:val="yellow"/>
          <w:lang w:val="zh-CN" w:eastAsia="zh-CN"/>
        </w:rPr>
      </w:pPr>
      <w:bookmarkStart w:id="5" w:name="一、采购合同"/>
      <w:bookmarkEnd w:id="5"/>
      <w:r>
        <w:rPr>
          <w:rFonts w:hint="eastAsia" w:ascii="宋体" w:hAnsi="宋体" w:eastAsia="宋体" w:cs="宋体"/>
          <w:snapToGrid w:val="0"/>
          <w:color w:val="000000"/>
          <w:kern w:val="0"/>
          <w:sz w:val="24"/>
          <w:szCs w:val="24"/>
          <w:lang w:val="zh-CN" w:eastAsia="en-US"/>
        </w:rPr>
        <w:t>采购人组织专家技术指导组或委托第三方评估机构，按</w:t>
      </w:r>
      <w:r>
        <w:rPr>
          <w:rFonts w:hint="eastAsia" w:ascii="宋体" w:hAnsi="宋体" w:eastAsia="宋体" w:cs="宋体"/>
          <w:snapToGrid w:val="0"/>
          <w:color w:val="000000"/>
          <w:kern w:val="0"/>
          <w:sz w:val="24"/>
          <w:szCs w:val="24"/>
          <w:highlight w:val="none"/>
          <w:lang w:val="zh-CN" w:eastAsia="en-US"/>
        </w:rPr>
        <w:t>照</w:t>
      </w:r>
      <w:r>
        <w:rPr>
          <w:rFonts w:hint="eastAsia" w:ascii="宋体" w:hAnsi="宋体" w:eastAsia="宋体" w:cs="宋体"/>
          <w:snapToGrid w:val="0"/>
          <w:color w:val="000000"/>
          <w:kern w:val="0"/>
          <w:sz w:val="24"/>
          <w:szCs w:val="24"/>
          <w:highlight w:val="none"/>
          <w:lang w:val="zh-CN" w:eastAsia="zh-CN"/>
        </w:rPr>
        <w:t>东残发</w:t>
      </w:r>
      <w:bookmarkStart w:id="6" w:name="_Hlk117180205"/>
      <w:r>
        <w:rPr>
          <w:rFonts w:hint="eastAsia" w:ascii="宋体" w:hAnsi="宋体" w:eastAsia="宋体" w:cs="宋体"/>
          <w:snapToGrid w:val="0"/>
          <w:color w:val="000000"/>
          <w:kern w:val="0"/>
          <w:sz w:val="24"/>
          <w:szCs w:val="24"/>
          <w:highlight w:val="none"/>
          <w:lang w:val="zh-CN" w:eastAsia="zh-CN"/>
        </w:rPr>
        <w:t>〔202</w:t>
      </w:r>
      <w:r>
        <w:rPr>
          <w:rFonts w:hint="eastAsia" w:ascii="宋体" w:hAnsi="宋体" w:eastAsia="宋体" w:cs="宋体"/>
          <w:snapToGrid w:val="0"/>
          <w:color w:val="000000"/>
          <w:kern w:val="0"/>
          <w:sz w:val="24"/>
          <w:szCs w:val="24"/>
          <w:highlight w:val="none"/>
          <w:lang w:val="en-US" w:eastAsia="zh-CN"/>
        </w:rPr>
        <w:t>5</w:t>
      </w:r>
      <w:r>
        <w:rPr>
          <w:rFonts w:hint="eastAsia" w:ascii="宋体" w:hAnsi="宋体" w:eastAsia="宋体" w:cs="宋体"/>
          <w:snapToGrid w:val="0"/>
          <w:color w:val="000000"/>
          <w:kern w:val="0"/>
          <w:sz w:val="24"/>
          <w:szCs w:val="24"/>
          <w:highlight w:val="none"/>
          <w:lang w:val="zh-CN" w:eastAsia="zh-CN"/>
        </w:rPr>
        <w:t>〕</w:t>
      </w:r>
      <w:bookmarkEnd w:id="6"/>
      <w:r>
        <w:rPr>
          <w:rFonts w:hint="eastAsia" w:ascii="宋体" w:hAnsi="宋体" w:eastAsia="宋体" w:cs="宋体"/>
          <w:snapToGrid w:val="0"/>
          <w:color w:val="000000"/>
          <w:kern w:val="0"/>
          <w:sz w:val="24"/>
          <w:szCs w:val="24"/>
          <w:highlight w:val="none"/>
          <w:lang w:val="en-US" w:eastAsia="zh-CN"/>
        </w:rPr>
        <w:t>2</w:t>
      </w:r>
      <w:r>
        <w:rPr>
          <w:rFonts w:hint="eastAsia" w:ascii="宋体" w:hAnsi="宋体" w:eastAsia="宋体" w:cs="宋体"/>
          <w:snapToGrid w:val="0"/>
          <w:color w:val="000000"/>
          <w:kern w:val="0"/>
          <w:sz w:val="24"/>
          <w:szCs w:val="24"/>
          <w:highlight w:val="none"/>
          <w:lang w:val="zh-CN" w:eastAsia="zh-CN"/>
        </w:rPr>
        <w:t>号</w:t>
      </w:r>
      <w:r>
        <w:rPr>
          <w:rFonts w:hint="eastAsia" w:ascii="宋体" w:hAnsi="宋体" w:eastAsia="宋体" w:cs="宋体"/>
          <w:snapToGrid w:val="0"/>
          <w:color w:val="000000"/>
          <w:kern w:val="0"/>
          <w:sz w:val="24"/>
          <w:szCs w:val="24"/>
          <w:highlight w:val="none"/>
          <w:lang w:val="en-US" w:eastAsia="zh-CN"/>
        </w:rPr>
        <w:t>关于印发东海县残疾人托养服务考核评估和经费拨付管理办法的通知</w:t>
      </w:r>
      <w:r>
        <w:rPr>
          <w:rFonts w:hint="eastAsia" w:ascii="宋体" w:hAnsi="宋体" w:eastAsia="宋体" w:cs="宋体"/>
          <w:snapToGrid w:val="0"/>
          <w:color w:val="000000"/>
          <w:kern w:val="0"/>
          <w:sz w:val="24"/>
          <w:szCs w:val="24"/>
          <w:highlight w:val="none"/>
          <w:lang w:eastAsia="en-US"/>
        </w:rPr>
        <w:t>，</w:t>
      </w:r>
      <w:r>
        <w:rPr>
          <w:rFonts w:hint="eastAsia" w:ascii="宋体" w:hAnsi="宋体" w:eastAsia="宋体" w:cs="宋体"/>
          <w:snapToGrid w:val="0"/>
          <w:color w:val="000000"/>
          <w:kern w:val="0"/>
          <w:sz w:val="24"/>
          <w:szCs w:val="24"/>
          <w:lang w:val="zh-CN" w:eastAsia="zh-CN"/>
        </w:rPr>
        <w:t>考核内容为日常管理和托养质量两个方面。</w:t>
      </w:r>
    </w:p>
    <w:p w14:paraId="084F7277">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napToGrid w:val="0"/>
          <w:color w:val="000000"/>
          <w:kern w:val="0"/>
          <w:sz w:val="24"/>
          <w:szCs w:val="24"/>
          <w:lang w:val="zh-CN" w:eastAsia="zh-CN"/>
        </w:rPr>
      </w:pPr>
      <w:r>
        <w:rPr>
          <w:rFonts w:hint="eastAsia" w:ascii="宋体" w:hAnsi="宋体" w:eastAsia="宋体" w:cs="宋体"/>
          <w:snapToGrid w:val="0"/>
          <w:color w:val="000000"/>
          <w:kern w:val="0"/>
          <w:sz w:val="24"/>
          <w:szCs w:val="24"/>
          <w:lang w:val="zh-CN" w:eastAsia="zh-CN"/>
        </w:rPr>
        <w:t>1.日常管理包括考勤管理、服务管理、满意度测评、档案管理、信息报送、宣传报道等。</w:t>
      </w:r>
    </w:p>
    <w:p w14:paraId="56D0EA89">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napToGrid w:val="0"/>
          <w:color w:val="000000"/>
          <w:kern w:val="0"/>
          <w:sz w:val="24"/>
          <w:szCs w:val="24"/>
          <w:lang w:val="zh-CN" w:eastAsia="zh-CN"/>
        </w:rPr>
      </w:pPr>
      <w:r>
        <w:rPr>
          <w:rFonts w:hint="eastAsia" w:ascii="宋体" w:hAnsi="宋体" w:eastAsia="宋体" w:cs="宋体"/>
          <w:snapToGrid w:val="0"/>
          <w:color w:val="000000"/>
          <w:kern w:val="0"/>
          <w:sz w:val="24"/>
          <w:szCs w:val="24"/>
          <w:lang w:val="zh-CN" w:eastAsia="zh-CN"/>
        </w:rPr>
        <w:t>2.托养质量包括必备条件、组织管理、过程质量、结果质量等方面。</w:t>
      </w:r>
    </w:p>
    <w:p w14:paraId="651D2F8F">
      <w:pPr>
        <w:pageBreakBefore w:val="0"/>
        <w:widowControl/>
        <w:kinsoku/>
        <w:wordWrap/>
        <w:overflowPunct/>
        <w:topLinePunct w:val="0"/>
        <w:autoSpaceDE/>
        <w:autoSpaceDN/>
        <w:bidi w:val="0"/>
        <w:adjustRightInd/>
        <w:snapToGrid/>
        <w:spacing w:line="360" w:lineRule="auto"/>
        <w:ind w:firstLine="645"/>
        <w:jc w:val="both"/>
        <w:textAlignment w:val="auto"/>
        <w:rPr>
          <w:rFonts w:hint="eastAsia" w:ascii="宋体" w:hAnsi="宋体" w:eastAsia="宋体" w:cs="宋体"/>
          <w:snapToGrid w:val="0"/>
          <w:color w:val="000000"/>
          <w:kern w:val="0"/>
          <w:sz w:val="24"/>
          <w:szCs w:val="24"/>
          <w:highlight w:val="none"/>
          <w:lang w:eastAsia="en-US"/>
        </w:rPr>
      </w:pPr>
      <w:r>
        <w:rPr>
          <w:rFonts w:hint="eastAsia" w:ascii="宋体" w:hAnsi="宋体" w:eastAsia="宋体" w:cs="宋体"/>
          <w:snapToGrid w:val="0"/>
          <w:color w:val="000000"/>
          <w:kern w:val="0"/>
          <w:sz w:val="24"/>
          <w:szCs w:val="24"/>
          <w:highlight w:val="none"/>
          <w:lang w:val="en-US" w:eastAsia="zh-CN"/>
        </w:rPr>
        <w:t>以残联最新政策为准。</w:t>
      </w:r>
    </w:p>
    <w:p w14:paraId="45606729">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snapToGrid w:val="0"/>
          <w:color w:val="000000"/>
          <w:kern w:val="0"/>
          <w:sz w:val="28"/>
          <w:szCs w:val="28"/>
          <w:lang w:eastAsia="en-US"/>
        </w:rPr>
      </w:pPr>
      <w:r>
        <w:rPr>
          <w:rFonts w:hint="eastAsia" w:ascii="宋体" w:hAnsi="宋体" w:eastAsia="宋体" w:cs="宋体"/>
          <w:b/>
          <w:bCs/>
          <w:snapToGrid w:val="0"/>
          <w:color w:val="000000"/>
          <w:kern w:val="0"/>
          <w:sz w:val="28"/>
          <w:szCs w:val="28"/>
          <w:lang w:val="en-US" w:eastAsia="zh-CN"/>
        </w:rPr>
        <w:t>九、</w:t>
      </w:r>
      <w:r>
        <w:rPr>
          <w:rFonts w:hint="eastAsia" w:ascii="宋体" w:hAnsi="宋体" w:eastAsia="宋体" w:cs="宋体"/>
          <w:b/>
          <w:snapToGrid w:val="0"/>
          <w:color w:val="000000"/>
          <w:kern w:val="0"/>
          <w:sz w:val="28"/>
          <w:szCs w:val="28"/>
          <w:lang w:eastAsia="en-US"/>
        </w:rPr>
        <w:t>履约验收</w:t>
      </w:r>
    </w:p>
    <w:p w14:paraId="4344B0DD">
      <w:pPr>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所提供项目服务质量符合国家相关标准且满足本次采购的要求，如有不合格，造成的损失和后果由该</w:t>
      </w:r>
      <w:r>
        <w:rPr>
          <w:rFonts w:hint="eastAsia" w:ascii="宋体" w:hAnsi="宋体" w:eastAsia="宋体" w:cs="宋体"/>
          <w:snapToGrid w:val="0"/>
          <w:color w:val="000000"/>
          <w:kern w:val="0"/>
          <w:sz w:val="24"/>
          <w:szCs w:val="24"/>
          <w:lang w:val="en-US" w:eastAsia="zh-CN"/>
        </w:rPr>
        <w:t>投标人</w:t>
      </w:r>
      <w:r>
        <w:rPr>
          <w:rFonts w:hint="eastAsia" w:ascii="宋体" w:hAnsi="宋体" w:eastAsia="宋体" w:cs="宋体"/>
          <w:snapToGrid w:val="0"/>
          <w:color w:val="000000"/>
          <w:kern w:val="0"/>
          <w:sz w:val="24"/>
          <w:szCs w:val="24"/>
          <w:lang w:eastAsia="en-US"/>
        </w:rPr>
        <w:t>负全责。符合项目验收标准后，采购人根据技术要求组织验收并出具验收书。</w:t>
      </w:r>
    </w:p>
    <w:p w14:paraId="39ED6812">
      <w:pPr>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乙方向甲方提交项目验收资料以及终验申请单，甲方收到申请后3 个工作日内组织终验且验收无问题后签署终验单。验收的标准按照采购文件、响应文件及相关标准实施，服从采购人安排要求。</w:t>
      </w:r>
    </w:p>
    <w:p w14:paraId="196041B8">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i/>
          <w:iCs/>
          <w:snapToGrid w:val="0"/>
          <w:color w:val="000000"/>
          <w:kern w:val="0"/>
          <w:sz w:val="28"/>
          <w:szCs w:val="28"/>
          <w:u w:val="single"/>
          <w:lang w:eastAsia="en-US"/>
        </w:rPr>
      </w:pPr>
      <w:r>
        <w:rPr>
          <w:rFonts w:hint="eastAsia" w:ascii="宋体" w:hAnsi="宋体" w:eastAsia="宋体" w:cs="宋体"/>
          <w:b/>
          <w:i/>
          <w:iCs/>
          <w:snapToGrid w:val="0"/>
          <w:color w:val="000000"/>
          <w:kern w:val="0"/>
          <w:sz w:val="28"/>
          <w:szCs w:val="28"/>
          <w:u w:val="single"/>
          <w:lang w:val="en-US" w:eastAsia="zh-CN"/>
        </w:rPr>
        <w:t>十</w:t>
      </w:r>
      <w:r>
        <w:rPr>
          <w:rFonts w:hint="eastAsia" w:ascii="宋体" w:hAnsi="宋体" w:eastAsia="宋体" w:cs="宋体"/>
          <w:b/>
          <w:i/>
          <w:iCs/>
          <w:snapToGrid w:val="0"/>
          <w:color w:val="000000"/>
          <w:kern w:val="0"/>
          <w:sz w:val="28"/>
          <w:szCs w:val="28"/>
          <w:u w:val="single"/>
          <w:lang w:eastAsia="en-US"/>
        </w:rPr>
        <w:t>、付款方式与履约保证金</w:t>
      </w:r>
    </w:p>
    <w:p w14:paraId="558CC0B3">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en-US" w:bidi="ar-SA"/>
        </w:rPr>
      </w:pPr>
      <w:r>
        <w:rPr>
          <w:rFonts w:hint="eastAsia" w:ascii="宋体" w:hAnsi="宋体" w:eastAsia="宋体" w:cs="宋体"/>
          <w:i/>
          <w:iCs/>
          <w:snapToGrid w:val="0"/>
          <w:color w:val="000000"/>
          <w:kern w:val="0"/>
          <w:sz w:val="24"/>
          <w:szCs w:val="24"/>
          <w:u w:val="single"/>
          <w:lang w:val="en-US" w:eastAsia="en-US" w:bidi="ar-SA"/>
        </w:rPr>
        <w:t>1.付款方式：</w:t>
      </w:r>
    </w:p>
    <w:p w14:paraId="71FA1E53">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val="0"/>
          <w:iCs w:val="0"/>
          <w:snapToGrid w:val="0"/>
          <w:color w:val="000000"/>
          <w:kern w:val="0"/>
          <w:sz w:val="24"/>
          <w:szCs w:val="24"/>
          <w:highlight w:val="yellow"/>
          <w:u w:val="none"/>
          <w:lang w:val="en-US" w:eastAsia="zh-CN" w:bidi="ar-SA"/>
        </w:rPr>
      </w:pPr>
      <w:r>
        <w:rPr>
          <w:rFonts w:hint="eastAsia" w:ascii="宋体" w:hAnsi="宋体" w:eastAsia="宋体" w:cs="宋体"/>
          <w:i/>
          <w:iCs/>
          <w:snapToGrid w:val="0"/>
          <w:color w:val="000000"/>
          <w:kern w:val="0"/>
          <w:sz w:val="24"/>
          <w:szCs w:val="24"/>
          <w:highlight w:val="yellow"/>
          <w:u w:val="single"/>
          <w:lang w:val="en-US" w:eastAsia="zh-CN" w:bidi="ar-SA"/>
        </w:rPr>
        <w:t>合同签订后，托养经费分别由县残联在每服务季度按照托养机构服务人数、服务标准全额测算，每季度根据考核指标报财政据实拨付。考核结果低于85分的，暂缓拨付经费，整改完成后拨付。每次付款前投标人应向甲方开具正规发票，否则迟延付款的责任由投标人自行承担。</w:t>
      </w:r>
    </w:p>
    <w:p w14:paraId="3A678837">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val="0"/>
          <w:iCs w:val="0"/>
          <w:snapToGrid w:val="0"/>
          <w:color w:val="000000"/>
          <w:kern w:val="0"/>
          <w:sz w:val="24"/>
          <w:szCs w:val="24"/>
          <w:highlight w:val="yellow"/>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en-US" w:bidi="ar-SA"/>
        </w:rPr>
        <w:t>若因服务对象与残疾人解除服务协议、身体状况变化、死亡等因素导致实际服务数量发生变化，</w:t>
      </w:r>
      <w:r>
        <w:rPr>
          <w:rFonts w:hint="eastAsia" w:ascii="宋体" w:hAnsi="宋体" w:eastAsia="宋体" w:cs="宋体"/>
          <w:i w:val="0"/>
          <w:iCs w:val="0"/>
          <w:snapToGrid w:val="0"/>
          <w:color w:val="000000"/>
          <w:kern w:val="0"/>
          <w:sz w:val="24"/>
          <w:szCs w:val="24"/>
          <w:highlight w:val="none"/>
          <w:u w:val="none"/>
          <w:lang w:val="en-US" w:eastAsia="zh-CN" w:bidi="ar-SA"/>
        </w:rPr>
        <w:t>投标人</w:t>
      </w:r>
      <w:r>
        <w:rPr>
          <w:rFonts w:hint="eastAsia" w:ascii="宋体" w:hAnsi="宋体" w:eastAsia="宋体" w:cs="宋体"/>
          <w:i w:val="0"/>
          <w:iCs w:val="0"/>
          <w:snapToGrid w:val="0"/>
          <w:color w:val="000000"/>
          <w:kern w:val="0"/>
          <w:sz w:val="24"/>
          <w:szCs w:val="24"/>
          <w:highlight w:val="none"/>
          <w:u w:val="none"/>
          <w:lang w:val="en-US" w:eastAsia="en-US" w:bidi="ar-SA"/>
        </w:rPr>
        <w:t>应当及时书面报告采购人。当服务人员数量与实际服务数量不一致时，采购人可根据《连云港市残疾人托养服务实施方案》文件要求调整，若有符合寄宿制托养条件人员可以进行调整补充。</w:t>
      </w:r>
    </w:p>
    <w:p w14:paraId="4D798CC0">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val="0"/>
          <w:iCs w:val="0"/>
          <w:snapToGrid w:val="0"/>
          <w:color w:val="FF0000"/>
          <w:kern w:val="0"/>
          <w:sz w:val="24"/>
          <w:szCs w:val="24"/>
          <w:highlight w:val="yellow"/>
          <w:u w:val="none"/>
          <w:lang w:val="en-US" w:eastAsia="en-US" w:bidi="ar-SA"/>
        </w:rPr>
      </w:pPr>
      <w:r>
        <w:rPr>
          <w:rFonts w:hint="eastAsia" w:ascii="宋体" w:hAnsi="宋体" w:eastAsia="宋体" w:cs="宋体"/>
          <w:i w:val="0"/>
          <w:iCs w:val="0"/>
          <w:snapToGrid w:val="0"/>
          <w:color w:val="FF0000"/>
          <w:kern w:val="0"/>
          <w:sz w:val="24"/>
          <w:szCs w:val="24"/>
          <w:highlight w:val="yellow"/>
          <w:u w:val="none"/>
          <w:lang w:val="en-US" w:eastAsia="en-US" w:bidi="ar-SA"/>
        </w:rPr>
        <w:t>本项目服务费用按单价进行结算。</w:t>
      </w:r>
    </w:p>
    <w:p w14:paraId="207C28E2">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en-US" w:bidi="ar-SA"/>
        </w:rPr>
        <w:t>2.履约保证金：本项目不收取履约保证金</w:t>
      </w:r>
    </w:p>
    <w:p w14:paraId="405BB551">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i w:val="0"/>
          <w:iCs w:val="0"/>
          <w:snapToGrid w:val="0"/>
          <w:color w:val="000000"/>
          <w:kern w:val="0"/>
          <w:sz w:val="28"/>
          <w:szCs w:val="28"/>
          <w:u w:val="none"/>
          <w:lang w:eastAsia="en-US"/>
        </w:rPr>
      </w:pPr>
      <w:r>
        <w:rPr>
          <w:rFonts w:hint="eastAsia" w:ascii="宋体" w:hAnsi="宋体" w:eastAsia="宋体" w:cs="宋体"/>
          <w:b/>
          <w:i w:val="0"/>
          <w:iCs w:val="0"/>
          <w:snapToGrid w:val="0"/>
          <w:color w:val="000000"/>
          <w:kern w:val="0"/>
          <w:sz w:val="28"/>
          <w:szCs w:val="28"/>
          <w:u w:val="none"/>
          <w:lang w:val="en-US" w:eastAsia="zh-CN"/>
        </w:rPr>
        <w:t>十一</w:t>
      </w:r>
      <w:r>
        <w:rPr>
          <w:rFonts w:hint="eastAsia" w:ascii="宋体" w:hAnsi="宋体" w:eastAsia="宋体" w:cs="宋体"/>
          <w:b/>
          <w:i w:val="0"/>
          <w:iCs w:val="0"/>
          <w:snapToGrid w:val="0"/>
          <w:color w:val="000000"/>
          <w:kern w:val="0"/>
          <w:sz w:val="28"/>
          <w:szCs w:val="28"/>
          <w:u w:val="none"/>
          <w:lang w:eastAsia="en-US"/>
        </w:rPr>
        <w:t>、报价要求</w:t>
      </w:r>
    </w:p>
    <w:p w14:paraId="3F441293">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left"/>
        <w:textAlignment w:val="baseline"/>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en-US" w:bidi="ar-SA"/>
        </w:rPr>
        <w:t>1.应根据国家收费标准并结合市场实际进行报价。本次采购文件所涉及货币币种均为人民币。</w:t>
      </w:r>
    </w:p>
    <w:p w14:paraId="11A9EC6C">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en-US" w:bidi="ar-SA"/>
        </w:rPr>
      </w:pPr>
      <w:r>
        <w:rPr>
          <w:rFonts w:hint="eastAsia" w:ascii="宋体" w:hAnsi="宋体" w:eastAsia="宋体" w:cs="宋体"/>
          <w:i/>
          <w:iCs/>
          <w:snapToGrid w:val="0"/>
          <w:color w:val="000000"/>
          <w:kern w:val="0"/>
          <w:sz w:val="24"/>
          <w:szCs w:val="24"/>
          <w:highlight w:val="yellow"/>
          <w:u w:val="single"/>
          <w:lang w:val="en-US" w:eastAsia="en-US" w:bidi="ar-SA"/>
        </w:rPr>
        <w:t>2</w:t>
      </w:r>
      <w:r>
        <w:rPr>
          <w:rFonts w:hint="eastAsia" w:ascii="宋体" w:hAnsi="宋体" w:eastAsia="宋体" w:cs="宋体"/>
          <w:i/>
          <w:iCs/>
          <w:snapToGrid w:val="0"/>
          <w:color w:val="000000"/>
          <w:kern w:val="0"/>
          <w:sz w:val="24"/>
          <w:szCs w:val="24"/>
          <w:highlight w:val="yellow"/>
          <w:u w:val="single"/>
          <w:lang w:val="en-US" w:eastAsia="zh-CN" w:bidi="ar-SA"/>
        </w:rPr>
        <w:t>.重度残疾人3300 元/人/月、轻度残疾人1800元/人/月，投标分项报价表中单价报价超过以上最高限价的按无效响应处理</w:t>
      </w:r>
      <w:r>
        <w:rPr>
          <w:rFonts w:hint="eastAsia" w:ascii="宋体" w:hAnsi="宋体" w:eastAsia="宋体" w:cs="宋体"/>
          <w:i/>
          <w:iCs/>
          <w:snapToGrid w:val="0"/>
          <w:color w:val="000000"/>
          <w:kern w:val="0"/>
          <w:sz w:val="24"/>
          <w:szCs w:val="24"/>
          <w:highlight w:val="yellow"/>
          <w:u w:val="single"/>
          <w:lang w:val="en-US" w:eastAsia="en-US" w:bidi="ar-SA"/>
        </w:rPr>
        <w:t>。</w:t>
      </w:r>
    </w:p>
    <w:p w14:paraId="66E61789">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left"/>
        <w:textAlignment w:val="baseline"/>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en-US" w:bidi="ar-SA"/>
        </w:rPr>
        <w:t>3.报价须包括完成本项目所需的人员劳务费、宣传材料费、办公设施、各种税费、利 润、商业保险费用、电费、燃气费及政策性文件规定及合同包含的所有风险、责任等。</w:t>
      </w:r>
    </w:p>
    <w:p w14:paraId="574BB254">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left"/>
        <w:textAlignment w:val="baseline"/>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en-US" w:bidi="ar-SA"/>
        </w:rPr>
        <w:t>4 、投标人聘用的所有人员均须按规定缴纳五险，月工资收入不得低于连云港最低工资标准。如未按照国家相关法律规定为聘用人员缴纳各项保险，发生任何的经济、法律纠 纷和人身损害赔偿等，由投标人自行解决。因投标人聘用人员的责任造成采购人财产损失 的，由投标人负责赔偿。</w:t>
      </w:r>
    </w:p>
    <w:p w14:paraId="7AB4D92D">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left"/>
        <w:textAlignment w:val="baseline"/>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en-US" w:bidi="ar-SA"/>
        </w:rPr>
        <w:t>5 、投标人的用工要符合国家的相关规定，必须与招聘人员签订用工合同，并将合同 复印件报给采购人，中标人派遣的聘用人员到采购人处工作要出具介绍信或派工单，不得 派遣内病退、退休人员。</w:t>
      </w:r>
    </w:p>
    <w:p w14:paraId="56425BDE">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snapToGrid w:val="0"/>
          <w:color w:val="000000"/>
          <w:kern w:val="0"/>
          <w:sz w:val="28"/>
          <w:szCs w:val="28"/>
          <w:lang w:val="en-US" w:eastAsia="en-US"/>
        </w:rPr>
      </w:pPr>
      <w:r>
        <w:rPr>
          <w:rFonts w:hint="eastAsia" w:ascii="宋体" w:hAnsi="宋体" w:eastAsia="宋体" w:cs="宋体"/>
          <w:b/>
          <w:snapToGrid w:val="0"/>
          <w:color w:val="000000"/>
          <w:kern w:val="0"/>
          <w:sz w:val="28"/>
          <w:szCs w:val="28"/>
          <w:lang w:val="en-US" w:eastAsia="zh-CN"/>
        </w:rPr>
        <w:t>十二</w:t>
      </w:r>
      <w:r>
        <w:rPr>
          <w:rFonts w:hint="eastAsia" w:ascii="宋体" w:hAnsi="宋体" w:eastAsia="宋体" w:cs="宋体"/>
          <w:b/>
          <w:snapToGrid w:val="0"/>
          <w:color w:val="000000"/>
          <w:kern w:val="0"/>
          <w:sz w:val="28"/>
          <w:szCs w:val="28"/>
          <w:lang w:val="en-US" w:eastAsia="en-US"/>
        </w:rPr>
        <w:t>、其他</w:t>
      </w:r>
    </w:p>
    <w:p w14:paraId="1A3BE0C4">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1.采购人提供相应场所和托养服务基本设施设备交于中标人使用和维护；中标人可共 享或自行添置基本医疗、康复训练等设施设备。</w:t>
      </w:r>
    </w:p>
    <w:p w14:paraId="67A491D8">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2.特别提醒投标人：工作中涉及的敏感资料、电子数据等相关信息，中标人应严格执 行保密的相关规定，不得以任何方式向任何第三人披露、泄露或许可第三人使用，否则追 究其相应法律责任。</w:t>
      </w:r>
    </w:p>
    <w:p w14:paraId="7F444DE1">
      <w:pPr>
        <w:keepNext w:val="0"/>
        <w:keepLines w:val="0"/>
        <w:pageBreakBefore w:val="0"/>
        <w:widowControl/>
        <w:kinsoku/>
        <w:wordWrap/>
        <w:overflowPunct/>
        <w:topLinePunct w:val="0"/>
        <w:autoSpaceDE/>
        <w:autoSpaceDN/>
        <w:bidi w:val="0"/>
        <w:adjustRightInd w:val="0"/>
        <w:snapToGrid/>
        <w:spacing w:after="0" w:line="360" w:lineRule="auto"/>
        <w:ind w:firstLine="482" w:firstLineChars="200"/>
        <w:jc w:val="left"/>
        <w:textAlignment w:val="baseline"/>
        <w:rPr>
          <w:rFonts w:hint="eastAsia" w:ascii="宋体" w:hAnsi="宋体" w:eastAsia="宋体" w:cs="宋体"/>
          <w:b/>
          <w:bCs/>
          <w:snapToGrid w:val="0"/>
          <w:color w:val="000000"/>
          <w:kern w:val="0"/>
          <w:sz w:val="24"/>
          <w:szCs w:val="24"/>
          <w:highlight w:val="none"/>
          <w:lang w:val="en-US" w:eastAsia="zh-CN" w:bidi="ar-SA"/>
        </w:rPr>
      </w:pPr>
      <w:r>
        <w:rPr>
          <w:rFonts w:hint="eastAsia" w:ascii="宋体" w:hAnsi="宋体" w:eastAsia="宋体" w:cs="宋体"/>
          <w:b/>
          <w:bCs/>
          <w:snapToGrid w:val="0"/>
          <w:color w:val="000000"/>
          <w:kern w:val="0"/>
          <w:sz w:val="24"/>
          <w:szCs w:val="24"/>
          <w:highlight w:val="none"/>
          <w:lang w:val="en-US" w:eastAsia="zh-CN" w:bidi="ar-SA"/>
        </w:rPr>
        <w:t>3.采购人于中标公告发出之日起5个工作日内对中标人进行现场复查，中标人对提供的投标文件内容真实性负责，如发现中标人弄虚作假投标、中标，将取消中标资格，已签订合同的，由中标人承担违约责任，并赔偿给采购人造成的损失。</w:t>
      </w:r>
    </w:p>
    <w:p w14:paraId="61DE533C">
      <w:pPr>
        <w:pageBreakBefore w:val="0"/>
        <w:wordWrap/>
        <w:overflowPunct/>
        <w:topLinePunct w:val="0"/>
        <w:bidi w:val="0"/>
        <w:spacing w:line="360" w:lineRule="auto"/>
        <w:jc w:val="center"/>
        <w:rPr>
          <w:rFonts w:hint="eastAsia" w:ascii="宋体" w:hAnsi="宋体" w:eastAsia="宋体" w:cs="宋体"/>
          <w:b/>
          <w:bCs/>
          <w:color w:val="000000"/>
          <w:sz w:val="30"/>
          <w:szCs w:val="30"/>
          <w:lang w:val="en-US" w:eastAsia="zh-CN"/>
        </w:rPr>
      </w:pPr>
    </w:p>
    <w:p w14:paraId="6530167F">
      <w:pPr>
        <w:pageBreakBefore w:val="0"/>
        <w:wordWrap/>
        <w:overflowPunct/>
        <w:topLinePunct w:val="0"/>
        <w:bidi w:val="0"/>
        <w:spacing w:line="360" w:lineRule="auto"/>
        <w:jc w:val="center"/>
        <w:rPr>
          <w:rFonts w:hint="eastAsia" w:ascii="宋体" w:hAnsi="宋体" w:eastAsia="宋体" w:cs="宋体"/>
          <w:b/>
          <w:bCs/>
          <w:color w:val="000000"/>
          <w:sz w:val="30"/>
          <w:szCs w:val="30"/>
          <w:lang w:val="en-US" w:eastAsia="zh-CN"/>
        </w:rPr>
      </w:pPr>
    </w:p>
    <w:p w14:paraId="01608950">
      <w:pPr>
        <w:pageBreakBefore w:val="0"/>
        <w:wordWrap/>
        <w:overflowPunct/>
        <w:topLinePunct w:val="0"/>
        <w:bidi w:val="0"/>
        <w:spacing w:line="360" w:lineRule="auto"/>
        <w:jc w:val="center"/>
        <w:rPr>
          <w:rFonts w:hint="eastAsia" w:ascii="宋体" w:hAnsi="宋体" w:eastAsia="宋体" w:cs="宋体"/>
          <w:b/>
          <w:bCs/>
          <w:color w:val="000000"/>
          <w:sz w:val="30"/>
          <w:szCs w:val="30"/>
          <w:lang w:val="en-US" w:eastAsia="zh-CN"/>
        </w:rPr>
      </w:pPr>
    </w:p>
    <w:p w14:paraId="02CFAF5F">
      <w:pPr>
        <w:pageBreakBefore w:val="0"/>
        <w:wordWrap/>
        <w:overflowPunct/>
        <w:topLinePunct w:val="0"/>
        <w:bidi w:val="0"/>
        <w:spacing w:line="360" w:lineRule="auto"/>
        <w:jc w:val="center"/>
        <w:rPr>
          <w:rFonts w:hint="eastAsia" w:ascii="宋体" w:hAnsi="宋体" w:eastAsia="宋体" w:cs="宋体"/>
          <w:b/>
          <w:bCs/>
          <w:color w:val="000000"/>
          <w:sz w:val="30"/>
          <w:szCs w:val="30"/>
          <w:lang w:val="en-US" w:eastAsia="zh-CN"/>
        </w:rPr>
      </w:pPr>
    </w:p>
    <w:p w14:paraId="4D2AF54F">
      <w:pPr>
        <w:pageBreakBefore w:val="0"/>
        <w:wordWrap/>
        <w:overflowPunct/>
        <w:topLinePunct w:val="0"/>
        <w:bidi w:val="0"/>
        <w:spacing w:line="360" w:lineRule="auto"/>
        <w:jc w:val="center"/>
        <w:rPr>
          <w:rFonts w:hint="eastAsia" w:ascii="宋体" w:hAnsi="宋体" w:eastAsia="宋体" w:cs="宋体"/>
          <w:b/>
          <w:bCs/>
          <w:color w:val="000000"/>
          <w:sz w:val="30"/>
          <w:szCs w:val="30"/>
          <w:lang w:val="en-US" w:eastAsia="zh-CN"/>
        </w:rPr>
      </w:pPr>
    </w:p>
    <w:p w14:paraId="70D0FA44">
      <w:pPr>
        <w:pageBreakBefore w:val="0"/>
        <w:wordWrap/>
        <w:overflowPunct/>
        <w:topLinePunct w:val="0"/>
        <w:bidi w:val="0"/>
        <w:spacing w:line="360" w:lineRule="auto"/>
        <w:jc w:val="center"/>
        <w:rPr>
          <w:rFonts w:hint="eastAsia" w:ascii="宋体" w:hAnsi="宋体" w:eastAsia="宋体" w:cs="宋体"/>
          <w:b/>
          <w:bCs/>
          <w:color w:val="000000"/>
          <w:sz w:val="30"/>
          <w:szCs w:val="30"/>
          <w:lang w:val="en-US" w:eastAsia="zh-CN"/>
        </w:rPr>
      </w:pPr>
    </w:p>
    <w:p w14:paraId="39B8B213">
      <w:pPr>
        <w:pageBreakBefore w:val="0"/>
        <w:wordWrap/>
        <w:overflowPunct/>
        <w:topLinePunct w:val="0"/>
        <w:bidi w:val="0"/>
        <w:spacing w:line="360" w:lineRule="auto"/>
        <w:jc w:val="center"/>
        <w:rPr>
          <w:rFonts w:hint="eastAsia" w:ascii="宋体" w:hAnsi="宋体" w:eastAsia="宋体" w:cs="宋体"/>
          <w:b/>
          <w:bCs/>
          <w:color w:val="000000"/>
          <w:sz w:val="30"/>
          <w:szCs w:val="30"/>
          <w:lang w:val="en-US" w:eastAsia="zh-CN"/>
        </w:rPr>
      </w:pPr>
    </w:p>
    <w:p w14:paraId="2141FF53">
      <w:pPr>
        <w:pageBreakBefore w:val="0"/>
        <w:wordWrap/>
        <w:overflowPunct/>
        <w:topLinePunct w:val="0"/>
        <w:bidi w:val="0"/>
        <w:spacing w:line="360" w:lineRule="auto"/>
        <w:jc w:val="center"/>
        <w:rPr>
          <w:rFonts w:hint="eastAsia" w:ascii="宋体" w:hAnsi="宋体" w:eastAsia="宋体" w:cs="宋体"/>
          <w:b/>
          <w:bCs/>
          <w:color w:val="000000"/>
          <w:sz w:val="30"/>
          <w:szCs w:val="30"/>
          <w:lang w:val="en-US" w:eastAsia="zh-CN"/>
        </w:rPr>
      </w:pPr>
    </w:p>
    <w:p w14:paraId="6AE9CA1C">
      <w:pPr>
        <w:pageBreakBefore w:val="0"/>
        <w:wordWrap/>
        <w:overflowPunct/>
        <w:topLinePunct w:val="0"/>
        <w:bidi w:val="0"/>
        <w:spacing w:line="360" w:lineRule="auto"/>
        <w:jc w:val="center"/>
        <w:rPr>
          <w:rFonts w:hint="eastAsia" w:ascii="宋体" w:hAnsi="宋体" w:eastAsia="宋体" w:cs="宋体"/>
          <w:b/>
          <w:bCs/>
          <w:color w:val="000000"/>
          <w:sz w:val="30"/>
          <w:szCs w:val="30"/>
          <w:lang w:val="en-US" w:eastAsia="zh-CN"/>
        </w:rPr>
      </w:pPr>
    </w:p>
    <w:p w14:paraId="7D77DDAA">
      <w:pPr>
        <w:pageBreakBefore w:val="0"/>
        <w:wordWrap/>
        <w:overflowPunct/>
        <w:topLinePunct w:val="0"/>
        <w:bidi w:val="0"/>
        <w:spacing w:line="360" w:lineRule="auto"/>
        <w:jc w:val="center"/>
        <w:rPr>
          <w:rFonts w:hint="eastAsia" w:ascii="宋体" w:hAnsi="宋体" w:eastAsia="宋体" w:cs="宋体"/>
          <w:b/>
          <w:bCs/>
          <w:color w:val="000000"/>
          <w:sz w:val="30"/>
          <w:szCs w:val="30"/>
          <w:lang w:val="en-US" w:eastAsia="zh-CN"/>
        </w:rPr>
      </w:pPr>
    </w:p>
    <w:p w14:paraId="5E97FB0A">
      <w:pPr>
        <w:pageBreakBefore w:val="0"/>
        <w:wordWrap/>
        <w:overflowPunct/>
        <w:topLinePunct w:val="0"/>
        <w:bidi w:val="0"/>
        <w:spacing w:line="360" w:lineRule="auto"/>
        <w:jc w:val="center"/>
        <w:rPr>
          <w:rFonts w:hint="eastAsia" w:ascii="宋体" w:hAnsi="宋体" w:eastAsia="宋体" w:cs="宋体"/>
          <w:b/>
          <w:bCs/>
          <w:color w:val="000000"/>
          <w:sz w:val="30"/>
          <w:szCs w:val="30"/>
          <w:lang w:val="en-US" w:eastAsia="zh-CN"/>
        </w:rPr>
      </w:pPr>
    </w:p>
    <w:p w14:paraId="6307A5E8">
      <w:pPr>
        <w:pageBreakBefore w:val="0"/>
        <w:wordWrap/>
        <w:overflowPunct/>
        <w:topLinePunct w:val="0"/>
        <w:bidi w:val="0"/>
        <w:spacing w:line="360" w:lineRule="auto"/>
        <w:jc w:val="center"/>
        <w:rPr>
          <w:rFonts w:hint="eastAsia" w:ascii="宋体" w:hAnsi="宋体" w:eastAsia="宋体" w:cs="宋体"/>
          <w:b/>
          <w:bCs/>
          <w:color w:val="000000"/>
          <w:sz w:val="30"/>
          <w:szCs w:val="30"/>
          <w:lang w:val="en-US" w:eastAsia="zh-CN"/>
        </w:rPr>
      </w:pPr>
    </w:p>
    <w:p w14:paraId="050A8173">
      <w:pPr>
        <w:pageBreakBefore w:val="0"/>
        <w:wordWrap/>
        <w:overflowPunct/>
        <w:topLinePunct w:val="0"/>
        <w:bidi w:val="0"/>
        <w:spacing w:line="360" w:lineRule="auto"/>
        <w:jc w:val="center"/>
        <w:rPr>
          <w:rFonts w:hint="eastAsia" w:ascii="宋体" w:hAnsi="宋体" w:eastAsia="宋体" w:cs="宋体"/>
          <w:b/>
          <w:bCs/>
          <w:color w:val="000000"/>
          <w:sz w:val="30"/>
          <w:szCs w:val="30"/>
          <w:lang w:val="en-US" w:eastAsia="zh-CN"/>
        </w:rPr>
      </w:pPr>
    </w:p>
    <w:p w14:paraId="3FD4E7CA">
      <w:pPr>
        <w:pageBreakBefore w:val="0"/>
        <w:wordWrap/>
        <w:overflowPunct/>
        <w:topLinePunct w:val="0"/>
        <w:bidi w:val="0"/>
        <w:spacing w:line="360" w:lineRule="auto"/>
        <w:jc w:val="center"/>
        <w:rPr>
          <w:rFonts w:hint="eastAsia" w:ascii="宋体" w:hAnsi="宋体" w:eastAsia="宋体" w:cs="宋体"/>
          <w:b/>
          <w:bCs/>
          <w:color w:val="000000"/>
          <w:sz w:val="30"/>
          <w:szCs w:val="30"/>
          <w:lang w:val="en-US" w:eastAsia="zh-CN"/>
        </w:rPr>
      </w:pPr>
    </w:p>
    <w:p w14:paraId="3399704B">
      <w:pPr>
        <w:pageBreakBefore w:val="0"/>
        <w:wordWrap/>
        <w:overflowPunct/>
        <w:topLinePunct w:val="0"/>
        <w:bidi w:val="0"/>
        <w:spacing w:line="360" w:lineRule="auto"/>
        <w:jc w:val="center"/>
        <w:rPr>
          <w:rFonts w:hint="eastAsia" w:ascii="宋体" w:hAnsi="宋体" w:eastAsia="宋体" w:cs="宋体"/>
          <w:b/>
          <w:bCs/>
          <w:color w:val="000000"/>
          <w:sz w:val="30"/>
          <w:szCs w:val="30"/>
          <w:lang w:val="en-US" w:eastAsia="zh-CN"/>
        </w:rPr>
      </w:pPr>
    </w:p>
    <w:p w14:paraId="3C558271">
      <w:pPr>
        <w:pageBreakBefore w:val="0"/>
        <w:wordWrap/>
        <w:overflowPunct/>
        <w:topLinePunct w:val="0"/>
        <w:bidi w:val="0"/>
        <w:spacing w:line="360" w:lineRule="auto"/>
        <w:jc w:val="center"/>
        <w:rPr>
          <w:rFonts w:hint="eastAsia" w:ascii="宋体" w:hAnsi="宋体" w:eastAsia="宋体" w:cs="宋体"/>
          <w:b/>
          <w:bCs/>
          <w:color w:val="000000"/>
          <w:sz w:val="30"/>
          <w:szCs w:val="30"/>
          <w:lang w:val="en-US" w:eastAsia="zh-CN"/>
        </w:rPr>
      </w:pPr>
    </w:p>
    <w:p w14:paraId="5A68BA88">
      <w:pPr>
        <w:pageBreakBefore w:val="0"/>
        <w:wordWrap/>
        <w:overflowPunct/>
        <w:topLinePunct w:val="0"/>
        <w:bidi w:val="0"/>
        <w:spacing w:line="360" w:lineRule="auto"/>
        <w:jc w:val="center"/>
        <w:rPr>
          <w:rFonts w:hint="eastAsia" w:ascii="宋体" w:hAnsi="宋体" w:eastAsia="宋体" w:cs="宋体"/>
          <w:b/>
          <w:bCs/>
          <w:color w:val="000000"/>
          <w:sz w:val="30"/>
          <w:szCs w:val="30"/>
          <w:lang w:val="en-US" w:eastAsia="zh-CN"/>
        </w:rPr>
      </w:pPr>
    </w:p>
    <w:p w14:paraId="681E9D32">
      <w:pPr>
        <w:pageBreakBefore w:val="0"/>
        <w:wordWrap/>
        <w:overflowPunct/>
        <w:topLinePunct w:val="0"/>
        <w:bidi w:val="0"/>
        <w:spacing w:line="360" w:lineRule="auto"/>
        <w:jc w:val="center"/>
        <w:rPr>
          <w:rFonts w:hint="eastAsia" w:ascii="宋体" w:hAnsi="宋体" w:eastAsia="宋体" w:cs="宋体"/>
          <w:b/>
          <w:bCs/>
          <w:color w:val="000000"/>
          <w:sz w:val="30"/>
          <w:szCs w:val="30"/>
          <w:lang w:val="en-US" w:eastAsia="zh-CN"/>
        </w:rPr>
      </w:pPr>
      <w:r>
        <w:rPr>
          <w:rFonts w:hint="eastAsia" w:ascii="宋体" w:hAnsi="宋体" w:eastAsia="宋体" w:cs="宋体"/>
          <w:b/>
          <w:bCs/>
          <w:color w:val="000000"/>
          <w:sz w:val="30"/>
          <w:szCs w:val="30"/>
          <w:lang w:val="en-US" w:eastAsia="zh-CN"/>
        </w:rPr>
        <w:t>采购包2：</w:t>
      </w:r>
    </w:p>
    <w:p w14:paraId="645874B1">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说明：本</w:t>
      </w:r>
      <w:r>
        <w:rPr>
          <w:rFonts w:hint="eastAsia" w:ascii="宋体" w:hAnsi="宋体" w:eastAsia="宋体" w:cs="宋体"/>
          <w:color w:val="000000"/>
          <w:sz w:val="24"/>
          <w:szCs w:val="24"/>
          <w:lang w:val="en-US" w:eastAsia="zh-CN"/>
        </w:rPr>
        <w:t>采购包</w:t>
      </w:r>
      <w:r>
        <w:rPr>
          <w:rFonts w:hint="eastAsia" w:ascii="宋体" w:hAnsi="宋体" w:eastAsia="宋体" w:cs="宋体"/>
          <w:color w:val="000000"/>
          <w:sz w:val="24"/>
          <w:szCs w:val="24"/>
        </w:rPr>
        <w:t>项目属</w:t>
      </w:r>
      <w:r>
        <w:rPr>
          <w:rFonts w:hint="eastAsia" w:ascii="宋体" w:hAnsi="宋体" w:eastAsia="宋体" w:cs="宋体"/>
          <w:color w:val="000000"/>
          <w:sz w:val="24"/>
          <w:szCs w:val="24"/>
          <w:lang w:val="en-US" w:eastAsia="zh-CN"/>
        </w:rPr>
        <w:t xml:space="preserve">性为服务，采购标的对应的中小企业划分标准所属行业为 </w:t>
      </w:r>
      <w:r>
        <w:rPr>
          <w:rFonts w:hint="eastAsia" w:ascii="宋体" w:hAnsi="宋体" w:eastAsia="宋体" w:cs="宋体"/>
          <w:b/>
          <w:bCs/>
          <w:color w:val="FF0000"/>
          <w:sz w:val="24"/>
          <w:szCs w:val="24"/>
          <w:u w:val="single"/>
          <w:lang w:val="en-US" w:eastAsia="zh-CN"/>
        </w:rPr>
        <w:t xml:space="preserve">其他未列明行业 </w:t>
      </w:r>
      <w:r>
        <w:rPr>
          <w:rFonts w:hint="eastAsia" w:ascii="宋体" w:hAnsi="宋体" w:eastAsia="宋体" w:cs="宋体"/>
          <w:color w:val="000000"/>
          <w:sz w:val="24"/>
          <w:szCs w:val="24"/>
          <w:lang w:val="en-US" w:eastAsia="zh-CN"/>
        </w:rPr>
        <w:t>，</w:t>
      </w:r>
    </w:p>
    <w:p w14:paraId="0BF4285F">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1、根据《政府采购需求管理办法》等有关规定，采购人确定采购需求。</w:t>
      </w:r>
    </w:p>
    <w:p w14:paraId="7FDEBE47">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b/>
          <w:color w:val="000000"/>
          <w:sz w:val="24"/>
          <w:szCs w:val="24"/>
        </w:rPr>
        <w:t>本招标文件中</w:t>
      </w:r>
      <w:r>
        <w:rPr>
          <w:rFonts w:hint="eastAsia" w:ascii="宋体" w:hAnsi="宋体" w:eastAsia="宋体" w:cs="宋体"/>
          <w:b/>
          <w:i/>
          <w:iCs w:val="0"/>
          <w:color w:val="FF0000"/>
          <w:sz w:val="24"/>
          <w:szCs w:val="24"/>
          <w:u w:val="single"/>
        </w:rPr>
        <w:t>斜体且有下划线部分</w:t>
      </w:r>
      <w:r>
        <w:rPr>
          <w:rFonts w:hint="eastAsia" w:ascii="宋体" w:hAnsi="宋体" w:eastAsia="宋体" w:cs="宋体"/>
          <w:b/>
          <w:color w:val="000000"/>
          <w:sz w:val="24"/>
          <w:szCs w:val="24"/>
        </w:rPr>
        <w:t>为实质性要求和条件</w:t>
      </w:r>
      <w:r>
        <w:rPr>
          <w:rFonts w:hint="eastAsia" w:ascii="宋体" w:hAnsi="宋体" w:eastAsia="宋体" w:cs="宋体"/>
          <w:color w:val="000000"/>
          <w:sz w:val="24"/>
          <w:szCs w:val="24"/>
        </w:rPr>
        <w:t>，由采购人根据实际情况设置，投标人须逐条明确作出满足实质性要求和条件的响应，否则将按无效响应处理。</w:t>
      </w:r>
    </w:p>
    <w:tbl>
      <w:tblPr>
        <w:tblStyle w:val="28"/>
        <w:tblW w:w="9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8609"/>
      </w:tblGrid>
      <w:tr w14:paraId="1F157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25" w:type="dxa"/>
            <w:gridSpan w:val="2"/>
            <w:noWrap w:val="0"/>
            <w:vAlign w:val="center"/>
          </w:tcPr>
          <w:p w14:paraId="22B61C4F">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采购需求中须满足的实质性要求和条件</w:t>
            </w:r>
          </w:p>
        </w:tc>
      </w:tr>
      <w:tr w14:paraId="4D457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02218AE5">
            <w:pPr>
              <w:pageBreakBefore w:val="0"/>
              <w:wordWrap/>
              <w:overflowPunct/>
              <w:topLinePunct w:val="0"/>
              <w:bidi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8609" w:type="dxa"/>
            <w:noWrap w:val="0"/>
            <w:vAlign w:val="top"/>
          </w:tcPr>
          <w:p w14:paraId="32A56B50">
            <w:pPr>
              <w:pageBreakBefore w:val="0"/>
              <w:wordWrap/>
              <w:overflowPunct/>
              <w:topLinePunct w:val="0"/>
              <w:bidi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实质性要求和条件</w:t>
            </w:r>
          </w:p>
        </w:tc>
      </w:tr>
      <w:tr w14:paraId="0C626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center"/>
          </w:tcPr>
          <w:p w14:paraId="194DC22E">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8609" w:type="dxa"/>
            <w:noWrap w:val="0"/>
            <w:vAlign w:val="top"/>
          </w:tcPr>
          <w:p w14:paraId="1EC2F60B">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i/>
                <w:iCs/>
                <w:snapToGrid w:val="0"/>
                <w:color w:val="000000"/>
                <w:kern w:val="0"/>
                <w:sz w:val="28"/>
                <w:szCs w:val="28"/>
                <w:u w:val="single"/>
                <w:lang w:val="en-US" w:eastAsia="zh-CN"/>
              </w:rPr>
            </w:pPr>
            <w:r>
              <w:rPr>
                <w:rFonts w:hint="eastAsia" w:ascii="宋体" w:hAnsi="宋体" w:eastAsia="宋体" w:cs="宋体"/>
                <w:b/>
                <w:bCs/>
                <w:i/>
                <w:iCs/>
                <w:snapToGrid w:val="0"/>
                <w:color w:val="000000"/>
                <w:kern w:val="0"/>
                <w:sz w:val="28"/>
                <w:szCs w:val="28"/>
                <w:u w:val="single"/>
                <w:lang w:val="en-US" w:eastAsia="zh-CN"/>
              </w:rPr>
              <w:t>五、人员配备要求</w:t>
            </w:r>
          </w:p>
          <w:p w14:paraId="4FD0CC3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专职服务人员与托养人员比例不低于 1 ：5 。（本项目人员配备要求根据暂定人数</w:t>
            </w:r>
            <w:r>
              <w:rPr>
                <w:rFonts w:hint="eastAsia" w:ascii="宋体" w:hAnsi="宋体" w:eastAsia="宋体" w:cs="宋体"/>
                <w:i/>
                <w:iCs/>
                <w:snapToGrid w:val="0"/>
                <w:color w:val="FF0000"/>
                <w:kern w:val="0"/>
                <w:sz w:val="24"/>
                <w:szCs w:val="24"/>
                <w:highlight w:val="yellow"/>
                <w:u w:val="single"/>
                <w:lang w:val="en-US" w:eastAsia="zh-CN" w:bidi="ar-SA"/>
              </w:rPr>
              <w:t>45人</w:t>
            </w:r>
            <w:r>
              <w:rPr>
                <w:rFonts w:hint="eastAsia" w:ascii="宋体" w:hAnsi="宋体" w:eastAsia="宋体" w:cs="宋体"/>
                <w:i/>
                <w:iCs/>
                <w:snapToGrid w:val="0"/>
                <w:color w:val="000000"/>
                <w:kern w:val="0"/>
                <w:sz w:val="24"/>
                <w:szCs w:val="24"/>
                <w:u w:val="single"/>
                <w:lang w:val="en-US" w:eastAsia="zh-CN" w:bidi="ar-SA"/>
              </w:rPr>
              <w:t>进行配备）</w:t>
            </w:r>
          </w:p>
          <w:p w14:paraId="363164F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（1）项目负责人</w:t>
            </w:r>
            <w:r>
              <w:rPr>
                <w:rFonts w:hint="eastAsia" w:ascii="宋体" w:hAnsi="宋体" w:eastAsia="宋体" w:cs="宋体"/>
                <w:i/>
                <w:iCs/>
                <w:snapToGrid w:val="0"/>
                <w:color w:val="000000"/>
                <w:kern w:val="0"/>
                <w:sz w:val="24"/>
                <w:szCs w:val="24"/>
                <w:u w:val="single"/>
                <w:lang w:val="en-US" w:eastAsia="zh-CN" w:bidi="ar-SA"/>
              </w:rPr>
              <w:t>：专职负责人1人，从事过管理工作，具有社会工作类、社会福利类或康复医疗类等相关学习培训经历，熟悉残疾人相关法律法规与政策，熟练掌握残疾人托养的基本知识和专业知识，年龄</w:t>
            </w:r>
            <w:r>
              <w:rPr>
                <w:rFonts w:hint="eastAsia" w:ascii="宋体" w:hAnsi="宋体" w:eastAsia="宋体" w:cs="宋体"/>
                <w:i/>
                <w:iCs/>
                <w:snapToGrid w:val="0"/>
                <w:color w:val="auto"/>
                <w:kern w:val="0"/>
                <w:sz w:val="24"/>
                <w:szCs w:val="24"/>
                <w:highlight w:val="none"/>
                <w:u w:val="single"/>
                <w:lang w:val="en-US" w:eastAsia="zh-CN" w:bidi="ar-SA"/>
              </w:rPr>
              <w:t>不宜超过55周岁，2 年以上工作经验。</w:t>
            </w:r>
          </w:p>
          <w:p w14:paraId="3780376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b/>
                <w:bCs/>
                <w:i/>
                <w:iCs/>
                <w:snapToGrid w:val="0"/>
                <w:color w:val="auto"/>
                <w:kern w:val="0"/>
                <w:sz w:val="24"/>
                <w:szCs w:val="24"/>
                <w:highlight w:val="none"/>
                <w:u w:val="single"/>
                <w:lang w:val="en-US" w:eastAsia="zh-CN" w:bidi="ar-SA"/>
              </w:rPr>
              <w:t>（2）各类专业人员</w:t>
            </w:r>
            <w:r>
              <w:rPr>
                <w:rFonts w:hint="eastAsia" w:ascii="宋体" w:hAnsi="宋体" w:eastAsia="宋体" w:cs="宋体"/>
                <w:i/>
                <w:iCs/>
                <w:snapToGrid w:val="0"/>
                <w:color w:val="auto"/>
                <w:kern w:val="0"/>
                <w:sz w:val="24"/>
                <w:szCs w:val="24"/>
                <w:highlight w:val="none"/>
                <w:u w:val="single"/>
                <w:lang w:val="en-US" w:eastAsia="zh-CN" w:bidi="ar-SA"/>
              </w:rPr>
              <w:t xml:space="preserve"> </w:t>
            </w:r>
          </w:p>
          <w:p w14:paraId="6B0D9ED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1.专业人员配置</w:t>
            </w:r>
          </w:p>
          <w:p w14:paraId="6283D92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1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①</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yellow"/>
                <w:u w:val="single"/>
                <w:lang w:val="en-US" w:eastAsia="zh-CN" w:bidi="ar-SA"/>
              </w:rPr>
              <w:t>护理人员不少于9名</w:t>
            </w:r>
            <w:r>
              <w:rPr>
                <w:rFonts w:hint="eastAsia" w:ascii="宋体" w:hAnsi="宋体" w:eastAsia="宋体" w:cs="宋体"/>
                <w:i/>
                <w:iCs/>
                <w:snapToGrid w:val="0"/>
                <w:color w:val="auto"/>
                <w:kern w:val="0"/>
                <w:sz w:val="24"/>
                <w:szCs w:val="24"/>
                <w:highlight w:val="none"/>
                <w:u w:val="single"/>
                <w:lang w:val="en-US" w:eastAsia="zh-CN" w:bidi="ar-SA"/>
              </w:rPr>
              <w:t>，具有中专及以上相关或相近学历，持有护理证书或培训证书。</w:t>
            </w:r>
          </w:p>
          <w:p w14:paraId="3D401D6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2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②</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医生不少于1名，具有卫生行政主管部门颁发的执业医师执照，2 年以上执业医生工作经验。</w:t>
            </w:r>
          </w:p>
          <w:p w14:paraId="6A73E59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3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③</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护士不少于1名。具有中专及以上相关或相近学历，护士资格证书。</w:t>
            </w:r>
          </w:p>
          <w:p w14:paraId="044487B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4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④</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财务管理人员</w:t>
            </w:r>
            <w:r>
              <w:rPr>
                <w:rFonts w:hint="eastAsia" w:ascii="宋体" w:hAnsi="宋体" w:eastAsia="宋体" w:cs="宋体"/>
                <w:b w:val="0"/>
                <w:bCs w:val="0"/>
                <w:i/>
                <w:iCs/>
                <w:snapToGrid w:val="0"/>
                <w:color w:val="auto"/>
                <w:kern w:val="0"/>
                <w:sz w:val="24"/>
                <w:szCs w:val="24"/>
                <w:highlight w:val="none"/>
                <w:u w:val="single"/>
                <w:lang w:val="en-US" w:eastAsia="zh-CN" w:bidi="ar-SA"/>
              </w:rPr>
              <w:t>1名</w:t>
            </w:r>
            <w:r>
              <w:rPr>
                <w:rFonts w:hint="eastAsia" w:ascii="宋体" w:hAnsi="宋体" w:eastAsia="宋体" w:cs="宋体"/>
                <w:i/>
                <w:iCs/>
                <w:snapToGrid w:val="0"/>
                <w:color w:val="auto"/>
                <w:kern w:val="0"/>
                <w:sz w:val="24"/>
                <w:szCs w:val="24"/>
                <w:highlight w:val="none"/>
                <w:u w:val="single"/>
                <w:lang w:val="en-US" w:eastAsia="zh-CN" w:bidi="ar-SA"/>
              </w:rPr>
              <w:t>，具有中专及以上学历或相关会计类证书或职称。</w:t>
            </w:r>
          </w:p>
          <w:p w14:paraId="379D827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highlight w:val="yellow"/>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5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⑤</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康复、心理咨询等专业技术人员，各1人，具有</w:t>
            </w:r>
            <w:r>
              <w:rPr>
                <w:rFonts w:hint="eastAsia" w:ascii="宋体" w:hAnsi="宋体" w:eastAsia="宋体" w:cs="宋体"/>
                <w:i/>
                <w:iCs/>
                <w:snapToGrid w:val="0"/>
                <w:color w:val="000000"/>
                <w:kern w:val="0"/>
                <w:sz w:val="24"/>
                <w:szCs w:val="24"/>
                <w:highlight w:val="none"/>
                <w:u w:val="single"/>
                <w:lang w:val="en-US" w:eastAsia="zh-CN" w:bidi="ar-SA"/>
              </w:rPr>
              <w:t>相关专业学历或专业职称证书。</w:t>
            </w:r>
          </w:p>
          <w:p w14:paraId="7748458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⑥厨师1人，具有健康证。</w:t>
            </w:r>
          </w:p>
          <w:p w14:paraId="64F54313">
            <w:pPr>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firstLine="482"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bCs/>
                <w:i/>
                <w:iCs/>
                <w:snapToGrid w:val="0"/>
                <w:color w:val="auto"/>
                <w:kern w:val="0"/>
                <w:sz w:val="24"/>
                <w:szCs w:val="24"/>
                <w:highlight w:val="none"/>
                <w:u w:val="single"/>
                <w:lang w:val="en-US" w:eastAsia="zh-CN" w:bidi="ar-SA"/>
              </w:rPr>
              <w:t>注：以上团队人员提供相关证书及证明材料，项目负责人必须提供由本单位缴纳的2025年5月以来任意一个月社保缴纳证明，其余人员提供有效的劳动合同，所有人员不得提供退休证明。</w:t>
            </w:r>
          </w:p>
        </w:tc>
      </w:tr>
      <w:tr w14:paraId="3751C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center"/>
          </w:tcPr>
          <w:p w14:paraId="5DC26714">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8609" w:type="dxa"/>
            <w:noWrap w:val="0"/>
            <w:vAlign w:val="top"/>
          </w:tcPr>
          <w:p w14:paraId="6503D4D8">
            <w:pPr>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i/>
                <w:iCs/>
                <w:snapToGrid w:val="0"/>
                <w:color w:val="000000"/>
                <w:kern w:val="0"/>
                <w:sz w:val="28"/>
                <w:szCs w:val="28"/>
                <w:u w:val="single"/>
                <w:lang w:val="en-US" w:eastAsia="zh-CN"/>
              </w:rPr>
            </w:pPr>
            <w:r>
              <w:rPr>
                <w:rFonts w:hint="eastAsia" w:ascii="宋体" w:hAnsi="宋体" w:cs="宋体"/>
                <w:b w:val="0"/>
                <w:bCs w:val="0"/>
                <w:i/>
                <w:iCs/>
                <w:snapToGrid w:val="0"/>
                <w:color w:val="000000"/>
                <w:kern w:val="0"/>
                <w:sz w:val="28"/>
                <w:szCs w:val="28"/>
                <w:u w:val="single"/>
                <w:lang w:val="en-US" w:eastAsia="zh-CN"/>
              </w:rPr>
              <w:t>六、</w:t>
            </w:r>
            <w:r>
              <w:rPr>
                <w:rFonts w:hint="eastAsia" w:ascii="宋体" w:hAnsi="宋体" w:eastAsia="宋体" w:cs="宋体"/>
                <w:b w:val="0"/>
                <w:bCs w:val="0"/>
                <w:i/>
                <w:iCs/>
                <w:snapToGrid w:val="0"/>
                <w:color w:val="000000"/>
                <w:kern w:val="0"/>
                <w:sz w:val="28"/>
                <w:szCs w:val="28"/>
                <w:u w:val="single"/>
                <w:lang w:val="en-US" w:eastAsia="zh-CN"/>
              </w:rPr>
              <w:t>场地、设施与环境要求</w:t>
            </w:r>
          </w:p>
          <w:p w14:paraId="31D1841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i/>
                <w:iCs/>
                <w:snapToGrid w:val="0"/>
                <w:color w:val="000000"/>
                <w:kern w:val="0"/>
                <w:sz w:val="24"/>
                <w:szCs w:val="24"/>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（1）场地要求</w:t>
            </w:r>
          </w:p>
          <w:p w14:paraId="2EC6B68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1. 在东海县区域内有固定服务场所，且为自有用房或协议承租不少于三年以上。</w:t>
            </w:r>
          </w:p>
          <w:p w14:paraId="459D9AA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2. 建筑面积、活动场地及配套设施应满足托养人数、托养服务内容要求。</w:t>
            </w:r>
          </w:p>
          <w:p w14:paraId="5F2C721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3. 机构宜设置在交通便利的城区或近郊区的地段，公共交通便利。　</w:t>
            </w:r>
          </w:p>
          <w:p w14:paraId="54CF524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4. 能提供残疾人寄宿制托养所必需的起居室、食堂、浴室、护理保健室、辅助性劳动工作间、文体活动室等功能用房。</w:t>
            </w:r>
          </w:p>
          <w:p w14:paraId="0D4BC00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5. 房屋建筑质量安全，消防设施符合《消防安全标志设置要求》并取得消防许可资质;公共标识设置应符合《标志用公共信息图形符号》的规定。环境安静、远离污染源及易燃易爆物生产和贮存区、高压线路及其设施;宜为低层建筑，如与其他建筑合并建设应设置于低层部分;有独立出入口。</w:t>
            </w:r>
          </w:p>
          <w:p w14:paraId="002FFB6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6. 托养机构的过道、洗手间、食堂等公共场所使用防滑、防跌地面材料，装有无障碍设施，建筑设计符合《无障碍设计规范》的规定要求。</w:t>
            </w:r>
          </w:p>
          <w:p w14:paraId="558073A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7. 环境整洁、卫生，保持空气流通，具备充足的采光条件。</w:t>
            </w:r>
          </w:p>
          <w:p w14:paraId="513FF42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8.食堂取得《餐饮服务许可证》、《卫生许可证》。</w:t>
            </w:r>
          </w:p>
          <w:p w14:paraId="4BD1270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i/>
                <w:iCs/>
                <w:snapToGrid w:val="0"/>
                <w:color w:val="000000"/>
                <w:kern w:val="0"/>
                <w:sz w:val="24"/>
                <w:szCs w:val="24"/>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（2）设备要求</w:t>
            </w:r>
          </w:p>
          <w:p w14:paraId="30D9C53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1. 服务场所装有空调或其他适用的取暖、降温设备，提供全天候热水供应。</w:t>
            </w:r>
          </w:p>
          <w:p w14:paraId="77A757F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2. 服务场所配置照明设备，公共区域设置应急照明灯。</w:t>
            </w:r>
          </w:p>
          <w:p w14:paraId="146A8DA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3. 服务场所配备养护起居、护理保健和文体活动等基本设施，设备完好。</w:t>
            </w:r>
          </w:p>
          <w:p w14:paraId="3393034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i/>
                <w:iCs/>
                <w:snapToGrid w:val="0"/>
                <w:color w:val="000000"/>
                <w:kern w:val="0"/>
                <w:sz w:val="24"/>
                <w:szCs w:val="24"/>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（3）设施与环境要求</w:t>
            </w:r>
          </w:p>
          <w:p w14:paraId="1BEC6F2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1.场地设置在交通便利、环境良好、有适当人流的区域，有固定的服务场所,房屋建筑质量和无障碍设施应符合相关要求。</w:t>
            </w:r>
          </w:p>
          <w:p w14:paraId="711D90E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2.室内环境应整洁、卫生，应有充足的采光条件，卫生间应有安全防护措施,通风良好、保持清洁无异味。</w:t>
            </w:r>
          </w:p>
          <w:p w14:paraId="7913C43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3.设置公共洗涤场所，配各洗涤用具并有热水供应。</w:t>
            </w:r>
          </w:p>
          <w:p w14:paraId="595F6A4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4.服务场所有取暖、降温设备,温度适宜。应配置适宜的照明、消防设备，公共区域设置应急照明灯，居室和卫生间配置紧急呼叫设备。</w:t>
            </w:r>
          </w:p>
          <w:p w14:paraId="5445662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5.服务场所应配置应急处理所需的急救药箱、轮椅等与障碍程度相适应的设备，宜提供康复器械、运动器材、图书报刊、电 视机、计算机和互联网等设备。</w:t>
            </w:r>
          </w:p>
          <w:p w14:paraId="30717FB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6.场所设置消防、公共信息等安全标志。</w:t>
            </w:r>
          </w:p>
          <w:p w14:paraId="1816D29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7.设置起居室、食堂、卫生保健室、康复训练室、辅助性就业室、文体活动室等，并配备养护起居、护理服务、文体活动等设施。可根据需要设置心理辅导室,并配各相应的设施。生活用房的使用面积，单人间不小于10平方米；双人间不小于 15 平方米；三人间不小于 20 平方米（上述面积标 准不包括卫生间）。室外活动场所的面积不小于人均 5 平方米。</w:t>
            </w:r>
          </w:p>
          <w:p w14:paraId="766A93F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b w:val="0"/>
                <w:bCs w:val="0"/>
                <w:i/>
                <w:iCs/>
                <w:snapToGrid w:val="0"/>
                <w:color w:val="000000"/>
                <w:kern w:val="0"/>
                <w:sz w:val="28"/>
                <w:szCs w:val="28"/>
                <w:u w:val="single"/>
                <w:lang w:val="en-US" w:eastAsia="zh-CN"/>
              </w:rPr>
            </w:pPr>
            <w:r>
              <w:rPr>
                <w:rFonts w:hint="eastAsia" w:ascii="宋体" w:hAnsi="宋体" w:eastAsia="宋体" w:cs="宋体"/>
                <w:i/>
                <w:iCs/>
                <w:snapToGrid w:val="0"/>
                <w:color w:val="000000"/>
                <w:kern w:val="0"/>
                <w:sz w:val="24"/>
                <w:szCs w:val="24"/>
                <w:highlight w:val="yellow"/>
                <w:u w:val="single"/>
                <w:lang w:val="en-US" w:eastAsia="zh-CN" w:bidi="ar-SA"/>
              </w:rPr>
              <w:t>注：以上内容须提供照片需添加水印定位（定位需和营业执照位置一致）</w:t>
            </w:r>
          </w:p>
        </w:tc>
      </w:tr>
      <w:tr w14:paraId="6199D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center"/>
          </w:tcPr>
          <w:p w14:paraId="404660DF">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8609" w:type="dxa"/>
            <w:noWrap w:val="0"/>
            <w:vAlign w:val="top"/>
          </w:tcPr>
          <w:p w14:paraId="7CD8597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b w:val="0"/>
                <w:bCs w:val="0"/>
                <w:snapToGrid w:val="0"/>
                <w:color w:val="000000"/>
                <w:kern w:val="0"/>
                <w:sz w:val="28"/>
                <w:szCs w:val="28"/>
                <w:highlight w:val="none"/>
                <w:lang w:val="en-US" w:eastAsia="zh-CN" w:bidi="ar-SA"/>
              </w:rPr>
            </w:pPr>
            <w:r>
              <w:rPr>
                <w:rFonts w:hint="eastAsia" w:ascii="宋体" w:hAnsi="宋体" w:eastAsia="宋体" w:cs="宋体"/>
                <w:b w:val="0"/>
                <w:bCs w:val="0"/>
                <w:i/>
                <w:iCs/>
                <w:snapToGrid w:val="0"/>
                <w:color w:val="000000"/>
                <w:kern w:val="0"/>
                <w:sz w:val="28"/>
                <w:szCs w:val="28"/>
                <w:highlight w:val="none"/>
                <w:u w:val="single"/>
                <w:lang w:val="en-US" w:eastAsia="zh-CN" w:bidi="ar-SA"/>
              </w:rPr>
              <w:t>七、服务期限</w:t>
            </w:r>
          </w:p>
          <w:p w14:paraId="4E90362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b w:val="0"/>
                <w:bCs w:val="0"/>
                <w:color w:val="000000"/>
                <w:sz w:val="24"/>
                <w:szCs w:val="24"/>
                <w:highlight w:val="none"/>
              </w:rPr>
            </w:pPr>
            <w:r>
              <w:rPr>
                <w:rFonts w:hint="eastAsia" w:ascii="宋体" w:hAnsi="宋体" w:eastAsia="宋体" w:cs="宋体"/>
                <w:b w:val="0"/>
                <w:bCs w:val="0"/>
                <w:i/>
                <w:iCs/>
                <w:snapToGrid w:val="0"/>
                <w:color w:val="000000"/>
                <w:kern w:val="0"/>
                <w:sz w:val="24"/>
                <w:szCs w:val="24"/>
                <w:highlight w:val="none"/>
                <w:u w:val="single"/>
                <w:lang w:val="en-US" w:eastAsia="zh-CN" w:bidi="ar-SA"/>
              </w:rPr>
              <w:t>服务时间：1 年（合同约定时间起算）。</w:t>
            </w:r>
          </w:p>
        </w:tc>
      </w:tr>
      <w:tr w14:paraId="2723E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center"/>
          </w:tcPr>
          <w:p w14:paraId="6EF645DD">
            <w:pPr>
              <w:pageBreakBefore w:val="0"/>
              <w:wordWrap/>
              <w:overflowPunct/>
              <w:topLinePunct w:val="0"/>
              <w:bidi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8609" w:type="dxa"/>
            <w:noWrap w:val="0"/>
            <w:vAlign w:val="top"/>
          </w:tcPr>
          <w:p w14:paraId="29DA3B99">
            <w:pPr>
              <w:keepNext w:val="0"/>
              <w:keepLines w:val="0"/>
              <w:pageBreakBefore w:val="0"/>
              <w:widowControl/>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b w:val="0"/>
                <w:bCs w:val="0"/>
                <w:i/>
                <w:iCs/>
                <w:snapToGrid w:val="0"/>
                <w:color w:val="000000"/>
                <w:kern w:val="0"/>
                <w:sz w:val="24"/>
                <w:szCs w:val="24"/>
                <w:highlight w:val="none"/>
                <w:u w:val="single"/>
                <w:lang w:val="en-US" w:eastAsia="en-US" w:bidi="ar-SA"/>
              </w:rPr>
            </w:pPr>
            <w:r>
              <w:rPr>
                <w:rFonts w:hint="eastAsia" w:ascii="宋体" w:hAnsi="宋体" w:eastAsia="宋体" w:cs="宋体"/>
                <w:b w:val="0"/>
                <w:bCs w:val="0"/>
                <w:i/>
                <w:iCs/>
                <w:snapToGrid w:val="0"/>
                <w:color w:val="000000"/>
                <w:kern w:val="0"/>
                <w:sz w:val="24"/>
                <w:szCs w:val="24"/>
                <w:highlight w:val="none"/>
                <w:u w:val="single"/>
                <w:lang w:val="en-US" w:eastAsia="en-US" w:bidi="ar-SA"/>
              </w:rPr>
              <w:t>1.付款方式：</w:t>
            </w:r>
          </w:p>
          <w:p w14:paraId="778AAAC7">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b w:val="0"/>
                <w:bCs w:val="0"/>
                <w:color w:val="000000"/>
                <w:sz w:val="24"/>
                <w:szCs w:val="24"/>
                <w:highlight w:val="none"/>
              </w:rPr>
            </w:pPr>
            <w:r>
              <w:rPr>
                <w:rFonts w:hint="eastAsia" w:ascii="宋体" w:hAnsi="宋体" w:eastAsia="宋体" w:cs="宋体"/>
                <w:b w:val="0"/>
                <w:bCs w:val="0"/>
                <w:i/>
                <w:iCs/>
                <w:snapToGrid w:val="0"/>
                <w:color w:val="000000"/>
                <w:kern w:val="0"/>
                <w:sz w:val="24"/>
                <w:szCs w:val="24"/>
                <w:highlight w:val="none"/>
                <w:u w:val="single"/>
                <w:lang w:val="en-US" w:eastAsia="zh-CN" w:bidi="ar-SA"/>
              </w:rPr>
              <w:t>合同签订后，托养经费分别由县残联在每服务季度按照托养机构服务人数、服务标准全额测算，每季度根据考核指标报财政据实拨付。考核结果低于85分的，暂缓拨付经费，整改完成后拨付。每次付款前投标人应向甲方开具正规发票，否则迟延付款的责任由投标人自行承担。</w:t>
            </w:r>
          </w:p>
        </w:tc>
      </w:tr>
      <w:tr w14:paraId="57067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center"/>
          </w:tcPr>
          <w:p w14:paraId="326F82F3">
            <w:pPr>
              <w:pageBreakBefore w:val="0"/>
              <w:wordWrap/>
              <w:overflowPunct/>
              <w:topLinePunct w:val="0"/>
              <w:bidi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8609" w:type="dxa"/>
            <w:noWrap w:val="0"/>
            <w:vAlign w:val="top"/>
          </w:tcPr>
          <w:p w14:paraId="08C21545">
            <w:pPr>
              <w:pageBreakBefore w:val="0"/>
              <w:wordWrap/>
              <w:overflowPunct/>
              <w:topLinePunct w:val="0"/>
              <w:bidi w:val="0"/>
              <w:spacing w:line="360" w:lineRule="auto"/>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i/>
                <w:iCs/>
                <w:snapToGrid w:val="0"/>
                <w:color w:val="000000"/>
                <w:kern w:val="0"/>
                <w:sz w:val="24"/>
                <w:szCs w:val="24"/>
                <w:highlight w:val="none"/>
                <w:u w:val="single"/>
                <w:lang w:val="en-US" w:eastAsia="en-US" w:bidi="ar-SA"/>
              </w:rPr>
              <w:t>2</w:t>
            </w:r>
            <w:r>
              <w:rPr>
                <w:rFonts w:hint="eastAsia" w:ascii="宋体" w:hAnsi="宋体" w:eastAsia="宋体" w:cs="宋体"/>
                <w:b w:val="0"/>
                <w:bCs w:val="0"/>
                <w:i/>
                <w:iCs/>
                <w:snapToGrid w:val="0"/>
                <w:color w:val="000000"/>
                <w:kern w:val="0"/>
                <w:sz w:val="24"/>
                <w:szCs w:val="24"/>
                <w:highlight w:val="none"/>
                <w:u w:val="single"/>
                <w:lang w:val="en-US" w:eastAsia="zh-CN" w:bidi="ar-SA"/>
              </w:rPr>
              <w:t>.重度残疾人3300 元/人/月、轻度残疾人1800元/人/月，投标分项报价表中单价报价超过以上最高限价的按无效响应处理</w:t>
            </w:r>
            <w:r>
              <w:rPr>
                <w:rFonts w:hint="eastAsia" w:ascii="宋体" w:hAnsi="宋体" w:eastAsia="宋体" w:cs="宋体"/>
                <w:b w:val="0"/>
                <w:bCs w:val="0"/>
                <w:i/>
                <w:iCs/>
                <w:snapToGrid w:val="0"/>
                <w:color w:val="000000"/>
                <w:kern w:val="0"/>
                <w:sz w:val="24"/>
                <w:szCs w:val="24"/>
                <w:highlight w:val="none"/>
                <w:u w:val="single"/>
                <w:lang w:val="en-US" w:eastAsia="en-US" w:bidi="ar-SA"/>
              </w:rPr>
              <w:t>。</w:t>
            </w:r>
          </w:p>
        </w:tc>
      </w:tr>
    </w:tbl>
    <w:p w14:paraId="02DB732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2" w:firstLineChars="200"/>
        <w:jc w:val="left"/>
        <w:textAlignment w:val="baseline"/>
        <w:rPr>
          <w:rFonts w:hint="eastAsia" w:ascii="宋体" w:hAnsi="宋体" w:eastAsia="宋体" w:cs="宋体"/>
          <w:b/>
          <w:bCs/>
          <w:snapToGrid w:val="0"/>
          <w:color w:val="000000"/>
          <w:kern w:val="0"/>
          <w:sz w:val="28"/>
          <w:szCs w:val="28"/>
          <w:lang w:val="en-US" w:eastAsia="zh-CN" w:bidi="ar-SA"/>
        </w:rPr>
      </w:pPr>
      <w:r>
        <w:rPr>
          <w:rFonts w:hint="eastAsia" w:ascii="宋体" w:hAnsi="宋体" w:eastAsia="宋体" w:cs="宋体"/>
          <w:b/>
          <w:bCs/>
          <w:snapToGrid w:val="0"/>
          <w:color w:val="000000"/>
          <w:kern w:val="0"/>
          <w:sz w:val="28"/>
          <w:szCs w:val="28"/>
          <w:lang w:val="en-US" w:eastAsia="zh-CN" w:bidi="ar-SA"/>
        </w:rPr>
        <w:t>一、项目概况</w:t>
      </w:r>
    </w:p>
    <w:p w14:paraId="23C9B2A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auto"/>
          <w:kern w:val="0"/>
          <w:sz w:val="24"/>
          <w:szCs w:val="24"/>
          <w:highlight w:val="none"/>
          <w:lang w:val="en-US" w:eastAsia="zh-CN" w:bidi="ar-SA"/>
        </w:rPr>
        <w:t>以习近平新时代中国特色社会主义思想为指导，全面贯彻落实党的二十大精神，坚持以增进残疾人民生福祉为导向，进一步健全残疾人托养服务体系，提高托养服务质量，增强托养服务的均衡性和可及性，不断增强残疾人的获得感、幸福感、安全感。根据《连云港市残疾人托养服务实施方案》(连残发〔2021〕24号)、《连云港市残疾人托养服务规范（试行）》（连残发〔2022〕65号）文件精神，经研究决定，2025年在全县开展残疾人寄宿制托养服务项目，</w:t>
      </w:r>
      <w:r>
        <w:rPr>
          <w:rFonts w:hint="eastAsia" w:ascii="宋体" w:hAnsi="宋体" w:eastAsia="宋体" w:cs="宋体"/>
          <w:snapToGrid w:val="0"/>
          <w:color w:val="000000"/>
          <w:kern w:val="0"/>
          <w:sz w:val="24"/>
          <w:szCs w:val="24"/>
          <w:lang w:val="en-US" w:eastAsia="zh-CN" w:bidi="ar-SA"/>
        </w:rPr>
        <w:t>服务符合条件的16-59周岁智力、重度肢体残疾人，采用24小时集中居住和照料模式，主要提供生活照料及护理、生活自理和社会适应能力训练等服务，更好的为残疾人提供针对性的寄宿制托养服务。</w:t>
      </w:r>
    </w:p>
    <w:p w14:paraId="5849596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2" w:firstLineChars="200"/>
        <w:jc w:val="left"/>
        <w:textAlignment w:val="baseline"/>
        <w:rPr>
          <w:rFonts w:hint="eastAsia" w:ascii="宋体" w:hAnsi="宋体" w:eastAsia="宋体" w:cs="宋体"/>
          <w:b/>
          <w:bCs/>
          <w:snapToGrid w:val="0"/>
          <w:color w:val="000000"/>
          <w:kern w:val="0"/>
          <w:sz w:val="28"/>
          <w:szCs w:val="28"/>
          <w:lang w:val="en-US" w:eastAsia="zh-CN" w:bidi="ar-SA"/>
        </w:rPr>
      </w:pPr>
      <w:r>
        <w:rPr>
          <w:rFonts w:hint="eastAsia" w:ascii="宋体" w:hAnsi="宋体" w:eastAsia="宋体" w:cs="宋体"/>
          <w:b/>
          <w:bCs/>
          <w:snapToGrid w:val="0"/>
          <w:color w:val="000000"/>
          <w:kern w:val="0"/>
          <w:sz w:val="28"/>
          <w:szCs w:val="28"/>
          <w:lang w:val="en-US" w:eastAsia="zh-CN" w:bidi="ar-SA"/>
        </w:rPr>
        <w:t>二、服务范围</w:t>
      </w:r>
    </w:p>
    <w:p w14:paraId="79E423CA">
      <w:pPr>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宋体" w:hAnsi="宋体" w:eastAsia="宋体" w:cs="宋体"/>
          <w:snapToGrid w:val="0"/>
          <w:color w:val="auto"/>
          <w:kern w:val="0"/>
          <w:sz w:val="24"/>
          <w:szCs w:val="21"/>
          <w:highlight w:val="none"/>
          <w:lang w:eastAsia="en-US"/>
        </w:rPr>
      </w:pPr>
      <w:r>
        <w:rPr>
          <w:rFonts w:hint="eastAsia" w:ascii="宋体" w:hAnsi="宋体" w:eastAsia="宋体" w:cs="宋体"/>
          <w:snapToGrid w:val="0"/>
          <w:color w:val="auto"/>
          <w:kern w:val="0"/>
          <w:sz w:val="24"/>
          <w:szCs w:val="21"/>
          <w:highlight w:val="none"/>
          <w:lang w:eastAsia="en-US"/>
        </w:rPr>
        <w:t>具有</w:t>
      </w:r>
      <w:r>
        <w:rPr>
          <w:rFonts w:hint="eastAsia" w:ascii="宋体" w:hAnsi="宋体" w:eastAsia="宋体" w:cs="宋体"/>
          <w:snapToGrid w:val="0"/>
          <w:color w:val="auto"/>
          <w:kern w:val="0"/>
          <w:sz w:val="24"/>
          <w:szCs w:val="21"/>
          <w:highlight w:val="none"/>
          <w:lang w:val="en-US" w:eastAsia="zh-CN"/>
        </w:rPr>
        <w:t>东海县</w:t>
      </w:r>
      <w:r>
        <w:rPr>
          <w:rFonts w:hint="eastAsia" w:ascii="宋体" w:hAnsi="宋体" w:eastAsia="宋体" w:cs="宋体"/>
          <w:snapToGrid w:val="0"/>
          <w:color w:val="auto"/>
          <w:kern w:val="0"/>
          <w:sz w:val="24"/>
          <w:szCs w:val="21"/>
          <w:highlight w:val="none"/>
          <w:lang w:eastAsia="en-US"/>
        </w:rPr>
        <w:t>户籍，持有《中华人民共和国残疾人证》（第二代），</w:t>
      </w:r>
      <w:r>
        <w:rPr>
          <w:rFonts w:hint="eastAsia" w:ascii="宋体" w:hAnsi="宋体" w:eastAsia="宋体" w:cs="宋体"/>
          <w:snapToGrid w:val="0"/>
          <w:color w:val="auto"/>
          <w:kern w:val="0"/>
          <w:sz w:val="24"/>
          <w:szCs w:val="21"/>
          <w:highlight w:val="none"/>
          <w:lang w:eastAsia="zh-CN"/>
        </w:rPr>
        <w:t>年龄在16-59周岁的低保家庭、低收入家庭、“一户多残”家庭、享受“两项补贴”家庭中无固定收入重残生活补贴的智力、重度肢体残疾人</w:t>
      </w:r>
      <w:r>
        <w:rPr>
          <w:rFonts w:hint="eastAsia" w:ascii="宋体" w:hAnsi="宋体" w:eastAsia="宋体" w:cs="宋体"/>
          <w:snapToGrid w:val="0"/>
          <w:color w:val="auto"/>
          <w:kern w:val="0"/>
          <w:sz w:val="24"/>
          <w:szCs w:val="21"/>
          <w:highlight w:val="none"/>
          <w:lang w:eastAsia="en-US"/>
        </w:rPr>
        <w:t>。</w:t>
      </w:r>
    </w:p>
    <w:p w14:paraId="78E5A81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2" w:firstLineChars="200"/>
        <w:jc w:val="left"/>
        <w:textAlignment w:val="baseline"/>
        <w:rPr>
          <w:rFonts w:hint="eastAsia" w:ascii="宋体" w:hAnsi="宋体" w:eastAsia="宋体" w:cs="宋体"/>
          <w:b/>
          <w:bCs/>
          <w:snapToGrid w:val="0"/>
          <w:color w:val="000000"/>
          <w:kern w:val="0"/>
          <w:sz w:val="28"/>
          <w:szCs w:val="28"/>
          <w:lang w:val="en-US" w:eastAsia="zh-CN" w:bidi="ar-SA"/>
        </w:rPr>
      </w:pPr>
      <w:r>
        <w:rPr>
          <w:rFonts w:hint="eastAsia" w:ascii="宋体" w:hAnsi="宋体" w:eastAsia="宋体" w:cs="宋体"/>
          <w:b/>
          <w:bCs/>
          <w:snapToGrid w:val="0"/>
          <w:color w:val="000000"/>
          <w:kern w:val="0"/>
          <w:sz w:val="28"/>
          <w:szCs w:val="28"/>
          <w:lang w:val="en-US" w:eastAsia="zh-CN" w:bidi="ar-SA"/>
        </w:rPr>
        <w:t>三、服务内容</w:t>
      </w:r>
    </w:p>
    <w:p w14:paraId="640385C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依照《连云港市残疾人托养服务规范》等相关标准开展工作，其中包含智力残疾人托养服务和肢体残疾人托养服务；</w:t>
      </w:r>
    </w:p>
    <w:p w14:paraId="47D2871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（一）寄宿制托养服务内容</w:t>
      </w:r>
    </w:p>
    <w:p w14:paraId="68DCDFF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服务包含但不限于如下服务项目：照护服务、膳食服务、康复服务、医疗服务、教育服务、心理服务、技能培训服务、辅助性就业、卫生环境服务、文体娱乐服务、其他服务等。</w:t>
      </w:r>
    </w:p>
    <w:p w14:paraId="7853B25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1.照护服务</w:t>
      </w:r>
    </w:p>
    <w:p w14:paraId="1EB3BE7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（1）保持服务对象衣服、被物的卫生、整洁、得体，定期 换洗贴身内衣，夏季每天换洗，其它季节一周不少于 3 次；外衣 裤，每月至少换洗 2 次；当内、外衣物有明显污渍时，则及时换 洗。</w:t>
      </w:r>
    </w:p>
    <w:p w14:paraId="4B13C06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（2）支持、帮助功能障碍服务对象做好起床、就寝、穿衣、 脱衣、就餐等事项。</w:t>
      </w:r>
    </w:p>
    <w:p w14:paraId="1721995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（3）协助服务对象洗浴或擦身，夏季每天不少于 1 次，其 它季节每周不少于 1 次。</w:t>
      </w:r>
    </w:p>
    <w:p w14:paraId="4B4FAA2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（4）助浴时，根据季节气候状况和服务对象身体条件，做好防寒保暖、防暑降温及通风。</w:t>
      </w:r>
    </w:p>
    <w:p w14:paraId="4AD0A4D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（5）支持、协助服务对象管理日常生活。日常梳洗，包括 头、脸、口腔、手、脚、下身部位的清洁、理发、修剪指（趾）甲、剃须；保持身体干净、无异味。</w:t>
      </w:r>
    </w:p>
    <w:p w14:paraId="292A3DD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（6）协助行动不便的服务对象如厕及便后清洁。</w:t>
      </w:r>
    </w:p>
    <w:p w14:paraId="62A4EB5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（7）在正常天气条件下， 保证服务对象每天有不少于 2 小时的户外文体、休闲活动。为行动不便和生活不能完全自理的服 务对象提供户外活动的协助。</w:t>
      </w:r>
    </w:p>
    <w:p w14:paraId="654B180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（8）每天整理床铺，原则上每周晾晒被褥一次。</w:t>
      </w:r>
    </w:p>
    <w:p w14:paraId="2E3AAB5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（9）护理精神残疾服务对象时， 应注意保护和监护。遇情绪不稳定，应由专业医务人员或在其指导下适时采取安全保护和监护措施；遇精神病复发，应立即送医院就诊。</w:t>
      </w:r>
    </w:p>
    <w:p w14:paraId="7C7EB40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（10）护理智力残疾服务对象时，应注意保护和观察，避免因语言表达障碍或认知障碍造成意外伤害。</w:t>
      </w:r>
    </w:p>
    <w:p w14:paraId="3C5DADB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（11）护理患有特殊疾病的服务对象时，应注意观察。为特 殊护理的服务对象提供 24 小时护理服务。</w:t>
      </w:r>
    </w:p>
    <w:p w14:paraId="7000F47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2.膳食服务</w:t>
      </w:r>
    </w:p>
    <w:p w14:paraId="435DAC2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（1）残疾人托养服务机构食堂应取得政府主管部门颁发的相关证明。</w:t>
      </w:r>
    </w:p>
    <w:p w14:paraId="7335203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（2）餐饮制作和提供，应符合相关食品卫生法规的要求。 食品应每天留样，至少保留 24 小时。</w:t>
      </w:r>
    </w:p>
    <w:p w14:paraId="3D4BF7E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（3）按时提供一日三餐，全天供应冷热饮用水， 餐饮卫生应符合 GB/T 27306 相关规定。</w:t>
      </w:r>
    </w:p>
    <w:p w14:paraId="3ADAA22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（4）根据服务对象特点，每周制订、翻新食谱， 保证餐饮的安全、营养和健康。为特殊服务对象及时提供特殊饮食。 </w:t>
      </w:r>
    </w:p>
    <w:p w14:paraId="4A388BD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3.康复服务</w:t>
      </w:r>
    </w:p>
    <w:p w14:paraId="1F64C4F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（1）建立适宜服务对象特点的康复计划，按计划开展康复训练。</w:t>
      </w:r>
    </w:p>
    <w:p w14:paraId="589AD4E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（2）建立日常康复训练档案，做好服务对象1人1档。</w:t>
      </w:r>
    </w:p>
    <w:p w14:paraId="5676529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（3）由专业机构定期进行康复训练效果评估，评估结果应及时告知服务对象及其监护人。</w:t>
      </w:r>
    </w:p>
    <w:p w14:paraId="1BF5EEA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（4）根据服务对象康复训练情况和康复评估效果及时调整康复训练计划。</w:t>
      </w:r>
    </w:p>
    <w:p w14:paraId="76B0922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4.医疗服务</w:t>
      </w:r>
    </w:p>
    <w:p w14:paraId="675E2B0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（1）建立医务室。</w:t>
      </w:r>
    </w:p>
    <w:p w14:paraId="35315EB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（2）聘用执业医师，为服务对象提供医疗、康复训练、卫生保健服务。</w:t>
      </w:r>
    </w:p>
    <w:p w14:paraId="7BA51B6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（3）医务人员每天 1 次查房问询，医务、护理人员每周至少 1 次联合查房巡诊。</w:t>
      </w:r>
    </w:p>
    <w:p w14:paraId="5F58D0E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（4）为服务对象每年进行 1 次常规体检。</w:t>
      </w:r>
    </w:p>
    <w:p w14:paraId="575F384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（5）定期组织服务对象参加健康教育，自我保健、自我护理知识的学习和训练。</w:t>
      </w:r>
    </w:p>
    <w:p w14:paraId="3DFD2B9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（6）代发代管药品，应有服务对象监护人的委托书；药品使用应按医嘱执行。</w:t>
      </w:r>
    </w:p>
    <w:p w14:paraId="504DA5B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（7）接受医疗药品时，应查阅、核对就诊病历卡、处方单等。</w:t>
      </w:r>
    </w:p>
    <w:p w14:paraId="2E66FFC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（8）医疗药品应由专人、专柜保管，避免丢失、损坏和过期失效。</w:t>
      </w:r>
    </w:p>
    <w:p w14:paraId="26818CA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（9）应督促或协助服务对象按医嘱服药。对精神类药物的服用，应实施严格监督。</w:t>
      </w:r>
    </w:p>
    <w:p w14:paraId="0D3E24E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（10）代发代管药品的服务工作由医务室指派专门医务人员 负责实施。</w:t>
      </w:r>
    </w:p>
    <w:p w14:paraId="49B773F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5.教育服务</w:t>
      </w:r>
    </w:p>
    <w:p w14:paraId="73B000A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（1）为服务对象提供适宜的运动训练、作业训练等教育训 练的必备场所和设施。</w:t>
      </w:r>
    </w:p>
    <w:p w14:paraId="0CED2AD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（2）教育培训工作应在特教老师、康复治疗师等专业技术 老师的指导下进行，可以开设语文、数学、音乐、体育、心理等 方面课程。应制定教育培训计划，定期评估教育培训效果，建立 日常教育培训档案。</w:t>
      </w:r>
    </w:p>
    <w:p w14:paraId="7C1333C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（3）为适宜的服务对象提供认知、感知培训，手、眼、脑 协调能力培训，开展生活常识教育。</w:t>
      </w:r>
    </w:p>
    <w:p w14:paraId="3FFDCD1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（4）开展文化体育、休闲娱乐活动，定期组织社会各界人 士与服务对象进行互动活动，开展融入社会的实践演练。</w:t>
      </w:r>
    </w:p>
    <w:p w14:paraId="67F5530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（5）组织服务对象参观、考察社会政治、精神、物质文明 成果。</w:t>
      </w:r>
    </w:p>
    <w:p w14:paraId="6C90B92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6.心理服务</w:t>
      </w:r>
    </w:p>
    <w:p w14:paraId="1185113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（1）服务工作人员平均每天不少于 20 分钟与服务对象进行 交流对话，及时沟通信息。</w:t>
      </w:r>
    </w:p>
    <w:p w14:paraId="35C436B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（2）开辟同类别残疾人活动室，为服务对象提供交流场所， 满足服务对象的情感交流和人际交往需求。</w:t>
      </w:r>
    </w:p>
    <w:p w14:paraId="714FE6D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（3）工作人员应为服务对象提供心理疏导和心理健康的关 爱服务。</w:t>
      </w:r>
    </w:p>
    <w:p w14:paraId="222A2C4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（4）对有心理障碍的服务对象，及时与家庭或监护人沟通， 通过专业心理咨询师共同做好服务对象的心理疏导工作。</w:t>
      </w:r>
    </w:p>
    <w:p w14:paraId="7647A3A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（5）定期安排服务对象家属或监护人、志愿者等与服务对 象进行沟通交流。</w:t>
      </w:r>
    </w:p>
    <w:p w14:paraId="5A7A67B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（6）鼓励服务机构开展适宜的集体活动。</w:t>
      </w:r>
    </w:p>
    <w:p w14:paraId="1FF3546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（7）定期邀请心理咨询师、社会工作师介入工作。 </w:t>
      </w:r>
    </w:p>
    <w:p w14:paraId="0D4993B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7.技能培训服务</w:t>
      </w:r>
    </w:p>
    <w:p w14:paraId="1FD904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（1）制定适宜的技能培训与训练计划、培训课程。</w:t>
      </w:r>
    </w:p>
    <w:p w14:paraId="7F6DA85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（2）组织简单的生活自理、生活劳动和社会生产活动训练， 开发服务对象能力，调整或完善培训计划。</w:t>
      </w:r>
    </w:p>
    <w:p w14:paraId="63C8F7D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（3）通过适宜的方式定期评估培训效果，及时记录、考评 服务对象。</w:t>
      </w:r>
    </w:p>
    <w:p w14:paraId="5B94FAB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（4）通过专业机构评估服务对象的身体功能和职业能力， 适时对服务对象的职业适应能力进行技术指导。</w:t>
      </w:r>
    </w:p>
    <w:p w14:paraId="781C584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（5）引进社会力量为服务对象提供职业技能培养、职业介绍、职业能力开发等专业服务。</w:t>
      </w:r>
    </w:p>
    <w:p w14:paraId="30A613D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8.辅助性就业</w:t>
      </w:r>
    </w:p>
    <w:p w14:paraId="0F52882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为有劳动能力的服务对象提供相应的劳动就业条件，对服务对象进行劳动能力评估，与服务对象或家属、监护人签订劳动协 议，保障服务对象合法权益。设立劳动生产项目，组织托养服务 对象自愿开展生产劳动，获得劳动收入。</w:t>
      </w:r>
    </w:p>
    <w:p w14:paraId="039DE02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9.卫生环境服务</w:t>
      </w:r>
    </w:p>
    <w:p w14:paraId="73F6C08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（1）室内应保持干净、空气新鲜、无异味，居室清扫每天至少 1 次。</w:t>
      </w:r>
    </w:p>
    <w:p w14:paraId="23A1157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（2）每月 2 次换洗床单、枕套、枕巾、被套等，保持床上用品清洁、平整、干燥； 必要时，随时换洗。</w:t>
      </w:r>
    </w:p>
    <w:p w14:paraId="45DE27D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（3）清洗毛巾、洗脸盆，保持干净。</w:t>
      </w:r>
    </w:p>
    <w:p w14:paraId="50D501C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（4）及时倾倒便器，配置消毒器械，卫生间每周至少消毒1 次。</w:t>
      </w:r>
    </w:p>
    <w:p w14:paraId="76DE52D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（5）保持居室内的生活护理用具清洁、摆放有序。</w:t>
      </w:r>
    </w:p>
    <w:p w14:paraId="709B1AE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（6）床位更换时，应进行常规消毒处理；遇服务对象患传染病或死亡的，应对床位和居室进行相关特殊消毒。</w:t>
      </w:r>
    </w:p>
    <w:p w14:paraId="27E284B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（7）对居室和公共区域至少每周进行 1 次消毒灭菌。</w:t>
      </w:r>
    </w:p>
    <w:p w14:paraId="339C695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（8）应采取措施，杀灭老鼠、蟑螂、蚊蝇等，防止虫害对服务对象健康和安全造成危害。</w:t>
      </w:r>
    </w:p>
    <w:p w14:paraId="231A37E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（9）下水道畅通，公共区域内雨后无积水。</w:t>
      </w:r>
    </w:p>
    <w:p w14:paraId="05A3936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（10）楼内走道设置垃圾箱，设置垃圾中转站，并及时运出处理。确保机构区域内空气新鲜，无异味。</w:t>
      </w:r>
    </w:p>
    <w:p w14:paraId="242F56A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10.文体娱乐服务</w:t>
      </w:r>
    </w:p>
    <w:p w14:paraId="62E7622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（1）定期开展各类讲座、播放影视资料和收看电视等。</w:t>
      </w:r>
    </w:p>
    <w:p w14:paraId="510819E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（2）组织服务对象开展娱乐活动、图书阅览。</w:t>
      </w:r>
    </w:p>
    <w:p w14:paraId="3329338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（3）组织服务对象开展体育活动，定期组织户外活动。</w:t>
      </w:r>
    </w:p>
    <w:p w14:paraId="3356791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（4）制定适宜服务对象的文体娱乐计划方案，确保服务对象安全。</w:t>
      </w:r>
    </w:p>
    <w:p w14:paraId="67312B3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11.其他服务</w:t>
      </w:r>
    </w:p>
    <w:p w14:paraId="36E9D73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（1）提供日常生活物品（贵重物品除外）代保管服务，方便存取。</w:t>
      </w:r>
    </w:p>
    <w:p w14:paraId="4E05E37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（2）为智力残疾和生活不能完全自理的服务对象代保管物品。</w:t>
      </w:r>
    </w:p>
    <w:p w14:paraId="076A222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（3）提供日常生活用品的代购服务和信件邮寄、报刊订阅服务。</w:t>
      </w:r>
    </w:p>
    <w:p w14:paraId="295E52F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（4）为其他类型残疾服务对象提供交流、表达能力培训服务等。</w:t>
      </w:r>
    </w:p>
    <w:p w14:paraId="794A933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jc w:val="left"/>
        <w:textAlignment w:val="baseline"/>
        <w:rPr>
          <w:rFonts w:hint="eastAsia" w:ascii="宋体" w:hAnsi="宋体" w:eastAsia="宋体" w:cs="宋体"/>
          <w:b/>
          <w:bCs/>
          <w:snapToGrid w:val="0"/>
          <w:color w:val="000000"/>
          <w:kern w:val="0"/>
          <w:sz w:val="28"/>
          <w:szCs w:val="28"/>
          <w:lang w:val="en-US" w:eastAsia="zh-CN" w:bidi="ar-SA"/>
        </w:rPr>
      </w:pPr>
      <w:r>
        <w:rPr>
          <w:rFonts w:hint="eastAsia" w:ascii="宋体" w:hAnsi="宋体" w:eastAsia="宋体" w:cs="宋体"/>
          <w:b/>
          <w:bCs/>
          <w:snapToGrid w:val="0"/>
          <w:color w:val="000000"/>
          <w:kern w:val="0"/>
          <w:sz w:val="28"/>
          <w:szCs w:val="28"/>
          <w:lang w:val="en-US" w:eastAsia="zh-CN" w:bidi="ar-SA"/>
        </w:rPr>
        <w:t>四、服务标准及要求</w:t>
      </w:r>
    </w:p>
    <w:p w14:paraId="66EA60A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1.服务标准</w:t>
      </w:r>
    </w:p>
    <w:p w14:paraId="5AE3A1D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Cs/>
          <w:snapToGrid w:val="0"/>
          <w:color w:val="000000"/>
          <w:kern w:val="0"/>
          <w:sz w:val="24"/>
          <w:szCs w:val="24"/>
          <w:lang w:val="en-US" w:eastAsia="zh-CN" w:bidi="ar-SA"/>
        </w:rPr>
        <w:t>乙方服务内容按照中残联《就业年龄段智力、精神及重度肢体残疾人托养服务规范》（GB/T37516—2019）、《连云港市残疾人托养服务实施方案》</w:t>
      </w:r>
      <w:r>
        <w:rPr>
          <w:rFonts w:hint="eastAsia" w:ascii="宋体" w:hAnsi="宋体" w:eastAsia="宋体" w:cs="宋体"/>
          <w:snapToGrid w:val="0"/>
          <w:color w:val="auto"/>
          <w:kern w:val="0"/>
          <w:sz w:val="24"/>
          <w:szCs w:val="24"/>
          <w:highlight w:val="none"/>
          <w:lang w:val="en-US" w:eastAsia="zh-CN" w:bidi="ar-SA"/>
        </w:rPr>
        <w:t>(连残发〔2021〕24号)及《连云港市残疾人托养服务规范（试行）》（连残发〔2022〕65号）</w:t>
      </w:r>
      <w:r>
        <w:rPr>
          <w:rFonts w:hint="eastAsia" w:ascii="宋体" w:hAnsi="宋体" w:eastAsia="宋体" w:cs="宋体"/>
          <w:bCs/>
          <w:snapToGrid w:val="0"/>
          <w:color w:val="000000"/>
          <w:kern w:val="0"/>
          <w:sz w:val="24"/>
          <w:szCs w:val="24"/>
          <w:lang w:val="en-US" w:eastAsia="zh-CN" w:bidi="ar-SA"/>
        </w:rPr>
        <w:t>要求，</w:t>
      </w:r>
      <w:r>
        <w:rPr>
          <w:rFonts w:hint="eastAsia" w:ascii="宋体" w:hAnsi="宋体" w:eastAsia="宋体" w:cs="宋体"/>
          <w:snapToGrid w:val="0"/>
          <w:color w:val="000000"/>
          <w:kern w:val="0"/>
          <w:sz w:val="24"/>
          <w:szCs w:val="24"/>
          <w:lang w:val="en-US" w:eastAsia="zh-CN" w:bidi="ar-SA"/>
        </w:rPr>
        <w:t>服务符合条件的16-59周岁智力、重度肢体残疾人，采用24小时集中居住和照料模式，主要提供生活照料及护理、生活自理和社会适应能力训练等服务。　</w:t>
      </w:r>
    </w:p>
    <w:p w14:paraId="5A09DAC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（1）生活照料：</w:t>
      </w:r>
      <w:r>
        <w:rPr>
          <w:rFonts w:hint="eastAsia" w:ascii="宋体" w:hAnsi="宋体" w:eastAsia="宋体" w:cs="宋体"/>
          <w:snapToGrid w:val="0"/>
          <w:color w:val="000000"/>
          <w:kern w:val="0"/>
          <w:sz w:val="24"/>
          <w:szCs w:val="24"/>
          <w:lang w:val="en-US" w:eastAsia="zh-CN" w:bidi="ar-SA"/>
        </w:rPr>
        <w:t>提供行为看护、活动协助、助餐助药等日常生活照料服务；服务人员应注意观察服务对象行为和健康状况，及时提供必要的提醒、协助和保护。发现异常，及时处理并联系监护人；机构应提供安全饮用水、如厕和洁手便利。如提供用餐服务需定时供餐；机构提供代发代管药品的应由专人保管、专柜存放，按医嘱使用；机构为精神残疾服务对象提供服药指导、督促服药，提供休息便利和适当照看；协助有需要的服务对象进行户外活动。在天气情况允许的条件下，每天保证服务对象到户外活动1小时。</w:t>
      </w:r>
    </w:p>
    <w:p w14:paraId="1B0EE25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（2）生活自理能力训练：</w:t>
      </w:r>
      <w:r>
        <w:rPr>
          <w:rFonts w:hint="eastAsia" w:ascii="宋体" w:hAnsi="宋体" w:eastAsia="宋体" w:cs="宋体"/>
          <w:snapToGrid w:val="0"/>
          <w:color w:val="000000"/>
          <w:kern w:val="0"/>
          <w:sz w:val="24"/>
          <w:szCs w:val="24"/>
          <w:lang w:val="en-US" w:eastAsia="zh-CN" w:bidi="ar-SA"/>
        </w:rPr>
        <w:t>根据服务对象的需求和特点，制定适宜的培养与训练计划，并张贴在显著位置；指导服务对象进行基本生活自理活动训练，使其能够自行洗漱、如厕、穿衣、吃饭等；在模拟家庭环境和劳动环境中指导服务对象学习简单家务和劳动，使其能够在协助和指导下完成煮饭、拣择蔬菜、整理床铺、洗衣服、打扫卫生等活动；应与服务对象的家属或监护人及时其沟通训练的内容和情况，以便服务对象回家时可以在真实家庭生活场景中对其生活自理能力进行重复巩固训练；可根据服务对象个体情况，设计适宜的训练课程，例如制作面食、烘焙饼干、缝制衣物等，发掘其生活自理能力方面可能存在的其他潜力；训练考评结果应记录存档，并依此调整或完善训练计划。</w:t>
      </w:r>
    </w:p>
    <w:p w14:paraId="28A17F0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 社会适应能力辅导：</w:t>
      </w:r>
      <w:r>
        <w:rPr>
          <w:rFonts w:hint="eastAsia" w:ascii="宋体" w:hAnsi="宋体" w:eastAsia="宋体" w:cs="宋体"/>
          <w:snapToGrid w:val="0"/>
          <w:color w:val="000000"/>
          <w:kern w:val="0"/>
          <w:sz w:val="24"/>
          <w:szCs w:val="24"/>
          <w:lang w:val="en-US" w:eastAsia="zh-CN" w:bidi="ar-SA"/>
        </w:rPr>
        <w:t>以适当方式为服务对象普及简单的礼仪知识、法律知识等基本社会行为准则和常识；每天与服务对象的交流时间应不少于15分钟，为服务对象提供日常心理疏导和心理健康关爱服务；对心理和行为出现异常的服务对象进行关注，有必要时召集专业人员进行座谈分析，为其制定行为矫正方案。对于心理和行为出现极端异常、严重影响其他服务对象正常生活甚至人身安全的服务对象，应立即转介至专业医疗机构就诊；为有需要的服务对象提供教育培训、图书阅览、上网和收看收听电视广播等服务，使其对社会和舆情具备一定的知晓度；在机构内开展适宜的文化、体育、娱乐活动，可以根据实际情况组织比赛、展示或表演，使其具备基本的人际交往兴趣和能力；指导服务对象在模拟超市、银行、医院、邮局、公共交通等简单社会场景中进行社会适应性训练，提高其参与社会生活的能力；定期安排服务对象家属或监护人、志愿者到机构内进行活动，鼓励服务对象接待访客或外出参加社区或社会公益活动，逐步拓展其在直接参与社会生活方面的能力；根据服务对象的社会适应能力的恢复和提升情况，适时调整社会适应辅导计划。</w:t>
      </w:r>
    </w:p>
    <w:p w14:paraId="29B6CC1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（4）职业康复与劳动技能训练</w:t>
      </w:r>
      <w:r>
        <w:rPr>
          <w:rFonts w:hint="eastAsia" w:ascii="宋体" w:hAnsi="宋体" w:eastAsia="宋体" w:cs="宋体"/>
          <w:snapToGrid w:val="0"/>
          <w:color w:val="000000"/>
          <w:kern w:val="0"/>
          <w:sz w:val="24"/>
          <w:szCs w:val="24"/>
          <w:lang w:val="en-US" w:eastAsia="zh-CN" w:bidi="ar-SA"/>
        </w:rPr>
        <w:t>：组织有需要的服务对象开展与其行为能力相适应的简单基本生产劳动，例如制作绢花、组配零件等。通过劳动帮助其活动肢体、锻炼大脑、集中注意力、协调手眼；服务对象参与生产劳动之前，应根据个体实际情况对其进行必要的培训；为有需要的服务对象提供职业指导、职业心理咨询、职业适应评定、职业康复训练、职业介绍等服务；根据实际情况开设专业的劳动技能培训课程，开发服务对象的职业能力；有条件的日间照料机构可与爱心企业等社会力量合作，使部分服务对象实现辅助性就业，获得一定的劳动收入。为条件适宜的服务对象提供支持性就业，进而实现社会性就业；合理处理劳动生产成果和可能获得的收入。处理方式和处理结果应记录并存档；有条件的日间照料机构宜定期组织技能展示、竞赛等相关活动；定期开展身体功能评估和劳动能力评估，适时对服务对象的职业适应性进行测评和评价，及时调整职业康复与劳动技能训练计划。</w:t>
      </w:r>
    </w:p>
    <w:p w14:paraId="188BF5D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（5）运动功能训练</w:t>
      </w:r>
      <w:r>
        <w:rPr>
          <w:rFonts w:hint="eastAsia" w:ascii="宋体" w:hAnsi="宋体" w:eastAsia="宋体" w:cs="宋体"/>
          <w:snapToGrid w:val="0"/>
          <w:color w:val="000000"/>
          <w:kern w:val="0"/>
          <w:sz w:val="24"/>
          <w:szCs w:val="24"/>
          <w:lang w:val="en-US" w:eastAsia="zh-CN" w:bidi="ar-SA"/>
        </w:rPr>
        <w:t>：为有需求的服务对象提供适当的以运动功能为主的训练，指导其规范使用矫形器和训练器具，帮助其巩固医疗康复效果，使其身体运动功能得到恢复或代偿；有条件的日间照料机构应定期对服务对象的监护人进行必要的简单技术培训，使其在机构之外也能够得到持续的运动功能训练；根据服务对象的身体情况，开展运动功能评估，适时调整训练计划；服务对象身体状况发生较大变化时，应及时转介到专业医疗康复机构进行诊断和治疗。</w:t>
      </w:r>
    </w:p>
    <w:p w14:paraId="29A98F4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（6）托养管理</w:t>
      </w:r>
    </w:p>
    <w:p w14:paraId="318D3A6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 向服务对象或其家属、监护人提供清晰和准确的服务信息，包括服务项目和内容、服务设施、收费标准、服务承诺等。</w:t>
      </w:r>
    </w:p>
    <w:p w14:paraId="4133378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2.与服务对象或其家属、监护人签订具有法律效力的托养护 理、就业、培训等服务协议书。</w:t>
      </w:r>
    </w:p>
    <w:p w14:paraId="283BC69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3.依据各类托养协议规定，安排入住、提供相应的服务。</w:t>
      </w:r>
    </w:p>
    <w:p w14:paraId="2A7078C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4.入驻集中托养服务机构，在签订各类协议前，应进行托养适应性观察和评估。</w:t>
      </w:r>
    </w:p>
    <w:p w14:paraId="34DFC81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（7）信息管理</w:t>
      </w:r>
    </w:p>
    <w:p w14:paraId="53BB521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1.建立服务对象档案，1 人 1 档，及时录入和保存服务对象信息，包括个人基本情况、各类托养协议、健康检查、托养类别、 等级评估、康复评估、医疗记录等。</w:t>
      </w:r>
    </w:p>
    <w:p w14:paraId="4403B87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2.服务对象档案应予以严格保密，实施查阅控制制度。</w:t>
      </w:r>
    </w:p>
    <w:p w14:paraId="73853E8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3.档案由专人管理，信息登记真实、完整及时更新。</w:t>
      </w:r>
    </w:p>
    <w:p w14:paraId="695A77A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（8）投诉处理</w:t>
      </w:r>
    </w:p>
    <w:p w14:paraId="5ADC2C9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1.设置意见箱，方便服务对象及其家属、监护人投诉、提出 意见和建议的途径。</w:t>
      </w:r>
    </w:p>
    <w:p w14:paraId="6EF3335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2.服务对象及其家属、监护人可向残疾人托养服务机构的管理部门提出对托养服务机构的意见、建议和投诉，服务机构在 24 小时内受理，负责处理和回复服务对象及其家属、监护人的 投诉，回复时间最长不超过 3 天（自接到投诉之日起）。</w:t>
      </w:r>
    </w:p>
    <w:p w14:paraId="017253D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2、其他要求</w:t>
      </w:r>
    </w:p>
    <w:p w14:paraId="3163CC8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中标人有以下行为之一的，采购人有权要求限期改正;逾期不改正的，终止托养服务;造成损失的，中标人依法承担赔偿责任:</w:t>
      </w:r>
    </w:p>
    <w:p w14:paraId="160BCBE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（1）歧视、虐待托养服务对象的;</w:t>
      </w:r>
    </w:p>
    <w:p w14:paraId="1F61C54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（2）未尽到管理和服务义务致使托养服务对象合法权益遭受侵害的;</w:t>
      </w:r>
    </w:p>
    <w:p w14:paraId="4280781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（3）侵占托养服务对象合法财产的;</w:t>
      </w:r>
    </w:p>
    <w:p w14:paraId="0121431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（4）其他违反规定的行为。</w:t>
      </w:r>
    </w:p>
    <w:p w14:paraId="21BA32E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中标人工作人员有下列行为之一的，予以批评教育，情节严重的，予以辞退，造成损失的，依法承担赔偿责任，构成犯罪的，依法追究刑事责任:</w:t>
      </w:r>
    </w:p>
    <w:p w14:paraId="746A586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（1）私分、挪用、截留托养服务对象托养款物的;</w:t>
      </w:r>
    </w:p>
    <w:p w14:paraId="1F60968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（2）私分、挪用劳动生产收入的;</w:t>
      </w:r>
    </w:p>
    <w:p w14:paraId="58D21FF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（3）辱骂、殴打、虐待托养服务对象的;</w:t>
      </w:r>
    </w:p>
    <w:p w14:paraId="32A4EA3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（4）盗窃、侵占中标人或者托养服务对象财产的;</w:t>
      </w:r>
    </w:p>
    <w:p w14:paraId="191BBC6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（5）其他违反规定的行为。</w:t>
      </w:r>
    </w:p>
    <w:p w14:paraId="5B3267B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托养服务对象有下列行为之一的，予以批评教育，情节严重的，报采购人同意停 止托养服务协议，构成犯罪的，依法追究刑事责任:</w:t>
      </w:r>
    </w:p>
    <w:p w14:paraId="4C953F4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（1）违反中标人的规定，扰乱正常秩序的;</w:t>
      </w:r>
    </w:p>
    <w:p w14:paraId="1E267F4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（2）打架、斗殴，造成他人身体伤害的;</w:t>
      </w:r>
    </w:p>
    <w:p w14:paraId="2586924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（3）损毁、盗窃、侵占中标人或者他人财产的;</w:t>
      </w:r>
    </w:p>
    <w:p w14:paraId="332A4B1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（4）其他违反规定的行为。</w:t>
      </w:r>
    </w:p>
    <w:p w14:paraId="7C83EFEC">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i/>
          <w:iCs/>
          <w:snapToGrid w:val="0"/>
          <w:color w:val="000000"/>
          <w:kern w:val="0"/>
          <w:sz w:val="28"/>
          <w:szCs w:val="28"/>
          <w:u w:val="single"/>
          <w:lang w:val="en-US" w:eastAsia="zh-CN"/>
        </w:rPr>
      </w:pPr>
      <w:r>
        <w:rPr>
          <w:rFonts w:hint="eastAsia" w:ascii="宋体" w:hAnsi="宋体" w:eastAsia="宋体" w:cs="宋体"/>
          <w:b/>
          <w:bCs/>
          <w:i/>
          <w:iCs/>
          <w:snapToGrid w:val="0"/>
          <w:color w:val="000000"/>
          <w:kern w:val="0"/>
          <w:sz w:val="28"/>
          <w:szCs w:val="28"/>
          <w:u w:val="single"/>
          <w:lang w:val="en-US" w:eastAsia="zh-CN"/>
        </w:rPr>
        <w:t>五、人员配备要求</w:t>
      </w:r>
    </w:p>
    <w:p w14:paraId="0550FF7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专职服务人员与托养人员比例不低于 1 ：5 。（本项目人员配备要求根据暂定人数</w:t>
      </w:r>
      <w:r>
        <w:rPr>
          <w:rFonts w:hint="eastAsia" w:ascii="宋体" w:hAnsi="宋体" w:eastAsia="宋体" w:cs="宋体"/>
          <w:i/>
          <w:iCs/>
          <w:snapToGrid w:val="0"/>
          <w:color w:val="FF0000"/>
          <w:kern w:val="0"/>
          <w:sz w:val="24"/>
          <w:szCs w:val="24"/>
          <w:highlight w:val="yellow"/>
          <w:u w:val="single"/>
          <w:lang w:val="en-US" w:eastAsia="zh-CN" w:bidi="ar-SA"/>
        </w:rPr>
        <w:t>45人</w:t>
      </w:r>
      <w:r>
        <w:rPr>
          <w:rFonts w:hint="eastAsia" w:ascii="宋体" w:hAnsi="宋体" w:eastAsia="宋体" w:cs="宋体"/>
          <w:i/>
          <w:iCs/>
          <w:snapToGrid w:val="0"/>
          <w:color w:val="000000"/>
          <w:kern w:val="0"/>
          <w:sz w:val="24"/>
          <w:szCs w:val="24"/>
          <w:u w:val="single"/>
          <w:lang w:val="en-US" w:eastAsia="zh-CN" w:bidi="ar-SA"/>
        </w:rPr>
        <w:t>进行配备）</w:t>
      </w:r>
    </w:p>
    <w:p w14:paraId="02D571E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（1）项目负责人</w:t>
      </w:r>
      <w:r>
        <w:rPr>
          <w:rFonts w:hint="eastAsia" w:ascii="宋体" w:hAnsi="宋体" w:eastAsia="宋体" w:cs="宋体"/>
          <w:i/>
          <w:iCs/>
          <w:snapToGrid w:val="0"/>
          <w:color w:val="000000"/>
          <w:kern w:val="0"/>
          <w:sz w:val="24"/>
          <w:szCs w:val="24"/>
          <w:u w:val="single"/>
          <w:lang w:val="en-US" w:eastAsia="zh-CN" w:bidi="ar-SA"/>
        </w:rPr>
        <w:t>：专职负责人1人，从事过管理工作，具有社会工作类、社会福利类或康复医疗类等相关学习培训经历，熟悉残疾人相关法律法规与政策，熟练掌握残疾人托养的基本知识和专业知识，年龄</w:t>
      </w:r>
      <w:r>
        <w:rPr>
          <w:rFonts w:hint="eastAsia" w:ascii="宋体" w:hAnsi="宋体" w:eastAsia="宋体" w:cs="宋体"/>
          <w:i/>
          <w:iCs/>
          <w:snapToGrid w:val="0"/>
          <w:color w:val="auto"/>
          <w:kern w:val="0"/>
          <w:sz w:val="24"/>
          <w:szCs w:val="24"/>
          <w:highlight w:val="none"/>
          <w:u w:val="single"/>
          <w:lang w:val="en-US" w:eastAsia="zh-CN" w:bidi="ar-SA"/>
        </w:rPr>
        <w:t>不宜超过55周岁，2 年以上工作经验。</w:t>
      </w:r>
    </w:p>
    <w:p w14:paraId="314D885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b/>
          <w:bCs/>
          <w:i/>
          <w:iCs/>
          <w:snapToGrid w:val="0"/>
          <w:color w:val="auto"/>
          <w:kern w:val="0"/>
          <w:sz w:val="24"/>
          <w:szCs w:val="24"/>
          <w:highlight w:val="none"/>
          <w:u w:val="single"/>
          <w:lang w:val="en-US" w:eastAsia="zh-CN" w:bidi="ar-SA"/>
        </w:rPr>
        <w:t>（2）各类专业人员</w:t>
      </w:r>
      <w:r>
        <w:rPr>
          <w:rFonts w:hint="eastAsia" w:ascii="宋体" w:hAnsi="宋体" w:eastAsia="宋体" w:cs="宋体"/>
          <w:i/>
          <w:iCs/>
          <w:snapToGrid w:val="0"/>
          <w:color w:val="auto"/>
          <w:kern w:val="0"/>
          <w:sz w:val="24"/>
          <w:szCs w:val="24"/>
          <w:highlight w:val="none"/>
          <w:u w:val="single"/>
          <w:lang w:val="en-US" w:eastAsia="zh-CN" w:bidi="ar-SA"/>
        </w:rPr>
        <w:t xml:space="preserve"> </w:t>
      </w:r>
    </w:p>
    <w:p w14:paraId="67BCED4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1.专业人员配置</w:t>
      </w:r>
    </w:p>
    <w:p w14:paraId="2478E13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1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①</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yellow"/>
          <w:u w:val="single"/>
          <w:lang w:val="en-US" w:eastAsia="zh-CN" w:bidi="ar-SA"/>
        </w:rPr>
        <w:t>护理人员不少于9名</w:t>
      </w:r>
      <w:r>
        <w:rPr>
          <w:rFonts w:hint="eastAsia" w:ascii="宋体" w:hAnsi="宋体" w:eastAsia="宋体" w:cs="宋体"/>
          <w:i/>
          <w:iCs/>
          <w:snapToGrid w:val="0"/>
          <w:color w:val="auto"/>
          <w:kern w:val="0"/>
          <w:sz w:val="24"/>
          <w:szCs w:val="24"/>
          <w:highlight w:val="none"/>
          <w:u w:val="single"/>
          <w:lang w:val="en-US" w:eastAsia="zh-CN" w:bidi="ar-SA"/>
        </w:rPr>
        <w:t>，具有中专及以上相关或相近学历，持有护理证书或培训证书。</w:t>
      </w:r>
    </w:p>
    <w:p w14:paraId="515A951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2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②</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医生不少于1名，具有卫生行政主管部门颁发的执业医师执照，2 年以上执业医生工作经验。</w:t>
      </w:r>
    </w:p>
    <w:p w14:paraId="750DA9D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3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③</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护士不少于1名。具有中专及以上相关或相近学历，护士资格证书。</w:t>
      </w:r>
    </w:p>
    <w:p w14:paraId="777E396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4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④</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财务管理人员</w:t>
      </w:r>
      <w:r>
        <w:rPr>
          <w:rFonts w:hint="eastAsia" w:ascii="宋体" w:hAnsi="宋体" w:eastAsia="宋体" w:cs="宋体"/>
          <w:b w:val="0"/>
          <w:bCs w:val="0"/>
          <w:i/>
          <w:iCs/>
          <w:snapToGrid w:val="0"/>
          <w:color w:val="auto"/>
          <w:kern w:val="0"/>
          <w:sz w:val="24"/>
          <w:szCs w:val="24"/>
          <w:highlight w:val="none"/>
          <w:u w:val="single"/>
          <w:lang w:val="en-US" w:eastAsia="zh-CN" w:bidi="ar-SA"/>
        </w:rPr>
        <w:t>1名</w:t>
      </w:r>
      <w:r>
        <w:rPr>
          <w:rFonts w:hint="eastAsia" w:ascii="宋体" w:hAnsi="宋体" w:eastAsia="宋体" w:cs="宋体"/>
          <w:i/>
          <w:iCs/>
          <w:snapToGrid w:val="0"/>
          <w:color w:val="auto"/>
          <w:kern w:val="0"/>
          <w:sz w:val="24"/>
          <w:szCs w:val="24"/>
          <w:highlight w:val="none"/>
          <w:u w:val="single"/>
          <w:lang w:val="en-US" w:eastAsia="zh-CN" w:bidi="ar-SA"/>
        </w:rPr>
        <w:t>，具有中专及以上学历或相关会计类证书或职称。</w:t>
      </w:r>
    </w:p>
    <w:p w14:paraId="2D9BE28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highlight w:val="yellow"/>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5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⑤</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康复、心理咨询等专业技术人员，各1人，具有</w:t>
      </w:r>
      <w:r>
        <w:rPr>
          <w:rFonts w:hint="eastAsia" w:ascii="宋体" w:hAnsi="宋体" w:eastAsia="宋体" w:cs="宋体"/>
          <w:i/>
          <w:iCs/>
          <w:snapToGrid w:val="0"/>
          <w:color w:val="000000"/>
          <w:kern w:val="0"/>
          <w:sz w:val="24"/>
          <w:szCs w:val="24"/>
          <w:highlight w:val="none"/>
          <w:u w:val="single"/>
          <w:lang w:val="en-US" w:eastAsia="zh-CN" w:bidi="ar-SA"/>
        </w:rPr>
        <w:t>相关专业学历或专业职称证书。</w:t>
      </w:r>
    </w:p>
    <w:p w14:paraId="4F06CEA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⑥厨师1人，具有健康证。</w:t>
      </w:r>
    </w:p>
    <w:p w14:paraId="58A0D5B9">
      <w:pPr>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i/>
          <w:iCs/>
          <w:snapToGrid w:val="0"/>
          <w:color w:val="auto"/>
          <w:kern w:val="0"/>
          <w:sz w:val="24"/>
          <w:szCs w:val="24"/>
          <w:highlight w:val="none"/>
          <w:u w:val="single"/>
          <w:lang w:val="en-US" w:eastAsia="zh-CN" w:bidi="ar-SA"/>
        </w:rPr>
        <w:t>注：以上团队人员提供相关证书及证明材料，项目负责人必须提供由本单位缴纳的2025年5月以来任意一个月社保缴纳证明，其余人员提供有效的劳动合同，所有人员不得提供退休证明。</w:t>
      </w:r>
    </w:p>
    <w:p w14:paraId="444C2D8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（3）从业要求与仪表行为</w:t>
      </w:r>
    </w:p>
    <w:p w14:paraId="1D6F2F7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1.各类专业服务人员，应取得相关专业从业资格。</w:t>
      </w:r>
    </w:p>
    <w:p w14:paraId="72CBBEE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2.护理人员应接受相关专业技术人员的业务岗位培训与考核，胜任本职工作。</w:t>
      </w:r>
    </w:p>
    <w:p w14:paraId="114E3A1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3.护理人员应具备包括生活护理、康复护理、特殊护理（褥疮预防、意外损伤监护） 等残疾人护理所需的专门知识和技能。</w:t>
      </w:r>
    </w:p>
    <w:p w14:paraId="3316305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4.护理人员应身体健康，持有有效的健康证明等资料，持证上岗。服务时，应文明友善、耐心细致。</w:t>
      </w:r>
    </w:p>
    <w:p w14:paraId="2D3169F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5.尊重服务对象及其家属、监护人，解答询问热情、耐心。 </w:t>
      </w:r>
    </w:p>
    <w:p w14:paraId="00ED00D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6.服务人员应穿着岗位制服，穿戴整洁， 佩戴服务标识。</w:t>
      </w:r>
    </w:p>
    <w:p w14:paraId="4552580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7.保持个人卫生，勤洗手，不留长指甲。</w:t>
      </w:r>
    </w:p>
    <w:p w14:paraId="626E7CE5">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i/>
          <w:iCs/>
          <w:snapToGrid w:val="0"/>
          <w:color w:val="000000"/>
          <w:kern w:val="0"/>
          <w:sz w:val="28"/>
          <w:szCs w:val="28"/>
          <w:u w:val="single"/>
          <w:lang w:val="en-US" w:eastAsia="zh-CN"/>
        </w:rPr>
      </w:pPr>
      <w:r>
        <w:rPr>
          <w:rFonts w:hint="eastAsia" w:ascii="宋体" w:hAnsi="宋体" w:eastAsia="宋体" w:cs="宋体"/>
          <w:b/>
          <w:bCs/>
          <w:i/>
          <w:iCs/>
          <w:snapToGrid w:val="0"/>
          <w:color w:val="000000"/>
          <w:kern w:val="0"/>
          <w:sz w:val="28"/>
          <w:szCs w:val="28"/>
          <w:u w:val="single"/>
          <w:lang w:val="en-US" w:eastAsia="zh-CN"/>
        </w:rPr>
        <w:t>六、场地、设施与环境要求</w:t>
      </w:r>
    </w:p>
    <w:p w14:paraId="68AC1F2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根据连残发【2022】65号，东残发【2023】24号文规定投标人需要自行提供固定服务场所，且能满足本项目寄宿制托养人数基本要求。</w:t>
      </w:r>
    </w:p>
    <w:p w14:paraId="6DC2634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i/>
          <w:iCs/>
          <w:snapToGrid w:val="0"/>
          <w:color w:val="000000"/>
          <w:kern w:val="0"/>
          <w:sz w:val="24"/>
          <w:szCs w:val="24"/>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（1）场地要求</w:t>
      </w:r>
    </w:p>
    <w:p w14:paraId="03AC1D5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1. 在东海县区域内有固定服务场所，且为自有用房或协议承租不少于三年以上。</w:t>
      </w:r>
    </w:p>
    <w:p w14:paraId="2A138CA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2. 建筑面积、活动场地及配套设施应满足托养人数、托养服务内容要求。</w:t>
      </w:r>
    </w:p>
    <w:p w14:paraId="0AB5635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3. 机构宜设置在交通便利的城区或近郊区的地段，公共交通便利。　</w:t>
      </w:r>
    </w:p>
    <w:p w14:paraId="45495EC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4. 能提供残疾人寄宿制托养所必需的起居室、食堂、浴室、护理保健室、辅助性劳动工作间、文体活动室等功能用房。</w:t>
      </w:r>
    </w:p>
    <w:p w14:paraId="4246EEF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5. 房屋建筑质量安全，消防设施符合《消防安全标志设置要求》并取得消防许可资质;公共标识设置应符合《标志用公共信息图形符号》的规定。环境安静、远离污染源及易燃易爆物生产和贮存区、高压线路及其设施;宜为低层建筑，如与其他建筑合并建设应设置于低层部分;有独立出入口。</w:t>
      </w:r>
    </w:p>
    <w:p w14:paraId="654F707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6. 托养机构的过道、洗手间、食堂等公共场所使用防滑、防跌地面材料，装有无障碍设施，建筑设计符合《无障碍设计规范》的规定要求。</w:t>
      </w:r>
    </w:p>
    <w:p w14:paraId="6480B79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7. 环境整洁、卫生，保持空气流通，具备充足的采光条件。</w:t>
      </w:r>
    </w:p>
    <w:p w14:paraId="0DF1862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8.食堂取得《餐饮服务许可证》、《卫生许可证》。</w:t>
      </w:r>
    </w:p>
    <w:p w14:paraId="06876F4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i/>
          <w:iCs/>
          <w:snapToGrid w:val="0"/>
          <w:color w:val="000000"/>
          <w:kern w:val="0"/>
          <w:sz w:val="24"/>
          <w:szCs w:val="24"/>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（2）设备要求</w:t>
      </w:r>
    </w:p>
    <w:p w14:paraId="7CCBFFB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1. 服务场所装有空调或其他适用的取暖、降温设备，提供全天候热水供应。</w:t>
      </w:r>
    </w:p>
    <w:p w14:paraId="4D84693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2. 服务场所配置照明设备，公共区域设置应急照明灯。</w:t>
      </w:r>
    </w:p>
    <w:p w14:paraId="7079056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3. 服务场所配备养护起居、护理保健和文体活动等基本设施，设备完好。</w:t>
      </w:r>
    </w:p>
    <w:p w14:paraId="7A19805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i/>
          <w:iCs/>
          <w:snapToGrid w:val="0"/>
          <w:color w:val="000000"/>
          <w:kern w:val="0"/>
          <w:sz w:val="24"/>
          <w:szCs w:val="24"/>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（3）设施与环境要求</w:t>
      </w:r>
    </w:p>
    <w:p w14:paraId="487BF02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1.场地设置在交通便利、环境良好、有适当人流的区域，有固定的服务场所,房屋建筑质量和无障碍设施应符合相关要求。</w:t>
      </w:r>
    </w:p>
    <w:p w14:paraId="41CAFD2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2.室内环境应整洁、卫生，应有充足的采光条件，卫生间应有安全防护措施,通风良好、保持清洁无异味。</w:t>
      </w:r>
    </w:p>
    <w:p w14:paraId="4EFFE31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3.设置公共洗涤场所，配各洗涤用具并有热水供应。</w:t>
      </w:r>
    </w:p>
    <w:p w14:paraId="584AE3F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4.服务场所有取暖、降温设备,温度适宜。应配置适宜的照明、消防设备，公共区域设置应急照明灯，居室和卫生间配置紧急呼叫设备。</w:t>
      </w:r>
    </w:p>
    <w:p w14:paraId="2C369C0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5.服务场所应配置应急处理所需的急救药箱、轮椅等与障碍程度相适应的设备，宜提供康复器械、运动器材、图书报刊、电 视机、计算机和互联网等设备。</w:t>
      </w:r>
    </w:p>
    <w:p w14:paraId="586A861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6.场所设置消防、公共信息等安全标志。</w:t>
      </w:r>
    </w:p>
    <w:p w14:paraId="36F2C1D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7.设置起居室、食堂、卫生保健室、康复训练室、辅助性就业室、文体活动室等，并配备养护起居、护理服务、文体活动等设施。可根据需要设置心理辅导室,并配各相应的设施。生活用房的使用面积，单人间不小于10平方米；双人间不小于 15 平方米；三人间不小于 20 平方米（上述面积标 准不包括卫生间）。室外活动场所的面积不小于人均 5 平方米。</w:t>
      </w:r>
    </w:p>
    <w:p w14:paraId="4B9736B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highlight w:val="yellow"/>
          <w:u w:val="single"/>
          <w:lang w:val="en-US" w:eastAsia="zh-CN" w:bidi="ar-SA"/>
        </w:rPr>
      </w:pPr>
      <w:r>
        <w:rPr>
          <w:rFonts w:hint="eastAsia" w:ascii="宋体" w:hAnsi="宋体" w:eastAsia="宋体" w:cs="宋体"/>
          <w:i/>
          <w:iCs/>
          <w:snapToGrid w:val="0"/>
          <w:color w:val="000000"/>
          <w:kern w:val="0"/>
          <w:sz w:val="24"/>
          <w:szCs w:val="24"/>
          <w:highlight w:val="yellow"/>
          <w:u w:val="single"/>
          <w:lang w:val="en-US" w:eastAsia="zh-CN" w:bidi="ar-SA"/>
        </w:rPr>
        <w:t>注：以上内容须提供照片需添加水印定位（定位需和营业执照位置一致）</w:t>
      </w:r>
    </w:p>
    <w:p w14:paraId="2AA2428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（4）设备与用具</w:t>
      </w:r>
    </w:p>
    <w:p w14:paraId="623E14F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1.根据服务对象的类别和实际状况，卧室内的基本配置应包括单人床、床头柜、衣柜、垃圾桶、窗帘。高档配置应有沙发、办公桌椅、空调、电视机、卫生间、衣柜等。</w:t>
      </w:r>
    </w:p>
    <w:p w14:paraId="70B3825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2.卧室内和公共过道应设置应急照明灯，特护人员的床头应设置紧急呼叫装置。</w:t>
      </w:r>
    </w:p>
    <w:p w14:paraId="3A9CD0B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3.为行动不便的服务对象提供病床便盆、尿壶。</w:t>
      </w:r>
    </w:p>
    <w:p w14:paraId="041F885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4.卧室内家具和各种设施应无锐角。 </w:t>
      </w:r>
    </w:p>
    <w:p w14:paraId="3CF0A51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5.配备急救药箱、轮椅和担架。</w:t>
      </w:r>
    </w:p>
    <w:p w14:paraId="4197D83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6.有符合环境卫生要求的药品存放、配发场所。</w:t>
      </w:r>
    </w:p>
    <w:p w14:paraId="7863359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7.配置健身康复器械，辅助性就业设备， 以及图书、报刊、 电视机、棋牌等设备。</w:t>
      </w:r>
    </w:p>
    <w:p w14:paraId="1FDD486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8.对服务设施和设备进行日常维护，保持状态完好。发生故障，应及时维修。</w:t>
      </w:r>
    </w:p>
    <w:p w14:paraId="4D2008A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jc w:val="left"/>
        <w:textAlignment w:val="baseline"/>
        <w:rPr>
          <w:rFonts w:hint="eastAsia" w:ascii="宋体" w:hAnsi="宋体" w:eastAsia="宋体" w:cs="宋体"/>
          <w:b/>
          <w:bCs/>
          <w:snapToGrid w:val="0"/>
          <w:color w:val="000000"/>
          <w:kern w:val="0"/>
          <w:sz w:val="28"/>
          <w:szCs w:val="28"/>
          <w:lang w:val="en-US" w:eastAsia="zh-CN" w:bidi="ar-SA"/>
        </w:rPr>
      </w:pPr>
      <w:r>
        <w:rPr>
          <w:rFonts w:hint="eastAsia" w:ascii="宋体" w:hAnsi="宋体" w:eastAsia="宋体" w:cs="宋体"/>
          <w:b/>
          <w:bCs/>
          <w:i/>
          <w:iCs/>
          <w:snapToGrid w:val="0"/>
          <w:color w:val="000000"/>
          <w:kern w:val="0"/>
          <w:sz w:val="28"/>
          <w:szCs w:val="28"/>
          <w:u w:val="single"/>
          <w:lang w:val="en-US" w:eastAsia="zh-CN" w:bidi="ar-SA"/>
        </w:rPr>
        <w:t>七、服务期限</w:t>
      </w:r>
    </w:p>
    <w:p w14:paraId="2DFB4ED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i/>
          <w:iCs/>
          <w:snapToGrid w:val="0"/>
          <w:color w:val="000000"/>
          <w:kern w:val="0"/>
          <w:sz w:val="24"/>
          <w:szCs w:val="24"/>
          <w:highlight w:val="none"/>
          <w:u w:val="single"/>
          <w:lang w:val="en-US" w:eastAsia="zh-CN" w:bidi="ar-SA"/>
        </w:rPr>
        <w:t>服务时间：1 年（合同约定时间起算）。</w:t>
      </w:r>
    </w:p>
    <w:p w14:paraId="5DC7974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jc w:val="left"/>
        <w:textAlignment w:val="baseline"/>
        <w:rPr>
          <w:rFonts w:hint="eastAsia" w:ascii="宋体" w:hAnsi="宋体" w:eastAsia="宋体" w:cs="宋体"/>
          <w:b/>
          <w:bCs/>
          <w:snapToGrid w:val="0"/>
          <w:color w:val="000000"/>
          <w:kern w:val="0"/>
          <w:sz w:val="28"/>
          <w:szCs w:val="28"/>
          <w:lang w:val="en-US" w:eastAsia="zh-CN" w:bidi="ar-SA"/>
        </w:rPr>
      </w:pPr>
      <w:r>
        <w:rPr>
          <w:rFonts w:hint="eastAsia" w:ascii="宋体" w:hAnsi="宋体" w:eastAsia="宋体" w:cs="宋体"/>
          <w:b/>
          <w:bCs/>
          <w:snapToGrid w:val="0"/>
          <w:color w:val="000000"/>
          <w:kern w:val="0"/>
          <w:sz w:val="28"/>
          <w:szCs w:val="28"/>
          <w:lang w:val="en-US" w:eastAsia="zh-CN" w:bidi="ar-SA"/>
        </w:rPr>
        <w:t>八、考核标准（服务标准）及考核办法</w:t>
      </w:r>
    </w:p>
    <w:p w14:paraId="1AF55F38">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000000"/>
          <w:kern w:val="0"/>
          <w:sz w:val="24"/>
          <w:szCs w:val="24"/>
          <w:highlight w:val="yellow"/>
          <w:lang w:val="zh-CN" w:eastAsia="zh-CN"/>
        </w:rPr>
      </w:pPr>
      <w:r>
        <w:rPr>
          <w:rFonts w:hint="eastAsia" w:ascii="宋体" w:hAnsi="宋体" w:eastAsia="宋体" w:cs="宋体"/>
          <w:snapToGrid w:val="0"/>
          <w:color w:val="000000"/>
          <w:kern w:val="0"/>
          <w:sz w:val="24"/>
          <w:szCs w:val="24"/>
          <w:lang w:val="zh-CN" w:eastAsia="en-US"/>
        </w:rPr>
        <w:t>采购人组织专家技术指导组或委托第三方评估机构，按</w:t>
      </w:r>
      <w:r>
        <w:rPr>
          <w:rFonts w:hint="eastAsia" w:ascii="宋体" w:hAnsi="宋体" w:eastAsia="宋体" w:cs="宋体"/>
          <w:snapToGrid w:val="0"/>
          <w:color w:val="000000"/>
          <w:kern w:val="0"/>
          <w:sz w:val="24"/>
          <w:szCs w:val="24"/>
          <w:highlight w:val="none"/>
          <w:lang w:val="zh-CN" w:eastAsia="en-US"/>
        </w:rPr>
        <w:t>照</w:t>
      </w:r>
      <w:r>
        <w:rPr>
          <w:rFonts w:hint="eastAsia" w:ascii="宋体" w:hAnsi="宋体" w:eastAsia="宋体" w:cs="宋体"/>
          <w:snapToGrid w:val="0"/>
          <w:color w:val="000000"/>
          <w:kern w:val="0"/>
          <w:sz w:val="24"/>
          <w:szCs w:val="24"/>
          <w:highlight w:val="none"/>
          <w:lang w:val="zh-CN" w:eastAsia="zh-CN"/>
        </w:rPr>
        <w:t>东残发〔202</w:t>
      </w:r>
      <w:r>
        <w:rPr>
          <w:rFonts w:hint="eastAsia" w:ascii="宋体" w:hAnsi="宋体" w:eastAsia="宋体" w:cs="宋体"/>
          <w:snapToGrid w:val="0"/>
          <w:color w:val="000000"/>
          <w:kern w:val="0"/>
          <w:sz w:val="24"/>
          <w:szCs w:val="24"/>
          <w:highlight w:val="none"/>
          <w:lang w:val="en-US" w:eastAsia="zh-CN"/>
        </w:rPr>
        <w:t>5</w:t>
      </w:r>
      <w:r>
        <w:rPr>
          <w:rFonts w:hint="eastAsia" w:ascii="宋体" w:hAnsi="宋体" w:eastAsia="宋体" w:cs="宋体"/>
          <w:snapToGrid w:val="0"/>
          <w:color w:val="000000"/>
          <w:kern w:val="0"/>
          <w:sz w:val="24"/>
          <w:szCs w:val="24"/>
          <w:highlight w:val="none"/>
          <w:lang w:val="zh-CN" w:eastAsia="zh-CN"/>
        </w:rPr>
        <w:t>〕</w:t>
      </w:r>
      <w:r>
        <w:rPr>
          <w:rFonts w:hint="eastAsia" w:ascii="宋体" w:hAnsi="宋体" w:eastAsia="宋体" w:cs="宋体"/>
          <w:snapToGrid w:val="0"/>
          <w:color w:val="000000"/>
          <w:kern w:val="0"/>
          <w:sz w:val="24"/>
          <w:szCs w:val="24"/>
          <w:highlight w:val="none"/>
          <w:lang w:val="en-US" w:eastAsia="zh-CN"/>
        </w:rPr>
        <w:t>2</w:t>
      </w:r>
      <w:r>
        <w:rPr>
          <w:rFonts w:hint="eastAsia" w:ascii="宋体" w:hAnsi="宋体" w:eastAsia="宋体" w:cs="宋体"/>
          <w:snapToGrid w:val="0"/>
          <w:color w:val="000000"/>
          <w:kern w:val="0"/>
          <w:sz w:val="24"/>
          <w:szCs w:val="24"/>
          <w:highlight w:val="none"/>
          <w:lang w:val="zh-CN" w:eastAsia="zh-CN"/>
        </w:rPr>
        <w:t>号</w:t>
      </w:r>
      <w:r>
        <w:rPr>
          <w:rFonts w:hint="eastAsia" w:ascii="宋体" w:hAnsi="宋体" w:eastAsia="宋体" w:cs="宋体"/>
          <w:snapToGrid w:val="0"/>
          <w:color w:val="000000"/>
          <w:kern w:val="0"/>
          <w:sz w:val="24"/>
          <w:szCs w:val="24"/>
          <w:highlight w:val="none"/>
          <w:lang w:val="en-US" w:eastAsia="zh-CN"/>
        </w:rPr>
        <w:t>关于印发东海县残疾人托养服务考核评估和经费拨付管理办法的通知</w:t>
      </w:r>
      <w:r>
        <w:rPr>
          <w:rFonts w:hint="eastAsia" w:ascii="宋体" w:hAnsi="宋体" w:eastAsia="宋体" w:cs="宋体"/>
          <w:snapToGrid w:val="0"/>
          <w:color w:val="000000"/>
          <w:kern w:val="0"/>
          <w:sz w:val="24"/>
          <w:szCs w:val="24"/>
          <w:highlight w:val="none"/>
          <w:lang w:eastAsia="en-US"/>
        </w:rPr>
        <w:t>，</w:t>
      </w:r>
      <w:r>
        <w:rPr>
          <w:rFonts w:hint="eastAsia" w:ascii="宋体" w:hAnsi="宋体" w:eastAsia="宋体" w:cs="宋体"/>
          <w:snapToGrid w:val="0"/>
          <w:color w:val="000000"/>
          <w:kern w:val="0"/>
          <w:sz w:val="24"/>
          <w:szCs w:val="24"/>
          <w:lang w:val="zh-CN" w:eastAsia="zh-CN"/>
        </w:rPr>
        <w:t>考核内容为日常管理和托养质量两个方面。</w:t>
      </w:r>
    </w:p>
    <w:p w14:paraId="1E79196A">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napToGrid w:val="0"/>
          <w:color w:val="000000"/>
          <w:kern w:val="0"/>
          <w:sz w:val="24"/>
          <w:szCs w:val="24"/>
          <w:lang w:val="zh-CN" w:eastAsia="zh-CN"/>
        </w:rPr>
      </w:pPr>
      <w:r>
        <w:rPr>
          <w:rFonts w:hint="eastAsia" w:ascii="宋体" w:hAnsi="宋体" w:eastAsia="宋体" w:cs="宋体"/>
          <w:snapToGrid w:val="0"/>
          <w:color w:val="000000"/>
          <w:kern w:val="0"/>
          <w:sz w:val="24"/>
          <w:szCs w:val="24"/>
          <w:lang w:val="zh-CN" w:eastAsia="zh-CN"/>
        </w:rPr>
        <w:t>1.日常管理包括考勤管理、服务管理、满意度测评、档案管理、信息报送、宣传报道等。</w:t>
      </w:r>
    </w:p>
    <w:p w14:paraId="59E62CA8">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napToGrid w:val="0"/>
          <w:color w:val="000000"/>
          <w:kern w:val="0"/>
          <w:sz w:val="24"/>
          <w:szCs w:val="24"/>
          <w:lang w:val="zh-CN" w:eastAsia="zh-CN"/>
        </w:rPr>
      </w:pPr>
      <w:r>
        <w:rPr>
          <w:rFonts w:hint="eastAsia" w:ascii="宋体" w:hAnsi="宋体" w:eastAsia="宋体" w:cs="宋体"/>
          <w:snapToGrid w:val="0"/>
          <w:color w:val="000000"/>
          <w:kern w:val="0"/>
          <w:sz w:val="24"/>
          <w:szCs w:val="24"/>
          <w:lang w:val="zh-CN" w:eastAsia="zh-CN"/>
        </w:rPr>
        <w:t>2.托养质量包括必备条件、组织管理、过程质量、结果质量等方面。</w:t>
      </w:r>
    </w:p>
    <w:p w14:paraId="79A47019">
      <w:pPr>
        <w:pageBreakBefore w:val="0"/>
        <w:widowControl/>
        <w:kinsoku/>
        <w:wordWrap/>
        <w:overflowPunct/>
        <w:topLinePunct w:val="0"/>
        <w:autoSpaceDE/>
        <w:autoSpaceDN/>
        <w:bidi w:val="0"/>
        <w:adjustRightInd/>
        <w:snapToGrid/>
        <w:spacing w:line="360" w:lineRule="auto"/>
        <w:ind w:firstLine="645"/>
        <w:jc w:val="both"/>
        <w:textAlignment w:val="auto"/>
        <w:rPr>
          <w:rFonts w:hint="eastAsia" w:ascii="宋体" w:hAnsi="宋体" w:eastAsia="宋体" w:cs="宋体"/>
          <w:snapToGrid w:val="0"/>
          <w:color w:val="000000"/>
          <w:kern w:val="0"/>
          <w:sz w:val="24"/>
          <w:szCs w:val="24"/>
          <w:highlight w:val="none"/>
          <w:lang w:eastAsia="en-US"/>
        </w:rPr>
      </w:pPr>
      <w:r>
        <w:rPr>
          <w:rFonts w:hint="eastAsia" w:ascii="宋体" w:hAnsi="宋体" w:eastAsia="宋体" w:cs="宋体"/>
          <w:snapToGrid w:val="0"/>
          <w:color w:val="000000"/>
          <w:kern w:val="0"/>
          <w:sz w:val="24"/>
          <w:szCs w:val="24"/>
          <w:highlight w:val="none"/>
          <w:lang w:val="en-US" w:eastAsia="zh-CN"/>
        </w:rPr>
        <w:t>以残联最新政策为准。</w:t>
      </w:r>
    </w:p>
    <w:p w14:paraId="3B94907D">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snapToGrid w:val="0"/>
          <w:color w:val="000000"/>
          <w:kern w:val="0"/>
          <w:sz w:val="28"/>
          <w:szCs w:val="28"/>
          <w:lang w:eastAsia="en-US"/>
        </w:rPr>
      </w:pPr>
      <w:r>
        <w:rPr>
          <w:rFonts w:hint="eastAsia" w:ascii="宋体" w:hAnsi="宋体" w:eastAsia="宋体" w:cs="宋体"/>
          <w:b/>
          <w:bCs/>
          <w:snapToGrid w:val="0"/>
          <w:color w:val="000000"/>
          <w:kern w:val="0"/>
          <w:sz w:val="28"/>
          <w:szCs w:val="28"/>
          <w:lang w:val="en-US" w:eastAsia="zh-CN"/>
        </w:rPr>
        <w:t>九、</w:t>
      </w:r>
      <w:r>
        <w:rPr>
          <w:rFonts w:hint="eastAsia" w:ascii="宋体" w:hAnsi="宋体" w:eastAsia="宋体" w:cs="宋体"/>
          <w:b/>
          <w:snapToGrid w:val="0"/>
          <w:color w:val="000000"/>
          <w:kern w:val="0"/>
          <w:sz w:val="28"/>
          <w:szCs w:val="28"/>
          <w:lang w:eastAsia="en-US"/>
        </w:rPr>
        <w:t>履约验收</w:t>
      </w:r>
    </w:p>
    <w:p w14:paraId="47A77E3B">
      <w:pPr>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所提供项目服务质量符合国家相关标准且满足本次采购的要求，如有不合格，造成的损失和后果由该</w:t>
      </w:r>
      <w:r>
        <w:rPr>
          <w:rFonts w:hint="eastAsia" w:ascii="宋体" w:hAnsi="宋体" w:eastAsia="宋体" w:cs="宋体"/>
          <w:snapToGrid w:val="0"/>
          <w:color w:val="000000"/>
          <w:kern w:val="0"/>
          <w:sz w:val="24"/>
          <w:szCs w:val="24"/>
          <w:lang w:val="en-US" w:eastAsia="zh-CN"/>
        </w:rPr>
        <w:t>投标人</w:t>
      </w:r>
      <w:r>
        <w:rPr>
          <w:rFonts w:hint="eastAsia" w:ascii="宋体" w:hAnsi="宋体" w:eastAsia="宋体" w:cs="宋体"/>
          <w:snapToGrid w:val="0"/>
          <w:color w:val="000000"/>
          <w:kern w:val="0"/>
          <w:sz w:val="24"/>
          <w:szCs w:val="24"/>
          <w:lang w:eastAsia="en-US"/>
        </w:rPr>
        <w:t>负全责。符合项目验收标准后，采购人根据技术要求组织验收并出具验收书。</w:t>
      </w:r>
    </w:p>
    <w:p w14:paraId="25BF78F0">
      <w:pPr>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乙方向甲方提交项目验收资料以及终验申请单，甲方收到申请后3 个工作日内组织终验且验收无问题后签署终验单。验收的标准按照采购文件、响应文件及相关标准实施，服从采购人安排要求。</w:t>
      </w:r>
    </w:p>
    <w:p w14:paraId="7149BB4E">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i/>
          <w:iCs/>
          <w:snapToGrid w:val="0"/>
          <w:color w:val="000000"/>
          <w:kern w:val="0"/>
          <w:sz w:val="28"/>
          <w:szCs w:val="28"/>
          <w:u w:val="single"/>
          <w:lang w:eastAsia="en-US"/>
        </w:rPr>
      </w:pPr>
      <w:r>
        <w:rPr>
          <w:rFonts w:hint="eastAsia" w:ascii="宋体" w:hAnsi="宋体" w:eastAsia="宋体" w:cs="宋体"/>
          <w:b/>
          <w:i/>
          <w:iCs/>
          <w:snapToGrid w:val="0"/>
          <w:color w:val="000000"/>
          <w:kern w:val="0"/>
          <w:sz w:val="28"/>
          <w:szCs w:val="28"/>
          <w:u w:val="single"/>
          <w:lang w:val="en-US" w:eastAsia="zh-CN"/>
        </w:rPr>
        <w:t>十</w:t>
      </w:r>
      <w:r>
        <w:rPr>
          <w:rFonts w:hint="eastAsia" w:ascii="宋体" w:hAnsi="宋体" w:eastAsia="宋体" w:cs="宋体"/>
          <w:b/>
          <w:i/>
          <w:iCs/>
          <w:snapToGrid w:val="0"/>
          <w:color w:val="000000"/>
          <w:kern w:val="0"/>
          <w:sz w:val="28"/>
          <w:szCs w:val="28"/>
          <w:u w:val="single"/>
          <w:lang w:eastAsia="en-US"/>
        </w:rPr>
        <w:t>、付款方式与履约保证金</w:t>
      </w:r>
    </w:p>
    <w:p w14:paraId="5F45DE0E">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en-US" w:bidi="ar-SA"/>
        </w:rPr>
      </w:pPr>
      <w:r>
        <w:rPr>
          <w:rFonts w:hint="eastAsia" w:ascii="宋体" w:hAnsi="宋体" w:eastAsia="宋体" w:cs="宋体"/>
          <w:i/>
          <w:iCs/>
          <w:snapToGrid w:val="0"/>
          <w:color w:val="000000"/>
          <w:kern w:val="0"/>
          <w:sz w:val="24"/>
          <w:szCs w:val="24"/>
          <w:u w:val="single"/>
          <w:lang w:val="en-US" w:eastAsia="en-US" w:bidi="ar-SA"/>
        </w:rPr>
        <w:t>1.付款方式：</w:t>
      </w:r>
    </w:p>
    <w:p w14:paraId="280A00BF">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val="0"/>
          <w:iCs w:val="0"/>
          <w:snapToGrid w:val="0"/>
          <w:color w:val="000000"/>
          <w:kern w:val="0"/>
          <w:sz w:val="24"/>
          <w:szCs w:val="24"/>
          <w:highlight w:val="yellow"/>
          <w:u w:val="none"/>
          <w:lang w:val="en-US" w:eastAsia="zh-CN" w:bidi="ar-SA"/>
        </w:rPr>
      </w:pPr>
      <w:r>
        <w:rPr>
          <w:rFonts w:hint="eastAsia" w:ascii="宋体" w:hAnsi="宋体" w:eastAsia="宋体" w:cs="宋体"/>
          <w:i/>
          <w:iCs/>
          <w:snapToGrid w:val="0"/>
          <w:color w:val="000000"/>
          <w:kern w:val="0"/>
          <w:sz w:val="24"/>
          <w:szCs w:val="24"/>
          <w:highlight w:val="yellow"/>
          <w:u w:val="single"/>
          <w:lang w:val="en-US" w:eastAsia="zh-CN" w:bidi="ar-SA"/>
        </w:rPr>
        <w:t>合同签订后，托养经费分别由县残联在每服务季度按照托养机构服务人数、服务标准全额测算，每季度根据考核指标报财政据实拨付。考核结果低于85分的，暂缓拨付经费，整改完成后拨付。每次付款前投标人应向甲方开具正规发票，否则迟延付款的责任由投标人自行承担。</w:t>
      </w:r>
    </w:p>
    <w:p w14:paraId="6AF9F85D">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val="0"/>
          <w:iCs w:val="0"/>
          <w:snapToGrid w:val="0"/>
          <w:color w:val="000000"/>
          <w:kern w:val="0"/>
          <w:sz w:val="24"/>
          <w:szCs w:val="24"/>
          <w:highlight w:val="yellow"/>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en-US" w:bidi="ar-SA"/>
        </w:rPr>
        <w:t>若因服务对象与残疾人解除服务协议、身体状况变化、死亡等因素导致实际服务数量发生变化，</w:t>
      </w:r>
      <w:r>
        <w:rPr>
          <w:rFonts w:hint="eastAsia" w:ascii="宋体" w:hAnsi="宋体" w:eastAsia="宋体" w:cs="宋体"/>
          <w:i w:val="0"/>
          <w:iCs w:val="0"/>
          <w:snapToGrid w:val="0"/>
          <w:color w:val="000000"/>
          <w:kern w:val="0"/>
          <w:sz w:val="24"/>
          <w:szCs w:val="24"/>
          <w:highlight w:val="none"/>
          <w:u w:val="none"/>
          <w:lang w:val="en-US" w:eastAsia="zh-CN" w:bidi="ar-SA"/>
        </w:rPr>
        <w:t>投标人</w:t>
      </w:r>
      <w:r>
        <w:rPr>
          <w:rFonts w:hint="eastAsia" w:ascii="宋体" w:hAnsi="宋体" w:eastAsia="宋体" w:cs="宋体"/>
          <w:i w:val="0"/>
          <w:iCs w:val="0"/>
          <w:snapToGrid w:val="0"/>
          <w:color w:val="000000"/>
          <w:kern w:val="0"/>
          <w:sz w:val="24"/>
          <w:szCs w:val="24"/>
          <w:highlight w:val="none"/>
          <w:u w:val="none"/>
          <w:lang w:val="en-US" w:eastAsia="en-US" w:bidi="ar-SA"/>
        </w:rPr>
        <w:t>应当及时书面报告采购人。当服务人员数量与实际服务数量不一致时，采购人可根据《连云港市残疾人托养服务实施方案》文件要求调整，若有符合寄宿制托养条件人员可以进行调整补充。</w:t>
      </w:r>
    </w:p>
    <w:p w14:paraId="65D15A11">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val="0"/>
          <w:iCs w:val="0"/>
          <w:snapToGrid w:val="0"/>
          <w:color w:val="FF0000"/>
          <w:kern w:val="0"/>
          <w:sz w:val="24"/>
          <w:szCs w:val="24"/>
          <w:highlight w:val="none"/>
          <w:u w:val="none"/>
          <w:lang w:val="en-US" w:eastAsia="en-US" w:bidi="ar-SA"/>
        </w:rPr>
      </w:pPr>
      <w:r>
        <w:rPr>
          <w:rFonts w:hint="eastAsia" w:ascii="宋体" w:hAnsi="宋体" w:eastAsia="宋体" w:cs="宋体"/>
          <w:i w:val="0"/>
          <w:iCs w:val="0"/>
          <w:snapToGrid w:val="0"/>
          <w:color w:val="FF0000"/>
          <w:kern w:val="0"/>
          <w:sz w:val="24"/>
          <w:szCs w:val="24"/>
          <w:highlight w:val="none"/>
          <w:u w:val="none"/>
          <w:lang w:val="en-US" w:eastAsia="en-US" w:bidi="ar-SA"/>
        </w:rPr>
        <w:t>本项目服务费用按单价进行结算。</w:t>
      </w:r>
    </w:p>
    <w:p w14:paraId="4221D444">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en-US" w:bidi="ar-SA"/>
        </w:rPr>
        <w:t>2.履约保证金：本项目不收取履约保证金</w:t>
      </w:r>
    </w:p>
    <w:p w14:paraId="0F22E783">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i w:val="0"/>
          <w:iCs w:val="0"/>
          <w:snapToGrid w:val="0"/>
          <w:color w:val="000000"/>
          <w:kern w:val="0"/>
          <w:sz w:val="28"/>
          <w:szCs w:val="28"/>
          <w:u w:val="none"/>
          <w:lang w:eastAsia="en-US"/>
        </w:rPr>
      </w:pPr>
      <w:r>
        <w:rPr>
          <w:rFonts w:hint="eastAsia" w:ascii="宋体" w:hAnsi="宋体" w:eastAsia="宋体" w:cs="宋体"/>
          <w:b/>
          <w:i w:val="0"/>
          <w:iCs w:val="0"/>
          <w:snapToGrid w:val="0"/>
          <w:color w:val="000000"/>
          <w:kern w:val="0"/>
          <w:sz w:val="28"/>
          <w:szCs w:val="28"/>
          <w:u w:val="none"/>
          <w:lang w:val="en-US" w:eastAsia="zh-CN"/>
        </w:rPr>
        <w:t>十一</w:t>
      </w:r>
      <w:r>
        <w:rPr>
          <w:rFonts w:hint="eastAsia" w:ascii="宋体" w:hAnsi="宋体" w:eastAsia="宋体" w:cs="宋体"/>
          <w:b/>
          <w:i w:val="0"/>
          <w:iCs w:val="0"/>
          <w:snapToGrid w:val="0"/>
          <w:color w:val="000000"/>
          <w:kern w:val="0"/>
          <w:sz w:val="28"/>
          <w:szCs w:val="28"/>
          <w:u w:val="none"/>
          <w:lang w:eastAsia="en-US"/>
        </w:rPr>
        <w:t>、报价要求</w:t>
      </w:r>
    </w:p>
    <w:p w14:paraId="6C129DBB">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left"/>
        <w:textAlignment w:val="baseline"/>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en-US" w:bidi="ar-SA"/>
        </w:rPr>
        <w:t>1.应根据国家收费标准并结合市场实际进行报价。本次采购文件所涉及货币币种均为人民币。</w:t>
      </w:r>
    </w:p>
    <w:p w14:paraId="16B971C3">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en-US" w:bidi="ar-SA"/>
        </w:rPr>
      </w:pPr>
      <w:r>
        <w:rPr>
          <w:rFonts w:hint="eastAsia" w:ascii="宋体" w:hAnsi="宋体" w:eastAsia="宋体" w:cs="宋体"/>
          <w:i/>
          <w:iCs/>
          <w:snapToGrid w:val="0"/>
          <w:color w:val="000000"/>
          <w:kern w:val="0"/>
          <w:sz w:val="24"/>
          <w:szCs w:val="24"/>
          <w:highlight w:val="yellow"/>
          <w:u w:val="single"/>
          <w:lang w:val="en-US" w:eastAsia="en-US" w:bidi="ar-SA"/>
        </w:rPr>
        <w:t>2</w:t>
      </w:r>
      <w:r>
        <w:rPr>
          <w:rFonts w:hint="eastAsia" w:ascii="宋体" w:hAnsi="宋体" w:eastAsia="宋体" w:cs="宋体"/>
          <w:i/>
          <w:iCs/>
          <w:snapToGrid w:val="0"/>
          <w:color w:val="000000"/>
          <w:kern w:val="0"/>
          <w:sz w:val="24"/>
          <w:szCs w:val="24"/>
          <w:highlight w:val="yellow"/>
          <w:u w:val="single"/>
          <w:lang w:val="en-US" w:eastAsia="zh-CN" w:bidi="ar-SA"/>
        </w:rPr>
        <w:t>.重度残疾人3300 元/人/月、轻度残疾人1800元/人/月，投标分项报价表中单价报价超过以上最高限价的按无效响应处理</w:t>
      </w:r>
      <w:r>
        <w:rPr>
          <w:rFonts w:hint="eastAsia" w:ascii="宋体" w:hAnsi="宋体" w:eastAsia="宋体" w:cs="宋体"/>
          <w:i/>
          <w:iCs/>
          <w:snapToGrid w:val="0"/>
          <w:color w:val="000000"/>
          <w:kern w:val="0"/>
          <w:sz w:val="24"/>
          <w:szCs w:val="24"/>
          <w:highlight w:val="yellow"/>
          <w:u w:val="single"/>
          <w:lang w:val="en-US" w:eastAsia="en-US" w:bidi="ar-SA"/>
        </w:rPr>
        <w:t>。</w:t>
      </w:r>
    </w:p>
    <w:p w14:paraId="365BCA3E">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left"/>
        <w:textAlignment w:val="baseline"/>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en-US" w:bidi="ar-SA"/>
        </w:rPr>
        <w:t>3.报价须包括完成本项目所需的人员劳务费、宣传材料费、办公设施、各种税费、利 润、商业保险费用、电费、燃气费及政策性文件规定及合同包含的所有风险、责任等。</w:t>
      </w:r>
    </w:p>
    <w:p w14:paraId="006952A7">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left"/>
        <w:textAlignment w:val="baseline"/>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en-US" w:bidi="ar-SA"/>
        </w:rPr>
        <w:t>4 、投标人聘用的所有人员均须按规定缴纳五险，月工资收入不得低于连云港最低工资标准。如未按照国家相关法律规定为聘用人员缴纳各项保险，发生任何的经济、法律纠 纷和人身损害赔偿等，由投标人自行解决。因投标人聘用人员的责任造成采购人财产损失 的，由投标人负责赔偿。</w:t>
      </w:r>
    </w:p>
    <w:p w14:paraId="1C1B90ED">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left"/>
        <w:textAlignment w:val="baseline"/>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en-US" w:bidi="ar-SA"/>
        </w:rPr>
        <w:t>5 、投标人的用工要符合国家的相关规定，必须与招聘人员签订用工合同，并将合同 复印件报给采购人，中标人派遣的聘用人员到采购人处工作要出具介绍信或派工单，不得 派遣内病退、退休人员。</w:t>
      </w:r>
    </w:p>
    <w:p w14:paraId="54260CF5">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snapToGrid w:val="0"/>
          <w:color w:val="000000"/>
          <w:kern w:val="0"/>
          <w:sz w:val="28"/>
          <w:szCs w:val="28"/>
          <w:lang w:val="en-US" w:eastAsia="en-US"/>
        </w:rPr>
      </w:pPr>
      <w:r>
        <w:rPr>
          <w:rFonts w:hint="eastAsia" w:ascii="宋体" w:hAnsi="宋体" w:eastAsia="宋体" w:cs="宋体"/>
          <w:b/>
          <w:snapToGrid w:val="0"/>
          <w:color w:val="000000"/>
          <w:kern w:val="0"/>
          <w:sz w:val="28"/>
          <w:szCs w:val="28"/>
          <w:lang w:val="en-US" w:eastAsia="zh-CN"/>
        </w:rPr>
        <w:t>十二</w:t>
      </w:r>
      <w:r>
        <w:rPr>
          <w:rFonts w:hint="eastAsia" w:ascii="宋体" w:hAnsi="宋体" w:eastAsia="宋体" w:cs="宋体"/>
          <w:b/>
          <w:snapToGrid w:val="0"/>
          <w:color w:val="000000"/>
          <w:kern w:val="0"/>
          <w:sz w:val="28"/>
          <w:szCs w:val="28"/>
          <w:lang w:val="en-US" w:eastAsia="en-US"/>
        </w:rPr>
        <w:t>、其他</w:t>
      </w:r>
    </w:p>
    <w:p w14:paraId="2B44D282">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1.采购人提供相应场所和托养服务基本设施设备交于中标人使用和维护；中标人可共 享或自行添置基本医疗、康复训练等设施设备。</w:t>
      </w:r>
    </w:p>
    <w:p w14:paraId="34D55AD4">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2.特别提醒投标人：工作中涉及的敏感资料、电子数据等相关信息，中标人应严格执 行保密的相关规定，不得以任何方式向任何第三人披露、泄露或许可第三人使用，否则追 究其相应法律责任。</w:t>
      </w:r>
    </w:p>
    <w:p w14:paraId="04BDE870">
      <w:pPr>
        <w:keepNext w:val="0"/>
        <w:keepLines w:val="0"/>
        <w:pageBreakBefore w:val="0"/>
        <w:widowControl/>
        <w:kinsoku/>
        <w:wordWrap/>
        <w:overflowPunct/>
        <w:topLinePunct w:val="0"/>
        <w:autoSpaceDE/>
        <w:autoSpaceDN/>
        <w:bidi w:val="0"/>
        <w:adjustRightInd w:val="0"/>
        <w:snapToGrid/>
        <w:spacing w:after="0" w:line="360" w:lineRule="auto"/>
        <w:ind w:firstLine="482" w:firstLineChars="200"/>
        <w:jc w:val="left"/>
        <w:textAlignment w:val="baseline"/>
        <w:rPr>
          <w:rFonts w:hint="eastAsia" w:ascii="宋体" w:hAnsi="宋体" w:eastAsia="宋体" w:cs="宋体"/>
          <w:b/>
          <w:bCs/>
          <w:snapToGrid w:val="0"/>
          <w:color w:val="000000"/>
          <w:kern w:val="0"/>
          <w:sz w:val="24"/>
          <w:szCs w:val="24"/>
          <w:highlight w:val="none"/>
          <w:lang w:val="en-US" w:eastAsia="zh-CN" w:bidi="ar-SA"/>
        </w:rPr>
      </w:pPr>
      <w:r>
        <w:rPr>
          <w:rFonts w:hint="eastAsia" w:ascii="宋体" w:hAnsi="宋体" w:eastAsia="宋体" w:cs="宋体"/>
          <w:b/>
          <w:bCs/>
          <w:snapToGrid w:val="0"/>
          <w:color w:val="000000"/>
          <w:kern w:val="0"/>
          <w:sz w:val="24"/>
          <w:szCs w:val="24"/>
          <w:highlight w:val="none"/>
          <w:lang w:val="en-US" w:eastAsia="zh-CN" w:bidi="ar-SA"/>
        </w:rPr>
        <w:t>3.采购人于中标公告发出之日起5个工作日内对中标人进行现场复查，中标人对提供的投标文件内容真实性负责，如发现中标人弄虚作假投标、中标，将取消中标资格，已签订合同的，由中标人承担违约责任，并赔偿给采购人造成的损失。</w:t>
      </w:r>
    </w:p>
    <w:p w14:paraId="4843A027">
      <w:pPr>
        <w:pageBreakBefore w:val="0"/>
        <w:wordWrap/>
        <w:overflowPunct/>
        <w:topLinePunct w:val="0"/>
        <w:bidi w:val="0"/>
        <w:spacing w:line="360" w:lineRule="auto"/>
        <w:jc w:val="center"/>
        <w:rPr>
          <w:rFonts w:hint="eastAsia" w:ascii="宋体" w:hAnsi="宋体" w:eastAsia="宋体" w:cs="宋体"/>
          <w:b/>
          <w:bCs/>
          <w:color w:val="000000"/>
          <w:sz w:val="30"/>
          <w:szCs w:val="30"/>
          <w:lang w:val="en-US" w:eastAsia="zh-CN"/>
        </w:rPr>
      </w:pPr>
      <w:r>
        <w:rPr>
          <w:rFonts w:hint="eastAsia" w:ascii="宋体" w:hAnsi="宋体" w:eastAsia="宋体" w:cs="宋体"/>
          <w:b/>
          <w:bCs/>
          <w:color w:val="000000"/>
          <w:sz w:val="30"/>
          <w:szCs w:val="30"/>
          <w:lang w:val="en-US" w:eastAsia="zh-CN"/>
        </w:rPr>
        <w:t>采购包3：</w:t>
      </w:r>
    </w:p>
    <w:p w14:paraId="60632D4F">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说明：本</w:t>
      </w:r>
      <w:r>
        <w:rPr>
          <w:rFonts w:hint="eastAsia" w:ascii="宋体" w:hAnsi="宋体" w:eastAsia="宋体" w:cs="宋体"/>
          <w:color w:val="000000"/>
          <w:sz w:val="24"/>
          <w:szCs w:val="24"/>
          <w:lang w:val="en-US" w:eastAsia="zh-CN"/>
        </w:rPr>
        <w:t>采购包</w:t>
      </w:r>
      <w:r>
        <w:rPr>
          <w:rFonts w:hint="eastAsia" w:ascii="宋体" w:hAnsi="宋体" w:eastAsia="宋体" w:cs="宋体"/>
          <w:color w:val="000000"/>
          <w:sz w:val="24"/>
          <w:szCs w:val="24"/>
        </w:rPr>
        <w:t>项目属</w:t>
      </w:r>
      <w:r>
        <w:rPr>
          <w:rFonts w:hint="eastAsia" w:ascii="宋体" w:hAnsi="宋体" w:eastAsia="宋体" w:cs="宋体"/>
          <w:color w:val="000000"/>
          <w:sz w:val="24"/>
          <w:szCs w:val="24"/>
          <w:lang w:val="en-US" w:eastAsia="zh-CN"/>
        </w:rPr>
        <w:t xml:space="preserve">性为服务，采购标的对应的中小企业划分标准所属行业为 </w:t>
      </w:r>
      <w:r>
        <w:rPr>
          <w:rFonts w:hint="eastAsia" w:ascii="宋体" w:hAnsi="宋体" w:eastAsia="宋体" w:cs="宋体"/>
          <w:b/>
          <w:bCs/>
          <w:color w:val="FF0000"/>
          <w:sz w:val="24"/>
          <w:szCs w:val="24"/>
          <w:u w:val="single"/>
          <w:lang w:val="en-US" w:eastAsia="zh-CN"/>
        </w:rPr>
        <w:t xml:space="preserve">其他未列明行业 </w:t>
      </w:r>
      <w:r>
        <w:rPr>
          <w:rFonts w:hint="eastAsia" w:ascii="宋体" w:hAnsi="宋体" w:eastAsia="宋体" w:cs="宋体"/>
          <w:color w:val="000000"/>
          <w:sz w:val="24"/>
          <w:szCs w:val="24"/>
          <w:lang w:val="en-US" w:eastAsia="zh-CN"/>
        </w:rPr>
        <w:t>，</w:t>
      </w:r>
    </w:p>
    <w:p w14:paraId="197DC00B">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1、根据《政府采购需求管理办法》等有关规定，采购人确定采购需求。</w:t>
      </w:r>
    </w:p>
    <w:p w14:paraId="1111BD71">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b/>
          <w:color w:val="000000"/>
          <w:sz w:val="24"/>
          <w:szCs w:val="24"/>
        </w:rPr>
        <w:t>本招标文件中</w:t>
      </w:r>
      <w:r>
        <w:rPr>
          <w:rFonts w:hint="eastAsia" w:ascii="宋体" w:hAnsi="宋体" w:eastAsia="宋体" w:cs="宋体"/>
          <w:b/>
          <w:i/>
          <w:iCs w:val="0"/>
          <w:color w:val="FF0000"/>
          <w:sz w:val="24"/>
          <w:szCs w:val="24"/>
          <w:u w:val="single"/>
        </w:rPr>
        <w:t>斜体且有下划线部分</w:t>
      </w:r>
      <w:r>
        <w:rPr>
          <w:rFonts w:hint="eastAsia" w:ascii="宋体" w:hAnsi="宋体" w:eastAsia="宋体" w:cs="宋体"/>
          <w:b/>
          <w:color w:val="000000"/>
          <w:sz w:val="24"/>
          <w:szCs w:val="24"/>
        </w:rPr>
        <w:t>为实质性要求和条件</w:t>
      </w:r>
      <w:r>
        <w:rPr>
          <w:rFonts w:hint="eastAsia" w:ascii="宋体" w:hAnsi="宋体" w:eastAsia="宋体" w:cs="宋体"/>
          <w:color w:val="000000"/>
          <w:sz w:val="24"/>
          <w:szCs w:val="24"/>
        </w:rPr>
        <w:t>，由采购人根据实际情况设置，投标人须逐条明确作出满足实质性要求和条件的响应，否则将按无效响应处理。</w:t>
      </w:r>
    </w:p>
    <w:tbl>
      <w:tblPr>
        <w:tblStyle w:val="28"/>
        <w:tblW w:w="93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8523"/>
      </w:tblGrid>
      <w:tr w14:paraId="16ED8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39" w:type="dxa"/>
            <w:gridSpan w:val="2"/>
            <w:noWrap w:val="0"/>
            <w:vAlign w:val="center"/>
          </w:tcPr>
          <w:p w14:paraId="375DDEB7">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采购需求中须满足的实质性要求和条件</w:t>
            </w:r>
          </w:p>
        </w:tc>
      </w:tr>
      <w:tr w14:paraId="451CB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40370335">
            <w:pPr>
              <w:pageBreakBefore w:val="0"/>
              <w:wordWrap/>
              <w:overflowPunct/>
              <w:topLinePunct w:val="0"/>
              <w:bidi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8523" w:type="dxa"/>
            <w:noWrap w:val="0"/>
            <w:vAlign w:val="top"/>
          </w:tcPr>
          <w:p w14:paraId="531C6078">
            <w:pPr>
              <w:pageBreakBefore w:val="0"/>
              <w:wordWrap/>
              <w:overflowPunct/>
              <w:topLinePunct w:val="0"/>
              <w:bidi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实质性要求和条件</w:t>
            </w:r>
          </w:p>
        </w:tc>
      </w:tr>
      <w:tr w14:paraId="76618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center"/>
          </w:tcPr>
          <w:p w14:paraId="2F398F11">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8523" w:type="dxa"/>
            <w:noWrap w:val="0"/>
            <w:vAlign w:val="top"/>
          </w:tcPr>
          <w:p w14:paraId="7B75153D">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i/>
                <w:iCs/>
                <w:snapToGrid w:val="0"/>
                <w:color w:val="000000"/>
                <w:kern w:val="0"/>
                <w:sz w:val="28"/>
                <w:szCs w:val="28"/>
                <w:u w:val="single"/>
                <w:lang w:val="en-US" w:eastAsia="zh-CN"/>
              </w:rPr>
            </w:pPr>
            <w:r>
              <w:rPr>
                <w:rFonts w:hint="eastAsia" w:ascii="宋体" w:hAnsi="宋体" w:eastAsia="宋体" w:cs="宋体"/>
                <w:b/>
                <w:bCs/>
                <w:i/>
                <w:iCs/>
                <w:snapToGrid w:val="0"/>
                <w:color w:val="000000"/>
                <w:kern w:val="0"/>
                <w:sz w:val="28"/>
                <w:szCs w:val="28"/>
                <w:u w:val="single"/>
                <w:lang w:val="en-US" w:eastAsia="zh-CN"/>
              </w:rPr>
              <w:t>五、人员配备要求</w:t>
            </w:r>
          </w:p>
          <w:p w14:paraId="576AA5F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专职服务人员与托养人员比例不低于 1 ：5 。（本项目人员配备要求根据暂定人数</w:t>
            </w:r>
            <w:r>
              <w:rPr>
                <w:rFonts w:hint="eastAsia" w:ascii="宋体" w:hAnsi="宋体" w:eastAsia="宋体" w:cs="宋体"/>
                <w:i/>
                <w:iCs/>
                <w:snapToGrid w:val="0"/>
                <w:color w:val="FF0000"/>
                <w:kern w:val="0"/>
                <w:sz w:val="24"/>
                <w:szCs w:val="24"/>
                <w:highlight w:val="yellow"/>
                <w:u w:val="single"/>
                <w:lang w:val="en-US" w:eastAsia="zh-CN" w:bidi="ar-SA"/>
              </w:rPr>
              <w:t>45人</w:t>
            </w:r>
            <w:r>
              <w:rPr>
                <w:rFonts w:hint="eastAsia" w:ascii="宋体" w:hAnsi="宋体" w:eastAsia="宋体" w:cs="宋体"/>
                <w:i/>
                <w:iCs/>
                <w:snapToGrid w:val="0"/>
                <w:color w:val="000000"/>
                <w:kern w:val="0"/>
                <w:sz w:val="24"/>
                <w:szCs w:val="24"/>
                <w:u w:val="single"/>
                <w:lang w:val="en-US" w:eastAsia="zh-CN" w:bidi="ar-SA"/>
              </w:rPr>
              <w:t>进行配备）</w:t>
            </w:r>
          </w:p>
          <w:p w14:paraId="65B9080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（1）项目负责人</w:t>
            </w:r>
            <w:r>
              <w:rPr>
                <w:rFonts w:hint="eastAsia" w:ascii="宋体" w:hAnsi="宋体" w:eastAsia="宋体" w:cs="宋体"/>
                <w:i/>
                <w:iCs/>
                <w:snapToGrid w:val="0"/>
                <w:color w:val="000000"/>
                <w:kern w:val="0"/>
                <w:sz w:val="24"/>
                <w:szCs w:val="24"/>
                <w:u w:val="single"/>
                <w:lang w:val="en-US" w:eastAsia="zh-CN" w:bidi="ar-SA"/>
              </w:rPr>
              <w:t>：专职负责人1人，从事过管理工作，具有社会工作类、社会福利类或康复医疗类等相关学习培训经历，熟悉残疾人相关法律法规与政策，熟练掌握残疾人托养的基本知识和专业知识，年龄</w:t>
            </w:r>
            <w:r>
              <w:rPr>
                <w:rFonts w:hint="eastAsia" w:ascii="宋体" w:hAnsi="宋体" w:eastAsia="宋体" w:cs="宋体"/>
                <w:i/>
                <w:iCs/>
                <w:snapToGrid w:val="0"/>
                <w:color w:val="auto"/>
                <w:kern w:val="0"/>
                <w:sz w:val="24"/>
                <w:szCs w:val="24"/>
                <w:highlight w:val="none"/>
                <w:u w:val="single"/>
                <w:lang w:val="en-US" w:eastAsia="zh-CN" w:bidi="ar-SA"/>
              </w:rPr>
              <w:t>不宜超过55周岁，2 年以上工作经验。</w:t>
            </w:r>
          </w:p>
          <w:p w14:paraId="26A8F6E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b/>
                <w:bCs/>
                <w:i/>
                <w:iCs/>
                <w:snapToGrid w:val="0"/>
                <w:color w:val="auto"/>
                <w:kern w:val="0"/>
                <w:sz w:val="24"/>
                <w:szCs w:val="24"/>
                <w:highlight w:val="none"/>
                <w:u w:val="single"/>
                <w:lang w:val="en-US" w:eastAsia="zh-CN" w:bidi="ar-SA"/>
              </w:rPr>
              <w:t>（2）各类专业人员</w:t>
            </w:r>
            <w:r>
              <w:rPr>
                <w:rFonts w:hint="eastAsia" w:ascii="宋体" w:hAnsi="宋体" w:eastAsia="宋体" w:cs="宋体"/>
                <w:i/>
                <w:iCs/>
                <w:snapToGrid w:val="0"/>
                <w:color w:val="auto"/>
                <w:kern w:val="0"/>
                <w:sz w:val="24"/>
                <w:szCs w:val="24"/>
                <w:highlight w:val="none"/>
                <w:u w:val="single"/>
                <w:lang w:val="en-US" w:eastAsia="zh-CN" w:bidi="ar-SA"/>
              </w:rPr>
              <w:t xml:space="preserve"> </w:t>
            </w:r>
          </w:p>
          <w:p w14:paraId="6A8998D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1.专业人员配置</w:t>
            </w:r>
          </w:p>
          <w:p w14:paraId="066DCF8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1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①</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yellow"/>
                <w:u w:val="single"/>
                <w:lang w:val="en-US" w:eastAsia="zh-CN" w:bidi="ar-SA"/>
              </w:rPr>
              <w:t>护理人员不少于9名</w:t>
            </w:r>
            <w:r>
              <w:rPr>
                <w:rFonts w:hint="eastAsia" w:ascii="宋体" w:hAnsi="宋体" w:eastAsia="宋体" w:cs="宋体"/>
                <w:i/>
                <w:iCs/>
                <w:snapToGrid w:val="0"/>
                <w:color w:val="auto"/>
                <w:kern w:val="0"/>
                <w:sz w:val="24"/>
                <w:szCs w:val="24"/>
                <w:highlight w:val="none"/>
                <w:u w:val="single"/>
                <w:lang w:val="en-US" w:eastAsia="zh-CN" w:bidi="ar-SA"/>
              </w:rPr>
              <w:t>，具有中专及以上相关或相近学历，持有护理证书或培训证书。</w:t>
            </w:r>
          </w:p>
          <w:p w14:paraId="0102536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2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②</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医生不少于1名，具有卫生行政主管部门颁发的执业医师执照，2 年以上执业医生工作经验。</w:t>
            </w:r>
          </w:p>
          <w:p w14:paraId="336B59E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3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③</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护士不少于1名。具有中专及以上相关或相近学历，护士资格证书。</w:t>
            </w:r>
          </w:p>
          <w:p w14:paraId="4DDE0A1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4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④</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财务管理人员</w:t>
            </w:r>
            <w:r>
              <w:rPr>
                <w:rFonts w:hint="eastAsia" w:ascii="宋体" w:hAnsi="宋体" w:eastAsia="宋体" w:cs="宋体"/>
                <w:b w:val="0"/>
                <w:bCs w:val="0"/>
                <w:i/>
                <w:iCs/>
                <w:snapToGrid w:val="0"/>
                <w:color w:val="auto"/>
                <w:kern w:val="0"/>
                <w:sz w:val="24"/>
                <w:szCs w:val="24"/>
                <w:highlight w:val="none"/>
                <w:u w:val="single"/>
                <w:lang w:val="en-US" w:eastAsia="zh-CN" w:bidi="ar-SA"/>
              </w:rPr>
              <w:t>1名</w:t>
            </w:r>
            <w:r>
              <w:rPr>
                <w:rFonts w:hint="eastAsia" w:ascii="宋体" w:hAnsi="宋体" w:eastAsia="宋体" w:cs="宋体"/>
                <w:i/>
                <w:iCs/>
                <w:snapToGrid w:val="0"/>
                <w:color w:val="auto"/>
                <w:kern w:val="0"/>
                <w:sz w:val="24"/>
                <w:szCs w:val="24"/>
                <w:highlight w:val="none"/>
                <w:u w:val="single"/>
                <w:lang w:val="en-US" w:eastAsia="zh-CN" w:bidi="ar-SA"/>
              </w:rPr>
              <w:t>，具有中专及以上学历或相关会计类证书或职称。</w:t>
            </w:r>
          </w:p>
          <w:p w14:paraId="4B8809C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highlight w:val="yellow"/>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5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⑤</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康复、心理咨询等专业技术人员，各1人，具有</w:t>
            </w:r>
            <w:r>
              <w:rPr>
                <w:rFonts w:hint="eastAsia" w:ascii="宋体" w:hAnsi="宋体" w:eastAsia="宋体" w:cs="宋体"/>
                <w:i/>
                <w:iCs/>
                <w:snapToGrid w:val="0"/>
                <w:color w:val="000000"/>
                <w:kern w:val="0"/>
                <w:sz w:val="24"/>
                <w:szCs w:val="24"/>
                <w:highlight w:val="none"/>
                <w:u w:val="single"/>
                <w:lang w:val="en-US" w:eastAsia="zh-CN" w:bidi="ar-SA"/>
              </w:rPr>
              <w:t>相关专业学历或专业职称证书。</w:t>
            </w:r>
          </w:p>
          <w:p w14:paraId="53EA7BA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⑥厨师1人，具有健康证。</w:t>
            </w:r>
          </w:p>
          <w:p w14:paraId="23EDBE1F">
            <w:pPr>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firstLine="482"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bCs/>
                <w:i/>
                <w:iCs/>
                <w:snapToGrid w:val="0"/>
                <w:color w:val="auto"/>
                <w:kern w:val="0"/>
                <w:sz w:val="24"/>
                <w:szCs w:val="24"/>
                <w:highlight w:val="none"/>
                <w:u w:val="single"/>
                <w:lang w:val="en-US" w:eastAsia="zh-CN" w:bidi="ar-SA"/>
              </w:rPr>
              <w:t>注：以上团队人员提供相关证书及证明材料，项目负责人必须提供由本单位缴纳的2025年5月以来任意一个月社保缴纳证明，其余人员提供有效的劳动合同，所有人员不得提供退休证明。</w:t>
            </w:r>
          </w:p>
        </w:tc>
      </w:tr>
      <w:tr w14:paraId="55854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center"/>
          </w:tcPr>
          <w:p w14:paraId="04F2159B">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8523" w:type="dxa"/>
            <w:noWrap w:val="0"/>
            <w:vAlign w:val="top"/>
          </w:tcPr>
          <w:p w14:paraId="758C0A59">
            <w:pPr>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i/>
                <w:iCs/>
                <w:snapToGrid w:val="0"/>
                <w:color w:val="000000"/>
                <w:kern w:val="0"/>
                <w:sz w:val="28"/>
                <w:szCs w:val="28"/>
                <w:u w:val="single"/>
                <w:lang w:val="en-US" w:eastAsia="zh-CN"/>
              </w:rPr>
            </w:pPr>
            <w:r>
              <w:rPr>
                <w:rFonts w:hint="eastAsia" w:ascii="宋体" w:hAnsi="宋体" w:cs="宋体"/>
                <w:b w:val="0"/>
                <w:bCs w:val="0"/>
                <w:i/>
                <w:iCs/>
                <w:snapToGrid w:val="0"/>
                <w:color w:val="000000"/>
                <w:kern w:val="0"/>
                <w:sz w:val="28"/>
                <w:szCs w:val="28"/>
                <w:u w:val="single"/>
                <w:lang w:val="en-US" w:eastAsia="zh-CN"/>
              </w:rPr>
              <w:t>六、</w:t>
            </w:r>
            <w:r>
              <w:rPr>
                <w:rFonts w:hint="eastAsia" w:ascii="宋体" w:hAnsi="宋体" w:eastAsia="宋体" w:cs="宋体"/>
                <w:b w:val="0"/>
                <w:bCs w:val="0"/>
                <w:i/>
                <w:iCs/>
                <w:snapToGrid w:val="0"/>
                <w:color w:val="000000"/>
                <w:kern w:val="0"/>
                <w:sz w:val="28"/>
                <w:szCs w:val="28"/>
                <w:u w:val="single"/>
                <w:lang w:val="en-US" w:eastAsia="zh-CN"/>
              </w:rPr>
              <w:t>场地、设施与环境要求</w:t>
            </w:r>
          </w:p>
          <w:p w14:paraId="0482C5F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i/>
                <w:iCs/>
                <w:snapToGrid w:val="0"/>
                <w:color w:val="000000"/>
                <w:kern w:val="0"/>
                <w:sz w:val="24"/>
                <w:szCs w:val="24"/>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（1）场地要求</w:t>
            </w:r>
          </w:p>
          <w:p w14:paraId="1D98402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1. 在东海县区域内有固定服务场所，且为自有用房或协议承租不少于三年以上。</w:t>
            </w:r>
          </w:p>
          <w:p w14:paraId="2D6717E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2. 建筑面积、活动场地及配套设施应满足托养人数、托养服务内容要求。</w:t>
            </w:r>
          </w:p>
          <w:p w14:paraId="6FFEFA4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3. 机构宜设置在交通便利的城区或近郊区的地段，公共交通便利。　</w:t>
            </w:r>
          </w:p>
          <w:p w14:paraId="15E6F7C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4. 能提供残疾人寄宿制托养所必需的起居室、食堂、浴室、护理保健室、辅助性劳动工作间、文体活动室等功能用房。</w:t>
            </w:r>
          </w:p>
          <w:p w14:paraId="02DD919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5. 房屋建筑质量安全，消防设施符合《消防安全标志设置要求》并取得消防许可资质;公共标识设置应符合《标志用公共信息图形符号》的规定。环境安静、远离污染源及易燃易爆物生产和贮存区、高压线路及其设施;宜为低层建筑，如与其他建筑合并建设应设置于低层部分;有独立出入口。</w:t>
            </w:r>
          </w:p>
          <w:p w14:paraId="37FB8A4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6. 托养机构的过道、洗手间、食堂等公共场所使用防滑、防跌地面材料，装有无障碍设施，建筑设计符合《无障碍设计规范》的规定要求。</w:t>
            </w:r>
          </w:p>
          <w:p w14:paraId="5AE0578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7. 环境整洁、卫生，保持空气流通，具备充足的采光条件。</w:t>
            </w:r>
          </w:p>
          <w:p w14:paraId="665A65A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8.食堂取得《餐饮服务许可证》、《卫生许可证》。</w:t>
            </w:r>
          </w:p>
          <w:p w14:paraId="4A64556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i/>
                <w:iCs/>
                <w:snapToGrid w:val="0"/>
                <w:color w:val="000000"/>
                <w:kern w:val="0"/>
                <w:sz w:val="24"/>
                <w:szCs w:val="24"/>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（2）设备要求</w:t>
            </w:r>
          </w:p>
          <w:p w14:paraId="512582D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1. 服务场所装有空调或其他适用的取暖、降温设备，提供全天候热水供应。</w:t>
            </w:r>
          </w:p>
          <w:p w14:paraId="6E1EA08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2. 服务场所配置照明设备，公共区域设置应急照明灯。</w:t>
            </w:r>
          </w:p>
          <w:p w14:paraId="0042240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3. 服务场所配备养护起居、护理保健和文体活动等基本设施，设备完好。</w:t>
            </w:r>
          </w:p>
          <w:p w14:paraId="0563E96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i/>
                <w:iCs/>
                <w:snapToGrid w:val="0"/>
                <w:color w:val="000000"/>
                <w:kern w:val="0"/>
                <w:sz w:val="24"/>
                <w:szCs w:val="24"/>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（3）设施与环境要求</w:t>
            </w:r>
          </w:p>
          <w:p w14:paraId="16548E5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1.场地设置在交通便利、环境良好、有适当人流的区域，有固定的服务场所,房屋建筑质量和无障碍设施应符合相关要求。</w:t>
            </w:r>
          </w:p>
          <w:p w14:paraId="2639BF2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2.室内环境应整洁、卫生，应有充足的采光条件，卫生间应有安全防护措施,通风良好、保持清洁无异味。</w:t>
            </w:r>
          </w:p>
          <w:p w14:paraId="270BA4C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3.设置公共洗涤场所，配各洗涤用具并有热水供应。</w:t>
            </w:r>
          </w:p>
          <w:p w14:paraId="32653E7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4.服务场所有取暖、降温设备,温度适宜。应配置适宜的照明、消防设备，公共区域设置应急照明灯，居室和卫生间配置紧急呼叫设备。</w:t>
            </w:r>
          </w:p>
          <w:p w14:paraId="42889AA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5.服务场所应配置应急处理所需的急救药箱、轮椅等与障碍程度相适应的设备，宜提供康复器械、运动器材、图书报刊、电 视机、计算机和互联网等设备。</w:t>
            </w:r>
          </w:p>
          <w:p w14:paraId="0CCA19D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6.场所设置消防、公共信息等安全标志。</w:t>
            </w:r>
          </w:p>
          <w:p w14:paraId="0E08BA0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7.设置起居室、食堂、卫生保健室、康复训练室、辅助性就业室、文体活动室等，并配备养护起居、护理服务、文体活动等设施。可根据需要设置心理辅导室,并配各相应的设施。生活用房的使用面积，单人间不小于10平方米；双人间不小于 15 平方米；三人间不小于 20 平方米（上述面积标 准不包括卫生间）。室外活动场所的面积不小于人均 5 平方米。</w:t>
            </w:r>
          </w:p>
          <w:p w14:paraId="2534F08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b w:val="0"/>
                <w:bCs w:val="0"/>
                <w:i/>
                <w:iCs/>
                <w:snapToGrid w:val="0"/>
                <w:color w:val="000000"/>
                <w:kern w:val="0"/>
                <w:sz w:val="28"/>
                <w:szCs w:val="28"/>
                <w:u w:val="single"/>
                <w:lang w:val="en-US" w:eastAsia="zh-CN"/>
              </w:rPr>
            </w:pPr>
            <w:r>
              <w:rPr>
                <w:rFonts w:hint="eastAsia" w:ascii="宋体" w:hAnsi="宋体" w:eastAsia="宋体" w:cs="宋体"/>
                <w:i/>
                <w:iCs/>
                <w:snapToGrid w:val="0"/>
                <w:color w:val="000000"/>
                <w:kern w:val="0"/>
                <w:sz w:val="24"/>
                <w:szCs w:val="24"/>
                <w:highlight w:val="yellow"/>
                <w:u w:val="single"/>
                <w:lang w:val="en-US" w:eastAsia="zh-CN" w:bidi="ar-SA"/>
              </w:rPr>
              <w:t>注：以上内容须提供照片需添加水印定位（定位需和营业执照位置一致）</w:t>
            </w:r>
          </w:p>
        </w:tc>
      </w:tr>
      <w:tr w14:paraId="42E0E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center"/>
          </w:tcPr>
          <w:p w14:paraId="1BBB09F9">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8523" w:type="dxa"/>
            <w:noWrap w:val="0"/>
            <w:vAlign w:val="top"/>
          </w:tcPr>
          <w:p w14:paraId="1E3EC85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b w:val="0"/>
                <w:bCs w:val="0"/>
                <w:snapToGrid w:val="0"/>
                <w:color w:val="000000"/>
                <w:kern w:val="0"/>
                <w:sz w:val="28"/>
                <w:szCs w:val="28"/>
                <w:highlight w:val="none"/>
                <w:lang w:val="en-US" w:eastAsia="zh-CN" w:bidi="ar-SA"/>
              </w:rPr>
            </w:pPr>
            <w:r>
              <w:rPr>
                <w:rFonts w:hint="eastAsia" w:ascii="宋体" w:hAnsi="宋体" w:eastAsia="宋体" w:cs="宋体"/>
                <w:b w:val="0"/>
                <w:bCs w:val="0"/>
                <w:i/>
                <w:iCs/>
                <w:snapToGrid w:val="0"/>
                <w:color w:val="000000"/>
                <w:kern w:val="0"/>
                <w:sz w:val="28"/>
                <w:szCs w:val="28"/>
                <w:highlight w:val="none"/>
                <w:u w:val="single"/>
                <w:lang w:val="en-US" w:eastAsia="zh-CN" w:bidi="ar-SA"/>
              </w:rPr>
              <w:t>七、服务期限</w:t>
            </w:r>
          </w:p>
          <w:p w14:paraId="169BB97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b w:val="0"/>
                <w:bCs w:val="0"/>
                <w:color w:val="000000"/>
                <w:sz w:val="24"/>
                <w:szCs w:val="24"/>
                <w:highlight w:val="none"/>
              </w:rPr>
            </w:pPr>
            <w:r>
              <w:rPr>
                <w:rFonts w:hint="eastAsia" w:ascii="宋体" w:hAnsi="宋体" w:eastAsia="宋体" w:cs="宋体"/>
                <w:b w:val="0"/>
                <w:bCs w:val="0"/>
                <w:i/>
                <w:iCs/>
                <w:snapToGrid w:val="0"/>
                <w:color w:val="000000"/>
                <w:kern w:val="0"/>
                <w:sz w:val="24"/>
                <w:szCs w:val="24"/>
                <w:highlight w:val="none"/>
                <w:u w:val="single"/>
                <w:lang w:val="en-US" w:eastAsia="zh-CN" w:bidi="ar-SA"/>
              </w:rPr>
              <w:t>服务时间：1 年（合同约定时间起算）。</w:t>
            </w:r>
          </w:p>
        </w:tc>
      </w:tr>
      <w:tr w14:paraId="40BE9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center"/>
          </w:tcPr>
          <w:p w14:paraId="5A74A74B">
            <w:pPr>
              <w:pageBreakBefore w:val="0"/>
              <w:wordWrap/>
              <w:overflowPunct/>
              <w:topLinePunct w:val="0"/>
              <w:bidi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8523" w:type="dxa"/>
            <w:noWrap w:val="0"/>
            <w:vAlign w:val="top"/>
          </w:tcPr>
          <w:p w14:paraId="1B0A74F5">
            <w:pPr>
              <w:keepNext w:val="0"/>
              <w:keepLines w:val="0"/>
              <w:pageBreakBefore w:val="0"/>
              <w:widowControl/>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b w:val="0"/>
                <w:bCs w:val="0"/>
                <w:i/>
                <w:iCs/>
                <w:snapToGrid w:val="0"/>
                <w:color w:val="000000"/>
                <w:kern w:val="0"/>
                <w:sz w:val="24"/>
                <w:szCs w:val="24"/>
                <w:highlight w:val="none"/>
                <w:u w:val="single"/>
                <w:lang w:val="en-US" w:eastAsia="en-US" w:bidi="ar-SA"/>
              </w:rPr>
            </w:pPr>
            <w:r>
              <w:rPr>
                <w:rFonts w:hint="eastAsia" w:ascii="宋体" w:hAnsi="宋体" w:eastAsia="宋体" w:cs="宋体"/>
                <w:b w:val="0"/>
                <w:bCs w:val="0"/>
                <w:i/>
                <w:iCs/>
                <w:snapToGrid w:val="0"/>
                <w:color w:val="000000"/>
                <w:kern w:val="0"/>
                <w:sz w:val="24"/>
                <w:szCs w:val="24"/>
                <w:highlight w:val="none"/>
                <w:u w:val="single"/>
                <w:lang w:val="en-US" w:eastAsia="en-US" w:bidi="ar-SA"/>
              </w:rPr>
              <w:t>1.付款方式：</w:t>
            </w:r>
          </w:p>
          <w:p w14:paraId="4A951B63">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b w:val="0"/>
                <w:bCs w:val="0"/>
                <w:color w:val="000000"/>
                <w:sz w:val="24"/>
                <w:szCs w:val="24"/>
                <w:highlight w:val="none"/>
              </w:rPr>
            </w:pPr>
            <w:r>
              <w:rPr>
                <w:rFonts w:hint="eastAsia" w:ascii="宋体" w:hAnsi="宋体" w:eastAsia="宋体" w:cs="宋体"/>
                <w:b w:val="0"/>
                <w:bCs w:val="0"/>
                <w:i/>
                <w:iCs/>
                <w:snapToGrid w:val="0"/>
                <w:color w:val="000000"/>
                <w:kern w:val="0"/>
                <w:sz w:val="24"/>
                <w:szCs w:val="24"/>
                <w:highlight w:val="none"/>
                <w:u w:val="single"/>
                <w:lang w:val="en-US" w:eastAsia="zh-CN" w:bidi="ar-SA"/>
              </w:rPr>
              <w:t>合同签订后，托养经费分别由县残联在每服务季度按照托养机构服务人数、服务标准全额测算，每季度根据考核指标报财政据实拨付。考核结果低于85分的，暂缓拨付经费，整改完成后拨付。每次付款前投标人应向甲方开具正规发票，否则迟延付款的责任由投标人自行承担。</w:t>
            </w:r>
          </w:p>
        </w:tc>
      </w:tr>
      <w:tr w14:paraId="05F0B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center"/>
          </w:tcPr>
          <w:p w14:paraId="7E7F4559">
            <w:pPr>
              <w:pageBreakBefore w:val="0"/>
              <w:wordWrap/>
              <w:overflowPunct/>
              <w:topLinePunct w:val="0"/>
              <w:bidi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8523" w:type="dxa"/>
            <w:noWrap w:val="0"/>
            <w:vAlign w:val="top"/>
          </w:tcPr>
          <w:p w14:paraId="785FD216">
            <w:pPr>
              <w:pageBreakBefore w:val="0"/>
              <w:wordWrap/>
              <w:overflowPunct/>
              <w:topLinePunct w:val="0"/>
              <w:bidi w:val="0"/>
              <w:spacing w:line="360" w:lineRule="auto"/>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i/>
                <w:iCs/>
                <w:snapToGrid w:val="0"/>
                <w:color w:val="000000"/>
                <w:kern w:val="0"/>
                <w:sz w:val="24"/>
                <w:szCs w:val="24"/>
                <w:highlight w:val="none"/>
                <w:u w:val="single"/>
                <w:lang w:val="en-US" w:eastAsia="en-US" w:bidi="ar-SA"/>
              </w:rPr>
              <w:t>2</w:t>
            </w:r>
            <w:r>
              <w:rPr>
                <w:rFonts w:hint="eastAsia" w:ascii="宋体" w:hAnsi="宋体" w:eastAsia="宋体" w:cs="宋体"/>
                <w:b w:val="0"/>
                <w:bCs w:val="0"/>
                <w:i/>
                <w:iCs/>
                <w:snapToGrid w:val="0"/>
                <w:color w:val="000000"/>
                <w:kern w:val="0"/>
                <w:sz w:val="24"/>
                <w:szCs w:val="24"/>
                <w:highlight w:val="none"/>
                <w:u w:val="single"/>
                <w:lang w:val="en-US" w:eastAsia="zh-CN" w:bidi="ar-SA"/>
              </w:rPr>
              <w:t>.重度残疾人3300 元/人/月、轻度残疾人1800元/人/月，投标分项报价表中单价报价超过以上最高限价的按无效响应处理</w:t>
            </w:r>
            <w:r>
              <w:rPr>
                <w:rFonts w:hint="eastAsia" w:ascii="宋体" w:hAnsi="宋体" w:eastAsia="宋体" w:cs="宋体"/>
                <w:b w:val="0"/>
                <w:bCs w:val="0"/>
                <w:i/>
                <w:iCs/>
                <w:snapToGrid w:val="0"/>
                <w:color w:val="000000"/>
                <w:kern w:val="0"/>
                <w:sz w:val="24"/>
                <w:szCs w:val="24"/>
                <w:highlight w:val="none"/>
                <w:u w:val="single"/>
                <w:lang w:val="en-US" w:eastAsia="en-US" w:bidi="ar-SA"/>
              </w:rPr>
              <w:t>。</w:t>
            </w:r>
          </w:p>
        </w:tc>
      </w:tr>
    </w:tbl>
    <w:p w14:paraId="4F48B73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2" w:firstLineChars="200"/>
        <w:jc w:val="left"/>
        <w:textAlignment w:val="baseline"/>
        <w:rPr>
          <w:rFonts w:hint="eastAsia" w:ascii="宋体" w:hAnsi="宋体" w:eastAsia="宋体" w:cs="宋体"/>
          <w:b/>
          <w:bCs/>
          <w:snapToGrid w:val="0"/>
          <w:color w:val="000000"/>
          <w:kern w:val="0"/>
          <w:sz w:val="28"/>
          <w:szCs w:val="28"/>
          <w:lang w:val="en-US" w:eastAsia="zh-CN" w:bidi="ar-SA"/>
        </w:rPr>
      </w:pPr>
      <w:r>
        <w:rPr>
          <w:rFonts w:hint="eastAsia" w:ascii="宋体" w:hAnsi="宋体" w:eastAsia="宋体" w:cs="宋体"/>
          <w:b/>
          <w:bCs/>
          <w:snapToGrid w:val="0"/>
          <w:color w:val="000000"/>
          <w:kern w:val="0"/>
          <w:sz w:val="28"/>
          <w:szCs w:val="28"/>
          <w:lang w:val="en-US" w:eastAsia="zh-CN" w:bidi="ar-SA"/>
        </w:rPr>
        <w:t>一、项目概况</w:t>
      </w:r>
    </w:p>
    <w:p w14:paraId="11E3770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auto"/>
          <w:kern w:val="0"/>
          <w:sz w:val="24"/>
          <w:szCs w:val="24"/>
          <w:highlight w:val="none"/>
          <w:lang w:val="en-US" w:eastAsia="zh-CN" w:bidi="ar-SA"/>
        </w:rPr>
        <w:t>以习近平新时代中国特色社会主义思想为指导，全面贯彻落实党的二十大精神，坚持以增进残疾人民生福祉为导向，进一步健全残疾人托养服务体系，提高托养服务质量，增强托养服务的均衡性和可及性，不断增强残疾人的获得感、幸福感、安全感。根据《连云港市残疾人托养服务实施方案》(连残发〔2021〕24号)、《连云港市残疾人托养服务规范（试行）》（连残发〔2022〕65号）文件精神，经研究决定，2025年在全县开展残疾人寄宿制托养服务项目，</w:t>
      </w:r>
      <w:r>
        <w:rPr>
          <w:rFonts w:hint="eastAsia" w:ascii="宋体" w:hAnsi="宋体" w:eastAsia="宋体" w:cs="宋体"/>
          <w:snapToGrid w:val="0"/>
          <w:color w:val="000000"/>
          <w:kern w:val="0"/>
          <w:sz w:val="24"/>
          <w:szCs w:val="24"/>
          <w:lang w:val="en-US" w:eastAsia="zh-CN" w:bidi="ar-SA"/>
        </w:rPr>
        <w:t>服务符合条件的16-59周岁智力、重度肢体残疾人，采用24小时集中居住和照料模式，主要提供生活照料及护理、生活自理和社会适应能力训练等服务，更好的为残疾人提供针对性的寄宿制托养服务。</w:t>
      </w:r>
    </w:p>
    <w:p w14:paraId="2E87B0F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2" w:firstLineChars="200"/>
        <w:jc w:val="left"/>
        <w:textAlignment w:val="baseline"/>
        <w:rPr>
          <w:rFonts w:hint="eastAsia" w:ascii="宋体" w:hAnsi="宋体" w:eastAsia="宋体" w:cs="宋体"/>
          <w:b/>
          <w:bCs/>
          <w:snapToGrid w:val="0"/>
          <w:color w:val="000000"/>
          <w:kern w:val="0"/>
          <w:sz w:val="28"/>
          <w:szCs w:val="28"/>
          <w:lang w:val="en-US" w:eastAsia="zh-CN" w:bidi="ar-SA"/>
        </w:rPr>
      </w:pPr>
      <w:r>
        <w:rPr>
          <w:rFonts w:hint="eastAsia" w:ascii="宋体" w:hAnsi="宋体" w:eastAsia="宋体" w:cs="宋体"/>
          <w:b/>
          <w:bCs/>
          <w:snapToGrid w:val="0"/>
          <w:color w:val="000000"/>
          <w:kern w:val="0"/>
          <w:sz w:val="28"/>
          <w:szCs w:val="28"/>
          <w:lang w:val="en-US" w:eastAsia="zh-CN" w:bidi="ar-SA"/>
        </w:rPr>
        <w:t>二、服务范围</w:t>
      </w:r>
    </w:p>
    <w:p w14:paraId="13BCEF69">
      <w:pPr>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宋体" w:hAnsi="宋体" w:eastAsia="宋体" w:cs="宋体"/>
          <w:snapToGrid w:val="0"/>
          <w:color w:val="auto"/>
          <w:kern w:val="0"/>
          <w:sz w:val="24"/>
          <w:szCs w:val="21"/>
          <w:highlight w:val="none"/>
          <w:lang w:eastAsia="en-US"/>
        </w:rPr>
      </w:pPr>
      <w:r>
        <w:rPr>
          <w:rFonts w:hint="eastAsia" w:ascii="宋体" w:hAnsi="宋体" w:eastAsia="宋体" w:cs="宋体"/>
          <w:snapToGrid w:val="0"/>
          <w:color w:val="auto"/>
          <w:kern w:val="0"/>
          <w:sz w:val="24"/>
          <w:szCs w:val="21"/>
          <w:highlight w:val="none"/>
          <w:lang w:eastAsia="en-US"/>
        </w:rPr>
        <w:t>具有</w:t>
      </w:r>
      <w:r>
        <w:rPr>
          <w:rFonts w:hint="eastAsia" w:ascii="宋体" w:hAnsi="宋体" w:eastAsia="宋体" w:cs="宋体"/>
          <w:snapToGrid w:val="0"/>
          <w:color w:val="auto"/>
          <w:kern w:val="0"/>
          <w:sz w:val="24"/>
          <w:szCs w:val="21"/>
          <w:highlight w:val="none"/>
          <w:lang w:val="en-US" w:eastAsia="zh-CN"/>
        </w:rPr>
        <w:t>东海县</w:t>
      </w:r>
      <w:r>
        <w:rPr>
          <w:rFonts w:hint="eastAsia" w:ascii="宋体" w:hAnsi="宋体" w:eastAsia="宋体" w:cs="宋体"/>
          <w:snapToGrid w:val="0"/>
          <w:color w:val="auto"/>
          <w:kern w:val="0"/>
          <w:sz w:val="24"/>
          <w:szCs w:val="21"/>
          <w:highlight w:val="none"/>
          <w:lang w:eastAsia="en-US"/>
        </w:rPr>
        <w:t>户籍，持有《中华人民共和国残疾人证》（第二代），</w:t>
      </w:r>
      <w:r>
        <w:rPr>
          <w:rFonts w:hint="eastAsia" w:ascii="宋体" w:hAnsi="宋体" w:eastAsia="宋体" w:cs="宋体"/>
          <w:snapToGrid w:val="0"/>
          <w:color w:val="auto"/>
          <w:kern w:val="0"/>
          <w:sz w:val="24"/>
          <w:szCs w:val="21"/>
          <w:highlight w:val="none"/>
          <w:lang w:eastAsia="zh-CN"/>
        </w:rPr>
        <w:t>年龄在16-59周岁的低保家庭、低收入家庭、“一户多残”家庭、享受“两项补贴”家庭中无固定收入重残生活补贴的智力、重度肢体残疾人</w:t>
      </w:r>
      <w:r>
        <w:rPr>
          <w:rFonts w:hint="eastAsia" w:ascii="宋体" w:hAnsi="宋体" w:eastAsia="宋体" w:cs="宋体"/>
          <w:snapToGrid w:val="0"/>
          <w:color w:val="auto"/>
          <w:kern w:val="0"/>
          <w:sz w:val="24"/>
          <w:szCs w:val="21"/>
          <w:highlight w:val="none"/>
          <w:lang w:eastAsia="en-US"/>
        </w:rPr>
        <w:t>。</w:t>
      </w:r>
    </w:p>
    <w:p w14:paraId="35E3D77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2" w:firstLineChars="200"/>
        <w:jc w:val="left"/>
        <w:textAlignment w:val="baseline"/>
        <w:rPr>
          <w:rFonts w:hint="eastAsia" w:ascii="宋体" w:hAnsi="宋体" w:eastAsia="宋体" w:cs="宋体"/>
          <w:b/>
          <w:bCs/>
          <w:snapToGrid w:val="0"/>
          <w:color w:val="000000"/>
          <w:kern w:val="0"/>
          <w:sz w:val="28"/>
          <w:szCs w:val="28"/>
          <w:lang w:val="en-US" w:eastAsia="zh-CN" w:bidi="ar-SA"/>
        </w:rPr>
      </w:pPr>
      <w:r>
        <w:rPr>
          <w:rFonts w:hint="eastAsia" w:ascii="宋体" w:hAnsi="宋体" w:eastAsia="宋体" w:cs="宋体"/>
          <w:b/>
          <w:bCs/>
          <w:snapToGrid w:val="0"/>
          <w:color w:val="000000"/>
          <w:kern w:val="0"/>
          <w:sz w:val="28"/>
          <w:szCs w:val="28"/>
          <w:lang w:val="en-US" w:eastAsia="zh-CN" w:bidi="ar-SA"/>
        </w:rPr>
        <w:t>三、服务内容</w:t>
      </w:r>
    </w:p>
    <w:p w14:paraId="00AF54B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依照《连云港市残疾人托养服务规范》等相关标准开展工作，其中包含智力残疾人托养服务和肢体残疾人托养服务；</w:t>
      </w:r>
    </w:p>
    <w:p w14:paraId="3FBC542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（一）寄宿制托养服务内容</w:t>
      </w:r>
    </w:p>
    <w:p w14:paraId="65C861E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服务包含但不限于如下服务项目：照护服务、膳食服务、康复服务、医疗服务、教育服务、心理服务、技能培训服务、辅助性就业、卫生环境服务、文体娱乐服务、其他服务等。</w:t>
      </w:r>
    </w:p>
    <w:p w14:paraId="48E53A2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1.照护服务</w:t>
      </w:r>
    </w:p>
    <w:p w14:paraId="4DBC0E1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（1）保持服务对象衣服、被物的卫生、整洁、得体，定期 换洗贴身内衣，夏季每天换洗，其它季节一周不少于 3 次；外衣 裤，每月至少换洗 2 次；当内、外衣物有明显污渍时，则及时换 洗。</w:t>
      </w:r>
    </w:p>
    <w:p w14:paraId="7CB5FDF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（2）支持、帮助功能障碍服务对象做好起床、就寝、穿衣、 脱衣、就餐等事项。</w:t>
      </w:r>
    </w:p>
    <w:p w14:paraId="0B12533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（3）协助服务对象洗浴或擦身，夏季每天不少于 1 次，其 它季节每周不少于 1 次。</w:t>
      </w:r>
    </w:p>
    <w:p w14:paraId="6BA6FE8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（4）助浴时，根据季节气候状况和服务对象身体条件，做好防寒保暖、防暑降温及通风。</w:t>
      </w:r>
    </w:p>
    <w:p w14:paraId="501CD63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（5）支持、协助服务对象管理日常生活。日常梳洗，包括 头、脸、口腔、手、脚、下身部位的清洁、理发、修剪指（趾）甲、剃须；保持身体干净、无异味。</w:t>
      </w:r>
    </w:p>
    <w:p w14:paraId="567828A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（6）协助行动不便的服务对象如厕及便后清洁。</w:t>
      </w:r>
    </w:p>
    <w:p w14:paraId="435FD4D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（7）在正常天气条件下， 保证服务对象每天有不少于 2 小时的户外文体、休闲活动。为行动不便和生活不能完全自理的服 务对象提供户外活动的协助。</w:t>
      </w:r>
    </w:p>
    <w:p w14:paraId="7366592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（8）每天整理床铺，原则上每周晾晒被褥一次。</w:t>
      </w:r>
    </w:p>
    <w:p w14:paraId="4EDC7B6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（9）护理精神残疾服务对象时， 应注意保护和监护。遇情绪不稳定，应由专业医务人员或在其指导下适时采取安全保护和监护措施；遇精神病复发，应立即送医院就诊。</w:t>
      </w:r>
    </w:p>
    <w:p w14:paraId="25553CC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（10）护理智力残疾服务对象时，应注意保护和观察，避免因语言表达障碍或认知障碍造成意外伤害。</w:t>
      </w:r>
    </w:p>
    <w:p w14:paraId="4147258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（11）护理患有特殊疾病的服务对象时，应注意观察。为特 殊护理的服务对象提供 24 小时护理服务。</w:t>
      </w:r>
    </w:p>
    <w:p w14:paraId="31AAE35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2.膳食服务</w:t>
      </w:r>
    </w:p>
    <w:p w14:paraId="6DBF0BF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（1）残疾人托养服务机构食堂应取得政府主管部门颁发的相关证明。</w:t>
      </w:r>
    </w:p>
    <w:p w14:paraId="5429946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（2）餐饮制作和提供，应符合相关食品卫生法规的要求。 食品应每天留样，至少保留 24 小时。</w:t>
      </w:r>
    </w:p>
    <w:p w14:paraId="381884E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（3）按时提供一日三餐，全天供应冷热饮用水， 餐饮卫生应符合 GB/T 27306 相关规定。</w:t>
      </w:r>
    </w:p>
    <w:p w14:paraId="70B3CE2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（4）根据服务对象特点，每周制订、翻新食谱， 保证餐饮的安全、营养和健康。为特殊服务对象及时提供特殊饮食。 </w:t>
      </w:r>
    </w:p>
    <w:p w14:paraId="1611CC9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3.康复服务</w:t>
      </w:r>
    </w:p>
    <w:p w14:paraId="24E6531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（1）建立适宜服务对象特点的康复计划，按计划开展康复训练。</w:t>
      </w:r>
    </w:p>
    <w:p w14:paraId="616B49B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（2）建立日常康复训练档案，做好服务对象1人1档。</w:t>
      </w:r>
    </w:p>
    <w:p w14:paraId="583482C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（3）由专业机构定期进行康复训练效果评估，评估结果应及时告知服务对象及其监护人。</w:t>
      </w:r>
    </w:p>
    <w:p w14:paraId="7F46913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（4）根据服务对象康复训练情况和康复评估效果及时调整康复训练计划。</w:t>
      </w:r>
    </w:p>
    <w:p w14:paraId="2434525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4.医疗服务</w:t>
      </w:r>
    </w:p>
    <w:p w14:paraId="41C15A6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（1）建立医务室。</w:t>
      </w:r>
    </w:p>
    <w:p w14:paraId="5A5F446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（2）聘用执业医师，为服务对象提供医疗、康复训练、卫生保健服务。</w:t>
      </w:r>
    </w:p>
    <w:p w14:paraId="532766D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（3）医务人员每天 1 次查房问询，医务、护理人员每周至少 1 次联合查房巡诊。</w:t>
      </w:r>
    </w:p>
    <w:p w14:paraId="4427C9E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（4）为服务对象每年进行 1 次常规体检。</w:t>
      </w:r>
    </w:p>
    <w:p w14:paraId="11221DF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（5）定期组织服务对象参加健康教育，自我保健、自我护理知识的学习和训练。</w:t>
      </w:r>
    </w:p>
    <w:p w14:paraId="6945F27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（6）代发代管药品，应有服务对象监护人的委托书；药品使用应按医嘱执行。</w:t>
      </w:r>
    </w:p>
    <w:p w14:paraId="129A0E5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（7）接受医疗药品时，应查阅、核对就诊病历卡、处方单等。</w:t>
      </w:r>
    </w:p>
    <w:p w14:paraId="16D77A2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（8）医疗药品应由专人、专柜保管，避免丢失、损坏和过期失效。</w:t>
      </w:r>
    </w:p>
    <w:p w14:paraId="19C1A7F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（9）应督促或协助服务对象按医嘱服药。对精神类药物的服用，应实施严格监督。</w:t>
      </w:r>
    </w:p>
    <w:p w14:paraId="4D68FC3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（10）代发代管药品的服务工作由医务室指派专门医务人员 负责实施。</w:t>
      </w:r>
    </w:p>
    <w:p w14:paraId="080EE36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5.教育服务</w:t>
      </w:r>
    </w:p>
    <w:p w14:paraId="7506281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（1）为服务对象提供适宜的运动训练、作业训练等教育训 练的必备场所和设施。</w:t>
      </w:r>
    </w:p>
    <w:p w14:paraId="530A579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（2）教育培训工作应在特教老师、康复治疗师等专业技术 老师的指导下进行，可以开设语文、数学、音乐、体育、心理等 方面课程。应制定教育培训计划，定期评估教育培训效果，建立 日常教育培训档案。</w:t>
      </w:r>
    </w:p>
    <w:p w14:paraId="282D0EA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（3）为适宜的服务对象提供认知、感知培训，手、眼、脑 协调能力培训，开展生活常识教育。</w:t>
      </w:r>
    </w:p>
    <w:p w14:paraId="484B2A4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（4）开展文化体育、休闲娱乐活动，定期组织社会各界人 士与服务对象进行互动活动，开展融入社会的实践演练。</w:t>
      </w:r>
    </w:p>
    <w:p w14:paraId="1A9D0E1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（5）组织服务对象参观、考察社会政治、精神、物质文明 成果。</w:t>
      </w:r>
    </w:p>
    <w:p w14:paraId="1E6C217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6.心理服务</w:t>
      </w:r>
    </w:p>
    <w:p w14:paraId="76B8842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（1）服务工作人员平均每天不少于 20 分钟与服务对象进行 交流对话，及时沟通信息。</w:t>
      </w:r>
    </w:p>
    <w:p w14:paraId="4116F38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（2）开辟同类别残疾人活动室，为服务对象提供交流场所， 满足服务对象的情感交流和人际交往需求。</w:t>
      </w:r>
    </w:p>
    <w:p w14:paraId="20689BF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（3）工作人员应为服务对象提供心理疏导和心理健康的关 爱服务。</w:t>
      </w:r>
    </w:p>
    <w:p w14:paraId="205CC8B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（4）对有心理障碍的服务对象，及时与家庭或监护人沟通， 通过专业心理咨询师共同做好服务对象的心理疏导工作。</w:t>
      </w:r>
    </w:p>
    <w:p w14:paraId="2620EE8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（5）定期安排服务对象家属或监护人、志愿者等与服务对 象进行沟通交流。</w:t>
      </w:r>
    </w:p>
    <w:p w14:paraId="500849F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（6）鼓励服务机构开展适宜的集体活动。</w:t>
      </w:r>
    </w:p>
    <w:p w14:paraId="7F2A0D8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（7）定期邀请心理咨询师、社会工作师介入工作。 </w:t>
      </w:r>
    </w:p>
    <w:p w14:paraId="1441C6C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7.技能培训服务</w:t>
      </w:r>
    </w:p>
    <w:p w14:paraId="2BF02C9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（1）制定适宜的技能培训与训练计划、培训课程。</w:t>
      </w:r>
    </w:p>
    <w:p w14:paraId="751491B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（2）组织简单的生活自理、生活劳动和社会生产活动训练， 开发服务对象能力，调整或完善培训计划。</w:t>
      </w:r>
    </w:p>
    <w:p w14:paraId="2453C4E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（3）通过适宜的方式定期评估培训效果，及时记录、考评 服务对象。</w:t>
      </w:r>
    </w:p>
    <w:p w14:paraId="5ACE961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（4）通过专业机构评估服务对象的身体功能和职业能力， 适时对服务对象的职业适应能力进行技术指导。</w:t>
      </w:r>
    </w:p>
    <w:p w14:paraId="7043650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（5）引进社会力量为服务对象提供职业技能培养、职业介绍、职业能力开发等专业服务。</w:t>
      </w:r>
    </w:p>
    <w:p w14:paraId="7D5AC38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8.辅助性就业</w:t>
      </w:r>
    </w:p>
    <w:p w14:paraId="69910CD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为有劳动能力的服务对象提供相应的劳动就业条件，对服务对象进行劳动能力评估，与服务对象或家属、监护人签订劳动协 议，保障服务对象合法权益。设立劳动生产项目，组织托养服务 对象自愿开展生产劳动，获得劳动收入。</w:t>
      </w:r>
    </w:p>
    <w:p w14:paraId="5322F2A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9.卫生环境服务</w:t>
      </w:r>
    </w:p>
    <w:p w14:paraId="35AD200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（1）室内应保持干净、空气新鲜、无异味，居室清扫每天至少 1 次。</w:t>
      </w:r>
    </w:p>
    <w:p w14:paraId="2B46E6F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（2）每月 2 次换洗床单、枕套、枕巾、被套等，保持床上用品清洁、平整、干燥； 必要时，随时换洗。</w:t>
      </w:r>
    </w:p>
    <w:p w14:paraId="3E85610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（3）清洗毛巾、洗脸盆，保持干净。</w:t>
      </w:r>
    </w:p>
    <w:p w14:paraId="1488439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（4）及时倾倒便器，配置消毒器械，卫生间每周至少消毒1 次。</w:t>
      </w:r>
    </w:p>
    <w:p w14:paraId="717CDB5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（5）保持居室内的生活护理用具清洁、摆放有序。</w:t>
      </w:r>
    </w:p>
    <w:p w14:paraId="55E902E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（6）床位更换时，应进行常规消毒处理；遇服务对象患传染病或死亡的，应对床位和居室进行相关特殊消毒。</w:t>
      </w:r>
    </w:p>
    <w:p w14:paraId="1E16D1C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（7）对居室和公共区域至少每周进行 1 次消毒灭菌。</w:t>
      </w:r>
    </w:p>
    <w:p w14:paraId="15D9E85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（8）应采取措施，杀灭老鼠、蟑螂、蚊蝇等，防止虫害对服务对象健康和安全造成危害。</w:t>
      </w:r>
    </w:p>
    <w:p w14:paraId="3FA3F95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（9）下水道畅通，公共区域内雨后无积水。</w:t>
      </w:r>
    </w:p>
    <w:p w14:paraId="6AC0DDB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（10）楼内走道设置垃圾箱，设置垃圾中转站，并及时运出处理。确保机构区域内空气新鲜，无异味。</w:t>
      </w:r>
    </w:p>
    <w:p w14:paraId="4C43638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10.文体娱乐服务</w:t>
      </w:r>
    </w:p>
    <w:p w14:paraId="6BEFA3A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（1）定期开展各类讲座、播放影视资料和收看电视等。</w:t>
      </w:r>
    </w:p>
    <w:p w14:paraId="5553FD6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（2）组织服务对象开展娱乐活动、图书阅览。</w:t>
      </w:r>
    </w:p>
    <w:p w14:paraId="2A8C25E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（3）组织服务对象开展体育活动，定期组织户外活动。</w:t>
      </w:r>
    </w:p>
    <w:p w14:paraId="3378B0F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（4）制定适宜服务对象的文体娱乐计划方案，确保服务对象安全。</w:t>
      </w:r>
    </w:p>
    <w:p w14:paraId="63389C9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11.其他服务</w:t>
      </w:r>
    </w:p>
    <w:p w14:paraId="6D8B911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（1）提供日常生活物品（贵重物品除外）代保管服务，方便存取。</w:t>
      </w:r>
    </w:p>
    <w:p w14:paraId="1C23491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（2）为智力残疾和生活不能完全自理的服务对象代保管物品。</w:t>
      </w:r>
    </w:p>
    <w:p w14:paraId="4AF08A9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（3）提供日常生活用品的代购服务和信件邮寄、报刊订阅服务。</w:t>
      </w:r>
    </w:p>
    <w:p w14:paraId="571D71B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（4）为其他类型残疾服务对象提供交流、表达能力培训服务等。</w:t>
      </w:r>
    </w:p>
    <w:p w14:paraId="40DA212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jc w:val="left"/>
        <w:textAlignment w:val="baseline"/>
        <w:rPr>
          <w:rFonts w:hint="eastAsia" w:ascii="宋体" w:hAnsi="宋体" w:eastAsia="宋体" w:cs="宋体"/>
          <w:b/>
          <w:bCs/>
          <w:snapToGrid w:val="0"/>
          <w:color w:val="000000"/>
          <w:kern w:val="0"/>
          <w:sz w:val="28"/>
          <w:szCs w:val="28"/>
          <w:lang w:val="en-US" w:eastAsia="zh-CN" w:bidi="ar-SA"/>
        </w:rPr>
      </w:pPr>
      <w:r>
        <w:rPr>
          <w:rFonts w:hint="eastAsia" w:ascii="宋体" w:hAnsi="宋体" w:eastAsia="宋体" w:cs="宋体"/>
          <w:b/>
          <w:bCs/>
          <w:snapToGrid w:val="0"/>
          <w:color w:val="000000"/>
          <w:kern w:val="0"/>
          <w:sz w:val="28"/>
          <w:szCs w:val="28"/>
          <w:lang w:val="en-US" w:eastAsia="zh-CN" w:bidi="ar-SA"/>
        </w:rPr>
        <w:t>四、服务标准及要求</w:t>
      </w:r>
    </w:p>
    <w:p w14:paraId="50CC7D1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1.服务标准</w:t>
      </w:r>
    </w:p>
    <w:p w14:paraId="65C34DF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Cs/>
          <w:snapToGrid w:val="0"/>
          <w:color w:val="000000"/>
          <w:kern w:val="0"/>
          <w:sz w:val="24"/>
          <w:szCs w:val="24"/>
          <w:lang w:val="en-US" w:eastAsia="zh-CN" w:bidi="ar-SA"/>
        </w:rPr>
        <w:t>乙方服务内容按照中残联《就业年龄段智力、精神及重度肢体残疾人托养服务规范》（GB/T37516—2019）、《连云港市残疾人托养服务实施方案》</w:t>
      </w:r>
      <w:r>
        <w:rPr>
          <w:rFonts w:hint="eastAsia" w:ascii="宋体" w:hAnsi="宋体" w:eastAsia="宋体" w:cs="宋体"/>
          <w:snapToGrid w:val="0"/>
          <w:color w:val="auto"/>
          <w:kern w:val="0"/>
          <w:sz w:val="24"/>
          <w:szCs w:val="24"/>
          <w:highlight w:val="none"/>
          <w:lang w:val="en-US" w:eastAsia="zh-CN" w:bidi="ar-SA"/>
        </w:rPr>
        <w:t>(连残发〔2021〕24号)及《连云港市残疾人托养服务规范（试行）》（连残发〔2022〕65号）</w:t>
      </w:r>
      <w:r>
        <w:rPr>
          <w:rFonts w:hint="eastAsia" w:ascii="宋体" w:hAnsi="宋体" w:eastAsia="宋体" w:cs="宋体"/>
          <w:bCs/>
          <w:snapToGrid w:val="0"/>
          <w:color w:val="000000"/>
          <w:kern w:val="0"/>
          <w:sz w:val="24"/>
          <w:szCs w:val="24"/>
          <w:lang w:val="en-US" w:eastAsia="zh-CN" w:bidi="ar-SA"/>
        </w:rPr>
        <w:t>要求，</w:t>
      </w:r>
      <w:r>
        <w:rPr>
          <w:rFonts w:hint="eastAsia" w:ascii="宋体" w:hAnsi="宋体" w:eastAsia="宋体" w:cs="宋体"/>
          <w:snapToGrid w:val="0"/>
          <w:color w:val="000000"/>
          <w:kern w:val="0"/>
          <w:sz w:val="24"/>
          <w:szCs w:val="24"/>
          <w:lang w:val="en-US" w:eastAsia="zh-CN" w:bidi="ar-SA"/>
        </w:rPr>
        <w:t>服务符合条件的16-59周岁智力、重度肢体残疾人，采用24小时集中居住和照料模式，主要提供生活照料及护理、生活自理和社会适应能力训练等服务。　</w:t>
      </w:r>
    </w:p>
    <w:p w14:paraId="3514A6F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（1）生活照料：</w:t>
      </w:r>
      <w:r>
        <w:rPr>
          <w:rFonts w:hint="eastAsia" w:ascii="宋体" w:hAnsi="宋体" w:eastAsia="宋体" w:cs="宋体"/>
          <w:snapToGrid w:val="0"/>
          <w:color w:val="000000"/>
          <w:kern w:val="0"/>
          <w:sz w:val="24"/>
          <w:szCs w:val="24"/>
          <w:lang w:val="en-US" w:eastAsia="zh-CN" w:bidi="ar-SA"/>
        </w:rPr>
        <w:t>提供行为看护、活动协助、助餐助药等日常生活照料服务；服务人员应注意观察服务对象行为和健康状况，及时提供必要的提醒、协助和保护。发现异常，及时处理并联系监护人；机构应提供安全饮用水、如厕和洁手便利。如提供用餐服务需定时供餐；机构提供代发代管药品的应由专人保管、专柜存放，按医嘱使用；机构为精神残疾服务对象提供服药指导、督促服药，提供休息便利和适当照看；协助有需要的服务对象进行户外活动。在天气情况允许的条件下，每天保证服务对象到户外活动1小时。</w:t>
      </w:r>
    </w:p>
    <w:p w14:paraId="3564B02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（2）生活自理能力训练：</w:t>
      </w:r>
      <w:r>
        <w:rPr>
          <w:rFonts w:hint="eastAsia" w:ascii="宋体" w:hAnsi="宋体" w:eastAsia="宋体" w:cs="宋体"/>
          <w:snapToGrid w:val="0"/>
          <w:color w:val="000000"/>
          <w:kern w:val="0"/>
          <w:sz w:val="24"/>
          <w:szCs w:val="24"/>
          <w:lang w:val="en-US" w:eastAsia="zh-CN" w:bidi="ar-SA"/>
        </w:rPr>
        <w:t>根据服务对象的需求和特点，制定适宜的培养与训练计划，并张贴在显著位置；指导服务对象进行基本生活自理活动训练，使其能够自行洗漱、如厕、穿衣、吃饭等；在模拟家庭环境和劳动环境中指导服务对象学习简单家务和劳动，使其能够在协助和指导下完成煮饭、拣择蔬菜、整理床铺、洗衣服、打扫卫生等活动；应与服务对象的家属或监护人及时其沟通训练的内容和情况，以便服务对象回家时可以在真实家庭生活场景中对其生活自理能力进行重复巩固训练；可根据服务对象个体情况，设计适宜的训练课程，例如制作面食、烘焙饼干、缝制衣物等，发掘其生活自理能力方面可能存在的其他潜力；训练考评结果应记录存档，并依此调整或完善训练计划。</w:t>
      </w:r>
    </w:p>
    <w:p w14:paraId="3BEA117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 社会适应能力辅导：</w:t>
      </w:r>
      <w:r>
        <w:rPr>
          <w:rFonts w:hint="eastAsia" w:ascii="宋体" w:hAnsi="宋体" w:eastAsia="宋体" w:cs="宋体"/>
          <w:snapToGrid w:val="0"/>
          <w:color w:val="000000"/>
          <w:kern w:val="0"/>
          <w:sz w:val="24"/>
          <w:szCs w:val="24"/>
          <w:lang w:val="en-US" w:eastAsia="zh-CN" w:bidi="ar-SA"/>
        </w:rPr>
        <w:t>以适当方式为服务对象普及简单的礼仪知识、法律知识等基本社会行为准则和常识；每天与服务对象的交流时间应不少于15分钟，为服务对象提供日常心理疏导和心理健康关爱服务；对心理和行为出现异常的服务对象进行关注，有必要时召集专业人员进行座谈分析，为其制定行为矫正方案。对于心理和行为出现极端异常、严重影响其他服务对象正常生活甚至人身安全的服务对象，应立即转介至专业医疗机构就诊；为有需要的服务对象提供教育培训、图书阅览、上网和收看收听电视广播等服务，使其对社会和舆情具备一定的知晓度；在机构内开展适宜的文化、体育、娱乐活动，可以根据实际情况组织比赛、展示或表演，使其具备基本的人际交往兴趣和能力；指导服务对象在模拟超市、银行、医院、邮局、公共交通等简单社会场景中进行社会适应性训练，提高其参与社会生活的能力；定期安排服务对象家属或监护人、志愿者到机构内进行活动，鼓励服务对象接待访客或外出参加社区或社会公益活动，逐步拓展其在直接参与社会生活方面的能力；根据服务对象的社会适应能力的恢复和提升情况，适时调整社会适应辅导计划。</w:t>
      </w:r>
    </w:p>
    <w:p w14:paraId="49B790F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（4）职业康复与劳动技能训练</w:t>
      </w:r>
      <w:r>
        <w:rPr>
          <w:rFonts w:hint="eastAsia" w:ascii="宋体" w:hAnsi="宋体" w:eastAsia="宋体" w:cs="宋体"/>
          <w:snapToGrid w:val="0"/>
          <w:color w:val="000000"/>
          <w:kern w:val="0"/>
          <w:sz w:val="24"/>
          <w:szCs w:val="24"/>
          <w:lang w:val="en-US" w:eastAsia="zh-CN" w:bidi="ar-SA"/>
        </w:rPr>
        <w:t>：组织有需要的服务对象开展与其行为能力相适应的简单基本生产劳动，例如制作绢花、组配零件等。通过劳动帮助其活动肢体、锻炼大脑、集中注意力、协调手眼；服务对象参与生产劳动之前，应根据个体实际情况对其进行必要的培训；为有需要的服务对象提供职业指导、职业心理咨询、职业适应评定、职业康复训练、职业介绍等服务；根据实际情况开设专业的劳动技能培训课程，开发服务对象的职业能力；有条件的日间照料机构可与爱心企业等社会力量合作，使部分服务对象实现辅助性就业，获得一定的劳动收入。为条件适宜的服务对象提供支持性就业，进而实现社会性就业；合理处理劳动生产成果和可能获得的收入。处理方式和处理结果应记录并存档；有条件的日间照料机构宜定期组织技能展示、竞赛等相关活动；定期开展身体功能评估和劳动能力评估，适时对服务对象的职业适应性进行测评和评价，及时调整职业康复与劳动技能训练计划。</w:t>
      </w:r>
    </w:p>
    <w:p w14:paraId="284512D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（5）运动功能训练</w:t>
      </w:r>
      <w:r>
        <w:rPr>
          <w:rFonts w:hint="eastAsia" w:ascii="宋体" w:hAnsi="宋体" w:eastAsia="宋体" w:cs="宋体"/>
          <w:snapToGrid w:val="0"/>
          <w:color w:val="000000"/>
          <w:kern w:val="0"/>
          <w:sz w:val="24"/>
          <w:szCs w:val="24"/>
          <w:lang w:val="en-US" w:eastAsia="zh-CN" w:bidi="ar-SA"/>
        </w:rPr>
        <w:t>：为有需求的服务对象提供适当的以运动功能为主的训练，指导其规范使用矫形器和训练器具，帮助其巩固医疗康复效果，使其身体运动功能得到恢复或代偿；有条件的日间照料机构应定期对服务对象的监护人进行必要的简单技术培训，使其在机构之外也能够得到持续的运动功能训练；根据服务对象的身体情况，开展运动功能评估，适时调整训练计划；服务对象身体状况发生较大变化时，应及时转介到专业医疗康复机构进行诊断和治疗。</w:t>
      </w:r>
    </w:p>
    <w:p w14:paraId="512CA22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（6）托养管理</w:t>
      </w:r>
    </w:p>
    <w:p w14:paraId="7BF5DEF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 向服务对象或其家属、监护人提供清晰和准确的服务信息，包括服务项目和内容、服务设施、收费标准、服务承诺等。</w:t>
      </w:r>
    </w:p>
    <w:p w14:paraId="31DE2A9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2.与服务对象或其家属、监护人签订具有法律效力的托养护 理、就业、培训等服务协议书。</w:t>
      </w:r>
    </w:p>
    <w:p w14:paraId="5A5C9FD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3.依据各类托养协议规定，安排入住、提供相应的服务。</w:t>
      </w:r>
    </w:p>
    <w:p w14:paraId="2AF0223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4.入驻集中托养服务机构，在签订各类协议前，应进行托养适应性观察和评估。</w:t>
      </w:r>
    </w:p>
    <w:p w14:paraId="27F9A73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（7）信息管理</w:t>
      </w:r>
    </w:p>
    <w:p w14:paraId="579A56B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1.建立服务对象档案，1 人 1 档，及时录入和保存服务对象信息，包括个人基本情况、各类托养协议、健康检查、托养类别、 等级评估、康复评估、医疗记录等。</w:t>
      </w:r>
    </w:p>
    <w:p w14:paraId="24BEB58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2.服务对象档案应予以严格保密，实施查阅控制制度。</w:t>
      </w:r>
    </w:p>
    <w:p w14:paraId="5D2E372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3.档案由专人管理，信息登记真实、完整及时更新。</w:t>
      </w:r>
    </w:p>
    <w:p w14:paraId="4F60402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（8）投诉处理</w:t>
      </w:r>
    </w:p>
    <w:p w14:paraId="764657C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1.设置意见箱，方便服务对象及其家属、监护人投诉、提出 意见和建议的途径。</w:t>
      </w:r>
    </w:p>
    <w:p w14:paraId="5003518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2.服务对象及其家属、监护人可向残疾人托养服务机构的管理部门提出对托养服务机构的意见、建议和投诉，服务机构在 24 小时内受理，负责处理和回复服务对象及其家属、监护人的 投诉，回复时间最长不超过 3 天（自接到投诉之日起）。</w:t>
      </w:r>
    </w:p>
    <w:p w14:paraId="01EAB28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2、其他要求</w:t>
      </w:r>
    </w:p>
    <w:p w14:paraId="3AA6BF3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中标人有以下行为之一的，采购人有权要求限期改正;逾期不改正的，终止托养服务;造成损失的，中标人依法承担赔偿责任:</w:t>
      </w:r>
    </w:p>
    <w:p w14:paraId="0F553D1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（1）歧视、虐待托养服务对象的;</w:t>
      </w:r>
    </w:p>
    <w:p w14:paraId="1AFD9EB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（2）未尽到管理和服务义务致使托养服务对象合法权益遭受侵害的;</w:t>
      </w:r>
    </w:p>
    <w:p w14:paraId="2787CFB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（3）侵占托养服务对象合法财产的;</w:t>
      </w:r>
    </w:p>
    <w:p w14:paraId="75BD4D1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（4）其他违反规定的行为。</w:t>
      </w:r>
    </w:p>
    <w:p w14:paraId="339D156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中标人工作人员有下列行为之一的，予以批评教育，情节严重的，予以辞退，造成损失的，依法承担赔偿责任，构成犯罪的，依法追究刑事责任:</w:t>
      </w:r>
    </w:p>
    <w:p w14:paraId="7FDA8DF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（1）私分、挪用、截留托养服务对象托养款物的;</w:t>
      </w:r>
    </w:p>
    <w:p w14:paraId="3E8539F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（2）私分、挪用劳动生产收入的;</w:t>
      </w:r>
    </w:p>
    <w:p w14:paraId="53B7A89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（3）辱骂、殴打、虐待托养服务对象的;</w:t>
      </w:r>
    </w:p>
    <w:p w14:paraId="2C9CEE7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（4）盗窃、侵占中标人或者托养服务对象财产的;</w:t>
      </w:r>
    </w:p>
    <w:p w14:paraId="2313A58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（5）其他违反规定的行为。</w:t>
      </w:r>
    </w:p>
    <w:p w14:paraId="5C7ED91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托养服务对象有下列行为之一的，予以批评教育，情节严重的，报采购人同意停 止托养服务协议，构成犯罪的，依法追究刑事责任:</w:t>
      </w:r>
    </w:p>
    <w:p w14:paraId="240DEF5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（1）违反中标人的规定，扰乱正常秩序的;</w:t>
      </w:r>
    </w:p>
    <w:p w14:paraId="2834908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（2）打架、斗殴，造成他人身体伤害的;</w:t>
      </w:r>
    </w:p>
    <w:p w14:paraId="2E0E31C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（3）损毁、盗窃、侵占中标人或者他人财产的;</w:t>
      </w:r>
    </w:p>
    <w:p w14:paraId="762659B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（4）其他违反规定的行为。</w:t>
      </w:r>
    </w:p>
    <w:p w14:paraId="7D0530CE">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i/>
          <w:iCs/>
          <w:snapToGrid w:val="0"/>
          <w:color w:val="000000"/>
          <w:kern w:val="0"/>
          <w:sz w:val="28"/>
          <w:szCs w:val="28"/>
          <w:u w:val="single"/>
          <w:lang w:val="en-US" w:eastAsia="zh-CN"/>
        </w:rPr>
      </w:pPr>
      <w:r>
        <w:rPr>
          <w:rFonts w:hint="eastAsia" w:ascii="宋体" w:hAnsi="宋体" w:eastAsia="宋体" w:cs="宋体"/>
          <w:b/>
          <w:bCs/>
          <w:i/>
          <w:iCs/>
          <w:snapToGrid w:val="0"/>
          <w:color w:val="000000"/>
          <w:kern w:val="0"/>
          <w:sz w:val="28"/>
          <w:szCs w:val="28"/>
          <w:u w:val="single"/>
          <w:lang w:val="en-US" w:eastAsia="zh-CN"/>
        </w:rPr>
        <w:t>五、人员配备要求</w:t>
      </w:r>
    </w:p>
    <w:p w14:paraId="27D484A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40" w:firstLineChars="1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专职服务人员与托养人员比例不低于 1 ：5 。（本项目人员配备要求根据暂定人数</w:t>
      </w:r>
      <w:r>
        <w:rPr>
          <w:rFonts w:hint="eastAsia" w:ascii="宋体" w:hAnsi="宋体" w:eastAsia="宋体" w:cs="宋体"/>
          <w:i/>
          <w:iCs/>
          <w:snapToGrid w:val="0"/>
          <w:color w:val="FF0000"/>
          <w:kern w:val="0"/>
          <w:sz w:val="24"/>
          <w:szCs w:val="24"/>
          <w:highlight w:val="yellow"/>
          <w:u w:val="single"/>
          <w:lang w:val="en-US" w:eastAsia="zh-CN" w:bidi="ar-SA"/>
        </w:rPr>
        <w:t>45人</w:t>
      </w:r>
      <w:r>
        <w:rPr>
          <w:rFonts w:hint="eastAsia" w:ascii="宋体" w:hAnsi="宋体" w:eastAsia="宋体" w:cs="宋体"/>
          <w:i/>
          <w:iCs/>
          <w:snapToGrid w:val="0"/>
          <w:color w:val="000000"/>
          <w:kern w:val="0"/>
          <w:sz w:val="24"/>
          <w:szCs w:val="24"/>
          <w:u w:val="single"/>
          <w:lang w:val="en-US" w:eastAsia="zh-CN" w:bidi="ar-SA"/>
        </w:rPr>
        <w:t>进行配备）</w:t>
      </w:r>
    </w:p>
    <w:p w14:paraId="596085D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（1）项目负责人</w:t>
      </w:r>
      <w:r>
        <w:rPr>
          <w:rFonts w:hint="eastAsia" w:ascii="宋体" w:hAnsi="宋体" w:eastAsia="宋体" w:cs="宋体"/>
          <w:i/>
          <w:iCs/>
          <w:snapToGrid w:val="0"/>
          <w:color w:val="000000"/>
          <w:kern w:val="0"/>
          <w:sz w:val="24"/>
          <w:szCs w:val="24"/>
          <w:u w:val="single"/>
          <w:lang w:val="en-US" w:eastAsia="zh-CN" w:bidi="ar-SA"/>
        </w:rPr>
        <w:t>：专职负责人1人，从事过管理工作，具有社会工作类、社会福利类或康复医疗类等相关学习培训经历，熟悉残疾人相关法律法规与政策，熟练掌握残疾人托养的基本知识和专业知识，年龄</w:t>
      </w:r>
      <w:r>
        <w:rPr>
          <w:rFonts w:hint="eastAsia" w:ascii="宋体" w:hAnsi="宋体" w:eastAsia="宋体" w:cs="宋体"/>
          <w:i/>
          <w:iCs/>
          <w:snapToGrid w:val="0"/>
          <w:color w:val="auto"/>
          <w:kern w:val="0"/>
          <w:sz w:val="24"/>
          <w:szCs w:val="24"/>
          <w:highlight w:val="none"/>
          <w:u w:val="single"/>
          <w:lang w:val="en-US" w:eastAsia="zh-CN" w:bidi="ar-SA"/>
        </w:rPr>
        <w:t>不宜超过55周岁，2 年以上工作经验。</w:t>
      </w:r>
    </w:p>
    <w:p w14:paraId="54D1BC4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b/>
          <w:bCs/>
          <w:i/>
          <w:iCs/>
          <w:snapToGrid w:val="0"/>
          <w:color w:val="auto"/>
          <w:kern w:val="0"/>
          <w:sz w:val="24"/>
          <w:szCs w:val="24"/>
          <w:highlight w:val="none"/>
          <w:u w:val="single"/>
          <w:lang w:val="en-US" w:eastAsia="zh-CN" w:bidi="ar-SA"/>
        </w:rPr>
        <w:t>（2）各类专业人员</w:t>
      </w:r>
      <w:r>
        <w:rPr>
          <w:rFonts w:hint="eastAsia" w:ascii="宋体" w:hAnsi="宋体" w:eastAsia="宋体" w:cs="宋体"/>
          <w:i/>
          <w:iCs/>
          <w:snapToGrid w:val="0"/>
          <w:color w:val="auto"/>
          <w:kern w:val="0"/>
          <w:sz w:val="24"/>
          <w:szCs w:val="24"/>
          <w:highlight w:val="none"/>
          <w:u w:val="single"/>
          <w:lang w:val="en-US" w:eastAsia="zh-CN" w:bidi="ar-SA"/>
        </w:rPr>
        <w:t xml:space="preserve"> </w:t>
      </w:r>
    </w:p>
    <w:p w14:paraId="4F3F11B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1.专业人员配置</w:t>
      </w:r>
    </w:p>
    <w:p w14:paraId="17DE47B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1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①</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yellow"/>
          <w:u w:val="single"/>
          <w:lang w:val="en-US" w:eastAsia="zh-CN" w:bidi="ar-SA"/>
        </w:rPr>
        <w:t>护理人员不少于9名</w:t>
      </w:r>
      <w:r>
        <w:rPr>
          <w:rFonts w:hint="eastAsia" w:ascii="宋体" w:hAnsi="宋体" w:eastAsia="宋体" w:cs="宋体"/>
          <w:i/>
          <w:iCs/>
          <w:snapToGrid w:val="0"/>
          <w:color w:val="auto"/>
          <w:kern w:val="0"/>
          <w:sz w:val="24"/>
          <w:szCs w:val="24"/>
          <w:highlight w:val="none"/>
          <w:u w:val="single"/>
          <w:lang w:val="en-US" w:eastAsia="zh-CN" w:bidi="ar-SA"/>
        </w:rPr>
        <w:t>，具有中专及以上相关或相近学历，持有护理证书或培训证书。</w:t>
      </w:r>
    </w:p>
    <w:p w14:paraId="372D518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2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②</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医生不少于1名，具有卫生行政主管部门颁发的执业医师执照，2 年以上执业医生工作经验。</w:t>
      </w:r>
    </w:p>
    <w:p w14:paraId="00E2B6A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3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③</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护士不少于1名。具有中专及以上相关或相近学历，护士资格证书。</w:t>
      </w:r>
    </w:p>
    <w:p w14:paraId="4C86CDD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4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④</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财务管理人员</w:t>
      </w:r>
      <w:r>
        <w:rPr>
          <w:rFonts w:hint="eastAsia" w:ascii="宋体" w:hAnsi="宋体" w:eastAsia="宋体" w:cs="宋体"/>
          <w:b w:val="0"/>
          <w:bCs w:val="0"/>
          <w:i/>
          <w:iCs/>
          <w:snapToGrid w:val="0"/>
          <w:color w:val="auto"/>
          <w:kern w:val="0"/>
          <w:sz w:val="24"/>
          <w:szCs w:val="24"/>
          <w:highlight w:val="none"/>
          <w:u w:val="single"/>
          <w:lang w:val="en-US" w:eastAsia="zh-CN" w:bidi="ar-SA"/>
        </w:rPr>
        <w:t>1名</w:t>
      </w:r>
      <w:r>
        <w:rPr>
          <w:rFonts w:hint="eastAsia" w:ascii="宋体" w:hAnsi="宋体" w:eastAsia="宋体" w:cs="宋体"/>
          <w:i/>
          <w:iCs/>
          <w:snapToGrid w:val="0"/>
          <w:color w:val="auto"/>
          <w:kern w:val="0"/>
          <w:sz w:val="24"/>
          <w:szCs w:val="24"/>
          <w:highlight w:val="none"/>
          <w:u w:val="single"/>
          <w:lang w:val="en-US" w:eastAsia="zh-CN" w:bidi="ar-SA"/>
        </w:rPr>
        <w:t>，具有中专及以上学历或相关会计类证书或职称。</w:t>
      </w:r>
    </w:p>
    <w:p w14:paraId="2483DAF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highlight w:val="yellow"/>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fldChar w:fldCharType="begin"/>
      </w:r>
      <w:r>
        <w:rPr>
          <w:rFonts w:hint="eastAsia" w:ascii="宋体" w:hAnsi="宋体" w:eastAsia="宋体" w:cs="宋体"/>
          <w:i/>
          <w:iCs/>
          <w:snapToGrid w:val="0"/>
          <w:color w:val="auto"/>
          <w:kern w:val="0"/>
          <w:sz w:val="24"/>
          <w:szCs w:val="24"/>
          <w:highlight w:val="none"/>
          <w:u w:val="single"/>
          <w:lang w:val="en-US" w:eastAsia="zh-CN" w:bidi="ar-SA"/>
        </w:rPr>
        <w:instrText xml:space="preserve"> = 5 \* GB3 \* MERGEFORMAT </w:instrText>
      </w:r>
      <w:r>
        <w:rPr>
          <w:rFonts w:hint="eastAsia" w:ascii="宋体" w:hAnsi="宋体" w:eastAsia="宋体" w:cs="宋体"/>
          <w:i/>
          <w:iCs/>
          <w:snapToGrid w:val="0"/>
          <w:color w:val="auto"/>
          <w:kern w:val="0"/>
          <w:sz w:val="24"/>
          <w:szCs w:val="24"/>
          <w:highlight w:val="none"/>
          <w:u w:val="single"/>
          <w:lang w:val="en-US" w:eastAsia="zh-CN" w:bidi="ar-SA"/>
        </w:rPr>
        <w:fldChar w:fldCharType="separate"/>
      </w:r>
      <w:r>
        <w:rPr>
          <w:rFonts w:hint="eastAsia" w:ascii="宋体" w:hAnsi="宋体" w:eastAsia="宋体" w:cs="宋体"/>
          <w:i/>
          <w:iCs/>
          <w:snapToGrid w:val="0"/>
          <w:color w:val="auto"/>
          <w:kern w:val="0"/>
          <w:sz w:val="24"/>
          <w:szCs w:val="24"/>
          <w:highlight w:val="none"/>
          <w:u w:val="single"/>
          <w:lang w:val="en-US" w:eastAsia="zh-CN" w:bidi="ar-SA"/>
        </w:rPr>
        <w:t>⑤</w:t>
      </w:r>
      <w:r>
        <w:rPr>
          <w:rFonts w:hint="eastAsia" w:ascii="宋体" w:hAnsi="宋体" w:eastAsia="宋体" w:cs="宋体"/>
          <w:i/>
          <w:iCs/>
          <w:snapToGrid w:val="0"/>
          <w:color w:val="auto"/>
          <w:kern w:val="0"/>
          <w:sz w:val="24"/>
          <w:szCs w:val="24"/>
          <w:highlight w:val="none"/>
          <w:u w:val="single"/>
          <w:lang w:val="en-US" w:eastAsia="zh-CN" w:bidi="ar-SA"/>
        </w:rPr>
        <w:fldChar w:fldCharType="end"/>
      </w:r>
      <w:r>
        <w:rPr>
          <w:rFonts w:hint="eastAsia" w:ascii="宋体" w:hAnsi="宋体" w:eastAsia="宋体" w:cs="宋体"/>
          <w:i/>
          <w:iCs/>
          <w:snapToGrid w:val="0"/>
          <w:color w:val="auto"/>
          <w:kern w:val="0"/>
          <w:sz w:val="24"/>
          <w:szCs w:val="24"/>
          <w:highlight w:val="none"/>
          <w:u w:val="single"/>
          <w:lang w:val="en-US" w:eastAsia="zh-CN" w:bidi="ar-SA"/>
        </w:rPr>
        <w:t>康复、心理咨询等专业技术人员，各1人，具有</w:t>
      </w:r>
      <w:r>
        <w:rPr>
          <w:rFonts w:hint="eastAsia" w:ascii="宋体" w:hAnsi="宋体" w:eastAsia="宋体" w:cs="宋体"/>
          <w:i/>
          <w:iCs/>
          <w:snapToGrid w:val="0"/>
          <w:color w:val="000000"/>
          <w:kern w:val="0"/>
          <w:sz w:val="24"/>
          <w:szCs w:val="24"/>
          <w:highlight w:val="none"/>
          <w:u w:val="single"/>
          <w:lang w:val="en-US" w:eastAsia="zh-CN" w:bidi="ar-SA"/>
        </w:rPr>
        <w:t>相关专业学历或专业职称证书。</w:t>
      </w:r>
    </w:p>
    <w:p w14:paraId="44A37A9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⑥厨师1人，具有健康证。</w:t>
      </w:r>
    </w:p>
    <w:p w14:paraId="4A87DA50">
      <w:pPr>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i/>
          <w:iCs/>
          <w:snapToGrid w:val="0"/>
          <w:color w:val="auto"/>
          <w:kern w:val="0"/>
          <w:sz w:val="24"/>
          <w:szCs w:val="24"/>
          <w:highlight w:val="none"/>
          <w:u w:val="single"/>
          <w:lang w:val="en-US" w:eastAsia="zh-CN" w:bidi="ar-SA"/>
        </w:rPr>
        <w:t>注：以上团队人员提供相关证书及证明材料，项目负责人必须提供由本单位缴纳的2025年5月以来任意一个月社保缴纳证明，其余人员提供有效的劳动合同，所有人员不得提供退休证明。</w:t>
      </w:r>
    </w:p>
    <w:p w14:paraId="6A3BC58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（3）从业要求与仪表行为</w:t>
      </w:r>
    </w:p>
    <w:p w14:paraId="7FFAAF6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1.各类专业服务人员，应取得相关专业从业资格。</w:t>
      </w:r>
    </w:p>
    <w:p w14:paraId="742184C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2.护理人员应接受相关专业技术人员的业务岗位培训与考核，胜任本职工作。</w:t>
      </w:r>
    </w:p>
    <w:p w14:paraId="19B1A58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3.护理人员应具备包括生活护理、康复护理、特殊护理（褥疮预防、意外损伤监护） 等残疾人护理所需的专门知识和技能。</w:t>
      </w:r>
    </w:p>
    <w:p w14:paraId="4C6E14E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4.护理人员应身体健康，持有有效的健康证明等资料，持证上岗。服务时，应文明友善、耐心细致。</w:t>
      </w:r>
    </w:p>
    <w:p w14:paraId="2AE63BC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5.尊重服务对象及其家属、监护人，解答询问热情、耐心。 </w:t>
      </w:r>
    </w:p>
    <w:p w14:paraId="721414C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6.服务人员应穿着岗位制服，穿戴整洁， 佩戴服务标识。</w:t>
      </w:r>
    </w:p>
    <w:p w14:paraId="40B093C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7.保持个人卫生，勤洗手，不留长指甲。</w:t>
      </w:r>
    </w:p>
    <w:p w14:paraId="64E20A08">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i/>
          <w:iCs/>
          <w:snapToGrid w:val="0"/>
          <w:color w:val="000000"/>
          <w:kern w:val="0"/>
          <w:sz w:val="28"/>
          <w:szCs w:val="28"/>
          <w:u w:val="single"/>
          <w:lang w:val="en-US" w:eastAsia="zh-CN"/>
        </w:rPr>
      </w:pPr>
      <w:r>
        <w:rPr>
          <w:rFonts w:hint="eastAsia" w:ascii="宋体" w:hAnsi="宋体" w:eastAsia="宋体" w:cs="宋体"/>
          <w:b/>
          <w:bCs/>
          <w:i/>
          <w:iCs/>
          <w:snapToGrid w:val="0"/>
          <w:color w:val="000000"/>
          <w:kern w:val="0"/>
          <w:sz w:val="28"/>
          <w:szCs w:val="28"/>
          <w:u w:val="single"/>
          <w:lang w:val="en-US" w:eastAsia="zh-CN"/>
        </w:rPr>
        <w:t>六、场地、设施与环境要求</w:t>
      </w:r>
    </w:p>
    <w:p w14:paraId="275EAB4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根据连残发【2022】65号，东残发【2023】24号文规定投标人需要自行提供固定服务场所，且能满足本项目寄宿制托养人数基本要求。</w:t>
      </w:r>
    </w:p>
    <w:p w14:paraId="270E900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i/>
          <w:iCs/>
          <w:snapToGrid w:val="0"/>
          <w:color w:val="000000"/>
          <w:kern w:val="0"/>
          <w:sz w:val="24"/>
          <w:szCs w:val="24"/>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（1）场地要求</w:t>
      </w:r>
    </w:p>
    <w:p w14:paraId="251D062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1. 在东海县区域内有固定服务场所，且为自有用房或协议承租不少于三年以上。</w:t>
      </w:r>
    </w:p>
    <w:p w14:paraId="5FF53EE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2. 建筑面积、活动场地及配套设施应满足托养人数、托养服务内容要求。</w:t>
      </w:r>
    </w:p>
    <w:p w14:paraId="56F5E2A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3. 机构宜设置在交通便利的城区或近郊区的地段，公共交通便利。　</w:t>
      </w:r>
    </w:p>
    <w:p w14:paraId="14EF5FC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4. 能提供残疾人寄宿制托养所必需的起居室、食堂、浴室、护理保健室、辅助性劳动工作间、文体活动室等功能用房。</w:t>
      </w:r>
    </w:p>
    <w:p w14:paraId="6901D6A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5. 房屋建筑质量安全，消防设施符合《消防安全标志设置要求》并取得消防许可资质;公共标识设置应符合《标志用公共信息图形符号》的规定。环境安静、远离污染源及易燃易爆物生产和贮存区、高压线路及其设施;宜为低层建筑，如与其他建筑合并建设应设置于低层部分;有独立出入口。</w:t>
      </w:r>
    </w:p>
    <w:p w14:paraId="6106FCD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6. 托养机构的过道、洗手间、食堂等公共场所使用防滑、防跌地面材料，装有无障碍设施，建筑设计符合《无障碍设计规范》的规定要求。</w:t>
      </w:r>
    </w:p>
    <w:p w14:paraId="12858D7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7. 环境整洁、卫生，保持空气流通，具备充足的采光条件。</w:t>
      </w:r>
    </w:p>
    <w:p w14:paraId="7DEFA53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auto"/>
          <w:kern w:val="0"/>
          <w:sz w:val="24"/>
          <w:szCs w:val="24"/>
          <w:highlight w:val="none"/>
          <w:u w:val="single"/>
          <w:lang w:val="en-US" w:eastAsia="zh-CN" w:bidi="ar-SA"/>
        </w:rPr>
      </w:pPr>
      <w:r>
        <w:rPr>
          <w:rFonts w:hint="eastAsia" w:ascii="宋体" w:hAnsi="宋体" w:eastAsia="宋体" w:cs="宋体"/>
          <w:i/>
          <w:iCs/>
          <w:snapToGrid w:val="0"/>
          <w:color w:val="auto"/>
          <w:kern w:val="0"/>
          <w:sz w:val="24"/>
          <w:szCs w:val="24"/>
          <w:highlight w:val="none"/>
          <w:u w:val="single"/>
          <w:lang w:val="en-US" w:eastAsia="zh-CN" w:bidi="ar-SA"/>
        </w:rPr>
        <w:t>8.食堂取得《餐饮服务许可证》、《卫生许可证》。</w:t>
      </w:r>
    </w:p>
    <w:p w14:paraId="50911BF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i/>
          <w:iCs/>
          <w:snapToGrid w:val="0"/>
          <w:color w:val="000000"/>
          <w:kern w:val="0"/>
          <w:sz w:val="24"/>
          <w:szCs w:val="24"/>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（2）设备要求</w:t>
      </w:r>
    </w:p>
    <w:p w14:paraId="56C9859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1. 服务场所装有空调或其他适用的取暖、降温设备，提供全天候热水供应。</w:t>
      </w:r>
    </w:p>
    <w:p w14:paraId="07BE780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2. 服务场所配置照明设备，公共区域设置应急照明灯。</w:t>
      </w:r>
    </w:p>
    <w:p w14:paraId="5D9C2B9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3. 服务场所配备养护起居、护理保健和文体活动等基本设施，设备完好。</w:t>
      </w:r>
    </w:p>
    <w:p w14:paraId="1C72F1F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i/>
          <w:iCs/>
          <w:snapToGrid w:val="0"/>
          <w:color w:val="000000"/>
          <w:kern w:val="0"/>
          <w:sz w:val="24"/>
          <w:szCs w:val="24"/>
          <w:u w:val="single"/>
          <w:lang w:val="en-US" w:eastAsia="zh-CN" w:bidi="ar-SA"/>
        </w:rPr>
      </w:pPr>
      <w:r>
        <w:rPr>
          <w:rFonts w:hint="eastAsia" w:ascii="宋体" w:hAnsi="宋体" w:eastAsia="宋体" w:cs="宋体"/>
          <w:b/>
          <w:bCs/>
          <w:i/>
          <w:iCs/>
          <w:snapToGrid w:val="0"/>
          <w:color w:val="000000"/>
          <w:kern w:val="0"/>
          <w:sz w:val="24"/>
          <w:szCs w:val="24"/>
          <w:u w:val="single"/>
          <w:lang w:val="en-US" w:eastAsia="zh-CN" w:bidi="ar-SA"/>
        </w:rPr>
        <w:t>（3）设施与环境要求</w:t>
      </w:r>
    </w:p>
    <w:p w14:paraId="2FEA84F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1.场地设置在交通便利、环境良好、有适当人流的区域，有固定的服务场所,房屋建筑质量和无障碍设施应符合相关要求。</w:t>
      </w:r>
    </w:p>
    <w:p w14:paraId="3474997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2.室内环境应整洁、卫生，应有充足的采光条件，卫生间应有安全防护措施,通风良好、保持清洁无异味。</w:t>
      </w:r>
    </w:p>
    <w:p w14:paraId="0E530EB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3.设置公共洗涤场所，配各洗涤用具并有热水供应。</w:t>
      </w:r>
    </w:p>
    <w:p w14:paraId="037B16B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4.服务场所有取暖、降温设备,温度适宜。应配置适宜的照明、消防设备，公共区域设置应急照明灯，居室和卫生间配置紧急呼叫设备。</w:t>
      </w:r>
    </w:p>
    <w:p w14:paraId="68D012E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5.服务场所应配置应急处理所需的急救药箱、轮椅等与障碍程度相适应的设备，宜提供康复器械、运动器材、图书报刊、电 视机、计算机和互联网等设备。</w:t>
      </w:r>
    </w:p>
    <w:p w14:paraId="52E20F1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6.场所设置消防、公共信息等安全标志。</w:t>
      </w:r>
    </w:p>
    <w:p w14:paraId="5A7CCAB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zh-CN" w:bidi="ar-SA"/>
        </w:rPr>
      </w:pPr>
      <w:r>
        <w:rPr>
          <w:rFonts w:hint="eastAsia" w:ascii="宋体" w:hAnsi="宋体" w:eastAsia="宋体" w:cs="宋体"/>
          <w:i/>
          <w:iCs/>
          <w:snapToGrid w:val="0"/>
          <w:color w:val="000000"/>
          <w:kern w:val="0"/>
          <w:sz w:val="24"/>
          <w:szCs w:val="24"/>
          <w:u w:val="single"/>
          <w:lang w:val="en-US" w:eastAsia="zh-CN" w:bidi="ar-SA"/>
        </w:rPr>
        <w:t>7.设置起居室、食堂、卫生保健室、康复训练室、辅助性就业室、文体活动室等，并配备养护起居、护理服务、文体活动等设施。可根据需要设置心理辅导室,并配各相应的设施。生活用房的使用面积，单人间不小于10平方米；双人间不小于 15 平方米；三人间不小于 20 平方米（上述面积标 准不包括卫生间）。室外活动场所的面积不小于人均 5 平方米。</w:t>
      </w:r>
    </w:p>
    <w:p w14:paraId="1FCA83A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highlight w:val="yellow"/>
          <w:u w:val="single"/>
          <w:lang w:val="en-US" w:eastAsia="zh-CN" w:bidi="ar-SA"/>
        </w:rPr>
      </w:pPr>
      <w:r>
        <w:rPr>
          <w:rFonts w:hint="eastAsia" w:ascii="宋体" w:hAnsi="宋体" w:eastAsia="宋体" w:cs="宋体"/>
          <w:i/>
          <w:iCs/>
          <w:snapToGrid w:val="0"/>
          <w:color w:val="000000"/>
          <w:kern w:val="0"/>
          <w:sz w:val="24"/>
          <w:szCs w:val="24"/>
          <w:highlight w:val="yellow"/>
          <w:u w:val="single"/>
          <w:lang w:val="en-US" w:eastAsia="zh-CN" w:bidi="ar-SA"/>
        </w:rPr>
        <w:t>注：以上内容须提供照片需添加水印定位（定位需和营业执照位置一致）</w:t>
      </w:r>
    </w:p>
    <w:p w14:paraId="40DEE89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（4）设备与用具</w:t>
      </w:r>
    </w:p>
    <w:p w14:paraId="34A901F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1.根据服务对象的类别和实际状况，卧室内的基本配置应包括单人床、床头柜、衣柜、垃圾桶、窗帘。高档配置应有沙发、办公桌椅、空调、电视机、卫生间、衣柜等。</w:t>
      </w:r>
    </w:p>
    <w:p w14:paraId="18D6A83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2.卧室内和公共过道应设置应急照明灯，特护人员的床头应设置紧急呼叫装置。</w:t>
      </w:r>
    </w:p>
    <w:p w14:paraId="10B6122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3.为行动不便的服务对象提供病床便盆、尿壶。</w:t>
      </w:r>
    </w:p>
    <w:p w14:paraId="1A0D2EB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4.卧室内家具和各种设施应无锐角。 </w:t>
      </w:r>
    </w:p>
    <w:p w14:paraId="18D34DD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5.配备急救药箱、轮椅和担架。</w:t>
      </w:r>
    </w:p>
    <w:p w14:paraId="397F6EF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6.有符合环境卫生要求的药品存放、配发场所。</w:t>
      </w:r>
    </w:p>
    <w:p w14:paraId="77EE00B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7.配置健身康复器械，辅助性就业设备， 以及图书、报刊、 电视机、棋牌等设备。</w:t>
      </w:r>
    </w:p>
    <w:p w14:paraId="6751B50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8.对服务设施和设备进行日常维护，保持状态完好。发生故障，应及时维修。</w:t>
      </w:r>
    </w:p>
    <w:p w14:paraId="49421DE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jc w:val="left"/>
        <w:textAlignment w:val="baseline"/>
        <w:rPr>
          <w:rFonts w:hint="eastAsia" w:ascii="宋体" w:hAnsi="宋体" w:eastAsia="宋体" w:cs="宋体"/>
          <w:b/>
          <w:bCs/>
          <w:snapToGrid w:val="0"/>
          <w:color w:val="000000"/>
          <w:kern w:val="0"/>
          <w:sz w:val="28"/>
          <w:szCs w:val="28"/>
          <w:lang w:val="en-US" w:eastAsia="zh-CN" w:bidi="ar-SA"/>
        </w:rPr>
      </w:pPr>
      <w:r>
        <w:rPr>
          <w:rFonts w:hint="eastAsia" w:ascii="宋体" w:hAnsi="宋体" w:eastAsia="宋体" w:cs="宋体"/>
          <w:b/>
          <w:bCs/>
          <w:i/>
          <w:iCs/>
          <w:snapToGrid w:val="0"/>
          <w:color w:val="000000"/>
          <w:kern w:val="0"/>
          <w:sz w:val="28"/>
          <w:szCs w:val="28"/>
          <w:u w:val="single"/>
          <w:lang w:val="en-US" w:eastAsia="zh-CN" w:bidi="ar-SA"/>
        </w:rPr>
        <w:t>七、服务期限</w:t>
      </w:r>
    </w:p>
    <w:p w14:paraId="72CFAAA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left"/>
        <w:textAlignment w:val="baseline"/>
        <w:rPr>
          <w:rFonts w:hint="eastAsia" w:ascii="宋体" w:hAnsi="宋体" w:eastAsia="宋体" w:cs="宋体"/>
          <w:b/>
          <w:bCs/>
          <w:snapToGrid w:val="0"/>
          <w:color w:val="000000"/>
          <w:kern w:val="0"/>
          <w:sz w:val="24"/>
          <w:szCs w:val="24"/>
          <w:highlight w:val="none"/>
          <w:lang w:val="en-US" w:eastAsia="zh-CN" w:bidi="ar-SA"/>
        </w:rPr>
      </w:pPr>
      <w:r>
        <w:rPr>
          <w:rFonts w:hint="eastAsia" w:ascii="宋体" w:hAnsi="宋体" w:eastAsia="宋体" w:cs="宋体"/>
          <w:b/>
          <w:bCs/>
          <w:i/>
          <w:iCs/>
          <w:snapToGrid w:val="0"/>
          <w:color w:val="000000"/>
          <w:kern w:val="0"/>
          <w:sz w:val="24"/>
          <w:szCs w:val="24"/>
          <w:highlight w:val="none"/>
          <w:u w:val="single"/>
          <w:lang w:val="en-US" w:eastAsia="zh-CN" w:bidi="ar-SA"/>
        </w:rPr>
        <w:t>服务时间：1 年（合同约定时间起算）。</w:t>
      </w:r>
    </w:p>
    <w:p w14:paraId="3943260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jc w:val="left"/>
        <w:textAlignment w:val="baseline"/>
        <w:rPr>
          <w:rFonts w:hint="eastAsia" w:ascii="宋体" w:hAnsi="宋体" w:eastAsia="宋体" w:cs="宋体"/>
          <w:b/>
          <w:bCs/>
          <w:snapToGrid w:val="0"/>
          <w:color w:val="000000"/>
          <w:kern w:val="0"/>
          <w:sz w:val="28"/>
          <w:szCs w:val="28"/>
          <w:lang w:val="en-US" w:eastAsia="zh-CN" w:bidi="ar-SA"/>
        </w:rPr>
      </w:pPr>
      <w:r>
        <w:rPr>
          <w:rFonts w:hint="eastAsia" w:ascii="宋体" w:hAnsi="宋体" w:eastAsia="宋体" w:cs="宋体"/>
          <w:b/>
          <w:bCs/>
          <w:snapToGrid w:val="0"/>
          <w:color w:val="000000"/>
          <w:kern w:val="0"/>
          <w:sz w:val="28"/>
          <w:szCs w:val="28"/>
          <w:lang w:val="en-US" w:eastAsia="zh-CN" w:bidi="ar-SA"/>
        </w:rPr>
        <w:t>八、考核标准（服务标准）及考核办法</w:t>
      </w:r>
    </w:p>
    <w:p w14:paraId="02C4A7B1">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000000"/>
          <w:kern w:val="0"/>
          <w:sz w:val="24"/>
          <w:szCs w:val="24"/>
          <w:highlight w:val="yellow"/>
          <w:lang w:val="zh-CN" w:eastAsia="zh-CN"/>
        </w:rPr>
      </w:pPr>
      <w:r>
        <w:rPr>
          <w:rFonts w:hint="eastAsia" w:ascii="宋体" w:hAnsi="宋体" w:eastAsia="宋体" w:cs="宋体"/>
          <w:snapToGrid w:val="0"/>
          <w:color w:val="000000"/>
          <w:kern w:val="0"/>
          <w:sz w:val="24"/>
          <w:szCs w:val="24"/>
          <w:lang w:val="zh-CN" w:eastAsia="en-US"/>
        </w:rPr>
        <w:t>采购人组织专家技术指导组或委托第三方评估机构，按</w:t>
      </w:r>
      <w:r>
        <w:rPr>
          <w:rFonts w:hint="eastAsia" w:ascii="宋体" w:hAnsi="宋体" w:eastAsia="宋体" w:cs="宋体"/>
          <w:snapToGrid w:val="0"/>
          <w:color w:val="000000"/>
          <w:kern w:val="0"/>
          <w:sz w:val="24"/>
          <w:szCs w:val="24"/>
          <w:highlight w:val="none"/>
          <w:lang w:val="zh-CN" w:eastAsia="en-US"/>
        </w:rPr>
        <w:t>照</w:t>
      </w:r>
      <w:r>
        <w:rPr>
          <w:rFonts w:hint="eastAsia" w:ascii="宋体" w:hAnsi="宋体" w:eastAsia="宋体" w:cs="宋体"/>
          <w:snapToGrid w:val="0"/>
          <w:color w:val="000000"/>
          <w:kern w:val="0"/>
          <w:sz w:val="24"/>
          <w:szCs w:val="24"/>
          <w:highlight w:val="none"/>
          <w:lang w:val="zh-CN" w:eastAsia="zh-CN"/>
        </w:rPr>
        <w:t>东残发〔202</w:t>
      </w:r>
      <w:r>
        <w:rPr>
          <w:rFonts w:hint="eastAsia" w:ascii="宋体" w:hAnsi="宋体" w:eastAsia="宋体" w:cs="宋体"/>
          <w:snapToGrid w:val="0"/>
          <w:color w:val="000000"/>
          <w:kern w:val="0"/>
          <w:sz w:val="24"/>
          <w:szCs w:val="24"/>
          <w:highlight w:val="none"/>
          <w:lang w:val="en-US" w:eastAsia="zh-CN"/>
        </w:rPr>
        <w:t>5</w:t>
      </w:r>
      <w:r>
        <w:rPr>
          <w:rFonts w:hint="eastAsia" w:ascii="宋体" w:hAnsi="宋体" w:eastAsia="宋体" w:cs="宋体"/>
          <w:snapToGrid w:val="0"/>
          <w:color w:val="000000"/>
          <w:kern w:val="0"/>
          <w:sz w:val="24"/>
          <w:szCs w:val="24"/>
          <w:highlight w:val="none"/>
          <w:lang w:val="zh-CN" w:eastAsia="zh-CN"/>
        </w:rPr>
        <w:t>〕</w:t>
      </w:r>
      <w:r>
        <w:rPr>
          <w:rFonts w:hint="eastAsia" w:ascii="宋体" w:hAnsi="宋体" w:eastAsia="宋体" w:cs="宋体"/>
          <w:snapToGrid w:val="0"/>
          <w:color w:val="000000"/>
          <w:kern w:val="0"/>
          <w:sz w:val="24"/>
          <w:szCs w:val="24"/>
          <w:highlight w:val="none"/>
          <w:lang w:val="en-US" w:eastAsia="zh-CN"/>
        </w:rPr>
        <w:t>2</w:t>
      </w:r>
      <w:r>
        <w:rPr>
          <w:rFonts w:hint="eastAsia" w:ascii="宋体" w:hAnsi="宋体" w:eastAsia="宋体" w:cs="宋体"/>
          <w:snapToGrid w:val="0"/>
          <w:color w:val="000000"/>
          <w:kern w:val="0"/>
          <w:sz w:val="24"/>
          <w:szCs w:val="24"/>
          <w:highlight w:val="none"/>
          <w:lang w:val="zh-CN" w:eastAsia="zh-CN"/>
        </w:rPr>
        <w:t>号</w:t>
      </w:r>
      <w:r>
        <w:rPr>
          <w:rFonts w:hint="eastAsia" w:ascii="宋体" w:hAnsi="宋体" w:eastAsia="宋体" w:cs="宋体"/>
          <w:snapToGrid w:val="0"/>
          <w:color w:val="000000"/>
          <w:kern w:val="0"/>
          <w:sz w:val="24"/>
          <w:szCs w:val="24"/>
          <w:highlight w:val="none"/>
          <w:lang w:val="en-US" w:eastAsia="zh-CN"/>
        </w:rPr>
        <w:t>关于印发东海县残疾人托养服务考核评估和经费拨付管理办法的通知</w:t>
      </w:r>
      <w:r>
        <w:rPr>
          <w:rFonts w:hint="eastAsia" w:ascii="宋体" w:hAnsi="宋体" w:eastAsia="宋体" w:cs="宋体"/>
          <w:snapToGrid w:val="0"/>
          <w:color w:val="000000"/>
          <w:kern w:val="0"/>
          <w:sz w:val="24"/>
          <w:szCs w:val="24"/>
          <w:highlight w:val="none"/>
          <w:lang w:eastAsia="en-US"/>
        </w:rPr>
        <w:t>，</w:t>
      </w:r>
      <w:r>
        <w:rPr>
          <w:rFonts w:hint="eastAsia" w:ascii="宋体" w:hAnsi="宋体" w:eastAsia="宋体" w:cs="宋体"/>
          <w:snapToGrid w:val="0"/>
          <w:color w:val="000000"/>
          <w:kern w:val="0"/>
          <w:sz w:val="24"/>
          <w:szCs w:val="24"/>
          <w:lang w:val="zh-CN" w:eastAsia="zh-CN"/>
        </w:rPr>
        <w:t>考核内容为日常管理和托养质量两个方面。</w:t>
      </w:r>
    </w:p>
    <w:p w14:paraId="3A5BDF62">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napToGrid w:val="0"/>
          <w:color w:val="000000"/>
          <w:kern w:val="0"/>
          <w:sz w:val="24"/>
          <w:szCs w:val="24"/>
          <w:lang w:val="zh-CN" w:eastAsia="zh-CN"/>
        </w:rPr>
      </w:pPr>
      <w:r>
        <w:rPr>
          <w:rFonts w:hint="eastAsia" w:ascii="宋体" w:hAnsi="宋体" w:eastAsia="宋体" w:cs="宋体"/>
          <w:snapToGrid w:val="0"/>
          <w:color w:val="000000"/>
          <w:kern w:val="0"/>
          <w:sz w:val="24"/>
          <w:szCs w:val="24"/>
          <w:lang w:val="zh-CN" w:eastAsia="zh-CN"/>
        </w:rPr>
        <w:t>1.日常管理包括考勤管理、服务管理、满意度测评、档案管理、信息报送、宣传报道等。</w:t>
      </w:r>
    </w:p>
    <w:p w14:paraId="3EE6CA8B">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napToGrid w:val="0"/>
          <w:color w:val="000000"/>
          <w:kern w:val="0"/>
          <w:sz w:val="24"/>
          <w:szCs w:val="24"/>
          <w:lang w:val="zh-CN" w:eastAsia="zh-CN"/>
        </w:rPr>
      </w:pPr>
      <w:r>
        <w:rPr>
          <w:rFonts w:hint="eastAsia" w:ascii="宋体" w:hAnsi="宋体" w:eastAsia="宋体" w:cs="宋体"/>
          <w:snapToGrid w:val="0"/>
          <w:color w:val="000000"/>
          <w:kern w:val="0"/>
          <w:sz w:val="24"/>
          <w:szCs w:val="24"/>
          <w:lang w:val="zh-CN" w:eastAsia="zh-CN"/>
        </w:rPr>
        <w:t>2.托养质量包括必备条件、组织管理、过程质量、结果质量等方面。</w:t>
      </w:r>
    </w:p>
    <w:p w14:paraId="03CF25C8">
      <w:pPr>
        <w:pageBreakBefore w:val="0"/>
        <w:widowControl/>
        <w:kinsoku/>
        <w:wordWrap/>
        <w:overflowPunct/>
        <w:topLinePunct w:val="0"/>
        <w:autoSpaceDE/>
        <w:autoSpaceDN/>
        <w:bidi w:val="0"/>
        <w:adjustRightInd/>
        <w:snapToGrid/>
        <w:spacing w:line="360" w:lineRule="auto"/>
        <w:ind w:firstLine="645"/>
        <w:jc w:val="both"/>
        <w:textAlignment w:val="auto"/>
        <w:rPr>
          <w:rFonts w:hint="eastAsia" w:ascii="宋体" w:hAnsi="宋体" w:eastAsia="宋体" w:cs="宋体"/>
          <w:snapToGrid w:val="0"/>
          <w:color w:val="000000"/>
          <w:kern w:val="0"/>
          <w:sz w:val="24"/>
          <w:szCs w:val="24"/>
          <w:highlight w:val="none"/>
          <w:lang w:eastAsia="en-US"/>
        </w:rPr>
      </w:pPr>
      <w:r>
        <w:rPr>
          <w:rFonts w:hint="eastAsia" w:ascii="宋体" w:hAnsi="宋体" w:eastAsia="宋体" w:cs="宋体"/>
          <w:snapToGrid w:val="0"/>
          <w:color w:val="000000"/>
          <w:kern w:val="0"/>
          <w:sz w:val="24"/>
          <w:szCs w:val="24"/>
          <w:highlight w:val="none"/>
          <w:lang w:val="en-US" w:eastAsia="zh-CN"/>
        </w:rPr>
        <w:t>以残联最新政策为准。</w:t>
      </w:r>
    </w:p>
    <w:p w14:paraId="2C142BCF">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snapToGrid w:val="0"/>
          <w:color w:val="000000"/>
          <w:kern w:val="0"/>
          <w:sz w:val="28"/>
          <w:szCs w:val="28"/>
          <w:lang w:eastAsia="en-US"/>
        </w:rPr>
      </w:pPr>
      <w:r>
        <w:rPr>
          <w:rFonts w:hint="eastAsia" w:ascii="宋体" w:hAnsi="宋体" w:eastAsia="宋体" w:cs="宋体"/>
          <w:b/>
          <w:bCs/>
          <w:snapToGrid w:val="0"/>
          <w:color w:val="000000"/>
          <w:kern w:val="0"/>
          <w:sz w:val="28"/>
          <w:szCs w:val="28"/>
          <w:lang w:val="en-US" w:eastAsia="zh-CN"/>
        </w:rPr>
        <w:t>九、</w:t>
      </w:r>
      <w:r>
        <w:rPr>
          <w:rFonts w:hint="eastAsia" w:ascii="宋体" w:hAnsi="宋体" w:eastAsia="宋体" w:cs="宋体"/>
          <w:b/>
          <w:snapToGrid w:val="0"/>
          <w:color w:val="000000"/>
          <w:kern w:val="0"/>
          <w:sz w:val="28"/>
          <w:szCs w:val="28"/>
          <w:lang w:eastAsia="en-US"/>
        </w:rPr>
        <w:t>履约验收</w:t>
      </w:r>
    </w:p>
    <w:p w14:paraId="45B05DA8">
      <w:pPr>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所提供项目服务质量符合国家相关标准且满足本次采购的要求，如有不合格，造成的损失和后果由该</w:t>
      </w:r>
      <w:r>
        <w:rPr>
          <w:rFonts w:hint="eastAsia" w:ascii="宋体" w:hAnsi="宋体" w:eastAsia="宋体" w:cs="宋体"/>
          <w:snapToGrid w:val="0"/>
          <w:color w:val="000000"/>
          <w:kern w:val="0"/>
          <w:sz w:val="24"/>
          <w:szCs w:val="24"/>
          <w:lang w:val="en-US" w:eastAsia="zh-CN"/>
        </w:rPr>
        <w:t>投标人</w:t>
      </w:r>
      <w:r>
        <w:rPr>
          <w:rFonts w:hint="eastAsia" w:ascii="宋体" w:hAnsi="宋体" w:eastAsia="宋体" w:cs="宋体"/>
          <w:snapToGrid w:val="0"/>
          <w:color w:val="000000"/>
          <w:kern w:val="0"/>
          <w:sz w:val="24"/>
          <w:szCs w:val="24"/>
          <w:lang w:eastAsia="en-US"/>
        </w:rPr>
        <w:t>负全责。符合项目验收标准后，采购人根据技术要求组织验收并出具验收书。</w:t>
      </w:r>
    </w:p>
    <w:p w14:paraId="7A8C9DC0">
      <w:pPr>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乙方向甲方提交项目验收资料以及终验申请单，甲方收到申请后3 个工作日内组织终验且验收无问题后签署终验单。验收的标准按照采购文件、响应文件及相关标准实施，服从采购人安排要求。</w:t>
      </w:r>
    </w:p>
    <w:p w14:paraId="54E27FB8">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i/>
          <w:iCs/>
          <w:snapToGrid w:val="0"/>
          <w:color w:val="000000"/>
          <w:kern w:val="0"/>
          <w:sz w:val="28"/>
          <w:szCs w:val="28"/>
          <w:u w:val="single"/>
          <w:lang w:eastAsia="en-US"/>
        </w:rPr>
      </w:pPr>
      <w:r>
        <w:rPr>
          <w:rFonts w:hint="eastAsia" w:ascii="宋体" w:hAnsi="宋体" w:eastAsia="宋体" w:cs="宋体"/>
          <w:b/>
          <w:i/>
          <w:iCs/>
          <w:snapToGrid w:val="0"/>
          <w:color w:val="000000"/>
          <w:kern w:val="0"/>
          <w:sz w:val="28"/>
          <w:szCs w:val="28"/>
          <w:u w:val="single"/>
          <w:lang w:val="en-US" w:eastAsia="zh-CN"/>
        </w:rPr>
        <w:t>十</w:t>
      </w:r>
      <w:r>
        <w:rPr>
          <w:rFonts w:hint="eastAsia" w:ascii="宋体" w:hAnsi="宋体" w:eastAsia="宋体" w:cs="宋体"/>
          <w:b/>
          <w:i/>
          <w:iCs/>
          <w:snapToGrid w:val="0"/>
          <w:color w:val="000000"/>
          <w:kern w:val="0"/>
          <w:sz w:val="28"/>
          <w:szCs w:val="28"/>
          <w:u w:val="single"/>
          <w:lang w:eastAsia="en-US"/>
        </w:rPr>
        <w:t>、付款方式与履约保证金</w:t>
      </w:r>
    </w:p>
    <w:p w14:paraId="1C10EA2E">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en-US" w:bidi="ar-SA"/>
        </w:rPr>
      </w:pPr>
      <w:r>
        <w:rPr>
          <w:rFonts w:hint="eastAsia" w:ascii="宋体" w:hAnsi="宋体" w:eastAsia="宋体" w:cs="宋体"/>
          <w:i/>
          <w:iCs/>
          <w:snapToGrid w:val="0"/>
          <w:color w:val="000000"/>
          <w:kern w:val="0"/>
          <w:sz w:val="24"/>
          <w:szCs w:val="24"/>
          <w:u w:val="single"/>
          <w:lang w:val="en-US" w:eastAsia="en-US" w:bidi="ar-SA"/>
        </w:rPr>
        <w:t>1.付款方式：</w:t>
      </w:r>
    </w:p>
    <w:p w14:paraId="59E63204">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val="0"/>
          <w:iCs w:val="0"/>
          <w:snapToGrid w:val="0"/>
          <w:color w:val="000000"/>
          <w:kern w:val="0"/>
          <w:sz w:val="24"/>
          <w:szCs w:val="24"/>
          <w:highlight w:val="yellow"/>
          <w:u w:val="none"/>
          <w:lang w:val="en-US" w:eastAsia="zh-CN" w:bidi="ar-SA"/>
        </w:rPr>
      </w:pPr>
      <w:r>
        <w:rPr>
          <w:rFonts w:hint="eastAsia" w:ascii="宋体" w:hAnsi="宋体" w:eastAsia="宋体" w:cs="宋体"/>
          <w:i/>
          <w:iCs/>
          <w:snapToGrid w:val="0"/>
          <w:color w:val="000000"/>
          <w:kern w:val="0"/>
          <w:sz w:val="24"/>
          <w:szCs w:val="24"/>
          <w:highlight w:val="yellow"/>
          <w:u w:val="single"/>
          <w:lang w:val="en-US" w:eastAsia="zh-CN" w:bidi="ar-SA"/>
        </w:rPr>
        <w:t>合同签订后，托养经费分别由县残联在每服务季度按照托养机构服务人数、服务标准全额测算，每季度根据考核指标报财政据实拨付。考核结果低于85分的，暂缓拨付经费，整改完成后拨付。每次付款前投标人应向甲方开具正规发票，否则迟延付款的责任由投标人自行承担。</w:t>
      </w:r>
    </w:p>
    <w:p w14:paraId="7B2B1F31">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val="0"/>
          <w:iCs w:val="0"/>
          <w:snapToGrid w:val="0"/>
          <w:color w:val="000000"/>
          <w:kern w:val="0"/>
          <w:sz w:val="24"/>
          <w:szCs w:val="24"/>
          <w:highlight w:val="yellow"/>
          <w:u w:val="none"/>
          <w:lang w:val="en-US" w:eastAsia="en-US" w:bidi="ar-SA"/>
        </w:rPr>
      </w:pPr>
      <w:r>
        <w:rPr>
          <w:rFonts w:hint="eastAsia" w:ascii="宋体" w:hAnsi="宋体" w:eastAsia="宋体" w:cs="宋体"/>
          <w:i w:val="0"/>
          <w:iCs w:val="0"/>
          <w:snapToGrid w:val="0"/>
          <w:color w:val="000000"/>
          <w:kern w:val="0"/>
          <w:sz w:val="24"/>
          <w:szCs w:val="24"/>
          <w:highlight w:val="none"/>
          <w:u w:val="none"/>
          <w:lang w:val="en-US" w:eastAsia="en-US" w:bidi="ar-SA"/>
        </w:rPr>
        <w:t>若因服务对象与残疾人解除服务协议、身体状况变化、死亡等因素导致实际服务数量发生变化，</w:t>
      </w:r>
      <w:r>
        <w:rPr>
          <w:rFonts w:hint="eastAsia" w:ascii="宋体" w:hAnsi="宋体" w:eastAsia="宋体" w:cs="宋体"/>
          <w:i w:val="0"/>
          <w:iCs w:val="0"/>
          <w:snapToGrid w:val="0"/>
          <w:color w:val="000000"/>
          <w:kern w:val="0"/>
          <w:sz w:val="24"/>
          <w:szCs w:val="24"/>
          <w:highlight w:val="none"/>
          <w:u w:val="none"/>
          <w:lang w:val="en-US" w:eastAsia="zh-CN" w:bidi="ar-SA"/>
        </w:rPr>
        <w:t>投标人</w:t>
      </w:r>
      <w:r>
        <w:rPr>
          <w:rFonts w:hint="eastAsia" w:ascii="宋体" w:hAnsi="宋体" w:eastAsia="宋体" w:cs="宋体"/>
          <w:i w:val="0"/>
          <w:iCs w:val="0"/>
          <w:snapToGrid w:val="0"/>
          <w:color w:val="000000"/>
          <w:kern w:val="0"/>
          <w:sz w:val="24"/>
          <w:szCs w:val="24"/>
          <w:highlight w:val="none"/>
          <w:u w:val="none"/>
          <w:lang w:val="en-US" w:eastAsia="en-US" w:bidi="ar-SA"/>
        </w:rPr>
        <w:t>应当及时书面报告采购人。当服务人员数量与实际服务数量不一致时，采购人可根据《连云港市残疾人托养服务实施方案》文件要求调整，若有符合寄宿制托养条件人员可以进行调整补充。</w:t>
      </w:r>
    </w:p>
    <w:p w14:paraId="69049A61">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val="0"/>
          <w:iCs w:val="0"/>
          <w:snapToGrid w:val="0"/>
          <w:color w:val="FF0000"/>
          <w:kern w:val="0"/>
          <w:sz w:val="24"/>
          <w:szCs w:val="24"/>
          <w:highlight w:val="yellow"/>
          <w:u w:val="none"/>
          <w:lang w:val="en-US" w:eastAsia="en-US" w:bidi="ar-SA"/>
        </w:rPr>
      </w:pPr>
      <w:r>
        <w:rPr>
          <w:rFonts w:hint="eastAsia" w:ascii="宋体" w:hAnsi="宋体" w:eastAsia="宋体" w:cs="宋体"/>
          <w:i w:val="0"/>
          <w:iCs w:val="0"/>
          <w:snapToGrid w:val="0"/>
          <w:color w:val="FF0000"/>
          <w:kern w:val="0"/>
          <w:sz w:val="24"/>
          <w:szCs w:val="24"/>
          <w:highlight w:val="yellow"/>
          <w:u w:val="none"/>
          <w:lang w:val="en-US" w:eastAsia="en-US" w:bidi="ar-SA"/>
        </w:rPr>
        <w:t>本项目服务费用按单价进行结算。</w:t>
      </w:r>
    </w:p>
    <w:p w14:paraId="11182C3F">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baseline"/>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en-US" w:bidi="ar-SA"/>
        </w:rPr>
        <w:t>2.履约保证金：本项目不收取履约保证金</w:t>
      </w:r>
    </w:p>
    <w:p w14:paraId="7FAF714B">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i w:val="0"/>
          <w:iCs w:val="0"/>
          <w:snapToGrid w:val="0"/>
          <w:color w:val="000000"/>
          <w:kern w:val="0"/>
          <w:sz w:val="28"/>
          <w:szCs w:val="28"/>
          <w:u w:val="none"/>
          <w:lang w:eastAsia="en-US"/>
        </w:rPr>
      </w:pPr>
      <w:r>
        <w:rPr>
          <w:rFonts w:hint="eastAsia" w:ascii="宋体" w:hAnsi="宋体" w:eastAsia="宋体" w:cs="宋体"/>
          <w:b/>
          <w:i w:val="0"/>
          <w:iCs w:val="0"/>
          <w:snapToGrid w:val="0"/>
          <w:color w:val="000000"/>
          <w:kern w:val="0"/>
          <w:sz w:val="28"/>
          <w:szCs w:val="28"/>
          <w:u w:val="none"/>
          <w:lang w:val="en-US" w:eastAsia="zh-CN"/>
        </w:rPr>
        <w:t>十一</w:t>
      </w:r>
      <w:r>
        <w:rPr>
          <w:rFonts w:hint="eastAsia" w:ascii="宋体" w:hAnsi="宋体" w:eastAsia="宋体" w:cs="宋体"/>
          <w:b/>
          <w:i w:val="0"/>
          <w:iCs w:val="0"/>
          <w:snapToGrid w:val="0"/>
          <w:color w:val="000000"/>
          <w:kern w:val="0"/>
          <w:sz w:val="28"/>
          <w:szCs w:val="28"/>
          <w:u w:val="none"/>
          <w:lang w:eastAsia="en-US"/>
        </w:rPr>
        <w:t>、报价要求</w:t>
      </w:r>
    </w:p>
    <w:p w14:paraId="2C70B60B">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left"/>
        <w:textAlignment w:val="baseline"/>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en-US" w:bidi="ar-SA"/>
        </w:rPr>
        <w:t>1.应根据国家收费标准并结合市场实际进行报价。本次采购文件所涉及货币币种均为人民币。</w:t>
      </w:r>
    </w:p>
    <w:p w14:paraId="6BA1F8F9">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left"/>
        <w:textAlignment w:val="baseline"/>
        <w:rPr>
          <w:rFonts w:hint="eastAsia" w:ascii="宋体" w:hAnsi="宋体" w:eastAsia="宋体" w:cs="宋体"/>
          <w:i/>
          <w:iCs/>
          <w:snapToGrid w:val="0"/>
          <w:color w:val="000000"/>
          <w:kern w:val="0"/>
          <w:sz w:val="24"/>
          <w:szCs w:val="24"/>
          <w:u w:val="single"/>
          <w:lang w:val="en-US" w:eastAsia="en-US" w:bidi="ar-SA"/>
        </w:rPr>
      </w:pPr>
      <w:r>
        <w:rPr>
          <w:rFonts w:hint="eastAsia" w:ascii="宋体" w:hAnsi="宋体" w:eastAsia="宋体" w:cs="宋体"/>
          <w:i/>
          <w:iCs/>
          <w:snapToGrid w:val="0"/>
          <w:color w:val="000000"/>
          <w:kern w:val="0"/>
          <w:sz w:val="24"/>
          <w:szCs w:val="24"/>
          <w:highlight w:val="yellow"/>
          <w:u w:val="single"/>
          <w:lang w:val="en-US" w:eastAsia="en-US" w:bidi="ar-SA"/>
        </w:rPr>
        <w:t>2</w:t>
      </w:r>
      <w:r>
        <w:rPr>
          <w:rFonts w:hint="eastAsia" w:ascii="宋体" w:hAnsi="宋体" w:eastAsia="宋体" w:cs="宋体"/>
          <w:i/>
          <w:iCs/>
          <w:snapToGrid w:val="0"/>
          <w:color w:val="000000"/>
          <w:kern w:val="0"/>
          <w:sz w:val="24"/>
          <w:szCs w:val="24"/>
          <w:highlight w:val="yellow"/>
          <w:u w:val="single"/>
          <w:lang w:val="en-US" w:eastAsia="zh-CN" w:bidi="ar-SA"/>
        </w:rPr>
        <w:t>.重度残疾人3300 元/人/月、轻度残疾人1800元/人/月，投标分项报价表中单价报价超过以上最高限价的按无效响应处理</w:t>
      </w:r>
      <w:r>
        <w:rPr>
          <w:rFonts w:hint="eastAsia" w:ascii="宋体" w:hAnsi="宋体" w:eastAsia="宋体" w:cs="宋体"/>
          <w:i/>
          <w:iCs/>
          <w:snapToGrid w:val="0"/>
          <w:color w:val="000000"/>
          <w:kern w:val="0"/>
          <w:sz w:val="24"/>
          <w:szCs w:val="24"/>
          <w:highlight w:val="yellow"/>
          <w:u w:val="single"/>
          <w:lang w:val="en-US" w:eastAsia="en-US" w:bidi="ar-SA"/>
        </w:rPr>
        <w:t>。</w:t>
      </w:r>
    </w:p>
    <w:p w14:paraId="40A5A44D">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left"/>
        <w:textAlignment w:val="baseline"/>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en-US" w:bidi="ar-SA"/>
        </w:rPr>
        <w:t>3.报价须包括完成本项目所需的人员劳务费、宣传材料费、办公设施、各种税费、利 润、商业保险费用、电费、燃气费及政策性文件规定及合同包含的所有风险、责任等。</w:t>
      </w:r>
    </w:p>
    <w:p w14:paraId="4FB5A107">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left"/>
        <w:textAlignment w:val="baseline"/>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en-US" w:bidi="ar-SA"/>
        </w:rPr>
        <w:t>4 、投标人聘用的所有人员均须按规定缴纳五险，月工资收入不得低于连云港最低工资标准。如未按照国家相关法律规定为聘用人员缴纳各项保险，发生任何的经济、法律纠 纷和人身损害赔偿等，由投标人自行解决。因投标人聘用人员的责任造成采购人财产损失 的，由投标人负责赔偿。</w:t>
      </w:r>
    </w:p>
    <w:p w14:paraId="757321D4">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left"/>
        <w:textAlignment w:val="baseline"/>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en-US" w:bidi="ar-SA"/>
        </w:rPr>
        <w:t>5 、投标人的用工要符合国家的相关规定，必须与招聘人员签订用工合同，并将合同 复印件报给采购人，中标人派遣的聘用人员到采购人处工作要出具介绍信或派工单，不得 派遣内病退、退休人员。</w:t>
      </w:r>
    </w:p>
    <w:p w14:paraId="27A592B5">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snapToGrid w:val="0"/>
          <w:color w:val="000000"/>
          <w:kern w:val="0"/>
          <w:sz w:val="28"/>
          <w:szCs w:val="28"/>
          <w:lang w:val="en-US" w:eastAsia="en-US"/>
        </w:rPr>
      </w:pPr>
      <w:r>
        <w:rPr>
          <w:rFonts w:hint="eastAsia" w:ascii="宋体" w:hAnsi="宋体" w:eastAsia="宋体" w:cs="宋体"/>
          <w:b/>
          <w:snapToGrid w:val="0"/>
          <w:color w:val="000000"/>
          <w:kern w:val="0"/>
          <w:sz w:val="28"/>
          <w:szCs w:val="28"/>
          <w:lang w:val="en-US" w:eastAsia="zh-CN"/>
        </w:rPr>
        <w:t>十二</w:t>
      </w:r>
      <w:r>
        <w:rPr>
          <w:rFonts w:hint="eastAsia" w:ascii="宋体" w:hAnsi="宋体" w:eastAsia="宋体" w:cs="宋体"/>
          <w:b/>
          <w:snapToGrid w:val="0"/>
          <w:color w:val="000000"/>
          <w:kern w:val="0"/>
          <w:sz w:val="28"/>
          <w:szCs w:val="28"/>
          <w:lang w:val="en-US" w:eastAsia="en-US"/>
        </w:rPr>
        <w:t>、其他</w:t>
      </w:r>
    </w:p>
    <w:p w14:paraId="38ECFBD9">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1.采购人提供相应场所和托养服务基本设施设备交于中标人使用和维护；中标人可共 享或自行添置基本医疗、康复训练等设施设备。</w:t>
      </w:r>
    </w:p>
    <w:p w14:paraId="5CA215A7">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2.特别提醒投标人：工作中涉及的敏感资料、电子数据等相关信息，中标人应严格执 行保密的相关规定，不得以任何方式向任何第三人披露、泄露或许可第三人使用，否则追 究其相应法律责任。</w:t>
      </w:r>
    </w:p>
    <w:p w14:paraId="174811BF">
      <w:pPr>
        <w:keepNext w:val="0"/>
        <w:keepLines w:val="0"/>
        <w:pageBreakBefore w:val="0"/>
        <w:widowControl/>
        <w:kinsoku/>
        <w:wordWrap/>
        <w:overflowPunct/>
        <w:topLinePunct w:val="0"/>
        <w:autoSpaceDE/>
        <w:autoSpaceDN/>
        <w:bidi w:val="0"/>
        <w:adjustRightInd w:val="0"/>
        <w:snapToGrid/>
        <w:spacing w:after="0" w:line="360" w:lineRule="auto"/>
        <w:ind w:firstLine="482" w:firstLineChars="200"/>
        <w:jc w:val="left"/>
        <w:textAlignment w:val="baseline"/>
        <w:rPr>
          <w:rFonts w:hint="eastAsia" w:ascii="宋体" w:hAnsi="宋体" w:eastAsia="宋体" w:cs="宋体"/>
          <w:b/>
          <w:bCs/>
          <w:snapToGrid w:val="0"/>
          <w:color w:val="000000"/>
          <w:kern w:val="0"/>
          <w:sz w:val="24"/>
          <w:szCs w:val="24"/>
          <w:highlight w:val="none"/>
          <w:lang w:val="en-US" w:eastAsia="zh-CN" w:bidi="ar-SA"/>
        </w:rPr>
      </w:pPr>
      <w:r>
        <w:rPr>
          <w:rFonts w:hint="eastAsia" w:ascii="宋体" w:hAnsi="宋体" w:eastAsia="宋体" w:cs="宋体"/>
          <w:b/>
          <w:bCs/>
          <w:snapToGrid w:val="0"/>
          <w:color w:val="000000"/>
          <w:kern w:val="0"/>
          <w:sz w:val="24"/>
          <w:szCs w:val="24"/>
          <w:highlight w:val="none"/>
          <w:lang w:val="en-US" w:eastAsia="zh-CN" w:bidi="ar-SA"/>
        </w:rPr>
        <w:t>3.采购人于中标公告发出之日起5个工作日内对中标人进行现场复查，中标人对提供的投标文件内容真实性负责，如发现中标人弄虚作假投标、中标，将取消中标资格，已签订合同的，由中标人承担违约责任，并赔偿给采购人造成的损失。</w:t>
      </w:r>
    </w:p>
    <w:p w14:paraId="59ADBACA">
      <w:pPr>
        <w:pStyle w:val="182"/>
        <w:pageBreakBefore w:val="0"/>
        <w:wordWrap/>
        <w:overflowPunct/>
        <w:topLinePunct w:val="0"/>
        <w:bidi w:val="0"/>
        <w:spacing w:before="156" w:after="156" w:line="360" w:lineRule="auto"/>
        <w:jc w:val="center"/>
        <w:rPr>
          <w:rFonts w:hint="eastAsia" w:ascii="宋体" w:hAnsi="宋体" w:eastAsia="宋体" w:cs="宋体"/>
          <w:b w:val="0"/>
          <w:color w:val="000000"/>
        </w:rPr>
      </w:pPr>
      <w:r>
        <w:rPr>
          <w:rFonts w:hint="eastAsia" w:ascii="宋体" w:hAnsi="宋体" w:eastAsia="宋体" w:cs="宋体"/>
          <w:b w:val="0"/>
          <w:color w:val="000000"/>
        </w:rPr>
        <w:t>第五章  评标方法与评标标准</w:t>
      </w:r>
      <w:bookmarkEnd w:id="4"/>
    </w:p>
    <w:p w14:paraId="79648AB2">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一、评标方法</w:t>
      </w:r>
    </w:p>
    <w:p w14:paraId="49ECC9C7">
      <w:pPr>
        <w:pageBreakBefore w:val="0"/>
        <w:wordWrap/>
        <w:overflowPunct/>
        <w:topLinePunct w:val="0"/>
        <w:bidi w:val="0"/>
        <w:spacing w:line="360" w:lineRule="auto"/>
        <w:ind w:firstLine="480"/>
        <w:jc w:val="left"/>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综合评分法：评标结果按评审后得分由高到低顺序排列。得分相同的，按投标报价由低到高顺序排列。得分且投标报价相同的并列。评标委员会按照评审得分由高到低顺序推荐3名中标候选人。</w:t>
      </w:r>
    </w:p>
    <w:p w14:paraId="6A88DFC2">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二、评标标准</w:t>
      </w:r>
    </w:p>
    <w:p w14:paraId="2F6E8F4E">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（1）评标时，评委会以招标文件为评标依据，评委会各成员独立对每个投标人的投标文件进行评价，并汇总每个投标人的得分。评标过程中，不得去掉报价中的最高报价和最低报价。</w:t>
      </w:r>
    </w:p>
    <w:p w14:paraId="5A97EE30">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（2）本项目评分总分为100分，按四舍五入取至小数点后两位。</w:t>
      </w:r>
    </w:p>
    <w:p w14:paraId="60F27B60">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（3）总得分=价格分+技术分+商务分。</w:t>
      </w:r>
    </w:p>
    <w:p w14:paraId="4CA960E2">
      <w:pPr>
        <w:pageBreakBefore w:val="0"/>
        <w:wordWrap/>
        <w:overflowPunct/>
        <w:topLinePunct w:val="0"/>
        <w:bidi w:val="0"/>
        <w:spacing w:line="360" w:lineRule="auto"/>
        <w:jc w:val="center"/>
        <w:rPr>
          <w:rFonts w:hint="eastAsia" w:ascii="宋体" w:hAnsi="宋体" w:eastAsia="宋体" w:cs="宋体"/>
          <w:color w:val="000000"/>
          <w:sz w:val="32"/>
          <w:szCs w:val="24"/>
        </w:rPr>
      </w:pPr>
      <w:r>
        <w:rPr>
          <w:rFonts w:hint="eastAsia" w:ascii="宋体" w:hAnsi="宋体" w:eastAsia="宋体" w:cs="宋体"/>
          <w:color w:val="000000"/>
          <w:sz w:val="32"/>
          <w:szCs w:val="24"/>
        </w:rPr>
        <w:t>综合评分法</w:t>
      </w:r>
    </w:p>
    <w:p w14:paraId="0056770C">
      <w:pPr>
        <w:pageBreakBefore w:val="0"/>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wordWrap/>
        <w:overflowPunct/>
        <w:topLinePunct w:val="0"/>
        <w:autoSpaceDE w:val="0"/>
        <w:autoSpaceDN w:val="0"/>
        <w:bidi w:val="0"/>
        <w:adjustRightInd w:val="0"/>
        <w:snapToGrid w:val="0"/>
        <w:spacing w:line="360" w:lineRule="auto"/>
        <w:ind w:left="734" w:hanging="343"/>
        <w:jc w:val="center"/>
        <w:textAlignment w:val="baseline"/>
        <w:rPr>
          <w:rFonts w:hint="eastAsia" w:ascii="宋体" w:hAnsi="宋体" w:eastAsia="宋体" w:cs="宋体"/>
          <w:b/>
          <w:snapToGrid w:val="0"/>
          <w:color w:val="auto"/>
          <w:kern w:val="0"/>
          <w:sz w:val="28"/>
          <w:szCs w:val="28"/>
          <w:highlight w:val="none"/>
          <w:lang w:val="en-US" w:eastAsia="en-US" w:bidi="ar-SA"/>
        </w:rPr>
      </w:pPr>
    </w:p>
    <w:tbl>
      <w:tblPr>
        <w:tblStyle w:val="28"/>
        <w:tblW w:w="10000" w:type="dxa"/>
        <w:jc w:val="center"/>
        <w:tblLayout w:type="fixed"/>
        <w:tblCellMar>
          <w:top w:w="0" w:type="dxa"/>
          <w:left w:w="108" w:type="dxa"/>
          <w:bottom w:w="0" w:type="dxa"/>
          <w:right w:w="108" w:type="dxa"/>
        </w:tblCellMar>
      </w:tblPr>
      <w:tblGrid>
        <w:gridCol w:w="1246"/>
        <w:gridCol w:w="791"/>
        <w:gridCol w:w="7963"/>
      </w:tblGrid>
      <w:tr w14:paraId="27D99F57">
        <w:tblPrEx>
          <w:tblCellMar>
            <w:top w:w="0" w:type="dxa"/>
            <w:left w:w="108" w:type="dxa"/>
            <w:bottom w:w="0" w:type="dxa"/>
            <w:right w:w="108" w:type="dxa"/>
          </w:tblCellMar>
        </w:tblPrEx>
        <w:trPr>
          <w:trHeight w:val="486"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14:paraId="49FC4487">
            <w:pPr>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snapToGrid/>
                <w:color w:val="000000"/>
                <w:kern w:val="0"/>
                <w:sz w:val="22"/>
                <w:szCs w:val="22"/>
                <w:lang w:eastAsia="en-US"/>
              </w:rPr>
            </w:pPr>
            <w:r>
              <w:rPr>
                <w:rFonts w:hint="eastAsia" w:ascii="宋体" w:hAnsi="宋体" w:eastAsia="宋体" w:cs="宋体"/>
                <w:b/>
                <w:snapToGrid/>
                <w:color w:val="000000"/>
                <w:kern w:val="0"/>
                <w:sz w:val="22"/>
                <w:szCs w:val="22"/>
                <w:lang w:eastAsia="en-US"/>
              </w:rPr>
              <w:t>评分项目</w:t>
            </w:r>
          </w:p>
        </w:tc>
        <w:tc>
          <w:tcPr>
            <w:tcW w:w="791" w:type="dxa"/>
            <w:tcBorders>
              <w:top w:val="single" w:color="000000" w:sz="4" w:space="0"/>
              <w:left w:val="nil"/>
              <w:bottom w:val="single" w:color="000000" w:sz="4" w:space="0"/>
              <w:right w:val="single" w:color="000000" w:sz="4" w:space="0"/>
            </w:tcBorders>
            <w:vAlign w:val="center"/>
          </w:tcPr>
          <w:p w14:paraId="0B9F82E3">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snapToGrid/>
                <w:color w:val="000000"/>
                <w:kern w:val="0"/>
                <w:sz w:val="22"/>
                <w:szCs w:val="22"/>
                <w:lang w:eastAsia="en-US"/>
              </w:rPr>
            </w:pPr>
            <w:r>
              <w:rPr>
                <w:rFonts w:hint="eastAsia" w:ascii="宋体" w:hAnsi="宋体" w:eastAsia="宋体" w:cs="宋体"/>
                <w:b/>
                <w:snapToGrid/>
                <w:color w:val="000000"/>
                <w:kern w:val="0"/>
                <w:sz w:val="22"/>
                <w:szCs w:val="22"/>
                <w:lang w:eastAsia="en-US"/>
              </w:rPr>
              <w:t>分值</w:t>
            </w:r>
          </w:p>
        </w:tc>
        <w:tc>
          <w:tcPr>
            <w:tcW w:w="7963" w:type="dxa"/>
            <w:tcBorders>
              <w:top w:val="single" w:color="000000" w:sz="4" w:space="0"/>
              <w:left w:val="nil"/>
              <w:bottom w:val="single" w:color="000000" w:sz="4" w:space="0"/>
              <w:right w:val="single" w:color="000000" w:sz="4" w:space="0"/>
            </w:tcBorders>
            <w:vAlign w:val="center"/>
          </w:tcPr>
          <w:p w14:paraId="69454975">
            <w:pPr>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snapToGrid/>
                <w:color w:val="000000"/>
                <w:kern w:val="0"/>
                <w:sz w:val="22"/>
                <w:szCs w:val="22"/>
                <w:lang w:eastAsia="en-US"/>
              </w:rPr>
            </w:pPr>
            <w:r>
              <w:rPr>
                <w:rFonts w:hint="eastAsia" w:ascii="宋体" w:hAnsi="宋体" w:eastAsia="宋体" w:cs="宋体"/>
                <w:b/>
                <w:snapToGrid/>
                <w:color w:val="000000"/>
                <w:kern w:val="0"/>
                <w:sz w:val="22"/>
                <w:szCs w:val="22"/>
                <w:lang w:eastAsia="en-US"/>
              </w:rPr>
              <w:t>评分标准</w:t>
            </w:r>
          </w:p>
        </w:tc>
      </w:tr>
      <w:tr w14:paraId="5F691D45">
        <w:tblPrEx>
          <w:tblCellMar>
            <w:top w:w="0" w:type="dxa"/>
            <w:left w:w="108" w:type="dxa"/>
            <w:bottom w:w="0" w:type="dxa"/>
            <w:right w:w="108" w:type="dxa"/>
          </w:tblCellMar>
        </w:tblPrEx>
        <w:trPr>
          <w:trHeight w:val="358"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14:paraId="3BDB59B5">
            <w:pPr>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snapToGrid/>
                <w:color w:val="000000"/>
                <w:kern w:val="0"/>
                <w:sz w:val="22"/>
                <w:szCs w:val="22"/>
                <w:lang w:eastAsia="en-US"/>
              </w:rPr>
            </w:pPr>
            <w:r>
              <w:rPr>
                <w:rFonts w:hint="eastAsia" w:ascii="宋体" w:hAnsi="宋体" w:eastAsia="宋体" w:cs="宋体"/>
                <w:b/>
                <w:snapToGrid/>
                <w:color w:val="000000"/>
                <w:kern w:val="0"/>
                <w:sz w:val="22"/>
                <w:szCs w:val="22"/>
                <w:lang w:eastAsia="en-US"/>
              </w:rPr>
              <w:t>价格部分</w:t>
            </w:r>
          </w:p>
        </w:tc>
        <w:tc>
          <w:tcPr>
            <w:tcW w:w="791" w:type="dxa"/>
            <w:tcBorders>
              <w:top w:val="single" w:color="000000" w:sz="4" w:space="0"/>
              <w:left w:val="nil"/>
              <w:bottom w:val="single" w:color="000000" w:sz="4" w:space="0"/>
              <w:right w:val="single" w:color="000000" w:sz="4" w:space="0"/>
            </w:tcBorders>
            <w:vAlign w:val="center"/>
          </w:tcPr>
          <w:p w14:paraId="677B8B38">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snapToGrid/>
                <w:color w:val="000000"/>
                <w:kern w:val="0"/>
                <w:sz w:val="22"/>
                <w:szCs w:val="22"/>
                <w:lang w:eastAsia="en-US"/>
              </w:rPr>
            </w:pPr>
            <w:r>
              <w:rPr>
                <w:rFonts w:hint="eastAsia" w:ascii="宋体" w:hAnsi="宋体" w:eastAsia="宋体" w:cs="宋体"/>
                <w:b/>
                <w:snapToGrid/>
                <w:color w:val="000000"/>
                <w:kern w:val="0"/>
                <w:sz w:val="22"/>
                <w:szCs w:val="22"/>
                <w:lang w:eastAsia="en-US"/>
              </w:rPr>
              <w:t>1</w:t>
            </w:r>
            <w:r>
              <w:rPr>
                <w:rFonts w:hint="eastAsia" w:ascii="宋体" w:hAnsi="宋体" w:eastAsia="宋体" w:cs="宋体"/>
                <w:b/>
                <w:snapToGrid/>
                <w:color w:val="000000"/>
                <w:kern w:val="0"/>
                <w:sz w:val="22"/>
                <w:szCs w:val="22"/>
                <w:lang w:val="en-US" w:eastAsia="zh-CN"/>
              </w:rPr>
              <w:t>0</w:t>
            </w:r>
            <w:r>
              <w:rPr>
                <w:rFonts w:hint="eastAsia" w:ascii="宋体" w:hAnsi="宋体" w:eastAsia="宋体" w:cs="宋体"/>
                <w:b/>
                <w:snapToGrid/>
                <w:color w:val="000000"/>
                <w:kern w:val="0"/>
                <w:sz w:val="22"/>
                <w:szCs w:val="22"/>
                <w:lang w:eastAsia="en-US"/>
              </w:rPr>
              <w:t>分</w:t>
            </w:r>
          </w:p>
        </w:tc>
        <w:tc>
          <w:tcPr>
            <w:tcW w:w="7963" w:type="dxa"/>
            <w:tcBorders>
              <w:top w:val="single" w:color="000000" w:sz="4" w:space="0"/>
              <w:left w:val="nil"/>
              <w:bottom w:val="single" w:color="000000" w:sz="4" w:space="0"/>
              <w:right w:val="single" w:color="000000" w:sz="4" w:space="0"/>
            </w:tcBorders>
            <w:vAlign w:val="center"/>
          </w:tcPr>
          <w:p w14:paraId="661CFC4E">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snapToGrid/>
                <w:color w:val="000000"/>
                <w:kern w:val="0"/>
                <w:sz w:val="22"/>
                <w:szCs w:val="22"/>
                <w:lang w:eastAsia="en-US"/>
              </w:rPr>
            </w:pPr>
          </w:p>
        </w:tc>
      </w:tr>
      <w:tr w14:paraId="025918C2">
        <w:tblPrEx>
          <w:tblCellMar>
            <w:top w:w="0" w:type="dxa"/>
            <w:left w:w="108" w:type="dxa"/>
            <w:bottom w:w="0" w:type="dxa"/>
            <w:right w:w="108" w:type="dxa"/>
          </w:tblCellMar>
        </w:tblPrEx>
        <w:trPr>
          <w:trHeight w:val="1673"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14:paraId="25C55F95">
            <w:pPr>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报价评分</w:t>
            </w:r>
          </w:p>
        </w:tc>
        <w:tc>
          <w:tcPr>
            <w:tcW w:w="791" w:type="dxa"/>
            <w:tcBorders>
              <w:top w:val="single" w:color="000000" w:sz="4" w:space="0"/>
              <w:left w:val="nil"/>
              <w:bottom w:val="single" w:color="000000" w:sz="4" w:space="0"/>
              <w:right w:val="single" w:color="000000" w:sz="4" w:space="0"/>
            </w:tcBorders>
            <w:vAlign w:val="center"/>
          </w:tcPr>
          <w:p w14:paraId="4359E0BF">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1</w:t>
            </w:r>
            <w:r>
              <w:rPr>
                <w:rFonts w:hint="eastAsia" w:ascii="宋体" w:hAnsi="宋体" w:eastAsia="宋体" w:cs="宋体"/>
                <w:snapToGrid/>
                <w:color w:val="000000"/>
                <w:kern w:val="0"/>
                <w:sz w:val="22"/>
                <w:szCs w:val="22"/>
                <w:lang w:val="en-US" w:eastAsia="zh-CN"/>
              </w:rPr>
              <w:t>0</w:t>
            </w:r>
            <w:r>
              <w:rPr>
                <w:rFonts w:hint="eastAsia" w:ascii="宋体" w:hAnsi="宋体" w:eastAsia="宋体" w:cs="宋体"/>
                <w:snapToGrid/>
                <w:color w:val="000000"/>
                <w:kern w:val="0"/>
                <w:sz w:val="22"/>
                <w:szCs w:val="22"/>
                <w:lang w:eastAsia="en-US"/>
              </w:rPr>
              <w:t>分</w:t>
            </w:r>
          </w:p>
        </w:tc>
        <w:tc>
          <w:tcPr>
            <w:tcW w:w="7963" w:type="dxa"/>
            <w:tcBorders>
              <w:top w:val="single" w:color="000000" w:sz="4" w:space="0"/>
              <w:left w:val="nil"/>
              <w:bottom w:val="single" w:color="000000" w:sz="4" w:space="0"/>
              <w:right w:val="single" w:color="000000" w:sz="4" w:space="0"/>
            </w:tcBorders>
            <w:vAlign w:val="center"/>
          </w:tcPr>
          <w:p w14:paraId="17C1BAD0">
            <w:pPr>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宋体" w:hAnsi="宋体" w:eastAsia="宋体" w:cs="宋体"/>
                <w:snapToGrid w:val="0"/>
                <w:color w:val="auto"/>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采用低价优先法计算，即满足招标文件要求且投标价格最低的投标报价为评标基准价，其价格分为满分。其他投标人的价格分统一按照下列公式计算（计算过程中小数点后保留两位）：</w:t>
            </w:r>
          </w:p>
          <w:p w14:paraId="6A386931">
            <w:pPr>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宋体" w:hAnsi="宋体" w:eastAsia="宋体" w:cs="宋体"/>
                <w:snapToGrid/>
                <w:color w:val="000000"/>
                <w:kern w:val="0"/>
                <w:sz w:val="22"/>
                <w:szCs w:val="22"/>
                <w:highlight w:val="none"/>
                <w:lang w:eastAsia="en-US"/>
              </w:rPr>
            </w:pPr>
            <w:r>
              <w:rPr>
                <w:rFonts w:hint="eastAsia" w:ascii="宋体" w:hAnsi="宋体" w:eastAsia="宋体" w:cs="宋体"/>
                <w:snapToGrid w:val="0"/>
                <w:color w:val="auto"/>
                <w:kern w:val="0"/>
                <w:sz w:val="22"/>
                <w:szCs w:val="22"/>
                <w:highlight w:val="none"/>
                <w:lang w:eastAsia="en-US"/>
              </w:rPr>
              <w:t>投标报价得分=（评标基准价/投标报价）×1</w:t>
            </w:r>
            <w:r>
              <w:rPr>
                <w:rFonts w:hint="eastAsia" w:ascii="宋体" w:hAnsi="宋体" w:eastAsia="宋体" w:cs="宋体"/>
                <w:snapToGrid w:val="0"/>
                <w:color w:val="auto"/>
                <w:kern w:val="0"/>
                <w:sz w:val="22"/>
                <w:szCs w:val="22"/>
                <w:highlight w:val="none"/>
                <w:lang w:val="en-US" w:eastAsia="zh-CN"/>
              </w:rPr>
              <w:t>0</w:t>
            </w:r>
            <w:r>
              <w:rPr>
                <w:rFonts w:hint="eastAsia" w:ascii="宋体" w:hAnsi="宋体" w:eastAsia="宋体" w:cs="宋体"/>
                <w:snapToGrid w:val="0"/>
                <w:color w:val="auto"/>
                <w:kern w:val="0"/>
                <w:sz w:val="22"/>
                <w:szCs w:val="22"/>
                <w:highlight w:val="none"/>
                <w:lang w:eastAsia="en-US"/>
              </w:rPr>
              <w:t>分</w:t>
            </w:r>
          </w:p>
        </w:tc>
      </w:tr>
      <w:tr w14:paraId="0D41B3EF">
        <w:tblPrEx>
          <w:tblCellMar>
            <w:top w:w="0" w:type="dxa"/>
            <w:left w:w="108" w:type="dxa"/>
            <w:bottom w:w="0" w:type="dxa"/>
            <w:right w:w="108" w:type="dxa"/>
          </w:tblCellMar>
        </w:tblPrEx>
        <w:trPr>
          <w:trHeight w:val="90"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14:paraId="0C53B3C8">
            <w:pPr>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snapToGrid/>
                <w:color w:val="000000"/>
                <w:kern w:val="0"/>
                <w:sz w:val="22"/>
                <w:szCs w:val="22"/>
                <w:lang w:eastAsia="en-US"/>
              </w:rPr>
            </w:pPr>
            <w:r>
              <w:rPr>
                <w:rFonts w:hint="eastAsia" w:ascii="宋体" w:hAnsi="宋体" w:eastAsia="宋体" w:cs="宋体"/>
                <w:b/>
                <w:snapToGrid/>
                <w:color w:val="000000"/>
                <w:kern w:val="0"/>
                <w:sz w:val="22"/>
                <w:szCs w:val="22"/>
                <w:lang w:eastAsia="en-US"/>
              </w:rPr>
              <w:t>技术部分</w:t>
            </w:r>
          </w:p>
        </w:tc>
        <w:tc>
          <w:tcPr>
            <w:tcW w:w="791" w:type="dxa"/>
            <w:tcBorders>
              <w:top w:val="single" w:color="000000" w:sz="4" w:space="0"/>
              <w:left w:val="nil"/>
              <w:bottom w:val="single" w:color="000000" w:sz="4" w:space="0"/>
              <w:right w:val="single" w:color="000000" w:sz="4" w:space="0"/>
            </w:tcBorders>
            <w:vAlign w:val="center"/>
          </w:tcPr>
          <w:p w14:paraId="7D23EDE1">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snapToGrid/>
                <w:color w:val="000000"/>
                <w:kern w:val="0"/>
                <w:sz w:val="22"/>
                <w:szCs w:val="22"/>
                <w:lang w:val="en-US" w:eastAsia="zh-CN"/>
              </w:rPr>
            </w:pPr>
            <w:r>
              <w:rPr>
                <w:rFonts w:hint="eastAsia" w:ascii="宋体" w:hAnsi="宋体" w:eastAsia="宋体" w:cs="宋体"/>
                <w:b/>
                <w:snapToGrid/>
                <w:color w:val="000000"/>
                <w:kern w:val="0"/>
                <w:sz w:val="22"/>
                <w:szCs w:val="22"/>
                <w:lang w:val="en-US" w:eastAsia="zh-CN"/>
              </w:rPr>
              <w:t>44</w:t>
            </w:r>
            <w:r>
              <w:rPr>
                <w:rFonts w:hint="eastAsia" w:ascii="宋体" w:hAnsi="宋体" w:eastAsia="宋体" w:cs="宋体"/>
                <w:b/>
                <w:snapToGrid/>
                <w:color w:val="000000"/>
                <w:kern w:val="0"/>
                <w:sz w:val="22"/>
                <w:szCs w:val="22"/>
                <w:lang w:eastAsia="en-US"/>
              </w:rPr>
              <w:t>分</w:t>
            </w:r>
          </w:p>
        </w:tc>
        <w:tc>
          <w:tcPr>
            <w:tcW w:w="7963" w:type="dxa"/>
            <w:tcBorders>
              <w:top w:val="single" w:color="000000" w:sz="4" w:space="0"/>
              <w:left w:val="nil"/>
              <w:bottom w:val="single" w:color="000000" w:sz="4" w:space="0"/>
              <w:right w:val="single" w:color="000000" w:sz="4" w:space="0"/>
            </w:tcBorders>
            <w:vAlign w:val="center"/>
          </w:tcPr>
          <w:p w14:paraId="78B54C3F">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snapToGrid/>
                <w:color w:val="000000"/>
                <w:kern w:val="0"/>
                <w:sz w:val="22"/>
                <w:szCs w:val="22"/>
                <w:lang w:eastAsia="en-US"/>
              </w:rPr>
            </w:pPr>
            <w:r>
              <w:rPr>
                <w:rFonts w:hint="eastAsia" w:ascii="宋体" w:hAnsi="宋体" w:eastAsia="宋体" w:cs="宋体"/>
                <w:b/>
                <w:snapToGrid/>
                <w:color w:val="000000"/>
                <w:kern w:val="0"/>
                <w:sz w:val="22"/>
                <w:szCs w:val="22"/>
                <w:lang w:eastAsia="en-US"/>
              </w:rPr>
              <w:t xml:space="preserve"> </w:t>
            </w:r>
          </w:p>
        </w:tc>
      </w:tr>
      <w:tr w14:paraId="1D7D9ADA">
        <w:tblPrEx>
          <w:tblCellMar>
            <w:top w:w="0" w:type="dxa"/>
            <w:left w:w="108" w:type="dxa"/>
            <w:bottom w:w="0" w:type="dxa"/>
            <w:right w:w="108" w:type="dxa"/>
          </w:tblCellMar>
        </w:tblPrEx>
        <w:trPr>
          <w:trHeight w:val="509"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14:paraId="18DB66A0">
            <w:pPr>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技术方案</w:t>
            </w:r>
          </w:p>
        </w:tc>
        <w:tc>
          <w:tcPr>
            <w:tcW w:w="791" w:type="dxa"/>
            <w:tcBorders>
              <w:top w:val="single" w:color="000000" w:sz="4" w:space="0"/>
              <w:left w:val="nil"/>
              <w:bottom w:val="single" w:color="000000" w:sz="4" w:space="0"/>
              <w:right w:val="single" w:color="000000" w:sz="4" w:space="0"/>
            </w:tcBorders>
            <w:vAlign w:val="center"/>
          </w:tcPr>
          <w:p w14:paraId="37261A1C">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val="en-US" w:eastAsia="zh-CN"/>
              </w:rPr>
            </w:pPr>
            <w:r>
              <w:rPr>
                <w:rFonts w:hint="eastAsia" w:ascii="宋体" w:hAnsi="宋体" w:eastAsia="宋体" w:cs="宋体"/>
                <w:snapToGrid/>
                <w:color w:val="000000"/>
                <w:kern w:val="0"/>
                <w:sz w:val="22"/>
                <w:szCs w:val="22"/>
                <w:lang w:val="en-US" w:eastAsia="zh-CN"/>
              </w:rPr>
              <w:t>44</w:t>
            </w:r>
            <w:r>
              <w:rPr>
                <w:rFonts w:hint="eastAsia" w:ascii="宋体" w:hAnsi="宋体" w:eastAsia="宋体" w:cs="宋体"/>
                <w:snapToGrid/>
                <w:color w:val="000000"/>
                <w:kern w:val="0"/>
                <w:sz w:val="22"/>
                <w:szCs w:val="22"/>
                <w:lang w:eastAsia="en-US"/>
              </w:rPr>
              <w:t>分</w:t>
            </w:r>
          </w:p>
        </w:tc>
        <w:tc>
          <w:tcPr>
            <w:tcW w:w="7963" w:type="dxa"/>
            <w:tcBorders>
              <w:top w:val="single" w:color="000000" w:sz="4" w:space="0"/>
              <w:left w:val="nil"/>
              <w:bottom w:val="single" w:color="000000" w:sz="4" w:space="0"/>
              <w:right w:val="single" w:color="000000" w:sz="4" w:space="0"/>
            </w:tcBorders>
            <w:vAlign w:val="top"/>
          </w:tcPr>
          <w:p w14:paraId="33401D75">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1、项目总体实施方案（</w:t>
            </w:r>
            <w:r>
              <w:rPr>
                <w:rFonts w:hint="eastAsia" w:ascii="宋体" w:hAnsi="宋体" w:eastAsia="宋体" w:cs="宋体"/>
                <w:snapToGrid/>
                <w:color w:val="000000"/>
                <w:kern w:val="0"/>
                <w:sz w:val="22"/>
                <w:szCs w:val="22"/>
                <w:lang w:val="en-US" w:eastAsia="zh-CN"/>
              </w:rPr>
              <w:t>7</w:t>
            </w:r>
            <w:r>
              <w:rPr>
                <w:rFonts w:hint="eastAsia" w:ascii="宋体" w:hAnsi="宋体" w:eastAsia="宋体" w:cs="宋体"/>
                <w:snapToGrid/>
                <w:color w:val="000000"/>
                <w:kern w:val="0"/>
                <w:sz w:val="22"/>
                <w:szCs w:val="22"/>
                <w:lang w:eastAsia="en-US"/>
              </w:rPr>
              <w:t>分）</w:t>
            </w:r>
          </w:p>
          <w:p w14:paraId="3F38EB4D">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zh-CN"/>
              </w:rPr>
              <w:t>投标人</w:t>
            </w:r>
            <w:r>
              <w:rPr>
                <w:rFonts w:hint="eastAsia" w:ascii="宋体" w:hAnsi="宋体" w:eastAsia="宋体" w:cs="宋体"/>
                <w:snapToGrid/>
                <w:color w:val="000000"/>
                <w:kern w:val="0"/>
                <w:sz w:val="22"/>
                <w:szCs w:val="22"/>
                <w:lang w:eastAsia="en-US"/>
              </w:rPr>
              <w:t>针对本项目“项目需求”内容编制总体服务方案及保障执行措施，包含但不限于总体工作计划、阶段性工作计划、工作总体管理方案等；针对服务的特殊群体提出合理、可行的创新特殊服务承诺及实施办法和执行措施。</w:t>
            </w:r>
          </w:p>
          <w:p w14:paraId="1CAFF9C2">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val="en-US" w:eastAsia="zh-CN"/>
              </w:rPr>
              <w:t>方案</w:t>
            </w:r>
            <w:r>
              <w:rPr>
                <w:rFonts w:hint="eastAsia" w:ascii="宋体" w:hAnsi="宋体" w:eastAsia="宋体" w:cs="宋体"/>
                <w:snapToGrid/>
                <w:color w:val="000000"/>
                <w:kern w:val="0"/>
                <w:sz w:val="22"/>
                <w:szCs w:val="22"/>
                <w:lang w:eastAsia="en-US"/>
              </w:rPr>
              <w:t>具有技术先进、周密性好、可操作性强得</w:t>
            </w:r>
            <w:r>
              <w:rPr>
                <w:rFonts w:hint="eastAsia" w:ascii="宋体" w:hAnsi="宋体" w:eastAsia="宋体" w:cs="宋体"/>
                <w:snapToGrid/>
                <w:color w:val="000000"/>
                <w:kern w:val="0"/>
                <w:sz w:val="22"/>
                <w:szCs w:val="22"/>
                <w:lang w:val="en-US" w:eastAsia="zh-CN"/>
              </w:rPr>
              <w:t>7</w:t>
            </w:r>
            <w:r>
              <w:rPr>
                <w:rFonts w:hint="eastAsia" w:ascii="宋体" w:hAnsi="宋体" w:eastAsia="宋体" w:cs="宋体"/>
                <w:snapToGrid/>
                <w:color w:val="000000"/>
                <w:kern w:val="0"/>
                <w:sz w:val="22"/>
                <w:szCs w:val="22"/>
                <w:lang w:eastAsia="en-US"/>
              </w:rPr>
              <w:t>分；</w:t>
            </w:r>
          </w:p>
          <w:p w14:paraId="0842E31D">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val="en-US" w:eastAsia="zh-CN"/>
              </w:rPr>
              <w:t>方案</w:t>
            </w:r>
            <w:r>
              <w:rPr>
                <w:rFonts w:hint="eastAsia" w:ascii="宋体" w:hAnsi="宋体" w:eastAsia="宋体" w:cs="宋体"/>
                <w:snapToGrid/>
                <w:color w:val="000000"/>
                <w:kern w:val="0"/>
                <w:sz w:val="22"/>
                <w:szCs w:val="22"/>
                <w:lang w:eastAsia="en-US"/>
              </w:rPr>
              <w:t>技术较先进、周密性较好、可操作性较强得</w:t>
            </w:r>
            <w:r>
              <w:rPr>
                <w:rFonts w:hint="eastAsia" w:ascii="宋体" w:hAnsi="宋体" w:eastAsia="宋体" w:cs="宋体"/>
                <w:snapToGrid/>
                <w:color w:val="000000"/>
                <w:kern w:val="0"/>
                <w:sz w:val="22"/>
                <w:szCs w:val="22"/>
                <w:lang w:val="en-US" w:eastAsia="zh-CN"/>
              </w:rPr>
              <w:t>5</w:t>
            </w:r>
            <w:r>
              <w:rPr>
                <w:rFonts w:hint="eastAsia" w:ascii="宋体" w:hAnsi="宋体" w:eastAsia="宋体" w:cs="宋体"/>
                <w:snapToGrid/>
                <w:color w:val="000000"/>
                <w:kern w:val="0"/>
                <w:sz w:val="22"/>
                <w:szCs w:val="22"/>
                <w:lang w:eastAsia="en-US"/>
              </w:rPr>
              <w:t>分；</w:t>
            </w:r>
          </w:p>
          <w:p w14:paraId="72EC0446">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val="en-US" w:eastAsia="zh-CN"/>
              </w:rPr>
              <w:t>方案</w:t>
            </w:r>
            <w:r>
              <w:rPr>
                <w:rFonts w:hint="eastAsia" w:ascii="宋体" w:hAnsi="宋体" w:eastAsia="宋体" w:cs="宋体"/>
                <w:snapToGrid/>
                <w:color w:val="000000"/>
                <w:kern w:val="0"/>
                <w:sz w:val="22"/>
                <w:szCs w:val="22"/>
                <w:lang w:eastAsia="en-US"/>
              </w:rPr>
              <w:t>技术、周密性、可操作性一般得</w:t>
            </w:r>
            <w:r>
              <w:rPr>
                <w:rFonts w:hint="eastAsia" w:ascii="宋体" w:hAnsi="宋体" w:eastAsia="宋体" w:cs="宋体"/>
                <w:snapToGrid/>
                <w:color w:val="000000"/>
                <w:kern w:val="0"/>
                <w:sz w:val="22"/>
                <w:szCs w:val="22"/>
                <w:lang w:val="en-US" w:eastAsia="zh-CN"/>
              </w:rPr>
              <w:t>3</w:t>
            </w:r>
            <w:r>
              <w:rPr>
                <w:rFonts w:hint="eastAsia" w:ascii="宋体" w:hAnsi="宋体" w:eastAsia="宋体" w:cs="宋体"/>
                <w:snapToGrid/>
                <w:color w:val="000000"/>
                <w:kern w:val="0"/>
                <w:sz w:val="22"/>
                <w:szCs w:val="22"/>
                <w:lang w:eastAsia="en-US"/>
              </w:rPr>
              <w:t>分；未提供不得分。</w:t>
            </w:r>
          </w:p>
          <w:p w14:paraId="6E90281F">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2、生活照料和护理服务实施方案（</w:t>
            </w:r>
            <w:r>
              <w:rPr>
                <w:rFonts w:hint="eastAsia" w:ascii="宋体" w:hAnsi="宋体" w:eastAsia="宋体" w:cs="宋体"/>
                <w:snapToGrid/>
                <w:color w:val="000000"/>
                <w:kern w:val="0"/>
                <w:sz w:val="22"/>
                <w:szCs w:val="22"/>
                <w:lang w:val="en-US" w:eastAsia="zh-CN"/>
              </w:rPr>
              <w:t>7</w:t>
            </w:r>
            <w:r>
              <w:rPr>
                <w:rFonts w:hint="eastAsia" w:ascii="宋体" w:hAnsi="宋体" w:eastAsia="宋体" w:cs="宋体"/>
                <w:snapToGrid/>
                <w:color w:val="000000"/>
                <w:kern w:val="0"/>
                <w:sz w:val="22"/>
                <w:szCs w:val="22"/>
                <w:lang w:eastAsia="en-US"/>
              </w:rPr>
              <w:t>分）</w:t>
            </w:r>
          </w:p>
          <w:p w14:paraId="1C13CF80">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根据</w:t>
            </w:r>
            <w:r>
              <w:rPr>
                <w:rFonts w:hint="eastAsia" w:ascii="宋体" w:hAnsi="宋体" w:eastAsia="宋体" w:cs="宋体"/>
                <w:snapToGrid/>
                <w:color w:val="000000"/>
                <w:kern w:val="0"/>
                <w:sz w:val="22"/>
                <w:szCs w:val="22"/>
                <w:lang w:eastAsia="zh-CN"/>
              </w:rPr>
              <w:t>投标人</w:t>
            </w:r>
            <w:r>
              <w:rPr>
                <w:rFonts w:hint="eastAsia" w:ascii="宋体" w:hAnsi="宋体" w:eastAsia="宋体" w:cs="宋体"/>
                <w:snapToGrid/>
                <w:color w:val="000000"/>
                <w:kern w:val="0"/>
                <w:sz w:val="22"/>
                <w:szCs w:val="22"/>
                <w:lang w:eastAsia="en-US"/>
              </w:rPr>
              <w:t>所提供针对本项目生活照料和护理服务方面制定科学、合理、符合服务对象需求的工作计划、服务标准、服务质量和保障措施等方案内容进行评分。</w:t>
            </w:r>
          </w:p>
          <w:p w14:paraId="113C3BA5">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方案内容完整、针对性强、切实可行的，得</w:t>
            </w:r>
            <w:r>
              <w:rPr>
                <w:rFonts w:hint="eastAsia" w:ascii="宋体" w:hAnsi="宋体" w:eastAsia="宋体" w:cs="宋体"/>
                <w:snapToGrid/>
                <w:color w:val="000000"/>
                <w:kern w:val="0"/>
                <w:sz w:val="22"/>
                <w:szCs w:val="22"/>
                <w:lang w:val="en-US" w:eastAsia="zh-CN"/>
              </w:rPr>
              <w:t>7</w:t>
            </w:r>
            <w:r>
              <w:rPr>
                <w:rFonts w:hint="eastAsia" w:ascii="宋体" w:hAnsi="宋体" w:eastAsia="宋体" w:cs="宋体"/>
                <w:snapToGrid/>
                <w:color w:val="000000"/>
                <w:kern w:val="0"/>
                <w:sz w:val="22"/>
                <w:szCs w:val="22"/>
                <w:lang w:eastAsia="en-US"/>
              </w:rPr>
              <w:t>分；</w:t>
            </w:r>
          </w:p>
          <w:p w14:paraId="71F3C005">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方案内容较完整、针对性较强、较切实可行的，得</w:t>
            </w:r>
            <w:r>
              <w:rPr>
                <w:rFonts w:hint="eastAsia" w:ascii="宋体" w:hAnsi="宋体" w:eastAsia="宋体" w:cs="宋体"/>
                <w:snapToGrid/>
                <w:color w:val="000000"/>
                <w:kern w:val="0"/>
                <w:sz w:val="22"/>
                <w:szCs w:val="22"/>
                <w:lang w:val="en-US" w:eastAsia="zh-CN"/>
              </w:rPr>
              <w:t>5</w:t>
            </w:r>
            <w:r>
              <w:rPr>
                <w:rFonts w:hint="eastAsia" w:ascii="宋体" w:hAnsi="宋体" w:eastAsia="宋体" w:cs="宋体"/>
                <w:snapToGrid/>
                <w:color w:val="000000"/>
                <w:kern w:val="0"/>
                <w:sz w:val="22"/>
                <w:szCs w:val="22"/>
                <w:lang w:eastAsia="en-US"/>
              </w:rPr>
              <w:t>分；</w:t>
            </w:r>
          </w:p>
          <w:p w14:paraId="7459137A">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方案内容基本完整、针对性基本合理、基本可行的，得</w:t>
            </w:r>
            <w:r>
              <w:rPr>
                <w:rFonts w:hint="eastAsia" w:ascii="宋体" w:hAnsi="宋体" w:eastAsia="宋体" w:cs="宋体"/>
                <w:snapToGrid/>
                <w:color w:val="000000"/>
                <w:kern w:val="0"/>
                <w:sz w:val="22"/>
                <w:szCs w:val="22"/>
                <w:lang w:val="en-US" w:eastAsia="zh-CN"/>
              </w:rPr>
              <w:t>3</w:t>
            </w:r>
            <w:r>
              <w:rPr>
                <w:rFonts w:hint="eastAsia" w:ascii="宋体" w:hAnsi="宋体" w:eastAsia="宋体" w:cs="宋体"/>
                <w:snapToGrid/>
                <w:color w:val="000000"/>
                <w:kern w:val="0"/>
                <w:sz w:val="22"/>
                <w:szCs w:val="22"/>
                <w:lang w:eastAsia="en-US"/>
              </w:rPr>
              <w:t>分；未提供不得分。</w:t>
            </w:r>
          </w:p>
          <w:p w14:paraId="6ACF0888">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3、生活自理能力训练服务实施方案（</w:t>
            </w:r>
            <w:r>
              <w:rPr>
                <w:rFonts w:hint="eastAsia" w:ascii="宋体" w:hAnsi="宋体" w:eastAsia="宋体" w:cs="宋体"/>
                <w:snapToGrid/>
                <w:color w:val="000000"/>
                <w:kern w:val="0"/>
                <w:sz w:val="22"/>
                <w:szCs w:val="22"/>
                <w:lang w:val="en-US" w:eastAsia="zh-CN"/>
              </w:rPr>
              <w:t>7</w:t>
            </w:r>
            <w:r>
              <w:rPr>
                <w:rFonts w:hint="eastAsia" w:ascii="宋体" w:hAnsi="宋体" w:eastAsia="宋体" w:cs="宋体"/>
                <w:snapToGrid/>
                <w:color w:val="000000"/>
                <w:kern w:val="0"/>
                <w:sz w:val="22"/>
                <w:szCs w:val="22"/>
                <w:lang w:eastAsia="en-US"/>
              </w:rPr>
              <w:t>分）</w:t>
            </w:r>
          </w:p>
          <w:p w14:paraId="4042A3E3">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根据</w:t>
            </w:r>
            <w:r>
              <w:rPr>
                <w:rFonts w:hint="eastAsia" w:ascii="宋体" w:hAnsi="宋体" w:eastAsia="宋体" w:cs="宋体"/>
                <w:snapToGrid/>
                <w:color w:val="000000"/>
                <w:kern w:val="0"/>
                <w:sz w:val="22"/>
                <w:szCs w:val="22"/>
                <w:lang w:eastAsia="zh-CN"/>
              </w:rPr>
              <w:t>投标人</w:t>
            </w:r>
            <w:r>
              <w:rPr>
                <w:rFonts w:hint="eastAsia" w:ascii="宋体" w:hAnsi="宋体" w:eastAsia="宋体" w:cs="宋体"/>
                <w:snapToGrid/>
                <w:color w:val="000000"/>
                <w:kern w:val="0"/>
                <w:sz w:val="22"/>
                <w:szCs w:val="22"/>
                <w:lang w:eastAsia="en-US"/>
              </w:rPr>
              <w:t>所提供针对本项目中生活自理能力训练方面的内容制定科学、合理、符合服务对象需求的安排和工作计划、服务标准、服务质量保障措施等内容进行评分。</w:t>
            </w:r>
          </w:p>
          <w:p w14:paraId="1E126D5B">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方案内容完整、针对性强、切实可行的，得</w:t>
            </w:r>
            <w:r>
              <w:rPr>
                <w:rFonts w:hint="eastAsia" w:ascii="宋体" w:hAnsi="宋体" w:eastAsia="宋体" w:cs="宋体"/>
                <w:snapToGrid/>
                <w:color w:val="000000"/>
                <w:kern w:val="0"/>
                <w:sz w:val="22"/>
                <w:szCs w:val="22"/>
                <w:lang w:val="en-US" w:eastAsia="zh-CN"/>
              </w:rPr>
              <w:t>7</w:t>
            </w:r>
            <w:r>
              <w:rPr>
                <w:rFonts w:hint="eastAsia" w:ascii="宋体" w:hAnsi="宋体" w:eastAsia="宋体" w:cs="宋体"/>
                <w:snapToGrid/>
                <w:color w:val="000000"/>
                <w:kern w:val="0"/>
                <w:sz w:val="22"/>
                <w:szCs w:val="22"/>
                <w:lang w:eastAsia="en-US"/>
              </w:rPr>
              <w:t>分；</w:t>
            </w:r>
          </w:p>
          <w:p w14:paraId="326461CD">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方案内容较完整、针对性较强、较切实可行的，得</w:t>
            </w:r>
            <w:r>
              <w:rPr>
                <w:rFonts w:hint="eastAsia" w:ascii="宋体" w:hAnsi="宋体" w:eastAsia="宋体" w:cs="宋体"/>
                <w:snapToGrid/>
                <w:color w:val="000000"/>
                <w:kern w:val="0"/>
                <w:sz w:val="22"/>
                <w:szCs w:val="22"/>
                <w:lang w:val="en-US" w:eastAsia="zh-CN"/>
              </w:rPr>
              <w:t>5</w:t>
            </w:r>
            <w:r>
              <w:rPr>
                <w:rFonts w:hint="eastAsia" w:ascii="宋体" w:hAnsi="宋体" w:eastAsia="宋体" w:cs="宋体"/>
                <w:snapToGrid/>
                <w:color w:val="000000"/>
                <w:kern w:val="0"/>
                <w:sz w:val="22"/>
                <w:szCs w:val="22"/>
                <w:lang w:eastAsia="en-US"/>
              </w:rPr>
              <w:t>分；</w:t>
            </w:r>
          </w:p>
          <w:p w14:paraId="5DAFB5BF">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方案内容基本完整、针对性基本合理、基本可行的，得</w:t>
            </w:r>
            <w:r>
              <w:rPr>
                <w:rFonts w:hint="eastAsia" w:ascii="宋体" w:hAnsi="宋体" w:eastAsia="宋体" w:cs="宋体"/>
                <w:snapToGrid/>
                <w:color w:val="000000"/>
                <w:kern w:val="0"/>
                <w:sz w:val="22"/>
                <w:szCs w:val="22"/>
                <w:lang w:val="en-US" w:eastAsia="zh-CN"/>
              </w:rPr>
              <w:t>3</w:t>
            </w:r>
            <w:r>
              <w:rPr>
                <w:rFonts w:hint="eastAsia" w:ascii="宋体" w:hAnsi="宋体" w:eastAsia="宋体" w:cs="宋体"/>
                <w:snapToGrid/>
                <w:color w:val="000000"/>
                <w:kern w:val="0"/>
                <w:sz w:val="22"/>
                <w:szCs w:val="22"/>
                <w:lang w:eastAsia="en-US"/>
              </w:rPr>
              <w:t>分；未提供不得分。</w:t>
            </w:r>
          </w:p>
          <w:p w14:paraId="5880AD72">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4、社会适应能力训练服务实施方案(</w:t>
            </w:r>
            <w:r>
              <w:rPr>
                <w:rFonts w:hint="eastAsia" w:ascii="宋体" w:hAnsi="宋体" w:eastAsia="宋体" w:cs="宋体"/>
                <w:snapToGrid/>
                <w:color w:val="000000"/>
                <w:kern w:val="0"/>
                <w:sz w:val="22"/>
                <w:szCs w:val="22"/>
                <w:lang w:val="en-US" w:eastAsia="zh-CN"/>
              </w:rPr>
              <w:t>6</w:t>
            </w:r>
            <w:r>
              <w:rPr>
                <w:rFonts w:hint="eastAsia" w:ascii="宋体" w:hAnsi="宋体" w:eastAsia="宋体" w:cs="宋体"/>
                <w:snapToGrid/>
                <w:color w:val="000000"/>
                <w:kern w:val="0"/>
                <w:sz w:val="22"/>
                <w:szCs w:val="22"/>
                <w:lang w:eastAsia="en-US"/>
              </w:rPr>
              <w:t>分)</w:t>
            </w:r>
          </w:p>
          <w:p w14:paraId="05A341BC">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根据</w:t>
            </w:r>
            <w:r>
              <w:rPr>
                <w:rFonts w:hint="eastAsia" w:ascii="宋体" w:hAnsi="宋体" w:eastAsia="宋体" w:cs="宋体"/>
                <w:snapToGrid/>
                <w:color w:val="000000"/>
                <w:kern w:val="0"/>
                <w:sz w:val="22"/>
                <w:szCs w:val="22"/>
                <w:lang w:eastAsia="zh-CN"/>
              </w:rPr>
              <w:t>投标人</w:t>
            </w:r>
            <w:r>
              <w:rPr>
                <w:rFonts w:hint="eastAsia" w:ascii="宋体" w:hAnsi="宋体" w:eastAsia="宋体" w:cs="宋体"/>
                <w:snapToGrid/>
                <w:color w:val="000000"/>
                <w:kern w:val="0"/>
                <w:sz w:val="22"/>
                <w:szCs w:val="22"/>
                <w:lang w:eastAsia="en-US"/>
              </w:rPr>
              <w:t>所提供针对本项目方案中运动功能训练服务方面的内容制定科学、合理、符合服务对象需求的安排和工作计划、服务标准、服务质量保障措施等内容进行评分。</w:t>
            </w:r>
          </w:p>
          <w:p w14:paraId="36167E17">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方案内容完整、针对性强、切实可行的，得</w:t>
            </w:r>
            <w:r>
              <w:rPr>
                <w:rFonts w:hint="eastAsia" w:ascii="宋体" w:hAnsi="宋体" w:eastAsia="宋体" w:cs="宋体"/>
                <w:snapToGrid/>
                <w:color w:val="000000"/>
                <w:kern w:val="0"/>
                <w:sz w:val="22"/>
                <w:szCs w:val="22"/>
                <w:lang w:val="en-US" w:eastAsia="zh-CN"/>
              </w:rPr>
              <w:t>6</w:t>
            </w:r>
            <w:r>
              <w:rPr>
                <w:rFonts w:hint="eastAsia" w:ascii="宋体" w:hAnsi="宋体" w:eastAsia="宋体" w:cs="宋体"/>
                <w:snapToGrid/>
                <w:color w:val="000000"/>
                <w:kern w:val="0"/>
                <w:sz w:val="22"/>
                <w:szCs w:val="22"/>
                <w:lang w:eastAsia="en-US"/>
              </w:rPr>
              <w:t>分；</w:t>
            </w:r>
          </w:p>
          <w:p w14:paraId="77FA8897">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方案内容较完整、针对性较强、较切实可行的，得</w:t>
            </w:r>
            <w:r>
              <w:rPr>
                <w:rFonts w:hint="eastAsia" w:ascii="宋体" w:hAnsi="宋体" w:eastAsia="宋体" w:cs="宋体"/>
                <w:snapToGrid/>
                <w:color w:val="000000"/>
                <w:kern w:val="0"/>
                <w:sz w:val="22"/>
                <w:szCs w:val="22"/>
                <w:lang w:val="en-US" w:eastAsia="zh-CN"/>
              </w:rPr>
              <w:t>4</w:t>
            </w:r>
            <w:r>
              <w:rPr>
                <w:rFonts w:hint="eastAsia" w:ascii="宋体" w:hAnsi="宋体" w:eastAsia="宋体" w:cs="宋体"/>
                <w:snapToGrid/>
                <w:color w:val="000000"/>
                <w:kern w:val="0"/>
                <w:sz w:val="22"/>
                <w:szCs w:val="22"/>
                <w:lang w:eastAsia="en-US"/>
              </w:rPr>
              <w:t>分；</w:t>
            </w:r>
          </w:p>
          <w:p w14:paraId="04721D8D">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方案内容基本完整、针对性基本合理、基本可行的，得</w:t>
            </w:r>
            <w:r>
              <w:rPr>
                <w:rFonts w:hint="eastAsia" w:ascii="宋体" w:hAnsi="宋体" w:eastAsia="宋体" w:cs="宋体"/>
                <w:snapToGrid/>
                <w:color w:val="000000"/>
                <w:kern w:val="0"/>
                <w:sz w:val="22"/>
                <w:szCs w:val="22"/>
                <w:lang w:val="en-US" w:eastAsia="zh-CN"/>
              </w:rPr>
              <w:t>2</w:t>
            </w:r>
            <w:r>
              <w:rPr>
                <w:rFonts w:hint="eastAsia" w:ascii="宋体" w:hAnsi="宋体" w:eastAsia="宋体" w:cs="宋体"/>
                <w:snapToGrid/>
                <w:color w:val="000000"/>
                <w:kern w:val="0"/>
                <w:sz w:val="22"/>
                <w:szCs w:val="22"/>
                <w:lang w:eastAsia="en-US"/>
              </w:rPr>
              <w:t>分；未提供不得分。</w:t>
            </w:r>
          </w:p>
          <w:p w14:paraId="254D8219">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5、日常管理及管理制度（</w:t>
            </w:r>
            <w:r>
              <w:rPr>
                <w:rFonts w:hint="eastAsia" w:ascii="宋体" w:hAnsi="宋体" w:eastAsia="宋体" w:cs="宋体"/>
                <w:snapToGrid/>
                <w:color w:val="000000"/>
                <w:kern w:val="0"/>
                <w:sz w:val="22"/>
                <w:szCs w:val="22"/>
                <w:lang w:val="en-US" w:eastAsia="zh-CN"/>
              </w:rPr>
              <w:t>5</w:t>
            </w:r>
            <w:r>
              <w:rPr>
                <w:rFonts w:hint="eastAsia" w:ascii="宋体" w:hAnsi="宋体" w:eastAsia="宋体" w:cs="宋体"/>
                <w:snapToGrid/>
                <w:color w:val="000000"/>
                <w:kern w:val="0"/>
                <w:sz w:val="22"/>
                <w:szCs w:val="22"/>
                <w:lang w:eastAsia="en-US"/>
              </w:rPr>
              <w:t>分）</w:t>
            </w:r>
          </w:p>
          <w:p w14:paraId="4C4B737E">
            <w:pPr>
              <w:pageBreakBefore w:val="0"/>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zh-CN"/>
              </w:rPr>
              <w:t>投标人</w:t>
            </w:r>
            <w:r>
              <w:rPr>
                <w:rFonts w:hint="eastAsia" w:ascii="宋体" w:hAnsi="宋体" w:eastAsia="宋体" w:cs="宋体"/>
                <w:snapToGrid/>
                <w:color w:val="000000"/>
                <w:kern w:val="0"/>
                <w:sz w:val="22"/>
                <w:szCs w:val="22"/>
                <w:lang w:eastAsia="en-US"/>
              </w:rPr>
              <w:t>针对本项目的日常管理提供管理制度。内容包含但不限于组织架构、财务管理、档案管理、规章制度、部门的岗位职责等制度；评标委员会根据管理制度内容的针对性、可行性、合理性等情况进行打分。</w:t>
            </w:r>
          </w:p>
          <w:p w14:paraId="2A120CB8">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方案制度健全、科学合理完善、规范性、具有很强的操作性的，得</w:t>
            </w:r>
            <w:r>
              <w:rPr>
                <w:rFonts w:hint="eastAsia" w:ascii="宋体" w:hAnsi="宋体" w:eastAsia="宋体" w:cs="宋体"/>
                <w:snapToGrid/>
                <w:color w:val="000000"/>
                <w:kern w:val="0"/>
                <w:sz w:val="22"/>
                <w:szCs w:val="22"/>
                <w:lang w:val="en-US" w:eastAsia="zh-CN"/>
              </w:rPr>
              <w:t>5</w:t>
            </w:r>
            <w:r>
              <w:rPr>
                <w:rFonts w:hint="eastAsia" w:ascii="宋体" w:hAnsi="宋体" w:eastAsia="宋体" w:cs="宋体"/>
                <w:snapToGrid/>
                <w:color w:val="000000"/>
                <w:kern w:val="0"/>
                <w:sz w:val="22"/>
                <w:szCs w:val="22"/>
                <w:lang w:eastAsia="en-US"/>
              </w:rPr>
              <w:t>分；</w:t>
            </w:r>
          </w:p>
          <w:p w14:paraId="18E34C98">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方案制度健全、科学合理完善、规范性、具有较强的可行性的，得</w:t>
            </w:r>
            <w:r>
              <w:rPr>
                <w:rFonts w:hint="eastAsia" w:ascii="宋体" w:hAnsi="宋体" w:eastAsia="宋体" w:cs="宋体"/>
                <w:snapToGrid/>
                <w:color w:val="000000"/>
                <w:kern w:val="0"/>
                <w:sz w:val="22"/>
                <w:szCs w:val="22"/>
                <w:lang w:val="en-US" w:eastAsia="zh-CN"/>
              </w:rPr>
              <w:t>4</w:t>
            </w:r>
            <w:r>
              <w:rPr>
                <w:rFonts w:hint="eastAsia" w:ascii="宋体" w:hAnsi="宋体" w:eastAsia="宋体" w:cs="宋体"/>
                <w:snapToGrid/>
                <w:color w:val="000000"/>
                <w:kern w:val="0"/>
                <w:sz w:val="22"/>
                <w:szCs w:val="22"/>
                <w:lang w:eastAsia="en-US"/>
              </w:rPr>
              <w:t>分；</w:t>
            </w:r>
          </w:p>
          <w:p w14:paraId="3BA82590">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方案制度有明显缺陷，可行性差的，得</w:t>
            </w:r>
            <w:r>
              <w:rPr>
                <w:rFonts w:hint="eastAsia" w:ascii="宋体" w:hAnsi="宋体" w:eastAsia="宋体" w:cs="宋体"/>
                <w:snapToGrid/>
                <w:color w:val="000000"/>
                <w:kern w:val="0"/>
                <w:sz w:val="22"/>
                <w:szCs w:val="22"/>
                <w:lang w:val="en-US" w:eastAsia="zh-CN"/>
              </w:rPr>
              <w:t>3</w:t>
            </w:r>
            <w:r>
              <w:rPr>
                <w:rFonts w:hint="eastAsia" w:ascii="宋体" w:hAnsi="宋体" w:eastAsia="宋体" w:cs="宋体"/>
                <w:snapToGrid/>
                <w:color w:val="000000"/>
                <w:kern w:val="0"/>
                <w:sz w:val="22"/>
                <w:szCs w:val="22"/>
                <w:lang w:eastAsia="en-US"/>
              </w:rPr>
              <w:t>分。未见阐述不得分。</w:t>
            </w:r>
          </w:p>
          <w:p w14:paraId="4FD74BDE">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6、应急保障预案（</w:t>
            </w:r>
            <w:r>
              <w:rPr>
                <w:rFonts w:hint="eastAsia" w:ascii="宋体" w:hAnsi="宋体" w:eastAsia="宋体" w:cs="宋体"/>
                <w:snapToGrid/>
                <w:color w:val="000000"/>
                <w:kern w:val="0"/>
                <w:sz w:val="22"/>
                <w:szCs w:val="22"/>
                <w:lang w:val="en-US" w:eastAsia="zh-CN"/>
              </w:rPr>
              <w:t>6</w:t>
            </w:r>
            <w:r>
              <w:rPr>
                <w:rFonts w:hint="eastAsia" w:ascii="宋体" w:hAnsi="宋体" w:eastAsia="宋体" w:cs="宋体"/>
                <w:snapToGrid/>
                <w:color w:val="000000"/>
                <w:kern w:val="0"/>
                <w:sz w:val="22"/>
                <w:szCs w:val="22"/>
                <w:lang w:eastAsia="en-US"/>
              </w:rPr>
              <w:t>分）</w:t>
            </w:r>
          </w:p>
          <w:p w14:paraId="67458AEC">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zh-CN"/>
              </w:rPr>
              <w:t>投标人</w:t>
            </w:r>
            <w:r>
              <w:rPr>
                <w:rFonts w:hint="eastAsia" w:ascii="宋体" w:hAnsi="宋体" w:eastAsia="宋体" w:cs="宋体"/>
                <w:snapToGrid/>
                <w:color w:val="000000"/>
                <w:kern w:val="0"/>
                <w:sz w:val="22"/>
                <w:szCs w:val="22"/>
                <w:lang w:eastAsia="en-US"/>
              </w:rPr>
              <w:t>针对本项目制定突发事件应急保障预案（内容包含但不限于火灾、流行性疾病、停水停电、信访、集访、托养对象走失或突发疾病等应急预案）。</w:t>
            </w:r>
          </w:p>
          <w:p w14:paraId="474F443C">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预案制定充分周详，具体明确、针对性强：</w:t>
            </w:r>
            <w:r>
              <w:rPr>
                <w:rFonts w:hint="eastAsia" w:ascii="宋体" w:hAnsi="宋体" w:eastAsia="宋体" w:cs="宋体"/>
                <w:snapToGrid/>
                <w:color w:val="000000"/>
                <w:kern w:val="0"/>
                <w:sz w:val="22"/>
                <w:szCs w:val="22"/>
                <w:lang w:val="en-US" w:eastAsia="zh-CN"/>
              </w:rPr>
              <w:t>6</w:t>
            </w:r>
            <w:r>
              <w:rPr>
                <w:rFonts w:hint="eastAsia" w:ascii="宋体" w:hAnsi="宋体" w:eastAsia="宋体" w:cs="宋体"/>
                <w:snapToGrid/>
                <w:color w:val="000000"/>
                <w:kern w:val="0"/>
                <w:sz w:val="22"/>
                <w:szCs w:val="22"/>
                <w:lang w:eastAsia="en-US"/>
              </w:rPr>
              <w:t>分；</w:t>
            </w:r>
          </w:p>
          <w:p w14:paraId="766E8D94">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预案制定周详，较具体明确、针对性较强：</w:t>
            </w:r>
            <w:r>
              <w:rPr>
                <w:rFonts w:hint="eastAsia" w:ascii="宋体" w:hAnsi="宋体" w:eastAsia="宋体" w:cs="宋体"/>
                <w:snapToGrid/>
                <w:color w:val="000000"/>
                <w:kern w:val="0"/>
                <w:sz w:val="22"/>
                <w:szCs w:val="22"/>
                <w:lang w:val="en-US" w:eastAsia="zh-CN"/>
              </w:rPr>
              <w:t>3</w:t>
            </w:r>
            <w:r>
              <w:rPr>
                <w:rFonts w:hint="eastAsia" w:ascii="宋体" w:hAnsi="宋体" w:eastAsia="宋体" w:cs="宋体"/>
                <w:snapToGrid/>
                <w:color w:val="000000"/>
                <w:kern w:val="0"/>
                <w:sz w:val="22"/>
                <w:szCs w:val="22"/>
                <w:lang w:eastAsia="en-US"/>
              </w:rPr>
              <w:t>分；</w:t>
            </w:r>
          </w:p>
          <w:p w14:paraId="16CB7298">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预案不够具体明确、针对性一般：</w:t>
            </w:r>
            <w:r>
              <w:rPr>
                <w:rFonts w:hint="eastAsia" w:ascii="宋体" w:hAnsi="宋体" w:eastAsia="宋体" w:cs="宋体"/>
                <w:snapToGrid/>
                <w:color w:val="000000"/>
                <w:kern w:val="0"/>
                <w:sz w:val="22"/>
                <w:szCs w:val="22"/>
                <w:lang w:val="en-US" w:eastAsia="zh-CN"/>
              </w:rPr>
              <w:t>1</w:t>
            </w:r>
            <w:r>
              <w:rPr>
                <w:rFonts w:hint="eastAsia" w:ascii="宋体" w:hAnsi="宋体" w:eastAsia="宋体" w:cs="宋体"/>
                <w:snapToGrid/>
                <w:color w:val="000000"/>
                <w:kern w:val="0"/>
                <w:sz w:val="22"/>
                <w:szCs w:val="22"/>
                <w:lang w:eastAsia="en-US"/>
              </w:rPr>
              <w:t>分；未提供不得分。</w:t>
            </w:r>
          </w:p>
          <w:p w14:paraId="30AC9C94">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7、培训服务方案（</w:t>
            </w:r>
            <w:r>
              <w:rPr>
                <w:rFonts w:hint="eastAsia" w:ascii="宋体" w:hAnsi="宋体" w:eastAsia="宋体" w:cs="宋体"/>
                <w:snapToGrid/>
                <w:color w:val="000000"/>
                <w:kern w:val="0"/>
                <w:sz w:val="22"/>
                <w:szCs w:val="22"/>
                <w:lang w:val="en-US" w:eastAsia="zh-CN"/>
              </w:rPr>
              <w:t>6</w:t>
            </w:r>
            <w:r>
              <w:rPr>
                <w:rFonts w:hint="eastAsia" w:ascii="宋体" w:hAnsi="宋体" w:eastAsia="宋体" w:cs="宋体"/>
                <w:snapToGrid/>
                <w:color w:val="000000"/>
                <w:kern w:val="0"/>
                <w:sz w:val="22"/>
                <w:szCs w:val="22"/>
                <w:lang w:eastAsia="en-US"/>
              </w:rPr>
              <w:t>分）</w:t>
            </w:r>
          </w:p>
          <w:p w14:paraId="5F45BE27">
            <w:pPr>
              <w:keepNext w:val="0"/>
              <w:keepLines w:val="0"/>
              <w:pageBreakBefore w:val="0"/>
              <w:widowControl/>
              <w:suppressLineNumbers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为更好的服务托养人员，</w:t>
            </w:r>
            <w:r>
              <w:rPr>
                <w:rFonts w:hint="eastAsia" w:ascii="宋体" w:hAnsi="宋体" w:eastAsia="宋体" w:cs="宋体"/>
                <w:snapToGrid/>
                <w:color w:val="000000"/>
                <w:kern w:val="0"/>
                <w:sz w:val="22"/>
                <w:szCs w:val="22"/>
                <w:lang w:eastAsia="zh-CN"/>
              </w:rPr>
              <w:t>投标人</w:t>
            </w:r>
            <w:r>
              <w:rPr>
                <w:rFonts w:hint="eastAsia" w:ascii="宋体" w:hAnsi="宋体" w:eastAsia="宋体" w:cs="宋体"/>
                <w:snapToGrid/>
                <w:color w:val="000000"/>
                <w:kern w:val="0"/>
                <w:sz w:val="22"/>
                <w:szCs w:val="22"/>
                <w:lang w:eastAsia="en-US"/>
              </w:rPr>
              <w:t>需编制培训服务方案。内容包含</w:t>
            </w:r>
            <w:r>
              <w:rPr>
                <w:rFonts w:hint="eastAsia" w:ascii="宋体" w:hAnsi="宋体" w:eastAsia="宋体" w:cs="宋体"/>
                <w:snapToGrid/>
                <w:color w:val="000000"/>
                <w:kern w:val="0"/>
                <w:sz w:val="22"/>
                <w:szCs w:val="22"/>
                <w:lang w:val="en-US" w:eastAsia="zh-CN" w:bidi="ar"/>
              </w:rPr>
              <w:t>但不限于文化教育、技能培训服务和辅助性就业服务等</w:t>
            </w:r>
            <w:r>
              <w:rPr>
                <w:rFonts w:hint="eastAsia" w:ascii="宋体" w:hAnsi="宋体" w:eastAsia="宋体" w:cs="宋体"/>
                <w:snapToGrid/>
                <w:color w:val="000000"/>
                <w:kern w:val="0"/>
                <w:sz w:val="22"/>
                <w:szCs w:val="22"/>
                <w:lang w:eastAsia="en-US"/>
              </w:rPr>
              <w:t>。</w:t>
            </w:r>
          </w:p>
          <w:p w14:paraId="6D5C40B9">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方案科学合理，内容完整详实：</w:t>
            </w:r>
            <w:r>
              <w:rPr>
                <w:rFonts w:hint="eastAsia" w:ascii="宋体" w:hAnsi="宋体" w:eastAsia="宋体" w:cs="宋体"/>
                <w:snapToGrid/>
                <w:color w:val="000000"/>
                <w:kern w:val="0"/>
                <w:sz w:val="22"/>
                <w:szCs w:val="22"/>
                <w:lang w:val="en-US" w:eastAsia="zh-CN"/>
              </w:rPr>
              <w:t>6</w:t>
            </w:r>
            <w:r>
              <w:rPr>
                <w:rFonts w:hint="eastAsia" w:ascii="宋体" w:hAnsi="宋体" w:eastAsia="宋体" w:cs="宋体"/>
                <w:snapToGrid/>
                <w:color w:val="000000"/>
                <w:kern w:val="0"/>
                <w:sz w:val="22"/>
                <w:szCs w:val="22"/>
                <w:lang w:eastAsia="en-US"/>
              </w:rPr>
              <w:t>分；</w:t>
            </w:r>
          </w:p>
          <w:p w14:paraId="0B0B52AD">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方案合理性一般，内容基本完整详实：</w:t>
            </w:r>
            <w:r>
              <w:rPr>
                <w:rFonts w:hint="eastAsia" w:ascii="宋体" w:hAnsi="宋体" w:eastAsia="宋体" w:cs="宋体"/>
                <w:snapToGrid/>
                <w:color w:val="000000"/>
                <w:kern w:val="0"/>
                <w:sz w:val="22"/>
                <w:szCs w:val="22"/>
                <w:lang w:val="en-US" w:eastAsia="zh-CN"/>
              </w:rPr>
              <w:t>4</w:t>
            </w:r>
            <w:r>
              <w:rPr>
                <w:rFonts w:hint="eastAsia" w:ascii="宋体" w:hAnsi="宋体" w:eastAsia="宋体" w:cs="宋体"/>
                <w:snapToGrid/>
                <w:color w:val="000000"/>
                <w:kern w:val="0"/>
                <w:sz w:val="22"/>
                <w:szCs w:val="22"/>
                <w:lang w:eastAsia="en-US"/>
              </w:rPr>
              <w:t>分；</w:t>
            </w:r>
          </w:p>
          <w:p w14:paraId="17B43A80">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方案空洞，有缺项的</w:t>
            </w:r>
            <w:r>
              <w:rPr>
                <w:rFonts w:hint="eastAsia" w:ascii="宋体" w:hAnsi="宋体" w:eastAsia="宋体" w:cs="宋体"/>
                <w:snapToGrid/>
                <w:color w:val="000000"/>
                <w:kern w:val="0"/>
                <w:sz w:val="22"/>
                <w:szCs w:val="22"/>
                <w:lang w:val="en-US" w:eastAsia="zh-CN"/>
              </w:rPr>
              <w:t>得2分,未提供不得分</w:t>
            </w:r>
            <w:r>
              <w:rPr>
                <w:rFonts w:hint="eastAsia" w:ascii="宋体" w:hAnsi="宋体" w:eastAsia="宋体" w:cs="宋体"/>
                <w:snapToGrid/>
                <w:color w:val="000000"/>
                <w:kern w:val="0"/>
                <w:sz w:val="22"/>
                <w:szCs w:val="22"/>
                <w:lang w:eastAsia="en-US"/>
              </w:rPr>
              <w:t>。</w:t>
            </w:r>
          </w:p>
        </w:tc>
      </w:tr>
      <w:tr w14:paraId="290AD0E6">
        <w:tblPrEx>
          <w:tblCellMar>
            <w:top w:w="0" w:type="dxa"/>
            <w:left w:w="108" w:type="dxa"/>
            <w:bottom w:w="0" w:type="dxa"/>
            <w:right w:w="108" w:type="dxa"/>
          </w:tblCellMar>
        </w:tblPrEx>
        <w:trPr>
          <w:trHeight w:val="531"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14:paraId="35DC13CC">
            <w:pPr>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snapToGrid/>
                <w:color w:val="000000"/>
                <w:kern w:val="0"/>
                <w:sz w:val="22"/>
                <w:szCs w:val="22"/>
                <w:lang w:eastAsia="en-US"/>
              </w:rPr>
            </w:pPr>
            <w:r>
              <w:rPr>
                <w:rFonts w:hint="eastAsia" w:ascii="宋体" w:hAnsi="宋体" w:eastAsia="宋体" w:cs="宋体"/>
                <w:b/>
                <w:snapToGrid/>
                <w:color w:val="000000"/>
                <w:kern w:val="0"/>
                <w:sz w:val="22"/>
                <w:szCs w:val="22"/>
                <w:lang w:eastAsia="en-US"/>
              </w:rPr>
              <w:t>商务部分</w:t>
            </w:r>
          </w:p>
        </w:tc>
        <w:tc>
          <w:tcPr>
            <w:tcW w:w="791" w:type="dxa"/>
            <w:tcBorders>
              <w:top w:val="single" w:color="000000" w:sz="4" w:space="0"/>
              <w:left w:val="nil"/>
              <w:bottom w:val="single" w:color="000000" w:sz="4" w:space="0"/>
              <w:right w:val="single" w:color="000000" w:sz="4" w:space="0"/>
            </w:tcBorders>
            <w:vAlign w:val="center"/>
          </w:tcPr>
          <w:p w14:paraId="475E0416">
            <w:pPr>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snapToGrid/>
                <w:color w:val="000000"/>
                <w:kern w:val="0"/>
                <w:sz w:val="22"/>
                <w:szCs w:val="22"/>
                <w:lang w:val="en-US" w:eastAsia="zh-CN"/>
              </w:rPr>
            </w:pPr>
            <w:r>
              <w:rPr>
                <w:rFonts w:hint="eastAsia" w:ascii="宋体" w:hAnsi="宋体" w:eastAsia="宋体" w:cs="宋体"/>
                <w:b/>
                <w:snapToGrid/>
                <w:color w:val="000000"/>
                <w:kern w:val="0"/>
                <w:sz w:val="22"/>
                <w:szCs w:val="22"/>
                <w:lang w:val="en-US" w:eastAsia="zh-CN"/>
              </w:rPr>
              <w:t>46</w:t>
            </w:r>
            <w:r>
              <w:rPr>
                <w:rFonts w:hint="eastAsia" w:ascii="宋体" w:hAnsi="宋体" w:eastAsia="宋体" w:cs="宋体"/>
                <w:b/>
                <w:snapToGrid/>
                <w:color w:val="000000"/>
                <w:kern w:val="0"/>
                <w:sz w:val="22"/>
                <w:szCs w:val="22"/>
                <w:lang w:eastAsia="en-US"/>
              </w:rPr>
              <w:t>分</w:t>
            </w:r>
          </w:p>
        </w:tc>
        <w:tc>
          <w:tcPr>
            <w:tcW w:w="7963" w:type="dxa"/>
            <w:tcBorders>
              <w:top w:val="single" w:color="000000" w:sz="4" w:space="0"/>
              <w:left w:val="nil"/>
              <w:bottom w:val="single" w:color="000000" w:sz="4" w:space="0"/>
              <w:right w:val="single" w:color="000000" w:sz="4" w:space="0"/>
            </w:tcBorders>
            <w:vAlign w:val="center"/>
          </w:tcPr>
          <w:p w14:paraId="5DE21078">
            <w:pPr>
              <w:pageBreakBefore w:val="0"/>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360" w:lineRule="auto"/>
              <w:jc w:val="left"/>
              <w:textAlignment w:val="auto"/>
              <w:rPr>
                <w:rFonts w:hint="eastAsia" w:ascii="宋体" w:hAnsi="宋体" w:eastAsia="宋体" w:cs="宋体"/>
                <w:bCs/>
                <w:snapToGrid/>
                <w:color w:val="000000"/>
                <w:kern w:val="0"/>
                <w:sz w:val="22"/>
                <w:szCs w:val="22"/>
                <w:lang w:eastAsia="en-US"/>
              </w:rPr>
            </w:pPr>
            <w:r>
              <w:rPr>
                <w:rFonts w:hint="eastAsia" w:ascii="宋体" w:hAnsi="宋体" w:eastAsia="宋体" w:cs="宋体"/>
                <w:bCs/>
                <w:snapToGrid/>
                <w:color w:val="000000"/>
                <w:kern w:val="0"/>
                <w:sz w:val="22"/>
                <w:szCs w:val="22"/>
                <w:lang w:eastAsia="en-US"/>
              </w:rPr>
              <w:t xml:space="preserve">   </w:t>
            </w:r>
          </w:p>
        </w:tc>
      </w:tr>
      <w:tr w14:paraId="673E7C43">
        <w:tblPrEx>
          <w:tblCellMar>
            <w:top w:w="0" w:type="dxa"/>
            <w:left w:w="108" w:type="dxa"/>
            <w:bottom w:w="0" w:type="dxa"/>
            <w:right w:w="108" w:type="dxa"/>
          </w:tblCellMar>
        </w:tblPrEx>
        <w:trPr>
          <w:trHeight w:val="90"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14:paraId="03A73C0E">
            <w:pPr>
              <w:pageBreakBefore w:val="0"/>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业绩</w:t>
            </w:r>
          </w:p>
        </w:tc>
        <w:tc>
          <w:tcPr>
            <w:tcW w:w="791" w:type="dxa"/>
            <w:tcBorders>
              <w:top w:val="single" w:color="000000" w:sz="4" w:space="0"/>
              <w:left w:val="nil"/>
              <w:bottom w:val="single" w:color="000000" w:sz="4" w:space="0"/>
              <w:right w:val="single" w:color="000000" w:sz="4" w:space="0"/>
            </w:tcBorders>
            <w:vAlign w:val="center"/>
          </w:tcPr>
          <w:p w14:paraId="21214BB6">
            <w:pPr>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9分</w:t>
            </w:r>
          </w:p>
        </w:tc>
        <w:tc>
          <w:tcPr>
            <w:tcW w:w="7963" w:type="dxa"/>
            <w:tcBorders>
              <w:top w:val="single" w:color="000000" w:sz="4" w:space="0"/>
              <w:left w:val="nil"/>
              <w:bottom w:val="single" w:color="000000" w:sz="4" w:space="0"/>
              <w:right w:val="single" w:color="000000" w:sz="4" w:space="0"/>
            </w:tcBorders>
            <w:vAlign w:val="center"/>
          </w:tcPr>
          <w:p w14:paraId="3AB845EA">
            <w:pPr>
              <w:pageBreakBefore w:val="0"/>
              <w:widowControl w:val="0"/>
              <w:kinsoku w:val="0"/>
              <w:wordWrap/>
              <w:overflowPunct/>
              <w:topLinePunct w:val="0"/>
              <w:autoSpaceDE w:val="0"/>
              <w:autoSpaceDN w:val="0"/>
              <w:bidi w:val="0"/>
              <w:adjustRightInd w:val="0"/>
              <w:snapToGrid w:val="0"/>
              <w:spacing w:before="46" w:after="0" w:line="360" w:lineRule="auto"/>
              <w:ind w:left="109"/>
              <w:jc w:val="left"/>
              <w:textAlignment w:val="baseline"/>
              <w:rPr>
                <w:rFonts w:hint="eastAsia" w:ascii="宋体" w:hAnsi="宋体" w:eastAsia="宋体" w:cs="宋体"/>
                <w:bCs/>
                <w:snapToGrid w:val="0"/>
                <w:color w:val="000000"/>
                <w:kern w:val="0"/>
                <w:sz w:val="22"/>
                <w:szCs w:val="22"/>
                <w:lang w:val="en-US" w:eastAsia="en-US" w:bidi="ar-SA"/>
              </w:rPr>
            </w:pPr>
            <w:r>
              <w:rPr>
                <w:rFonts w:hint="eastAsia" w:ascii="宋体" w:hAnsi="宋体" w:eastAsia="宋体" w:cs="宋体"/>
                <w:bCs/>
                <w:snapToGrid w:val="0"/>
                <w:color w:val="000000"/>
                <w:kern w:val="0"/>
                <w:sz w:val="22"/>
                <w:szCs w:val="22"/>
                <w:lang w:val="en-US" w:eastAsia="zh-CN" w:bidi="ar-SA"/>
              </w:rPr>
              <w:t>项目负责人</w:t>
            </w:r>
            <w:r>
              <w:rPr>
                <w:rFonts w:hint="eastAsia" w:ascii="宋体" w:hAnsi="宋体" w:eastAsia="宋体" w:cs="宋体"/>
                <w:bCs/>
                <w:snapToGrid w:val="0"/>
                <w:color w:val="000000"/>
                <w:kern w:val="0"/>
                <w:sz w:val="22"/>
                <w:szCs w:val="22"/>
                <w:lang w:val="en-US" w:eastAsia="en-US" w:bidi="ar-SA"/>
              </w:rPr>
              <w:t>自202</w:t>
            </w:r>
            <w:r>
              <w:rPr>
                <w:rFonts w:hint="eastAsia" w:ascii="宋体" w:hAnsi="宋体" w:eastAsia="宋体" w:cs="宋体"/>
                <w:bCs/>
                <w:snapToGrid w:val="0"/>
                <w:color w:val="000000"/>
                <w:kern w:val="0"/>
                <w:sz w:val="22"/>
                <w:szCs w:val="22"/>
                <w:lang w:val="en-US" w:eastAsia="zh-CN" w:bidi="ar-SA"/>
              </w:rPr>
              <w:t>1</w:t>
            </w:r>
            <w:r>
              <w:rPr>
                <w:rFonts w:hint="eastAsia" w:ascii="宋体" w:hAnsi="宋体" w:eastAsia="宋体" w:cs="宋体"/>
                <w:bCs/>
                <w:snapToGrid w:val="0"/>
                <w:color w:val="000000"/>
                <w:kern w:val="0"/>
                <w:sz w:val="22"/>
                <w:szCs w:val="22"/>
                <w:lang w:val="en-US" w:eastAsia="en-US" w:bidi="ar-SA"/>
              </w:rPr>
              <w:t>年1月1日至今承担过类似</w:t>
            </w:r>
            <w:r>
              <w:rPr>
                <w:rFonts w:hint="eastAsia" w:ascii="宋体" w:hAnsi="宋体" w:eastAsia="宋体" w:cs="宋体"/>
                <w:bCs/>
                <w:snapToGrid w:val="0"/>
                <w:color w:val="000000"/>
                <w:kern w:val="0"/>
                <w:sz w:val="22"/>
                <w:szCs w:val="22"/>
                <w:lang w:val="en-US" w:eastAsia="zh-CN" w:bidi="ar-SA"/>
              </w:rPr>
              <w:t>残疾人</w:t>
            </w:r>
            <w:r>
              <w:rPr>
                <w:rFonts w:hint="eastAsia" w:ascii="宋体" w:hAnsi="宋体" w:eastAsia="宋体" w:cs="宋体"/>
                <w:bCs/>
                <w:snapToGrid w:val="0"/>
                <w:color w:val="000000"/>
                <w:kern w:val="0"/>
                <w:sz w:val="22"/>
                <w:szCs w:val="22"/>
                <w:lang w:val="en-US" w:eastAsia="en-US" w:bidi="ar-SA"/>
              </w:rPr>
              <w:t>托养项目的，每有一个得3分，本项最高得9分。</w:t>
            </w:r>
          </w:p>
          <w:p w14:paraId="40771B69">
            <w:pPr>
              <w:pageBreakBefore w:val="0"/>
              <w:widowControl w:val="0"/>
              <w:kinsoku w:val="0"/>
              <w:wordWrap/>
              <w:overflowPunct/>
              <w:topLinePunct w:val="0"/>
              <w:autoSpaceDE w:val="0"/>
              <w:autoSpaceDN w:val="0"/>
              <w:bidi w:val="0"/>
              <w:adjustRightInd w:val="0"/>
              <w:snapToGrid w:val="0"/>
              <w:spacing w:before="46" w:after="0" w:line="360" w:lineRule="auto"/>
              <w:ind w:left="109"/>
              <w:jc w:val="left"/>
              <w:textAlignment w:val="baseline"/>
              <w:rPr>
                <w:rFonts w:hint="eastAsia" w:ascii="宋体" w:hAnsi="宋体" w:eastAsia="宋体" w:cs="宋体"/>
                <w:b/>
                <w:snapToGrid w:val="0"/>
                <w:color w:val="000000"/>
                <w:kern w:val="0"/>
                <w:sz w:val="22"/>
                <w:szCs w:val="22"/>
                <w:lang w:val="en-US" w:eastAsia="en-US" w:bidi="ar-SA"/>
              </w:rPr>
            </w:pPr>
            <w:r>
              <w:rPr>
                <w:rFonts w:hint="eastAsia" w:ascii="宋体" w:hAnsi="宋体" w:eastAsia="宋体" w:cs="宋体"/>
                <w:b/>
                <w:snapToGrid w:val="0"/>
                <w:color w:val="000000"/>
                <w:kern w:val="0"/>
                <w:sz w:val="22"/>
                <w:szCs w:val="22"/>
                <w:lang w:val="en-US" w:eastAsia="en-US" w:bidi="ar-SA"/>
              </w:rPr>
              <w:t>注：时间以合同签订时间为准</w:t>
            </w:r>
            <w:r>
              <w:rPr>
                <w:rFonts w:hint="eastAsia" w:ascii="宋体" w:hAnsi="宋体" w:eastAsia="宋体" w:cs="宋体"/>
                <w:b/>
                <w:snapToGrid w:val="0"/>
                <w:color w:val="000000"/>
                <w:kern w:val="0"/>
                <w:sz w:val="22"/>
                <w:szCs w:val="22"/>
                <w:lang w:val="en-US" w:eastAsia="zh-CN" w:bidi="ar-SA"/>
              </w:rPr>
              <w:t>，投标</w:t>
            </w:r>
            <w:r>
              <w:rPr>
                <w:rFonts w:hint="eastAsia" w:ascii="宋体" w:hAnsi="宋体" w:eastAsia="宋体" w:cs="宋体"/>
                <w:b/>
                <w:snapToGrid w:val="0"/>
                <w:color w:val="000000"/>
                <w:kern w:val="0"/>
                <w:sz w:val="22"/>
                <w:szCs w:val="22"/>
                <w:lang w:val="en-US" w:eastAsia="en-US" w:bidi="ar-SA"/>
              </w:rPr>
              <w:t>文件中须上传有效的合同原件扫描件，否则不得分。</w:t>
            </w:r>
          </w:p>
        </w:tc>
      </w:tr>
      <w:tr w14:paraId="2300C192">
        <w:tblPrEx>
          <w:tblCellMar>
            <w:top w:w="0" w:type="dxa"/>
            <w:left w:w="108" w:type="dxa"/>
            <w:bottom w:w="0" w:type="dxa"/>
            <w:right w:w="108" w:type="dxa"/>
          </w:tblCellMar>
        </w:tblPrEx>
        <w:trPr>
          <w:trHeight w:val="338" w:hRule="atLeast"/>
          <w:jc w:val="center"/>
        </w:trPr>
        <w:tc>
          <w:tcPr>
            <w:tcW w:w="1246" w:type="dxa"/>
            <w:tcBorders>
              <w:top w:val="single" w:color="000000" w:sz="4" w:space="0"/>
              <w:left w:val="single" w:color="000000" w:sz="4" w:space="0"/>
              <w:right w:val="single" w:color="000000" w:sz="4" w:space="0"/>
            </w:tcBorders>
            <w:vAlign w:val="center"/>
          </w:tcPr>
          <w:p w14:paraId="30E2131B">
            <w:pPr>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napToGrid/>
                <w:color w:val="000000"/>
                <w:kern w:val="0"/>
                <w:sz w:val="22"/>
                <w:szCs w:val="22"/>
                <w:highlight w:val="none"/>
                <w:lang w:eastAsia="en-US"/>
              </w:rPr>
            </w:pPr>
            <w:r>
              <w:rPr>
                <w:rFonts w:hint="eastAsia" w:ascii="宋体" w:hAnsi="宋体" w:eastAsia="宋体" w:cs="宋体"/>
                <w:snapToGrid/>
                <w:color w:val="000000"/>
                <w:kern w:val="0"/>
                <w:sz w:val="22"/>
                <w:szCs w:val="22"/>
                <w:highlight w:val="none"/>
                <w:lang w:eastAsia="en-US"/>
              </w:rPr>
              <w:t>项目组成员配备</w:t>
            </w:r>
          </w:p>
        </w:tc>
        <w:tc>
          <w:tcPr>
            <w:tcW w:w="791" w:type="dxa"/>
            <w:tcBorders>
              <w:top w:val="single" w:color="000000" w:sz="4" w:space="0"/>
              <w:left w:val="nil"/>
              <w:right w:val="single" w:color="000000" w:sz="4" w:space="0"/>
            </w:tcBorders>
            <w:vAlign w:val="center"/>
          </w:tcPr>
          <w:p w14:paraId="2A7A5734">
            <w:pPr>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napToGrid/>
                <w:color w:val="000000"/>
                <w:kern w:val="0"/>
                <w:sz w:val="22"/>
                <w:szCs w:val="22"/>
                <w:highlight w:val="none"/>
                <w:lang w:eastAsia="en-US"/>
              </w:rPr>
            </w:pPr>
            <w:r>
              <w:rPr>
                <w:rFonts w:hint="eastAsia" w:ascii="宋体" w:hAnsi="宋体" w:eastAsia="宋体" w:cs="宋体"/>
                <w:snapToGrid/>
                <w:color w:val="000000"/>
                <w:kern w:val="0"/>
                <w:sz w:val="22"/>
                <w:szCs w:val="22"/>
                <w:highlight w:val="none"/>
                <w:lang w:eastAsia="en-US"/>
              </w:rPr>
              <w:t>1</w:t>
            </w:r>
            <w:r>
              <w:rPr>
                <w:rFonts w:hint="eastAsia" w:ascii="宋体" w:hAnsi="宋体" w:eastAsia="宋体" w:cs="宋体"/>
                <w:snapToGrid/>
                <w:color w:val="000000"/>
                <w:kern w:val="0"/>
                <w:sz w:val="22"/>
                <w:szCs w:val="22"/>
                <w:highlight w:val="none"/>
                <w:lang w:val="en-US" w:eastAsia="zh-CN"/>
              </w:rPr>
              <w:t>5</w:t>
            </w:r>
            <w:r>
              <w:rPr>
                <w:rFonts w:hint="eastAsia" w:ascii="宋体" w:hAnsi="宋体" w:eastAsia="宋体" w:cs="宋体"/>
                <w:snapToGrid/>
                <w:color w:val="000000"/>
                <w:kern w:val="0"/>
                <w:sz w:val="22"/>
                <w:szCs w:val="22"/>
                <w:highlight w:val="none"/>
                <w:lang w:eastAsia="en-US"/>
              </w:rPr>
              <w:t>分</w:t>
            </w:r>
          </w:p>
        </w:tc>
        <w:tc>
          <w:tcPr>
            <w:tcW w:w="7963" w:type="dxa"/>
            <w:tcBorders>
              <w:top w:val="single" w:color="000000" w:sz="4" w:space="0"/>
              <w:left w:val="nil"/>
              <w:bottom w:val="single" w:color="000000" w:sz="4" w:space="0"/>
              <w:right w:val="single" w:color="000000" w:sz="4" w:space="0"/>
            </w:tcBorders>
            <w:vAlign w:val="center"/>
          </w:tcPr>
          <w:p w14:paraId="2848593E">
            <w:pPr>
              <w:pageBreakBefore w:val="0"/>
              <w:widowControl w:val="0"/>
              <w:kinsoku w:val="0"/>
              <w:wordWrap/>
              <w:overflowPunct/>
              <w:topLinePunct w:val="0"/>
              <w:autoSpaceDE w:val="0"/>
              <w:autoSpaceDN w:val="0"/>
              <w:bidi w:val="0"/>
              <w:adjustRightInd w:val="0"/>
              <w:snapToGrid w:val="0"/>
              <w:spacing w:before="46" w:after="0" w:line="360" w:lineRule="auto"/>
              <w:ind w:left="109"/>
              <w:jc w:val="left"/>
              <w:textAlignment w:val="baseline"/>
              <w:rPr>
                <w:rFonts w:hint="eastAsia" w:ascii="宋体" w:hAnsi="宋体" w:eastAsia="宋体" w:cs="宋体"/>
                <w:b/>
                <w:snapToGrid w:val="0"/>
                <w:color w:val="000000"/>
                <w:kern w:val="0"/>
                <w:sz w:val="22"/>
                <w:szCs w:val="22"/>
                <w:highlight w:val="none"/>
                <w:lang w:val="en-US" w:eastAsia="en-US" w:bidi="ar-SA"/>
              </w:rPr>
            </w:pPr>
            <w:r>
              <w:rPr>
                <w:rFonts w:hint="eastAsia" w:ascii="宋体" w:hAnsi="宋体" w:eastAsia="宋体" w:cs="宋体"/>
                <w:b/>
                <w:snapToGrid w:val="0"/>
                <w:color w:val="000000"/>
                <w:kern w:val="0"/>
                <w:sz w:val="22"/>
                <w:szCs w:val="22"/>
                <w:highlight w:val="none"/>
                <w:lang w:val="en-US" w:eastAsia="en-US" w:bidi="ar-SA"/>
              </w:rPr>
              <w:t>1、项目负责人（</w:t>
            </w:r>
            <w:r>
              <w:rPr>
                <w:rFonts w:hint="eastAsia" w:ascii="宋体" w:hAnsi="宋体" w:eastAsia="宋体" w:cs="宋体"/>
                <w:b/>
                <w:snapToGrid w:val="0"/>
                <w:color w:val="000000"/>
                <w:kern w:val="0"/>
                <w:sz w:val="22"/>
                <w:szCs w:val="22"/>
                <w:highlight w:val="none"/>
                <w:lang w:val="en-US" w:eastAsia="zh-CN" w:bidi="ar-SA"/>
              </w:rPr>
              <w:t>5</w:t>
            </w:r>
            <w:r>
              <w:rPr>
                <w:rFonts w:hint="eastAsia" w:ascii="宋体" w:hAnsi="宋体" w:eastAsia="宋体" w:cs="宋体"/>
                <w:b/>
                <w:snapToGrid w:val="0"/>
                <w:color w:val="000000"/>
                <w:kern w:val="0"/>
                <w:sz w:val="22"/>
                <w:szCs w:val="22"/>
                <w:highlight w:val="none"/>
                <w:lang w:val="en-US" w:eastAsia="en-US" w:bidi="ar-SA"/>
              </w:rPr>
              <w:t>分）</w:t>
            </w:r>
          </w:p>
          <w:p w14:paraId="45206F8E">
            <w:pPr>
              <w:pageBreakBefore w:val="0"/>
              <w:widowControl w:val="0"/>
              <w:kinsoku w:val="0"/>
              <w:wordWrap/>
              <w:overflowPunct/>
              <w:topLinePunct w:val="0"/>
              <w:autoSpaceDE w:val="0"/>
              <w:autoSpaceDN w:val="0"/>
              <w:bidi w:val="0"/>
              <w:adjustRightInd w:val="0"/>
              <w:snapToGrid w:val="0"/>
              <w:spacing w:before="46" w:after="0" w:line="360" w:lineRule="auto"/>
              <w:ind w:left="109"/>
              <w:jc w:val="left"/>
              <w:textAlignment w:val="baseline"/>
              <w:rPr>
                <w:rFonts w:hint="eastAsia" w:ascii="宋体" w:hAnsi="宋体" w:eastAsia="宋体" w:cs="宋体"/>
                <w:bCs/>
                <w:snapToGrid w:val="0"/>
                <w:color w:val="000000"/>
                <w:kern w:val="0"/>
                <w:sz w:val="22"/>
                <w:szCs w:val="22"/>
                <w:highlight w:val="none"/>
                <w:lang w:val="en-US" w:eastAsia="en-US" w:bidi="ar-SA"/>
              </w:rPr>
            </w:pPr>
            <w:r>
              <w:rPr>
                <w:rFonts w:hint="eastAsia" w:ascii="宋体" w:hAnsi="宋体" w:eastAsia="宋体" w:cs="宋体"/>
                <w:bCs/>
                <w:snapToGrid w:val="0"/>
                <w:color w:val="000000"/>
                <w:kern w:val="0"/>
                <w:sz w:val="22"/>
                <w:szCs w:val="22"/>
                <w:highlight w:val="none"/>
                <w:lang w:val="en-US" w:eastAsia="en-US" w:bidi="ar-SA"/>
              </w:rPr>
              <w:t>项目负责人具有本科及以上学历得</w:t>
            </w:r>
            <w:r>
              <w:rPr>
                <w:rFonts w:hint="eastAsia" w:ascii="宋体" w:hAnsi="宋体" w:eastAsia="宋体" w:cs="宋体"/>
                <w:bCs/>
                <w:snapToGrid w:val="0"/>
                <w:color w:val="000000"/>
                <w:kern w:val="0"/>
                <w:sz w:val="22"/>
                <w:szCs w:val="22"/>
                <w:highlight w:val="none"/>
                <w:lang w:val="en-US" w:eastAsia="zh-CN" w:bidi="ar-SA"/>
              </w:rPr>
              <w:t>2</w:t>
            </w:r>
            <w:r>
              <w:rPr>
                <w:rFonts w:hint="eastAsia" w:ascii="宋体" w:hAnsi="宋体" w:eastAsia="宋体" w:cs="宋体"/>
                <w:bCs/>
                <w:snapToGrid w:val="0"/>
                <w:color w:val="000000"/>
                <w:kern w:val="0"/>
                <w:sz w:val="22"/>
                <w:szCs w:val="22"/>
                <w:highlight w:val="none"/>
                <w:lang w:val="en-US" w:eastAsia="en-US" w:bidi="ar-SA"/>
              </w:rPr>
              <w:t>分</w:t>
            </w:r>
            <w:r>
              <w:rPr>
                <w:rFonts w:hint="eastAsia" w:ascii="宋体" w:hAnsi="宋体" w:eastAsia="宋体" w:cs="宋体"/>
                <w:bCs/>
                <w:snapToGrid w:val="0"/>
                <w:color w:val="000000"/>
                <w:kern w:val="0"/>
                <w:sz w:val="22"/>
                <w:szCs w:val="22"/>
                <w:highlight w:val="none"/>
                <w:lang w:val="en-US" w:eastAsia="zh-CN" w:bidi="ar-SA"/>
              </w:rPr>
              <w:t>，大专学历得1分；</w:t>
            </w:r>
            <w:r>
              <w:rPr>
                <w:rFonts w:hint="eastAsia" w:ascii="宋体" w:hAnsi="宋体" w:eastAsia="宋体" w:cs="宋体"/>
                <w:bCs/>
                <w:snapToGrid w:val="0"/>
                <w:color w:val="000000"/>
                <w:kern w:val="0"/>
                <w:sz w:val="22"/>
                <w:szCs w:val="22"/>
                <w:highlight w:val="none"/>
                <w:lang w:val="en-US" w:eastAsia="en-US" w:bidi="ar-SA"/>
              </w:rPr>
              <w:t>具有中级医师资格或护士资格证书的得</w:t>
            </w:r>
            <w:r>
              <w:rPr>
                <w:rFonts w:hint="eastAsia" w:ascii="宋体" w:hAnsi="宋体" w:eastAsia="宋体" w:cs="宋体"/>
                <w:bCs/>
                <w:snapToGrid w:val="0"/>
                <w:color w:val="000000"/>
                <w:kern w:val="0"/>
                <w:sz w:val="22"/>
                <w:szCs w:val="22"/>
                <w:highlight w:val="none"/>
                <w:lang w:val="en-US" w:eastAsia="zh-CN" w:bidi="ar-SA"/>
              </w:rPr>
              <w:t>1</w:t>
            </w:r>
            <w:r>
              <w:rPr>
                <w:rFonts w:hint="eastAsia" w:ascii="宋体" w:hAnsi="宋体" w:eastAsia="宋体" w:cs="宋体"/>
                <w:bCs/>
                <w:snapToGrid w:val="0"/>
                <w:color w:val="000000"/>
                <w:kern w:val="0"/>
                <w:sz w:val="22"/>
                <w:szCs w:val="22"/>
                <w:highlight w:val="none"/>
                <w:lang w:val="en-US" w:eastAsia="en-US" w:bidi="ar-SA"/>
              </w:rPr>
              <w:t>分；具有护理证书（培训证书）的得1分；具有心理咨询师或社会工作师职业资格证书的得1分，本项最高得</w:t>
            </w:r>
            <w:r>
              <w:rPr>
                <w:rFonts w:hint="eastAsia" w:ascii="宋体" w:hAnsi="宋体" w:eastAsia="宋体" w:cs="宋体"/>
                <w:bCs/>
                <w:snapToGrid w:val="0"/>
                <w:color w:val="000000"/>
                <w:kern w:val="0"/>
                <w:sz w:val="22"/>
                <w:szCs w:val="22"/>
                <w:highlight w:val="none"/>
                <w:lang w:val="en-US" w:eastAsia="zh-CN" w:bidi="ar-SA"/>
              </w:rPr>
              <w:t>5</w:t>
            </w:r>
            <w:r>
              <w:rPr>
                <w:rFonts w:hint="eastAsia" w:ascii="宋体" w:hAnsi="宋体" w:eastAsia="宋体" w:cs="宋体"/>
                <w:bCs/>
                <w:snapToGrid w:val="0"/>
                <w:color w:val="000000"/>
                <w:kern w:val="0"/>
                <w:sz w:val="22"/>
                <w:szCs w:val="22"/>
                <w:highlight w:val="none"/>
                <w:lang w:val="en-US" w:eastAsia="en-US" w:bidi="ar-SA"/>
              </w:rPr>
              <w:t>分。</w:t>
            </w:r>
          </w:p>
          <w:p w14:paraId="04544393">
            <w:pPr>
              <w:pageBreakBefore w:val="0"/>
              <w:widowControl w:val="0"/>
              <w:numPr>
                <w:ilvl w:val="0"/>
                <w:numId w:val="3"/>
              </w:numPr>
              <w:kinsoku w:val="0"/>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2"/>
                <w:szCs w:val="22"/>
                <w:highlight w:val="none"/>
                <w:lang w:val="en-US" w:eastAsia="en-US" w:bidi="ar-SA"/>
              </w:rPr>
            </w:pPr>
            <w:r>
              <w:rPr>
                <w:rFonts w:hint="eastAsia" w:ascii="宋体" w:hAnsi="宋体" w:eastAsia="宋体" w:cs="宋体"/>
                <w:b/>
                <w:bCs/>
                <w:snapToGrid w:val="0"/>
                <w:color w:val="000000"/>
                <w:kern w:val="0"/>
                <w:sz w:val="22"/>
                <w:szCs w:val="22"/>
                <w:highlight w:val="none"/>
                <w:lang w:val="en-US" w:eastAsia="en-US" w:bidi="ar-SA"/>
              </w:rPr>
              <w:t>项目其他成员（</w:t>
            </w:r>
            <w:r>
              <w:rPr>
                <w:rFonts w:hint="eastAsia" w:ascii="宋体" w:hAnsi="宋体" w:eastAsia="宋体" w:cs="宋体"/>
                <w:b/>
                <w:bCs/>
                <w:snapToGrid w:val="0"/>
                <w:color w:val="000000"/>
                <w:kern w:val="0"/>
                <w:sz w:val="22"/>
                <w:szCs w:val="22"/>
                <w:highlight w:val="none"/>
                <w:lang w:val="en-US" w:eastAsia="zh-CN" w:bidi="ar-SA"/>
              </w:rPr>
              <w:t>10</w:t>
            </w:r>
            <w:r>
              <w:rPr>
                <w:rFonts w:hint="eastAsia" w:ascii="宋体" w:hAnsi="宋体" w:eastAsia="宋体" w:cs="宋体"/>
                <w:b/>
                <w:bCs/>
                <w:snapToGrid w:val="0"/>
                <w:color w:val="000000"/>
                <w:kern w:val="0"/>
                <w:sz w:val="22"/>
                <w:szCs w:val="22"/>
                <w:highlight w:val="none"/>
                <w:lang w:val="en-US" w:eastAsia="en-US" w:bidi="ar-SA"/>
              </w:rPr>
              <w:t>分）</w:t>
            </w:r>
          </w:p>
          <w:p w14:paraId="0ED841A7">
            <w:pPr>
              <w:pageBreakBefore w:val="0"/>
              <w:widowControl w:val="0"/>
              <w:kinsoku w:val="0"/>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2"/>
                <w:szCs w:val="22"/>
                <w:highlight w:val="none"/>
                <w:lang w:val="en-US" w:eastAsia="en-US" w:bidi="ar-SA"/>
              </w:rPr>
            </w:pPr>
            <w:r>
              <w:rPr>
                <w:rFonts w:hint="eastAsia" w:ascii="宋体" w:hAnsi="宋体" w:eastAsia="宋体" w:cs="宋体"/>
                <w:snapToGrid w:val="0"/>
                <w:color w:val="000000"/>
                <w:kern w:val="0"/>
                <w:sz w:val="22"/>
                <w:szCs w:val="22"/>
                <w:highlight w:val="none"/>
                <w:lang w:val="en-US" w:eastAsia="en-US" w:bidi="ar-SA"/>
              </w:rPr>
              <w:t>（1）</w:t>
            </w:r>
            <w:r>
              <w:rPr>
                <w:rFonts w:hint="eastAsia" w:ascii="宋体" w:hAnsi="宋体" w:eastAsia="宋体" w:cs="宋体"/>
                <w:snapToGrid w:val="0"/>
                <w:color w:val="000000"/>
                <w:kern w:val="0"/>
                <w:sz w:val="22"/>
                <w:szCs w:val="22"/>
                <w:highlight w:val="none"/>
                <w:lang w:val="en-US" w:eastAsia="zh-CN" w:bidi="ar-SA"/>
              </w:rPr>
              <w:t>投标人配备</w:t>
            </w:r>
            <w:r>
              <w:rPr>
                <w:rFonts w:hint="eastAsia" w:ascii="宋体" w:hAnsi="宋体" w:eastAsia="宋体" w:cs="宋体"/>
                <w:snapToGrid w:val="0"/>
                <w:color w:val="000000"/>
                <w:kern w:val="0"/>
                <w:sz w:val="22"/>
                <w:szCs w:val="22"/>
                <w:highlight w:val="none"/>
                <w:lang w:val="zh-TW" w:eastAsia="en-US" w:bidi="ar-SA"/>
              </w:rPr>
              <w:t>管理员</w:t>
            </w:r>
            <w:r>
              <w:rPr>
                <w:rFonts w:hint="eastAsia" w:ascii="宋体" w:hAnsi="宋体" w:eastAsia="宋体" w:cs="宋体"/>
                <w:snapToGrid w:val="0"/>
                <w:color w:val="000000"/>
                <w:kern w:val="0"/>
                <w:sz w:val="22"/>
                <w:szCs w:val="22"/>
                <w:highlight w:val="none"/>
                <w:lang w:val="en-US" w:eastAsia="en-US" w:bidi="ar-SA"/>
              </w:rPr>
              <w:t>具有大专及以上学历得1分，本项最高得</w:t>
            </w:r>
            <w:r>
              <w:rPr>
                <w:rFonts w:hint="eastAsia" w:ascii="宋体" w:hAnsi="宋体" w:eastAsia="宋体" w:cs="宋体"/>
                <w:snapToGrid w:val="0"/>
                <w:color w:val="000000"/>
                <w:kern w:val="0"/>
                <w:sz w:val="22"/>
                <w:szCs w:val="22"/>
                <w:highlight w:val="none"/>
                <w:lang w:val="en-US" w:eastAsia="zh-CN" w:bidi="ar-SA"/>
              </w:rPr>
              <w:t>2</w:t>
            </w:r>
            <w:r>
              <w:rPr>
                <w:rFonts w:hint="eastAsia" w:ascii="宋体" w:hAnsi="宋体" w:eastAsia="宋体" w:cs="宋体"/>
                <w:snapToGrid w:val="0"/>
                <w:color w:val="000000"/>
                <w:kern w:val="0"/>
                <w:sz w:val="22"/>
                <w:szCs w:val="22"/>
                <w:highlight w:val="none"/>
                <w:lang w:val="en-US" w:eastAsia="en-US" w:bidi="ar-SA"/>
              </w:rPr>
              <w:t>分；</w:t>
            </w:r>
          </w:p>
          <w:p w14:paraId="5477A856">
            <w:pPr>
              <w:pageBreakBefore w:val="0"/>
              <w:widowControl w:val="0"/>
              <w:kinsoku w:val="0"/>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2"/>
                <w:szCs w:val="22"/>
                <w:highlight w:val="none"/>
                <w:lang w:val="en-US" w:eastAsia="en-US" w:bidi="ar-SA"/>
              </w:rPr>
            </w:pPr>
            <w:r>
              <w:rPr>
                <w:rFonts w:hint="eastAsia" w:ascii="宋体" w:hAnsi="宋体" w:eastAsia="宋体" w:cs="宋体"/>
                <w:snapToGrid w:val="0"/>
                <w:color w:val="000000"/>
                <w:kern w:val="0"/>
                <w:sz w:val="22"/>
                <w:szCs w:val="22"/>
                <w:highlight w:val="none"/>
                <w:lang w:val="en-US" w:eastAsia="en-US" w:bidi="ar-SA"/>
              </w:rPr>
              <w:t>（2）</w:t>
            </w:r>
            <w:r>
              <w:rPr>
                <w:rFonts w:hint="eastAsia" w:ascii="宋体" w:hAnsi="宋体" w:eastAsia="宋体" w:cs="宋体"/>
                <w:snapToGrid w:val="0"/>
                <w:color w:val="000000"/>
                <w:kern w:val="0"/>
                <w:sz w:val="22"/>
                <w:szCs w:val="22"/>
                <w:highlight w:val="none"/>
                <w:lang w:val="en-US" w:eastAsia="zh-CN" w:bidi="ar-SA"/>
              </w:rPr>
              <w:t>投标人</w:t>
            </w:r>
            <w:r>
              <w:rPr>
                <w:rFonts w:hint="eastAsia" w:ascii="宋体" w:hAnsi="宋体" w:eastAsia="宋体" w:cs="宋体"/>
                <w:snapToGrid w:val="0"/>
                <w:color w:val="000000"/>
                <w:kern w:val="0"/>
                <w:sz w:val="22"/>
                <w:szCs w:val="22"/>
                <w:highlight w:val="none"/>
                <w:lang w:val="zh-TW" w:eastAsia="en-US" w:bidi="ar-SA"/>
              </w:rPr>
              <w:t>拟派的</w:t>
            </w:r>
            <w:r>
              <w:rPr>
                <w:rFonts w:hint="eastAsia" w:ascii="宋体" w:hAnsi="宋体" w:eastAsia="宋体" w:cs="宋体"/>
                <w:snapToGrid w:val="0"/>
                <w:color w:val="000000"/>
                <w:kern w:val="0"/>
                <w:sz w:val="22"/>
                <w:szCs w:val="22"/>
                <w:highlight w:val="none"/>
                <w:lang w:val="en-US" w:eastAsia="en-US" w:bidi="ar-SA"/>
              </w:rPr>
              <w:t>医护人员在满足本项目需求的基础上每增加1名有具有</w:t>
            </w:r>
            <w:r>
              <w:rPr>
                <w:rFonts w:hint="eastAsia" w:ascii="宋体" w:hAnsi="宋体" w:eastAsia="宋体" w:cs="宋体"/>
                <w:snapToGrid w:val="0"/>
                <w:color w:val="000000"/>
                <w:kern w:val="0"/>
                <w:sz w:val="22"/>
                <w:szCs w:val="22"/>
                <w:highlight w:val="none"/>
                <w:lang w:val="en-US" w:eastAsia="zh-CN" w:bidi="ar-SA"/>
              </w:rPr>
              <w:t>医师执照或</w:t>
            </w:r>
            <w:r>
              <w:rPr>
                <w:rFonts w:hint="eastAsia" w:ascii="宋体" w:hAnsi="宋体" w:eastAsia="宋体" w:cs="宋体"/>
                <w:snapToGrid w:val="0"/>
                <w:color w:val="000000"/>
                <w:kern w:val="0"/>
                <w:sz w:val="22"/>
                <w:szCs w:val="22"/>
                <w:highlight w:val="none"/>
                <w:lang w:val="en-US" w:eastAsia="en-US" w:bidi="ar-SA"/>
              </w:rPr>
              <w:t>护理证或培训证书的人员得1分，本项最高得2分；</w:t>
            </w:r>
          </w:p>
          <w:p w14:paraId="191633F7">
            <w:pPr>
              <w:pageBreakBefore w:val="0"/>
              <w:widowControl w:val="0"/>
              <w:kinsoku w:val="0"/>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2"/>
                <w:szCs w:val="22"/>
                <w:highlight w:val="none"/>
                <w:lang w:val="en-US" w:eastAsia="en-US" w:bidi="ar-SA"/>
              </w:rPr>
            </w:pPr>
            <w:r>
              <w:rPr>
                <w:rFonts w:hint="eastAsia" w:ascii="宋体" w:hAnsi="宋体" w:eastAsia="宋体" w:cs="宋体"/>
                <w:snapToGrid w:val="0"/>
                <w:color w:val="000000"/>
                <w:kern w:val="0"/>
                <w:sz w:val="22"/>
                <w:szCs w:val="22"/>
                <w:highlight w:val="none"/>
                <w:lang w:val="en-US" w:eastAsia="en-US" w:bidi="ar-SA"/>
              </w:rPr>
              <w:t>（3）</w:t>
            </w:r>
            <w:r>
              <w:rPr>
                <w:rFonts w:hint="eastAsia" w:ascii="宋体" w:hAnsi="宋体" w:eastAsia="宋体" w:cs="宋体"/>
                <w:snapToGrid w:val="0"/>
                <w:color w:val="000000"/>
                <w:kern w:val="0"/>
                <w:sz w:val="22"/>
                <w:szCs w:val="22"/>
                <w:highlight w:val="none"/>
                <w:lang w:val="en-US" w:eastAsia="zh-CN" w:bidi="ar-SA"/>
              </w:rPr>
              <w:t>投标人</w:t>
            </w:r>
            <w:r>
              <w:rPr>
                <w:rFonts w:hint="eastAsia" w:ascii="宋体" w:hAnsi="宋体" w:eastAsia="宋体" w:cs="宋体"/>
                <w:snapToGrid w:val="0"/>
                <w:color w:val="000000"/>
                <w:kern w:val="0"/>
                <w:sz w:val="22"/>
                <w:szCs w:val="22"/>
                <w:highlight w:val="none"/>
                <w:lang w:val="zh-TW" w:eastAsia="en-US" w:bidi="ar-SA"/>
              </w:rPr>
              <w:t>拟派的</w:t>
            </w:r>
            <w:r>
              <w:rPr>
                <w:rFonts w:hint="eastAsia" w:ascii="宋体" w:hAnsi="宋体" w:eastAsia="宋体" w:cs="宋体"/>
                <w:snapToGrid w:val="0"/>
                <w:color w:val="000000"/>
                <w:kern w:val="0"/>
                <w:sz w:val="22"/>
                <w:szCs w:val="22"/>
                <w:highlight w:val="none"/>
                <w:lang w:val="en-US" w:eastAsia="en-US" w:bidi="ar-SA"/>
              </w:rPr>
              <w:t>专业人员在满足本项目需求的基础上</w:t>
            </w:r>
            <w:r>
              <w:rPr>
                <w:rFonts w:hint="eastAsia" w:ascii="宋体" w:hAnsi="宋体" w:eastAsia="宋体" w:cs="宋体"/>
                <w:snapToGrid w:val="0"/>
                <w:color w:val="000000"/>
                <w:kern w:val="0"/>
                <w:sz w:val="22"/>
                <w:szCs w:val="22"/>
                <w:highlight w:val="none"/>
                <w:lang w:val="en-US" w:eastAsia="zh-CN" w:bidi="ar-SA"/>
              </w:rPr>
              <w:t>，</w:t>
            </w:r>
            <w:r>
              <w:rPr>
                <w:rFonts w:hint="eastAsia" w:ascii="宋体" w:hAnsi="宋体" w:eastAsia="宋体" w:cs="宋体"/>
                <w:snapToGrid w:val="0"/>
                <w:color w:val="000000"/>
                <w:kern w:val="0"/>
                <w:sz w:val="22"/>
                <w:szCs w:val="22"/>
                <w:highlight w:val="none"/>
                <w:lang w:val="en-US" w:eastAsia="en-US" w:bidi="ar-SA"/>
              </w:rPr>
              <w:t>每增加1名具有康复医师或康复治疗师或物理治疗师资格证书的人员得1分，最多得</w:t>
            </w:r>
            <w:r>
              <w:rPr>
                <w:rFonts w:hint="eastAsia" w:ascii="宋体" w:hAnsi="宋体" w:eastAsia="宋体" w:cs="宋体"/>
                <w:snapToGrid w:val="0"/>
                <w:color w:val="000000"/>
                <w:kern w:val="0"/>
                <w:sz w:val="22"/>
                <w:szCs w:val="22"/>
                <w:highlight w:val="none"/>
                <w:lang w:val="en-US" w:eastAsia="zh-CN" w:bidi="ar-SA"/>
              </w:rPr>
              <w:t>3</w:t>
            </w:r>
            <w:r>
              <w:rPr>
                <w:rFonts w:hint="eastAsia" w:ascii="宋体" w:hAnsi="宋体" w:eastAsia="宋体" w:cs="宋体"/>
                <w:snapToGrid w:val="0"/>
                <w:color w:val="000000"/>
                <w:kern w:val="0"/>
                <w:sz w:val="22"/>
                <w:szCs w:val="22"/>
                <w:highlight w:val="none"/>
                <w:lang w:val="en-US" w:eastAsia="en-US" w:bidi="ar-SA"/>
              </w:rPr>
              <w:t>分；每增加1名具有心理咨询相关专业学历或相关职称证书的人员得1分，最多得</w:t>
            </w:r>
            <w:r>
              <w:rPr>
                <w:rFonts w:hint="eastAsia" w:ascii="宋体" w:hAnsi="宋体" w:eastAsia="宋体" w:cs="宋体"/>
                <w:snapToGrid w:val="0"/>
                <w:color w:val="000000"/>
                <w:kern w:val="0"/>
                <w:sz w:val="22"/>
                <w:szCs w:val="22"/>
                <w:highlight w:val="none"/>
                <w:lang w:val="en-US" w:eastAsia="zh-CN" w:bidi="ar-SA"/>
              </w:rPr>
              <w:t>3</w:t>
            </w:r>
            <w:r>
              <w:rPr>
                <w:rFonts w:hint="eastAsia" w:ascii="宋体" w:hAnsi="宋体" w:eastAsia="宋体" w:cs="宋体"/>
                <w:snapToGrid w:val="0"/>
                <w:color w:val="000000"/>
                <w:kern w:val="0"/>
                <w:sz w:val="22"/>
                <w:szCs w:val="22"/>
                <w:highlight w:val="none"/>
                <w:lang w:val="en-US" w:eastAsia="en-US" w:bidi="ar-SA"/>
              </w:rPr>
              <w:t>分。本项最高得</w:t>
            </w:r>
            <w:r>
              <w:rPr>
                <w:rFonts w:hint="eastAsia" w:ascii="宋体" w:hAnsi="宋体" w:eastAsia="宋体" w:cs="宋体"/>
                <w:snapToGrid w:val="0"/>
                <w:color w:val="000000"/>
                <w:kern w:val="0"/>
                <w:sz w:val="22"/>
                <w:szCs w:val="22"/>
                <w:highlight w:val="none"/>
                <w:lang w:val="en-US" w:eastAsia="zh-CN" w:bidi="ar-SA"/>
              </w:rPr>
              <w:t>6</w:t>
            </w:r>
            <w:r>
              <w:rPr>
                <w:rFonts w:hint="eastAsia" w:ascii="宋体" w:hAnsi="宋体" w:eastAsia="宋体" w:cs="宋体"/>
                <w:snapToGrid w:val="0"/>
                <w:color w:val="000000"/>
                <w:kern w:val="0"/>
                <w:sz w:val="22"/>
                <w:szCs w:val="22"/>
                <w:highlight w:val="none"/>
                <w:lang w:val="en-US" w:eastAsia="en-US" w:bidi="ar-SA"/>
              </w:rPr>
              <w:t>分。</w:t>
            </w:r>
          </w:p>
          <w:p w14:paraId="5EA5D9CA">
            <w:pPr>
              <w:pageBreakBefore w:val="0"/>
              <w:widowControl w:val="0"/>
              <w:kinsoku w:val="0"/>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2"/>
                <w:szCs w:val="22"/>
                <w:highlight w:val="none"/>
                <w:lang w:val="en-US" w:eastAsia="en-US" w:bidi="ar-SA"/>
              </w:rPr>
            </w:pPr>
            <w:r>
              <w:rPr>
                <w:rFonts w:hint="eastAsia" w:ascii="宋体" w:hAnsi="宋体" w:eastAsia="宋体" w:cs="宋体"/>
                <w:b/>
                <w:bCs/>
                <w:snapToGrid w:val="0"/>
                <w:color w:val="000000"/>
                <w:kern w:val="0"/>
                <w:sz w:val="22"/>
                <w:szCs w:val="22"/>
                <w:highlight w:val="none"/>
                <w:lang w:val="en-US" w:eastAsia="en-US" w:bidi="ar-SA"/>
              </w:rPr>
              <w:t>注：</w:t>
            </w:r>
            <w:r>
              <w:rPr>
                <w:rFonts w:hint="eastAsia" w:ascii="宋体" w:hAnsi="宋体" w:eastAsia="宋体" w:cs="宋体"/>
                <w:b/>
                <w:bCs/>
                <w:snapToGrid w:val="0"/>
                <w:color w:val="000000"/>
                <w:kern w:val="0"/>
                <w:sz w:val="22"/>
                <w:szCs w:val="22"/>
                <w:highlight w:val="none"/>
                <w:lang w:val="en-US" w:eastAsia="zh-CN" w:bidi="ar-SA"/>
              </w:rPr>
              <w:t>以上项目组成员提供相关证书及证明材料，项目负责人必须提供由本单位缴纳的2025年5月以来任意一个月社保缴纳证明</w:t>
            </w:r>
            <w:r>
              <w:rPr>
                <w:rFonts w:hint="eastAsia" w:ascii="宋体" w:hAnsi="宋体" w:eastAsia="宋体" w:cs="宋体"/>
                <w:b/>
                <w:bCs/>
                <w:snapToGrid w:val="0"/>
                <w:color w:val="000000"/>
                <w:kern w:val="0"/>
                <w:sz w:val="22"/>
                <w:szCs w:val="22"/>
                <w:highlight w:val="none"/>
                <w:lang w:val="en-US" w:eastAsia="en-US" w:bidi="ar-SA"/>
              </w:rPr>
              <w:t>（加盖社保中心章或社保中心参保缴费证明电子专用章）</w:t>
            </w:r>
            <w:r>
              <w:rPr>
                <w:rFonts w:hint="eastAsia" w:ascii="宋体" w:hAnsi="宋体" w:eastAsia="宋体" w:cs="宋体"/>
                <w:b/>
                <w:bCs/>
                <w:snapToGrid w:val="0"/>
                <w:color w:val="000000"/>
                <w:kern w:val="0"/>
                <w:sz w:val="22"/>
                <w:szCs w:val="22"/>
                <w:highlight w:val="none"/>
                <w:lang w:val="en-US" w:eastAsia="zh-CN" w:bidi="ar-SA"/>
              </w:rPr>
              <w:t>，其他成员提供有效的劳动合同，所有人员不得提供退休证明</w:t>
            </w:r>
            <w:r>
              <w:rPr>
                <w:rFonts w:hint="eastAsia" w:ascii="宋体" w:hAnsi="宋体" w:eastAsia="宋体" w:cs="宋体"/>
                <w:b/>
                <w:bCs/>
                <w:snapToGrid w:val="0"/>
                <w:color w:val="000000"/>
                <w:kern w:val="0"/>
                <w:sz w:val="22"/>
                <w:szCs w:val="22"/>
                <w:highlight w:val="none"/>
                <w:lang w:val="en-US" w:eastAsia="en-US" w:bidi="ar-SA"/>
              </w:rPr>
              <w:t>，未提供或提供不全不得分。</w:t>
            </w:r>
          </w:p>
        </w:tc>
      </w:tr>
      <w:tr w14:paraId="1FF80939">
        <w:tblPrEx>
          <w:tblCellMar>
            <w:top w:w="0" w:type="dxa"/>
            <w:left w:w="108" w:type="dxa"/>
            <w:bottom w:w="0" w:type="dxa"/>
            <w:right w:w="108" w:type="dxa"/>
          </w:tblCellMar>
        </w:tblPrEx>
        <w:trPr>
          <w:trHeight w:val="453" w:hRule="atLeast"/>
          <w:jc w:val="center"/>
        </w:trPr>
        <w:tc>
          <w:tcPr>
            <w:tcW w:w="1246" w:type="dxa"/>
            <w:tcBorders>
              <w:top w:val="single" w:color="000000" w:sz="4" w:space="0"/>
              <w:left w:val="single" w:color="000000" w:sz="4" w:space="0"/>
              <w:bottom w:val="single" w:color="000000" w:sz="4" w:space="0"/>
              <w:right w:val="single" w:color="000000" w:sz="4" w:space="0"/>
            </w:tcBorders>
            <w:vAlign w:val="center"/>
          </w:tcPr>
          <w:p w14:paraId="77F2E7AB">
            <w:pPr>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napToGrid/>
                <w:color w:val="000000"/>
                <w:kern w:val="0"/>
                <w:sz w:val="22"/>
                <w:szCs w:val="22"/>
                <w:lang w:eastAsia="en-US"/>
              </w:rPr>
            </w:pPr>
            <w:r>
              <w:rPr>
                <w:rFonts w:hint="eastAsia" w:ascii="宋体" w:hAnsi="宋体" w:eastAsia="宋体" w:cs="宋体"/>
                <w:snapToGrid/>
                <w:color w:val="000000"/>
                <w:kern w:val="0"/>
                <w:sz w:val="22"/>
                <w:szCs w:val="22"/>
                <w:lang w:eastAsia="en-US"/>
              </w:rPr>
              <w:t>服务场所</w:t>
            </w:r>
          </w:p>
        </w:tc>
        <w:tc>
          <w:tcPr>
            <w:tcW w:w="791" w:type="dxa"/>
            <w:tcBorders>
              <w:top w:val="single" w:color="000000" w:sz="4" w:space="0"/>
              <w:left w:val="nil"/>
              <w:bottom w:val="single" w:color="000000" w:sz="4" w:space="0"/>
              <w:right w:val="single" w:color="000000" w:sz="4" w:space="0"/>
            </w:tcBorders>
            <w:vAlign w:val="center"/>
          </w:tcPr>
          <w:p w14:paraId="59E77FFA">
            <w:pPr>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napToGrid/>
                <w:color w:val="000000"/>
                <w:kern w:val="0"/>
                <w:sz w:val="22"/>
                <w:szCs w:val="22"/>
                <w:lang w:val="en-US" w:eastAsia="zh-CN"/>
              </w:rPr>
            </w:pPr>
            <w:r>
              <w:rPr>
                <w:rFonts w:hint="eastAsia" w:ascii="宋体" w:hAnsi="宋体" w:eastAsia="宋体" w:cs="宋体"/>
                <w:snapToGrid/>
                <w:color w:val="000000"/>
                <w:kern w:val="0"/>
                <w:sz w:val="22"/>
                <w:szCs w:val="22"/>
                <w:lang w:val="en-US" w:eastAsia="zh-CN"/>
              </w:rPr>
              <w:t>22</w:t>
            </w:r>
            <w:r>
              <w:rPr>
                <w:rFonts w:hint="eastAsia" w:ascii="宋体" w:hAnsi="宋体" w:eastAsia="宋体" w:cs="宋体"/>
                <w:snapToGrid/>
                <w:color w:val="000000"/>
                <w:kern w:val="0"/>
                <w:sz w:val="22"/>
                <w:szCs w:val="22"/>
                <w:lang w:eastAsia="en-US"/>
              </w:rPr>
              <w:t>分</w:t>
            </w:r>
          </w:p>
        </w:tc>
        <w:tc>
          <w:tcPr>
            <w:tcW w:w="7963" w:type="dxa"/>
            <w:tcBorders>
              <w:top w:val="single" w:color="000000" w:sz="4" w:space="0"/>
              <w:left w:val="nil"/>
              <w:bottom w:val="single" w:color="000000" w:sz="4" w:space="0"/>
              <w:right w:val="single" w:color="000000" w:sz="4" w:space="0"/>
            </w:tcBorders>
            <w:vAlign w:val="center"/>
          </w:tcPr>
          <w:p w14:paraId="229598FE">
            <w:pPr>
              <w:pageBreakBefore w:val="0"/>
              <w:widowControl w:val="0"/>
              <w:numPr>
                <w:ilvl w:val="0"/>
                <w:numId w:val="4"/>
              </w:numPr>
              <w:kinsoku w:val="0"/>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2"/>
                <w:szCs w:val="22"/>
                <w:highlight w:val="none"/>
                <w:lang w:val="en-US" w:eastAsia="en-US" w:bidi="ar-SA"/>
              </w:rPr>
            </w:pPr>
            <w:r>
              <w:rPr>
                <w:rFonts w:hint="eastAsia" w:ascii="宋体" w:hAnsi="宋体" w:eastAsia="宋体" w:cs="宋体"/>
                <w:snapToGrid w:val="0"/>
                <w:color w:val="000000"/>
                <w:kern w:val="0"/>
                <w:sz w:val="22"/>
                <w:szCs w:val="22"/>
                <w:highlight w:val="none"/>
                <w:lang w:val="en-US" w:eastAsia="zh-CN" w:bidi="ar-SA"/>
              </w:rPr>
              <w:t>投标人</w:t>
            </w:r>
            <w:r>
              <w:rPr>
                <w:rFonts w:hint="eastAsia" w:ascii="宋体" w:hAnsi="宋体" w:eastAsia="宋体" w:cs="宋体"/>
                <w:snapToGrid w:val="0"/>
                <w:color w:val="000000"/>
                <w:kern w:val="0"/>
                <w:sz w:val="22"/>
                <w:szCs w:val="22"/>
                <w:highlight w:val="none"/>
                <w:lang w:val="en-US" w:eastAsia="en-US" w:bidi="ar-SA"/>
              </w:rPr>
              <w:t>有固定服务场所且承租协议</w:t>
            </w:r>
            <w:r>
              <w:rPr>
                <w:rFonts w:hint="eastAsia" w:ascii="宋体" w:hAnsi="宋体" w:eastAsia="宋体" w:cs="宋体"/>
                <w:snapToGrid w:val="0"/>
                <w:color w:val="000000"/>
                <w:kern w:val="0"/>
                <w:sz w:val="22"/>
                <w:szCs w:val="22"/>
                <w:highlight w:val="none"/>
                <w:lang w:val="en-US" w:eastAsia="zh-CN" w:bidi="ar-SA"/>
              </w:rPr>
              <w:t>3</w:t>
            </w:r>
            <w:r>
              <w:rPr>
                <w:rFonts w:hint="eastAsia" w:ascii="宋体" w:hAnsi="宋体" w:eastAsia="宋体" w:cs="宋体"/>
                <w:snapToGrid w:val="0"/>
                <w:color w:val="000000"/>
                <w:kern w:val="0"/>
                <w:sz w:val="22"/>
                <w:szCs w:val="22"/>
                <w:highlight w:val="none"/>
                <w:lang w:val="en-US" w:eastAsia="en-US" w:bidi="ar-SA"/>
              </w:rPr>
              <w:t>年及以上或自主拥有产权的得</w:t>
            </w:r>
            <w:r>
              <w:rPr>
                <w:rFonts w:hint="eastAsia" w:ascii="宋体" w:hAnsi="宋体" w:eastAsia="宋体" w:cs="宋体"/>
                <w:snapToGrid w:val="0"/>
                <w:color w:val="000000"/>
                <w:kern w:val="0"/>
                <w:sz w:val="22"/>
                <w:szCs w:val="22"/>
                <w:highlight w:val="none"/>
                <w:lang w:val="en-US" w:eastAsia="zh-CN" w:bidi="ar-SA"/>
              </w:rPr>
              <w:t>2</w:t>
            </w:r>
            <w:r>
              <w:rPr>
                <w:rFonts w:hint="eastAsia" w:ascii="宋体" w:hAnsi="宋体" w:eastAsia="宋体" w:cs="宋体"/>
                <w:snapToGrid w:val="0"/>
                <w:color w:val="000000"/>
                <w:kern w:val="0"/>
                <w:sz w:val="22"/>
                <w:szCs w:val="22"/>
                <w:highlight w:val="none"/>
                <w:lang w:val="en-US" w:eastAsia="en-US" w:bidi="ar-SA"/>
              </w:rPr>
              <w:t>分，承租协议</w:t>
            </w:r>
            <w:r>
              <w:rPr>
                <w:rFonts w:hint="eastAsia" w:ascii="宋体" w:hAnsi="宋体" w:eastAsia="宋体" w:cs="宋体"/>
                <w:snapToGrid w:val="0"/>
                <w:color w:val="000000"/>
                <w:kern w:val="0"/>
                <w:sz w:val="22"/>
                <w:szCs w:val="22"/>
                <w:highlight w:val="none"/>
                <w:lang w:val="en-US" w:eastAsia="zh-CN" w:bidi="ar-SA"/>
              </w:rPr>
              <w:t>1</w:t>
            </w:r>
            <w:r>
              <w:rPr>
                <w:rFonts w:hint="eastAsia" w:ascii="宋体" w:hAnsi="宋体" w:eastAsia="宋体" w:cs="宋体"/>
                <w:snapToGrid w:val="0"/>
                <w:color w:val="000000"/>
                <w:kern w:val="0"/>
                <w:sz w:val="22"/>
                <w:szCs w:val="22"/>
                <w:highlight w:val="none"/>
                <w:lang w:val="en-US" w:eastAsia="en-US" w:bidi="ar-SA"/>
              </w:rPr>
              <w:t>年及以上得</w:t>
            </w:r>
            <w:r>
              <w:rPr>
                <w:rFonts w:hint="eastAsia" w:ascii="宋体" w:hAnsi="宋体" w:eastAsia="宋体" w:cs="宋体"/>
                <w:snapToGrid w:val="0"/>
                <w:color w:val="000000"/>
                <w:kern w:val="0"/>
                <w:sz w:val="22"/>
                <w:szCs w:val="22"/>
                <w:highlight w:val="none"/>
                <w:lang w:val="en-US" w:eastAsia="zh-CN" w:bidi="ar-SA"/>
              </w:rPr>
              <w:t>1</w:t>
            </w:r>
            <w:r>
              <w:rPr>
                <w:rFonts w:hint="eastAsia" w:ascii="宋体" w:hAnsi="宋体" w:eastAsia="宋体" w:cs="宋体"/>
                <w:snapToGrid w:val="0"/>
                <w:color w:val="000000"/>
                <w:kern w:val="0"/>
                <w:sz w:val="22"/>
                <w:szCs w:val="22"/>
                <w:highlight w:val="none"/>
                <w:lang w:val="en-US" w:eastAsia="en-US" w:bidi="ar-SA"/>
              </w:rPr>
              <w:t>分，本项最高得</w:t>
            </w:r>
            <w:r>
              <w:rPr>
                <w:rFonts w:hint="eastAsia" w:ascii="宋体" w:hAnsi="宋体" w:eastAsia="宋体" w:cs="宋体"/>
                <w:snapToGrid w:val="0"/>
                <w:color w:val="000000"/>
                <w:kern w:val="0"/>
                <w:sz w:val="22"/>
                <w:szCs w:val="22"/>
                <w:highlight w:val="none"/>
                <w:lang w:val="en-US" w:eastAsia="zh-CN" w:bidi="ar-SA"/>
              </w:rPr>
              <w:t>2</w:t>
            </w:r>
            <w:r>
              <w:rPr>
                <w:rFonts w:hint="eastAsia" w:ascii="宋体" w:hAnsi="宋体" w:eastAsia="宋体" w:cs="宋体"/>
                <w:snapToGrid w:val="0"/>
                <w:color w:val="000000"/>
                <w:kern w:val="0"/>
                <w:sz w:val="22"/>
                <w:szCs w:val="22"/>
                <w:highlight w:val="none"/>
                <w:lang w:val="en-US" w:eastAsia="en-US" w:bidi="ar-SA"/>
              </w:rPr>
              <w:t>分；</w:t>
            </w:r>
          </w:p>
          <w:p w14:paraId="0A7957E2">
            <w:pPr>
              <w:pageBreakBefore w:val="0"/>
              <w:widowControl w:val="0"/>
              <w:numPr>
                <w:ilvl w:val="0"/>
                <w:numId w:val="4"/>
              </w:numPr>
              <w:kinsoku w:val="0"/>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2"/>
                <w:szCs w:val="22"/>
                <w:highlight w:val="none"/>
                <w:lang w:val="en-US" w:eastAsia="en-US" w:bidi="ar-SA"/>
              </w:rPr>
            </w:pPr>
            <w:r>
              <w:rPr>
                <w:rFonts w:hint="eastAsia" w:ascii="宋体" w:hAnsi="宋体" w:eastAsia="宋体" w:cs="宋体"/>
                <w:snapToGrid w:val="0"/>
                <w:color w:val="000000"/>
                <w:kern w:val="0"/>
                <w:sz w:val="22"/>
                <w:szCs w:val="22"/>
                <w:highlight w:val="none"/>
                <w:lang w:val="en-US" w:eastAsia="en-US" w:bidi="ar-SA"/>
              </w:rPr>
              <w:t>服务场所</w:t>
            </w:r>
            <w:r>
              <w:rPr>
                <w:rFonts w:hint="eastAsia" w:ascii="宋体" w:hAnsi="宋体" w:eastAsia="宋体" w:cs="宋体"/>
                <w:snapToGrid w:val="0"/>
                <w:color w:val="000000"/>
                <w:kern w:val="0"/>
                <w:sz w:val="22"/>
                <w:szCs w:val="22"/>
                <w:highlight w:val="none"/>
                <w:lang w:val="en-US" w:eastAsia="zh-CN" w:bidi="ar-SA"/>
              </w:rPr>
              <w:t>单人间≥10㎡，双人间≥15㎡，三人间≥20㎡，户外活动场所≥250㎡（人均≥5㎡）</w:t>
            </w:r>
            <w:r>
              <w:rPr>
                <w:rFonts w:hint="eastAsia" w:ascii="宋体" w:hAnsi="宋体" w:eastAsia="宋体" w:cs="宋体"/>
                <w:snapToGrid w:val="0"/>
                <w:color w:val="000000"/>
                <w:kern w:val="0"/>
                <w:sz w:val="22"/>
                <w:szCs w:val="22"/>
                <w:highlight w:val="none"/>
                <w:lang w:val="en-US" w:eastAsia="en-US" w:bidi="ar-SA"/>
              </w:rPr>
              <w:t>得</w:t>
            </w:r>
            <w:r>
              <w:rPr>
                <w:rFonts w:hint="eastAsia" w:ascii="宋体" w:hAnsi="宋体" w:eastAsia="宋体" w:cs="宋体"/>
                <w:snapToGrid w:val="0"/>
                <w:color w:val="000000"/>
                <w:kern w:val="0"/>
                <w:sz w:val="22"/>
                <w:szCs w:val="22"/>
                <w:highlight w:val="none"/>
                <w:lang w:val="en-US" w:eastAsia="zh-CN" w:bidi="ar-SA"/>
              </w:rPr>
              <w:t>3</w:t>
            </w:r>
            <w:r>
              <w:rPr>
                <w:rFonts w:hint="eastAsia" w:ascii="宋体" w:hAnsi="宋体" w:eastAsia="宋体" w:cs="宋体"/>
                <w:snapToGrid w:val="0"/>
                <w:color w:val="000000"/>
                <w:kern w:val="0"/>
                <w:sz w:val="22"/>
                <w:szCs w:val="22"/>
                <w:highlight w:val="none"/>
                <w:lang w:val="en-US" w:eastAsia="en-US" w:bidi="ar-SA"/>
              </w:rPr>
              <w:t>分</w:t>
            </w:r>
            <w:r>
              <w:rPr>
                <w:rFonts w:hint="eastAsia" w:ascii="宋体" w:hAnsi="宋体" w:eastAsia="宋体" w:cs="宋体"/>
                <w:snapToGrid w:val="0"/>
                <w:color w:val="000000"/>
                <w:kern w:val="0"/>
                <w:sz w:val="22"/>
                <w:szCs w:val="22"/>
                <w:highlight w:val="none"/>
                <w:lang w:val="en-US" w:eastAsia="zh-CN" w:bidi="ar-SA"/>
              </w:rPr>
              <w:t>，</w:t>
            </w:r>
            <w:r>
              <w:rPr>
                <w:rFonts w:hint="eastAsia" w:ascii="宋体" w:hAnsi="宋体" w:eastAsia="宋体" w:cs="宋体"/>
                <w:snapToGrid w:val="0"/>
                <w:color w:val="000000"/>
                <w:kern w:val="0"/>
                <w:sz w:val="22"/>
                <w:szCs w:val="22"/>
                <w:highlight w:val="none"/>
                <w:lang w:val="en-US" w:eastAsia="en-US" w:bidi="ar-SA"/>
              </w:rPr>
              <w:t>本项最高得</w:t>
            </w:r>
            <w:r>
              <w:rPr>
                <w:rFonts w:hint="eastAsia" w:ascii="宋体" w:hAnsi="宋体" w:eastAsia="宋体" w:cs="宋体"/>
                <w:snapToGrid w:val="0"/>
                <w:color w:val="000000"/>
                <w:kern w:val="0"/>
                <w:sz w:val="22"/>
                <w:szCs w:val="22"/>
                <w:highlight w:val="none"/>
                <w:lang w:val="en-US" w:eastAsia="zh-CN" w:bidi="ar-SA"/>
              </w:rPr>
              <w:t>3</w:t>
            </w:r>
            <w:r>
              <w:rPr>
                <w:rFonts w:hint="eastAsia" w:ascii="宋体" w:hAnsi="宋体" w:eastAsia="宋体" w:cs="宋体"/>
                <w:snapToGrid w:val="0"/>
                <w:color w:val="000000"/>
                <w:kern w:val="0"/>
                <w:sz w:val="22"/>
                <w:szCs w:val="22"/>
                <w:highlight w:val="none"/>
                <w:lang w:val="en-US" w:eastAsia="en-US" w:bidi="ar-SA"/>
              </w:rPr>
              <w:t>分；</w:t>
            </w:r>
            <w:r>
              <w:rPr>
                <w:rFonts w:hint="eastAsia" w:ascii="宋体" w:hAnsi="宋体" w:eastAsia="宋体" w:cs="宋体"/>
                <w:snapToGrid w:val="0"/>
                <w:color w:val="000000"/>
                <w:kern w:val="0"/>
                <w:sz w:val="22"/>
                <w:szCs w:val="22"/>
                <w:highlight w:val="none"/>
                <w:lang w:val="en-US" w:eastAsia="zh-CN" w:bidi="ar-SA"/>
              </w:rPr>
              <w:t xml:space="preserve"> </w:t>
            </w:r>
          </w:p>
          <w:p w14:paraId="3637D637">
            <w:pPr>
              <w:pageBreakBefore w:val="0"/>
              <w:widowControl w:val="0"/>
              <w:numPr>
                <w:ilvl w:val="0"/>
                <w:numId w:val="4"/>
              </w:numPr>
              <w:kinsoku w:val="0"/>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2"/>
                <w:szCs w:val="22"/>
                <w:highlight w:val="none"/>
                <w:lang w:val="en-US" w:eastAsia="en-US" w:bidi="ar-SA"/>
              </w:rPr>
            </w:pPr>
            <w:r>
              <w:rPr>
                <w:rFonts w:hint="eastAsia" w:ascii="宋体" w:hAnsi="宋体" w:eastAsia="宋体" w:cs="宋体"/>
                <w:snapToGrid w:val="0"/>
                <w:color w:val="000000"/>
                <w:kern w:val="0"/>
                <w:sz w:val="22"/>
                <w:szCs w:val="22"/>
                <w:highlight w:val="none"/>
                <w:lang w:val="en-US" w:eastAsia="en-US" w:bidi="ar-SA"/>
              </w:rPr>
              <w:t>开放床位</w:t>
            </w:r>
            <w:r>
              <w:rPr>
                <w:rFonts w:hint="eastAsia" w:ascii="宋体" w:hAnsi="宋体" w:eastAsia="宋体" w:cs="宋体"/>
                <w:snapToGrid w:val="0"/>
                <w:color w:val="000000"/>
                <w:kern w:val="0"/>
                <w:sz w:val="22"/>
                <w:szCs w:val="22"/>
                <w:highlight w:val="none"/>
                <w:lang w:val="en-US" w:eastAsia="zh-CN" w:bidi="ar-SA"/>
              </w:rPr>
              <w:t>满足托养人数需求的得1分，</w:t>
            </w:r>
            <w:r>
              <w:rPr>
                <w:rFonts w:hint="eastAsia" w:ascii="宋体" w:hAnsi="宋体" w:eastAsia="宋体" w:cs="宋体"/>
                <w:snapToGrid w:val="0"/>
                <w:color w:val="000000"/>
                <w:kern w:val="0"/>
                <w:sz w:val="22"/>
                <w:szCs w:val="22"/>
                <w:highlight w:val="none"/>
                <w:lang w:val="en-US" w:eastAsia="en-US" w:bidi="ar-SA"/>
              </w:rPr>
              <w:t>本项最高得</w:t>
            </w:r>
            <w:r>
              <w:rPr>
                <w:rFonts w:hint="eastAsia" w:ascii="宋体" w:hAnsi="宋体" w:eastAsia="宋体" w:cs="宋体"/>
                <w:snapToGrid w:val="0"/>
                <w:color w:val="000000"/>
                <w:kern w:val="0"/>
                <w:sz w:val="22"/>
                <w:szCs w:val="22"/>
                <w:highlight w:val="none"/>
                <w:lang w:val="en-US" w:eastAsia="zh-CN" w:bidi="ar-SA"/>
              </w:rPr>
              <w:t>1</w:t>
            </w:r>
            <w:r>
              <w:rPr>
                <w:rFonts w:hint="eastAsia" w:ascii="宋体" w:hAnsi="宋体" w:eastAsia="宋体" w:cs="宋体"/>
                <w:snapToGrid w:val="0"/>
                <w:color w:val="000000"/>
                <w:kern w:val="0"/>
                <w:sz w:val="22"/>
                <w:szCs w:val="22"/>
                <w:highlight w:val="none"/>
                <w:lang w:val="en-US" w:eastAsia="en-US" w:bidi="ar-SA"/>
              </w:rPr>
              <w:t>分；</w:t>
            </w:r>
          </w:p>
          <w:p w14:paraId="4563DC55">
            <w:pPr>
              <w:pageBreakBefore w:val="0"/>
              <w:widowControl w:val="0"/>
              <w:numPr>
                <w:ilvl w:val="0"/>
                <w:numId w:val="4"/>
              </w:numPr>
              <w:kinsoku w:val="0"/>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val="0"/>
                <w:color w:val="000000"/>
                <w:kern w:val="0"/>
                <w:sz w:val="22"/>
                <w:szCs w:val="22"/>
                <w:highlight w:val="none"/>
                <w:lang w:val="en-US" w:eastAsia="zh-CN" w:bidi="ar-SA"/>
              </w:rPr>
              <w:t>固定服务场所设有日常起居康复训练、学习培训、文体活动、卫生医疗室、心理咨询、餐厅等基本功能用房并配备相应设施器材的每一项</w:t>
            </w:r>
            <w:r>
              <w:rPr>
                <w:rFonts w:hint="eastAsia" w:ascii="宋体" w:hAnsi="宋体" w:eastAsia="宋体" w:cs="宋体"/>
                <w:snapToGrid w:val="0"/>
                <w:color w:val="000000"/>
                <w:kern w:val="0"/>
                <w:sz w:val="22"/>
                <w:szCs w:val="22"/>
                <w:highlight w:val="none"/>
                <w:lang w:val="en-US" w:eastAsia="en-US" w:bidi="ar-SA"/>
              </w:rPr>
              <w:t>得</w:t>
            </w:r>
            <w:r>
              <w:rPr>
                <w:rFonts w:hint="eastAsia" w:ascii="宋体" w:hAnsi="宋体" w:eastAsia="宋体" w:cs="宋体"/>
                <w:snapToGrid w:val="0"/>
                <w:color w:val="000000"/>
                <w:kern w:val="0"/>
                <w:sz w:val="22"/>
                <w:szCs w:val="22"/>
                <w:highlight w:val="none"/>
                <w:lang w:val="en-US" w:eastAsia="zh-CN" w:bidi="ar-SA"/>
              </w:rPr>
              <w:t>1</w:t>
            </w:r>
            <w:r>
              <w:rPr>
                <w:rFonts w:hint="eastAsia" w:ascii="宋体" w:hAnsi="宋体" w:eastAsia="宋体" w:cs="宋体"/>
                <w:snapToGrid w:val="0"/>
                <w:color w:val="000000"/>
                <w:kern w:val="0"/>
                <w:sz w:val="22"/>
                <w:szCs w:val="22"/>
                <w:highlight w:val="none"/>
                <w:lang w:val="en-US" w:eastAsia="en-US" w:bidi="ar-SA"/>
              </w:rPr>
              <w:t>分，</w:t>
            </w:r>
            <w:r>
              <w:rPr>
                <w:rFonts w:hint="eastAsia" w:ascii="宋体" w:hAnsi="宋体" w:eastAsia="宋体" w:cs="宋体"/>
                <w:snapToGrid w:val="0"/>
                <w:color w:val="000000"/>
                <w:kern w:val="0"/>
                <w:sz w:val="22"/>
                <w:szCs w:val="22"/>
                <w:highlight w:val="none"/>
                <w:lang w:val="en-US" w:eastAsia="zh-CN" w:bidi="ar-SA"/>
              </w:rPr>
              <w:t>全部符合得8分，</w:t>
            </w:r>
            <w:r>
              <w:rPr>
                <w:rFonts w:hint="eastAsia" w:ascii="宋体" w:hAnsi="宋体" w:eastAsia="宋体" w:cs="宋体"/>
                <w:snapToGrid w:val="0"/>
                <w:color w:val="000000"/>
                <w:kern w:val="0"/>
                <w:sz w:val="22"/>
                <w:szCs w:val="22"/>
                <w:highlight w:val="none"/>
                <w:lang w:val="en-US" w:eastAsia="en-US" w:bidi="ar-SA"/>
              </w:rPr>
              <w:t>本项最高</w:t>
            </w:r>
            <w:r>
              <w:rPr>
                <w:rFonts w:hint="eastAsia" w:ascii="宋体" w:hAnsi="宋体" w:eastAsia="宋体" w:cs="宋体"/>
                <w:snapToGrid w:val="0"/>
                <w:color w:val="000000"/>
                <w:kern w:val="0"/>
                <w:sz w:val="22"/>
                <w:szCs w:val="22"/>
                <w:highlight w:val="none"/>
                <w:lang w:val="en-US" w:eastAsia="zh-CN" w:bidi="ar-SA"/>
              </w:rPr>
              <w:t>8</w:t>
            </w:r>
            <w:r>
              <w:rPr>
                <w:rFonts w:hint="eastAsia" w:ascii="宋体" w:hAnsi="宋体" w:eastAsia="宋体" w:cs="宋体"/>
                <w:snapToGrid w:val="0"/>
                <w:color w:val="000000"/>
                <w:kern w:val="0"/>
                <w:sz w:val="22"/>
                <w:szCs w:val="22"/>
                <w:highlight w:val="none"/>
                <w:lang w:val="en-US" w:eastAsia="en-US" w:bidi="ar-SA"/>
              </w:rPr>
              <w:t>分；</w:t>
            </w:r>
          </w:p>
          <w:p w14:paraId="67D5A6FC">
            <w:pPr>
              <w:pageBreakBefore w:val="0"/>
              <w:widowControl w:val="0"/>
              <w:numPr>
                <w:ilvl w:val="0"/>
                <w:numId w:val="4"/>
              </w:numPr>
              <w:kinsoku w:val="0"/>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val="0"/>
                <w:color w:val="000000"/>
                <w:kern w:val="0"/>
                <w:sz w:val="22"/>
                <w:szCs w:val="22"/>
                <w:highlight w:val="none"/>
                <w:lang w:val="en-US" w:eastAsia="zh-CN" w:bidi="ar-SA"/>
              </w:rPr>
              <w:t>设施环境符合要求，配置取暖降温设施，托养人员房间和卫生间，设置紧急呼叫设备的得2分；配置急救药箱、辅助诊断医疗器械等基础医疗诊断设施的得2分；设置康复器械、运动器械、图书报刊、电视机、计算机和互联网设备的、文体娱乐设备每一项得0.5分，最高得3分；环境整洁，卫生间有安全防护措施，符合无障碍建设要求的得1分，</w:t>
            </w:r>
            <w:r>
              <w:rPr>
                <w:rFonts w:hint="eastAsia" w:ascii="宋体" w:hAnsi="宋体" w:eastAsia="宋体" w:cs="宋体"/>
                <w:snapToGrid w:val="0"/>
                <w:color w:val="000000"/>
                <w:kern w:val="0"/>
                <w:sz w:val="22"/>
                <w:szCs w:val="22"/>
                <w:highlight w:val="none"/>
                <w:lang w:val="en-US" w:eastAsia="en-US" w:bidi="ar-SA"/>
              </w:rPr>
              <w:t>本项最高</w:t>
            </w:r>
            <w:r>
              <w:rPr>
                <w:rFonts w:hint="eastAsia" w:ascii="宋体" w:hAnsi="宋体" w:eastAsia="宋体" w:cs="宋体"/>
                <w:snapToGrid w:val="0"/>
                <w:color w:val="000000"/>
                <w:kern w:val="0"/>
                <w:sz w:val="22"/>
                <w:szCs w:val="22"/>
                <w:highlight w:val="none"/>
                <w:lang w:val="en-US" w:eastAsia="zh-CN" w:bidi="ar-SA"/>
              </w:rPr>
              <w:t>8</w:t>
            </w:r>
            <w:r>
              <w:rPr>
                <w:rFonts w:hint="eastAsia" w:ascii="宋体" w:hAnsi="宋体" w:eastAsia="宋体" w:cs="宋体"/>
                <w:snapToGrid w:val="0"/>
                <w:color w:val="000000"/>
                <w:kern w:val="0"/>
                <w:sz w:val="22"/>
                <w:szCs w:val="22"/>
                <w:highlight w:val="none"/>
                <w:lang w:val="en-US" w:eastAsia="en-US" w:bidi="ar-SA"/>
              </w:rPr>
              <w:t>分</w:t>
            </w:r>
            <w:r>
              <w:rPr>
                <w:rFonts w:hint="eastAsia" w:ascii="宋体" w:hAnsi="宋体" w:eastAsia="宋体" w:cs="宋体"/>
                <w:snapToGrid w:val="0"/>
                <w:color w:val="000000"/>
                <w:kern w:val="0"/>
                <w:sz w:val="22"/>
                <w:szCs w:val="22"/>
                <w:highlight w:val="none"/>
                <w:lang w:val="en-US" w:eastAsia="zh-CN" w:bidi="ar-SA"/>
              </w:rPr>
              <w:t>。</w:t>
            </w:r>
          </w:p>
          <w:p w14:paraId="53E13369">
            <w:pPr>
              <w:pageBreakBefore w:val="0"/>
              <w:widowControl w:val="0"/>
              <w:kinsoku w:val="0"/>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2"/>
                <w:szCs w:val="22"/>
                <w:highlight w:val="none"/>
                <w:lang w:val="en-US" w:eastAsia="en-US" w:bidi="ar-SA"/>
              </w:rPr>
            </w:pPr>
            <w:r>
              <w:rPr>
                <w:rFonts w:hint="eastAsia" w:ascii="宋体" w:hAnsi="宋体" w:eastAsia="宋体" w:cs="宋体"/>
                <w:b/>
                <w:bCs/>
                <w:snapToGrid w:val="0"/>
                <w:color w:val="000000"/>
                <w:kern w:val="0"/>
                <w:sz w:val="22"/>
                <w:szCs w:val="22"/>
                <w:highlight w:val="none"/>
                <w:lang w:val="en-US" w:eastAsia="en-US" w:bidi="ar-SA"/>
              </w:rPr>
              <w:t>注：</w:t>
            </w:r>
            <w:r>
              <w:rPr>
                <w:rFonts w:hint="eastAsia" w:ascii="宋体" w:hAnsi="宋体" w:eastAsia="宋体" w:cs="宋体"/>
                <w:b/>
                <w:bCs/>
                <w:snapToGrid w:val="0"/>
                <w:color w:val="000000"/>
                <w:kern w:val="0"/>
                <w:sz w:val="22"/>
                <w:szCs w:val="22"/>
                <w:highlight w:val="none"/>
                <w:lang w:val="en-US" w:eastAsia="zh-CN" w:bidi="ar-SA"/>
              </w:rPr>
              <w:t>投标人</w:t>
            </w:r>
            <w:r>
              <w:rPr>
                <w:rFonts w:hint="eastAsia" w:ascii="宋体" w:hAnsi="宋体" w:eastAsia="宋体" w:cs="宋体"/>
                <w:b/>
                <w:bCs/>
                <w:snapToGrid w:val="0"/>
                <w:color w:val="000000"/>
                <w:kern w:val="0"/>
                <w:sz w:val="22"/>
                <w:szCs w:val="22"/>
                <w:highlight w:val="none"/>
                <w:lang w:val="en-US" w:eastAsia="en-US" w:bidi="ar-SA"/>
              </w:rPr>
              <w:t>需在</w:t>
            </w:r>
            <w:r>
              <w:rPr>
                <w:rFonts w:hint="eastAsia" w:ascii="宋体" w:hAnsi="宋体" w:eastAsia="宋体" w:cs="宋体"/>
                <w:b/>
                <w:bCs/>
                <w:snapToGrid w:val="0"/>
                <w:color w:val="000000"/>
                <w:kern w:val="0"/>
                <w:sz w:val="22"/>
                <w:szCs w:val="22"/>
                <w:highlight w:val="none"/>
                <w:lang w:val="en-US" w:eastAsia="zh-CN" w:bidi="ar-SA"/>
              </w:rPr>
              <w:t>投标</w:t>
            </w:r>
            <w:r>
              <w:rPr>
                <w:rFonts w:hint="eastAsia" w:ascii="宋体" w:hAnsi="宋体" w:eastAsia="宋体" w:cs="宋体"/>
                <w:b/>
                <w:bCs/>
                <w:snapToGrid w:val="0"/>
                <w:color w:val="000000"/>
                <w:kern w:val="0"/>
                <w:sz w:val="22"/>
                <w:szCs w:val="22"/>
                <w:highlight w:val="none"/>
                <w:lang w:val="en-US" w:eastAsia="en-US" w:bidi="ar-SA"/>
              </w:rPr>
              <w:t>文件中上传有效的承租协议原件扫描件及服务场所面积、开放床位</w:t>
            </w:r>
            <w:r>
              <w:rPr>
                <w:rFonts w:hint="eastAsia" w:ascii="宋体" w:hAnsi="宋体" w:eastAsia="宋体" w:cs="宋体"/>
                <w:b/>
                <w:bCs/>
                <w:snapToGrid w:val="0"/>
                <w:color w:val="000000"/>
                <w:kern w:val="0"/>
                <w:sz w:val="22"/>
                <w:szCs w:val="22"/>
                <w:highlight w:val="none"/>
                <w:lang w:val="en-US" w:eastAsia="zh-CN" w:bidi="ar-SA"/>
              </w:rPr>
              <w:t>、固定服务场所</w:t>
            </w:r>
            <w:r>
              <w:rPr>
                <w:rFonts w:hint="eastAsia" w:ascii="宋体" w:hAnsi="宋体" w:eastAsia="宋体" w:cs="宋体"/>
                <w:b/>
                <w:bCs/>
                <w:snapToGrid w:val="0"/>
                <w:color w:val="000000"/>
                <w:kern w:val="0"/>
                <w:sz w:val="22"/>
                <w:szCs w:val="22"/>
                <w:highlight w:val="none"/>
                <w:lang w:val="en-US" w:eastAsia="en-US" w:bidi="ar-SA"/>
              </w:rPr>
              <w:t>等相关证明材料（包括但不限于照片、产权证书、设备购买发票等材料），未提供或提供不全不得分。</w:t>
            </w:r>
          </w:p>
        </w:tc>
      </w:tr>
    </w:tbl>
    <w:p w14:paraId="3553FB3F">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Cs w:val="21"/>
          <w:lang w:eastAsia="en-US"/>
        </w:rPr>
      </w:pPr>
    </w:p>
    <w:p w14:paraId="0569085F">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Cs w:val="21"/>
          <w:lang w:eastAsia="en-US"/>
        </w:rPr>
      </w:pPr>
    </w:p>
    <w:p w14:paraId="12E572AF">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Cs w:val="21"/>
          <w:lang w:eastAsia="en-US"/>
        </w:rPr>
      </w:pPr>
    </w:p>
    <w:p w14:paraId="3EA20E8C">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Cs w:val="21"/>
          <w:lang w:eastAsia="en-US"/>
        </w:rPr>
      </w:pPr>
    </w:p>
    <w:p w14:paraId="2A6DECFD">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Cs w:val="21"/>
          <w:lang w:eastAsia="en-US"/>
        </w:rPr>
      </w:pPr>
    </w:p>
    <w:p w14:paraId="0EA1C7E2">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Cs w:val="21"/>
          <w:lang w:eastAsia="en-US"/>
        </w:rPr>
      </w:pPr>
    </w:p>
    <w:p w14:paraId="630F8EC4">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Cs w:val="21"/>
          <w:lang w:eastAsia="en-US"/>
        </w:rPr>
      </w:pPr>
    </w:p>
    <w:p w14:paraId="5A443F31">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Cs w:val="21"/>
          <w:lang w:eastAsia="en-US"/>
        </w:rPr>
      </w:pPr>
    </w:p>
    <w:p w14:paraId="23C20EBD">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Cs w:val="21"/>
          <w:lang w:eastAsia="en-US"/>
        </w:rPr>
      </w:pPr>
    </w:p>
    <w:p w14:paraId="0BCC8A33">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Cs w:val="21"/>
          <w:lang w:eastAsia="en-US"/>
        </w:rPr>
      </w:pPr>
    </w:p>
    <w:p w14:paraId="017EC3A3">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Cs w:val="21"/>
          <w:lang w:eastAsia="en-US"/>
        </w:rPr>
      </w:pPr>
    </w:p>
    <w:p w14:paraId="4D379B32">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Cs w:val="21"/>
          <w:lang w:eastAsia="en-US"/>
        </w:rPr>
      </w:pPr>
    </w:p>
    <w:p w14:paraId="4818B785">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Cs w:val="21"/>
          <w:lang w:eastAsia="en-US"/>
        </w:rPr>
      </w:pPr>
    </w:p>
    <w:p w14:paraId="7636B865">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Cs w:val="21"/>
          <w:lang w:eastAsia="en-US"/>
        </w:rPr>
      </w:pPr>
    </w:p>
    <w:p w14:paraId="5D288885">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Cs w:val="21"/>
          <w:lang w:eastAsia="en-US"/>
        </w:rPr>
      </w:pPr>
    </w:p>
    <w:p w14:paraId="3E1272AB">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Cs w:val="21"/>
          <w:lang w:eastAsia="en-US"/>
        </w:rPr>
      </w:pPr>
    </w:p>
    <w:p w14:paraId="5BCAEF76">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Cs w:val="21"/>
          <w:lang w:eastAsia="en-US"/>
        </w:rPr>
      </w:pPr>
    </w:p>
    <w:p w14:paraId="6DE418A2">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Cs w:val="21"/>
          <w:lang w:eastAsia="en-US"/>
        </w:rPr>
      </w:pPr>
    </w:p>
    <w:p w14:paraId="5EA7C52F">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Cs w:val="21"/>
          <w:lang w:eastAsia="en-US"/>
        </w:rPr>
      </w:pPr>
    </w:p>
    <w:p w14:paraId="722A4793">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Cs w:val="21"/>
          <w:lang w:eastAsia="en-US"/>
        </w:rPr>
      </w:pPr>
    </w:p>
    <w:p w14:paraId="19B02776">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Cs w:val="21"/>
          <w:lang w:eastAsia="en-US"/>
        </w:rPr>
      </w:pPr>
    </w:p>
    <w:p w14:paraId="27A3EAFC">
      <w:pPr>
        <w:pStyle w:val="182"/>
        <w:pageBreakBefore w:val="0"/>
        <w:wordWrap/>
        <w:overflowPunct/>
        <w:topLinePunct w:val="0"/>
        <w:bidi w:val="0"/>
        <w:spacing w:before="156" w:after="156" w:line="360" w:lineRule="auto"/>
        <w:jc w:val="center"/>
        <w:rPr>
          <w:rFonts w:hint="eastAsia" w:ascii="宋体" w:hAnsi="宋体" w:eastAsia="宋体" w:cs="宋体"/>
          <w:b w:val="0"/>
          <w:color w:val="000000"/>
        </w:rPr>
      </w:pPr>
      <w:bookmarkStart w:id="7" w:name="_Toc155796361"/>
      <w:r>
        <w:rPr>
          <w:rFonts w:hint="eastAsia" w:ascii="宋体" w:hAnsi="宋体" w:eastAsia="宋体" w:cs="宋体"/>
          <w:b w:val="0"/>
          <w:color w:val="000000"/>
        </w:rPr>
        <w:t>第六章  投标文件格式</w:t>
      </w:r>
      <w:bookmarkEnd w:id="7"/>
    </w:p>
    <w:p w14:paraId="4ABF1366">
      <w:pPr>
        <w:pageBreakBefore w:val="0"/>
        <w:wordWrap/>
        <w:overflowPunct/>
        <w:topLinePunct w:val="0"/>
        <w:bidi w:val="0"/>
        <w:spacing w:line="360" w:lineRule="auto"/>
        <w:jc w:val="left"/>
        <w:rPr>
          <w:rFonts w:hint="eastAsia" w:ascii="宋体" w:hAnsi="宋体" w:eastAsia="宋体" w:cs="宋体"/>
          <w:color w:val="000000"/>
          <w:sz w:val="24"/>
          <w:szCs w:val="24"/>
        </w:rPr>
      </w:pPr>
    </w:p>
    <w:p w14:paraId="77C6E6A1">
      <w:pPr>
        <w:pageBreakBefore w:val="0"/>
        <w:wordWrap/>
        <w:overflowPunct/>
        <w:topLinePunct w:val="0"/>
        <w:bidi w:val="0"/>
        <w:spacing w:line="360" w:lineRule="auto"/>
        <w:jc w:val="center"/>
        <w:rPr>
          <w:rFonts w:hint="eastAsia" w:ascii="宋体" w:hAnsi="宋体" w:eastAsia="宋体" w:cs="宋体"/>
          <w:b/>
          <w:color w:val="000000"/>
          <w:sz w:val="72"/>
          <w:szCs w:val="21"/>
        </w:rPr>
      </w:pPr>
    </w:p>
    <w:p w14:paraId="10AD6D84">
      <w:pPr>
        <w:pageBreakBefore w:val="0"/>
        <w:wordWrap/>
        <w:overflowPunct/>
        <w:topLinePunct w:val="0"/>
        <w:bidi w:val="0"/>
        <w:spacing w:line="360" w:lineRule="auto"/>
        <w:jc w:val="center"/>
        <w:rPr>
          <w:rFonts w:hint="eastAsia" w:ascii="宋体" w:hAnsi="宋体" w:eastAsia="宋体" w:cs="宋体"/>
          <w:b/>
          <w:color w:val="000000"/>
          <w:sz w:val="72"/>
          <w:szCs w:val="21"/>
        </w:rPr>
      </w:pPr>
      <w:r>
        <w:rPr>
          <w:rFonts w:hint="eastAsia" w:ascii="宋体" w:hAnsi="宋体" w:eastAsia="宋体" w:cs="宋体"/>
          <w:b/>
          <w:color w:val="000000"/>
          <w:sz w:val="72"/>
          <w:szCs w:val="21"/>
        </w:rPr>
        <w:t>投  标  文  件</w:t>
      </w:r>
    </w:p>
    <w:p w14:paraId="2CAE9E44">
      <w:pPr>
        <w:pageBreakBefore w:val="0"/>
        <w:wordWrap/>
        <w:overflowPunct/>
        <w:topLinePunct w:val="0"/>
        <w:bidi w:val="0"/>
        <w:spacing w:line="360" w:lineRule="auto"/>
        <w:jc w:val="center"/>
        <w:rPr>
          <w:rFonts w:hint="eastAsia" w:ascii="宋体" w:hAnsi="宋体" w:eastAsia="宋体" w:cs="宋体"/>
          <w:b/>
          <w:color w:val="000000"/>
          <w:sz w:val="72"/>
          <w:szCs w:val="21"/>
        </w:rPr>
      </w:pPr>
    </w:p>
    <w:p w14:paraId="23C8F168">
      <w:pPr>
        <w:pageBreakBefore w:val="0"/>
        <w:wordWrap/>
        <w:overflowPunct/>
        <w:topLinePunct w:val="0"/>
        <w:bidi w:val="0"/>
        <w:spacing w:line="360" w:lineRule="auto"/>
        <w:jc w:val="center"/>
        <w:rPr>
          <w:rFonts w:hint="eastAsia" w:ascii="宋体" w:hAnsi="宋体" w:eastAsia="宋体" w:cs="宋体"/>
          <w:b/>
          <w:color w:val="000000"/>
          <w:sz w:val="72"/>
          <w:szCs w:val="21"/>
        </w:rPr>
      </w:pPr>
    </w:p>
    <w:p w14:paraId="38477650">
      <w:pPr>
        <w:pageBreakBefore w:val="0"/>
        <w:wordWrap/>
        <w:overflowPunct/>
        <w:topLinePunct w:val="0"/>
        <w:bidi w:val="0"/>
        <w:spacing w:line="360" w:lineRule="auto"/>
        <w:jc w:val="center"/>
        <w:rPr>
          <w:rFonts w:hint="eastAsia" w:ascii="宋体" w:hAnsi="宋体" w:eastAsia="宋体" w:cs="宋体"/>
          <w:b/>
          <w:color w:val="000000"/>
          <w:sz w:val="36"/>
          <w:szCs w:val="21"/>
        </w:rPr>
      </w:pPr>
    </w:p>
    <w:p w14:paraId="0AC353A3">
      <w:pPr>
        <w:pageBreakBefore w:val="0"/>
        <w:wordWrap/>
        <w:overflowPunct/>
        <w:topLinePunct w:val="0"/>
        <w:bidi w:val="0"/>
        <w:spacing w:line="360" w:lineRule="auto"/>
        <w:jc w:val="center"/>
        <w:rPr>
          <w:rFonts w:hint="eastAsia" w:ascii="宋体" w:hAnsi="宋体" w:eastAsia="宋体" w:cs="宋体"/>
          <w:b/>
          <w:color w:val="000000"/>
          <w:sz w:val="36"/>
          <w:szCs w:val="21"/>
        </w:rPr>
      </w:pPr>
    </w:p>
    <w:p w14:paraId="7701FA8E">
      <w:pPr>
        <w:pageBreakBefore w:val="0"/>
        <w:wordWrap/>
        <w:overflowPunct/>
        <w:topLinePunct w:val="0"/>
        <w:bidi w:val="0"/>
        <w:spacing w:line="360" w:lineRule="auto"/>
        <w:jc w:val="center"/>
        <w:rPr>
          <w:rFonts w:hint="eastAsia" w:ascii="宋体" w:hAnsi="宋体" w:eastAsia="宋体" w:cs="宋体"/>
          <w:b/>
          <w:color w:val="000000"/>
          <w:sz w:val="36"/>
          <w:szCs w:val="21"/>
        </w:rPr>
      </w:pPr>
    </w:p>
    <w:p w14:paraId="4FDCB059">
      <w:pPr>
        <w:pageBreakBefore w:val="0"/>
        <w:wordWrap/>
        <w:overflowPunct/>
        <w:topLinePunct w:val="0"/>
        <w:bidi w:val="0"/>
        <w:spacing w:line="360" w:lineRule="auto"/>
        <w:ind w:firstLine="1084"/>
        <w:rPr>
          <w:rFonts w:hint="eastAsia" w:ascii="宋体" w:hAnsi="宋体" w:eastAsia="宋体" w:cs="宋体"/>
          <w:b/>
          <w:color w:val="000000"/>
          <w:sz w:val="36"/>
          <w:szCs w:val="21"/>
        </w:rPr>
      </w:pPr>
      <w:r>
        <w:rPr>
          <w:rFonts w:hint="eastAsia" w:ascii="宋体" w:hAnsi="宋体" w:eastAsia="宋体" w:cs="宋体"/>
          <w:b/>
          <w:color w:val="000000"/>
          <w:sz w:val="36"/>
          <w:szCs w:val="21"/>
        </w:rPr>
        <w:t>项 目 名 称：</w:t>
      </w:r>
      <w:r>
        <w:rPr>
          <w:rFonts w:hint="eastAsia" w:ascii="宋体" w:hAnsi="宋体" w:eastAsia="宋体" w:cs="宋体"/>
          <w:b/>
          <w:color w:val="000000"/>
          <w:sz w:val="36"/>
          <w:szCs w:val="21"/>
          <w:u w:val="single"/>
        </w:rPr>
        <w:t xml:space="preserve">                   </w:t>
      </w:r>
    </w:p>
    <w:p w14:paraId="2233FEC7">
      <w:pPr>
        <w:pageBreakBefore w:val="0"/>
        <w:wordWrap/>
        <w:overflowPunct/>
        <w:topLinePunct w:val="0"/>
        <w:bidi w:val="0"/>
        <w:spacing w:line="360" w:lineRule="auto"/>
        <w:ind w:firstLine="1084"/>
        <w:rPr>
          <w:rFonts w:hint="eastAsia" w:ascii="宋体" w:hAnsi="宋体" w:eastAsia="宋体" w:cs="宋体"/>
          <w:b/>
          <w:color w:val="000000"/>
          <w:sz w:val="36"/>
          <w:szCs w:val="21"/>
          <w:u w:val="single"/>
        </w:rPr>
      </w:pPr>
      <w:r>
        <w:rPr>
          <w:rFonts w:hint="eastAsia" w:ascii="宋体" w:hAnsi="宋体" w:eastAsia="宋体" w:cs="宋体"/>
          <w:b/>
          <w:color w:val="000000"/>
          <w:sz w:val="36"/>
          <w:szCs w:val="21"/>
        </w:rPr>
        <w:t>项 目 编 号：</w:t>
      </w:r>
      <w:r>
        <w:rPr>
          <w:rFonts w:hint="eastAsia" w:ascii="宋体" w:hAnsi="宋体" w:eastAsia="宋体" w:cs="宋体"/>
          <w:b/>
          <w:color w:val="000000"/>
          <w:sz w:val="36"/>
          <w:szCs w:val="21"/>
          <w:u w:val="single"/>
        </w:rPr>
        <w:t xml:space="preserve">                   </w:t>
      </w:r>
    </w:p>
    <w:p w14:paraId="77E20BB5">
      <w:pPr>
        <w:pageBreakBefore w:val="0"/>
        <w:wordWrap/>
        <w:overflowPunct/>
        <w:topLinePunct w:val="0"/>
        <w:bidi w:val="0"/>
        <w:spacing w:line="360" w:lineRule="auto"/>
        <w:rPr>
          <w:rFonts w:hint="eastAsia" w:ascii="宋体" w:hAnsi="宋体" w:eastAsia="宋体" w:cs="宋体"/>
          <w:b/>
          <w:color w:val="000000"/>
          <w:sz w:val="36"/>
          <w:szCs w:val="21"/>
          <w:u w:val="single"/>
        </w:rPr>
      </w:pPr>
      <w:r>
        <w:rPr>
          <w:rFonts w:hint="eastAsia" w:ascii="宋体" w:hAnsi="宋体" w:eastAsia="宋体" w:cs="宋体"/>
          <w:b/>
          <w:color w:val="000000"/>
          <w:sz w:val="36"/>
          <w:szCs w:val="21"/>
        </w:rPr>
        <w:t xml:space="preserve">      投标人名称 ：</w:t>
      </w:r>
      <w:r>
        <w:rPr>
          <w:rFonts w:hint="eastAsia" w:ascii="宋体" w:hAnsi="宋体" w:eastAsia="宋体" w:cs="宋体"/>
          <w:b/>
          <w:color w:val="000000"/>
          <w:sz w:val="36"/>
          <w:szCs w:val="21"/>
          <w:u w:val="single"/>
        </w:rPr>
        <w:t>（加盖CA电子公章）</w:t>
      </w:r>
    </w:p>
    <w:p w14:paraId="3D24FBBD">
      <w:pPr>
        <w:pageBreakBefore w:val="0"/>
        <w:wordWrap/>
        <w:overflowPunct/>
        <w:topLinePunct w:val="0"/>
        <w:bidi w:val="0"/>
        <w:spacing w:line="360" w:lineRule="auto"/>
        <w:rPr>
          <w:rFonts w:hint="eastAsia" w:ascii="宋体" w:hAnsi="宋体" w:eastAsia="宋体" w:cs="宋体"/>
          <w:b/>
          <w:color w:val="000000"/>
          <w:sz w:val="36"/>
          <w:szCs w:val="21"/>
          <w:u w:val="single"/>
        </w:rPr>
      </w:pPr>
      <w:r>
        <w:rPr>
          <w:rFonts w:hint="eastAsia" w:ascii="宋体" w:hAnsi="宋体" w:eastAsia="宋体" w:cs="宋体"/>
          <w:b/>
          <w:color w:val="000000"/>
          <w:sz w:val="36"/>
          <w:szCs w:val="21"/>
        </w:rPr>
        <w:t xml:space="preserve">      日      期 ：</w:t>
      </w:r>
      <w:r>
        <w:rPr>
          <w:rFonts w:hint="eastAsia" w:ascii="宋体" w:hAnsi="宋体" w:eastAsia="宋体" w:cs="宋体"/>
          <w:b/>
          <w:color w:val="000000"/>
          <w:sz w:val="36"/>
          <w:szCs w:val="21"/>
          <w:u w:val="single"/>
        </w:rPr>
        <w:t xml:space="preserve">                   </w:t>
      </w:r>
    </w:p>
    <w:p w14:paraId="295DF46A">
      <w:pPr>
        <w:pageBreakBefore w:val="0"/>
        <w:wordWrap/>
        <w:overflowPunct/>
        <w:topLinePunct w:val="0"/>
        <w:bidi w:val="0"/>
        <w:spacing w:line="360" w:lineRule="auto"/>
        <w:jc w:val="center"/>
        <w:rPr>
          <w:rFonts w:hint="eastAsia" w:ascii="宋体" w:hAnsi="宋体" w:eastAsia="宋体" w:cs="宋体"/>
          <w:b/>
          <w:bCs/>
          <w:color w:val="000000"/>
          <w:sz w:val="32"/>
          <w:szCs w:val="32"/>
        </w:rPr>
      </w:pPr>
    </w:p>
    <w:p w14:paraId="64EC9B0A">
      <w:pPr>
        <w:pageBreakBefore w:val="0"/>
        <w:wordWrap/>
        <w:overflowPunct/>
        <w:topLinePunct w:val="0"/>
        <w:bidi w:val="0"/>
        <w:spacing w:line="360" w:lineRule="auto"/>
        <w:rPr>
          <w:rFonts w:hint="eastAsia" w:ascii="宋体" w:hAnsi="宋体" w:eastAsia="宋体" w:cs="宋体"/>
          <w:color w:val="000000"/>
          <w:szCs w:val="21"/>
        </w:rPr>
      </w:pPr>
    </w:p>
    <w:p w14:paraId="25B52F3D">
      <w:pPr>
        <w:pageBreakBefore w:val="0"/>
        <w:wordWrap/>
        <w:overflowPunct/>
        <w:topLinePunct w:val="0"/>
        <w:bidi w:val="0"/>
        <w:spacing w:line="360" w:lineRule="auto"/>
        <w:jc w:val="left"/>
        <w:rPr>
          <w:rFonts w:hint="eastAsia" w:ascii="宋体" w:hAnsi="宋体" w:eastAsia="宋体" w:cs="宋体"/>
          <w:color w:val="000000"/>
          <w:sz w:val="24"/>
          <w:szCs w:val="24"/>
        </w:rPr>
      </w:pPr>
    </w:p>
    <w:p w14:paraId="412CCD76">
      <w:pPr>
        <w:pageBreakBefore w:val="0"/>
        <w:wordWrap/>
        <w:overflowPunct/>
        <w:topLinePunct w:val="0"/>
        <w:bidi w:val="0"/>
        <w:spacing w:line="360" w:lineRule="auto"/>
        <w:jc w:val="left"/>
        <w:rPr>
          <w:rFonts w:hint="eastAsia" w:ascii="宋体" w:hAnsi="宋体" w:eastAsia="宋体" w:cs="宋体"/>
          <w:color w:val="000000"/>
          <w:sz w:val="24"/>
          <w:szCs w:val="24"/>
        </w:rPr>
      </w:pPr>
    </w:p>
    <w:p w14:paraId="4D94E005">
      <w:pPr>
        <w:pageBreakBefore w:val="0"/>
        <w:widowControl/>
        <w:wordWrap/>
        <w:overflowPunct/>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br w:type="page" w:clear="all"/>
      </w:r>
    </w:p>
    <w:p w14:paraId="0D945A93">
      <w:pPr>
        <w:keepNext/>
        <w:keepLines/>
        <w:pageBreakBefore w:val="0"/>
        <w:wordWrap/>
        <w:overflowPunct/>
        <w:topLinePunct w:val="0"/>
        <w:bidi w:val="0"/>
        <w:spacing w:before="360" w:after="200" w:line="360" w:lineRule="auto"/>
        <w:jc w:val="left"/>
        <w:outlineLvl w:val="1"/>
        <w:rPr>
          <w:rFonts w:hint="eastAsia" w:ascii="宋体" w:hAnsi="宋体" w:eastAsia="宋体" w:cs="宋体"/>
          <w:i/>
          <w:color w:val="000000"/>
          <w:sz w:val="36"/>
          <w:szCs w:val="36"/>
          <w:u w:val="single"/>
        </w:rPr>
      </w:pPr>
      <w:r>
        <w:rPr>
          <w:rFonts w:hint="eastAsia" w:ascii="宋体" w:hAnsi="宋体" w:eastAsia="宋体" w:cs="宋体"/>
          <w:i/>
          <w:color w:val="000000"/>
          <w:sz w:val="36"/>
          <w:szCs w:val="36"/>
          <w:u w:val="single"/>
        </w:rPr>
        <w:t>一、法人或者其他组织的营业执照等证明文件，自然人的身份证明</w:t>
      </w:r>
    </w:p>
    <w:p w14:paraId="7825A84E">
      <w:pPr>
        <w:pageBreakBefore w:val="0"/>
        <w:wordWrap/>
        <w:overflowPunct/>
        <w:topLinePunct w:val="0"/>
        <w:bidi w:val="0"/>
        <w:spacing w:line="360" w:lineRule="auto"/>
        <w:rPr>
          <w:rFonts w:hint="eastAsia" w:ascii="宋体" w:hAnsi="宋体" w:eastAsia="宋体" w:cs="宋体"/>
          <w:color w:val="000000"/>
        </w:rPr>
      </w:pPr>
    </w:p>
    <w:p w14:paraId="010998B1">
      <w:pPr>
        <w:pageBreakBefore w:val="0"/>
        <w:wordWrap/>
        <w:overflowPunct/>
        <w:topLinePunct w:val="0"/>
        <w:bidi w:val="0"/>
        <w:spacing w:line="360" w:lineRule="auto"/>
        <w:rPr>
          <w:rFonts w:hint="eastAsia" w:ascii="宋体" w:hAnsi="宋体" w:eastAsia="宋体" w:cs="宋体"/>
          <w:color w:val="000000"/>
        </w:rPr>
      </w:pPr>
    </w:p>
    <w:p w14:paraId="38665F8A">
      <w:pPr>
        <w:pageBreakBefore w:val="0"/>
        <w:wordWrap/>
        <w:overflowPunct/>
        <w:topLinePunct w:val="0"/>
        <w:bidi w:val="0"/>
        <w:spacing w:line="360" w:lineRule="auto"/>
        <w:rPr>
          <w:rFonts w:hint="eastAsia" w:ascii="宋体" w:hAnsi="宋体" w:eastAsia="宋体" w:cs="宋体"/>
          <w:color w:val="000000"/>
        </w:rPr>
      </w:pPr>
    </w:p>
    <w:p w14:paraId="05C0BAFA">
      <w:pPr>
        <w:pageBreakBefore w:val="0"/>
        <w:wordWrap/>
        <w:overflowPunct/>
        <w:topLinePunct w:val="0"/>
        <w:bidi w:val="0"/>
        <w:spacing w:line="360" w:lineRule="auto"/>
        <w:rPr>
          <w:rFonts w:hint="eastAsia" w:ascii="宋体" w:hAnsi="宋体" w:eastAsia="宋体" w:cs="宋体"/>
          <w:color w:val="000000"/>
        </w:rPr>
      </w:pPr>
    </w:p>
    <w:p w14:paraId="43EAE5CB">
      <w:pPr>
        <w:keepNext/>
        <w:keepLines/>
        <w:pageBreakBefore w:val="0"/>
        <w:wordWrap/>
        <w:overflowPunct/>
        <w:topLinePunct w:val="0"/>
        <w:bidi w:val="0"/>
        <w:spacing w:before="360" w:after="200" w:line="360" w:lineRule="auto"/>
        <w:jc w:val="left"/>
        <w:outlineLvl w:val="1"/>
        <w:rPr>
          <w:rFonts w:hint="eastAsia" w:ascii="宋体" w:hAnsi="宋体" w:eastAsia="宋体" w:cs="宋体"/>
          <w:i/>
          <w:color w:val="000000"/>
          <w:sz w:val="36"/>
          <w:u w:val="single"/>
        </w:rPr>
      </w:pPr>
      <w:r>
        <w:rPr>
          <w:rFonts w:hint="eastAsia" w:ascii="宋体" w:hAnsi="宋体" w:eastAsia="宋体" w:cs="宋体"/>
          <w:i/>
          <w:color w:val="000000"/>
          <w:sz w:val="36"/>
          <w:u w:val="single"/>
        </w:rPr>
        <w:t>二、上一年度的财务状况报告</w:t>
      </w:r>
    </w:p>
    <w:p w14:paraId="4FC25CF7">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（成立不满一年无需提供）</w:t>
      </w:r>
    </w:p>
    <w:p w14:paraId="0ADF72A8">
      <w:pPr>
        <w:pageBreakBefore w:val="0"/>
        <w:wordWrap/>
        <w:overflowPunct/>
        <w:topLinePunct w:val="0"/>
        <w:bidi w:val="0"/>
        <w:spacing w:line="360" w:lineRule="auto"/>
        <w:rPr>
          <w:rFonts w:hint="eastAsia" w:ascii="宋体" w:hAnsi="宋体" w:eastAsia="宋体" w:cs="宋体"/>
          <w:color w:val="000000"/>
        </w:rPr>
      </w:pPr>
    </w:p>
    <w:p w14:paraId="4A55F84D">
      <w:pPr>
        <w:pageBreakBefore w:val="0"/>
        <w:wordWrap/>
        <w:overflowPunct/>
        <w:topLinePunct w:val="0"/>
        <w:bidi w:val="0"/>
        <w:spacing w:line="360" w:lineRule="auto"/>
        <w:rPr>
          <w:rFonts w:hint="eastAsia" w:ascii="宋体" w:hAnsi="宋体" w:eastAsia="宋体" w:cs="宋体"/>
          <w:color w:val="000000"/>
        </w:rPr>
      </w:pPr>
    </w:p>
    <w:p w14:paraId="74FDE86E">
      <w:pPr>
        <w:pageBreakBefore w:val="0"/>
        <w:wordWrap/>
        <w:overflowPunct/>
        <w:topLinePunct w:val="0"/>
        <w:bidi w:val="0"/>
        <w:spacing w:line="360" w:lineRule="auto"/>
        <w:rPr>
          <w:rFonts w:hint="eastAsia" w:ascii="宋体" w:hAnsi="宋体" w:eastAsia="宋体" w:cs="宋体"/>
          <w:color w:val="000000"/>
        </w:rPr>
      </w:pPr>
    </w:p>
    <w:p w14:paraId="08DFC614">
      <w:pPr>
        <w:pageBreakBefore w:val="0"/>
        <w:wordWrap/>
        <w:overflowPunct/>
        <w:topLinePunct w:val="0"/>
        <w:bidi w:val="0"/>
        <w:spacing w:line="360" w:lineRule="auto"/>
        <w:rPr>
          <w:rFonts w:hint="eastAsia" w:ascii="宋体" w:hAnsi="宋体" w:eastAsia="宋体" w:cs="宋体"/>
          <w:color w:val="000000"/>
        </w:rPr>
      </w:pPr>
    </w:p>
    <w:p w14:paraId="38FC283A">
      <w:pPr>
        <w:keepNext/>
        <w:keepLines/>
        <w:pageBreakBefore w:val="0"/>
        <w:wordWrap/>
        <w:overflowPunct/>
        <w:topLinePunct w:val="0"/>
        <w:bidi w:val="0"/>
        <w:spacing w:before="360" w:after="200" w:line="360" w:lineRule="auto"/>
        <w:jc w:val="left"/>
        <w:outlineLvl w:val="1"/>
        <w:rPr>
          <w:rFonts w:hint="eastAsia" w:ascii="宋体" w:hAnsi="宋体" w:eastAsia="宋体" w:cs="宋体"/>
          <w:i/>
          <w:iCs/>
          <w:color w:val="000000"/>
          <w:sz w:val="36"/>
          <w:u w:val="single"/>
        </w:rPr>
      </w:pPr>
      <w:r>
        <w:rPr>
          <w:rFonts w:hint="eastAsia" w:ascii="宋体" w:hAnsi="宋体" w:eastAsia="宋体" w:cs="宋体"/>
          <w:i/>
          <w:iCs/>
          <w:color w:val="000000"/>
          <w:sz w:val="36"/>
          <w:u w:val="single"/>
        </w:rPr>
        <w:t>三、依法缴纳税收和社会保障资金的相关材料</w:t>
      </w:r>
    </w:p>
    <w:p w14:paraId="07B27354">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（提供提交投标文件截止时间前一年内至少一个月依法缴纳税收及缴纳社会保障资金的证明材料，投标人依法享受缓缴、免缴税收、社会保障资金的提供证明材料）</w:t>
      </w:r>
    </w:p>
    <w:p w14:paraId="50E8DBF8">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p>
    <w:p w14:paraId="419F8063">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p>
    <w:p w14:paraId="18158743">
      <w:pPr>
        <w:pageBreakBefore w:val="0"/>
        <w:wordWrap/>
        <w:overflowPunct/>
        <w:topLinePunct w:val="0"/>
        <w:bidi w:val="0"/>
        <w:spacing w:line="360" w:lineRule="auto"/>
        <w:rPr>
          <w:rFonts w:hint="eastAsia" w:ascii="宋体" w:hAnsi="宋体" w:eastAsia="宋体" w:cs="宋体"/>
          <w:color w:val="000000"/>
        </w:rPr>
      </w:pPr>
    </w:p>
    <w:p w14:paraId="41944A81">
      <w:pPr>
        <w:pageBreakBefore w:val="0"/>
        <w:wordWrap/>
        <w:overflowPunct/>
        <w:topLinePunct w:val="0"/>
        <w:bidi w:val="0"/>
        <w:spacing w:line="360" w:lineRule="auto"/>
        <w:jc w:val="center"/>
        <w:rPr>
          <w:rFonts w:hint="eastAsia" w:ascii="宋体" w:hAnsi="宋体" w:eastAsia="宋体" w:cs="宋体"/>
          <w:bCs/>
          <w:color w:val="000000"/>
          <w:sz w:val="36"/>
          <w:szCs w:val="28"/>
        </w:rPr>
      </w:pPr>
      <w:r>
        <w:rPr>
          <w:rFonts w:hint="eastAsia" w:ascii="宋体" w:hAnsi="宋体" w:eastAsia="宋体" w:cs="宋体"/>
          <w:bCs/>
          <w:color w:val="000000"/>
          <w:sz w:val="36"/>
          <w:szCs w:val="28"/>
        </w:rPr>
        <w:t>财务状况报告及税收、社会保障资金缴纳情况承诺函</w:t>
      </w:r>
    </w:p>
    <w:p w14:paraId="3586CFC6">
      <w:pPr>
        <w:pageBreakBefore w:val="0"/>
        <w:wordWrap/>
        <w:overflowPunct/>
        <w:topLinePunct w:val="0"/>
        <w:bidi w:val="0"/>
        <w:spacing w:line="360" w:lineRule="auto"/>
        <w:jc w:val="left"/>
        <w:rPr>
          <w:rFonts w:hint="eastAsia" w:ascii="宋体" w:hAnsi="宋体" w:eastAsia="宋体" w:cs="宋体"/>
          <w:color w:val="000000"/>
          <w:szCs w:val="24"/>
        </w:rPr>
      </w:pPr>
    </w:p>
    <w:p w14:paraId="73392767">
      <w:pPr>
        <w:pageBreakBefore w:val="0"/>
        <w:wordWrap/>
        <w:overflowPunct/>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i/>
          <w:color w:val="000000"/>
          <w:sz w:val="24"/>
          <w:szCs w:val="24"/>
          <w:u w:val="single"/>
        </w:rPr>
        <w:t>采购人名称</w:t>
      </w:r>
    </w:p>
    <w:p w14:paraId="08CBDAC3">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我方</w:t>
      </w:r>
      <w:r>
        <w:rPr>
          <w:rFonts w:hint="eastAsia" w:ascii="宋体" w:hAnsi="宋体" w:eastAsia="宋体" w:cs="宋体"/>
          <w:i/>
          <w:color w:val="000000"/>
          <w:sz w:val="24"/>
          <w:szCs w:val="24"/>
          <w:u w:val="single"/>
          <w:lang w:eastAsia="zh-CN"/>
        </w:rPr>
        <w:t>投标人</w:t>
      </w:r>
      <w:r>
        <w:rPr>
          <w:rFonts w:hint="eastAsia" w:ascii="宋体" w:hAnsi="宋体" w:eastAsia="宋体" w:cs="宋体"/>
          <w:i/>
          <w:color w:val="000000"/>
          <w:sz w:val="24"/>
          <w:szCs w:val="24"/>
          <w:u w:val="single"/>
        </w:rPr>
        <w:t>名称</w:t>
      </w:r>
      <w:r>
        <w:rPr>
          <w:rFonts w:hint="eastAsia" w:ascii="宋体" w:hAnsi="宋体" w:eastAsia="宋体" w:cs="宋体"/>
          <w:color w:val="000000"/>
          <w:sz w:val="24"/>
          <w:szCs w:val="24"/>
        </w:rPr>
        <w:t>参加</w:t>
      </w:r>
      <w:r>
        <w:rPr>
          <w:rFonts w:hint="eastAsia" w:ascii="宋体" w:hAnsi="宋体" w:eastAsia="宋体" w:cs="宋体"/>
          <w:i/>
          <w:color w:val="000000"/>
          <w:sz w:val="24"/>
          <w:szCs w:val="24"/>
          <w:u w:val="single"/>
        </w:rPr>
        <w:t>项目名称</w:t>
      </w:r>
      <w:r>
        <w:rPr>
          <w:rFonts w:hint="eastAsia" w:ascii="宋体" w:hAnsi="宋体" w:eastAsia="宋体" w:cs="宋体"/>
          <w:color w:val="000000"/>
          <w:sz w:val="24"/>
          <w:szCs w:val="24"/>
        </w:rPr>
        <w:t>（项目编号：</w:t>
      </w:r>
      <w:r>
        <w:rPr>
          <w:rFonts w:hint="eastAsia" w:ascii="宋体" w:hAnsi="宋体" w:eastAsia="宋体" w:cs="宋体"/>
          <w:i/>
          <w:color w:val="000000"/>
          <w:sz w:val="24"/>
          <w:szCs w:val="24"/>
          <w:u w:val="single"/>
        </w:rPr>
        <w:t>项目编号</w:t>
      </w:r>
      <w:r>
        <w:rPr>
          <w:rFonts w:hint="eastAsia" w:ascii="宋体" w:hAnsi="宋体" w:eastAsia="宋体" w:cs="宋体"/>
          <w:color w:val="000000"/>
          <w:sz w:val="24"/>
          <w:szCs w:val="24"/>
        </w:rPr>
        <w:t>）采购，根据《关于简化政府采购</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资格审查有关事项的通知》（连财购〔2023〕4号），我方承诺具备《中华人民共和国政府采购法》第二十二条第（二）、第（四）项，《中华人民共和国政府采购法实施条例》第十七条第（二）项规定条件的，具体包括：</w:t>
      </w:r>
    </w:p>
    <w:p w14:paraId="31E292AA">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（1）具有良好的商业信誉和健全的财务会计制度（财务状况报告）；</w:t>
      </w:r>
    </w:p>
    <w:p w14:paraId="30E0E88E">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（2）有依法缴纳税收和社会保障资金的良好记录。</w:t>
      </w:r>
    </w:p>
    <w:p w14:paraId="72C53936">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我方对上述承诺的真实性负责，如有虚假，将依法承担提供虚假材料谋取中标、成交责任，同时同意有关主管部门将相关失信信息记入公共信用信息系统并在相关政府门户网站公开。</w:t>
      </w:r>
    </w:p>
    <w:p w14:paraId="2B89E867">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特此承诺</w:t>
      </w:r>
    </w:p>
    <w:p w14:paraId="255956C0">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p>
    <w:p w14:paraId="171D142D">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（公章）：</w:t>
      </w:r>
    </w:p>
    <w:p w14:paraId="58FA80F9">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法定代表人（单位负责人）或委托代理人（签名或签章）：</w:t>
      </w:r>
    </w:p>
    <w:p w14:paraId="2B217DE8">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2ABD1F48">
      <w:pPr>
        <w:pageBreakBefore w:val="0"/>
        <w:wordWrap/>
        <w:overflowPunct/>
        <w:topLinePunct w:val="0"/>
        <w:bidi w:val="0"/>
        <w:spacing w:line="360" w:lineRule="auto"/>
        <w:rPr>
          <w:rFonts w:hint="eastAsia" w:ascii="宋体" w:hAnsi="宋体" w:eastAsia="宋体" w:cs="宋体"/>
          <w:color w:val="000000"/>
        </w:rPr>
      </w:pPr>
    </w:p>
    <w:p w14:paraId="1BA53107">
      <w:pPr>
        <w:pageBreakBefore w:val="0"/>
        <w:wordWrap/>
        <w:overflowPunct/>
        <w:topLinePunct w:val="0"/>
        <w:bidi w:val="0"/>
        <w:spacing w:line="360" w:lineRule="auto"/>
        <w:rPr>
          <w:rFonts w:hint="eastAsia" w:ascii="宋体" w:hAnsi="宋体" w:eastAsia="宋体" w:cs="宋体"/>
          <w:color w:val="000000"/>
        </w:rPr>
      </w:pPr>
    </w:p>
    <w:p w14:paraId="4AFC6385">
      <w:pPr>
        <w:keepNext/>
        <w:keepLines/>
        <w:pageBreakBefore w:val="0"/>
        <w:wordWrap/>
        <w:overflowPunct/>
        <w:topLinePunct w:val="0"/>
        <w:bidi w:val="0"/>
        <w:spacing w:before="360" w:after="200" w:line="360" w:lineRule="auto"/>
        <w:jc w:val="left"/>
        <w:outlineLvl w:val="1"/>
        <w:rPr>
          <w:rFonts w:hint="eastAsia" w:ascii="宋体" w:hAnsi="宋体" w:eastAsia="宋体" w:cs="宋体"/>
          <w:i/>
          <w:iCs/>
          <w:color w:val="000000"/>
          <w:sz w:val="36"/>
          <w:u w:val="single"/>
        </w:rPr>
      </w:pPr>
      <w:r>
        <w:rPr>
          <w:rFonts w:hint="eastAsia" w:ascii="宋体" w:hAnsi="宋体" w:eastAsia="宋体" w:cs="宋体"/>
          <w:i/>
          <w:iCs/>
          <w:color w:val="000000"/>
          <w:sz w:val="36"/>
          <w:u w:val="single"/>
        </w:rPr>
        <w:t>四、具备履行合同所必需的设备和专业技术能力的声明及证明材料</w:t>
      </w:r>
    </w:p>
    <w:p w14:paraId="0EEC7CC5">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bCs/>
          <w:color w:val="000000"/>
          <w:sz w:val="36"/>
          <w:szCs w:val="28"/>
        </w:rPr>
        <w:t>具备履行合同所必需的设备和专业技术能力的声明及证明材料</w:t>
      </w:r>
    </w:p>
    <w:p w14:paraId="67006DA9">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我单位郑重声明：我单位具备履行本项采购合同所必需的设备和专业技术能力，为履行本项采购合同我公司具备如下主要设备和主要专业技术能力：</w:t>
      </w:r>
    </w:p>
    <w:p w14:paraId="12907019">
      <w:pPr>
        <w:pageBreakBefore w:val="0"/>
        <w:wordWrap/>
        <w:overflowPunct/>
        <w:topLinePunct w:val="0"/>
        <w:bidi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主要设备有：</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。（须附证明材料）</w:t>
      </w:r>
    </w:p>
    <w:p w14:paraId="05D6DE80">
      <w:pPr>
        <w:pageBreakBefore w:val="0"/>
        <w:wordWrap/>
        <w:overflowPunct/>
        <w:topLinePunct w:val="0"/>
        <w:bidi w:val="0"/>
        <w:spacing w:line="360" w:lineRule="auto"/>
        <w:jc w:val="left"/>
        <w:rPr>
          <w:rFonts w:hint="eastAsia" w:ascii="宋体" w:hAnsi="宋体" w:eastAsia="宋体" w:cs="宋体"/>
          <w:color w:val="000000"/>
          <w:sz w:val="24"/>
          <w:szCs w:val="24"/>
        </w:rPr>
      </w:pPr>
    </w:p>
    <w:p w14:paraId="6B85FC19">
      <w:pPr>
        <w:pageBreakBefore w:val="0"/>
        <w:wordWrap/>
        <w:overflowPunct/>
        <w:topLinePunct w:val="0"/>
        <w:bidi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主要专业技术能力有：</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。（须附证明材料）</w:t>
      </w:r>
    </w:p>
    <w:p w14:paraId="0A90B9D4">
      <w:pPr>
        <w:pageBreakBefore w:val="0"/>
        <w:wordWrap/>
        <w:overflowPunct/>
        <w:topLinePunct w:val="0"/>
        <w:bidi w:val="0"/>
        <w:spacing w:line="360" w:lineRule="auto"/>
        <w:ind w:firstLine="480"/>
        <w:rPr>
          <w:rFonts w:hint="eastAsia" w:ascii="宋体" w:hAnsi="宋体" w:eastAsia="宋体" w:cs="宋体"/>
          <w:color w:val="000000"/>
          <w:sz w:val="24"/>
          <w:szCs w:val="24"/>
        </w:rPr>
      </w:pPr>
    </w:p>
    <w:p w14:paraId="3407B266">
      <w:pPr>
        <w:pageBreakBefore w:val="0"/>
        <w:wordWrap/>
        <w:overflowPunct/>
        <w:topLinePunct w:val="0"/>
        <w:bidi w:val="0"/>
        <w:spacing w:line="360" w:lineRule="auto"/>
        <w:ind w:firstLine="480"/>
        <w:rPr>
          <w:rFonts w:hint="eastAsia" w:ascii="宋体" w:hAnsi="宋体" w:eastAsia="宋体" w:cs="宋体"/>
          <w:color w:val="000000"/>
          <w:sz w:val="24"/>
          <w:szCs w:val="24"/>
        </w:rPr>
      </w:pPr>
    </w:p>
    <w:p w14:paraId="7E585FBE">
      <w:pPr>
        <w:pageBreakBefore w:val="0"/>
        <w:wordWrap/>
        <w:overflowPunct/>
        <w:topLinePunct w:val="0"/>
        <w:bidi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投标人（盖章）：</w:t>
      </w:r>
    </w:p>
    <w:p w14:paraId="6A37D590">
      <w:pPr>
        <w:pageBreakBefore w:val="0"/>
        <w:wordWrap/>
        <w:overflowPunct/>
        <w:topLinePunct w:val="0"/>
        <w:bidi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法定代表人（单位负责人）或委托代理人（签字或盖章）：</w:t>
      </w:r>
    </w:p>
    <w:p w14:paraId="6095E568">
      <w:pPr>
        <w:pageBreakBefore w:val="0"/>
        <w:wordWrap/>
        <w:overflowPunct/>
        <w:topLinePunct w:val="0"/>
        <w:bidi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54E0C1D4">
      <w:pPr>
        <w:pageBreakBefore w:val="0"/>
        <w:wordWrap/>
        <w:overflowPunct/>
        <w:topLinePunct w:val="0"/>
        <w:bidi w:val="0"/>
        <w:spacing w:line="360" w:lineRule="auto"/>
        <w:jc w:val="left"/>
        <w:rPr>
          <w:rFonts w:hint="eastAsia" w:ascii="宋体" w:hAnsi="宋体" w:eastAsia="宋体" w:cs="宋体"/>
          <w:color w:val="000000"/>
          <w:szCs w:val="24"/>
        </w:rPr>
      </w:pPr>
    </w:p>
    <w:p w14:paraId="520FD922">
      <w:pPr>
        <w:pageBreakBefore w:val="0"/>
        <w:wordWrap/>
        <w:overflowPunct/>
        <w:topLinePunct w:val="0"/>
        <w:bidi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附主要设备和主要专业技术能力的证明材料如下：</w:t>
      </w:r>
    </w:p>
    <w:p w14:paraId="7744B164">
      <w:pPr>
        <w:pageBreakBefore w:val="0"/>
        <w:wordWrap/>
        <w:overflowPunct/>
        <w:topLinePunct w:val="0"/>
        <w:bidi w:val="0"/>
        <w:spacing w:line="360" w:lineRule="auto"/>
        <w:jc w:val="left"/>
        <w:rPr>
          <w:rFonts w:hint="eastAsia" w:ascii="宋体" w:hAnsi="宋体" w:eastAsia="宋体" w:cs="宋体"/>
          <w:color w:val="000000"/>
          <w:sz w:val="24"/>
          <w:szCs w:val="24"/>
        </w:rPr>
      </w:pPr>
    </w:p>
    <w:p w14:paraId="0B7D04C0">
      <w:pPr>
        <w:pageBreakBefore w:val="0"/>
        <w:wordWrap/>
        <w:overflowPunct/>
        <w:topLinePunct w:val="0"/>
        <w:bidi w:val="0"/>
        <w:spacing w:line="360" w:lineRule="auto"/>
        <w:jc w:val="left"/>
        <w:rPr>
          <w:rFonts w:hint="eastAsia" w:ascii="宋体" w:hAnsi="宋体" w:eastAsia="宋体" w:cs="宋体"/>
          <w:color w:val="000000"/>
          <w:sz w:val="24"/>
          <w:szCs w:val="24"/>
        </w:rPr>
      </w:pPr>
    </w:p>
    <w:p w14:paraId="303D3391">
      <w:pPr>
        <w:keepNext/>
        <w:keepLines/>
        <w:pageBreakBefore w:val="0"/>
        <w:wordWrap/>
        <w:overflowPunct/>
        <w:topLinePunct w:val="0"/>
        <w:bidi w:val="0"/>
        <w:spacing w:before="360" w:after="200" w:line="360" w:lineRule="auto"/>
        <w:jc w:val="left"/>
        <w:outlineLvl w:val="1"/>
        <w:rPr>
          <w:rFonts w:hint="eastAsia" w:ascii="宋体" w:hAnsi="宋体" w:eastAsia="宋体" w:cs="宋体"/>
          <w:i/>
          <w:iCs/>
          <w:color w:val="000000"/>
          <w:sz w:val="36"/>
          <w:u w:val="single"/>
        </w:rPr>
      </w:pPr>
      <w:r>
        <w:rPr>
          <w:rFonts w:hint="eastAsia" w:ascii="宋体" w:hAnsi="宋体" w:eastAsia="宋体" w:cs="宋体"/>
          <w:i/>
          <w:iCs/>
          <w:color w:val="000000"/>
          <w:sz w:val="36"/>
          <w:u w:val="single"/>
        </w:rPr>
        <w:t>五、参加政府采购活动前3年内在经营活动中没有重大违法记录的书面声明</w:t>
      </w:r>
    </w:p>
    <w:p w14:paraId="3212856D">
      <w:pPr>
        <w:pageBreakBefore w:val="0"/>
        <w:wordWrap/>
        <w:overflowPunct/>
        <w:topLinePunct w:val="0"/>
        <w:bidi w:val="0"/>
        <w:spacing w:line="360" w:lineRule="auto"/>
        <w:jc w:val="center"/>
        <w:rPr>
          <w:rFonts w:hint="eastAsia" w:ascii="宋体" w:hAnsi="宋体" w:eastAsia="宋体" w:cs="宋体"/>
          <w:b/>
          <w:bCs/>
          <w:color w:val="000000"/>
          <w:sz w:val="44"/>
          <w:szCs w:val="44"/>
        </w:rPr>
      </w:pPr>
      <w:r>
        <w:rPr>
          <w:rFonts w:hint="eastAsia" w:ascii="宋体" w:hAnsi="宋体" w:eastAsia="宋体" w:cs="宋体"/>
          <w:bCs/>
          <w:color w:val="000000"/>
          <w:sz w:val="36"/>
          <w:szCs w:val="28"/>
        </w:rPr>
        <w:t>声  明</w:t>
      </w:r>
    </w:p>
    <w:p w14:paraId="0C1F8390">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我单位郑重声明：参加本次政府采购活动前 3 年内，我单位在经营活动中没有因违法经营受到刑事处罚或者责令停产停业、吊销许可证或者执照、较大数额罚款等行政处罚。</w:t>
      </w:r>
    </w:p>
    <w:p w14:paraId="0EBD0635">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p>
    <w:p w14:paraId="4E4E89EF">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投标人（盖章）：</w:t>
      </w:r>
    </w:p>
    <w:p w14:paraId="1FFAAEC0">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法定代表人（单位负责人）或委托代理人（签字或盖章）：</w:t>
      </w:r>
    </w:p>
    <w:p w14:paraId="31751F0D">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076DF4FA">
      <w:pPr>
        <w:keepNext/>
        <w:keepLines/>
        <w:pageBreakBefore w:val="0"/>
        <w:wordWrap/>
        <w:overflowPunct/>
        <w:topLinePunct w:val="0"/>
        <w:bidi w:val="0"/>
        <w:spacing w:before="360" w:after="200" w:line="360" w:lineRule="auto"/>
        <w:jc w:val="left"/>
        <w:outlineLvl w:val="1"/>
        <w:rPr>
          <w:rFonts w:hint="eastAsia" w:ascii="宋体" w:hAnsi="宋体" w:eastAsia="宋体" w:cs="宋体"/>
          <w:i/>
          <w:iCs/>
          <w:color w:val="000000"/>
          <w:sz w:val="36"/>
          <w:u w:val="single"/>
        </w:rPr>
      </w:pPr>
    </w:p>
    <w:p w14:paraId="2864846C">
      <w:pPr>
        <w:keepNext/>
        <w:keepLines/>
        <w:pageBreakBefore w:val="0"/>
        <w:wordWrap/>
        <w:overflowPunct/>
        <w:topLinePunct w:val="0"/>
        <w:bidi w:val="0"/>
        <w:spacing w:before="360" w:after="200" w:line="360" w:lineRule="auto"/>
        <w:jc w:val="left"/>
        <w:outlineLvl w:val="1"/>
        <w:rPr>
          <w:rFonts w:hint="eastAsia" w:ascii="宋体" w:hAnsi="宋体" w:eastAsia="宋体" w:cs="宋体"/>
          <w:i/>
          <w:iCs/>
          <w:color w:val="000000"/>
          <w:sz w:val="36"/>
          <w:u w:val="single"/>
        </w:rPr>
      </w:pPr>
      <w:r>
        <w:rPr>
          <w:rFonts w:hint="eastAsia" w:ascii="宋体" w:hAnsi="宋体" w:eastAsia="宋体" w:cs="宋体"/>
          <w:i/>
          <w:iCs/>
          <w:color w:val="000000"/>
          <w:sz w:val="36"/>
          <w:u w:val="single"/>
        </w:rPr>
        <w:t>六、法律、行政法规规定的其他条件的证明文件</w:t>
      </w:r>
    </w:p>
    <w:p w14:paraId="79B34CBD">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（如有，请按要求提供）</w:t>
      </w:r>
    </w:p>
    <w:p w14:paraId="450ABC3A">
      <w:pPr>
        <w:pageBreakBefore w:val="0"/>
        <w:wordWrap/>
        <w:overflowPunct/>
        <w:topLinePunct w:val="0"/>
        <w:bidi w:val="0"/>
        <w:spacing w:line="360" w:lineRule="auto"/>
        <w:rPr>
          <w:rFonts w:hint="eastAsia" w:ascii="宋体" w:hAnsi="宋体" w:eastAsia="宋体" w:cs="宋体"/>
          <w:color w:val="000000"/>
        </w:rPr>
      </w:pPr>
    </w:p>
    <w:p w14:paraId="3A95A7C6">
      <w:pPr>
        <w:keepNext/>
        <w:keepLines/>
        <w:pageBreakBefore w:val="0"/>
        <w:wordWrap/>
        <w:overflowPunct/>
        <w:topLinePunct w:val="0"/>
        <w:bidi w:val="0"/>
        <w:spacing w:before="360" w:after="200" w:line="360" w:lineRule="auto"/>
        <w:jc w:val="left"/>
        <w:outlineLvl w:val="1"/>
        <w:rPr>
          <w:rFonts w:hint="eastAsia" w:ascii="宋体" w:hAnsi="宋体" w:eastAsia="宋体" w:cs="宋体"/>
          <w:i/>
          <w:iCs/>
          <w:color w:val="000000"/>
          <w:sz w:val="36"/>
          <w:u w:val="single"/>
        </w:rPr>
      </w:pPr>
      <w:r>
        <w:rPr>
          <w:rFonts w:hint="eastAsia" w:ascii="宋体" w:hAnsi="宋体" w:eastAsia="宋体" w:cs="宋体"/>
          <w:i/>
          <w:iCs/>
          <w:color w:val="000000"/>
          <w:sz w:val="36"/>
          <w:u w:val="single"/>
        </w:rPr>
        <w:t>七、落实政府采购政策需满足的资格要求的证明文件</w:t>
      </w:r>
    </w:p>
    <w:p w14:paraId="04675FB6">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（如有，请按要求提供）</w:t>
      </w:r>
    </w:p>
    <w:p w14:paraId="57F93C1E">
      <w:pPr>
        <w:keepNext/>
        <w:keepLines/>
        <w:pageBreakBefore w:val="0"/>
        <w:wordWrap/>
        <w:overflowPunct/>
        <w:topLinePunct w:val="0"/>
        <w:bidi w:val="0"/>
        <w:spacing w:before="360" w:after="200" w:line="360" w:lineRule="auto"/>
        <w:jc w:val="left"/>
        <w:outlineLvl w:val="1"/>
        <w:rPr>
          <w:rFonts w:hint="eastAsia" w:ascii="宋体" w:hAnsi="宋体" w:eastAsia="宋体" w:cs="宋体"/>
          <w:i/>
          <w:iCs/>
          <w:color w:val="000000"/>
          <w:sz w:val="36"/>
          <w:u w:val="single"/>
        </w:rPr>
      </w:pPr>
      <w:r>
        <w:rPr>
          <w:rFonts w:hint="eastAsia" w:ascii="宋体" w:hAnsi="宋体" w:eastAsia="宋体" w:cs="宋体"/>
          <w:i/>
          <w:iCs/>
          <w:color w:val="000000"/>
          <w:sz w:val="36"/>
          <w:u w:val="single"/>
        </w:rPr>
        <w:t>八、特定资格要求的证明文件</w:t>
      </w:r>
    </w:p>
    <w:p w14:paraId="47639E3C">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（如有，请按要求提供）</w:t>
      </w:r>
    </w:p>
    <w:p w14:paraId="1C4E9C32">
      <w:pPr>
        <w:keepNext/>
        <w:keepLines/>
        <w:pageBreakBefore w:val="0"/>
        <w:wordWrap/>
        <w:overflowPunct/>
        <w:topLinePunct w:val="0"/>
        <w:bidi w:val="0"/>
        <w:spacing w:before="360" w:after="200" w:line="360" w:lineRule="auto"/>
        <w:jc w:val="left"/>
        <w:outlineLvl w:val="1"/>
        <w:rPr>
          <w:rFonts w:hint="eastAsia" w:ascii="宋体" w:hAnsi="宋体" w:eastAsia="宋体" w:cs="宋体"/>
          <w:i/>
          <w:iCs/>
          <w:color w:val="000000"/>
          <w:sz w:val="36"/>
          <w:u w:val="single"/>
        </w:rPr>
      </w:pPr>
      <w:r>
        <w:rPr>
          <w:rFonts w:hint="eastAsia" w:ascii="宋体" w:hAnsi="宋体" w:eastAsia="宋体" w:cs="宋体"/>
          <w:i/>
          <w:iCs/>
          <w:color w:val="000000"/>
          <w:sz w:val="36"/>
          <w:u w:val="single"/>
        </w:rPr>
        <w:t>九、授权委托书与法定代表人（单位负责人）身份证明</w:t>
      </w:r>
    </w:p>
    <w:p w14:paraId="554B3F34">
      <w:pPr>
        <w:pageBreakBefore w:val="0"/>
        <w:wordWrap/>
        <w:overflowPunct/>
        <w:topLinePunct w:val="0"/>
        <w:bidi w:val="0"/>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授权委托书</w:t>
      </w:r>
    </w:p>
    <w:p w14:paraId="0F4B77C7">
      <w:pPr>
        <w:pageBreakBefore w:val="0"/>
        <w:wordWrap/>
        <w:overflowPunct/>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采购单位</w:t>
      </w:r>
    </w:p>
    <w:p w14:paraId="4E70DA4B">
      <w:pPr>
        <w:pageBreakBefore w:val="0"/>
        <w:wordWrap/>
        <w:overflowPunct/>
        <w:topLinePunct w:val="0"/>
        <w:bidi w:val="0"/>
        <w:spacing w:line="360" w:lineRule="auto"/>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u w:val="single"/>
        </w:rPr>
        <w:t xml:space="preserve"> （姓名） </w:t>
      </w: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（投标人名称） </w:t>
      </w:r>
      <w:r>
        <w:rPr>
          <w:rFonts w:hint="eastAsia" w:ascii="宋体" w:hAnsi="宋体" w:eastAsia="宋体" w:cs="宋体"/>
          <w:color w:val="000000"/>
          <w:sz w:val="24"/>
          <w:szCs w:val="24"/>
        </w:rPr>
        <w:t>的法定代表人（单位负责人），现委托</w:t>
      </w:r>
      <w:r>
        <w:rPr>
          <w:rFonts w:hint="eastAsia" w:ascii="宋体" w:hAnsi="宋体" w:eastAsia="宋体" w:cs="宋体"/>
          <w:color w:val="000000"/>
          <w:sz w:val="24"/>
          <w:szCs w:val="24"/>
          <w:u w:val="single"/>
        </w:rPr>
        <w:t xml:space="preserve"> （姓名） </w:t>
      </w:r>
      <w:r>
        <w:rPr>
          <w:rFonts w:hint="eastAsia" w:ascii="宋体" w:hAnsi="宋体" w:eastAsia="宋体" w:cs="宋体"/>
          <w:color w:val="000000"/>
          <w:sz w:val="24"/>
          <w:szCs w:val="24"/>
        </w:rPr>
        <w:t>为我方代理人。代理人根据授权，以我方名义签署、澄清确认、递交、撤回、修改</w:t>
      </w:r>
      <w:r>
        <w:rPr>
          <w:rFonts w:hint="eastAsia" w:ascii="宋体" w:hAnsi="宋体" w:eastAsia="宋体" w:cs="宋体"/>
          <w:color w:val="000000"/>
          <w:sz w:val="24"/>
          <w:szCs w:val="24"/>
          <w:u w:val="single"/>
        </w:rPr>
        <w:t xml:space="preserve"> （项目名称） </w:t>
      </w:r>
      <w:r>
        <w:rPr>
          <w:rFonts w:hint="eastAsia" w:ascii="宋体" w:hAnsi="宋体" w:eastAsia="宋体" w:cs="宋体"/>
          <w:color w:val="000000"/>
          <w:sz w:val="24"/>
          <w:szCs w:val="24"/>
        </w:rPr>
        <w:t>项目（项目编号：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）投标文件和处理有关事宜，其法律后果由我方承担。</w:t>
      </w:r>
    </w:p>
    <w:p w14:paraId="0F8996A7">
      <w:pPr>
        <w:pageBreakBefore w:val="0"/>
        <w:wordWrap/>
        <w:overflowPunct/>
        <w:topLinePunct w:val="0"/>
        <w:bidi w:val="0"/>
        <w:spacing w:line="360" w:lineRule="auto"/>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委托期限：自本授权委托书签署之日起至响应有效期届满之日止。</w:t>
      </w:r>
    </w:p>
    <w:p w14:paraId="200DEBF9">
      <w:pPr>
        <w:pageBreakBefore w:val="0"/>
        <w:wordWrap/>
        <w:overflowPunct/>
        <w:topLinePunct w:val="0"/>
        <w:bidi w:val="0"/>
        <w:spacing w:line="360" w:lineRule="auto"/>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代理人无转委托权。</w:t>
      </w:r>
    </w:p>
    <w:p w14:paraId="4178556A">
      <w:pPr>
        <w:pageBreakBefore w:val="0"/>
        <w:wordWrap/>
        <w:overflowPunct/>
        <w:topLinePunct w:val="0"/>
        <w:bidi w:val="0"/>
        <w:spacing w:line="360" w:lineRule="auto"/>
        <w:ind w:firstLine="420"/>
        <w:jc w:val="left"/>
        <w:rPr>
          <w:rFonts w:hint="eastAsia" w:ascii="宋体" w:hAnsi="宋体" w:eastAsia="宋体" w:cs="宋体"/>
          <w:color w:val="000000"/>
          <w:sz w:val="24"/>
          <w:szCs w:val="24"/>
        </w:rPr>
      </w:pPr>
    </w:p>
    <w:p w14:paraId="2D57C9D9">
      <w:pPr>
        <w:pageBreakBefore w:val="0"/>
        <w:wordWrap/>
        <w:overflowPunct/>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投标人名称（加盖公章）：</w:t>
      </w:r>
      <w:r>
        <w:rPr>
          <w:rFonts w:hint="eastAsia" w:ascii="宋体" w:hAnsi="宋体" w:eastAsia="宋体" w:cs="宋体"/>
          <w:color w:val="000000"/>
          <w:sz w:val="24"/>
          <w:szCs w:val="24"/>
          <w:u w:val="single"/>
        </w:rPr>
        <w:t xml:space="preserve">             </w:t>
      </w:r>
    </w:p>
    <w:p w14:paraId="4A159BB9">
      <w:pPr>
        <w:pageBreakBefore w:val="0"/>
        <w:wordWrap/>
        <w:overflowPunct/>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法定代表人（单位负责人）（签字、签章或印鉴）：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联系方式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5D4BB68F">
      <w:pPr>
        <w:pageBreakBefore w:val="0"/>
        <w:wordWrap/>
        <w:overflowPunct/>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委托代理人（签字/签章）：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联系方式</w:t>
      </w:r>
      <w:r>
        <w:rPr>
          <w:rFonts w:hint="eastAsia" w:ascii="宋体" w:hAnsi="宋体" w:eastAsia="宋体" w:cs="宋体"/>
          <w:color w:val="000000"/>
          <w:sz w:val="24"/>
          <w:szCs w:val="24"/>
          <w:u w:val="single"/>
        </w:rPr>
        <w:t xml:space="preserve">         </w:t>
      </w:r>
    </w:p>
    <w:p w14:paraId="0956408E">
      <w:pPr>
        <w:pageBreakBefore w:val="0"/>
        <w:wordWrap/>
        <w:overflowPunct/>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6406F0B8">
      <w:pPr>
        <w:pageBreakBefore w:val="0"/>
        <w:tabs>
          <w:tab w:val="left" w:pos="5580"/>
        </w:tabs>
        <w:wordWrap/>
        <w:overflowPunct/>
        <w:topLinePunct w:val="0"/>
        <w:bidi w:val="0"/>
        <w:spacing w:line="360" w:lineRule="auto"/>
        <w:jc w:val="left"/>
        <w:rPr>
          <w:rFonts w:hint="eastAsia" w:ascii="宋体" w:hAnsi="宋体" w:eastAsia="宋体" w:cs="宋体"/>
          <w:color w:val="000000"/>
          <w:sz w:val="24"/>
          <w:szCs w:val="20"/>
        </w:rPr>
      </w:pPr>
      <w:r>
        <w:rPr>
          <w:rFonts w:hint="eastAsia" w:ascii="宋体" w:hAnsi="宋体" w:eastAsia="宋体" w:cs="宋体"/>
          <w:color w:val="000000"/>
          <w:sz w:val="24"/>
          <w:szCs w:val="20"/>
        </w:rPr>
        <w:t>法定代表人（单位负责人）有效期内的身份证</w:t>
      </w:r>
      <w:r>
        <w:rPr>
          <w:rFonts w:hint="eastAsia" w:ascii="宋体" w:hAnsi="宋体" w:eastAsia="宋体" w:cs="宋体"/>
          <w:b/>
          <w:color w:val="000000"/>
          <w:sz w:val="24"/>
          <w:szCs w:val="20"/>
        </w:rPr>
        <w:t>正反面</w:t>
      </w:r>
      <w:r>
        <w:rPr>
          <w:rFonts w:hint="eastAsia" w:ascii="宋体" w:hAnsi="宋体" w:eastAsia="宋体" w:cs="宋体"/>
          <w:color w:val="000000"/>
          <w:sz w:val="24"/>
          <w:szCs w:val="20"/>
        </w:rPr>
        <w:t>电子件：</w:t>
      </w:r>
    </w:p>
    <w:tbl>
      <w:tblPr>
        <w:tblStyle w:val="28"/>
        <w:tblW w:w="92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477D6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324B2080">
            <w:pPr>
              <w:pageBreakBefore w:val="0"/>
              <w:tabs>
                <w:tab w:val="left" w:pos="5580"/>
              </w:tabs>
              <w:wordWrap/>
              <w:overflowPunct/>
              <w:topLinePunct w:val="0"/>
              <w:bidi w:val="0"/>
              <w:spacing w:line="360" w:lineRule="auto"/>
              <w:jc w:val="left"/>
              <w:rPr>
                <w:rFonts w:hint="eastAsia" w:ascii="宋体" w:hAnsi="宋体" w:eastAsia="宋体" w:cs="宋体"/>
                <w:color w:val="000000"/>
                <w:sz w:val="24"/>
                <w:szCs w:val="20"/>
              </w:rPr>
            </w:pPr>
          </w:p>
          <w:p w14:paraId="10D03928">
            <w:pPr>
              <w:pageBreakBefore w:val="0"/>
              <w:tabs>
                <w:tab w:val="left" w:pos="5580"/>
              </w:tabs>
              <w:wordWrap/>
              <w:overflowPunct/>
              <w:topLinePunct w:val="0"/>
              <w:bidi w:val="0"/>
              <w:spacing w:line="360" w:lineRule="auto"/>
              <w:jc w:val="left"/>
              <w:rPr>
                <w:rFonts w:hint="eastAsia" w:ascii="宋体" w:hAnsi="宋体" w:eastAsia="宋体" w:cs="宋体"/>
                <w:color w:val="000000"/>
                <w:sz w:val="24"/>
                <w:szCs w:val="20"/>
              </w:rPr>
            </w:pPr>
          </w:p>
          <w:p w14:paraId="40608C81">
            <w:pPr>
              <w:pageBreakBefore w:val="0"/>
              <w:tabs>
                <w:tab w:val="left" w:pos="5580"/>
              </w:tabs>
              <w:wordWrap/>
              <w:overflowPunct/>
              <w:topLinePunct w:val="0"/>
              <w:bidi w:val="0"/>
              <w:spacing w:line="360" w:lineRule="auto"/>
              <w:jc w:val="left"/>
              <w:rPr>
                <w:rFonts w:hint="eastAsia" w:ascii="宋体" w:hAnsi="宋体" w:eastAsia="宋体" w:cs="宋体"/>
                <w:color w:val="000000"/>
                <w:sz w:val="24"/>
                <w:szCs w:val="20"/>
              </w:rPr>
            </w:pPr>
          </w:p>
        </w:tc>
        <w:tc>
          <w:tcPr>
            <w:tcW w:w="4536" w:type="dxa"/>
            <w:noWrap w:val="0"/>
            <w:vAlign w:val="top"/>
          </w:tcPr>
          <w:p w14:paraId="71D32CE6">
            <w:pPr>
              <w:pageBreakBefore w:val="0"/>
              <w:tabs>
                <w:tab w:val="left" w:pos="5580"/>
              </w:tabs>
              <w:wordWrap/>
              <w:overflowPunct/>
              <w:topLinePunct w:val="0"/>
              <w:bidi w:val="0"/>
              <w:spacing w:line="360" w:lineRule="auto"/>
              <w:jc w:val="left"/>
              <w:rPr>
                <w:rFonts w:hint="eastAsia" w:ascii="宋体" w:hAnsi="宋体" w:eastAsia="宋体" w:cs="宋体"/>
                <w:color w:val="000000"/>
                <w:sz w:val="24"/>
                <w:szCs w:val="20"/>
              </w:rPr>
            </w:pPr>
          </w:p>
          <w:p w14:paraId="24C90D3E">
            <w:pPr>
              <w:pageBreakBefore w:val="0"/>
              <w:tabs>
                <w:tab w:val="left" w:pos="5580"/>
              </w:tabs>
              <w:wordWrap/>
              <w:overflowPunct/>
              <w:topLinePunct w:val="0"/>
              <w:bidi w:val="0"/>
              <w:spacing w:line="360" w:lineRule="auto"/>
              <w:jc w:val="left"/>
              <w:rPr>
                <w:rFonts w:hint="eastAsia" w:ascii="宋体" w:hAnsi="宋体" w:eastAsia="宋体" w:cs="宋体"/>
                <w:color w:val="000000"/>
                <w:sz w:val="24"/>
                <w:szCs w:val="20"/>
              </w:rPr>
            </w:pPr>
          </w:p>
          <w:p w14:paraId="62D9CA70">
            <w:pPr>
              <w:pageBreakBefore w:val="0"/>
              <w:tabs>
                <w:tab w:val="left" w:pos="5580"/>
              </w:tabs>
              <w:wordWrap/>
              <w:overflowPunct/>
              <w:topLinePunct w:val="0"/>
              <w:bidi w:val="0"/>
              <w:spacing w:line="360" w:lineRule="auto"/>
              <w:jc w:val="left"/>
              <w:rPr>
                <w:rFonts w:hint="eastAsia" w:ascii="宋体" w:hAnsi="宋体" w:eastAsia="宋体" w:cs="宋体"/>
                <w:color w:val="000000"/>
                <w:sz w:val="24"/>
                <w:szCs w:val="20"/>
              </w:rPr>
            </w:pPr>
          </w:p>
        </w:tc>
      </w:tr>
    </w:tbl>
    <w:p w14:paraId="13816826">
      <w:pPr>
        <w:pageBreakBefore w:val="0"/>
        <w:tabs>
          <w:tab w:val="left" w:pos="5580"/>
        </w:tabs>
        <w:wordWrap/>
        <w:overflowPunct/>
        <w:topLinePunct w:val="0"/>
        <w:bidi w:val="0"/>
        <w:spacing w:line="360" w:lineRule="auto"/>
        <w:jc w:val="left"/>
        <w:rPr>
          <w:rFonts w:hint="eastAsia" w:ascii="宋体" w:hAnsi="宋体" w:eastAsia="宋体" w:cs="宋体"/>
          <w:color w:val="000000"/>
          <w:sz w:val="24"/>
          <w:szCs w:val="20"/>
        </w:rPr>
      </w:pPr>
      <w:r>
        <w:rPr>
          <w:rFonts w:hint="eastAsia" w:ascii="宋体" w:hAnsi="宋体" w:eastAsia="宋体" w:cs="宋体"/>
          <w:color w:val="000000"/>
          <w:sz w:val="24"/>
          <w:szCs w:val="20"/>
        </w:rPr>
        <w:t>委托代理人有效期内的身份证</w:t>
      </w:r>
      <w:r>
        <w:rPr>
          <w:rFonts w:hint="eastAsia" w:ascii="宋体" w:hAnsi="宋体" w:eastAsia="宋体" w:cs="宋体"/>
          <w:b/>
          <w:color w:val="000000"/>
          <w:sz w:val="24"/>
          <w:szCs w:val="20"/>
        </w:rPr>
        <w:t>正反面</w:t>
      </w:r>
      <w:r>
        <w:rPr>
          <w:rFonts w:hint="eastAsia" w:ascii="宋体" w:hAnsi="宋体" w:eastAsia="宋体" w:cs="宋体"/>
          <w:color w:val="000000"/>
          <w:sz w:val="24"/>
          <w:szCs w:val="20"/>
        </w:rPr>
        <w:t>电子件：</w:t>
      </w:r>
    </w:p>
    <w:tbl>
      <w:tblPr>
        <w:tblStyle w:val="28"/>
        <w:tblW w:w="92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0A8D0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707315EF">
            <w:pPr>
              <w:pageBreakBefore w:val="0"/>
              <w:tabs>
                <w:tab w:val="left" w:pos="5580"/>
              </w:tabs>
              <w:wordWrap/>
              <w:overflowPunct/>
              <w:topLinePunct w:val="0"/>
              <w:bidi w:val="0"/>
              <w:spacing w:line="360" w:lineRule="auto"/>
              <w:jc w:val="left"/>
              <w:rPr>
                <w:rFonts w:hint="eastAsia" w:ascii="宋体" w:hAnsi="宋体" w:eastAsia="宋体" w:cs="宋体"/>
                <w:color w:val="000000"/>
                <w:sz w:val="24"/>
                <w:szCs w:val="20"/>
              </w:rPr>
            </w:pPr>
          </w:p>
          <w:p w14:paraId="3C47D133">
            <w:pPr>
              <w:pageBreakBefore w:val="0"/>
              <w:tabs>
                <w:tab w:val="left" w:pos="5580"/>
              </w:tabs>
              <w:wordWrap/>
              <w:overflowPunct/>
              <w:topLinePunct w:val="0"/>
              <w:bidi w:val="0"/>
              <w:spacing w:line="360" w:lineRule="auto"/>
              <w:jc w:val="left"/>
              <w:rPr>
                <w:rFonts w:hint="eastAsia" w:ascii="宋体" w:hAnsi="宋体" w:eastAsia="宋体" w:cs="宋体"/>
                <w:color w:val="000000"/>
                <w:sz w:val="24"/>
                <w:szCs w:val="20"/>
              </w:rPr>
            </w:pPr>
          </w:p>
          <w:p w14:paraId="55269882">
            <w:pPr>
              <w:pageBreakBefore w:val="0"/>
              <w:tabs>
                <w:tab w:val="left" w:pos="5580"/>
              </w:tabs>
              <w:wordWrap/>
              <w:overflowPunct/>
              <w:topLinePunct w:val="0"/>
              <w:bidi w:val="0"/>
              <w:spacing w:line="360" w:lineRule="auto"/>
              <w:jc w:val="left"/>
              <w:rPr>
                <w:rFonts w:hint="eastAsia" w:ascii="宋体" w:hAnsi="宋体" w:eastAsia="宋体" w:cs="宋体"/>
                <w:color w:val="000000"/>
                <w:sz w:val="24"/>
                <w:szCs w:val="20"/>
              </w:rPr>
            </w:pPr>
          </w:p>
        </w:tc>
        <w:tc>
          <w:tcPr>
            <w:tcW w:w="4536" w:type="dxa"/>
            <w:noWrap w:val="0"/>
            <w:vAlign w:val="top"/>
          </w:tcPr>
          <w:p w14:paraId="2FBD17ED">
            <w:pPr>
              <w:pageBreakBefore w:val="0"/>
              <w:tabs>
                <w:tab w:val="left" w:pos="5580"/>
              </w:tabs>
              <w:wordWrap/>
              <w:overflowPunct/>
              <w:topLinePunct w:val="0"/>
              <w:bidi w:val="0"/>
              <w:spacing w:line="360" w:lineRule="auto"/>
              <w:jc w:val="left"/>
              <w:rPr>
                <w:rFonts w:hint="eastAsia" w:ascii="宋体" w:hAnsi="宋体" w:eastAsia="宋体" w:cs="宋体"/>
                <w:color w:val="000000"/>
                <w:sz w:val="24"/>
                <w:szCs w:val="20"/>
              </w:rPr>
            </w:pPr>
          </w:p>
          <w:p w14:paraId="364C18FA">
            <w:pPr>
              <w:pageBreakBefore w:val="0"/>
              <w:tabs>
                <w:tab w:val="left" w:pos="5580"/>
              </w:tabs>
              <w:wordWrap/>
              <w:overflowPunct/>
              <w:topLinePunct w:val="0"/>
              <w:bidi w:val="0"/>
              <w:spacing w:line="360" w:lineRule="auto"/>
              <w:jc w:val="left"/>
              <w:rPr>
                <w:rFonts w:hint="eastAsia" w:ascii="宋体" w:hAnsi="宋体" w:eastAsia="宋体" w:cs="宋体"/>
                <w:color w:val="000000"/>
                <w:sz w:val="24"/>
                <w:szCs w:val="20"/>
              </w:rPr>
            </w:pPr>
          </w:p>
          <w:p w14:paraId="1A96D7DE">
            <w:pPr>
              <w:pageBreakBefore w:val="0"/>
              <w:tabs>
                <w:tab w:val="left" w:pos="5580"/>
              </w:tabs>
              <w:wordWrap/>
              <w:overflowPunct/>
              <w:topLinePunct w:val="0"/>
              <w:bidi w:val="0"/>
              <w:spacing w:line="360" w:lineRule="auto"/>
              <w:jc w:val="left"/>
              <w:rPr>
                <w:rFonts w:hint="eastAsia" w:ascii="宋体" w:hAnsi="宋体" w:eastAsia="宋体" w:cs="宋体"/>
                <w:color w:val="000000"/>
                <w:sz w:val="24"/>
                <w:szCs w:val="20"/>
              </w:rPr>
            </w:pPr>
          </w:p>
        </w:tc>
      </w:tr>
    </w:tbl>
    <w:p w14:paraId="25E1C25B">
      <w:pPr>
        <w:pageBreakBefore w:val="0"/>
        <w:tabs>
          <w:tab w:val="left" w:pos="5580"/>
        </w:tabs>
        <w:wordWrap/>
        <w:overflowPunct/>
        <w:topLinePunct w:val="0"/>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填报说明：</w:t>
      </w:r>
    </w:p>
    <w:p w14:paraId="1769FF07">
      <w:pPr>
        <w:pageBreakBefore w:val="0"/>
        <w:tabs>
          <w:tab w:val="left" w:pos="5580"/>
        </w:tabs>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1、若</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为事业单位或其他组织或分支机构（仅当招标文件注明允许分支机构投标的），则法定代表人（单位负责人）处的签署人可为单位负责人。</w:t>
      </w:r>
    </w:p>
    <w:p w14:paraId="708D761F">
      <w:pPr>
        <w:pageBreakBefore w:val="0"/>
        <w:tabs>
          <w:tab w:val="left" w:pos="5580"/>
        </w:tabs>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2、若投标文件中全部签字之处均为法定代表人（单位负责人）本人签署，则可不提供本《授权委托书》，但须提供《法定代表人（单位负责人）身份证明》。</w:t>
      </w:r>
    </w:p>
    <w:p w14:paraId="14EBC513">
      <w:pPr>
        <w:pageBreakBefore w:val="0"/>
        <w:tabs>
          <w:tab w:val="left" w:pos="5580"/>
        </w:tabs>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为自然人的情形，可不提供本《授权委托书》。</w:t>
      </w:r>
    </w:p>
    <w:p w14:paraId="13EFF7C8">
      <w:pPr>
        <w:pageBreakBefore w:val="0"/>
        <w:tabs>
          <w:tab w:val="left" w:pos="5580"/>
        </w:tabs>
        <w:wordWrap/>
        <w:overflowPunct/>
        <w:topLinePunct w:val="0"/>
        <w:bidi w:val="0"/>
        <w:spacing w:line="360" w:lineRule="auto"/>
        <w:ind w:firstLine="48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4、请投标人如实填写联系方式并在评审过程中保持联系方式畅通，评审过程中如联系不上，由投标人承担一切不利后果。</w:t>
      </w:r>
    </w:p>
    <w:p w14:paraId="610CECCD">
      <w:pPr>
        <w:pageBreakBefore w:val="0"/>
        <w:tabs>
          <w:tab w:val="left" w:pos="5580"/>
        </w:tabs>
        <w:wordWrap/>
        <w:overflowPunct/>
        <w:topLinePunct w:val="0"/>
        <w:bidi w:val="0"/>
        <w:spacing w:line="360" w:lineRule="auto"/>
        <w:ind w:firstLine="480"/>
        <w:jc w:val="left"/>
        <w:rPr>
          <w:rFonts w:hint="eastAsia" w:ascii="宋体" w:hAnsi="宋体" w:eastAsia="宋体" w:cs="宋体"/>
          <w:color w:val="000000"/>
          <w:sz w:val="24"/>
          <w:szCs w:val="24"/>
          <w:highlight w:val="none"/>
          <w:lang w:val="en-US" w:eastAsia="zh-CN"/>
        </w:rPr>
      </w:pPr>
    </w:p>
    <w:p w14:paraId="3B545845">
      <w:pPr>
        <w:pageBreakBefore w:val="0"/>
        <w:tabs>
          <w:tab w:val="left" w:pos="5580"/>
        </w:tabs>
        <w:wordWrap/>
        <w:overflowPunct/>
        <w:topLinePunct w:val="0"/>
        <w:bidi w:val="0"/>
        <w:spacing w:line="360" w:lineRule="auto"/>
        <w:ind w:firstLine="480"/>
        <w:jc w:val="left"/>
        <w:rPr>
          <w:rFonts w:hint="eastAsia" w:ascii="宋体" w:hAnsi="宋体" w:eastAsia="宋体" w:cs="宋体"/>
          <w:color w:val="000000"/>
          <w:sz w:val="24"/>
          <w:szCs w:val="24"/>
          <w:highlight w:val="none"/>
          <w:lang w:val="en-US" w:eastAsia="zh-CN"/>
        </w:rPr>
      </w:pPr>
    </w:p>
    <w:p w14:paraId="2E6AE077">
      <w:pPr>
        <w:pageBreakBefore w:val="0"/>
        <w:tabs>
          <w:tab w:val="left" w:pos="5580"/>
        </w:tabs>
        <w:wordWrap/>
        <w:overflowPunct/>
        <w:topLinePunct w:val="0"/>
        <w:bidi w:val="0"/>
        <w:spacing w:line="360" w:lineRule="auto"/>
        <w:ind w:firstLine="480"/>
        <w:jc w:val="left"/>
        <w:rPr>
          <w:rFonts w:hint="eastAsia" w:ascii="宋体" w:hAnsi="宋体" w:eastAsia="宋体" w:cs="宋体"/>
          <w:color w:val="000000"/>
          <w:sz w:val="24"/>
          <w:szCs w:val="24"/>
          <w:highlight w:val="none"/>
          <w:lang w:val="en-US" w:eastAsia="zh-CN"/>
        </w:rPr>
      </w:pPr>
    </w:p>
    <w:p w14:paraId="7178294A">
      <w:pPr>
        <w:pageBreakBefore w:val="0"/>
        <w:tabs>
          <w:tab w:val="left" w:pos="5580"/>
        </w:tabs>
        <w:wordWrap/>
        <w:overflowPunct/>
        <w:topLinePunct w:val="0"/>
        <w:bidi w:val="0"/>
        <w:spacing w:line="360" w:lineRule="auto"/>
        <w:ind w:firstLine="480"/>
        <w:jc w:val="left"/>
        <w:rPr>
          <w:rFonts w:hint="eastAsia" w:ascii="宋体" w:hAnsi="宋体" w:eastAsia="宋体" w:cs="宋体"/>
          <w:color w:val="000000"/>
          <w:sz w:val="24"/>
          <w:szCs w:val="24"/>
          <w:highlight w:val="none"/>
          <w:lang w:val="en-US" w:eastAsia="zh-CN"/>
        </w:rPr>
      </w:pPr>
    </w:p>
    <w:p w14:paraId="16229110">
      <w:pPr>
        <w:pageBreakBefore w:val="0"/>
        <w:tabs>
          <w:tab w:val="left" w:pos="5580"/>
        </w:tabs>
        <w:wordWrap/>
        <w:overflowPunct/>
        <w:topLinePunct w:val="0"/>
        <w:bidi w:val="0"/>
        <w:spacing w:line="360" w:lineRule="auto"/>
        <w:ind w:firstLine="480"/>
        <w:jc w:val="left"/>
        <w:rPr>
          <w:rFonts w:hint="eastAsia" w:ascii="宋体" w:hAnsi="宋体" w:eastAsia="宋体" w:cs="宋体"/>
          <w:color w:val="000000"/>
          <w:sz w:val="24"/>
          <w:szCs w:val="24"/>
          <w:highlight w:val="none"/>
          <w:lang w:val="en-US" w:eastAsia="zh-CN"/>
        </w:rPr>
      </w:pPr>
    </w:p>
    <w:p w14:paraId="6262F341">
      <w:pPr>
        <w:pageBreakBefore w:val="0"/>
        <w:tabs>
          <w:tab w:val="left" w:pos="5580"/>
        </w:tabs>
        <w:wordWrap/>
        <w:overflowPunct/>
        <w:topLinePunct w:val="0"/>
        <w:bidi w:val="0"/>
        <w:spacing w:line="360" w:lineRule="auto"/>
        <w:ind w:firstLine="480"/>
        <w:jc w:val="left"/>
        <w:rPr>
          <w:rFonts w:hint="eastAsia" w:ascii="宋体" w:hAnsi="宋体" w:eastAsia="宋体" w:cs="宋体"/>
          <w:color w:val="000000"/>
          <w:sz w:val="24"/>
          <w:szCs w:val="24"/>
          <w:highlight w:val="none"/>
          <w:lang w:val="en-US" w:eastAsia="zh-CN"/>
        </w:rPr>
      </w:pPr>
    </w:p>
    <w:p w14:paraId="5070F0D2">
      <w:pPr>
        <w:pageBreakBefore w:val="0"/>
        <w:tabs>
          <w:tab w:val="left" w:pos="5580"/>
        </w:tabs>
        <w:wordWrap/>
        <w:overflowPunct/>
        <w:topLinePunct w:val="0"/>
        <w:bidi w:val="0"/>
        <w:spacing w:line="360" w:lineRule="auto"/>
        <w:ind w:firstLine="480"/>
        <w:jc w:val="left"/>
        <w:rPr>
          <w:rFonts w:hint="eastAsia" w:ascii="宋体" w:hAnsi="宋体" w:eastAsia="宋体" w:cs="宋体"/>
          <w:color w:val="000000"/>
          <w:sz w:val="24"/>
          <w:szCs w:val="24"/>
          <w:highlight w:val="none"/>
          <w:lang w:val="en-US" w:eastAsia="zh-CN"/>
        </w:rPr>
      </w:pPr>
    </w:p>
    <w:p w14:paraId="7455DCE7">
      <w:pPr>
        <w:pageBreakBefore w:val="0"/>
        <w:tabs>
          <w:tab w:val="left" w:pos="5580"/>
        </w:tabs>
        <w:wordWrap/>
        <w:overflowPunct/>
        <w:topLinePunct w:val="0"/>
        <w:bidi w:val="0"/>
        <w:spacing w:line="360" w:lineRule="auto"/>
        <w:ind w:firstLine="480"/>
        <w:jc w:val="left"/>
        <w:rPr>
          <w:rFonts w:hint="eastAsia" w:ascii="宋体" w:hAnsi="宋体" w:eastAsia="宋体" w:cs="宋体"/>
          <w:color w:val="000000"/>
          <w:sz w:val="24"/>
          <w:szCs w:val="24"/>
          <w:highlight w:val="none"/>
          <w:lang w:val="en-US" w:eastAsia="zh-CN"/>
        </w:rPr>
      </w:pPr>
    </w:p>
    <w:p w14:paraId="1EC44E6B">
      <w:pPr>
        <w:pageBreakBefore w:val="0"/>
        <w:tabs>
          <w:tab w:val="left" w:pos="5580"/>
        </w:tabs>
        <w:wordWrap/>
        <w:overflowPunct/>
        <w:topLinePunct w:val="0"/>
        <w:bidi w:val="0"/>
        <w:spacing w:line="360" w:lineRule="auto"/>
        <w:ind w:firstLine="480"/>
        <w:jc w:val="left"/>
        <w:rPr>
          <w:rFonts w:hint="eastAsia" w:ascii="宋体" w:hAnsi="宋体" w:eastAsia="宋体" w:cs="宋体"/>
          <w:color w:val="000000"/>
          <w:sz w:val="24"/>
          <w:szCs w:val="24"/>
          <w:highlight w:val="none"/>
          <w:lang w:val="en-US" w:eastAsia="zh-CN"/>
        </w:rPr>
      </w:pPr>
    </w:p>
    <w:p w14:paraId="43D1EF04">
      <w:pPr>
        <w:pageBreakBefore w:val="0"/>
        <w:tabs>
          <w:tab w:val="left" w:pos="5580"/>
        </w:tabs>
        <w:wordWrap/>
        <w:overflowPunct/>
        <w:topLinePunct w:val="0"/>
        <w:bidi w:val="0"/>
        <w:spacing w:line="360" w:lineRule="auto"/>
        <w:ind w:firstLine="480"/>
        <w:jc w:val="left"/>
        <w:rPr>
          <w:rFonts w:hint="eastAsia" w:ascii="宋体" w:hAnsi="宋体" w:eastAsia="宋体" w:cs="宋体"/>
          <w:color w:val="000000"/>
          <w:sz w:val="24"/>
          <w:szCs w:val="24"/>
          <w:highlight w:val="none"/>
          <w:lang w:val="en-US" w:eastAsia="zh-CN"/>
        </w:rPr>
      </w:pPr>
    </w:p>
    <w:p w14:paraId="6144DAB0">
      <w:pPr>
        <w:pageBreakBefore w:val="0"/>
        <w:wordWrap/>
        <w:overflowPunct/>
        <w:topLinePunct w:val="0"/>
        <w:bidi w:val="0"/>
        <w:spacing w:line="360" w:lineRule="auto"/>
        <w:rPr>
          <w:rFonts w:hint="eastAsia" w:ascii="宋体" w:hAnsi="宋体" w:eastAsia="宋体" w:cs="宋体"/>
          <w:color w:val="000000"/>
        </w:rPr>
      </w:pPr>
    </w:p>
    <w:p w14:paraId="33AF0B0A">
      <w:pPr>
        <w:pageBreakBefore w:val="0"/>
        <w:wordWrap/>
        <w:overflowPunct/>
        <w:topLinePunct w:val="0"/>
        <w:bidi w:val="0"/>
        <w:spacing w:line="360" w:lineRule="auto"/>
        <w:rPr>
          <w:rFonts w:hint="eastAsia" w:ascii="宋体" w:hAnsi="宋体" w:eastAsia="宋体" w:cs="宋体"/>
          <w:color w:val="000000"/>
        </w:rPr>
      </w:pPr>
    </w:p>
    <w:p w14:paraId="51D4D785">
      <w:pPr>
        <w:pageBreakBefore w:val="0"/>
        <w:wordWrap/>
        <w:overflowPunct/>
        <w:topLinePunct w:val="0"/>
        <w:bidi w:val="0"/>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法定代表人（单位负责人）身份证明</w:t>
      </w:r>
    </w:p>
    <w:p w14:paraId="4B8D75A2">
      <w:pPr>
        <w:pageBreakBefore w:val="0"/>
        <w:wordWrap/>
        <w:overflowPunct/>
        <w:topLinePunct w:val="0"/>
        <w:bidi w:val="0"/>
        <w:spacing w:line="360" w:lineRule="auto"/>
        <w:rPr>
          <w:rFonts w:hint="eastAsia" w:ascii="宋体" w:hAnsi="宋体" w:eastAsia="宋体" w:cs="宋体"/>
          <w:color w:val="000000"/>
          <w:sz w:val="20"/>
          <w:szCs w:val="20"/>
        </w:rPr>
      </w:pPr>
    </w:p>
    <w:p w14:paraId="4890DD4E">
      <w:pPr>
        <w:pageBreakBefore w:val="0"/>
        <w:tabs>
          <w:tab w:val="left" w:pos="5580"/>
        </w:tabs>
        <w:wordWrap/>
        <w:overflowPunct/>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 xml:space="preserve"> 采购单位 </w:t>
      </w:r>
    </w:p>
    <w:p w14:paraId="5255F75D">
      <w:pPr>
        <w:pageBreakBefore w:val="0"/>
        <w:tabs>
          <w:tab w:val="left" w:pos="567"/>
          <w:tab w:val="left" w:pos="2412"/>
          <w:tab w:val="left" w:pos="3883"/>
          <w:tab w:val="left" w:pos="5352"/>
          <w:tab w:val="left" w:pos="6821"/>
        </w:tabs>
        <w:wordWrap/>
        <w:overflowPunct/>
        <w:topLinePunct w:val="0"/>
        <w:bidi w:val="0"/>
        <w:spacing w:before="120"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兹证明，</w:t>
      </w:r>
    </w:p>
    <w:p w14:paraId="2620DDAF">
      <w:pPr>
        <w:pageBreakBefore w:val="0"/>
        <w:tabs>
          <w:tab w:val="left" w:pos="567"/>
          <w:tab w:val="left" w:pos="1690"/>
          <w:tab w:val="left" w:pos="3400"/>
          <w:tab w:val="left" w:pos="5110"/>
          <w:tab w:val="left" w:pos="6821"/>
        </w:tabs>
        <w:wordWrap/>
        <w:overflowPunct/>
        <w:topLinePunct w:val="0"/>
        <w:bidi w:val="0"/>
        <w:spacing w:before="12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性别：</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职务：</w:t>
      </w:r>
      <w:r>
        <w:rPr>
          <w:rFonts w:hint="eastAsia" w:ascii="宋体" w:hAnsi="宋体" w:eastAsia="宋体" w:cs="宋体"/>
          <w:color w:val="000000"/>
          <w:sz w:val="24"/>
          <w:szCs w:val="24"/>
          <w:u w:val="single"/>
        </w:rPr>
        <w:t xml:space="preserve">        </w:t>
      </w:r>
    </w:p>
    <w:p w14:paraId="73C09FB0">
      <w:pPr>
        <w:pageBreakBefore w:val="0"/>
        <w:tabs>
          <w:tab w:val="left" w:pos="567"/>
          <w:tab w:val="left" w:pos="2412"/>
          <w:tab w:val="left" w:pos="3883"/>
          <w:tab w:val="left" w:pos="5352"/>
          <w:tab w:val="left" w:pos="6821"/>
        </w:tabs>
        <w:wordWrap/>
        <w:overflowPunct/>
        <w:topLinePunct w:val="0"/>
        <w:bidi w:val="0"/>
        <w:spacing w:before="120" w:line="360" w:lineRule="auto"/>
        <w:rPr>
          <w:rFonts w:hint="eastAsia" w:ascii="宋体" w:hAnsi="宋体" w:eastAsia="宋体" w:cs="宋体"/>
          <w:color w:val="000000"/>
          <w:sz w:val="24"/>
          <w:szCs w:val="24"/>
        </w:rPr>
      </w:pPr>
    </w:p>
    <w:p w14:paraId="27A9DA6A">
      <w:pPr>
        <w:pageBreakBefore w:val="0"/>
        <w:tabs>
          <w:tab w:val="left" w:pos="2250"/>
          <w:tab w:val="left" w:pos="2412"/>
          <w:tab w:val="left" w:pos="3883"/>
          <w:tab w:val="left" w:pos="5352"/>
          <w:tab w:val="left" w:pos="6821"/>
        </w:tabs>
        <w:wordWrap/>
        <w:overflowPunct/>
        <w:topLinePunct w:val="0"/>
        <w:bidi w:val="0"/>
        <w:spacing w:before="12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（投标人名称） </w:t>
      </w:r>
      <w:r>
        <w:rPr>
          <w:rFonts w:hint="eastAsia" w:ascii="宋体" w:hAnsi="宋体" w:eastAsia="宋体" w:cs="宋体"/>
          <w:color w:val="000000"/>
          <w:sz w:val="24"/>
          <w:szCs w:val="24"/>
        </w:rPr>
        <w:t>的法定代表人（单位负责人）。</w:t>
      </w:r>
    </w:p>
    <w:p w14:paraId="194037C2">
      <w:pPr>
        <w:pageBreakBefore w:val="0"/>
        <w:tabs>
          <w:tab w:val="left" w:pos="567"/>
          <w:tab w:val="left" w:pos="2412"/>
          <w:tab w:val="left" w:pos="3883"/>
          <w:tab w:val="left" w:pos="5352"/>
          <w:tab w:val="left" w:pos="6821"/>
        </w:tabs>
        <w:wordWrap/>
        <w:overflowPunct/>
        <w:topLinePunct w:val="0"/>
        <w:bidi w:val="0"/>
        <w:spacing w:before="120" w:line="360" w:lineRule="auto"/>
        <w:rPr>
          <w:rFonts w:hint="eastAsia" w:ascii="宋体" w:hAnsi="宋体" w:eastAsia="宋体" w:cs="宋体"/>
          <w:color w:val="000000"/>
          <w:sz w:val="24"/>
          <w:szCs w:val="24"/>
        </w:rPr>
      </w:pPr>
    </w:p>
    <w:p w14:paraId="496913B3">
      <w:pPr>
        <w:pageBreakBefore w:val="0"/>
        <w:tabs>
          <w:tab w:val="left" w:pos="567"/>
        </w:tabs>
        <w:wordWrap/>
        <w:overflowPunct/>
        <w:topLinePunct w:val="0"/>
        <w:bidi w:val="0"/>
        <w:spacing w:before="120" w:line="360" w:lineRule="auto"/>
        <w:ind w:right="-46"/>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法</w:t>
      </w:r>
      <w:r>
        <w:rPr>
          <w:rFonts w:hint="eastAsia" w:ascii="宋体" w:hAnsi="宋体" w:eastAsia="宋体" w:cs="宋体"/>
          <w:color w:val="000000"/>
          <w:sz w:val="24"/>
          <w:szCs w:val="24"/>
        </w:rPr>
        <w:t>定</w:t>
      </w:r>
      <w:r>
        <w:rPr>
          <w:rFonts w:hint="eastAsia" w:ascii="宋体" w:hAnsi="宋体" w:eastAsia="宋体" w:cs="宋体"/>
          <w:color w:val="000000"/>
          <w:spacing w:val="-3"/>
          <w:sz w:val="24"/>
          <w:szCs w:val="24"/>
        </w:rPr>
        <w:t>代</w:t>
      </w:r>
      <w:r>
        <w:rPr>
          <w:rFonts w:hint="eastAsia" w:ascii="宋体" w:hAnsi="宋体" w:eastAsia="宋体" w:cs="宋体"/>
          <w:color w:val="000000"/>
          <w:sz w:val="24"/>
          <w:szCs w:val="24"/>
        </w:rPr>
        <w:t>表</w:t>
      </w:r>
      <w:r>
        <w:rPr>
          <w:rFonts w:hint="eastAsia" w:ascii="宋体" w:hAnsi="宋体" w:eastAsia="宋体" w:cs="宋体"/>
          <w:color w:val="000000"/>
          <w:spacing w:val="-3"/>
          <w:sz w:val="24"/>
          <w:szCs w:val="24"/>
        </w:rPr>
        <w:t>人</w:t>
      </w:r>
      <w:r>
        <w:rPr>
          <w:rFonts w:hint="eastAsia" w:ascii="宋体" w:hAnsi="宋体" w:eastAsia="宋体" w:cs="宋体"/>
          <w:color w:val="000000"/>
          <w:sz w:val="24"/>
          <w:szCs w:val="24"/>
        </w:rPr>
        <w:t>（</w:t>
      </w:r>
      <w:r>
        <w:rPr>
          <w:rFonts w:hint="eastAsia" w:ascii="宋体" w:hAnsi="宋体" w:eastAsia="宋体" w:cs="宋体"/>
          <w:color w:val="000000"/>
          <w:spacing w:val="-3"/>
          <w:sz w:val="24"/>
          <w:szCs w:val="24"/>
        </w:rPr>
        <w:t>单</w:t>
      </w:r>
      <w:r>
        <w:rPr>
          <w:rFonts w:hint="eastAsia" w:ascii="宋体" w:hAnsi="宋体" w:eastAsia="宋体" w:cs="宋体"/>
          <w:color w:val="000000"/>
          <w:sz w:val="24"/>
          <w:szCs w:val="24"/>
        </w:rPr>
        <w:t>位</w:t>
      </w:r>
      <w:r>
        <w:rPr>
          <w:rFonts w:hint="eastAsia" w:ascii="宋体" w:hAnsi="宋体" w:eastAsia="宋体" w:cs="宋体"/>
          <w:color w:val="000000"/>
          <w:spacing w:val="-3"/>
          <w:sz w:val="24"/>
          <w:szCs w:val="24"/>
        </w:rPr>
        <w:t>负</w:t>
      </w:r>
      <w:r>
        <w:rPr>
          <w:rFonts w:hint="eastAsia" w:ascii="宋体" w:hAnsi="宋体" w:eastAsia="宋体" w:cs="宋体"/>
          <w:color w:val="000000"/>
          <w:sz w:val="24"/>
          <w:szCs w:val="24"/>
        </w:rPr>
        <w:t>责人</w:t>
      </w:r>
      <w:r>
        <w:rPr>
          <w:rFonts w:hint="eastAsia" w:ascii="宋体" w:hAnsi="宋体" w:eastAsia="宋体" w:cs="宋体"/>
          <w:color w:val="000000"/>
          <w:spacing w:val="-3"/>
          <w:sz w:val="24"/>
          <w:szCs w:val="24"/>
        </w:rPr>
        <w:t>）有效期内的身份证正反面电子件：</w:t>
      </w:r>
    </w:p>
    <w:tbl>
      <w:tblPr>
        <w:tblStyle w:val="28"/>
        <w:tblW w:w="92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0BC49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558BA05C">
            <w:pPr>
              <w:pageBreakBefore w:val="0"/>
              <w:tabs>
                <w:tab w:val="left" w:pos="5580"/>
              </w:tabs>
              <w:wordWrap/>
              <w:overflowPunct/>
              <w:topLinePunct w:val="0"/>
              <w:bidi w:val="0"/>
              <w:spacing w:line="360" w:lineRule="auto"/>
              <w:jc w:val="left"/>
              <w:rPr>
                <w:rFonts w:hint="eastAsia" w:ascii="宋体" w:hAnsi="宋体" w:eastAsia="宋体" w:cs="宋体"/>
                <w:color w:val="000000"/>
                <w:sz w:val="24"/>
                <w:szCs w:val="20"/>
              </w:rPr>
            </w:pPr>
          </w:p>
          <w:p w14:paraId="281E53A0">
            <w:pPr>
              <w:pageBreakBefore w:val="0"/>
              <w:tabs>
                <w:tab w:val="left" w:pos="5580"/>
              </w:tabs>
              <w:wordWrap/>
              <w:overflowPunct/>
              <w:topLinePunct w:val="0"/>
              <w:bidi w:val="0"/>
              <w:spacing w:line="360" w:lineRule="auto"/>
              <w:jc w:val="left"/>
              <w:rPr>
                <w:rFonts w:hint="eastAsia" w:ascii="宋体" w:hAnsi="宋体" w:eastAsia="宋体" w:cs="宋体"/>
                <w:color w:val="000000"/>
                <w:sz w:val="24"/>
                <w:szCs w:val="20"/>
              </w:rPr>
            </w:pPr>
          </w:p>
          <w:p w14:paraId="7796CF60">
            <w:pPr>
              <w:pageBreakBefore w:val="0"/>
              <w:tabs>
                <w:tab w:val="left" w:pos="5580"/>
              </w:tabs>
              <w:wordWrap/>
              <w:overflowPunct/>
              <w:topLinePunct w:val="0"/>
              <w:bidi w:val="0"/>
              <w:spacing w:line="360" w:lineRule="auto"/>
              <w:jc w:val="left"/>
              <w:rPr>
                <w:rFonts w:hint="eastAsia" w:ascii="宋体" w:hAnsi="宋体" w:eastAsia="宋体" w:cs="宋体"/>
                <w:color w:val="000000"/>
                <w:sz w:val="24"/>
                <w:szCs w:val="20"/>
              </w:rPr>
            </w:pPr>
          </w:p>
        </w:tc>
        <w:tc>
          <w:tcPr>
            <w:tcW w:w="4536" w:type="dxa"/>
            <w:noWrap w:val="0"/>
            <w:vAlign w:val="top"/>
          </w:tcPr>
          <w:p w14:paraId="6B839E1A">
            <w:pPr>
              <w:pageBreakBefore w:val="0"/>
              <w:tabs>
                <w:tab w:val="left" w:pos="5580"/>
              </w:tabs>
              <w:wordWrap/>
              <w:overflowPunct/>
              <w:topLinePunct w:val="0"/>
              <w:bidi w:val="0"/>
              <w:spacing w:line="360" w:lineRule="auto"/>
              <w:jc w:val="left"/>
              <w:rPr>
                <w:rFonts w:hint="eastAsia" w:ascii="宋体" w:hAnsi="宋体" w:eastAsia="宋体" w:cs="宋体"/>
                <w:color w:val="000000"/>
                <w:sz w:val="24"/>
                <w:szCs w:val="20"/>
              </w:rPr>
            </w:pPr>
          </w:p>
          <w:p w14:paraId="00C60052">
            <w:pPr>
              <w:pageBreakBefore w:val="0"/>
              <w:tabs>
                <w:tab w:val="left" w:pos="5580"/>
              </w:tabs>
              <w:wordWrap/>
              <w:overflowPunct/>
              <w:topLinePunct w:val="0"/>
              <w:bidi w:val="0"/>
              <w:spacing w:line="360" w:lineRule="auto"/>
              <w:jc w:val="left"/>
              <w:rPr>
                <w:rFonts w:hint="eastAsia" w:ascii="宋体" w:hAnsi="宋体" w:eastAsia="宋体" w:cs="宋体"/>
                <w:color w:val="000000"/>
                <w:sz w:val="24"/>
                <w:szCs w:val="20"/>
              </w:rPr>
            </w:pPr>
          </w:p>
          <w:p w14:paraId="4FEBAB22">
            <w:pPr>
              <w:pageBreakBefore w:val="0"/>
              <w:tabs>
                <w:tab w:val="left" w:pos="5580"/>
              </w:tabs>
              <w:wordWrap/>
              <w:overflowPunct/>
              <w:topLinePunct w:val="0"/>
              <w:bidi w:val="0"/>
              <w:spacing w:line="360" w:lineRule="auto"/>
              <w:jc w:val="left"/>
              <w:rPr>
                <w:rFonts w:hint="eastAsia" w:ascii="宋体" w:hAnsi="宋体" w:eastAsia="宋体" w:cs="宋体"/>
                <w:color w:val="000000"/>
                <w:sz w:val="24"/>
                <w:szCs w:val="20"/>
              </w:rPr>
            </w:pPr>
          </w:p>
        </w:tc>
      </w:tr>
    </w:tbl>
    <w:p w14:paraId="48AD0066">
      <w:pPr>
        <w:pageBreakBefore w:val="0"/>
        <w:tabs>
          <w:tab w:val="left" w:pos="567"/>
        </w:tabs>
        <w:wordWrap/>
        <w:overflowPunct/>
        <w:topLinePunct w:val="0"/>
        <w:bidi w:val="0"/>
        <w:spacing w:before="120" w:line="360" w:lineRule="auto"/>
        <w:ind w:right="4305"/>
        <w:rPr>
          <w:rFonts w:hint="eastAsia" w:ascii="宋体" w:hAnsi="宋体" w:eastAsia="宋体" w:cs="宋体"/>
          <w:color w:val="000000"/>
          <w:spacing w:val="-3"/>
          <w:sz w:val="24"/>
          <w:szCs w:val="24"/>
        </w:rPr>
      </w:pPr>
    </w:p>
    <w:p w14:paraId="03FEBDA4">
      <w:pPr>
        <w:pageBreakBefore w:val="0"/>
        <w:wordWrap/>
        <w:overflowPunct/>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投标人名称（加盖公章）</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u w:val="single"/>
        </w:rPr>
        <w:t xml:space="preserve">             </w:t>
      </w:r>
    </w:p>
    <w:p w14:paraId="555B89D5">
      <w:pPr>
        <w:pageBreakBefore w:val="0"/>
        <w:wordWrap/>
        <w:overflowPunct/>
        <w:topLinePunct w:val="0"/>
        <w:bidi w:val="0"/>
        <w:spacing w:line="360" w:lineRule="auto"/>
        <w:rPr>
          <w:rFonts w:hint="eastAsia" w:ascii="宋体" w:hAnsi="宋体" w:eastAsia="宋体" w:cs="宋体"/>
          <w:color w:val="000000"/>
          <w:sz w:val="24"/>
          <w:szCs w:val="24"/>
          <w:u w:val="none"/>
          <w:lang w:eastAsia="zh-CN"/>
        </w:rPr>
      </w:pPr>
      <w:r>
        <w:rPr>
          <w:rFonts w:hint="eastAsia" w:ascii="宋体" w:hAnsi="宋体" w:eastAsia="宋体" w:cs="宋体"/>
          <w:color w:val="000000"/>
          <w:spacing w:val="-3"/>
          <w:sz w:val="24"/>
          <w:szCs w:val="24"/>
        </w:rPr>
        <w:t>法定代表人（</w:t>
      </w:r>
      <w:r>
        <w:rPr>
          <w:rFonts w:hint="eastAsia" w:ascii="宋体" w:hAnsi="宋体" w:eastAsia="宋体" w:cs="宋体"/>
          <w:color w:val="000000"/>
          <w:sz w:val="24"/>
          <w:szCs w:val="24"/>
        </w:rPr>
        <w:t>单位负责人</w:t>
      </w:r>
      <w:r>
        <w:rPr>
          <w:rFonts w:hint="eastAsia" w:ascii="宋体" w:hAnsi="宋体" w:eastAsia="宋体" w:cs="宋体"/>
          <w:color w:val="000000"/>
          <w:spacing w:val="-3"/>
          <w:sz w:val="24"/>
          <w:szCs w:val="24"/>
        </w:rPr>
        <w:t>）（签字、签章或印鉴）：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lang w:eastAsia="zh-CN"/>
        </w:rPr>
        <w:t>；</w:t>
      </w:r>
    </w:p>
    <w:p w14:paraId="4C45CED5">
      <w:pPr>
        <w:pageBreakBefore w:val="0"/>
        <w:wordWrap/>
        <w:overflowPunct/>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法定代表人（</w:t>
      </w:r>
      <w:r>
        <w:rPr>
          <w:rFonts w:hint="eastAsia" w:ascii="宋体" w:hAnsi="宋体" w:eastAsia="宋体" w:cs="宋体"/>
          <w:color w:val="000000"/>
          <w:sz w:val="24"/>
          <w:szCs w:val="24"/>
        </w:rPr>
        <w:t>单位负责人</w:t>
      </w:r>
      <w:r>
        <w:rPr>
          <w:rFonts w:hint="eastAsia" w:ascii="宋体" w:hAnsi="宋体" w:eastAsia="宋体" w:cs="宋体"/>
          <w:color w:val="000000"/>
          <w:spacing w:val="-3"/>
          <w:sz w:val="24"/>
          <w:szCs w:val="24"/>
        </w:rPr>
        <w:t>）</w:t>
      </w:r>
      <w:r>
        <w:rPr>
          <w:rFonts w:hint="eastAsia" w:ascii="宋体" w:hAnsi="宋体" w:eastAsia="宋体" w:cs="宋体"/>
          <w:color w:val="000000"/>
          <w:sz w:val="24"/>
          <w:szCs w:val="24"/>
          <w:lang w:val="en-US" w:eastAsia="zh-CN"/>
        </w:rPr>
        <w:t>联系方式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02766D97">
      <w:pPr>
        <w:pageBreakBefore w:val="0"/>
        <w:wordWrap/>
        <w:overflowPunct/>
        <w:topLinePunct w:val="0"/>
        <w:bidi w:val="0"/>
        <w:spacing w:line="360" w:lineRule="auto"/>
        <w:rPr>
          <w:rFonts w:hint="eastAsia" w:ascii="宋体" w:hAnsi="宋体" w:eastAsia="宋体" w:cs="宋体"/>
          <w:color w:val="000000"/>
          <w:sz w:val="24"/>
          <w:szCs w:val="24"/>
        </w:rPr>
      </w:pPr>
    </w:p>
    <w:p w14:paraId="6C28689A">
      <w:pPr>
        <w:pageBreakBefore w:val="0"/>
        <w:wordWrap/>
        <w:overflowPunct/>
        <w:topLinePunct w:val="0"/>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67B80D0D">
      <w:pPr>
        <w:pageBreakBefore w:val="0"/>
        <w:tabs>
          <w:tab w:val="left" w:pos="5580"/>
        </w:tabs>
        <w:wordWrap/>
        <w:overflowPunct/>
        <w:topLinePunct w:val="0"/>
        <w:bidi w:val="0"/>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注：请投标人如实填写联系方式并在评审过程中保持联系方式畅通，评审过程中如联系不上，由投标人承担一切不利后果。</w:t>
      </w:r>
    </w:p>
    <w:p w14:paraId="184D83F4">
      <w:pPr>
        <w:keepNext/>
        <w:keepLines/>
        <w:pageBreakBefore w:val="0"/>
        <w:wordWrap/>
        <w:overflowPunct/>
        <w:topLinePunct w:val="0"/>
        <w:bidi w:val="0"/>
        <w:spacing w:before="260" w:after="260" w:line="360" w:lineRule="auto"/>
        <w:jc w:val="left"/>
        <w:outlineLvl w:val="1"/>
        <w:rPr>
          <w:rFonts w:hint="eastAsia" w:ascii="宋体" w:hAnsi="宋体" w:eastAsia="宋体" w:cs="宋体"/>
          <w:b/>
          <w:i/>
          <w:color w:val="000000"/>
          <w:sz w:val="32"/>
          <w:szCs w:val="32"/>
          <w:u w:val="single"/>
        </w:rPr>
      </w:pPr>
      <w:r>
        <w:rPr>
          <w:rFonts w:hint="eastAsia" w:ascii="宋体" w:hAnsi="宋体" w:eastAsia="宋体" w:cs="宋体"/>
          <w:i/>
          <w:iCs/>
          <w:color w:val="000000"/>
          <w:sz w:val="36"/>
          <w:u w:val="single"/>
        </w:rPr>
        <w:t>十、投标函</w:t>
      </w:r>
    </w:p>
    <w:p w14:paraId="281465A1">
      <w:pPr>
        <w:pageBreakBefore w:val="0"/>
        <w:tabs>
          <w:tab w:val="left" w:pos="360"/>
        </w:tabs>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bCs/>
          <w:color w:val="000000"/>
          <w:sz w:val="36"/>
          <w:szCs w:val="28"/>
        </w:rPr>
        <w:t>投标函</w:t>
      </w:r>
    </w:p>
    <w:p w14:paraId="2BC19A18">
      <w:pPr>
        <w:keepNext w:val="0"/>
        <w:keepLines w:val="0"/>
        <w:pageBreakBefore w:val="0"/>
        <w:widowControl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000000"/>
          <w:sz w:val="24"/>
          <w:szCs w:val="21"/>
          <w:lang w:eastAsia="zh-CN"/>
        </w:rPr>
      </w:pPr>
      <w:r>
        <w:rPr>
          <w:rFonts w:hint="eastAsia" w:ascii="宋体" w:hAnsi="宋体" w:eastAsia="宋体" w:cs="宋体"/>
          <w:color w:val="000000"/>
          <w:sz w:val="24"/>
          <w:szCs w:val="21"/>
        </w:rPr>
        <w:t>致：</w:t>
      </w:r>
      <w:r>
        <w:rPr>
          <w:rFonts w:hint="eastAsia" w:ascii="宋体" w:hAnsi="宋体" w:eastAsia="宋体" w:cs="宋体"/>
          <w:color w:val="000000"/>
          <w:sz w:val="24"/>
          <w:szCs w:val="21"/>
          <w:lang w:eastAsia="zh-CN"/>
        </w:rPr>
        <w:t>东海县残疾人联合会</w:t>
      </w:r>
    </w:p>
    <w:p w14:paraId="0784AD6B">
      <w:pPr>
        <w:keepNext w:val="0"/>
        <w:keepLines w:val="0"/>
        <w:pageBreakBefore w:val="0"/>
        <w:widowControl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根据贵方的</w:t>
      </w:r>
      <w:r>
        <w:rPr>
          <w:rFonts w:hint="eastAsia" w:ascii="宋体" w:hAnsi="宋体" w:cs="宋体"/>
          <w:color w:val="000000"/>
          <w:sz w:val="24"/>
          <w:szCs w:val="21"/>
          <w:lang w:eastAsia="zh-CN"/>
        </w:rPr>
        <w:t>JSZC-320722-JSYA-G2025-0005</w:t>
      </w:r>
      <w:r>
        <w:rPr>
          <w:rFonts w:hint="eastAsia" w:ascii="宋体" w:hAnsi="宋体" w:cs="宋体"/>
          <w:color w:val="000000"/>
          <w:sz w:val="24"/>
          <w:szCs w:val="21"/>
          <w:lang w:eastAsia="zh-CN"/>
        </w:rPr>
        <w:tab/>
      </w:r>
      <w:r>
        <w:rPr>
          <w:rFonts w:hint="eastAsia" w:ascii="宋体" w:hAnsi="宋体" w:eastAsia="宋体" w:cs="宋体"/>
          <w:color w:val="000000"/>
          <w:sz w:val="24"/>
          <w:szCs w:val="21"/>
        </w:rPr>
        <w:t>___________号招标文件，正式授权下述签字人____________(姓名)代表我方_________（投标人的名称），全权处理本次项目投标的有关事宜。</w:t>
      </w:r>
    </w:p>
    <w:p w14:paraId="00BB98A7">
      <w:pPr>
        <w:keepNext w:val="0"/>
        <w:keepLines w:val="0"/>
        <w:pageBreakBefore w:val="0"/>
        <w:widowControl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据此函，_______签字人兹宣布同意如下：</w:t>
      </w:r>
    </w:p>
    <w:p w14:paraId="379512F3">
      <w:pPr>
        <w:keepNext w:val="0"/>
        <w:keepLines w:val="0"/>
        <w:pageBreakBefore w:val="0"/>
        <w:widowControl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1.按招标文件规定的各项要求，向买方提供所需服务（包含与服务相关的货物、工程）。</w:t>
      </w:r>
    </w:p>
    <w:p w14:paraId="509AE655">
      <w:pPr>
        <w:keepNext w:val="0"/>
        <w:keepLines w:val="0"/>
        <w:pageBreakBefore w:val="0"/>
        <w:widowControl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2.我们完全理解贵方不一定将合同授予最低报价的投标人。</w:t>
      </w:r>
    </w:p>
    <w:p w14:paraId="67D70EF8">
      <w:pPr>
        <w:keepNext w:val="0"/>
        <w:keepLines w:val="0"/>
        <w:pageBreakBefore w:val="0"/>
        <w:widowControl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3.我们已详细审核全部招标文件及其有效补充文件，我们知道必须放弃提出含糊不清或误解问题的权利。</w:t>
      </w:r>
    </w:p>
    <w:p w14:paraId="4A5D9417">
      <w:pPr>
        <w:keepNext w:val="0"/>
        <w:keepLines w:val="0"/>
        <w:pageBreakBefore w:val="0"/>
        <w:widowControl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4.我们同意从规定的开标日期起遵循本投标文件，并在规定的投标有效期期满之前均具有约束力。</w:t>
      </w:r>
    </w:p>
    <w:p w14:paraId="73C8F175">
      <w:pPr>
        <w:keepNext w:val="0"/>
        <w:keepLines w:val="0"/>
        <w:pageBreakBefore w:val="0"/>
        <w:widowControl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5.同意向贵方提供贵方可能另外要求的与投标有关的任何证据或资料，并保证我方已提供和将要提供的文件是真实的、准确的。</w:t>
      </w:r>
    </w:p>
    <w:p w14:paraId="44D1EED7">
      <w:pPr>
        <w:keepNext w:val="0"/>
        <w:keepLines w:val="0"/>
        <w:pageBreakBefore w:val="0"/>
        <w:widowControl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6.一旦我方中标,我方将根据招标文件的规定，严格履行合同的责任和义务,并保证在招标文件规定的时间完成项目，交付买方验收、使用。</w:t>
      </w:r>
    </w:p>
    <w:p w14:paraId="070738A9">
      <w:pPr>
        <w:keepNext w:val="0"/>
        <w:keepLines w:val="0"/>
        <w:pageBreakBefore w:val="0"/>
        <w:widowControl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7.与本投标有关的正式通讯地址为：</w:t>
      </w:r>
    </w:p>
    <w:p w14:paraId="09C4A730">
      <w:pPr>
        <w:keepNext w:val="0"/>
        <w:keepLines w:val="0"/>
        <w:pageBreakBefore w:val="0"/>
        <w:widowControl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地        址：</w:t>
      </w:r>
    </w:p>
    <w:p w14:paraId="000C2DAD">
      <w:pPr>
        <w:keepNext w:val="0"/>
        <w:keepLines w:val="0"/>
        <w:pageBreakBefore w:val="0"/>
        <w:widowControl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邮        编：</w:t>
      </w:r>
    </w:p>
    <w:p w14:paraId="50E0EE5C">
      <w:pPr>
        <w:keepNext w:val="0"/>
        <w:keepLines w:val="0"/>
        <w:pageBreakBefore w:val="0"/>
        <w:widowControl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电        话：</w:t>
      </w:r>
    </w:p>
    <w:p w14:paraId="41CA072B">
      <w:pPr>
        <w:keepNext w:val="0"/>
        <w:keepLines w:val="0"/>
        <w:pageBreakBefore w:val="0"/>
        <w:widowControl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传        真：</w:t>
      </w:r>
    </w:p>
    <w:p w14:paraId="6C261A7E">
      <w:pPr>
        <w:keepNext w:val="0"/>
        <w:keepLines w:val="0"/>
        <w:pageBreakBefore w:val="0"/>
        <w:widowControl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投标人开户行：</w:t>
      </w:r>
    </w:p>
    <w:p w14:paraId="3DF99142">
      <w:pPr>
        <w:keepNext w:val="0"/>
        <w:keepLines w:val="0"/>
        <w:pageBreakBefore w:val="0"/>
        <w:widowControl w:val="0"/>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账        号： </w:t>
      </w:r>
    </w:p>
    <w:p w14:paraId="6C2C752F">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投标人（盖章）：</w:t>
      </w:r>
    </w:p>
    <w:p w14:paraId="7425287A">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法定代表人（单位负责人）或委托代理人（签字或盖章）：</w:t>
      </w:r>
    </w:p>
    <w:p w14:paraId="39289DD6">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24727B19">
      <w:pPr>
        <w:keepNext/>
        <w:keepLines/>
        <w:pageBreakBefore w:val="0"/>
        <w:wordWrap/>
        <w:overflowPunct/>
        <w:topLinePunct w:val="0"/>
        <w:bidi w:val="0"/>
        <w:spacing w:before="360" w:after="200" w:line="360" w:lineRule="auto"/>
        <w:jc w:val="left"/>
        <w:outlineLvl w:val="1"/>
        <w:rPr>
          <w:rFonts w:hint="eastAsia" w:ascii="宋体" w:hAnsi="宋体" w:eastAsia="宋体" w:cs="宋体"/>
          <w:color w:val="000000"/>
          <w:sz w:val="36"/>
        </w:rPr>
      </w:pPr>
      <w:r>
        <w:rPr>
          <w:rFonts w:hint="eastAsia" w:ascii="宋体" w:hAnsi="宋体" w:eastAsia="宋体" w:cs="宋体"/>
          <w:color w:val="000000"/>
          <w:sz w:val="36"/>
        </w:rPr>
        <w:t>十一、中小企业声明函（服务）（分包号：**）</w:t>
      </w:r>
    </w:p>
    <w:p w14:paraId="664815C2">
      <w:pPr>
        <w:pageBreakBefore w:val="0"/>
        <w:tabs>
          <w:tab w:val="left" w:pos="360"/>
        </w:tabs>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bCs/>
          <w:color w:val="000000"/>
          <w:sz w:val="36"/>
          <w:szCs w:val="28"/>
        </w:rPr>
        <w:t>中小企业声明函</w:t>
      </w:r>
    </w:p>
    <w:p w14:paraId="6B1DCAE0">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000000"/>
          <w:sz w:val="24"/>
          <w:szCs w:val="24"/>
        </w:rPr>
      </w:pPr>
    </w:p>
    <w:p w14:paraId="308877F6">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宋体" w:hAnsi="宋体" w:eastAsia="宋体" w:cs="宋体"/>
          <w:color w:val="000000"/>
          <w:sz w:val="24"/>
        </w:rPr>
      </w:pPr>
      <w:r>
        <w:rPr>
          <w:rFonts w:hint="eastAsia" w:ascii="宋体" w:hAnsi="宋体" w:eastAsia="宋体" w:cs="宋体"/>
          <w:color w:val="000000"/>
          <w:sz w:val="24"/>
          <w:szCs w:val="24"/>
        </w:rPr>
        <w:t>本公司（联合体）郑重声明，根据《政府采购促进中小企业发展管理办法》(财库〔2020〕46号)的规定，本公司（联合体）参加</w:t>
      </w:r>
      <w:r>
        <w:rPr>
          <w:rFonts w:hint="eastAsia" w:ascii="宋体" w:hAnsi="宋体" w:eastAsia="宋体" w:cs="宋体"/>
          <w:color w:val="000000"/>
          <w:sz w:val="24"/>
          <w:szCs w:val="24"/>
          <w:u w:val="single"/>
        </w:rPr>
        <w:t>（单位名称）</w:t>
      </w:r>
      <w:r>
        <w:rPr>
          <w:rFonts w:hint="eastAsia" w:ascii="宋体" w:hAnsi="宋体" w:eastAsia="宋体" w:cs="宋体"/>
          <w:color w:val="000000"/>
          <w:sz w:val="24"/>
          <w:szCs w:val="24"/>
        </w:rPr>
        <w:t>的</w:t>
      </w:r>
      <w:r>
        <w:rPr>
          <w:rFonts w:hint="eastAsia" w:ascii="宋体" w:hAnsi="宋体" w:eastAsia="宋体" w:cs="宋体"/>
          <w:color w:val="000000"/>
          <w:sz w:val="24"/>
          <w:szCs w:val="24"/>
          <w:u w:val="single"/>
        </w:rPr>
        <w:t>（项目名称）</w:t>
      </w:r>
      <w:r>
        <w:rPr>
          <w:rFonts w:hint="eastAsia" w:ascii="宋体" w:hAnsi="宋体" w:eastAsia="宋体" w:cs="宋体"/>
          <w:color w:val="000000"/>
          <w:sz w:val="24"/>
          <w:szCs w:val="24"/>
        </w:rPr>
        <w:t>（项目编号：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，分包号：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）采购活动，提供的</w:t>
      </w:r>
      <w:r>
        <w:rPr>
          <w:rFonts w:hint="eastAsia" w:ascii="宋体" w:hAnsi="宋体" w:eastAsia="宋体" w:cs="宋体"/>
          <w:color w:val="000000"/>
          <w:sz w:val="24"/>
        </w:rPr>
        <w:t>服务全部由符合政策要求的中小企业承接。</w:t>
      </w:r>
    </w:p>
    <w:p w14:paraId="2ADD6F1C">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宋体" w:hAnsi="宋体" w:eastAsia="宋体" w:cs="宋体"/>
          <w:i/>
          <w:color w:val="000000"/>
          <w:sz w:val="24"/>
          <w:szCs w:val="24"/>
          <w:u w:val="single"/>
        </w:rPr>
      </w:pPr>
      <w:r>
        <w:rPr>
          <w:rFonts w:hint="eastAsia" w:ascii="宋体" w:hAnsi="宋体" w:eastAsia="宋体" w:cs="宋体"/>
          <w:color w:val="000000"/>
          <w:sz w:val="24"/>
          <w:szCs w:val="24"/>
          <w:u w:val="single"/>
        </w:rPr>
        <w:t>（标的名称）</w:t>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（采购文件中明确的所属行业）</w:t>
      </w:r>
      <w:r>
        <w:rPr>
          <w:rFonts w:hint="eastAsia" w:ascii="宋体" w:hAnsi="宋体" w:eastAsia="宋体" w:cs="宋体"/>
          <w:color w:val="000000"/>
          <w:sz w:val="24"/>
          <w:szCs w:val="24"/>
        </w:rPr>
        <w:t>行业；承接企业为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万元，属于</w:t>
      </w:r>
      <w:r>
        <w:rPr>
          <w:rFonts w:hint="eastAsia" w:ascii="宋体" w:hAnsi="宋体" w:eastAsia="宋体" w:cs="宋体"/>
          <w:color w:val="000000"/>
          <w:sz w:val="24"/>
          <w:szCs w:val="24"/>
          <w:u w:val="single"/>
        </w:rPr>
        <w:t>（中型企业、小型企业、微型企业）</w:t>
      </w:r>
      <w:r>
        <w:rPr>
          <w:rFonts w:hint="eastAsia" w:ascii="宋体" w:hAnsi="宋体" w:eastAsia="宋体" w:cs="宋体"/>
          <w:color w:val="000000"/>
          <w:sz w:val="24"/>
          <w:szCs w:val="24"/>
        </w:rPr>
        <w:t>。</w:t>
      </w:r>
    </w:p>
    <w:p w14:paraId="6191658C">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以上企业，不属于大企业的分支机构，不存在控股股东为大企业的情形，也不存在与大企业的负责人为同一人的情形。</w:t>
      </w:r>
    </w:p>
    <w:p w14:paraId="331446D8">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本企业对上述声明内容的真实性负责。如有虚假，将依法承担相应责任。</w:t>
      </w:r>
    </w:p>
    <w:p w14:paraId="577C7407">
      <w:pPr>
        <w:keepNext w:val="0"/>
        <w:keepLines w:val="0"/>
        <w:pageBreakBefore w:val="0"/>
        <w:widowControl w:val="0"/>
        <w:kinsoku/>
        <w:wordWrap/>
        <w:overflowPunct/>
        <w:topLinePunct w:val="0"/>
        <w:autoSpaceDE/>
        <w:autoSpaceDN/>
        <w:bidi w:val="0"/>
        <w:adjustRightInd/>
        <w:snapToGrid/>
        <w:spacing w:line="580" w:lineRule="exact"/>
        <w:ind w:right="1620" w:firstLine="28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企业名称（盖章）：</w:t>
      </w:r>
    </w:p>
    <w:p w14:paraId="76747B76">
      <w:pPr>
        <w:keepNext w:val="0"/>
        <w:keepLines w:val="0"/>
        <w:pageBreakBefore w:val="0"/>
        <w:widowControl w:val="0"/>
        <w:kinsoku/>
        <w:wordWrap/>
        <w:overflowPunct/>
        <w:topLinePunct w:val="0"/>
        <w:autoSpaceDE/>
        <w:autoSpaceDN/>
        <w:bidi w:val="0"/>
        <w:adjustRightInd/>
        <w:snapToGrid/>
        <w:spacing w:line="580" w:lineRule="exact"/>
        <w:ind w:right="1140" w:firstLine="28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日   期：</w:t>
      </w:r>
    </w:p>
    <w:p w14:paraId="20BE5E0C">
      <w:pPr>
        <w:keepNext w:val="0"/>
        <w:keepLines w:val="0"/>
        <w:pageBreakBefore w:val="0"/>
        <w:widowControl w:val="0"/>
        <w:kinsoku/>
        <w:wordWrap/>
        <w:overflowPunct/>
        <w:topLinePunct w:val="0"/>
        <w:autoSpaceDE/>
        <w:autoSpaceDN/>
        <w:bidi w:val="0"/>
        <w:adjustRightInd/>
        <w:snapToGrid/>
        <w:spacing w:line="580" w:lineRule="exact"/>
        <w:ind w:right="1140" w:firstLine="28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填报说明：</w:t>
      </w:r>
    </w:p>
    <w:p w14:paraId="468B14ED">
      <w:pPr>
        <w:keepNext w:val="0"/>
        <w:keepLines w:val="0"/>
        <w:pageBreakBefore w:val="0"/>
        <w:widowControl w:val="0"/>
        <w:kinsoku/>
        <w:wordWrap/>
        <w:overflowPunct/>
        <w:topLinePunct w:val="0"/>
        <w:autoSpaceDE/>
        <w:autoSpaceDN/>
        <w:bidi w:val="0"/>
        <w:adjustRightInd/>
        <w:snapToGrid/>
        <w:spacing w:line="580" w:lineRule="exact"/>
        <w:ind w:right="1140" w:firstLine="2880"/>
        <w:textAlignment w:val="auto"/>
        <w:rPr>
          <w:rFonts w:hint="eastAsia" w:ascii="宋体" w:hAnsi="宋体" w:eastAsia="宋体" w:cs="宋体"/>
          <w:color w:val="000000"/>
          <w:sz w:val="24"/>
          <w:szCs w:val="24"/>
        </w:rPr>
      </w:pPr>
    </w:p>
    <w:p w14:paraId="0F0B9D1C">
      <w:pPr>
        <w:keepNext w:val="0"/>
        <w:keepLines w:val="0"/>
        <w:pageBreakBefore w:val="0"/>
        <w:widowControl w:val="0"/>
        <w:kinsoku/>
        <w:wordWrap/>
        <w:overflowPunct/>
        <w:topLinePunct w:val="0"/>
        <w:autoSpaceDE/>
        <w:autoSpaceDN/>
        <w:bidi w:val="0"/>
        <w:adjustRightInd/>
        <w:snapToGrid/>
        <w:spacing w:line="580" w:lineRule="exact"/>
        <w:ind w:right="1140" w:firstLine="2880"/>
        <w:textAlignment w:val="auto"/>
        <w:rPr>
          <w:rFonts w:hint="eastAsia" w:ascii="宋体" w:hAnsi="宋体" w:eastAsia="宋体" w:cs="宋体"/>
          <w:color w:val="000000"/>
          <w:sz w:val="24"/>
          <w:szCs w:val="24"/>
        </w:rPr>
      </w:pPr>
    </w:p>
    <w:p w14:paraId="7A77F446">
      <w:pPr>
        <w:keepNext w:val="0"/>
        <w:keepLines w:val="0"/>
        <w:pageBreakBefore w:val="0"/>
        <w:widowControl w:val="0"/>
        <w:kinsoku/>
        <w:wordWrap/>
        <w:overflowPunct/>
        <w:topLinePunct w:val="0"/>
        <w:autoSpaceDE/>
        <w:autoSpaceDN/>
        <w:bidi w:val="0"/>
        <w:adjustRightInd/>
        <w:snapToGrid/>
        <w:spacing w:line="580" w:lineRule="exact"/>
        <w:ind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1、从业人员、营业收入、资产总额填报上一年度数据，无上一年度数据的新成立企业可不填报。</w:t>
      </w:r>
    </w:p>
    <w:p w14:paraId="3981AC2F">
      <w:pPr>
        <w:keepNext w:val="0"/>
        <w:keepLines w:val="0"/>
        <w:pageBreakBefore w:val="0"/>
        <w:widowControl w:val="0"/>
        <w:kinsoku/>
        <w:wordWrap/>
        <w:overflowPunct/>
        <w:topLinePunct w:val="0"/>
        <w:autoSpaceDE/>
        <w:autoSpaceDN/>
        <w:bidi w:val="0"/>
        <w:adjustRightInd/>
        <w:snapToGrid/>
        <w:spacing w:line="580" w:lineRule="exact"/>
        <w:ind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2、请</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如实填写，</w:t>
      </w:r>
      <w:r>
        <w:rPr>
          <w:rFonts w:hint="eastAsia" w:ascii="宋体" w:hAnsi="宋体" w:eastAsia="宋体" w:cs="宋体"/>
          <w:color w:val="000000"/>
          <w:sz w:val="24"/>
        </w:rPr>
        <w:t>所填内容将作为评审的依据</w:t>
      </w:r>
      <w:r>
        <w:rPr>
          <w:rFonts w:hint="eastAsia" w:ascii="宋体" w:hAnsi="宋体" w:eastAsia="宋体" w:cs="宋体"/>
          <w:color w:val="000000"/>
          <w:sz w:val="24"/>
          <w:szCs w:val="24"/>
        </w:rPr>
        <w:t>，如填写不完整或不一致或填写有误，将承担一切不利后果。</w:t>
      </w:r>
    </w:p>
    <w:p w14:paraId="20E5BDE8">
      <w:pPr>
        <w:keepNext w:val="0"/>
        <w:keepLines w:val="0"/>
        <w:pageBreakBefore w:val="0"/>
        <w:widowControl w:val="0"/>
        <w:kinsoku/>
        <w:wordWrap/>
        <w:overflowPunct/>
        <w:topLinePunct w:val="0"/>
        <w:autoSpaceDE/>
        <w:autoSpaceDN/>
        <w:bidi w:val="0"/>
        <w:adjustRightInd/>
        <w:snapToGrid/>
        <w:spacing w:line="580" w:lineRule="exact"/>
        <w:ind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3、项目属性为服务，声明函中不对其中涉及的货物的承接商作出要求。</w:t>
      </w:r>
    </w:p>
    <w:p w14:paraId="4CE2A244">
      <w:pPr>
        <w:keepNext w:val="0"/>
        <w:keepLines w:val="0"/>
        <w:pageBreakBefore w:val="0"/>
        <w:widowControl w:val="0"/>
        <w:kinsoku/>
        <w:wordWrap/>
        <w:overflowPunct/>
        <w:topLinePunct w:val="0"/>
        <w:autoSpaceDE/>
        <w:autoSpaceDN/>
        <w:bidi w:val="0"/>
        <w:adjustRightInd/>
        <w:snapToGrid/>
        <w:spacing w:line="580" w:lineRule="exact"/>
        <w:ind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4、中标人的《中小企业声明函》随中标结果公开，接受社会监督。</w:t>
      </w:r>
    </w:p>
    <w:p w14:paraId="11F39786">
      <w:pPr>
        <w:pageBreakBefore w:val="0"/>
        <w:wordWrap/>
        <w:overflowPunct/>
        <w:topLinePunct w:val="0"/>
        <w:bidi w:val="0"/>
        <w:spacing w:line="360" w:lineRule="auto"/>
        <w:rPr>
          <w:rFonts w:hint="eastAsia" w:ascii="宋体" w:hAnsi="宋体" w:eastAsia="宋体" w:cs="宋体"/>
          <w:color w:val="000000"/>
        </w:rPr>
      </w:pPr>
    </w:p>
    <w:p w14:paraId="727F2C24">
      <w:pPr>
        <w:keepNext/>
        <w:keepLines/>
        <w:pageBreakBefore w:val="0"/>
        <w:wordWrap/>
        <w:overflowPunct/>
        <w:topLinePunct w:val="0"/>
        <w:bidi w:val="0"/>
        <w:spacing w:before="360" w:after="200" w:line="360" w:lineRule="auto"/>
        <w:jc w:val="left"/>
        <w:outlineLvl w:val="1"/>
        <w:rPr>
          <w:rFonts w:hint="eastAsia" w:ascii="宋体" w:hAnsi="宋体" w:eastAsia="宋体" w:cs="宋体"/>
          <w:color w:val="000000"/>
          <w:sz w:val="36"/>
        </w:rPr>
      </w:pPr>
      <w:r>
        <w:rPr>
          <w:rFonts w:hint="eastAsia" w:ascii="宋体" w:hAnsi="宋体" w:eastAsia="宋体" w:cs="宋体"/>
          <w:sz w:val="36"/>
        </w:rPr>
        <w:t>十</w:t>
      </w:r>
      <w:r>
        <w:rPr>
          <w:rFonts w:hint="eastAsia" w:ascii="宋体" w:hAnsi="宋体" w:eastAsia="宋体" w:cs="宋体"/>
          <w:sz w:val="36"/>
          <w:lang w:val="en-US" w:eastAsia="zh-CN"/>
        </w:rPr>
        <w:t>二</w:t>
      </w:r>
      <w:r>
        <w:rPr>
          <w:rFonts w:hint="eastAsia" w:ascii="宋体" w:hAnsi="宋体" w:eastAsia="宋体" w:cs="宋体"/>
          <w:sz w:val="36"/>
        </w:rPr>
        <w:t>、</w:t>
      </w:r>
      <w:r>
        <w:rPr>
          <w:rFonts w:hint="eastAsia" w:ascii="宋体" w:hAnsi="宋体" w:eastAsia="宋体" w:cs="宋体"/>
          <w:color w:val="000000"/>
          <w:sz w:val="36"/>
        </w:rPr>
        <w:t>残疾人福利性单位声明函</w:t>
      </w:r>
      <w:r>
        <w:rPr>
          <w:rFonts w:hint="eastAsia" w:ascii="宋体" w:hAnsi="宋体" w:eastAsia="宋体" w:cs="宋体"/>
          <w:color w:val="000000"/>
          <w:sz w:val="36"/>
          <w:lang w:eastAsia="zh-CN"/>
        </w:rPr>
        <w:t>（</w:t>
      </w:r>
      <w:r>
        <w:rPr>
          <w:rFonts w:hint="eastAsia" w:ascii="宋体" w:hAnsi="宋体" w:eastAsia="宋体" w:cs="宋体"/>
          <w:color w:val="000000"/>
          <w:sz w:val="36"/>
          <w:lang w:val="en-US" w:eastAsia="zh-CN"/>
        </w:rPr>
        <w:t>服务）</w:t>
      </w:r>
      <w:r>
        <w:rPr>
          <w:rFonts w:hint="eastAsia" w:ascii="宋体" w:hAnsi="宋体" w:eastAsia="宋体" w:cs="宋体"/>
          <w:color w:val="000000"/>
          <w:sz w:val="36"/>
        </w:rPr>
        <w:t>（分包号：**）</w:t>
      </w:r>
    </w:p>
    <w:p w14:paraId="35905C09">
      <w:pPr>
        <w:pageBreakBefore w:val="0"/>
        <w:tabs>
          <w:tab w:val="left" w:pos="360"/>
        </w:tabs>
        <w:wordWrap/>
        <w:overflowPunct/>
        <w:topLinePunct w:val="0"/>
        <w:bidi w:val="0"/>
        <w:spacing w:line="360" w:lineRule="auto"/>
        <w:jc w:val="center"/>
        <w:rPr>
          <w:rFonts w:hint="eastAsia" w:ascii="宋体" w:hAnsi="宋体" w:eastAsia="宋体" w:cs="宋体"/>
          <w:color w:val="000000"/>
          <w:sz w:val="24"/>
          <w:szCs w:val="21"/>
        </w:rPr>
      </w:pPr>
      <w:r>
        <w:rPr>
          <w:rFonts w:hint="eastAsia" w:ascii="宋体" w:hAnsi="宋体" w:eastAsia="宋体" w:cs="宋体"/>
          <w:bCs/>
          <w:color w:val="000000"/>
          <w:sz w:val="36"/>
          <w:szCs w:val="28"/>
        </w:rPr>
        <w:t>残疾人福利性单位声明函</w:t>
      </w:r>
    </w:p>
    <w:p w14:paraId="45495334">
      <w:pPr>
        <w:pageBreakBefore w:val="0"/>
        <w:wordWrap/>
        <w:overflowPunct/>
        <w:topLinePunct w:val="0"/>
        <w:bidi w:val="0"/>
        <w:spacing w:line="360" w:lineRule="auto"/>
        <w:ind w:firstLine="480"/>
        <w:jc w:val="left"/>
        <w:rPr>
          <w:rFonts w:hint="eastAsia" w:ascii="宋体" w:hAnsi="宋体" w:eastAsia="宋体" w:cs="宋体"/>
          <w:color w:val="000000"/>
          <w:sz w:val="24"/>
          <w:szCs w:val="21"/>
        </w:rPr>
      </w:pPr>
      <w:r>
        <w:rPr>
          <w:rFonts w:hint="eastAsia" w:ascii="宋体" w:hAnsi="宋体" w:eastAsia="宋体" w:cs="宋体"/>
          <w:color w:val="000000"/>
          <w:sz w:val="24"/>
          <w:szCs w:val="21"/>
        </w:rPr>
        <w:t>本单位郑重声明，根据《财政部 民政部 中国残疾人联合会关于促进残疾人就业政府采购政策的通知》（财库</w:t>
      </w:r>
      <w:r>
        <w:rPr>
          <w:rFonts w:hint="eastAsia" w:ascii="宋体" w:hAnsi="宋体" w:eastAsia="宋体" w:cs="宋体"/>
          <w:color w:val="000000"/>
          <w:sz w:val="24"/>
          <w:szCs w:val="24"/>
        </w:rPr>
        <w:t>〔2017〕</w:t>
      </w:r>
      <w:r>
        <w:rPr>
          <w:rFonts w:hint="eastAsia" w:ascii="宋体" w:hAnsi="宋体" w:eastAsia="宋体" w:cs="宋体"/>
          <w:color w:val="000000"/>
          <w:sz w:val="24"/>
          <w:szCs w:val="21"/>
        </w:rPr>
        <w:t>141号）的规定，本单位为符合条件的残疾人福利性单位，且本单位参加</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单位的</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项目（</w:t>
      </w:r>
      <w:r>
        <w:rPr>
          <w:rFonts w:hint="eastAsia" w:ascii="宋体" w:hAnsi="宋体" w:eastAsia="宋体" w:cs="宋体"/>
          <w:color w:val="000000"/>
          <w:sz w:val="24"/>
          <w:szCs w:val="24"/>
        </w:rPr>
        <w:t>项目编号：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，分包号：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1"/>
        </w:rPr>
        <w:t>）采购活动由本单位提供全部服务。</w:t>
      </w:r>
    </w:p>
    <w:p w14:paraId="528D4F90">
      <w:pPr>
        <w:pageBreakBefore w:val="0"/>
        <w:wordWrap/>
        <w:overflowPunct/>
        <w:topLinePunct w:val="0"/>
        <w:bidi w:val="0"/>
        <w:spacing w:line="360" w:lineRule="auto"/>
        <w:ind w:firstLine="480"/>
        <w:rPr>
          <w:rFonts w:hint="eastAsia" w:ascii="宋体" w:hAnsi="宋体" w:eastAsia="宋体" w:cs="宋体"/>
          <w:color w:val="000000"/>
          <w:sz w:val="24"/>
          <w:szCs w:val="21"/>
        </w:rPr>
      </w:pPr>
      <w:r>
        <w:rPr>
          <w:rFonts w:hint="eastAsia" w:ascii="宋体" w:hAnsi="宋体" w:eastAsia="宋体" w:cs="宋体"/>
          <w:color w:val="000000"/>
          <w:sz w:val="24"/>
          <w:szCs w:val="21"/>
        </w:rPr>
        <w:t>本单位对上述声明的真实性负责。如有虚假，将依法承担相应责任。</w:t>
      </w:r>
    </w:p>
    <w:p w14:paraId="375B26B7">
      <w:pPr>
        <w:pageBreakBefore w:val="0"/>
        <w:wordWrap/>
        <w:overflowPunct/>
        <w:topLinePunct w:val="0"/>
        <w:bidi w:val="0"/>
        <w:spacing w:line="360" w:lineRule="auto"/>
        <w:ind w:firstLine="480"/>
        <w:rPr>
          <w:rFonts w:hint="eastAsia" w:ascii="宋体" w:hAnsi="宋体" w:eastAsia="宋体" w:cs="宋体"/>
          <w:color w:val="000000"/>
          <w:sz w:val="24"/>
          <w:szCs w:val="21"/>
        </w:rPr>
      </w:pPr>
    </w:p>
    <w:p w14:paraId="34C002C6">
      <w:pPr>
        <w:pageBreakBefore w:val="0"/>
        <w:wordWrap/>
        <w:overflowPunct/>
        <w:topLinePunct w:val="0"/>
        <w:bidi w:val="0"/>
        <w:spacing w:line="360" w:lineRule="auto"/>
        <w:ind w:right="1620" w:firstLine="2880"/>
        <w:rPr>
          <w:rFonts w:hint="eastAsia" w:ascii="宋体" w:hAnsi="宋体" w:eastAsia="宋体" w:cs="宋体"/>
          <w:color w:val="000000"/>
          <w:sz w:val="24"/>
          <w:szCs w:val="24"/>
        </w:rPr>
      </w:pPr>
      <w:r>
        <w:rPr>
          <w:rFonts w:hint="eastAsia" w:ascii="宋体" w:hAnsi="宋体" w:eastAsia="宋体" w:cs="宋体"/>
          <w:color w:val="000000"/>
          <w:sz w:val="24"/>
          <w:szCs w:val="24"/>
        </w:rPr>
        <w:t>单位名称（盖章）：</w:t>
      </w:r>
    </w:p>
    <w:p w14:paraId="76BF4C7E">
      <w:pPr>
        <w:pageBreakBefore w:val="0"/>
        <w:wordWrap/>
        <w:overflowPunct/>
        <w:topLinePunct w:val="0"/>
        <w:bidi w:val="0"/>
        <w:spacing w:line="360" w:lineRule="auto"/>
        <w:ind w:right="1140" w:firstLine="2880"/>
        <w:rPr>
          <w:rFonts w:hint="eastAsia" w:ascii="宋体" w:hAnsi="宋体" w:eastAsia="宋体" w:cs="宋体"/>
          <w:color w:val="000000"/>
          <w:sz w:val="24"/>
          <w:szCs w:val="24"/>
        </w:rPr>
      </w:pPr>
      <w:r>
        <w:rPr>
          <w:rFonts w:hint="eastAsia" w:ascii="宋体" w:hAnsi="宋体" w:eastAsia="宋体" w:cs="宋体"/>
          <w:color w:val="000000"/>
          <w:sz w:val="24"/>
          <w:szCs w:val="24"/>
        </w:rPr>
        <w:t>日   期：</w:t>
      </w:r>
    </w:p>
    <w:p w14:paraId="6DDF4126">
      <w:pPr>
        <w:pageBreakBefore w:val="0"/>
        <w:wordWrap/>
        <w:overflowPunct/>
        <w:topLinePunct w:val="0"/>
        <w:bidi w:val="0"/>
        <w:spacing w:line="360" w:lineRule="auto"/>
        <w:rPr>
          <w:rFonts w:hint="eastAsia" w:ascii="宋体" w:hAnsi="宋体" w:eastAsia="宋体" w:cs="宋体"/>
          <w:color w:val="000000"/>
        </w:rPr>
      </w:pPr>
    </w:p>
    <w:p w14:paraId="4354B704">
      <w:pPr>
        <w:pageBreakBefore w:val="0"/>
        <w:wordWrap/>
        <w:overflowPunct/>
        <w:topLinePunct w:val="0"/>
        <w:bidi w:val="0"/>
        <w:spacing w:line="360" w:lineRule="auto"/>
        <w:rPr>
          <w:rFonts w:hint="eastAsia" w:ascii="宋体" w:hAnsi="宋体" w:eastAsia="宋体" w:cs="宋体"/>
          <w:color w:val="000000"/>
        </w:rPr>
      </w:pPr>
    </w:p>
    <w:p w14:paraId="00DB3728">
      <w:pPr>
        <w:pageBreakBefore w:val="0"/>
        <w:wordWrap/>
        <w:overflowPunct/>
        <w:topLinePunct w:val="0"/>
        <w:bidi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填报说明：</w:t>
      </w:r>
    </w:p>
    <w:p w14:paraId="1B79FCC7">
      <w:pPr>
        <w:pageBreakBefore w:val="0"/>
        <w:wordWrap/>
        <w:overflowPunct/>
        <w:topLinePunct w:val="0"/>
        <w:bidi w:val="0"/>
        <w:spacing w:line="360" w:lineRule="auto"/>
        <w:ind w:firstLine="48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r>
        <w:rPr>
          <w:rFonts w:hint="eastAsia" w:ascii="宋体" w:hAnsi="宋体" w:eastAsia="宋体" w:cs="宋体"/>
          <w:color w:val="000000"/>
          <w:sz w:val="24"/>
          <w:szCs w:val="24"/>
        </w:rPr>
        <w:t>请</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如实填写，</w:t>
      </w:r>
      <w:r>
        <w:rPr>
          <w:rFonts w:hint="eastAsia" w:ascii="宋体" w:hAnsi="宋体" w:eastAsia="宋体" w:cs="宋体"/>
          <w:bCs/>
          <w:color w:val="000000"/>
          <w:sz w:val="24"/>
        </w:rPr>
        <w:t>所填内容将作为评审的依据</w:t>
      </w:r>
      <w:r>
        <w:rPr>
          <w:rFonts w:hint="eastAsia" w:ascii="宋体" w:hAnsi="宋体" w:eastAsia="宋体" w:cs="宋体"/>
          <w:color w:val="000000"/>
          <w:sz w:val="24"/>
          <w:szCs w:val="24"/>
        </w:rPr>
        <w:t>，如填写不完整或不一致或填写有误，将承担一切不利后果。</w:t>
      </w:r>
    </w:p>
    <w:p w14:paraId="0709A82D">
      <w:pPr>
        <w:pageBreakBefore w:val="0"/>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bCs/>
          <w:color w:val="000000"/>
          <w:sz w:val="24"/>
          <w:szCs w:val="24"/>
        </w:rPr>
        <w:t>2、中标人的《残疾人福利性单位声明函》随中标结果公开</w:t>
      </w:r>
      <w:r>
        <w:rPr>
          <w:rFonts w:hint="eastAsia" w:ascii="宋体" w:hAnsi="宋体" w:eastAsia="宋体" w:cs="宋体"/>
          <w:color w:val="000000"/>
          <w:sz w:val="24"/>
          <w:szCs w:val="24"/>
        </w:rPr>
        <w:t>，接受社会监督</w:t>
      </w:r>
      <w:r>
        <w:rPr>
          <w:rFonts w:hint="eastAsia" w:ascii="宋体" w:hAnsi="宋体" w:eastAsia="宋体" w:cs="宋体"/>
          <w:bCs/>
          <w:color w:val="000000"/>
          <w:sz w:val="24"/>
          <w:szCs w:val="24"/>
        </w:rPr>
        <w:t>。</w:t>
      </w:r>
    </w:p>
    <w:p w14:paraId="21B36A29">
      <w:pPr>
        <w:pageBreakBefore w:val="0"/>
        <w:wordWrap/>
        <w:overflowPunct/>
        <w:topLinePunct w:val="0"/>
        <w:bidi w:val="0"/>
        <w:spacing w:line="360" w:lineRule="auto"/>
        <w:rPr>
          <w:rFonts w:hint="eastAsia" w:ascii="宋体" w:hAnsi="宋体" w:eastAsia="宋体" w:cs="宋体"/>
          <w:color w:val="000000"/>
        </w:rPr>
      </w:pPr>
    </w:p>
    <w:p w14:paraId="560C33BF">
      <w:pPr>
        <w:pageBreakBefore w:val="0"/>
        <w:wordWrap/>
        <w:overflowPunct/>
        <w:topLinePunct w:val="0"/>
        <w:bidi w:val="0"/>
        <w:spacing w:line="360" w:lineRule="auto"/>
        <w:rPr>
          <w:rFonts w:hint="eastAsia" w:ascii="宋体" w:hAnsi="宋体" w:eastAsia="宋体" w:cs="宋体"/>
          <w:color w:val="000000"/>
        </w:rPr>
      </w:pPr>
    </w:p>
    <w:p w14:paraId="0200E9C0">
      <w:pPr>
        <w:pageBreakBefore w:val="0"/>
        <w:wordWrap/>
        <w:overflowPunct/>
        <w:topLinePunct w:val="0"/>
        <w:bidi w:val="0"/>
        <w:spacing w:line="360" w:lineRule="auto"/>
        <w:rPr>
          <w:rFonts w:hint="eastAsia" w:ascii="宋体" w:hAnsi="宋体" w:eastAsia="宋体" w:cs="宋体"/>
          <w:color w:val="000000"/>
        </w:rPr>
      </w:pPr>
    </w:p>
    <w:p w14:paraId="1C01688A">
      <w:pPr>
        <w:keepNext/>
        <w:keepLines/>
        <w:pageBreakBefore w:val="0"/>
        <w:wordWrap/>
        <w:overflowPunct/>
        <w:topLinePunct w:val="0"/>
        <w:bidi w:val="0"/>
        <w:spacing w:before="360" w:after="200" w:line="360" w:lineRule="auto"/>
        <w:jc w:val="left"/>
        <w:outlineLvl w:val="1"/>
        <w:rPr>
          <w:rFonts w:hint="eastAsia" w:ascii="宋体" w:hAnsi="宋体" w:eastAsia="宋体" w:cs="宋体"/>
          <w:color w:val="000000"/>
          <w:sz w:val="36"/>
        </w:rPr>
      </w:pPr>
      <w:r>
        <w:rPr>
          <w:rFonts w:hint="eastAsia" w:ascii="宋体" w:hAnsi="宋体" w:eastAsia="宋体" w:cs="宋体"/>
          <w:color w:val="000000"/>
          <w:sz w:val="36"/>
        </w:rPr>
        <w:t>十</w:t>
      </w:r>
      <w:r>
        <w:rPr>
          <w:rFonts w:hint="eastAsia" w:ascii="宋体" w:hAnsi="宋体" w:eastAsia="宋体" w:cs="宋体"/>
          <w:color w:val="000000"/>
          <w:sz w:val="36"/>
          <w:lang w:val="en-US" w:eastAsia="zh-CN"/>
        </w:rPr>
        <w:t>三</w:t>
      </w:r>
      <w:r>
        <w:rPr>
          <w:rFonts w:hint="eastAsia" w:ascii="宋体" w:hAnsi="宋体" w:eastAsia="宋体" w:cs="宋体"/>
          <w:color w:val="000000"/>
          <w:sz w:val="36"/>
        </w:rPr>
        <w:t>、联合体协议（参考格式）（分包号：**）</w:t>
      </w:r>
    </w:p>
    <w:p w14:paraId="2726C55C">
      <w:pPr>
        <w:pageBreakBefore w:val="0"/>
        <w:tabs>
          <w:tab w:val="left" w:pos="360"/>
        </w:tabs>
        <w:wordWrap/>
        <w:overflowPunct/>
        <w:topLinePunct w:val="0"/>
        <w:bidi w:val="0"/>
        <w:spacing w:line="360" w:lineRule="auto"/>
        <w:jc w:val="center"/>
        <w:rPr>
          <w:rFonts w:hint="eastAsia" w:ascii="宋体" w:hAnsi="宋体" w:eastAsia="宋体" w:cs="宋体"/>
          <w:color w:val="000000"/>
          <w:sz w:val="24"/>
          <w:szCs w:val="21"/>
          <w:u w:val="single"/>
        </w:rPr>
      </w:pPr>
      <w:r>
        <w:rPr>
          <w:rFonts w:hint="eastAsia" w:ascii="宋体" w:hAnsi="宋体" w:eastAsia="宋体" w:cs="宋体"/>
          <w:bCs/>
          <w:color w:val="000000"/>
          <w:sz w:val="36"/>
          <w:szCs w:val="28"/>
        </w:rPr>
        <w:t>联合体协议</w:t>
      </w:r>
    </w:p>
    <w:p w14:paraId="15C0123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u w:val="single"/>
        </w:rPr>
        <w:t>（联合体中各</w:t>
      </w:r>
      <w:r>
        <w:rPr>
          <w:rFonts w:hint="eastAsia" w:ascii="宋体" w:hAnsi="宋体" w:eastAsia="宋体" w:cs="宋体"/>
          <w:color w:val="000000"/>
          <w:sz w:val="24"/>
          <w:szCs w:val="21"/>
          <w:u w:val="single"/>
          <w:lang w:eastAsia="zh-CN"/>
        </w:rPr>
        <w:t>投标人</w:t>
      </w:r>
      <w:r>
        <w:rPr>
          <w:rFonts w:hint="eastAsia" w:ascii="宋体" w:hAnsi="宋体" w:eastAsia="宋体" w:cs="宋体"/>
          <w:color w:val="000000"/>
          <w:sz w:val="24"/>
          <w:szCs w:val="21"/>
          <w:u w:val="single"/>
        </w:rPr>
        <w:t>全称）</w:t>
      </w:r>
      <w:r>
        <w:rPr>
          <w:rFonts w:hint="eastAsia" w:ascii="宋体" w:hAnsi="宋体" w:eastAsia="宋体" w:cs="宋体"/>
          <w:color w:val="000000"/>
          <w:sz w:val="24"/>
          <w:szCs w:val="21"/>
        </w:rPr>
        <w:t>在此达成以下协议：</w:t>
      </w:r>
    </w:p>
    <w:p w14:paraId="2A557142">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1、我们</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u w:val="single"/>
          <w:lang w:eastAsia="zh-CN"/>
        </w:rPr>
        <w:t>投标人</w:t>
      </w:r>
      <w:r>
        <w:rPr>
          <w:rFonts w:hint="eastAsia" w:ascii="宋体" w:hAnsi="宋体" w:eastAsia="宋体" w:cs="宋体"/>
          <w:color w:val="000000"/>
          <w:sz w:val="24"/>
          <w:szCs w:val="21"/>
          <w:u w:val="single"/>
        </w:rPr>
        <w:t>1），（</w:t>
      </w:r>
      <w:r>
        <w:rPr>
          <w:rFonts w:hint="eastAsia" w:ascii="宋体" w:hAnsi="宋体" w:eastAsia="宋体" w:cs="宋体"/>
          <w:color w:val="000000"/>
          <w:sz w:val="24"/>
          <w:szCs w:val="21"/>
          <w:u w:val="single"/>
          <w:lang w:eastAsia="zh-CN"/>
        </w:rPr>
        <w:t>投标人</w:t>
      </w:r>
      <w:r>
        <w:rPr>
          <w:rFonts w:hint="eastAsia" w:ascii="宋体" w:hAnsi="宋体" w:eastAsia="宋体" w:cs="宋体"/>
          <w:color w:val="000000"/>
          <w:sz w:val="24"/>
          <w:szCs w:val="21"/>
          <w:u w:val="single"/>
        </w:rPr>
        <w:t>2） ，……</w:t>
      </w:r>
      <w:r>
        <w:rPr>
          <w:rFonts w:hint="eastAsia" w:ascii="宋体" w:hAnsi="宋体" w:eastAsia="宋体" w:cs="宋体"/>
          <w:color w:val="000000"/>
          <w:sz w:val="24"/>
          <w:szCs w:val="21"/>
        </w:rPr>
        <w:t>自愿组成联合体，参加</w:t>
      </w:r>
      <w:r>
        <w:rPr>
          <w:rFonts w:hint="eastAsia" w:ascii="宋体" w:hAnsi="宋体" w:eastAsia="宋体" w:cs="宋体"/>
          <w:color w:val="000000"/>
          <w:sz w:val="24"/>
          <w:szCs w:val="24"/>
          <w:lang w:eastAsia="zh-CN"/>
        </w:rPr>
        <w:t>江苏永安工程项目管理有限公司</w:t>
      </w:r>
      <w:r>
        <w:rPr>
          <w:rFonts w:hint="eastAsia" w:ascii="宋体" w:hAnsi="宋体" w:eastAsia="宋体" w:cs="宋体"/>
          <w:color w:val="000000"/>
          <w:sz w:val="24"/>
          <w:szCs w:val="21"/>
        </w:rPr>
        <w:t>组织的</w:t>
      </w:r>
      <w:r>
        <w:rPr>
          <w:rFonts w:hint="eastAsia" w:ascii="宋体" w:hAnsi="宋体" w:eastAsia="宋体" w:cs="宋体"/>
          <w:color w:val="000000"/>
          <w:sz w:val="24"/>
          <w:szCs w:val="24"/>
          <w:u w:val="single"/>
        </w:rPr>
        <w:t>（项目名称）</w:t>
      </w:r>
      <w:r>
        <w:rPr>
          <w:rFonts w:hint="eastAsia" w:ascii="宋体" w:hAnsi="宋体" w:eastAsia="宋体" w:cs="宋体"/>
          <w:color w:val="000000"/>
          <w:sz w:val="24"/>
          <w:szCs w:val="24"/>
        </w:rPr>
        <w:t>（项目编号：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，分包号：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1"/>
        </w:rPr>
        <w:t>的政府采购活动，我联合体指定</w:t>
      </w:r>
      <w:r>
        <w:rPr>
          <w:rFonts w:hint="eastAsia" w:ascii="宋体" w:hAnsi="宋体" w:eastAsia="宋体" w:cs="宋体"/>
          <w:color w:val="000000"/>
          <w:sz w:val="24"/>
          <w:szCs w:val="21"/>
          <w:u w:val="single"/>
        </w:rPr>
        <w:t>（</w:t>
      </w:r>
      <w:r>
        <w:rPr>
          <w:rFonts w:hint="eastAsia" w:ascii="宋体" w:hAnsi="宋体" w:eastAsia="宋体" w:cs="宋体"/>
          <w:color w:val="000000"/>
          <w:sz w:val="24"/>
          <w:szCs w:val="21"/>
          <w:u w:val="single"/>
          <w:lang w:eastAsia="zh-CN"/>
        </w:rPr>
        <w:t>投标人</w:t>
      </w:r>
      <w:r>
        <w:rPr>
          <w:rFonts w:hint="eastAsia" w:ascii="宋体" w:hAnsi="宋体" w:eastAsia="宋体" w:cs="宋体"/>
          <w:color w:val="000000"/>
          <w:sz w:val="24"/>
          <w:szCs w:val="21"/>
          <w:u w:val="single"/>
        </w:rPr>
        <w:t>*）</w:t>
      </w:r>
      <w:r>
        <w:rPr>
          <w:rFonts w:hint="eastAsia" w:ascii="宋体" w:hAnsi="宋体" w:eastAsia="宋体" w:cs="宋体"/>
          <w:color w:val="000000"/>
          <w:sz w:val="24"/>
          <w:szCs w:val="21"/>
        </w:rPr>
        <w:t>为牵头单位（牵头单位必须为联合体成员）。</w:t>
      </w:r>
    </w:p>
    <w:p w14:paraId="09FF6781">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2、若我们联合中标、成交，</w:t>
      </w:r>
      <w:r>
        <w:rPr>
          <w:rFonts w:hint="eastAsia" w:ascii="宋体" w:hAnsi="宋体" w:eastAsia="宋体" w:cs="宋体"/>
          <w:color w:val="000000"/>
          <w:sz w:val="24"/>
          <w:szCs w:val="21"/>
          <w:u w:val="single"/>
        </w:rPr>
        <w:t>（</w:t>
      </w:r>
      <w:r>
        <w:rPr>
          <w:rFonts w:hint="eastAsia" w:ascii="宋体" w:hAnsi="宋体" w:eastAsia="宋体" w:cs="宋体"/>
          <w:color w:val="000000"/>
          <w:sz w:val="24"/>
          <w:szCs w:val="21"/>
          <w:u w:val="single"/>
          <w:lang w:eastAsia="zh-CN"/>
        </w:rPr>
        <w:t>投标人</w:t>
      </w:r>
      <w:r>
        <w:rPr>
          <w:rFonts w:hint="eastAsia" w:ascii="宋体" w:hAnsi="宋体" w:eastAsia="宋体" w:cs="宋体"/>
          <w:color w:val="000000"/>
          <w:sz w:val="24"/>
          <w:szCs w:val="21"/>
          <w:u w:val="single"/>
        </w:rPr>
        <w:t>单位1全称）</w:t>
      </w:r>
      <w:r>
        <w:rPr>
          <w:rFonts w:hint="eastAsia" w:ascii="宋体" w:hAnsi="宋体" w:eastAsia="宋体" w:cs="宋体"/>
          <w:color w:val="000000"/>
          <w:sz w:val="24"/>
          <w:szCs w:val="21"/>
        </w:rPr>
        <w:t>实施项目中</w:t>
      </w:r>
      <w:r>
        <w:rPr>
          <w:rFonts w:hint="eastAsia" w:ascii="宋体" w:hAnsi="宋体" w:eastAsia="宋体" w:cs="宋体"/>
          <w:color w:val="000000"/>
          <w:sz w:val="24"/>
          <w:szCs w:val="21"/>
          <w:u w:val="single"/>
        </w:rPr>
        <w:t>（工作内容）</w:t>
      </w:r>
      <w:r>
        <w:rPr>
          <w:rFonts w:hint="eastAsia" w:ascii="宋体" w:hAnsi="宋体" w:eastAsia="宋体" w:cs="宋体"/>
          <w:color w:val="000000"/>
          <w:sz w:val="24"/>
          <w:szCs w:val="21"/>
        </w:rPr>
        <w:t>部分工作，并承担相应的责任。</w:t>
      </w:r>
      <w:r>
        <w:rPr>
          <w:rFonts w:hint="eastAsia" w:ascii="宋体" w:hAnsi="宋体" w:eastAsia="宋体" w:cs="宋体"/>
          <w:color w:val="000000"/>
          <w:sz w:val="24"/>
          <w:szCs w:val="21"/>
          <w:u w:val="single"/>
        </w:rPr>
        <w:t>（</w:t>
      </w:r>
      <w:r>
        <w:rPr>
          <w:rFonts w:hint="eastAsia" w:ascii="宋体" w:hAnsi="宋体" w:eastAsia="宋体" w:cs="宋体"/>
          <w:color w:val="000000"/>
          <w:sz w:val="24"/>
          <w:szCs w:val="21"/>
          <w:u w:val="single"/>
          <w:lang w:eastAsia="zh-CN"/>
        </w:rPr>
        <w:t>投标人</w:t>
      </w:r>
      <w:r>
        <w:rPr>
          <w:rFonts w:hint="eastAsia" w:ascii="宋体" w:hAnsi="宋体" w:eastAsia="宋体" w:cs="宋体"/>
          <w:color w:val="000000"/>
          <w:sz w:val="24"/>
          <w:szCs w:val="21"/>
          <w:u w:val="single"/>
        </w:rPr>
        <w:t>单位2全称）</w:t>
      </w:r>
      <w:r>
        <w:rPr>
          <w:rFonts w:hint="eastAsia" w:ascii="宋体" w:hAnsi="宋体" w:eastAsia="宋体" w:cs="宋体"/>
          <w:color w:val="000000"/>
          <w:sz w:val="24"/>
          <w:szCs w:val="21"/>
        </w:rPr>
        <w:t>实施项目中</w:t>
      </w:r>
      <w:r>
        <w:rPr>
          <w:rFonts w:hint="eastAsia" w:ascii="宋体" w:hAnsi="宋体" w:eastAsia="宋体" w:cs="宋体"/>
          <w:color w:val="000000"/>
          <w:sz w:val="24"/>
          <w:szCs w:val="21"/>
          <w:u w:val="single"/>
        </w:rPr>
        <w:t>（工作内容）</w:t>
      </w:r>
      <w:r>
        <w:rPr>
          <w:rFonts w:hint="eastAsia" w:ascii="宋体" w:hAnsi="宋体" w:eastAsia="宋体" w:cs="宋体"/>
          <w:color w:val="000000"/>
          <w:sz w:val="24"/>
          <w:szCs w:val="21"/>
        </w:rPr>
        <w:t>部分工作，并承担相应的责任……。（注：联合体中各</w:t>
      </w:r>
      <w:r>
        <w:rPr>
          <w:rFonts w:hint="eastAsia" w:ascii="宋体" w:hAnsi="宋体" w:eastAsia="宋体" w:cs="宋体"/>
          <w:color w:val="000000"/>
          <w:sz w:val="24"/>
          <w:szCs w:val="21"/>
          <w:lang w:eastAsia="zh-CN"/>
        </w:rPr>
        <w:t>投标人</w:t>
      </w:r>
      <w:r>
        <w:rPr>
          <w:rFonts w:hint="eastAsia" w:ascii="宋体" w:hAnsi="宋体" w:eastAsia="宋体" w:cs="宋体"/>
          <w:color w:val="000000"/>
          <w:sz w:val="24"/>
          <w:szCs w:val="21"/>
        </w:rPr>
        <w:t>都应明示所承担的工作和相应的责任）。</w:t>
      </w:r>
    </w:p>
    <w:p w14:paraId="32F8B897">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3、其中</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（小型、微型企业/残疾人福利性单位/监狱企业全称）为</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（小型、微型企业/残疾人福利性单位/监狱企业）企业，且我们约定该公司/单位所承担的合同金额将占本项目合同总金额的</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%。（可选）</w:t>
      </w:r>
    </w:p>
    <w:p w14:paraId="66E355BD">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                                      </w:t>
      </w:r>
    </w:p>
    <w:p w14:paraId="24A4E89C">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eastAsia="zh-CN"/>
        </w:rPr>
        <w:t>投标人</w:t>
      </w:r>
      <w:r>
        <w:rPr>
          <w:rFonts w:hint="eastAsia" w:ascii="宋体" w:hAnsi="宋体" w:eastAsia="宋体" w:cs="宋体"/>
          <w:color w:val="000000"/>
          <w:sz w:val="24"/>
          <w:szCs w:val="21"/>
        </w:rPr>
        <w:t xml:space="preserve">1全称（公章）：     </w:t>
      </w:r>
    </w:p>
    <w:p w14:paraId="0020DFB5">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法定代表人（单位负责人）或委托代理人（签字或盖章）：  </w:t>
      </w:r>
    </w:p>
    <w:p w14:paraId="3306FB84">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日期：     年   月   日</w:t>
      </w:r>
    </w:p>
    <w:p w14:paraId="0FB1575F">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lang w:eastAsia="zh-CN"/>
        </w:rPr>
        <w:t>投标人</w:t>
      </w:r>
      <w:r>
        <w:rPr>
          <w:rFonts w:hint="eastAsia" w:ascii="宋体" w:hAnsi="宋体" w:eastAsia="宋体" w:cs="宋体"/>
          <w:color w:val="000000"/>
          <w:sz w:val="24"/>
          <w:szCs w:val="21"/>
        </w:rPr>
        <w:t xml:space="preserve">2全称（公章）：     </w:t>
      </w:r>
    </w:p>
    <w:p w14:paraId="55FDD46A">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法定代表人（单位负责人）或委托代理人（签字或盖章）：  </w:t>
      </w:r>
    </w:p>
    <w:p w14:paraId="755CFAAF">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日期：     年   月   日</w:t>
      </w:r>
    </w:p>
    <w:p w14:paraId="073A5192">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宋体" w:hAnsi="宋体" w:eastAsia="宋体" w:cs="宋体"/>
          <w:color w:val="000000"/>
          <w:sz w:val="24"/>
          <w:szCs w:val="24"/>
        </w:rPr>
      </w:pPr>
    </w:p>
    <w:p w14:paraId="5CD84B55">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p w14:paraId="7112E15E">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宋体" w:hAnsi="宋体" w:eastAsia="宋体" w:cs="宋体"/>
          <w:color w:val="000000"/>
          <w:sz w:val="24"/>
          <w:szCs w:val="24"/>
        </w:rPr>
      </w:pPr>
    </w:p>
    <w:p w14:paraId="238ECD21">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备注：本招标文件中要求加盖公章的内容，仅需加盖牵头单位的公章。</w:t>
      </w:r>
    </w:p>
    <w:p w14:paraId="4175C326">
      <w:pPr>
        <w:pageBreakBefore w:val="0"/>
        <w:wordWrap/>
        <w:overflowPunct/>
        <w:topLinePunct w:val="0"/>
        <w:bidi w:val="0"/>
        <w:spacing w:line="360" w:lineRule="auto"/>
        <w:ind w:firstLine="480"/>
        <w:rPr>
          <w:rFonts w:hint="eastAsia" w:ascii="宋体" w:hAnsi="宋体" w:eastAsia="宋体" w:cs="宋体"/>
          <w:color w:val="000000"/>
          <w:sz w:val="24"/>
          <w:szCs w:val="21"/>
        </w:rPr>
      </w:pPr>
    </w:p>
    <w:p w14:paraId="136090C8">
      <w:pPr>
        <w:pageBreakBefore w:val="0"/>
        <w:wordWrap/>
        <w:overflowPunct/>
        <w:topLinePunct w:val="0"/>
        <w:bidi w:val="0"/>
        <w:spacing w:line="360" w:lineRule="auto"/>
        <w:ind w:firstLine="480"/>
        <w:rPr>
          <w:rFonts w:hint="eastAsia" w:ascii="宋体" w:hAnsi="宋体" w:eastAsia="宋体" w:cs="宋体"/>
          <w:i/>
          <w:iCs/>
          <w:color w:val="000000"/>
          <w:sz w:val="36"/>
          <w:u w:val="single"/>
        </w:rPr>
      </w:pPr>
      <w:r>
        <w:rPr>
          <w:rFonts w:hint="eastAsia" w:ascii="宋体" w:hAnsi="宋体" w:eastAsia="宋体" w:cs="宋体"/>
          <w:i/>
          <w:iCs/>
          <w:sz w:val="36"/>
          <w:u w:val="single"/>
        </w:rPr>
        <w:t>十</w:t>
      </w:r>
      <w:r>
        <w:rPr>
          <w:rFonts w:hint="eastAsia" w:ascii="宋体" w:hAnsi="宋体" w:eastAsia="宋体" w:cs="宋体"/>
          <w:i/>
          <w:iCs/>
          <w:sz w:val="36"/>
          <w:u w:val="single"/>
          <w:lang w:val="en-US" w:eastAsia="zh-CN"/>
        </w:rPr>
        <w:t>四</w:t>
      </w:r>
      <w:r>
        <w:rPr>
          <w:rFonts w:hint="eastAsia" w:ascii="宋体" w:hAnsi="宋体" w:eastAsia="宋体" w:cs="宋体"/>
          <w:i/>
          <w:iCs/>
          <w:sz w:val="36"/>
          <w:u w:val="single"/>
        </w:rPr>
        <w:t>、</w:t>
      </w:r>
      <w:r>
        <w:rPr>
          <w:rFonts w:hint="eastAsia" w:ascii="宋体" w:hAnsi="宋体" w:eastAsia="宋体" w:cs="宋体"/>
          <w:i/>
          <w:iCs/>
          <w:color w:val="000000"/>
          <w:sz w:val="36"/>
          <w:u w:val="single"/>
        </w:rPr>
        <w:t>投标分项报价表</w:t>
      </w:r>
    </w:p>
    <w:p w14:paraId="7E3CDF15">
      <w:pPr>
        <w:pageBreakBefore w:val="0"/>
        <w:tabs>
          <w:tab w:val="left" w:pos="360"/>
        </w:tabs>
        <w:wordWrap/>
        <w:overflowPunct/>
        <w:topLinePunct w:val="0"/>
        <w:bidi w:val="0"/>
        <w:spacing w:line="360" w:lineRule="auto"/>
        <w:jc w:val="center"/>
        <w:rPr>
          <w:rFonts w:hint="eastAsia" w:ascii="宋体" w:hAnsi="宋体" w:eastAsia="宋体" w:cs="宋体"/>
          <w:bCs/>
          <w:color w:val="000000"/>
          <w:sz w:val="36"/>
          <w:szCs w:val="28"/>
        </w:rPr>
      </w:pPr>
      <w:r>
        <w:rPr>
          <w:rFonts w:hint="eastAsia" w:ascii="宋体" w:hAnsi="宋体" w:eastAsia="宋体" w:cs="宋体"/>
          <w:bCs/>
          <w:color w:val="000000"/>
          <w:sz w:val="36"/>
          <w:szCs w:val="28"/>
        </w:rPr>
        <w:t>投标分项报价表</w:t>
      </w:r>
    </w:p>
    <w:p w14:paraId="44C4DB19">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项目名称： </w:t>
      </w:r>
      <w:r>
        <w:rPr>
          <w:rFonts w:hint="eastAsia" w:ascii="宋体" w:hAnsi="宋体" w:eastAsia="宋体" w:cs="宋体"/>
          <w:color w:val="000000"/>
          <w:sz w:val="24"/>
          <w:szCs w:val="21"/>
          <w:lang w:val="en-US" w:eastAsia="zh-CN"/>
        </w:rPr>
        <w:t xml:space="preserve">       </w:t>
      </w:r>
      <w:r>
        <w:rPr>
          <w:rFonts w:hint="eastAsia" w:ascii="宋体" w:hAnsi="宋体" w:eastAsia="宋体" w:cs="宋体"/>
          <w:color w:val="000000"/>
          <w:sz w:val="24"/>
          <w:szCs w:val="21"/>
        </w:rPr>
        <w:t xml:space="preserve">     项目编号：    </w:t>
      </w:r>
      <w:r>
        <w:rPr>
          <w:rFonts w:hint="eastAsia" w:ascii="宋体" w:hAnsi="宋体" w:eastAsia="宋体" w:cs="宋体"/>
          <w:color w:val="000000"/>
          <w:sz w:val="24"/>
          <w:szCs w:val="21"/>
          <w:lang w:val="en-US" w:eastAsia="zh-CN"/>
        </w:rPr>
        <w:t xml:space="preserve">    </w:t>
      </w:r>
      <w:r>
        <w:rPr>
          <w:rFonts w:hint="eastAsia" w:ascii="宋体" w:hAnsi="宋体" w:eastAsia="宋体" w:cs="宋体"/>
          <w:color w:val="000000"/>
          <w:sz w:val="24"/>
          <w:szCs w:val="21"/>
        </w:rPr>
        <w:t xml:space="preserve">  分包号：</w:t>
      </w:r>
      <w:r>
        <w:rPr>
          <w:rFonts w:hint="eastAsia" w:ascii="宋体" w:hAnsi="宋体" w:eastAsia="宋体" w:cs="宋体"/>
          <w:color w:val="000000"/>
          <w:sz w:val="24"/>
          <w:szCs w:val="21"/>
          <w:lang w:val="en-US" w:eastAsia="zh-CN"/>
        </w:rPr>
        <w:t>1</w:t>
      </w:r>
      <w:r>
        <w:rPr>
          <w:rFonts w:hint="eastAsia" w:ascii="宋体" w:hAnsi="宋体" w:eastAsia="宋体" w:cs="宋体"/>
          <w:color w:val="000000"/>
          <w:sz w:val="24"/>
          <w:szCs w:val="21"/>
        </w:rPr>
        <w:t xml:space="preserve"> </w:t>
      </w:r>
    </w:p>
    <w:p w14:paraId="3690F6FC">
      <w:pPr>
        <w:keepNext w:val="0"/>
        <w:keepLines w:val="0"/>
        <w:pageBreakBefore w:val="0"/>
        <w:widowControl w:val="0"/>
        <w:kinsoku/>
        <w:wordWrap/>
        <w:overflowPunct/>
        <w:topLinePunct w:val="0"/>
        <w:autoSpaceDE/>
        <w:autoSpaceDN/>
        <w:bidi w:val="0"/>
        <w:adjustRightInd/>
        <w:snapToGrid/>
        <w:spacing w:line="580" w:lineRule="exact"/>
        <w:ind w:firstLine="480"/>
        <w:jc w:val="center"/>
        <w:textAlignment w:val="auto"/>
        <w:rPr>
          <w:rFonts w:hint="eastAsia" w:ascii="宋体" w:hAnsi="宋体" w:eastAsia="宋体" w:cs="宋体"/>
          <w:color w:val="000000"/>
          <w:sz w:val="24"/>
          <w:szCs w:val="21"/>
          <w:lang w:eastAsia="en-US"/>
        </w:rPr>
      </w:pPr>
      <w:r>
        <w:rPr>
          <w:rFonts w:hint="eastAsia" w:ascii="宋体" w:hAnsi="宋体" w:eastAsia="宋体" w:cs="宋体"/>
          <w:color w:val="000000"/>
          <w:sz w:val="24"/>
          <w:szCs w:val="21"/>
          <w:lang w:val="en-US" w:eastAsia="zh-CN"/>
        </w:rPr>
        <w:t xml:space="preserve">                                                   </w:t>
      </w:r>
      <w:r>
        <w:rPr>
          <w:rFonts w:hint="eastAsia" w:ascii="宋体" w:hAnsi="宋体" w:eastAsia="宋体" w:cs="宋体"/>
          <w:color w:val="000000"/>
          <w:sz w:val="24"/>
          <w:szCs w:val="21"/>
        </w:rPr>
        <w:t>单位：元</w:t>
      </w:r>
    </w:p>
    <w:tbl>
      <w:tblPr>
        <w:tblStyle w:val="222"/>
        <w:tblpPr w:leftFromText="180" w:rightFromText="180" w:vertAnchor="text" w:horzAnchor="page" w:tblpX="1380" w:tblpY="550"/>
        <w:tblOverlap w:val="never"/>
        <w:tblW w:w="891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9"/>
        <w:gridCol w:w="2104"/>
        <w:gridCol w:w="1147"/>
        <w:gridCol w:w="1091"/>
        <w:gridCol w:w="1629"/>
        <w:gridCol w:w="1897"/>
      </w:tblGrid>
      <w:tr w14:paraId="4A15C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9" w:hRule="atLeast"/>
        </w:trPr>
        <w:tc>
          <w:tcPr>
            <w:tcW w:w="1049" w:type="dxa"/>
            <w:vAlign w:val="top"/>
          </w:tcPr>
          <w:p w14:paraId="75B02711">
            <w:pPr>
              <w:pageBreakBefore w:val="0"/>
              <w:wordWrap/>
              <w:overflowPunct/>
              <w:topLinePunct w:val="0"/>
              <w:bidi w:val="0"/>
              <w:spacing w:after="0" w:line="360" w:lineRule="auto"/>
              <w:jc w:val="left"/>
              <w:rPr>
                <w:rFonts w:hint="eastAsia" w:ascii="宋体" w:hAnsi="宋体" w:eastAsia="宋体" w:cs="宋体"/>
                <w:sz w:val="21"/>
                <w:lang w:eastAsia="en-US"/>
              </w:rPr>
            </w:pPr>
          </w:p>
          <w:p w14:paraId="3A2AF3C7">
            <w:pPr>
              <w:pageBreakBefore w:val="0"/>
              <w:widowControl w:val="0"/>
              <w:wordWrap/>
              <w:overflowPunct/>
              <w:topLinePunct w:val="0"/>
              <w:bidi w:val="0"/>
              <w:spacing w:before="78" w:after="0" w:line="360" w:lineRule="auto"/>
              <w:ind w:left="247"/>
              <w:rPr>
                <w:rFonts w:hint="eastAsia" w:ascii="宋体" w:hAnsi="宋体" w:eastAsia="宋体" w:cs="宋体"/>
                <w:spacing w:val="-5"/>
                <w:sz w:val="24"/>
                <w:szCs w:val="24"/>
                <w:lang w:val="en-US" w:eastAsia="en-US" w:bidi="ar-SA"/>
              </w:rPr>
            </w:pPr>
            <w:r>
              <w:rPr>
                <w:rFonts w:hint="eastAsia" w:ascii="宋体" w:hAnsi="宋体" w:eastAsia="宋体" w:cs="宋体"/>
                <w:spacing w:val="-5"/>
                <w:sz w:val="24"/>
                <w:szCs w:val="24"/>
                <w:lang w:val="en-US" w:eastAsia="en-US" w:bidi="ar-SA"/>
              </w:rPr>
              <w:t>序号</w:t>
            </w:r>
          </w:p>
        </w:tc>
        <w:tc>
          <w:tcPr>
            <w:tcW w:w="2104" w:type="dxa"/>
            <w:vAlign w:val="top"/>
          </w:tcPr>
          <w:p w14:paraId="3E051928">
            <w:pPr>
              <w:pageBreakBefore w:val="0"/>
              <w:widowControl w:val="0"/>
              <w:wordWrap/>
              <w:overflowPunct/>
              <w:topLinePunct w:val="0"/>
              <w:bidi w:val="0"/>
              <w:spacing w:before="248" w:after="0" w:line="360" w:lineRule="auto"/>
              <w:ind w:left="475" w:right="107" w:hanging="362"/>
              <w:rPr>
                <w:rFonts w:hint="eastAsia" w:ascii="宋体" w:hAnsi="宋体" w:eastAsia="宋体" w:cs="宋体"/>
                <w:spacing w:val="-2"/>
                <w:sz w:val="24"/>
                <w:szCs w:val="24"/>
                <w:lang w:val="en-US" w:eastAsia="en-US" w:bidi="ar-SA"/>
              </w:rPr>
            </w:pPr>
            <w:r>
              <w:rPr>
                <w:rFonts w:hint="eastAsia" w:ascii="宋体" w:hAnsi="宋体" w:eastAsia="宋体" w:cs="宋体"/>
                <w:spacing w:val="-2"/>
                <w:sz w:val="24"/>
                <w:szCs w:val="24"/>
                <w:lang w:val="en-US" w:eastAsia="en-US" w:bidi="ar-SA"/>
              </w:rPr>
              <w:t>产品、服务</w:t>
            </w:r>
            <w:r>
              <w:rPr>
                <w:rFonts w:hint="eastAsia" w:ascii="宋体" w:hAnsi="宋体" w:eastAsia="宋体" w:cs="宋体"/>
                <w:sz w:val="24"/>
                <w:szCs w:val="24"/>
                <w:lang w:val="en-US" w:eastAsia="en-US" w:bidi="ar-SA"/>
              </w:rPr>
              <w:t xml:space="preserve"> </w:t>
            </w:r>
            <w:r>
              <w:rPr>
                <w:rFonts w:hint="eastAsia" w:ascii="宋体" w:hAnsi="宋体" w:eastAsia="宋体" w:cs="宋体"/>
                <w:spacing w:val="-7"/>
                <w:sz w:val="24"/>
                <w:szCs w:val="24"/>
                <w:lang w:val="en-US" w:eastAsia="en-US" w:bidi="ar-SA"/>
              </w:rPr>
              <w:t>名称</w:t>
            </w:r>
          </w:p>
        </w:tc>
        <w:tc>
          <w:tcPr>
            <w:tcW w:w="1147" w:type="dxa"/>
            <w:vAlign w:val="top"/>
          </w:tcPr>
          <w:p w14:paraId="3BC08670">
            <w:pPr>
              <w:pageBreakBefore w:val="0"/>
              <w:wordWrap/>
              <w:overflowPunct/>
              <w:topLinePunct w:val="0"/>
              <w:bidi w:val="0"/>
              <w:spacing w:after="0" w:line="360" w:lineRule="auto"/>
              <w:jc w:val="left"/>
              <w:rPr>
                <w:rFonts w:hint="eastAsia" w:ascii="宋体" w:hAnsi="宋体" w:eastAsia="宋体" w:cs="宋体"/>
                <w:sz w:val="21"/>
                <w:lang w:eastAsia="en-US"/>
              </w:rPr>
            </w:pPr>
          </w:p>
          <w:p w14:paraId="69D17450">
            <w:pPr>
              <w:pageBreakBefore w:val="0"/>
              <w:widowControl w:val="0"/>
              <w:wordWrap/>
              <w:overflowPunct/>
              <w:topLinePunct w:val="0"/>
              <w:bidi w:val="0"/>
              <w:spacing w:before="78" w:after="0" w:line="360" w:lineRule="auto"/>
              <w:rPr>
                <w:rFonts w:hint="eastAsia" w:ascii="宋体" w:hAnsi="宋体" w:eastAsia="宋体" w:cs="宋体"/>
                <w:spacing w:val="-4"/>
                <w:sz w:val="24"/>
                <w:szCs w:val="24"/>
                <w:lang w:val="en-US" w:eastAsia="en-US" w:bidi="ar-SA"/>
              </w:rPr>
            </w:pPr>
            <w:r>
              <w:rPr>
                <w:rFonts w:hint="eastAsia" w:ascii="宋体" w:hAnsi="宋体" w:eastAsia="宋体" w:cs="宋体"/>
                <w:spacing w:val="-4"/>
                <w:sz w:val="24"/>
                <w:szCs w:val="24"/>
                <w:lang w:val="en-US" w:eastAsia="en-US" w:bidi="ar-SA"/>
              </w:rPr>
              <w:t>分项单位</w:t>
            </w:r>
          </w:p>
        </w:tc>
        <w:tc>
          <w:tcPr>
            <w:tcW w:w="1091" w:type="dxa"/>
            <w:vAlign w:val="top"/>
          </w:tcPr>
          <w:p w14:paraId="7DBA6E75">
            <w:pPr>
              <w:pageBreakBefore w:val="0"/>
              <w:wordWrap/>
              <w:overflowPunct/>
              <w:topLinePunct w:val="0"/>
              <w:bidi w:val="0"/>
              <w:spacing w:after="0" w:line="360" w:lineRule="auto"/>
              <w:jc w:val="left"/>
              <w:rPr>
                <w:rFonts w:hint="eastAsia" w:ascii="宋体" w:hAnsi="宋体" w:eastAsia="宋体" w:cs="宋体"/>
                <w:sz w:val="21"/>
                <w:lang w:eastAsia="en-US"/>
              </w:rPr>
            </w:pPr>
          </w:p>
          <w:p w14:paraId="56ED81BC">
            <w:pPr>
              <w:pageBreakBefore w:val="0"/>
              <w:widowControl w:val="0"/>
              <w:wordWrap/>
              <w:overflowPunct/>
              <w:topLinePunct w:val="0"/>
              <w:bidi w:val="0"/>
              <w:spacing w:before="78" w:after="0" w:line="360" w:lineRule="auto"/>
              <w:ind w:left="406"/>
              <w:rPr>
                <w:rFonts w:hint="eastAsia" w:ascii="宋体" w:hAnsi="宋体" w:eastAsia="宋体" w:cs="宋体"/>
                <w:spacing w:val="-6"/>
                <w:sz w:val="24"/>
                <w:szCs w:val="24"/>
                <w:lang w:val="en-US" w:eastAsia="en-US" w:bidi="ar-SA"/>
              </w:rPr>
            </w:pPr>
            <w:r>
              <w:rPr>
                <w:rFonts w:hint="eastAsia" w:ascii="宋体" w:hAnsi="宋体" w:eastAsia="宋体" w:cs="宋体"/>
                <w:spacing w:val="-6"/>
                <w:sz w:val="24"/>
                <w:szCs w:val="24"/>
                <w:lang w:val="en-US" w:eastAsia="en-US" w:bidi="ar-SA"/>
              </w:rPr>
              <w:t>数量</w:t>
            </w:r>
          </w:p>
        </w:tc>
        <w:tc>
          <w:tcPr>
            <w:tcW w:w="1629" w:type="dxa"/>
            <w:vAlign w:val="top"/>
          </w:tcPr>
          <w:p w14:paraId="54BE8E99">
            <w:pPr>
              <w:pageBreakBefore w:val="0"/>
              <w:widowControl w:val="0"/>
              <w:wordWrap/>
              <w:overflowPunct/>
              <w:topLinePunct w:val="0"/>
              <w:bidi w:val="0"/>
              <w:spacing w:before="247" w:after="0" w:line="360" w:lineRule="auto"/>
              <w:ind w:left="618"/>
              <w:rPr>
                <w:rFonts w:hint="eastAsia" w:ascii="宋体" w:hAnsi="宋体" w:eastAsia="宋体" w:cs="宋体"/>
                <w:spacing w:val="-6"/>
                <w:sz w:val="24"/>
                <w:szCs w:val="24"/>
                <w:lang w:val="en-US" w:eastAsia="en-US" w:bidi="ar-SA"/>
              </w:rPr>
            </w:pPr>
            <w:r>
              <w:rPr>
                <w:rFonts w:hint="eastAsia" w:ascii="宋体" w:hAnsi="宋体" w:eastAsia="宋体" w:cs="宋体"/>
                <w:spacing w:val="-6"/>
                <w:sz w:val="24"/>
                <w:szCs w:val="24"/>
                <w:lang w:val="en-US" w:eastAsia="en-US" w:bidi="ar-SA"/>
              </w:rPr>
              <w:t>单价</w:t>
            </w:r>
          </w:p>
          <w:p w14:paraId="340B7428">
            <w:pPr>
              <w:pageBreakBefore w:val="0"/>
              <w:widowControl w:val="0"/>
              <w:wordWrap/>
              <w:overflowPunct/>
              <w:topLinePunct w:val="0"/>
              <w:bidi w:val="0"/>
              <w:spacing w:before="239" w:after="0" w:line="360" w:lineRule="auto"/>
              <w:ind w:left="200"/>
              <w:rPr>
                <w:rFonts w:hint="eastAsia" w:ascii="宋体" w:hAnsi="宋体" w:eastAsia="宋体" w:cs="宋体"/>
                <w:spacing w:val="-3"/>
                <w:position w:val="2"/>
                <w:sz w:val="24"/>
                <w:szCs w:val="24"/>
                <w:lang w:val="en-US" w:eastAsia="en-US" w:bidi="ar-SA"/>
              </w:rPr>
            </w:pPr>
            <w:r>
              <w:rPr>
                <w:rFonts w:hint="eastAsia" w:ascii="宋体" w:hAnsi="宋体" w:eastAsia="宋体" w:cs="宋体"/>
                <w:spacing w:val="-3"/>
                <w:position w:val="2"/>
                <w:sz w:val="24"/>
                <w:szCs w:val="24"/>
                <w:lang w:val="en-US" w:eastAsia="en-US" w:bidi="ar-SA"/>
              </w:rPr>
              <w:t>（元/人/月）</w:t>
            </w:r>
          </w:p>
        </w:tc>
        <w:tc>
          <w:tcPr>
            <w:tcW w:w="1897" w:type="dxa"/>
            <w:vAlign w:val="top"/>
          </w:tcPr>
          <w:p w14:paraId="533FBA92">
            <w:pPr>
              <w:pageBreakBefore w:val="0"/>
              <w:widowControl w:val="0"/>
              <w:wordWrap/>
              <w:overflowPunct/>
              <w:topLinePunct w:val="0"/>
              <w:bidi w:val="0"/>
              <w:spacing w:before="247" w:after="0" w:line="360" w:lineRule="auto"/>
              <w:rPr>
                <w:rFonts w:hint="eastAsia" w:ascii="宋体" w:hAnsi="宋体" w:eastAsia="宋体" w:cs="宋体"/>
                <w:spacing w:val="-6"/>
                <w:sz w:val="24"/>
                <w:szCs w:val="24"/>
                <w:lang w:val="en-US" w:eastAsia="en-US" w:bidi="ar-SA"/>
              </w:rPr>
            </w:pPr>
            <w:r>
              <w:rPr>
                <w:rFonts w:hint="eastAsia" w:ascii="宋体" w:hAnsi="宋体" w:eastAsia="宋体" w:cs="宋体"/>
                <w:spacing w:val="-6"/>
                <w:sz w:val="24"/>
                <w:szCs w:val="24"/>
                <w:lang w:val="en-US" w:eastAsia="en-US" w:bidi="ar-SA"/>
              </w:rPr>
              <w:t>合计金额=服务人数*天数*综合单价</w:t>
            </w:r>
          </w:p>
        </w:tc>
      </w:tr>
      <w:tr w14:paraId="6357C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49" w:type="dxa"/>
            <w:vAlign w:val="top"/>
          </w:tcPr>
          <w:p w14:paraId="13D9B059">
            <w:pPr>
              <w:pageBreakBefore w:val="0"/>
              <w:wordWrap/>
              <w:overflowPunct/>
              <w:topLinePunct w:val="0"/>
              <w:bidi w:val="0"/>
              <w:spacing w:after="0" w:line="360" w:lineRule="auto"/>
              <w:jc w:val="left"/>
              <w:rPr>
                <w:rFonts w:hint="eastAsia" w:ascii="宋体" w:hAnsi="宋体" w:eastAsia="宋体" w:cs="宋体"/>
                <w:sz w:val="21"/>
                <w:lang w:eastAsia="en-US"/>
              </w:rPr>
            </w:pPr>
          </w:p>
          <w:p w14:paraId="44A9AE41">
            <w:pPr>
              <w:pageBreakBefore w:val="0"/>
              <w:wordWrap/>
              <w:overflowPunct/>
              <w:topLinePunct w:val="0"/>
              <w:bidi w:val="0"/>
              <w:spacing w:after="0" w:line="360" w:lineRule="auto"/>
              <w:jc w:val="left"/>
              <w:rPr>
                <w:rFonts w:hint="eastAsia" w:ascii="宋体" w:hAnsi="宋体" w:eastAsia="宋体" w:cs="宋体"/>
                <w:sz w:val="21"/>
                <w:lang w:eastAsia="en-US"/>
              </w:rPr>
            </w:pPr>
          </w:p>
          <w:p w14:paraId="51E38E36">
            <w:pPr>
              <w:pageBreakBefore w:val="0"/>
              <w:wordWrap/>
              <w:overflowPunct/>
              <w:topLinePunct w:val="0"/>
              <w:bidi w:val="0"/>
              <w:spacing w:before="69" w:after="0" w:line="360" w:lineRule="auto"/>
              <w:ind w:left="447"/>
              <w:jc w:val="left"/>
              <w:rPr>
                <w:rFonts w:hint="eastAsia" w:ascii="宋体" w:hAnsi="宋体" w:eastAsia="宋体" w:cs="宋体"/>
                <w:sz w:val="24"/>
                <w:szCs w:val="24"/>
                <w:lang w:eastAsia="en-US"/>
              </w:rPr>
            </w:pPr>
            <w:r>
              <w:rPr>
                <w:rFonts w:hint="eastAsia" w:ascii="宋体" w:hAnsi="宋体" w:eastAsia="宋体" w:cs="宋体"/>
                <w:sz w:val="24"/>
                <w:szCs w:val="24"/>
                <w:lang w:eastAsia="en-US"/>
              </w:rPr>
              <w:t>1</w:t>
            </w:r>
          </w:p>
        </w:tc>
        <w:tc>
          <w:tcPr>
            <w:tcW w:w="2104" w:type="dxa"/>
            <w:vAlign w:val="top"/>
          </w:tcPr>
          <w:p w14:paraId="2CAE63D0">
            <w:pPr>
              <w:pageBreakBefore w:val="0"/>
              <w:widowControl w:val="0"/>
              <w:wordWrap/>
              <w:overflowPunct/>
              <w:topLinePunct w:val="0"/>
              <w:bidi w:val="0"/>
              <w:spacing w:before="245" w:after="0" w:line="360" w:lineRule="auto"/>
              <w:ind w:right="107"/>
              <w:rPr>
                <w:rFonts w:hint="eastAsia" w:ascii="宋体" w:hAnsi="宋体" w:eastAsia="宋体" w:cs="宋体"/>
                <w:color w:val="auto"/>
                <w:spacing w:val="-3"/>
                <w:sz w:val="24"/>
                <w:szCs w:val="24"/>
                <w:highlight w:val="none"/>
                <w:lang w:val="en-US" w:eastAsia="en-US" w:bidi="ar-SA"/>
              </w:rPr>
            </w:pPr>
            <w:r>
              <w:rPr>
                <w:rFonts w:hint="eastAsia" w:ascii="宋体" w:hAnsi="宋体" w:eastAsia="宋体" w:cs="宋体"/>
                <w:color w:val="auto"/>
                <w:szCs w:val="24"/>
                <w:highlight w:val="none"/>
                <w:lang w:val="en-US" w:eastAsia="zh-CN"/>
              </w:rPr>
              <w:t>重度残疾人</w:t>
            </w:r>
          </w:p>
        </w:tc>
        <w:tc>
          <w:tcPr>
            <w:tcW w:w="1147" w:type="dxa"/>
            <w:vAlign w:val="top"/>
          </w:tcPr>
          <w:p w14:paraId="4642D7D2">
            <w:pPr>
              <w:pageBreakBefore w:val="0"/>
              <w:wordWrap/>
              <w:overflowPunct/>
              <w:topLinePunct w:val="0"/>
              <w:bidi w:val="0"/>
              <w:spacing w:after="0" w:line="360" w:lineRule="auto"/>
              <w:jc w:val="center"/>
              <w:rPr>
                <w:rFonts w:hint="eastAsia" w:ascii="宋体" w:hAnsi="宋体" w:eastAsia="宋体" w:cs="宋体"/>
                <w:sz w:val="21"/>
                <w:highlight w:val="none"/>
                <w:lang w:eastAsia="en-US"/>
              </w:rPr>
            </w:pPr>
          </w:p>
          <w:p w14:paraId="20EA17DA">
            <w:pPr>
              <w:pageBreakBefore w:val="0"/>
              <w:widowControl w:val="0"/>
              <w:wordWrap/>
              <w:overflowPunct/>
              <w:topLinePunct w:val="0"/>
              <w:bidi w:val="0"/>
              <w:spacing w:before="78" w:after="0" w:line="360" w:lineRule="auto"/>
              <w:jc w:val="center"/>
              <w:rPr>
                <w:rFonts w:hint="eastAsia" w:ascii="宋体" w:hAnsi="宋体" w:eastAsia="宋体" w:cs="宋体"/>
                <w:sz w:val="24"/>
                <w:szCs w:val="24"/>
                <w:highlight w:val="none"/>
                <w:lang w:val="en-US" w:eastAsia="en-US" w:bidi="ar-SA"/>
              </w:rPr>
            </w:pPr>
            <w:r>
              <w:rPr>
                <w:rFonts w:hint="eastAsia" w:ascii="宋体" w:hAnsi="宋体" w:eastAsia="宋体" w:cs="宋体"/>
                <w:sz w:val="24"/>
                <w:szCs w:val="24"/>
                <w:highlight w:val="none"/>
                <w:lang w:val="en-US" w:eastAsia="en-US" w:bidi="ar-SA"/>
              </w:rPr>
              <w:t>人</w:t>
            </w:r>
          </w:p>
        </w:tc>
        <w:tc>
          <w:tcPr>
            <w:tcW w:w="1091" w:type="dxa"/>
            <w:vAlign w:val="top"/>
          </w:tcPr>
          <w:p w14:paraId="1FCF3D5B">
            <w:pPr>
              <w:pageBreakBefore w:val="0"/>
              <w:widowControl w:val="0"/>
              <w:wordWrap/>
              <w:overflowPunct/>
              <w:topLinePunct w:val="0"/>
              <w:bidi w:val="0"/>
              <w:spacing w:before="78" w:after="0" w:line="360" w:lineRule="auto"/>
              <w:jc w:val="center"/>
              <w:rPr>
                <w:rFonts w:hint="eastAsia" w:ascii="宋体" w:hAnsi="宋体" w:eastAsia="宋体" w:cs="宋体"/>
                <w:spacing w:val="-5"/>
                <w:sz w:val="24"/>
                <w:szCs w:val="24"/>
                <w:highlight w:val="none"/>
                <w:lang w:val="en-US" w:eastAsia="zh-CN" w:bidi="ar-SA"/>
              </w:rPr>
            </w:pPr>
            <w:r>
              <w:rPr>
                <w:rFonts w:hint="eastAsia" w:ascii="宋体" w:hAnsi="宋体" w:eastAsia="宋体" w:cs="宋体"/>
                <w:sz w:val="24"/>
                <w:szCs w:val="24"/>
                <w:highlight w:val="none"/>
                <w:lang w:val="en-US" w:eastAsia="zh-CN" w:bidi="ar-SA"/>
              </w:rPr>
              <w:t>40</w:t>
            </w:r>
          </w:p>
        </w:tc>
        <w:tc>
          <w:tcPr>
            <w:tcW w:w="1629" w:type="dxa"/>
            <w:vAlign w:val="top"/>
          </w:tcPr>
          <w:p w14:paraId="16D51CBE">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897" w:type="dxa"/>
            <w:vAlign w:val="top"/>
          </w:tcPr>
          <w:p w14:paraId="2D95CC0A">
            <w:pPr>
              <w:pageBreakBefore w:val="0"/>
              <w:wordWrap/>
              <w:overflowPunct/>
              <w:topLinePunct w:val="0"/>
              <w:bidi w:val="0"/>
              <w:spacing w:after="0" w:line="360" w:lineRule="auto"/>
              <w:jc w:val="left"/>
              <w:rPr>
                <w:rFonts w:hint="eastAsia" w:ascii="宋体" w:hAnsi="宋体" w:eastAsia="宋体" w:cs="宋体"/>
                <w:sz w:val="21"/>
                <w:lang w:eastAsia="en-US"/>
              </w:rPr>
            </w:pPr>
          </w:p>
        </w:tc>
      </w:tr>
      <w:tr w14:paraId="29095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49" w:type="dxa"/>
            <w:vAlign w:val="top"/>
          </w:tcPr>
          <w:p w14:paraId="7A9CA70A">
            <w:pPr>
              <w:pageBreakBefore w:val="0"/>
              <w:wordWrap/>
              <w:overflowPunct/>
              <w:topLinePunct w:val="0"/>
              <w:bidi w:val="0"/>
              <w:spacing w:before="285" w:after="0" w:line="360" w:lineRule="auto"/>
              <w:ind w:left="424"/>
              <w:jc w:val="left"/>
              <w:rPr>
                <w:rFonts w:hint="eastAsia" w:ascii="宋体" w:hAnsi="宋体" w:eastAsia="宋体" w:cs="宋体"/>
                <w:sz w:val="24"/>
                <w:szCs w:val="24"/>
                <w:lang w:eastAsia="en-US"/>
              </w:rPr>
            </w:pPr>
            <w:r>
              <w:rPr>
                <w:rFonts w:hint="eastAsia" w:ascii="宋体" w:hAnsi="宋体" w:eastAsia="宋体" w:cs="宋体"/>
                <w:sz w:val="24"/>
                <w:szCs w:val="24"/>
                <w:lang w:eastAsia="en-US"/>
              </w:rPr>
              <w:t>2</w:t>
            </w:r>
          </w:p>
        </w:tc>
        <w:tc>
          <w:tcPr>
            <w:tcW w:w="2104" w:type="dxa"/>
            <w:vAlign w:val="top"/>
          </w:tcPr>
          <w:p w14:paraId="64FE3A7E">
            <w:pPr>
              <w:pageBreakBefore w:val="0"/>
              <w:widowControl w:val="0"/>
              <w:wordWrap/>
              <w:overflowPunct/>
              <w:topLinePunct w:val="0"/>
              <w:bidi w:val="0"/>
              <w:spacing w:before="243" w:after="0" w:line="360" w:lineRule="auto"/>
              <w:rPr>
                <w:rFonts w:hint="eastAsia" w:ascii="宋体" w:hAnsi="宋体" w:eastAsia="宋体" w:cs="宋体"/>
                <w:color w:val="auto"/>
                <w:spacing w:val="-4"/>
                <w:sz w:val="24"/>
                <w:szCs w:val="24"/>
                <w:highlight w:val="none"/>
                <w:lang w:val="en-US" w:eastAsia="en-US" w:bidi="ar-SA"/>
              </w:rPr>
            </w:pPr>
            <w:r>
              <w:rPr>
                <w:rFonts w:hint="eastAsia" w:ascii="宋体" w:hAnsi="宋体" w:eastAsia="宋体" w:cs="宋体"/>
                <w:color w:val="auto"/>
                <w:szCs w:val="24"/>
                <w:highlight w:val="none"/>
                <w:lang w:val="en-US" w:eastAsia="zh-CN"/>
              </w:rPr>
              <w:t>轻度残疾人</w:t>
            </w:r>
          </w:p>
        </w:tc>
        <w:tc>
          <w:tcPr>
            <w:tcW w:w="1147" w:type="dxa"/>
            <w:vAlign w:val="top"/>
          </w:tcPr>
          <w:p w14:paraId="4C8C2BEC">
            <w:pPr>
              <w:pageBreakBefore w:val="0"/>
              <w:widowControl w:val="0"/>
              <w:wordWrap/>
              <w:overflowPunct/>
              <w:topLinePunct w:val="0"/>
              <w:bidi w:val="0"/>
              <w:spacing w:before="243" w:after="0" w:line="360" w:lineRule="auto"/>
              <w:jc w:val="center"/>
              <w:rPr>
                <w:rFonts w:hint="eastAsia" w:ascii="宋体" w:hAnsi="宋体" w:eastAsia="宋体" w:cs="宋体"/>
                <w:sz w:val="24"/>
                <w:szCs w:val="24"/>
                <w:highlight w:val="none"/>
                <w:lang w:val="en-US" w:eastAsia="en-US" w:bidi="ar-SA"/>
              </w:rPr>
            </w:pPr>
            <w:r>
              <w:rPr>
                <w:rFonts w:hint="eastAsia" w:ascii="宋体" w:hAnsi="宋体" w:eastAsia="宋体" w:cs="宋体"/>
                <w:sz w:val="24"/>
                <w:szCs w:val="24"/>
                <w:highlight w:val="none"/>
                <w:lang w:val="en-US" w:eastAsia="en-US" w:bidi="ar-SA"/>
              </w:rPr>
              <w:t>人</w:t>
            </w:r>
          </w:p>
        </w:tc>
        <w:tc>
          <w:tcPr>
            <w:tcW w:w="1091" w:type="dxa"/>
            <w:vAlign w:val="top"/>
          </w:tcPr>
          <w:p w14:paraId="751C3E2F">
            <w:pPr>
              <w:pageBreakBefore w:val="0"/>
              <w:widowControl w:val="0"/>
              <w:wordWrap/>
              <w:overflowPunct/>
              <w:topLinePunct w:val="0"/>
              <w:bidi w:val="0"/>
              <w:spacing w:before="243" w:after="0" w:line="360" w:lineRule="auto"/>
              <w:ind w:left="121"/>
              <w:jc w:val="center"/>
              <w:rPr>
                <w:rFonts w:hint="eastAsia" w:ascii="宋体" w:hAnsi="宋体" w:eastAsia="宋体" w:cs="宋体"/>
                <w:spacing w:val="-4"/>
                <w:sz w:val="24"/>
                <w:szCs w:val="24"/>
                <w:highlight w:val="none"/>
                <w:lang w:val="en-US" w:eastAsia="zh-CN" w:bidi="ar-SA"/>
              </w:rPr>
            </w:pPr>
            <w:r>
              <w:rPr>
                <w:rFonts w:hint="eastAsia" w:ascii="宋体" w:hAnsi="宋体" w:eastAsia="宋体" w:cs="宋体"/>
                <w:spacing w:val="-4"/>
                <w:sz w:val="24"/>
                <w:szCs w:val="24"/>
                <w:highlight w:val="none"/>
                <w:lang w:val="en-US" w:eastAsia="zh-CN" w:bidi="ar-SA"/>
              </w:rPr>
              <w:t>10</w:t>
            </w:r>
          </w:p>
        </w:tc>
        <w:tc>
          <w:tcPr>
            <w:tcW w:w="1629" w:type="dxa"/>
            <w:vAlign w:val="top"/>
          </w:tcPr>
          <w:p w14:paraId="346D8F64">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897" w:type="dxa"/>
            <w:vAlign w:val="top"/>
          </w:tcPr>
          <w:p w14:paraId="44608CCD">
            <w:pPr>
              <w:pageBreakBefore w:val="0"/>
              <w:wordWrap/>
              <w:overflowPunct/>
              <w:topLinePunct w:val="0"/>
              <w:bidi w:val="0"/>
              <w:spacing w:after="0" w:line="360" w:lineRule="auto"/>
              <w:jc w:val="left"/>
              <w:rPr>
                <w:rFonts w:hint="eastAsia" w:ascii="宋体" w:hAnsi="宋体" w:eastAsia="宋体" w:cs="宋体"/>
                <w:sz w:val="21"/>
                <w:lang w:eastAsia="en-US"/>
              </w:rPr>
            </w:pPr>
          </w:p>
        </w:tc>
      </w:tr>
      <w:tr w14:paraId="6EDDA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9" w:type="dxa"/>
            <w:vAlign w:val="top"/>
          </w:tcPr>
          <w:p w14:paraId="6ABEF7CF">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2104" w:type="dxa"/>
            <w:vAlign w:val="top"/>
          </w:tcPr>
          <w:p w14:paraId="486320CB">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147" w:type="dxa"/>
            <w:vAlign w:val="top"/>
          </w:tcPr>
          <w:p w14:paraId="48698822">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091" w:type="dxa"/>
            <w:vAlign w:val="top"/>
          </w:tcPr>
          <w:p w14:paraId="69CB10BE">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629" w:type="dxa"/>
            <w:vAlign w:val="top"/>
          </w:tcPr>
          <w:p w14:paraId="00E71297">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897" w:type="dxa"/>
            <w:vAlign w:val="top"/>
          </w:tcPr>
          <w:p w14:paraId="5F63E1A1">
            <w:pPr>
              <w:pageBreakBefore w:val="0"/>
              <w:wordWrap/>
              <w:overflowPunct/>
              <w:topLinePunct w:val="0"/>
              <w:bidi w:val="0"/>
              <w:spacing w:after="0" w:line="360" w:lineRule="auto"/>
              <w:jc w:val="left"/>
              <w:rPr>
                <w:rFonts w:hint="eastAsia" w:ascii="宋体" w:hAnsi="宋体" w:eastAsia="宋体" w:cs="宋体"/>
                <w:sz w:val="21"/>
                <w:lang w:eastAsia="en-US"/>
              </w:rPr>
            </w:pPr>
          </w:p>
        </w:tc>
      </w:tr>
      <w:tr w14:paraId="1CD72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49" w:type="dxa"/>
            <w:vAlign w:val="top"/>
          </w:tcPr>
          <w:p w14:paraId="5F14F11A">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2104" w:type="dxa"/>
            <w:vAlign w:val="top"/>
          </w:tcPr>
          <w:p w14:paraId="4A292004">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147" w:type="dxa"/>
            <w:vAlign w:val="top"/>
          </w:tcPr>
          <w:p w14:paraId="29F3F459">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091" w:type="dxa"/>
            <w:vAlign w:val="top"/>
          </w:tcPr>
          <w:p w14:paraId="4DADCB4B">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629" w:type="dxa"/>
            <w:vAlign w:val="top"/>
          </w:tcPr>
          <w:p w14:paraId="71FBA58C">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897" w:type="dxa"/>
            <w:vAlign w:val="top"/>
          </w:tcPr>
          <w:p w14:paraId="083DA10D">
            <w:pPr>
              <w:pageBreakBefore w:val="0"/>
              <w:wordWrap/>
              <w:overflowPunct/>
              <w:topLinePunct w:val="0"/>
              <w:bidi w:val="0"/>
              <w:spacing w:after="0" w:line="360" w:lineRule="auto"/>
              <w:jc w:val="left"/>
              <w:rPr>
                <w:rFonts w:hint="eastAsia" w:ascii="宋体" w:hAnsi="宋体" w:eastAsia="宋体" w:cs="宋体"/>
                <w:sz w:val="21"/>
                <w:lang w:eastAsia="en-US"/>
              </w:rPr>
            </w:pPr>
          </w:p>
        </w:tc>
      </w:tr>
      <w:tr w14:paraId="5D4A7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49" w:type="dxa"/>
            <w:vAlign w:val="top"/>
          </w:tcPr>
          <w:p w14:paraId="4634DF44">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2104" w:type="dxa"/>
            <w:vAlign w:val="top"/>
          </w:tcPr>
          <w:p w14:paraId="403BD0B5">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147" w:type="dxa"/>
            <w:vAlign w:val="top"/>
          </w:tcPr>
          <w:p w14:paraId="4D21BBAE">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091" w:type="dxa"/>
            <w:vAlign w:val="top"/>
          </w:tcPr>
          <w:p w14:paraId="212FBC6A">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629" w:type="dxa"/>
            <w:vAlign w:val="top"/>
          </w:tcPr>
          <w:p w14:paraId="2DC36EA1">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897" w:type="dxa"/>
            <w:vAlign w:val="top"/>
          </w:tcPr>
          <w:p w14:paraId="36A8B336">
            <w:pPr>
              <w:pageBreakBefore w:val="0"/>
              <w:wordWrap/>
              <w:overflowPunct/>
              <w:topLinePunct w:val="0"/>
              <w:bidi w:val="0"/>
              <w:spacing w:after="0" w:line="360" w:lineRule="auto"/>
              <w:jc w:val="left"/>
              <w:rPr>
                <w:rFonts w:hint="eastAsia" w:ascii="宋体" w:hAnsi="宋体" w:eastAsia="宋体" w:cs="宋体"/>
                <w:sz w:val="21"/>
                <w:lang w:eastAsia="en-US"/>
              </w:rPr>
            </w:pPr>
          </w:p>
        </w:tc>
      </w:tr>
      <w:tr w14:paraId="0A748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9" w:type="dxa"/>
            <w:vAlign w:val="top"/>
          </w:tcPr>
          <w:p w14:paraId="5FE66EBE">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2104" w:type="dxa"/>
            <w:vAlign w:val="top"/>
          </w:tcPr>
          <w:p w14:paraId="7C0D0F95">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147" w:type="dxa"/>
            <w:vAlign w:val="top"/>
          </w:tcPr>
          <w:p w14:paraId="2F92F159">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091" w:type="dxa"/>
            <w:vAlign w:val="top"/>
          </w:tcPr>
          <w:p w14:paraId="31C5E21D">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629" w:type="dxa"/>
            <w:vAlign w:val="top"/>
          </w:tcPr>
          <w:p w14:paraId="24808399">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897" w:type="dxa"/>
            <w:vAlign w:val="top"/>
          </w:tcPr>
          <w:p w14:paraId="3EC43575">
            <w:pPr>
              <w:pageBreakBefore w:val="0"/>
              <w:wordWrap/>
              <w:overflowPunct/>
              <w:topLinePunct w:val="0"/>
              <w:bidi w:val="0"/>
              <w:spacing w:after="0" w:line="360" w:lineRule="auto"/>
              <w:jc w:val="left"/>
              <w:rPr>
                <w:rFonts w:hint="eastAsia" w:ascii="宋体" w:hAnsi="宋体" w:eastAsia="宋体" w:cs="宋体"/>
                <w:sz w:val="21"/>
                <w:lang w:eastAsia="en-US"/>
              </w:rPr>
            </w:pPr>
          </w:p>
        </w:tc>
      </w:tr>
      <w:tr w14:paraId="12172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020" w:type="dxa"/>
            <w:gridSpan w:val="5"/>
            <w:vAlign w:val="top"/>
          </w:tcPr>
          <w:p w14:paraId="77B879FE">
            <w:pPr>
              <w:pageBreakBefore w:val="0"/>
              <w:widowControl w:val="0"/>
              <w:wordWrap/>
              <w:overflowPunct/>
              <w:topLinePunct w:val="0"/>
              <w:bidi w:val="0"/>
              <w:spacing w:before="247" w:after="0" w:line="360" w:lineRule="auto"/>
              <w:ind w:left="2864"/>
              <w:rPr>
                <w:rFonts w:hint="eastAsia" w:ascii="宋体" w:hAnsi="宋体" w:eastAsia="宋体" w:cs="宋体"/>
                <w:spacing w:val="-3"/>
                <w:sz w:val="24"/>
                <w:szCs w:val="24"/>
                <w:lang w:val="en-US" w:eastAsia="en-US" w:bidi="ar-SA"/>
              </w:rPr>
            </w:pPr>
            <w:r>
              <w:rPr>
                <w:rFonts w:hint="eastAsia" w:ascii="宋体" w:hAnsi="宋体" w:eastAsia="宋体" w:cs="宋体"/>
                <w:spacing w:val="-3"/>
                <w:sz w:val="24"/>
                <w:szCs w:val="24"/>
                <w:lang w:val="en-US" w:eastAsia="en-US" w:bidi="ar-SA"/>
              </w:rPr>
              <w:t>总计（元）</w:t>
            </w:r>
          </w:p>
        </w:tc>
        <w:tc>
          <w:tcPr>
            <w:tcW w:w="1897" w:type="dxa"/>
            <w:vAlign w:val="top"/>
          </w:tcPr>
          <w:p w14:paraId="04F4475B">
            <w:pPr>
              <w:pageBreakBefore w:val="0"/>
              <w:wordWrap/>
              <w:overflowPunct/>
              <w:topLinePunct w:val="0"/>
              <w:bidi w:val="0"/>
              <w:spacing w:after="0" w:line="360" w:lineRule="auto"/>
              <w:jc w:val="left"/>
              <w:rPr>
                <w:rFonts w:hint="eastAsia" w:ascii="宋体" w:hAnsi="宋体" w:eastAsia="宋体" w:cs="宋体"/>
                <w:sz w:val="21"/>
                <w:lang w:eastAsia="en-US"/>
              </w:rPr>
            </w:pPr>
          </w:p>
        </w:tc>
      </w:tr>
    </w:tbl>
    <w:p w14:paraId="208F21D0">
      <w:pPr>
        <w:pageBreakBefore w:val="0"/>
        <w:wordWrap/>
        <w:overflowPunct/>
        <w:topLinePunct w:val="0"/>
        <w:bidi w:val="0"/>
        <w:spacing w:line="360" w:lineRule="auto"/>
        <w:ind w:firstLine="420"/>
        <w:rPr>
          <w:rFonts w:hint="eastAsia" w:ascii="宋体" w:hAnsi="宋体" w:eastAsia="宋体" w:cs="宋体"/>
          <w:color w:val="FF0000"/>
          <w:szCs w:val="24"/>
          <w:lang w:eastAsia="en-US"/>
        </w:rPr>
      </w:pPr>
      <w:r>
        <w:rPr>
          <w:rFonts w:hint="eastAsia" w:ascii="宋体" w:hAnsi="宋体" w:eastAsia="宋体" w:cs="宋体"/>
          <w:color w:val="FF0000"/>
          <w:szCs w:val="24"/>
          <w:lang w:eastAsia="en-US"/>
        </w:rPr>
        <w:t>注：</w:t>
      </w:r>
      <w:r>
        <w:rPr>
          <w:rFonts w:hint="eastAsia" w:ascii="宋体" w:hAnsi="宋体" w:eastAsia="宋体" w:cs="宋体"/>
          <w:color w:val="FF0000"/>
          <w:szCs w:val="24"/>
          <w:lang w:val="en-US" w:eastAsia="zh-CN"/>
        </w:rPr>
        <w:t>重度残疾人3300 元/人/月，轻度残疾人1800元/人/月</w:t>
      </w:r>
      <w:r>
        <w:rPr>
          <w:rFonts w:hint="eastAsia" w:ascii="宋体" w:hAnsi="宋体" w:eastAsia="宋体" w:cs="宋体"/>
          <w:color w:val="FF0000"/>
          <w:szCs w:val="24"/>
          <w:lang w:val="en-US" w:eastAsia="en-US"/>
        </w:rPr>
        <w:t>，单价报价超过以上最高限价的按无效响应处理。</w:t>
      </w:r>
    </w:p>
    <w:p w14:paraId="71D2748D">
      <w:pPr>
        <w:pageBreakBefore w:val="0"/>
        <w:wordWrap/>
        <w:overflowPunct/>
        <w:topLinePunct w:val="0"/>
        <w:bidi w:val="0"/>
        <w:spacing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投标人（盖章）：</w:t>
      </w:r>
    </w:p>
    <w:p w14:paraId="7BA59052">
      <w:pPr>
        <w:pageBreakBefore w:val="0"/>
        <w:wordWrap/>
        <w:overflowPunct/>
        <w:topLinePunct w:val="0"/>
        <w:bidi w:val="0"/>
        <w:spacing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法定代表人（单位负责人）或委托代理人（签字或盖章）：</w:t>
      </w:r>
    </w:p>
    <w:p w14:paraId="4F1ACC16">
      <w:pPr>
        <w:pageBreakBefore w:val="0"/>
        <w:wordWrap/>
        <w:overflowPunct/>
        <w:topLinePunct w:val="0"/>
        <w:bidi w:val="0"/>
        <w:spacing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日期：    年     月     日</w:t>
      </w:r>
    </w:p>
    <w:p w14:paraId="2CEE62E3">
      <w:pPr>
        <w:pageBreakBefore w:val="0"/>
        <w:wordWrap/>
        <w:overflowPunct/>
        <w:topLinePunct w:val="0"/>
        <w:bidi w:val="0"/>
        <w:spacing w:line="360" w:lineRule="auto"/>
        <w:ind w:firstLine="420"/>
        <w:rPr>
          <w:rFonts w:hint="eastAsia" w:ascii="宋体" w:hAnsi="宋体" w:eastAsia="宋体" w:cs="宋体"/>
          <w:color w:val="000000"/>
          <w:szCs w:val="24"/>
        </w:rPr>
      </w:pPr>
    </w:p>
    <w:p w14:paraId="6DFACAC7">
      <w:pPr>
        <w:pageBreakBefore w:val="0"/>
        <w:tabs>
          <w:tab w:val="left" w:pos="360"/>
        </w:tabs>
        <w:wordWrap/>
        <w:overflowPunct/>
        <w:topLinePunct w:val="0"/>
        <w:bidi w:val="0"/>
        <w:spacing w:line="360" w:lineRule="auto"/>
        <w:jc w:val="center"/>
        <w:rPr>
          <w:rFonts w:hint="eastAsia" w:ascii="宋体" w:hAnsi="宋体" w:eastAsia="宋体" w:cs="宋体"/>
          <w:bCs/>
          <w:color w:val="000000"/>
          <w:sz w:val="36"/>
          <w:szCs w:val="28"/>
        </w:rPr>
      </w:pPr>
      <w:r>
        <w:rPr>
          <w:rFonts w:hint="eastAsia" w:ascii="宋体" w:hAnsi="宋体" w:eastAsia="宋体" w:cs="宋体"/>
          <w:bCs/>
          <w:color w:val="000000"/>
          <w:sz w:val="36"/>
          <w:szCs w:val="28"/>
        </w:rPr>
        <w:t>投标分项报价表</w:t>
      </w:r>
    </w:p>
    <w:p w14:paraId="5A906505">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项目名称： </w:t>
      </w:r>
      <w:r>
        <w:rPr>
          <w:rFonts w:hint="eastAsia" w:ascii="宋体" w:hAnsi="宋体" w:eastAsia="宋体" w:cs="宋体"/>
          <w:color w:val="000000"/>
          <w:sz w:val="24"/>
          <w:szCs w:val="21"/>
          <w:lang w:val="en-US" w:eastAsia="zh-CN"/>
        </w:rPr>
        <w:t xml:space="preserve">       </w:t>
      </w:r>
      <w:r>
        <w:rPr>
          <w:rFonts w:hint="eastAsia" w:ascii="宋体" w:hAnsi="宋体" w:eastAsia="宋体" w:cs="宋体"/>
          <w:color w:val="000000"/>
          <w:sz w:val="24"/>
          <w:szCs w:val="21"/>
        </w:rPr>
        <w:t xml:space="preserve">     项目编号：    </w:t>
      </w:r>
      <w:r>
        <w:rPr>
          <w:rFonts w:hint="eastAsia" w:ascii="宋体" w:hAnsi="宋体" w:eastAsia="宋体" w:cs="宋体"/>
          <w:color w:val="000000"/>
          <w:sz w:val="24"/>
          <w:szCs w:val="21"/>
          <w:lang w:val="en-US" w:eastAsia="zh-CN"/>
        </w:rPr>
        <w:t xml:space="preserve">    </w:t>
      </w:r>
      <w:r>
        <w:rPr>
          <w:rFonts w:hint="eastAsia" w:ascii="宋体" w:hAnsi="宋体" w:eastAsia="宋体" w:cs="宋体"/>
          <w:color w:val="000000"/>
          <w:sz w:val="24"/>
          <w:szCs w:val="21"/>
        </w:rPr>
        <w:t xml:space="preserve">  分包号：</w:t>
      </w:r>
      <w:r>
        <w:rPr>
          <w:rFonts w:hint="eastAsia" w:ascii="宋体" w:hAnsi="宋体" w:eastAsia="宋体" w:cs="宋体"/>
          <w:color w:val="000000"/>
          <w:sz w:val="24"/>
          <w:szCs w:val="21"/>
          <w:lang w:val="en-US" w:eastAsia="zh-CN"/>
        </w:rPr>
        <w:t>2</w:t>
      </w:r>
      <w:r>
        <w:rPr>
          <w:rFonts w:hint="eastAsia" w:ascii="宋体" w:hAnsi="宋体" w:eastAsia="宋体" w:cs="宋体"/>
          <w:color w:val="000000"/>
          <w:sz w:val="24"/>
          <w:szCs w:val="21"/>
        </w:rPr>
        <w:t xml:space="preserve"> </w:t>
      </w:r>
    </w:p>
    <w:p w14:paraId="7CD426EA">
      <w:pPr>
        <w:keepNext w:val="0"/>
        <w:keepLines w:val="0"/>
        <w:pageBreakBefore w:val="0"/>
        <w:widowControl w:val="0"/>
        <w:kinsoku/>
        <w:wordWrap/>
        <w:overflowPunct/>
        <w:topLinePunct w:val="0"/>
        <w:autoSpaceDE/>
        <w:autoSpaceDN/>
        <w:bidi w:val="0"/>
        <w:adjustRightInd/>
        <w:snapToGrid/>
        <w:spacing w:line="580" w:lineRule="exact"/>
        <w:ind w:firstLine="480"/>
        <w:jc w:val="right"/>
        <w:textAlignment w:val="auto"/>
        <w:rPr>
          <w:rFonts w:hint="eastAsia" w:ascii="宋体" w:hAnsi="宋体" w:eastAsia="宋体" w:cs="宋体"/>
          <w:color w:val="000000"/>
          <w:sz w:val="24"/>
          <w:szCs w:val="21"/>
          <w:lang w:eastAsia="en-US"/>
        </w:rPr>
      </w:pPr>
      <w:r>
        <w:rPr>
          <w:rFonts w:hint="eastAsia" w:ascii="宋体" w:hAnsi="宋体" w:eastAsia="宋体" w:cs="宋体"/>
          <w:color w:val="000000"/>
          <w:sz w:val="24"/>
          <w:szCs w:val="21"/>
        </w:rPr>
        <w:t>单位：元</w:t>
      </w:r>
    </w:p>
    <w:tbl>
      <w:tblPr>
        <w:tblStyle w:val="222"/>
        <w:tblpPr w:leftFromText="180" w:rightFromText="180" w:vertAnchor="text" w:horzAnchor="page" w:tblpX="1380" w:tblpY="550"/>
        <w:tblOverlap w:val="never"/>
        <w:tblW w:w="935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9"/>
        <w:gridCol w:w="2104"/>
        <w:gridCol w:w="1147"/>
        <w:gridCol w:w="1152"/>
        <w:gridCol w:w="1564"/>
        <w:gridCol w:w="2339"/>
      </w:tblGrid>
      <w:tr w14:paraId="131A0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049" w:type="dxa"/>
            <w:vAlign w:val="top"/>
          </w:tcPr>
          <w:p w14:paraId="51E448D9">
            <w:pPr>
              <w:pageBreakBefore w:val="0"/>
              <w:wordWrap/>
              <w:overflowPunct/>
              <w:topLinePunct w:val="0"/>
              <w:bidi w:val="0"/>
              <w:spacing w:after="0" w:line="360" w:lineRule="auto"/>
              <w:jc w:val="left"/>
              <w:rPr>
                <w:rFonts w:hint="eastAsia" w:ascii="宋体" w:hAnsi="宋体" w:eastAsia="宋体" w:cs="宋体"/>
                <w:sz w:val="21"/>
                <w:lang w:eastAsia="en-US"/>
              </w:rPr>
            </w:pPr>
          </w:p>
          <w:p w14:paraId="3EB97308">
            <w:pPr>
              <w:pageBreakBefore w:val="0"/>
              <w:widowControl w:val="0"/>
              <w:wordWrap/>
              <w:overflowPunct/>
              <w:topLinePunct w:val="0"/>
              <w:bidi w:val="0"/>
              <w:spacing w:before="78" w:after="0" w:line="360" w:lineRule="auto"/>
              <w:ind w:left="247"/>
              <w:rPr>
                <w:rFonts w:hint="eastAsia" w:ascii="宋体" w:hAnsi="宋体" w:eastAsia="宋体" w:cs="宋体"/>
                <w:spacing w:val="-5"/>
                <w:sz w:val="24"/>
                <w:szCs w:val="24"/>
                <w:lang w:val="en-US" w:eastAsia="en-US" w:bidi="ar-SA"/>
              </w:rPr>
            </w:pPr>
            <w:r>
              <w:rPr>
                <w:rFonts w:hint="eastAsia" w:ascii="宋体" w:hAnsi="宋体" w:eastAsia="宋体" w:cs="宋体"/>
                <w:spacing w:val="-5"/>
                <w:sz w:val="24"/>
                <w:szCs w:val="24"/>
                <w:lang w:val="en-US" w:eastAsia="en-US" w:bidi="ar-SA"/>
              </w:rPr>
              <w:t>序号</w:t>
            </w:r>
          </w:p>
        </w:tc>
        <w:tc>
          <w:tcPr>
            <w:tcW w:w="2104" w:type="dxa"/>
            <w:vAlign w:val="top"/>
          </w:tcPr>
          <w:p w14:paraId="04BF622A">
            <w:pPr>
              <w:pageBreakBefore w:val="0"/>
              <w:widowControl w:val="0"/>
              <w:wordWrap/>
              <w:overflowPunct/>
              <w:topLinePunct w:val="0"/>
              <w:bidi w:val="0"/>
              <w:spacing w:before="248" w:after="0" w:line="360" w:lineRule="auto"/>
              <w:ind w:left="475" w:right="107" w:hanging="362"/>
              <w:rPr>
                <w:rFonts w:hint="eastAsia" w:ascii="宋体" w:hAnsi="宋体" w:eastAsia="宋体" w:cs="宋体"/>
                <w:spacing w:val="-2"/>
                <w:sz w:val="24"/>
                <w:szCs w:val="24"/>
                <w:lang w:val="en-US" w:eastAsia="en-US" w:bidi="ar-SA"/>
              </w:rPr>
            </w:pPr>
            <w:r>
              <w:rPr>
                <w:rFonts w:hint="eastAsia" w:ascii="宋体" w:hAnsi="宋体" w:eastAsia="宋体" w:cs="宋体"/>
                <w:spacing w:val="-2"/>
                <w:sz w:val="24"/>
                <w:szCs w:val="24"/>
                <w:lang w:val="en-US" w:eastAsia="en-US" w:bidi="ar-SA"/>
              </w:rPr>
              <w:t>产品、服务</w:t>
            </w:r>
            <w:r>
              <w:rPr>
                <w:rFonts w:hint="eastAsia" w:ascii="宋体" w:hAnsi="宋体" w:eastAsia="宋体" w:cs="宋体"/>
                <w:sz w:val="24"/>
                <w:szCs w:val="24"/>
                <w:lang w:val="en-US" w:eastAsia="en-US" w:bidi="ar-SA"/>
              </w:rPr>
              <w:t xml:space="preserve"> </w:t>
            </w:r>
            <w:r>
              <w:rPr>
                <w:rFonts w:hint="eastAsia" w:ascii="宋体" w:hAnsi="宋体" w:eastAsia="宋体" w:cs="宋体"/>
                <w:spacing w:val="-7"/>
                <w:sz w:val="24"/>
                <w:szCs w:val="24"/>
                <w:lang w:val="en-US" w:eastAsia="en-US" w:bidi="ar-SA"/>
              </w:rPr>
              <w:t>名称</w:t>
            </w:r>
          </w:p>
        </w:tc>
        <w:tc>
          <w:tcPr>
            <w:tcW w:w="1147" w:type="dxa"/>
            <w:vAlign w:val="top"/>
          </w:tcPr>
          <w:p w14:paraId="32CBBD9A">
            <w:pPr>
              <w:pageBreakBefore w:val="0"/>
              <w:wordWrap/>
              <w:overflowPunct/>
              <w:topLinePunct w:val="0"/>
              <w:bidi w:val="0"/>
              <w:spacing w:after="0" w:line="360" w:lineRule="auto"/>
              <w:jc w:val="left"/>
              <w:rPr>
                <w:rFonts w:hint="eastAsia" w:ascii="宋体" w:hAnsi="宋体" w:eastAsia="宋体" w:cs="宋体"/>
                <w:sz w:val="21"/>
                <w:lang w:eastAsia="en-US"/>
              </w:rPr>
            </w:pPr>
          </w:p>
          <w:p w14:paraId="2E3BBFC8">
            <w:pPr>
              <w:pageBreakBefore w:val="0"/>
              <w:widowControl w:val="0"/>
              <w:wordWrap/>
              <w:overflowPunct/>
              <w:topLinePunct w:val="0"/>
              <w:bidi w:val="0"/>
              <w:spacing w:before="78" w:after="0" w:line="360" w:lineRule="auto"/>
              <w:rPr>
                <w:rFonts w:hint="eastAsia" w:ascii="宋体" w:hAnsi="宋体" w:eastAsia="宋体" w:cs="宋体"/>
                <w:spacing w:val="-4"/>
                <w:sz w:val="24"/>
                <w:szCs w:val="24"/>
                <w:lang w:val="en-US" w:eastAsia="en-US" w:bidi="ar-SA"/>
              </w:rPr>
            </w:pPr>
            <w:r>
              <w:rPr>
                <w:rFonts w:hint="eastAsia" w:ascii="宋体" w:hAnsi="宋体" w:eastAsia="宋体" w:cs="宋体"/>
                <w:spacing w:val="-4"/>
                <w:sz w:val="24"/>
                <w:szCs w:val="24"/>
                <w:lang w:val="en-US" w:eastAsia="en-US" w:bidi="ar-SA"/>
              </w:rPr>
              <w:t>分项单位</w:t>
            </w:r>
          </w:p>
        </w:tc>
        <w:tc>
          <w:tcPr>
            <w:tcW w:w="1152" w:type="dxa"/>
            <w:vAlign w:val="top"/>
          </w:tcPr>
          <w:p w14:paraId="76DE1E32">
            <w:pPr>
              <w:pageBreakBefore w:val="0"/>
              <w:wordWrap/>
              <w:overflowPunct/>
              <w:topLinePunct w:val="0"/>
              <w:bidi w:val="0"/>
              <w:spacing w:after="0" w:line="360" w:lineRule="auto"/>
              <w:jc w:val="left"/>
              <w:rPr>
                <w:rFonts w:hint="eastAsia" w:ascii="宋体" w:hAnsi="宋体" w:eastAsia="宋体" w:cs="宋体"/>
                <w:sz w:val="21"/>
                <w:lang w:eastAsia="en-US"/>
              </w:rPr>
            </w:pPr>
          </w:p>
          <w:p w14:paraId="4F683A7E">
            <w:pPr>
              <w:pageBreakBefore w:val="0"/>
              <w:widowControl w:val="0"/>
              <w:wordWrap/>
              <w:overflowPunct/>
              <w:topLinePunct w:val="0"/>
              <w:bidi w:val="0"/>
              <w:spacing w:before="78" w:after="0" w:line="360" w:lineRule="auto"/>
              <w:ind w:left="406"/>
              <w:rPr>
                <w:rFonts w:hint="eastAsia" w:ascii="宋体" w:hAnsi="宋体" w:eastAsia="宋体" w:cs="宋体"/>
                <w:spacing w:val="-6"/>
                <w:sz w:val="24"/>
                <w:szCs w:val="24"/>
                <w:lang w:val="en-US" w:eastAsia="en-US" w:bidi="ar-SA"/>
              </w:rPr>
            </w:pPr>
            <w:r>
              <w:rPr>
                <w:rFonts w:hint="eastAsia" w:ascii="宋体" w:hAnsi="宋体" w:eastAsia="宋体" w:cs="宋体"/>
                <w:spacing w:val="-6"/>
                <w:sz w:val="24"/>
                <w:szCs w:val="24"/>
                <w:lang w:val="en-US" w:eastAsia="en-US" w:bidi="ar-SA"/>
              </w:rPr>
              <w:t>数量</w:t>
            </w:r>
          </w:p>
        </w:tc>
        <w:tc>
          <w:tcPr>
            <w:tcW w:w="1564" w:type="dxa"/>
            <w:vAlign w:val="top"/>
          </w:tcPr>
          <w:p w14:paraId="7B372B42">
            <w:pPr>
              <w:pageBreakBefore w:val="0"/>
              <w:widowControl w:val="0"/>
              <w:wordWrap/>
              <w:overflowPunct/>
              <w:topLinePunct w:val="0"/>
              <w:bidi w:val="0"/>
              <w:spacing w:before="247" w:after="0" w:line="360" w:lineRule="auto"/>
              <w:ind w:left="618"/>
              <w:rPr>
                <w:rFonts w:hint="eastAsia" w:ascii="宋体" w:hAnsi="宋体" w:eastAsia="宋体" w:cs="宋体"/>
                <w:spacing w:val="-6"/>
                <w:sz w:val="24"/>
                <w:szCs w:val="24"/>
                <w:lang w:val="en-US" w:eastAsia="en-US" w:bidi="ar-SA"/>
              </w:rPr>
            </w:pPr>
            <w:r>
              <w:rPr>
                <w:rFonts w:hint="eastAsia" w:ascii="宋体" w:hAnsi="宋体" w:eastAsia="宋体" w:cs="宋体"/>
                <w:spacing w:val="-6"/>
                <w:sz w:val="24"/>
                <w:szCs w:val="24"/>
                <w:lang w:val="en-US" w:eastAsia="en-US" w:bidi="ar-SA"/>
              </w:rPr>
              <w:t>单价</w:t>
            </w:r>
          </w:p>
          <w:p w14:paraId="40EB7F1F">
            <w:pPr>
              <w:pageBreakBefore w:val="0"/>
              <w:widowControl w:val="0"/>
              <w:wordWrap/>
              <w:overflowPunct/>
              <w:topLinePunct w:val="0"/>
              <w:bidi w:val="0"/>
              <w:spacing w:before="239" w:after="0" w:line="360" w:lineRule="auto"/>
              <w:ind w:left="200"/>
              <w:rPr>
                <w:rFonts w:hint="eastAsia" w:ascii="宋体" w:hAnsi="宋体" w:eastAsia="宋体" w:cs="宋体"/>
                <w:spacing w:val="-3"/>
                <w:position w:val="2"/>
                <w:sz w:val="24"/>
                <w:szCs w:val="24"/>
                <w:lang w:val="en-US" w:eastAsia="en-US" w:bidi="ar-SA"/>
              </w:rPr>
            </w:pPr>
            <w:r>
              <w:rPr>
                <w:rFonts w:hint="eastAsia" w:ascii="宋体" w:hAnsi="宋体" w:eastAsia="宋体" w:cs="宋体"/>
                <w:spacing w:val="-3"/>
                <w:position w:val="2"/>
                <w:sz w:val="24"/>
                <w:szCs w:val="24"/>
                <w:lang w:val="en-US" w:eastAsia="en-US" w:bidi="ar-SA"/>
              </w:rPr>
              <w:t>（元/人/月）</w:t>
            </w:r>
          </w:p>
        </w:tc>
        <w:tc>
          <w:tcPr>
            <w:tcW w:w="2339" w:type="dxa"/>
            <w:vAlign w:val="top"/>
          </w:tcPr>
          <w:p w14:paraId="7C86AAF4">
            <w:pPr>
              <w:pageBreakBefore w:val="0"/>
              <w:widowControl w:val="0"/>
              <w:wordWrap/>
              <w:overflowPunct/>
              <w:topLinePunct w:val="0"/>
              <w:bidi w:val="0"/>
              <w:spacing w:before="247" w:after="0" w:line="360" w:lineRule="auto"/>
              <w:rPr>
                <w:rFonts w:hint="eastAsia" w:ascii="宋体" w:hAnsi="宋体" w:eastAsia="宋体" w:cs="宋体"/>
                <w:spacing w:val="-6"/>
                <w:sz w:val="24"/>
                <w:szCs w:val="24"/>
                <w:lang w:val="en-US" w:eastAsia="en-US" w:bidi="ar-SA"/>
              </w:rPr>
            </w:pPr>
            <w:r>
              <w:rPr>
                <w:rFonts w:hint="eastAsia" w:ascii="宋体" w:hAnsi="宋体" w:eastAsia="宋体" w:cs="宋体"/>
                <w:spacing w:val="-6"/>
                <w:sz w:val="24"/>
                <w:szCs w:val="24"/>
                <w:lang w:val="en-US" w:eastAsia="en-US" w:bidi="ar-SA"/>
              </w:rPr>
              <w:t>合计金额=服务人数*天数*综合单价</w:t>
            </w:r>
          </w:p>
        </w:tc>
      </w:tr>
      <w:tr w14:paraId="088A7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49" w:type="dxa"/>
            <w:vAlign w:val="top"/>
          </w:tcPr>
          <w:p w14:paraId="73ADF579">
            <w:pPr>
              <w:pageBreakBefore w:val="0"/>
              <w:wordWrap/>
              <w:overflowPunct/>
              <w:topLinePunct w:val="0"/>
              <w:bidi w:val="0"/>
              <w:spacing w:after="0" w:line="360" w:lineRule="auto"/>
              <w:jc w:val="left"/>
              <w:rPr>
                <w:rFonts w:hint="eastAsia" w:ascii="宋体" w:hAnsi="宋体" w:eastAsia="宋体" w:cs="宋体"/>
                <w:sz w:val="21"/>
                <w:lang w:eastAsia="en-US"/>
              </w:rPr>
            </w:pPr>
          </w:p>
          <w:p w14:paraId="13AFCE9C">
            <w:pPr>
              <w:pageBreakBefore w:val="0"/>
              <w:wordWrap/>
              <w:overflowPunct/>
              <w:topLinePunct w:val="0"/>
              <w:bidi w:val="0"/>
              <w:spacing w:after="0" w:line="360" w:lineRule="auto"/>
              <w:jc w:val="left"/>
              <w:rPr>
                <w:rFonts w:hint="eastAsia" w:ascii="宋体" w:hAnsi="宋体" w:eastAsia="宋体" w:cs="宋体"/>
                <w:sz w:val="21"/>
                <w:lang w:eastAsia="en-US"/>
              </w:rPr>
            </w:pPr>
          </w:p>
          <w:p w14:paraId="2824792D">
            <w:pPr>
              <w:pageBreakBefore w:val="0"/>
              <w:wordWrap/>
              <w:overflowPunct/>
              <w:topLinePunct w:val="0"/>
              <w:bidi w:val="0"/>
              <w:spacing w:before="69" w:after="0" w:line="360" w:lineRule="auto"/>
              <w:ind w:left="447"/>
              <w:jc w:val="left"/>
              <w:rPr>
                <w:rFonts w:hint="eastAsia" w:ascii="宋体" w:hAnsi="宋体" w:eastAsia="宋体" w:cs="宋体"/>
                <w:sz w:val="24"/>
                <w:szCs w:val="24"/>
                <w:lang w:eastAsia="en-US"/>
              </w:rPr>
            </w:pPr>
            <w:r>
              <w:rPr>
                <w:rFonts w:hint="eastAsia" w:ascii="宋体" w:hAnsi="宋体" w:eastAsia="宋体" w:cs="宋体"/>
                <w:sz w:val="24"/>
                <w:szCs w:val="24"/>
                <w:lang w:eastAsia="en-US"/>
              </w:rPr>
              <w:t>1</w:t>
            </w:r>
          </w:p>
        </w:tc>
        <w:tc>
          <w:tcPr>
            <w:tcW w:w="2104" w:type="dxa"/>
            <w:vAlign w:val="top"/>
          </w:tcPr>
          <w:p w14:paraId="139F7008">
            <w:pPr>
              <w:pageBreakBefore w:val="0"/>
              <w:widowControl w:val="0"/>
              <w:wordWrap/>
              <w:overflowPunct/>
              <w:topLinePunct w:val="0"/>
              <w:bidi w:val="0"/>
              <w:spacing w:before="245" w:after="0" w:line="360" w:lineRule="auto"/>
              <w:ind w:right="107"/>
              <w:rPr>
                <w:rFonts w:hint="eastAsia" w:ascii="宋体" w:hAnsi="宋体" w:eastAsia="宋体" w:cs="宋体"/>
                <w:color w:val="auto"/>
                <w:spacing w:val="-3"/>
                <w:sz w:val="24"/>
                <w:szCs w:val="24"/>
                <w:highlight w:val="none"/>
                <w:lang w:val="en-US" w:eastAsia="en-US" w:bidi="ar-SA"/>
              </w:rPr>
            </w:pPr>
            <w:r>
              <w:rPr>
                <w:rFonts w:hint="eastAsia" w:ascii="宋体" w:hAnsi="宋体" w:eastAsia="宋体" w:cs="宋体"/>
                <w:color w:val="auto"/>
                <w:szCs w:val="24"/>
                <w:highlight w:val="none"/>
                <w:lang w:val="en-US" w:eastAsia="zh-CN"/>
              </w:rPr>
              <w:t>重度残疾人</w:t>
            </w:r>
          </w:p>
        </w:tc>
        <w:tc>
          <w:tcPr>
            <w:tcW w:w="1147" w:type="dxa"/>
            <w:vAlign w:val="top"/>
          </w:tcPr>
          <w:p w14:paraId="13E0B5A7">
            <w:pPr>
              <w:pageBreakBefore w:val="0"/>
              <w:wordWrap/>
              <w:overflowPunct/>
              <w:topLinePunct w:val="0"/>
              <w:bidi w:val="0"/>
              <w:spacing w:after="0" w:line="360" w:lineRule="auto"/>
              <w:jc w:val="center"/>
              <w:rPr>
                <w:rFonts w:hint="eastAsia" w:ascii="宋体" w:hAnsi="宋体" w:eastAsia="宋体" w:cs="宋体"/>
                <w:color w:val="auto"/>
                <w:sz w:val="21"/>
                <w:highlight w:val="none"/>
                <w:lang w:eastAsia="en-US"/>
              </w:rPr>
            </w:pPr>
          </w:p>
          <w:p w14:paraId="393F7682">
            <w:pPr>
              <w:pageBreakBefore w:val="0"/>
              <w:widowControl w:val="0"/>
              <w:wordWrap/>
              <w:overflowPunct/>
              <w:topLinePunct w:val="0"/>
              <w:bidi w:val="0"/>
              <w:spacing w:before="78" w:after="0" w:line="360" w:lineRule="auto"/>
              <w:jc w:val="center"/>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en-US" w:bidi="ar-SA"/>
              </w:rPr>
              <w:t>人</w:t>
            </w:r>
          </w:p>
        </w:tc>
        <w:tc>
          <w:tcPr>
            <w:tcW w:w="1152" w:type="dxa"/>
            <w:vAlign w:val="top"/>
          </w:tcPr>
          <w:p w14:paraId="6CA77270">
            <w:pPr>
              <w:pageBreakBefore w:val="0"/>
              <w:widowControl w:val="0"/>
              <w:wordWrap/>
              <w:overflowPunct/>
              <w:topLinePunct w:val="0"/>
              <w:bidi w:val="0"/>
              <w:spacing w:before="78" w:after="0" w:line="360" w:lineRule="auto"/>
              <w:ind w:left="121"/>
              <w:jc w:val="center"/>
              <w:rPr>
                <w:rFonts w:hint="eastAsia" w:ascii="宋体" w:hAnsi="宋体" w:eastAsia="宋体" w:cs="宋体"/>
                <w:color w:val="auto"/>
                <w:spacing w:val="-5"/>
                <w:sz w:val="24"/>
                <w:szCs w:val="24"/>
                <w:highlight w:val="none"/>
                <w:lang w:val="en-US" w:eastAsia="zh-CN" w:bidi="ar-SA"/>
              </w:rPr>
            </w:pPr>
            <w:r>
              <w:rPr>
                <w:rFonts w:hint="eastAsia" w:ascii="宋体" w:hAnsi="宋体" w:eastAsia="宋体" w:cs="宋体"/>
                <w:color w:val="auto"/>
                <w:spacing w:val="-5"/>
                <w:sz w:val="24"/>
                <w:szCs w:val="24"/>
                <w:highlight w:val="none"/>
                <w:lang w:val="en-US" w:eastAsia="zh-CN" w:bidi="ar-SA"/>
              </w:rPr>
              <w:t>35</w:t>
            </w:r>
          </w:p>
        </w:tc>
        <w:tc>
          <w:tcPr>
            <w:tcW w:w="1564" w:type="dxa"/>
            <w:vAlign w:val="top"/>
          </w:tcPr>
          <w:p w14:paraId="59E85DD3">
            <w:pPr>
              <w:pageBreakBefore w:val="0"/>
              <w:wordWrap/>
              <w:overflowPunct/>
              <w:topLinePunct w:val="0"/>
              <w:bidi w:val="0"/>
              <w:spacing w:after="0" w:line="360" w:lineRule="auto"/>
              <w:jc w:val="left"/>
              <w:rPr>
                <w:rFonts w:hint="eastAsia" w:ascii="宋体" w:hAnsi="宋体" w:eastAsia="宋体" w:cs="宋体"/>
                <w:sz w:val="21"/>
                <w:highlight w:val="none"/>
                <w:lang w:eastAsia="en-US"/>
              </w:rPr>
            </w:pPr>
          </w:p>
        </w:tc>
        <w:tc>
          <w:tcPr>
            <w:tcW w:w="2339" w:type="dxa"/>
            <w:vAlign w:val="top"/>
          </w:tcPr>
          <w:p w14:paraId="73D428EE">
            <w:pPr>
              <w:pageBreakBefore w:val="0"/>
              <w:wordWrap/>
              <w:overflowPunct/>
              <w:topLinePunct w:val="0"/>
              <w:bidi w:val="0"/>
              <w:spacing w:after="0" w:line="360" w:lineRule="auto"/>
              <w:jc w:val="left"/>
              <w:rPr>
                <w:rFonts w:hint="eastAsia" w:ascii="宋体" w:hAnsi="宋体" w:eastAsia="宋体" w:cs="宋体"/>
                <w:sz w:val="21"/>
                <w:lang w:eastAsia="en-US"/>
              </w:rPr>
            </w:pPr>
          </w:p>
        </w:tc>
      </w:tr>
      <w:tr w14:paraId="7F387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49" w:type="dxa"/>
            <w:vAlign w:val="top"/>
          </w:tcPr>
          <w:p w14:paraId="2B154527">
            <w:pPr>
              <w:pageBreakBefore w:val="0"/>
              <w:wordWrap/>
              <w:overflowPunct/>
              <w:topLinePunct w:val="0"/>
              <w:bidi w:val="0"/>
              <w:spacing w:before="285" w:after="0" w:line="360" w:lineRule="auto"/>
              <w:ind w:left="424"/>
              <w:jc w:val="left"/>
              <w:rPr>
                <w:rFonts w:hint="eastAsia" w:ascii="宋体" w:hAnsi="宋体" w:eastAsia="宋体" w:cs="宋体"/>
                <w:sz w:val="24"/>
                <w:szCs w:val="24"/>
                <w:lang w:eastAsia="en-US"/>
              </w:rPr>
            </w:pPr>
            <w:r>
              <w:rPr>
                <w:rFonts w:hint="eastAsia" w:ascii="宋体" w:hAnsi="宋体" w:eastAsia="宋体" w:cs="宋体"/>
                <w:sz w:val="24"/>
                <w:szCs w:val="24"/>
                <w:lang w:eastAsia="en-US"/>
              </w:rPr>
              <w:t>2</w:t>
            </w:r>
          </w:p>
        </w:tc>
        <w:tc>
          <w:tcPr>
            <w:tcW w:w="2104" w:type="dxa"/>
            <w:vAlign w:val="top"/>
          </w:tcPr>
          <w:p w14:paraId="4124682C">
            <w:pPr>
              <w:pageBreakBefore w:val="0"/>
              <w:widowControl w:val="0"/>
              <w:wordWrap/>
              <w:overflowPunct/>
              <w:topLinePunct w:val="0"/>
              <w:bidi w:val="0"/>
              <w:spacing w:before="243" w:after="0" w:line="360" w:lineRule="auto"/>
              <w:rPr>
                <w:rFonts w:hint="eastAsia" w:ascii="宋体" w:hAnsi="宋体" w:eastAsia="宋体" w:cs="宋体"/>
                <w:color w:val="auto"/>
                <w:spacing w:val="-4"/>
                <w:sz w:val="24"/>
                <w:szCs w:val="24"/>
                <w:highlight w:val="none"/>
                <w:lang w:val="en-US" w:eastAsia="en-US" w:bidi="ar-SA"/>
              </w:rPr>
            </w:pPr>
            <w:r>
              <w:rPr>
                <w:rFonts w:hint="eastAsia" w:ascii="宋体" w:hAnsi="宋体" w:eastAsia="宋体" w:cs="宋体"/>
                <w:color w:val="auto"/>
                <w:szCs w:val="24"/>
                <w:highlight w:val="none"/>
                <w:lang w:val="en-US" w:eastAsia="zh-CN"/>
              </w:rPr>
              <w:t>轻度残疾人</w:t>
            </w:r>
          </w:p>
        </w:tc>
        <w:tc>
          <w:tcPr>
            <w:tcW w:w="1147" w:type="dxa"/>
            <w:vAlign w:val="top"/>
          </w:tcPr>
          <w:p w14:paraId="5943E3D4">
            <w:pPr>
              <w:pageBreakBefore w:val="0"/>
              <w:widowControl w:val="0"/>
              <w:wordWrap/>
              <w:overflowPunct/>
              <w:topLinePunct w:val="0"/>
              <w:bidi w:val="0"/>
              <w:spacing w:before="243" w:after="0" w:line="360" w:lineRule="auto"/>
              <w:jc w:val="center"/>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val="en-US" w:eastAsia="en-US" w:bidi="ar-SA"/>
              </w:rPr>
              <w:t>人</w:t>
            </w:r>
          </w:p>
        </w:tc>
        <w:tc>
          <w:tcPr>
            <w:tcW w:w="1152" w:type="dxa"/>
            <w:vAlign w:val="top"/>
          </w:tcPr>
          <w:p w14:paraId="39A43472">
            <w:pPr>
              <w:pageBreakBefore w:val="0"/>
              <w:widowControl w:val="0"/>
              <w:wordWrap/>
              <w:overflowPunct/>
              <w:topLinePunct w:val="0"/>
              <w:bidi w:val="0"/>
              <w:spacing w:before="243" w:after="0" w:line="360" w:lineRule="auto"/>
              <w:ind w:left="121"/>
              <w:jc w:val="center"/>
              <w:rPr>
                <w:rFonts w:hint="eastAsia" w:ascii="宋体" w:hAnsi="宋体" w:eastAsia="宋体" w:cs="宋体"/>
                <w:color w:val="auto"/>
                <w:spacing w:val="-4"/>
                <w:sz w:val="24"/>
                <w:szCs w:val="24"/>
                <w:highlight w:val="none"/>
                <w:lang w:val="en-US" w:eastAsia="zh-CN" w:bidi="ar-SA"/>
              </w:rPr>
            </w:pPr>
            <w:r>
              <w:rPr>
                <w:rFonts w:hint="eastAsia" w:ascii="宋体" w:hAnsi="宋体" w:eastAsia="宋体" w:cs="宋体"/>
                <w:color w:val="auto"/>
                <w:spacing w:val="-4"/>
                <w:sz w:val="24"/>
                <w:szCs w:val="24"/>
                <w:highlight w:val="none"/>
                <w:lang w:val="en-US" w:eastAsia="zh-CN" w:bidi="ar-SA"/>
              </w:rPr>
              <w:t>10</w:t>
            </w:r>
          </w:p>
        </w:tc>
        <w:tc>
          <w:tcPr>
            <w:tcW w:w="1564" w:type="dxa"/>
            <w:vAlign w:val="top"/>
          </w:tcPr>
          <w:p w14:paraId="4AF282CC">
            <w:pPr>
              <w:pageBreakBefore w:val="0"/>
              <w:wordWrap/>
              <w:overflowPunct/>
              <w:topLinePunct w:val="0"/>
              <w:bidi w:val="0"/>
              <w:spacing w:after="0" w:line="360" w:lineRule="auto"/>
              <w:jc w:val="left"/>
              <w:rPr>
                <w:rFonts w:hint="eastAsia" w:ascii="宋体" w:hAnsi="宋体" w:eastAsia="宋体" w:cs="宋体"/>
                <w:sz w:val="21"/>
                <w:highlight w:val="none"/>
                <w:lang w:eastAsia="en-US"/>
              </w:rPr>
            </w:pPr>
          </w:p>
        </w:tc>
        <w:tc>
          <w:tcPr>
            <w:tcW w:w="2339" w:type="dxa"/>
            <w:vAlign w:val="top"/>
          </w:tcPr>
          <w:p w14:paraId="2DB3A45C">
            <w:pPr>
              <w:pageBreakBefore w:val="0"/>
              <w:wordWrap/>
              <w:overflowPunct/>
              <w:topLinePunct w:val="0"/>
              <w:bidi w:val="0"/>
              <w:spacing w:after="0" w:line="360" w:lineRule="auto"/>
              <w:jc w:val="left"/>
              <w:rPr>
                <w:rFonts w:hint="eastAsia" w:ascii="宋体" w:hAnsi="宋体" w:eastAsia="宋体" w:cs="宋体"/>
                <w:sz w:val="21"/>
                <w:lang w:eastAsia="en-US"/>
              </w:rPr>
            </w:pPr>
          </w:p>
        </w:tc>
      </w:tr>
      <w:tr w14:paraId="403EB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9" w:type="dxa"/>
            <w:vAlign w:val="top"/>
          </w:tcPr>
          <w:p w14:paraId="4711705A">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2104" w:type="dxa"/>
            <w:vAlign w:val="top"/>
          </w:tcPr>
          <w:p w14:paraId="29EE9B48">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147" w:type="dxa"/>
            <w:vAlign w:val="top"/>
          </w:tcPr>
          <w:p w14:paraId="14FFF2AD">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152" w:type="dxa"/>
            <w:vAlign w:val="top"/>
          </w:tcPr>
          <w:p w14:paraId="6F1B7CF7">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564" w:type="dxa"/>
            <w:vAlign w:val="top"/>
          </w:tcPr>
          <w:p w14:paraId="679B9E1D">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2339" w:type="dxa"/>
            <w:vAlign w:val="top"/>
          </w:tcPr>
          <w:p w14:paraId="5105C19C">
            <w:pPr>
              <w:pageBreakBefore w:val="0"/>
              <w:wordWrap/>
              <w:overflowPunct/>
              <w:topLinePunct w:val="0"/>
              <w:bidi w:val="0"/>
              <w:spacing w:after="0" w:line="360" w:lineRule="auto"/>
              <w:jc w:val="left"/>
              <w:rPr>
                <w:rFonts w:hint="eastAsia" w:ascii="宋体" w:hAnsi="宋体" w:eastAsia="宋体" w:cs="宋体"/>
                <w:sz w:val="21"/>
                <w:lang w:eastAsia="en-US"/>
              </w:rPr>
            </w:pPr>
          </w:p>
        </w:tc>
      </w:tr>
      <w:tr w14:paraId="0CD9B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49" w:type="dxa"/>
            <w:vAlign w:val="top"/>
          </w:tcPr>
          <w:p w14:paraId="79378A46">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2104" w:type="dxa"/>
            <w:vAlign w:val="top"/>
          </w:tcPr>
          <w:p w14:paraId="79572E78">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147" w:type="dxa"/>
            <w:vAlign w:val="top"/>
          </w:tcPr>
          <w:p w14:paraId="7F1C5000">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152" w:type="dxa"/>
            <w:vAlign w:val="top"/>
          </w:tcPr>
          <w:p w14:paraId="1CDFDECC">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564" w:type="dxa"/>
            <w:vAlign w:val="top"/>
          </w:tcPr>
          <w:p w14:paraId="5159AA47">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2339" w:type="dxa"/>
            <w:vAlign w:val="top"/>
          </w:tcPr>
          <w:p w14:paraId="560115CA">
            <w:pPr>
              <w:pageBreakBefore w:val="0"/>
              <w:wordWrap/>
              <w:overflowPunct/>
              <w:topLinePunct w:val="0"/>
              <w:bidi w:val="0"/>
              <w:spacing w:after="0" w:line="360" w:lineRule="auto"/>
              <w:jc w:val="left"/>
              <w:rPr>
                <w:rFonts w:hint="eastAsia" w:ascii="宋体" w:hAnsi="宋体" w:eastAsia="宋体" w:cs="宋体"/>
                <w:sz w:val="21"/>
                <w:lang w:eastAsia="en-US"/>
              </w:rPr>
            </w:pPr>
          </w:p>
        </w:tc>
      </w:tr>
      <w:tr w14:paraId="10663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49" w:type="dxa"/>
            <w:vAlign w:val="top"/>
          </w:tcPr>
          <w:p w14:paraId="5A8972D1">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2104" w:type="dxa"/>
            <w:vAlign w:val="top"/>
          </w:tcPr>
          <w:p w14:paraId="48BDB421">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147" w:type="dxa"/>
            <w:vAlign w:val="top"/>
          </w:tcPr>
          <w:p w14:paraId="24905570">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152" w:type="dxa"/>
            <w:vAlign w:val="top"/>
          </w:tcPr>
          <w:p w14:paraId="0924AD91">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564" w:type="dxa"/>
            <w:vAlign w:val="top"/>
          </w:tcPr>
          <w:p w14:paraId="0B894B60">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2339" w:type="dxa"/>
            <w:vAlign w:val="top"/>
          </w:tcPr>
          <w:p w14:paraId="567EF249">
            <w:pPr>
              <w:pageBreakBefore w:val="0"/>
              <w:wordWrap/>
              <w:overflowPunct/>
              <w:topLinePunct w:val="0"/>
              <w:bidi w:val="0"/>
              <w:spacing w:after="0" w:line="360" w:lineRule="auto"/>
              <w:jc w:val="left"/>
              <w:rPr>
                <w:rFonts w:hint="eastAsia" w:ascii="宋体" w:hAnsi="宋体" w:eastAsia="宋体" w:cs="宋体"/>
                <w:sz w:val="21"/>
                <w:lang w:eastAsia="en-US"/>
              </w:rPr>
            </w:pPr>
          </w:p>
        </w:tc>
      </w:tr>
      <w:tr w14:paraId="60591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9" w:type="dxa"/>
            <w:vAlign w:val="top"/>
          </w:tcPr>
          <w:p w14:paraId="56DDDCD9">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2104" w:type="dxa"/>
            <w:vAlign w:val="top"/>
          </w:tcPr>
          <w:p w14:paraId="405A35A6">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147" w:type="dxa"/>
            <w:vAlign w:val="top"/>
          </w:tcPr>
          <w:p w14:paraId="1015F6FD">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152" w:type="dxa"/>
            <w:vAlign w:val="top"/>
          </w:tcPr>
          <w:p w14:paraId="23C40A00">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564" w:type="dxa"/>
            <w:vAlign w:val="top"/>
          </w:tcPr>
          <w:p w14:paraId="45BE3D03">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2339" w:type="dxa"/>
            <w:vAlign w:val="top"/>
          </w:tcPr>
          <w:p w14:paraId="2D80407F">
            <w:pPr>
              <w:pageBreakBefore w:val="0"/>
              <w:wordWrap/>
              <w:overflowPunct/>
              <w:topLinePunct w:val="0"/>
              <w:bidi w:val="0"/>
              <w:spacing w:after="0" w:line="360" w:lineRule="auto"/>
              <w:jc w:val="left"/>
              <w:rPr>
                <w:rFonts w:hint="eastAsia" w:ascii="宋体" w:hAnsi="宋体" w:eastAsia="宋体" w:cs="宋体"/>
                <w:sz w:val="21"/>
                <w:lang w:eastAsia="en-US"/>
              </w:rPr>
            </w:pPr>
          </w:p>
        </w:tc>
      </w:tr>
      <w:tr w14:paraId="72153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016" w:type="dxa"/>
            <w:gridSpan w:val="5"/>
            <w:vAlign w:val="top"/>
          </w:tcPr>
          <w:p w14:paraId="67E84539">
            <w:pPr>
              <w:pageBreakBefore w:val="0"/>
              <w:widowControl w:val="0"/>
              <w:wordWrap/>
              <w:overflowPunct/>
              <w:topLinePunct w:val="0"/>
              <w:bidi w:val="0"/>
              <w:spacing w:before="247" w:after="0" w:line="360" w:lineRule="auto"/>
              <w:ind w:left="2864"/>
              <w:rPr>
                <w:rFonts w:hint="eastAsia" w:ascii="宋体" w:hAnsi="宋体" w:eastAsia="宋体" w:cs="宋体"/>
                <w:spacing w:val="-3"/>
                <w:sz w:val="24"/>
                <w:szCs w:val="24"/>
                <w:lang w:val="en-US" w:eastAsia="en-US" w:bidi="ar-SA"/>
              </w:rPr>
            </w:pPr>
            <w:r>
              <w:rPr>
                <w:rFonts w:hint="eastAsia" w:ascii="宋体" w:hAnsi="宋体" w:eastAsia="宋体" w:cs="宋体"/>
                <w:spacing w:val="-3"/>
                <w:sz w:val="24"/>
                <w:szCs w:val="24"/>
                <w:lang w:val="en-US" w:eastAsia="en-US" w:bidi="ar-SA"/>
              </w:rPr>
              <w:t>总计（元）</w:t>
            </w:r>
          </w:p>
        </w:tc>
        <w:tc>
          <w:tcPr>
            <w:tcW w:w="2339" w:type="dxa"/>
            <w:vAlign w:val="top"/>
          </w:tcPr>
          <w:p w14:paraId="0B0A9AB0">
            <w:pPr>
              <w:pageBreakBefore w:val="0"/>
              <w:wordWrap/>
              <w:overflowPunct/>
              <w:topLinePunct w:val="0"/>
              <w:bidi w:val="0"/>
              <w:spacing w:after="0" w:line="360" w:lineRule="auto"/>
              <w:jc w:val="left"/>
              <w:rPr>
                <w:rFonts w:hint="eastAsia" w:ascii="宋体" w:hAnsi="宋体" w:eastAsia="宋体" w:cs="宋体"/>
                <w:sz w:val="21"/>
                <w:lang w:eastAsia="en-US"/>
              </w:rPr>
            </w:pPr>
          </w:p>
        </w:tc>
      </w:tr>
    </w:tbl>
    <w:p w14:paraId="10658A05">
      <w:pPr>
        <w:pageBreakBefore w:val="0"/>
        <w:wordWrap/>
        <w:overflowPunct/>
        <w:topLinePunct w:val="0"/>
        <w:bidi w:val="0"/>
        <w:spacing w:line="360" w:lineRule="auto"/>
        <w:ind w:firstLine="420"/>
        <w:rPr>
          <w:rFonts w:hint="eastAsia" w:ascii="宋体" w:hAnsi="宋体" w:eastAsia="宋体" w:cs="宋体"/>
          <w:color w:val="FF0000"/>
          <w:szCs w:val="24"/>
          <w:lang w:eastAsia="en-US"/>
        </w:rPr>
      </w:pPr>
      <w:r>
        <w:rPr>
          <w:rFonts w:hint="eastAsia" w:ascii="宋体" w:hAnsi="宋体" w:eastAsia="宋体" w:cs="宋体"/>
          <w:color w:val="FF0000"/>
          <w:szCs w:val="24"/>
          <w:lang w:eastAsia="en-US"/>
        </w:rPr>
        <w:t>注：</w:t>
      </w:r>
      <w:r>
        <w:rPr>
          <w:rFonts w:hint="eastAsia" w:ascii="宋体" w:hAnsi="宋体" w:eastAsia="宋体" w:cs="宋体"/>
          <w:color w:val="FF0000"/>
          <w:szCs w:val="24"/>
          <w:lang w:val="en-US" w:eastAsia="zh-CN"/>
        </w:rPr>
        <w:t>重度残疾人3300 元/人/月，轻度残疾人1800元/人/月</w:t>
      </w:r>
      <w:r>
        <w:rPr>
          <w:rFonts w:hint="eastAsia" w:ascii="宋体" w:hAnsi="宋体" w:eastAsia="宋体" w:cs="宋体"/>
          <w:color w:val="FF0000"/>
          <w:szCs w:val="24"/>
          <w:lang w:val="en-US" w:eastAsia="en-US"/>
        </w:rPr>
        <w:t>，单价报价超过以上最高限价的按无效响应处理。</w:t>
      </w:r>
    </w:p>
    <w:p w14:paraId="4539E12F">
      <w:pPr>
        <w:pageBreakBefore w:val="0"/>
        <w:wordWrap/>
        <w:overflowPunct/>
        <w:topLinePunct w:val="0"/>
        <w:bidi w:val="0"/>
        <w:spacing w:line="360" w:lineRule="auto"/>
        <w:ind w:firstLine="420"/>
        <w:rPr>
          <w:rFonts w:hint="eastAsia" w:ascii="宋体" w:hAnsi="宋体" w:eastAsia="宋体" w:cs="宋体"/>
          <w:color w:val="000000"/>
          <w:szCs w:val="24"/>
        </w:rPr>
      </w:pPr>
    </w:p>
    <w:p w14:paraId="2B7E8C30">
      <w:pPr>
        <w:pageBreakBefore w:val="0"/>
        <w:wordWrap/>
        <w:overflowPunct/>
        <w:topLinePunct w:val="0"/>
        <w:bidi w:val="0"/>
        <w:spacing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投标人（盖章）：</w:t>
      </w:r>
    </w:p>
    <w:p w14:paraId="5F2B4109">
      <w:pPr>
        <w:pageBreakBefore w:val="0"/>
        <w:wordWrap/>
        <w:overflowPunct/>
        <w:topLinePunct w:val="0"/>
        <w:bidi w:val="0"/>
        <w:spacing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法定代表人（单位负责人）或委托代理人（签字或盖章）：</w:t>
      </w:r>
    </w:p>
    <w:p w14:paraId="4344B58D">
      <w:pPr>
        <w:pageBreakBefore w:val="0"/>
        <w:wordWrap/>
        <w:overflowPunct/>
        <w:topLinePunct w:val="0"/>
        <w:bidi w:val="0"/>
        <w:spacing w:line="360" w:lineRule="auto"/>
        <w:ind w:firstLine="480"/>
        <w:rPr>
          <w:rFonts w:hint="eastAsia" w:ascii="宋体" w:hAnsi="宋体" w:eastAsia="宋体" w:cs="宋体"/>
          <w:color w:val="000000"/>
          <w:szCs w:val="24"/>
        </w:rPr>
      </w:pPr>
      <w:r>
        <w:rPr>
          <w:rFonts w:hint="eastAsia" w:ascii="宋体" w:hAnsi="宋体" w:eastAsia="宋体" w:cs="宋体"/>
          <w:color w:val="000000"/>
          <w:szCs w:val="24"/>
        </w:rPr>
        <w:t>日期：    年     月     日</w:t>
      </w:r>
    </w:p>
    <w:p w14:paraId="0781237F">
      <w:pPr>
        <w:pageBreakBefore w:val="0"/>
        <w:wordWrap/>
        <w:overflowPunct/>
        <w:topLinePunct w:val="0"/>
        <w:bidi w:val="0"/>
        <w:spacing w:line="360" w:lineRule="auto"/>
        <w:ind w:firstLine="480"/>
        <w:rPr>
          <w:rFonts w:hint="eastAsia" w:ascii="宋体" w:hAnsi="宋体" w:eastAsia="宋体" w:cs="宋体"/>
          <w:color w:val="000000"/>
          <w:szCs w:val="24"/>
        </w:rPr>
      </w:pPr>
    </w:p>
    <w:p w14:paraId="595E5455">
      <w:pPr>
        <w:pageBreakBefore w:val="0"/>
        <w:tabs>
          <w:tab w:val="left" w:pos="360"/>
        </w:tabs>
        <w:wordWrap/>
        <w:overflowPunct/>
        <w:topLinePunct w:val="0"/>
        <w:bidi w:val="0"/>
        <w:spacing w:line="360" w:lineRule="auto"/>
        <w:jc w:val="center"/>
        <w:rPr>
          <w:rFonts w:hint="eastAsia" w:ascii="宋体" w:hAnsi="宋体" w:eastAsia="宋体" w:cs="宋体"/>
          <w:bCs/>
          <w:color w:val="000000"/>
          <w:sz w:val="36"/>
          <w:szCs w:val="28"/>
        </w:rPr>
      </w:pPr>
      <w:r>
        <w:rPr>
          <w:rFonts w:hint="eastAsia" w:ascii="宋体" w:hAnsi="宋体" w:eastAsia="宋体" w:cs="宋体"/>
          <w:bCs/>
          <w:color w:val="000000"/>
          <w:sz w:val="36"/>
          <w:szCs w:val="28"/>
        </w:rPr>
        <w:t>投标分项报价表</w:t>
      </w:r>
    </w:p>
    <w:p w14:paraId="5606DD62">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项目名称： </w:t>
      </w:r>
      <w:r>
        <w:rPr>
          <w:rFonts w:hint="eastAsia" w:ascii="宋体" w:hAnsi="宋体" w:eastAsia="宋体" w:cs="宋体"/>
          <w:color w:val="000000"/>
          <w:sz w:val="24"/>
          <w:szCs w:val="21"/>
          <w:lang w:val="en-US" w:eastAsia="zh-CN"/>
        </w:rPr>
        <w:t xml:space="preserve">       </w:t>
      </w:r>
      <w:r>
        <w:rPr>
          <w:rFonts w:hint="eastAsia" w:ascii="宋体" w:hAnsi="宋体" w:eastAsia="宋体" w:cs="宋体"/>
          <w:color w:val="000000"/>
          <w:sz w:val="24"/>
          <w:szCs w:val="21"/>
        </w:rPr>
        <w:t xml:space="preserve">     项目编号：    </w:t>
      </w:r>
      <w:r>
        <w:rPr>
          <w:rFonts w:hint="eastAsia" w:ascii="宋体" w:hAnsi="宋体" w:eastAsia="宋体" w:cs="宋体"/>
          <w:color w:val="000000"/>
          <w:sz w:val="24"/>
          <w:szCs w:val="21"/>
          <w:lang w:val="en-US" w:eastAsia="zh-CN"/>
        </w:rPr>
        <w:t xml:space="preserve">    </w:t>
      </w:r>
      <w:r>
        <w:rPr>
          <w:rFonts w:hint="eastAsia" w:ascii="宋体" w:hAnsi="宋体" w:eastAsia="宋体" w:cs="宋体"/>
          <w:color w:val="000000"/>
          <w:sz w:val="24"/>
          <w:szCs w:val="21"/>
        </w:rPr>
        <w:t xml:space="preserve">  分包号：</w:t>
      </w:r>
      <w:r>
        <w:rPr>
          <w:rFonts w:hint="eastAsia" w:ascii="宋体" w:hAnsi="宋体" w:eastAsia="宋体" w:cs="宋体"/>
          <w:color w:val="000000"/>
          <w:sz w:val="24"/>
          <w:szCs w:val="21"/>
          <w:lang w:val="en-US" w:eastAsia="zh-CN"/>
        </w:rPr>
        <w:t>3</w:t>
      </w:r>
      <w:r>
        <w:rPr>
          <w:rFonts w:hint="eastAsia" w:ascii="宋体" w:hAnsi="宋体" w:eastAsia="宋体" w:cs="宋体"/>
          <w:color w:val="000000"/>
          <w:sz w:val="24"/>
          <w:szCs w:val="21"/>
        </w:rPr>
        <w:t xml:space="preserve"> </w:t>
      </w:r>
    </w:p>
    <w:p w14:paraId="6DF527D5">
      <w:pPr>
        <w:keepNext w:val="0"/>
        <w:keepLines w:val="0"/>
        <w:pageBreakBefore w:val="0"/>
        <w:widowControl w:val="0"/>
        <w:kinsoku/>
        <w:wordWrap/>
        <w:overflowPunct/>
        <w:topLinePunct w:val="0"/>
        <w:autoSpaceDE/>
        <w:autoSpaceDN/>
        <w:bidi w:val="0"/>
        <w:adjustRightInd/>
        <w:snapToGrid/>
        <w:spacing w:line="580" w:lineRule="exact"/>
        <w:ind w:firstLine="480"/>
        <w:jc w:val="right"/>
        <w:textAlignment w:val="auto"/>
        <w:rPr>
          <w:rFonts w:hint="eastAsia" w:ascii="宋体" w:hAnsi="宋体" w:eastAsia="宋体" w:cs="宋体"/>
          <w:color w:val="000000"/>
          <w:sz w:val="24"/>
          <w:szCs w:val="21"/>
          <w:lang w:eastAsia="en-US"/>
        </w:rPr>
      </w:pPr>
      <w:r>
        <w:rPr>
          <w:rFonts w:hint="eastAsia" w:ascii="宋体" w:hAnsi="宋体" w:eastAsia="宋体" w:cs="宋体"/>
          <w:color w:val="000000"/>
          <w:sz w:val="24"/>
          <w:szCs w:val="21"/>
        </w:rPr>
        <w:t>单位：元</w:t>
      </w:r>
    </w:p>
    <w:tbl>
      <w:tblPr>
        <w:tblStyle w:val="222"/>
        <w:tblpPr w:leftFromText="180" w:rightFromText="180" w:vertAnchor="text" w:horzAnchor="page" w:tblpX="1380" w:tblpY="550"/>
        <w:tblOverlap w:val="never"/>
        <w:tblW w:w="916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9"/>
        <w:gridCol w:w="2104"/>
        <w:gridCol w:w="1147"/>
        <w:gridCol w:w="1091"/>
        <w:gridCol w:w="1581"/>
        <w:gridCol w:w="2193"/>
      </w:tblGrid>
      <w:tr w14:paraId="0F2B0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049" w:type="dxa"/>
            <w:vAlign w:val="top"/>
          </w:tcPr>
          <w:p w14:paraId="03098106">
            <w:pPr>
              <w:pageBreakBefore w:val="0"/>
              <w:wordWrap/>
              <w:overflowPunct/>
              <w:topLinePunct w:val="0"/>
              <w:bidi w:val="0"/>
              <w:spacing w:after="0" w:line="360" w:lineRule="auto"/>
              <w:jc w:val="left"/>
              <w:rPr>
                <w:rFonts w:hint="eastAsia" w:ascii="宋体" w:hAnsi="宋体" w:eastAsia="宋体" w:cs="宋体"/>
                <w:sz w:val="21"/>
                <w:lang w:eastAsia="en-US"/>
              </w:rPr>
            </w:pPr>
          </w:p>
          <w:p w14:paraId="01251180">
            <w:pPr>
              <w:pageBreakBefore w:val="0"/>
              <w:widowControl w:val="0"/>
              <w:wordWrap/>
              <w:overflowPunct/>
              <w:topLinePunct w:val="0"/>
              <w:bidi w:val="0"/>
              <w:spacing w:before="78" w:after="0" w:line="360" w:lineRule="auto"/>
              <w:ind w:left="247"/>
              <w:rPr>
                <w:rFonts w:hint="eastAsia" w:ascii="宋体" w:hAnsi="宋体" w:eastAsia="宋体" w:cs="宋体"/>
                <w:spacing w:val="-5"/>
                <w:sz w:val="24"/>
                <w:szCs w:val="24"/>
                <w:lang w:val="en-US" w:eastAsia="en-US" w:bidi="ar-SA"/>
              </w:rPr>
            </w:pPr>
            <w:r>
              <w:rPr>
                <w:rFonts w:hint="eastAsia" w:ascii="宋体" w:hAnsi="宋体" w:eastAsia="宋体" w:cs="宋体"/>
                <w:spacing w:val="-5"/>
                <w:sz w:val="24"/>
                <w:szCs w:val="24"/>
                <w:lang w:val="en-US" w:eastAsia="en-US" w:bidi="ar-SA"/>
              </w:rPr>
              <w:t>序号</w:t>
            </w:r>
          </w:p>
        </w:tc>
        <w:tc>
          <w:tcPr>
            <w:tcW w:w="2104" w:type="dxa"/>
            <w:vAlign w:val="top"/>
          </w:tcPr>
          <w:p w14:paraId="3C772BFE">
            <w:pPr>
              <w:pageBreakBefore w:val="0"/>
              <w:widowControl w:val="0"/>
              <w:wordWrap/>
              <w:overflowPunct/>
              <w:topLinePunct w:val="0"/>
              <w:bidi w:val="0"/>
              <w:spacing w:before="248" w:after="0" w:line="360" w:lineRule="auto"/>
              <w:ind w:left="475" w:right="107" w:hanging="362"/>
              <w:rPr>
                <w:rFonts w:hint="eastAsia" w:ascii="宋体" w:hAnsi="宋体" w:eastAsia="宋体" w:cs="宋体"/>
                <w:spacing w:val="-2"/>
                <w:sz w:val="24"/>
                <w:szCs w:val="24"/>
                <w:lang w:val="en-US" w:eastAsia="en-US" w:bidi="ar-SA"/>
              </w:rPr>
            </w:pPr>
            <w:r>
              <w:rPr>
                <w:rFonts w:hint="eastAsia" w:ascii="宋体" w:hAnsi="宋体" w:eastAsia="宋体" w:cs="宋体"/>
                <w:spacing w:val="-2"/>
                <w:sz w:val="24"/>
                <w:szCs w:val="24"/>
                <w:lang w:val="en-US" w:eastAsia="en-US" w:bidi="ar-SA"/>
              </w:rPr>
              <w:t>产品、服务</w:t>
            </w:r>
            <w:r>
              <w:rPr>
                <w:rFonts w:hint="eastAsia" w:ascii="宋体" w:hAnsi="宋体" w:eastAsia="宋体" w:cs="宋体"/>
                <w:sz w:val="24"/>
                <w:szCs w:val="24"/>
                <w:lang w:val="en-US" w:eastAsia="en-US" w:bidi="ar-SA"/>
              </w:rPr>
              <w:t xml:space="preserve"> </w:t>
            </w:r>
            <w:r>
              <w:rPr>
                <w:rFonts w:hint="eastAsia" w:ascii="宋体" w:hAnsi="宋体" w:eastAsia="宋体" w:cs="宋体"/>
                <w:spacing w:val="-7"/>
                <w:sz w:val="24"/>
                <w:szCs w:val="24"/>
                <w:lang w:val="en-US" w:eastAsia="en-US" w:bidi="ar-SA"/>
              </w:rPr>
              <w:t>名称</w:t>
            </w:r>
          </w:p>
        </w:tc>
        <w:tc>
          <w:tcPr>
            <w:tcW w:w="1147" w:type="dxa"/>
            <w:vAlign w:val="top"/>
          </w:tcPr>
          <w:p w14:paraId="41A5A841">
            <w:pPr>
              <w:pageBreakBefore w:val="0"/>
              <w:wordWrap/>
              <w:overflowPunct/>
              <w:topLinePunct w:val="0"/>
              <w:bidi w:val="0"/>
              <w:spacing w:after="0" w:line="360" w:lineRule="auto"/>
              <w:jc w:val="left"/>
              <w:rPr>
                <w:rFonts w:hint="eastAsia" w:ascii="宋体" w:hAnsi="宋体" w:eastAsia="宋体" w:cs="宋体"/>
                <w:sz w:val="21"/>
                <w:lang w:eastAsia="en-US"/>
              </w:rPr>
            </w:pPr>
          </w:p>
          <w:p w14:paraId="003CE319">
            <w:pPr>
              <w:pageBreakBefore w:val="0"/>
              <w:widowControl w:val="0"/>
              <w:wordWrap/>
              <w:overflowPunct/>
              <w:topLinePunct w:val="0"/>
              <w:bidi w:val="0"/>
              <w:spacing w:before="78" w:after="0" w:line="360" w:lineRule="auto"/>
              <w:rPr>
                <w:rFonts w:hint="eastAsia" w:ascii="宋体" w:hAnsi="宋体" w:eastAsia="宋体" w:cs="宋体"/>
                <w:spacing w:val="-4"/>
                <w:sz w:val="24"/>
                <w:szCs w:val="24"/>
                <w:lang w:val="en-US" w:eastAsia="en-US" w:bidi="ar-SA"/>
              </w:rPr>
            </w:pPr>
            <w:r>
              <w:rPr>
                <w:rFonts w:hint="eastAsia" w:ascii="宋体" w:hAnsi="宋体" w:eastAsia="宋体" w:cs="宋体"/>
                <w:spacing w:val="-4"/>
                <w:sz w:val="24"/>
                <w:szCs w:val="24"/>
                <w:lang w:val="en-US" w:eastAsia="en-US" w:bidi="ar-SA"/>
              </w:rPr>
              <w:t>分项单位</w:t>
            </w:r>
          </w:p>
        </w:tc>
        <w:tc>
          <w:tcPr>
            <w:tcW w:w="1091" w:type="dxa"/>
            <w:vAlign w:val="top"/>
          </w:tcPr>
          <w:p w14:paraId="1FF8F9B1">
            <w:pPr>
              <w:pageBreakBefore w:val="0"/>
              <w:wordWrap/>
              <w:overflowPunct/>
              <w:topLinePunct w:val="0"/>
              <w:bidi w:val="0"/>
              <w:spacing w:after="0" w:line="360" w:lineRule="auto"/>
              <w:jc w:val="left"/>
              <w:rPr>
                <w:rFonts w:hint="eastAsia" w:ascii="宋体" w:hAnsi="宋体" w:eastAsia="宋体" w:cs="宋体"/>
                <w:sz w:val="21"/>
                <w:lang w:eastAsia="en-US"/>
              </w:rPr>
            </w:pPr>
          </w:p>
          <w:p w14:paraId="75FF6EE2">
            <w:pPr>
              <w:pageBreakBefore w:val="0"/>
              <w:widowControl w:val="0"/>
              <w:wordWrap/>
              <w:overflowPunct/>
              <w:topLinePunct w:val="0"/>
              <w:bidi w:val="0"/>
              <w:spacing w:before="78" w:after="0" w:line="360" w:lineRule="auto"/>
              <w:ind w:left="406"/>
              <w:rPr>
                <w:rFonts w:hint="eastAsia" w:ascii="宋体" w:hAnsi="宋体" w:eastAsia="宋体" w:cs="宋体"/>
                <w:spacing w:val="-6"/>
                <w:sz w:val="24"/>
                <w:szCs w:val="24"/>
                <w:lang w:val="en-US" w:eastAsia="en-US" w:bidi="ar-SA"/>
              </w:rPr>
            </w:pPr>
            <w:r>
              <w:rPr>
                <w:rFonts w:hint="eastAsia" w:ascii="宋体" w:hAnsi="宋体" w:eastAsia="宋体" w:cs="宋体"/>
                <w:spacing w:val="-6"/>
                <w:sz w:val="24"/>
                <w:szCs w:val="24"/>
                <w:lang w:val="en-US" w:eastAsia="en-US" w:bidi="ar-SA"/>
              </w:rPr>
              <w:t>数量</w:t>
            </w:r>
          </w:p>
        </w:tc>
        <w:tc>
          <w:tcPr>
            <w:tcW w:w="1581" w:type="dxa"/>
            <w:vAlign w:val="top"/>
          </w:tcPr>
          <w:p w14:paraId="5325A16F">
            <w:pPr>
              <w:pageBreakBefore w:val="0"/>
              <w:widowControl w:val="0"/>
              <w:wordWrap/>
              <w:overflowPunct/>
              <w:topLinePunct w:val="0"/>
              <w:bidi w:val="0"/>
              <w:spacing w:before="247" w:after="0" w:line="360" w:lineRule="auto"/>
              <w:ind w:left="618"/>
              <w:rPr>
                <w:rFonts w:hint="eastAsia" w:ascii="宋体" w:hAnsi="宋体" w:eastAsia="宋体" w:cs="宋体"/>
                <w:spacing w:val="-6"/>
                <w:sz w:val="24"/>
                <w:szCs w:val="24"/>
                <w:lang w:val="en-US" w:eastAsia="en-US" w:bidi="ar-SA"/>
              </w:rPr>
            </w:pPr>
            <w:r>
              <w:rPr>
                <w:rFonts w:hint="eastAsia" w:ascii="宋体" w:hAnsi="宋体" w:eastAsia="宋体" w:cs="宋体"/>
                <w:spacing w:val="-6"/>
                <w:sz w:val="24"/>
                <w:szCs w:val="24"/>
                <w:lang w:val="en-US" w:eastAsia="en-US" w:bidi="ar-SA"/>
              </w:rPr>
              <w:t>单价</w:t>
            </w:r>
          </w:p>
          <w:p w14:paraId="50525207">
            <w:pPr>
              <w:pageBreakBefore w:val="0"/>
              <w:widowControl w:val="0"/>
              <w:wordWrap/>
              <w:overflowPunct/>
              <w:topLinePunct w:val="0"/>
              <w:bidi w:val="0"/>
              <w:spacing w:before="239" w:after="0" w:line="360" w:lineRule="auto"/>
              <w:ind w:left="200"/>
              <w:rPr>
                <w:rFonts w:hint="eastAsia" w:ascii="宋体" w:hAnsi="宋体" w:eastAsia="宋体" w:cs="宋体"/>
                <w:spacing w:val="-3"/>
                <w:position w:val="2"/>
                <w:sz w:val="24"/>
                <w:szCs w:val="24"/>
                <w:lang w:val="en-US" w:eastAsia="en-US" w:bidi="ar-SA"/>
              </w:rPr>
            </w:pPr>
            <w:r>
              <w:rPr>
                <w:rFonts w:hint="eastAsia" w:ascii="宋体" w:hAnsi="宋体" w:eastAsia="宋体" w:cs="宋体"/>
                <w:spacing w:val="-3"/>
                <w:position w:val="2"/>
                <w:sz w:val="24"/>
                <w:szCs w:val="24"/>
                <w:lang w:val="en-US" w:eastAsia="en-US" w:bidi="ar-SA"/>
              </w:rPr>
              <w:t>（元/人/月）</w:t>
            </w:r>
          </w:p>
        </w:tc>
        <w:tc>
          <w:tcPr>
            <w:tcW w:w="2193" w:type="dxa"/>
            <w:vAlign w:val="top"/>
          </w:tcPr>
          <w:p w14:paraId="64DF54EC">
            <w:pPr>
              <w:pageBreakBefore w:val="0"/>
              <w:widowControl w:val="0"/>
              <w:wordWrap/>
              <w:overflowPunct/>
              <w:topLinePunct w:val="0"/>
              <w:bidi w:val="0"/>
              <w:spacing w:before="247" w:after="0" w:line="360" w:lineRule="auto"/>
              <w:rPr>
                <w:rFonts w:hint="eastAsia" w:ascii="宋体" w:hAnsi="宋体" w:eastAsia="宋体" w:cs="宋体"/>
                <w:spacing w:val="-6"/>
                <w:sz w:val="24"/>
                <w:szCs w:val="24"/>
                <w:lang w:val="en-US" w:eastAsia="en-US" w:bidi="ar-SA"/>
              </w:rPr>
            </w:pPr>
            <w:r>
              <w:rPr>
                <w:rFonts w:hint="eastAsia" w:ascii="宋体" w:hAnsi="宋体" w:eastAsia="宋体" w:cs="宋体"/>
                <w:spacing w:val="-6"/>
                <w:sz w:val="24"/>
                <w:szCs w:val="24"/>
                <w:lang w:val="en-US" w:eastAsia="en-US" w:bidi="ar-SA"/>
              </w:rPr>
              <w:t>合计金额=服务人数*天数*综合单价</w:t>
            </w:r>
          </w:p>
        </w:tc>
      </w:tr>
      <w:tr w14:paraId="107B6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49" w:type="dxa"/>
            <w:vAlign w:val="top"/>
          </w:tcPr>
          <w:p w14:paraId="0B848A7C">
            <w:pPr>
              <w:pageBreakBefore w:val="0"/>
              <w:wordWrap/>
              <w:overflowPunct/>
              <w:topLinePunct w:val="0"/>
              <w:bidi w:val="0"/>
              <w:spacing w:after="0" w:line="360" w:lineRule="auto"/>
              <w:jc w:val="left"/>
              <w:rPr>
                <w:rFonts w:hint="eastAsia" w:ascii="宋体" w:hAnsi="宋体" w:eastAsia="宋体" w:cs="宋体"/>
                <w:sz w:val="21"/>
                <w:lang w:eastAsia="en-US"/>
              </w:rPr>
            </w:pPr>
          </w:p>
          <w:p w14:paraId="0A19B9D1">
            <w:pPr>
              <w:pageBreakBefore w:val="0"/>
              <w:wordWrap/>
              <w:overflowPunct/>
              <w:topLinePunct w:val="0"/>
              <w:bidi w:val="0"/>
              <w:spacing w:after="0" w:line="360" w:lineRule="auto"/>
              <w:jc w:val="left"/>
              <w:rPr>
                <w:rFonts w:hint="eastAsia" w:ascii="宋体" w:hAnsi="宋体" w:eastAsia="宋体" w:cs="宋体"/>
                <w:sz w:val="21"/>
                <w:lang w:eastAsia="en-US"/>
              </w:rPr>
            </w:pPr>
          </w:p>
          <w:p w14:paraId="2E09E620">
            <w:pPr>
              <w:pageBreakBefore w:val="0"/>
              <w:wordWrap/>
              <w:overflowPunct/>
              <w:topLinePunct w:val="0"/>
              <w:bidi w:val="0"/>
              <w:spacing w:before="69" w:after="0" w:line="360" w:lineRule="auto"/>
              <w:ind w:left="447"/>
              <w:jc w:val="left"/>
              <w:rPr>
                <w:rFonts w:hint="eastAsia" w:ascii="宋体" w:hAnsi="宋体" w:eastAsia="宋体" w:cs="宋体"/>
                <w:sz w:val="24"/>
                <w:szCs w:val="24"/>
                <w:lang w:eastAsia="en-US"/>
              </w:rPr>
            </w:pPr>
            <w:r>
              <w:rPr>
                <w:rFonts w:hint="eastAsia" w:ascii="宋体" w:hAnsi="宋体" w:eastAsia="宋体" w:cs="宋体"/>
                <w:sz w:val="24"/>
                <w:szCs w:val="24"/>
                <w:lang w:eastAsia="en-US"/>
              </w:rPr>
              <w:t>1</w:t>
            </w:r>
          </w:p>
        </w:tc>
        <w:tc>
          <w:tcPr>
            <w:tcW w:w="2104" w:type="dxa"/>
            <w:vAlign w:val="top"/>
          </w:tcPr>
          <w:p w14:paraId="3AA1F5CD">
            <w:pPr>
              <w:pageBreakBefore w:val="0"/>
              <w:widowControl w:val="0"/>
              <w:wordWrap/>
              <w:overflowPunct/>
              <w:topLinePunct w:val="0"/>
              <w:bidi w:val="0"/>
              <w:spacing w:before="245" w:after="0" w:line="360" w:lineRule="auto"/>
              <w:ind w:right="107"/>
              <w:rPr>
                <w:rFonts w:hint="eastAsia" w:ascii="宋体" w:hAnsi="宋体" w:eastAsia="宋体" w:cs="宋体"/>
                <w:color w:val="auto"/>
                <w:spacing w:val="-3"/>
                <w:sz w:val="24"/>
                <w:szCs w:val="24"/>
                <w:highlight w:val="none"/>
                <w:lang w:val="en-US" w:eastAsia="en-US" w:bidi="ar-SA"/>
              </w:rPr>
            </w:pPr>
            <w:r>
              <w:rPr>
                <w:rFonts w:hint="eastAsia" w:ascii="宋体" w:hAnsi="宋体" w:eastAsia="宋体" w:cs="宋体"/>
                <w:color w:val="auto"/>
                <w:szCs w:val="24"/>
                <w:highlight w:val="none"/>
                <w:lang w:val="en-US" w:eastAsia="zh-CN"/>
              </w:rPr>
              <w:t>重度残疾人</w:t>
            </w:r>
          </w:p>
        </w:tc>
        <w:tc>
          <w:tcPr>
            <w:tcW w:w="1147" w:type="dxa"/>
            <w:vAlign w:val="top"/>
          </w:tcPr>
          <w:p w14:paraId="30B8F7FA">
            <w:pPr>
              <w:pageBreakBefore w:val="0"/>
              <w:wordWrap/>
              <w:overflowPunct/>
              <w:topLinePunct w:val="0"/>
              <w:bidi w:val="0"/>
              <w:spacing w:after="0" w:line="360" w:lineRule="auto"/>
              <w:jc w:val="center"/>
              <w:rPr>
                <w:rFonts w:hint="eastAsia" w:ascii="宋体" w:hAnsi="宋体" w:eastAsia="宋体" w:cs="宋体"/>
                <w:sz w:val="21"/>
                <w:highlight w:val="none"/>
                <w:lang w:eastAsia="en-US"/>
              </w:rPr>
            </w:pPr>
          </w:p>
          <w:p w14:paraId="4C4D6118">
            <w:pPr>
              <w:pageBreakBefore w:val="0"/>
              <w:widowControl w:val="0"/>
              <w:wordWrap/>
              <w:overflowPunct/>
              <w:topLinePunct w:val="0"/>
              <w:bidi w:val="0"/>
              <w:spacing w:before="78" w:after="0" w:line="360" w:lineRule="auto"/>
              <w:jc w:val="center"/>
              <w:rPr>
                <w:rFonts w:hint="eastAsia" w:ascii="宋体" w:hAnsi="宋体" w:eastAsia="宋体" w:cs="宋体"/>
                <w:sz w:val="24"/>
                <w:szCs w:val="24"/>
                <w:highlight w:val="none"/>
                <w:lang w:val="en-US" w:eastAsia="en-US" w:bidi="ar-SA"/>
              </w:rPr>
            </w:pPr>
            <w:r>
              <w:rPr>
                <w:rFonts w:hint="eastAsia" w:ascii="宋体" w:hAnsi="宋体" w:eastAsia="宋体" w:cs="宋体"/>
                <w:sz w:val="24"/>
                <w:szCs w:val="24"/>
                <w:highlight w:val="none"/>
                <w:lang w:val="en-US" w:eastAsia="en-US" w:bidi="ar-SA"/>
              </w:rPr>
              <w:t>人</w:t>
            </w:r>
          </w:p>
        </w:tc>
        <w:tc>
          <w:tcPr>
            <w:tcW w:w="1091" w:type="dxa"/>
            <w:vAlign w:val="top"/>
          </w:tcPr>
          <w:p w14:paraId="3EF2835F">
            <w:pPr>
              <w:pageBreakBefore w:val="0"/>
              <w:widowControl w:val="0"/>
              <w:wordWrap/>
              <w:overflowPunct/>
              <w:topLinePunct w:val="0"/>
              <w:bidi w:val="0"/>
              <w:spacing w:before="78" w:after="0" w:line="360" w:lineRule="auto"/>
              <w:ind w:left="121"/>
              <w:jc w:val="center"/>
              <w:rPr>
                <w:rFonts w:hint="eastAsia" w:ascii="宋体" w:hAnsi="宋体" w:eastAsia="宋体" w:cs="宋体"/>
                <w:spacing w:val="-5"/>
                <w:sz w:val="24"/>
                <w:szCs w:val="24"/>
                <w:highlight w:val="none"/>
                <w:lang w:val="en-US" w:eastAsia="zh-CN" w:bidi="ar-SA"/>
              </w:rPr>
            </w:pPr>
            <w:r>
              <w:rPr>
                <w:rFonts w:hint="eastAsia" w:ascii="宋体" w:hAnsi="宋体" w:eastAsia="宋体" w:cs="宋体"/>
                <w:spacing w:val="-5"/>
                <w:sz w:val="24"/>
                <w:szCs w:val="24"/>
                <w:highlight w:val="none"/>
                <w:lang w:val="en-US" w:eastAsia="zh-CN" w:bidi="ar-SA"/>
              </w:rPr>
              <w:t>35</w:t>
            </w:r>
          </w:p>
        </w:tc>
        <w:tc>
          <w:tcPr>
            <w:tcW w:w="1581" w:type="dxa"/>
            <w:vAlign w:val="top"/>
          </w:tcPr>
          <w:p w14:paraId="50F57227">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2193" w:type="dxa"/>
            <w:vAlign w:val="top"/>
          </w:tcPr>
          <w:p w14:paraId="30D5A461">
            <w:pPr>
              <w:pageBreakBefore w:val="0"/>
              <w:wordWrap/>
              <w:overflowPunct/>
              <w:topLinePunct w:val="0"/>
              <w:bidi w:val="0"/>
              <w:spacing w:after="0" w:line="360" w:lineRule="auto"/>
              <w:jc w:val="left"/>
              <w:rPr>
                <w:rFonts w:hint="eastAsia" w:ascii="宋体" w:hAnsi="宋体" w:eastAsia="宋体" w:cs="宋体"/>
                <w:sz w:val="21"/>
                <w:lang w:eastAsia="en-US"/>
              </w:rPr>
            </w:pPr>
          </w:p>
        </w:tc>
      </w:tr>
      <w:tr w14:paraId="0CE2C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49" w:type="dxa"/>
            <w:vAlign w:val="top"/>
          </w:tcPr>
          <w:p w14:paraId="7E220875">
            <w:pPr>
              <w:pageBreakBefore w:val="0"/>
              <w:wordWrap/>
              <w:overflowPunct/>
              <w:topLinePunct w:val="0"/>
              <w:bidi w:val="0"/>
              <w:spacing w:before="285" w:after="0" w:line="360" w:lineRule="auto"/>
              <w:ind w:left="424"/>
              <w:jc w:val="left"/>
              <w:rPr>
                <w:rFonts w:hint="eastAsia" w:ascii="宋体" w:hAnsi="宋体" w:eastAsia="宋体" w:cs="宋体"/>
                <w:sz w:val="24"/>
                <w:szCs w:val="24"/>
                <w:lang w:eastAsia="en-US"/>
              </w:rPr>
            </w:pPr>
            <w:r>
              <w:rPr>
                <w:rFonts w:hint="eastAsia" w:ascii="宋体" w:hAnsi="宋体" w:eastAsia="宋体" w:cs="宋体"/>
                <w:sz w:val="24"/>
                <w:szCs w:val="24"/>
                <w:lang w:eastAsia="en-US"/>
              </w:rPr>
              <w:t>2</w:t>
            </w:r>
          </w:p>
        </w:tc>
        <w:tc>
          <w:tcPr>
            <w:tcW w:w="2104" w:type="dxa"/>
            <w:vAlign w:val="top"/>
          </w:tcPr>
          <w:p w14:paraId="37B06C61">
            <w:pPr>
              <w:pageBreakBefore w:val="0"/>
              <w:widowControl w:val="0"/>
              <w:wordWrap/>
              <w:overflowPunct/>
              <w:topLinePunct w:val="0"/>
              <w:bidi w:val="0"/>
              <w:spacing w:before="243" w:after="0" w:line="360" w:lineRule="auto"/>
              <w:rPr>
                <w:rFonts w:hint="eastAsia" w:ascii="宋体" w:hAnsi="宋体" w:eastAsia="宋体" w:cs="宋体"/>
                <w:color w:val="auto"/>
                <w:spacing w:val="-4"/>
                <w:sz w:val="24"/>
                <w:szCs w:val="24"/>
                <w:highlight w:val="none"/>
                <w:lang w:val="en-US" w:eastAsia="en-US" w:bidi="ar-SA"/>
              </w:rPr>
            </w:pPr>
            <w:r>
              <w:rPr>
                <w:rFonts w:hint="eastAsia" w:ascii="宋体" w:hAnsi="宋体" w:eastAsia="宋体" w:cs="宋体"/>
                <w:color w:val="auto"/>
                <w:szCs w:val="24"/>
                <w:highlight w:val="none"/>
                <w:lang w:val="en-US" w:eastAsia="zh-CN"/>
              </w:rPr>
              <w:t>轻度残疾人</w:t>
            </w:r>
          </w:p>
        </w:tc>
        <w:tc>
          <w:tcPr>
            <w:tcW w:w="1147" w:type="dxa"/>
            <w:vAlign w:val="top"/>
          </w:tcPr>
          <w:p w14:paraId="01167AF6">
            <w:pPr>
              <w:pageBreakBefore w:val="0"/>
              <w:widowControl w:val="0"/>
              <w:wordWrap/>
              <w:overflowPunct/>
              <w:topLinePunct w:val="0"/>
              <w:bidi w:val="0"/>
              <w:spacing w:before="243" w:after="0" w:line="360" w:lineRule="auto"/>
              <w:jc w:val="center"/>
              <w:rPr>
                <w:rFonts w:hint="eastAsia" w:ascii="宋体" w:hAnsi="宋体" w:eastAsia="宋体" w:cs="宋体"/>
                <w:sz w:val="24"/>
                <w:szCs w:val="24"/>
                <w:highlight w:val="none"/>
                <w:lang w:val="en-US" w:eastAsia="en-US" w:bidi="ar-SA"/>
              </w:rPr>
            </w:pPr>
            <w:r>
              <w:rPr>
                <w:rFonts w:hint="eastAsia" w:ascii="宋体" w:hAnsi="宋体" w:eastAsia="宋体" w:cs="宋体"/>
                <w:sz w:val="24"/>
                <w:szCs w:val="24"/>
                <w:highlight w:val="none"/>
                <w:lang w:val="en-US" w:eastAsia="en-US" w:bidi="ar-SA"/>
              </w:rPr>
              <w:t>人</w:t>
            </w:r>
          </w:p>
        </w:tc>
        <w:tc>
          <w:tcPr>
            <w:tcW w:w="1091" w:type="dxa"/>
            <w:vAlign w:val="top"/>
          </w:tcPr>
          <w:p w14:paraId="027DA723">
            <w:pPr>
              <w:pageBreakBefore w:val="0"/>
              <w:widowControl w:val="0"/>
              <w:wordWrap/>
              <w:overflowPunct/>
              <w:topLinePunct w:val="0"/>
              <w:bidi w:val="0"/>
              <w:spacing w:before="243" w:after="0" w:line="360" w:lineRule="auto"/>
              <w:ind w:left="121"/>
              <w:jc w:val="center"/>
              <w:rPr>
                <w:rFonts w:hint="eastAsia" w:ascii="宋体" w:hAnsi="宋体" w:eastAsia="宋体" w:cs="宋体"/>
                <w:spacing w:val="-4"/>
                <w:sz w:val="24"/>
                <w:szCs w:val="24"/>
                <w:highlight w:val="none"/>
                <w:lang w:val="en-US" w:eastAsia="zh-CN" w:bidi="ar-SA"/>
              </w:rPr>
            </w:pPr>
            <w:r>
              <w:rPr>
                <w:rFonts w:hint="eastAsia" w:ascii="宋体" w:hAnsi="宋体" w:eastAsia="宋体" w:cs="宋体"/>
                <w:spacing w:val="-4"/>
                <w:sz w:val="24"/>
                <w:szCs w:val="24"/>
                <w:highlight w:val="none"/>
                <w:lang w:val="en-US" w:eastAsia="zh-CN" w:bidi="ar-SA"/>
              </w:rPr>
              <w:t>10</w:t>
            </w:r>
          </w:p>
        </w:tc>
        <w:tc>
          <w:tcPr>
            <w:tcW w:w="1581" w:type="dxa"/>
            <w:vAlign w:val="top"/>
          </w:tcPr>
          <w:p w14:paraId="5D157072">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2193" w:type="dxa"/>
            <w:vAlign w:val="top"/>
          </w:tcPr>
          <w:p w14:paraId="2DD2602F">
            <w:pPr>
              <w:pageBreakBefore w:val="0"/>
              <w:wordWrap/>
              <w:overflowPunct/>
              <w:topLinePunct w:val="0"/>
              <w:bidi w:val="0"/>
              <w:spacing w:after="0" w:line="360" w:lineRule="auto"/>
              <w:jc w:val="left"/>
              <w:rPr>
                <w:rFonts w:hint="eastAsia" w:ascii="宋体" w:hAnsi="宋体" w:eastAsia="宋体" w:cs="宋体"/>
                <w:sz w:val="21"/>
                <w:lang w:eastAsia="en-US"/>
              </w:rPr>
            </w:pPr>
          </w:p>
        </w:tc>
      </w:tr>
      <w:tr w14:paraId="4CF57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9" w:type="dxa"/>
            <w:vAlign w:val="top"/>
          </w:tcPr>
          <w:p w14:paraId="5F3C8F0C">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2104" w:type="dxa"/>
            <w:vAlign w:val="top"/>
          </w:tcPr>
          <w:p w14:paraId="1F6B536C">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147" w:type="dxa"/>
            <w:vAlign w:val="top"/>
          </w:tcPr>
          <w:p w14:paraId="37B29034">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091" w:type="dxa"/>
            <w:vAlign w:val="top"/>
          </w:tcPr>
          <w:p w14:paraId="11F9F5ED">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581" w:type="dxa"/>
            <w:vAlign w:val="top"/>
          </w:tcPr>
          <w:p w14:paraId="3F707D26">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2193" w:type="dxa"/>
            <w:vAlign w:val="top"/>
          </w:tcPr>
          <w:p w14:paraId="6488B3AA">
            <w:pPr>
              <w:pageBreakBefore w:val="0"/>
              <w:wordWrap/>
              <w:overflowPunct/>
              <w:topLinePunct w:val="0"/>
              <w:bidi w:val="0"/>
              <w:spacing w:after="0" w:line="360" w:lineRule="auto"/>
              <w:jc w:val="left"/>
              <w:rPr>
                <w:rFonts w:hint="eastAsia" w:ascii="宋体" w:hAnsi="宋体" w:eastAsia="宋体" w:cs="宋体"/>
                <w:sz w:val="21"/>
                <w:lang w:eastAsia="en-US"/>
              </w:rPr>
            </w:pPr>
          </w:p>
        </w:tc>
      </w:tr>
      <w:tr w14:paraId="3455C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49" w:type="dxa"/>
            <w:vAlign w:val="top"/>
          </w:tcPr>
          <w:p w14:paraId="3CF74F79">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2104" w:type="dxa"/>
            <w:vAlign w:val="top"/>
          </w:tcPr>
          <w:p w14:paraId="1A426D03">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147" w:type="dxa"/>
            <w:vAlign w:val="top"/>
          </w:tcPr>
          <w:p w14:paraId="34145751">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091" w:type="dxa"/>
            <w:vAlign w:val="top"/>
          </w:tcPr>
          <w:p w14:paraId="3DBC4FF7">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581" w:type="dxa"/>
            <w:vAlign w:val="top"/>
          </w:tcPr>
          <w:p w14:paraId="31F74F3B">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2193" w:type="dxa"/>
            <w:vAlign w:val="top"/>
          </w:tcPr>
          <w:p w14:paraId="098E3BBA">
            <w:pPr>
              <w:pageBreakBefore w:val="0"/>
              <w:wordWrap/>
              <w:overflowPunct/>
              <w:topLinePunct w:val="0"/>
              <w:bidi w:val="0"/>
              <w:spacing w:after="0" w:line="360" w:lineRule="auto"/>
              <w:jc w:val="left"/>
              <w:rPr>
                <w:rFonts w:hint="eastAsia" w:ascii="宋体" w:hAnsi="宋体" w:eastAsia="宋体" w:cs="宋体"/>
                <w:sz w:val="21"/>
                <w:lang w:eastAsia="en-US"/>
              </w:rPr>
            </w:pPr>
          </w:p>
        </w:tc>
      </w:tr>
      <w:tr w14:paraId="372DD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49" w:type="dxa"/>
            <w:vAlign w:val="top"/>
          </w:tcPr>
          <w:p w14:paraId="0CCB2A47">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2104" w:type="dxa"/>
            <w:vAlign w:val="top"/>
          </w:tcPr>
          <w:p w14:paraId="2CC954D2">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147" w:type="dxa"/>
            <w:vAlign w:val="top"/>
          </w:tcPr>
          <w:p w14:paraId="6735C5DF">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091" w:type="dxa"/>
            <w:vAlign w:val="top"/>
          </w:tcPr>
          <w:p w14:paraId="0F89E628">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581" w:type="dxa"/>
            <w:vAlign w:val="top"/>
          </w:tcPr>
          <w:p w14:paraId="0F8FE095">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2193" w:type="dxa"/>
            <w:vAlign w:val="top"/>
          </w:tcPr>
          <w:p w14:paraId="577602CF">
            <w:pPr>
              <w:pageBreakBefore w:val="0"/>
              <w:wordWrap/>
              <w:overflowPunct/>
              <w:topLinePunct w:val="0"/>
              <w:bidi w:val="0"/>
              <w:spacing w:after="0" w:line="360" w:lineRule="auto"/>
              <w:jc w:val="left"/>
              <w:rPr>
                <w:rFonts w:hint="eastAsia" w:ascii="宋体" w:hAnsi="宋体" w:eastAsia="宋体" w:cs="宋体"/>
                <w:sz w:val="21"/>
                <w:lang w:eastAsia="en-US"/>
              </w:rPr>
            </w:pPr>
          </w:p>
        </w:tc>
      </w:tr>
      <w:tr w14:paraId="7FCCA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9" w:type="dxa"/>
            <w:vAlign w:val="top"/>
          </w:tcPr>
          <w:p w14:paraId="68A091A2">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2104" w:type="dxa"/>
            <w:vAlign w:val="top"/>
          </w:tcPr>
          <w:p w14:paraId="7761ECD3">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147" w:type="dxa"/>
            <w:vAlign w:val="top"/>
          </w:tcPr>
          <w:p w14:paraId="3A6024B6">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091" w:type="dxa"/>
            <w:vAlign w:val="top"/>
          </w:tcPr>
          <w:p w14:paraId="3583B8F7">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1581" w:type="dxa"/>
            <w:vAlign w:val="top"/>
          </w:tcPr>
          <w:p w14:paraId="05D47220">
            <w:pPr>
              <w:pageBreakBefore w:val="0"/>
              <w:wordWrap/>
              <w:overflowPunct/>
              <w:topLinePunct w:val="0"/>
              <w:bidi w:val="0"/>
              <w:spacing w:after="0" w:line="360" w:lineRule="auto"/>
              <w:jc w:val="left"/>
              <w:rPr>
                <w:rFonts w:hint="eastAsia" w:ascii="宋体" w:hAnsi="宋体" w:eastAsia="宋体" w:cs="宋体"/>
                <w:sz w:val="21"/>
                <w:lang w:eastAsia="en-US"/>
              </w:rPr>
            </w:pPr>
          </w:p>
        </w:tc>
        <w:tc>
          <w:tcPr>
            <w:tcW w:w="2193" w:type="dxa"/>
            <w:vAlign w:val="top"/>
          </w:tcPr>
          <w:p w14:paraId="1A884DEA">
            <w:pPr>
              <w:pageBreakBefore w:val="0"/>
              <w:wordWrap/>
              <w:overflowPunct/>
              <w:topLinePunct w:val="0"/>
              <w:bidi w:val="0"/>
              <w:spacing w:after="0" w:line="360" w:lineRule="auto"/>
              <w:jc w:val="left"/>
              <w:rPr>
                <w:rFonts w:hint="eastAsia" w:ascii="宋体" w:hAnsi="宋体" w:eastAsia="宋体" w:cs="宋体"/>
                <w:sz w:val="21"/>
                <w:lang w:eastAsia="en-US"/>
              </w:rPr>
            </w:pPr>
          </w:p>
        </w:tc>
      </w:tr>
      <w:tr w14:paraId="35CB8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972" w:type="dxa"/>
            <w:gridSpan w:val="5"/>
            <w:vAlign w:val="top"/>
          </w:tcPr>
          <w:p w14:paraId="1A4E4556">
            <w:pPr>
              <w:pageBreakBefore w:val="0"/>
              <w:widowControl w:val="0"/>
              <w:wordWrap/>
              <w:overflowPunct/>
              <w:topLinePunct w:val="0"/>
              <w:bidi w:val="0"/>
              <w:spacing w:before="247" w:after="0" w:line="360" w:lineRule="auto"/>
              <w:ind w:left="2864"/>
              <w:rPr>
                <w:rFonts w:hint="eastAsia" w:ascii="宋体" w:hAnsi="宋体" w:eastAsia="宋体" w:cs="宋体"/>
                <w:spacing w:val="-3"/>
                <w:sz w:val="24"/>
                <w:szCs w:val="24"/>
                <w:lang w:val="en-US" w:eastAsia="en-US" w:bidi="ar-SA"/>
              </w:rPr>
            </w:pPr>
            <w:r>
              <w:rPr>
                <w:rFonts w:hint="eastAsia" w:ascii="宋体" w:hAnsi="宋体" w:eastAsia="宋体" w:cs="宋体"/>
                <w:spacing w:val="-3"/>
                <w:sz w:val="24"/>
                <w:szCs w:val="24"/>
                <w:lang w:val="en-US" w:eastAsia="en-US" w:bidi="ar-SA"/>
              </w:rPr>
              <w:t>总计（元）</w:t>
            </w:r>
          </w:p>
        </w:tc>
        <w:tc>
          <w:tcPr>
            <w:tcW w:w="2193" w:type="dxa"/>
            <w:vAlign w:val="top"/>
          </w:tcPr>
          <w:p w14:paraId="7361AE7B">
            <w:pPr>
              <w:pageBreakBefore w:val="0"/>
              <w:wordWrap/>
              <w:overflowPunct/>
              <w:topLinePunct w:val="0"/>
              <w:bidi w:val="0"/>
              <w:spacing w:after="0" w:line="360" w:lineRule="auto"/>
              <w:jc w:val="left"/>
              <w:rPr>
                <w:rFonts w:hint="eastAsia" w:ascii="宋体" w:hAnsi="宋体" w:eastAsia="宋体" w:cs="宋体"/>
                <w:sz w:val="21"/>
                <w:lang w:eastAsia="en-US"/>
              </w:rPr>
            </w:pPr>
          </w:p>
        </w:tc>
      </w:tr>
    </w:tbl>
    <w:p w14:paraId="2295747E">
      <w:pPr>
        <w:pageBreakBefore w:val="0"/>
        <w:wordWrap/>
        <w:overflowPunct/>
        <w:topLinePunct w:val="0"/>
        <w:bidi w:val="0"/>
        <w:spacing w:line="360" w:lineRule="auto"/>
        <w:ind w:firstLine="420"/>
        <w:rPr>
          <w:rFonts w:hint="eastAsia" w:ascii="宋体" w:hAnsi="宋体" w:eastAsia="宋体" w:cs="宋体"/>
          <w:color w:val="FF0000"/>
          <w:szCs w:val="24"/>
          <w:lang w:eastAsia="en-US"/>
        </w:rPr>
      </w:pPr>
      <w:r>
        <w:rPr>
          <w:rFonts w:hint="eastAsia" w:ascii="宋体" w:hAnsi="宋体" w:eastAsia="宋体" w:cs="宋体"/>
          <w:color w:val="FF0000"/>
          <w:szCs w:val="24"/>
          <w:lang w:eastAsia="en-US"/>
        </w:rPr>
        <w:t>注：</w:t>
      </w:r>
      <w:r>
        <w:rPr>
          <w:rFonts w:hint="eastAsia" w:ascii="宋体" w:hAnsi="宋体" w:eastAsia="宋体" w:cs="宋体"/>
          <w:color w:val="FF0000"/>
          <w:szCs w:val="24"/>
          <w:lang w:val="en-US" w:eastAsia="zh-CN"/>
        </w:rPr>
        <w:t>重度残疾人3300 元/人/月，轻度残疾人1800元/人/月</w:t>
      </w:r>
      <w:r>
        <w:rPr>
          <w:rFonts w:hint="eastAsia" w:ascii="宋体" w:hAnsi="宋体" w:eastAsia="宋体" w:cs="宋体"/>
          <w:color w:val="FF0000"/>
          <w:szCs w:val="24"/>
          <w:lang w:val="en-US" w:eastAsia="en-US"/>
        </w:rPr>
        <w:t>，单价报价超过以上最高限价的按无效响应处理。</w:t>
      </w:r>
    </w:p>
    <w:p w14:paraId="7A3D7F84">
      <w:pPr>
        <w:pageBreakBefore w:val="0"/>
        <w:wordWrap/>
        <w:overflowPunct/>
        <w:topLinePunct w:val="0"/>
        <w:bidi w:val="0"/>
        <w:spacing w:line="360" w:lineRule="auto"/>
        <w:ind w:firstLine="420"/>
        <w:rPr>
          <w:rFonts w:hint="eastAsia" w:ascii="宋体" w:hAnsi="宋体" w:eastAsia="宋体" w:cs="宋体"/>
          <w:color w:val="000000"/>
          <w:szCs w:val="24"/>
        </w:rPr>
      </w:pPr>
    </w:p>
    <w:p w14:paraId="4CC35428">
      <w:pPr>
        <w:pageBreakBefore w:val="0"/>
        <w:wordWrap/>
        <w:overflowPunct/>
        <w:topLinePunct w:val="0"/>
        <w:bidi w:val="0"/>
        <w:spacing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投标人（盖章）：</w:t>
      </w:r>
    </w:p>
    <w:p w14:paraId="1E2BD44F">
      <w:pPr>
        <w:pageBreakBefore w:val="0"/>
        <w:wordWrap/>
        <w:overflowPunct/>
        <w:topLinePunct w:val="0"/>
        <w:bidi w:val="0"/>
        <w:spacing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法定代表人（单位负责人）或委托代理人（签字或盖章）：</w:t>
      </w:r>
    </w:p>
    <w:p w14:paraId="5A358CB9">
      <w:pPr>
        <w:pageBreakBefore w:val="0"/>
        <w:wordWrap/>
        <w:overflowPunct/>
        <w:topLinePunct w:val="0"/>
        <w:bidi w:val="0"/>
        <w:spacing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日期：    年     月     日</w:t>
      </w:r>
    </w:p>
    <w:p w14:paraId="779E8990">
      <w:pPr>
        <w:keepNext/>
        <w:keepLines/>
        <w:pageBreakBefore w:val="0"/>
        <w:wordWrap/>
        <w:overflowPunct/>
        <w:topLinePunct w:val="0"/>
        <w:bidi w:val="0"/>
        <w:spacing w:before="360" w:after="200" w:line="360" w:lineRule="auto"/>
        <w:jc w:val="left"/>
        <w:outlineLvl w:val="1"/>
        <w:rPr>
          <w:rFonts w:hint="eastAsia" w:ascii="宋体" w:hAnsi="宋体" w:eastAsia="宋体" w:cs="宋体"/>
          <w:i/>
          <w:iCs/>
          <w:color w:val="000000"/>
          <w:sz w:val="36"/>
          <w:u w:val="single"/>
        </w:rPr>
      </w:pPr>
      <w:r>
        <w:rPr>
          <w:rFonts w:hint="eastAsia" w:ascii="宋体" w:hAnsi="宋体" w:eastAsia="宋体" w:cs="宋体"/>
          <w:i/>
          <w:iCs/>
          <w:color w:val="000000"/>
          <w:sz w:val="36"/>
          <w:u w:val="single"/>
        </w:rPr>
        <w:t>十</w:t>
      </w:r>
      <w:r>
        <w:rPr>
          <w:rFonts w:hint="eastAsia" w:ascii="宋体" w:hAnsi="宋体" w:eastAsia="宋体" w:cs="宋体"/>
          <w:i/>
          <w:iCs/>
          <w:color w:val="000000"/>
          <w:sz w:val="36"/>
          <w:u w:val="single"/>
          <w:lang w:val="en-US" w:eastAsia="zh-CN"/>
        </w:rPr>
        <w:t>五</w:t>
      </w:r>
      <w:r>
        <w:rPr>
          <w:rFonts w:hint="eastAsia" w:ascii="宋体" w:hAnsi="宋体" w:eastAsia="宋体" w:cs="宋体"/>
          <w:i/>
          <w:iCs/>
          <w:color w:val="000000"/>
          <w:sz w:val="36"/>
          <w:u w:val="single"/>
        </w:rPr>
        <w:t>、技术要求响应及偏离表（分包号：**）</w:t>
      </w:r>
    </w:p>
    <w:p w14:paraId="51FAFB92">
      <w:pPr>
        <w:pageBreakBefore w:val="0"/>
        <w:tabs>
          <w:tab w:val="left" w:pos="360"/>
        </w:tabs>
        <w:wordWrap/>
        <w:overflowPunct/>
        <w:topLinePunct w:val="0"/>
        <w:bidi w:val="0"/>
        <w:spacing w:line="360" w:lineRule="auto"/>
        <w:jc w:val="center"/>
        <w:rPr>
          <w:rFonts w:hint="eastAsia" w:ascii="宋体" w:hAnsi="宋体" w:eastAsia="宋体" w:cs="宋体"/>
          <w:bCs/>
          <w:color w:val="000000"/>
          <w:sz w:val="36"/>
          <w:szCs w:val="28"/>
        </w:rPr>
      </w:pPr>
      <w:r>
        <w:rPr>
          <w:rFonts w:hint="eastAsia" w:ascii="宋体" w:hAnsi="宋体" w:eastAsia="宋体" w:cs="宋体"/>
          <w:bCs/>
          <w:color w:val="000000"/>
          <w:sz w:val="36"/>
          <w:szCs w:val="28"/>
        </w:rPr>
        <w:t>技术要求响应及偏离表</w:t>
      </w:r>
    </w:p>
    <w:p w14:paraId="5D901742">
      <w:pPr>
        <w:pageBreakBefore w:val="0"/>
        <w:wordWrap/>
        <w:overflowPunct/>
        <w:topLinePunct w:val="0"/>
        <w:bidi w:val="0"/>
        <w:spacing w:line="360" w:lineRule="auto"/>
        <w:jc w:val="left"/>
        <w:rPr>
          <w:rFonts w:hint="eastAsia" w:ascii="宋体" w:hAnsi="宋体" w:eastAsia="宋体" w:cs="宋体"/>
          <w:color w:val="000000"/>
          <w:sz w:val="36"/>
        </w:rPr>
      </w:pPr>
      <w:r>
        <w:rPr>
          <w:rFonts w:hint="eastAsia" w:ascii="宋体" w:hAnsi="宋体" w:eastAsia="宋体" w:cs="宋体"/>
          <w:color w:val="000000"/>
          <w:sz w:val="24"/>
          <w:szCs w:val="24"/>
        </w:rPr>
        <w:t>项目名称：      项目编号：      分包号：</w:t>
      </w:r>
      <w:r>
        <w:rPr>
          <w:rFonts w:hint="eastAsia" w:ascii="宋体" w:hAnsi="宋体" w:eastAsia="宋体" w:cs="宋体"/>
          <w:bCs/>
          <w:color w:val="000000"/>
          <w:sz w:val="24"/>
          <w:szCs w:val="24"/>
        </w:rPr>
        <w:t xml:space="preserve"> </w:t>
      </w:r>
    </w:p>
    <w:tbl>
      <w:tblPr>
        <w:tblStyle w:val="28"/>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9"/>
        <w:gridCol w:w="3273"/>
        <w:gridCol w:w="3024"/>
        <w:gridCol w:w="1399"/>
      </w:tblGrid>
      <w:tr w14:paraId="2EED1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09" w:type="dxa"/>
            <w:noWrap w:val="0"/>
            <w:vAlign w:val="center"/>
          </w:tcPr>
          <w:p w14:paraId="71CC1FD7">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273" w:type="dxa"/>
            <w:noWrap w:val="0"/>
            <w:vAlign w:val="center"/>
          </w:tcPr>
          <w:p w14:paraId="19F88888">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招标文件要求</w:t>
            </w:r>
          </w:p>
        </w:tc>
        <w:tc>
          <w:tcPr>
            <w:tcW w:w="3024" w:type="dxa"/>
            <w:noWrap w:val="0"/>
            <w:vAlign w:val="center"/>
          </w:tcPr>
          <w:p w14:paraId="5795492F">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投标响应情况</w:t>
            </w:r>
          </w:p>
        </w:tc>
        <w:tc>
          <w:tcPr>
            <w:tcW w:w="1399" w:type="dxa"/>
            <w:noWrap w:val="0"/>
            <w:vAlign w:val="center"/>
          </w:tcPr>
          <w:p w14:paraId="0D1DF806">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超出、符合或偏离</w:t>
            </w:r>
          </w:p>
        </w:tc>
      </w:tr>
      <w:tr w14:paraId="481A1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09" w:type="dxa"/>
            <w:noWrap w:val="0"/>
            <w:vAlign w:val="center"/>
          </w:tcPr>
          <w:p w14:paraId="05B17BAD">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273" w:type="dxa"/>
            <w:noWrap w:val="0"/>
            <w:vAlign w:val="center"/>
          </w:tcPr>
          <w:p w14:paraId="1B90CDE2">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3024" w:type="dxa"/>
            <w:noWrap w:val="0"/>
            <w:vAlign w:val="center"/>
          </w:tcPr>
          <w:p w14:paraId="5AB77555">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399" w:type="dxa"/>
            <w:noWrap w:val="0"/>
            <w:vAlign w:val="center"/>
          </w:tcPr>
          <w:p w14:paraId="4B90A1BD">
            <w:pPr>
              <w:pageBreakBefore w:val="0"/>
              <w:wordWrap/>
              <w:overflowPunct/>
              <w:topLinePunct w:val="0"/>
              <w:bidi w:val="0"/>
              <w:spacing w:line="360" w:lineRule="auto"/>
              <w:jc w:val="center"/>
              <w:rPr>
                <w:rFonts w:hint="eastAsia" w:ascii="宋体" w:hAnsi="宋体" w:eastAsia="宋体" w:cs="宋体"/>
                <w:color w:val="000000"/>
                <w:sz w:val="24"/>
                <w:szCs w:val="24"/>
              </w:rPr>
            </w:pPr>
          </w:p>
        </w:tc>
      </w:tr>
      <w:tr w14:paraId="2632B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09" w:type="dxa"/>
            <w:noWrap w:val="0"/>
            <w:vAlign w:val="center"/>
          </w:tcPr>
          <w:p w14:paraId="32DFEBA9">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273" w:type="dxa"/>
            <w:noWrap w:val="0"/>
            <w:vAlign w:val="center"/>
          </w:tcPr>
          <w:p w14:paraId="479E2D2A">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3024" w:type="dxa"/>
            <w:noWrap w:val="0"/>
            <w:vAlign w:val="center"/>
          </w:tcPr>
          <w:p w14:paraId="4A425F29">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399" w:type="dxa"/>
            <w:noWrap w:val="0"/>
            <w:vAlign w:val="center"/>
          </w:tcPr>
          <w:p w14:paraId="2F221DBE">
            <w:pPr>
              <w:pageBreakBefore w:val="0"/>
              <w:wordWrap/>
              <w:overflowPunct/>
              <w:topLinePunct w:val="0"/>
              <w:bidi w:val="0"/>
              <w:spacing w:line="360" w:lineRule="auto"/>
              <w:jc w:val="center"/>
              <w:rPr>
                <w:rFonts w:hint="eastAsia" w:ascii="宋体" w:hAnsi="宋体" w:eastAsia="宋体" w:cs="宋体"/>
                <w:color w:val="000000"/>
                <w:sz w:val="24"/>
                <w:szCs w:val="24"/>
              </w:rPr>
            </w:pPr>
          </w:p>
        </w:tc>
      </w:tr>
      <w:tr w14:paraId="65257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09" w:type="dxa"/>
            <w:noWrap w:val="0"/>
            <w:vAlign w:val="center"/>
          </w:tcPr>
          <w:p w14:paraId="7A91436D">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273" w:type="dxa"/>
            <w:noWrap w:val="0"/>
            <w:vAlign w:val="center"/>
          </w:tcPr>
          <w:p w14:paraId="184F9EA9">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3024" w:type="dxa"/>
            <w:noWrap w:val="0"/>
            <w:vAlign w:val="center"/>
          </w:tcPr>
          <w:p w14:paraId="1EB3E791">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399" w:type="dxa"/>
            <w:noWrap w:val="0"/>
            <w:vAlign w:val="center"/>
          </w:tcPr>
          <w:p w14:paraId="12EF2A3A">
            <w:pPr>
              <w:pageBreakBefore w:val="0"/>
              <w:wordWrap/>
              <w:overflowPunct/>
              <w:topLinePunct w:val="0"/>
              <w:bidi w:val="0"/>
              <w:spacing w:line="360" w:lineRule="auto"/>
              <w:jc w:val="center"/>
              <w:rPr>
                <w:rFonts w:hint="eastAsia" w:ascii="宋体" w:hAnsi="宋体" w:eastAsia="宋体" w:cs="宋体"/>
                <w:color w:val="000000"/>
                <w:sz w:val="24"/>
                <w:szCs w:val="24"/>
              </w:rPr>
            </w:pPr>
          </w:p>
        </w:tc>
      </w:tr>
      <w:tr w14:paraId="6A705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09" w:type="dxa"/>
            <w:noWrap w:val="0"/>
            <w:vAlign w:val="center"/>
          </w:tcPr>
          <w:p w14:paraId="5DC6E689">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3273" w:type="dxa"/>
            <w:noWrap w:val="0"/>
            <w:vAlign w:val="center"/>
          </w:tcPr>
          <w:p w14:paraId="67199017">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3024" w:type="dxa"/>
            <w:noWrap w:val="0"/>
            <w:vAlign w:val="center"/>
          </w:tcPr>
          <w:p w14:paraId="6E2CC4F2">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399" w:type="dxa"/>
            <w:noWrap w:val="0"/>
            <w:vAlign w:val="center"/>
          </w:tcPr>
          <w:p w14:paraId="31A51524">
            <w:pPr>
              <w:pageBreakBefore w:val="0"/>
              <w:wordWrap/>
              <w:overflowPunct/>
              <w:topLinePunct w:val="0"/>
              <w:bidi w:val="0"/>
              <w:spacing w:line="360" w:lineRule="auto"/>
              <w:jc w:val="center"/>
              <w:rPr>
                <w:rFonts w:hint="eastAsia" w:ascii="宋体" w:hAnsi="宋体" w:eastAsia="宋体" w:cs="宋体"/>
                <w:color w:val="000000"/>
                <w:sz w:val="24"/>
                <w:szCs w:val="24"/>
              </w:rPr>
            </w:pPr>
          </w:p>
        </w:tc>
      </w:tr>
    </w:tbl>
    <w:p w14:paraId="4F254F0A">
      <w:pPr>
        <w:pageBreakBefore w:val="0"/>
        <w:wordWrap/>
        <w:overflowPunct/>
        <w:topLinePunct w:val="0"/>
        <w:bidi w:val="0"/>
        <w:spacing w:line="360" w:lineRule="auto"/>
        <w:ind w:firstLine="480"/>
        <w:rPr>
          <w:rFonts w:hint="eastAsia" w:ascii="宋体" w:hAnsi="宋体" w:eastAsia="宋体" w:cs="宋体"/>
          <w:color w:val="000000"/>
          <w:sz w:val="24"/>
          <w:szCs w:val="24"/>
        </w:rPr>
      </w:pPr>
    </w:p>
    <w:p w14:paraId="1F01C342">
      <w:pPr>
        <w:pageBreakBefore w:val="0"/>
        <w:wordWrap/>
        <w:overflowPunct/>
        <w:topLinePunct w:val="0"/>
        <w:bidi w:val="0"/>
        <w:spacing w:line="360" w:lineRule="auto"/>
        <w:ind w:firstLine="480"/>
        <w:rPr>
          <w:rFonts w:hint="eastAsia" w:ascii="宋体" w:hAnsi="宋体" w:eastAsia="宋体" w:cs="宋体"/>
          <w:color w:val="000000"/>
          <w:sz w:val="24"/>
          <w:szCs w:val="24"/>
        </w:rPr>
      </w:pPr>
    </w:p>
    <w:p w14:paraId="5E2B5B1D">
      <w:pPr>
        <w:pageBreakBefore w:val="0"/>
        <w:wordWrap/>
        <w:overflowPunct/>
        <w:topLinePunct w:val="0"/>
        <w:bidi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投标人（盖章）：</w:t>
      </w:r>
    </w:p>
    <w:p w14:paraId="12899EAE">
      <w:pPr>
        <w:pageBreakBefore w:val="0"/>
        <w:wordWrap/>
        <w:overflowPunct/>
        <w:topLinePunct w:val="0"/>
        <w:bidi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法定代表人（单位负责人）或委托代理人（签字或盖章）：</w:t>
      </w:r>
    </w:p>
    <w:p w14:paraId="4CAE4CE0">
      <w:pPr>
        <w:pageBreakBefore w:val="0"/>
        <w:wordWrap/>
        <w:overflowPunct/>
        <w:topLinePunct w:val="0"/>
        <w:bidi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2DE0486B">
      <w:pPr>
        <w:pageBreakBefore w:val="0"/>
        <w:wordWrap/>
        <w:overflowPunct/>
        <w:topLinePunct w:val="0"/>
        <w:bidi w:val="0"/>
        <w:spacing w:line="360" w:lineRule="auto"/>
        <w:rPr>
          <w:rFonts w:hint="eastAsia" w:ascii="宋体" w:hAnsi="宋体" w:eastAsia="宋体" w:cs="宋体"/>
          <w:color w:val="000000"/>
        </w:rPr>
      </w:pPr>
    </w:p>
    <w:p w14:paraId="6CF056A3">
      <w:pPr>
        <w:pageBreakBefore w:val="0"/>
        <w:wordWrap/>
        <w:overflowPunct/>
        <w:topLinePunct w:val="0"/>
        <w:bidi w:val="0"/>
        <w:spacing w:line="360" w:lineRule="auto"/>
        <w:rPr>
          <w:rFonts w:hint="eastAsia" w:ascii="宋体" w:hAnsi="宋体" w:eastAsia="宋体" w:cs="宋体"/>
          <w:color w:val="000000"/>
        </w:rPr>
      </w:pPr>
    </w:p>
    <w:p w14:paraId="2C73C6FC">
      <w:pPr>
        <w:pageBreakBefore w:val="0"/>
        <w:wordWrap/>
        <w:overflowPunct/>
        <w:topLinePunct w:val="0"/>
        <w:bidi w:val="0"/>
        <w:spacing w:line="360" w:lineRule="auto"/>
        <w:rPr>
          <w:rFonts w:hint="eastAsia" w:ascii="宋体" w:hAnsi="宋体" w:eastAsia="宋体" w:cs="宋体"/>
          <w:color w:val="000000"/>
        </w:rPr>
      </w:pPr>
    </w:p>
    <w:p w14:paraId="62982F24">
      <w:pPr>
        <w:pageBreakBefore w:val="0"/>
        <w:wordWrap/>
        <w:overflowPunct/>
        <w:topLinePunct w:val="0"/>
        <w:bidi w:val="0"/>
        <w:spacing w:line="360" w:lineRule="auto"/>
        <w:rPr>
          <w:rFonts w:hint="eastAsia" w:ascii="宋体" w:hAnsi="宋体" w:eastAsia="宋体" w:cs="宋体"/>
          <w:color w:val="000000"/>
        </w:rPr>
      </w:pPr>
    </w:p>
    <w:p w14:paraId="352AD10F">
      <w:pPr>
        <w:pageBreakBefore w:val="0"/>
        <w:wordWrap/>
        <w:overflowPunct/>
        <w:topLinePunct w:val="0"/>
        <w:bidi w:val="0"/>
        <w:spacing w:line="360" w:lineRule="auto"/>
        <w:rPr>
          <w:rFonts w:hint="eastAsia" w:ascii="宋体" w:hAnsi="宋体" w:eastAsia="宋体" w:cs="宋体"/>
          <w:color w:val="000000"/>
        </w:rPr>
      </w:pPr>
    </w:p>
    <w:p w14:paraId="61554058">
      <w:pPr>
        <w:keepNext/>
        <w:keepLines/>
        <w:pageBreakBefore w:val="0"/>
        <w:wordWrap/>
        <w:overflowPunct/>
        <w:topLinePunct w:val="0"/>
        <w:bidi w:val="0"/>
        <w:spacing w:before="360" w:after="200" w:line="360" w:lineRule="auto"/>
        <w:jc w:val="left"/>
        <w:outlineLvl w:val="1"/>
        <w:rPr>
          <w:rFonts w:hint="eastAsia" w:ascii="宋体" w:hAnsi="宋体" w:eastAsia="宋体" w:cs="宋体"/>
          <w:i/>
          <w:iCs/>
          <w:color w:val="000000"/>
          <w:sz w:val="36"/>
          <w:u w:val="single"/>
        </w:rPr>
      </w:pPr>
      <w:bookmarkStart w:id="8" w:name="_Hlt26955054"/>
      <w:bookmarkEnd w:id="8"/>
      <w:r>
        <w:rPr>
          <w:rFonts w:hint="eastAsia" w:ascii="宋体" w:hAnsi="宋体" w:eastAsia="宋体" w:cs="宋体"/>
          <w:i/>
          <w:iCs/>
          <w:color w:val="000000"/>
          <w:sz w:val="36"/>
          <w:u w:val="single"/>
        </w:rPr>
        <w:t>十</w:t>
      </w:r>
      <w:r>
        <w:rPr>
          <w:rFonts w:hint="eastAsia" w:ascii="宋体" w:hAnsi="宋体" w:eastAsia="宋体" w:cs="宋体"/>
          <w:i/>
          <w:iCs/>
          <w:color w:val="000000"/>
          <w:sz w:val="36"/>
          <w:u w:val="single"/>
          <w:lang w:val="en-US" w:eastAsia="zh-CN"/>
        </w:rPr>
        <w:t>六</w:t>
      </w:r>
      <w:r>
        <w:rPr>
          <w:rFonts w:hint="eastAsia" w:ascii="宋体" w:hAnsi="宋体" w:eastAsia="宋体" w:cs="宋体"/>
          <w:i/>
          <w:iCs/>
          <w:color w:val="000000"/>
          <w:sz w:val="36"/>
          <w:u w:val="single"/>
        </w:rPr>
        <w:t>、商务要求响应及偏离表（分包号：**）</w:t>
      </w:r>
    </w:p>
    <w:p w14:paraId="58B49AD0">
      <w:pPr>
        <w:pageBreakBefore w:val="0"/>
        <w:tabs>
          <w:tab w:val="left" w:pos="360"/>
        </w:tabs>
        <w:wordWrap/>
        <w:overflowPunct/>
        <w:topLinePunct w:val="0"/>
        <w:bidi w:val="0"/>
        <w:spacing w:line="360" w:lineRule="auto"/>
        <w:jc w:val="center"/>
        <w:rPr>
          <w:rFonts w:hint="eastAsia" w:ascii="宋体" w:hAnsi="宋体" w:eastAsia="宋体" w:cs="宋体"/>
          <w:bCs/>
          <w:color w:val="000000"/>
          <w:sz w:val="36"/>
          <w:szCs w:val="28"/>
        </w:rPr>
      </w:pPr>
      <w:r>
        <w:rPr>
          <w:rFonts w:hint="eastAsia" w:ascii="宋体" w:hAnsi="宋体" w:eastAsia="宋体" w:cs="宋体"/>
          <w:bCs/>
          <w:color w:val="000000"/>
          <w:sz w:val="36"/>
          <w:szCs w:val="28"/>
        </w:rPr>
        <w:t>商务要求响应及偏离表</w:t>
      </w:r>
    </w:p>
    <w:p w14:paraId="15964ABD">
      <w:pPr>
        <w:pageBreakBefore w:val="0"/>
        <w:wordWrap/>
        <w:overflowPunct/>
        <w:topLinePunct w:val="0"/>
        <w:bidi w:val="0"/>
        <w:spacing w:line="360" w:lineRule="auto"/>
        <w:jc w:val="left"/>
        <w:rPr>
          <w:rFonts w:hint="eastAsia" w:ascii="宋体" w:hAnsi="宋体" w:eastAsia="宋体" w:cs="宋体"/>
          <w:color w:val="000000"/>
        </w:rPr>
      </w:pPr>
      <w:r>
        <w:rPr>
          <w:rFonts w:hint="eastAsia" w:ascii="宋体" w:hAnsi="宋体" w:eastAsia="宋体" w:cs="宋体"/>
          <w:color w:val="000000"/>
          <w:sz w:val="24"/>
          <w:szCs w:val="24"/>
        </w:rPr>
        <w:t>项目名称：      项目编号：      分包号：</w:t>
      </w:r>
      <w:r>
        <w:rPr>
          <w:rFonts w:hint="eastAsia" w:ascii="宋体" w:hAnsi="宋体" w:eastAsia="宋体" w:cs="宋体"/>
          <w:bCs/>
          <w:color w:val="000000"/>
          <w:sz w:val="24"/>
          <w:szCs w:val="24"/>
        </w:rPr>
        <w:t xml:space="preserve"> </w:t>
      </w:r>
    </w:p>
    <w:tbl>
      <w:tblPr>
        <w:tblStyle w:val="28"/>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263"/>
        <w:gridCol w:w="3034"/>
        <w:gridCol w:w="1391"/>
      </w:tblGrid>
      <w:tr w14:paraId="339E6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17" w:type="dxa"/>
            <w:noWrap w:val="0"/>
            <w:vAlign w:val="center"/>
          </w:tcPr>
          <w:p w14:paraId="60203BA7">
            <w:pPr>
              <w:pageBreakBefore w:val="0"/>
              <w:wordWrap/>
              <w:overflowPunct/>
              <w:topLinePunct w:val="0"/>
              <w:bidi w:val="0"/>
              <w:spacing w:line="360" w:lineRule="auto"/>
              <w:jc w:val="center"/>
              <w:rPr>
                <w:rFonts w:hint="eastAsia" w:ascii="宋体" w:hAnsi="宋体" w:eastAsia="宋体" w:cs="宋体"/>
                <w:color w:val="000000"/>
                <w:sz w:val="24"/>
                <w:szCs w:val="24"/>
              </w:rPr>
            </w:pPr>
            <w:bookmarkStart w:id="9" w:name="_Hlt26671372"/>
            <w:bookmarkEnd w:id="9"/>
            <w:bookmarkStart w:id="10" w:name="_Hlt26955064"/>
            <w:bookmarkEnd w:id="10"/>
            <w:bookmarkStart w:id="11" w:name="_Hlt26782999"/>
            <w:bookmarkEnd w:id="11"/>
            <w:bookmarkStart w:id="12" w:name="_Hlt26955056"/>
            <w:bookmarkEnd w:id="12"/>
            <w:bookmarkStart w:id="13" w:name="_Hlt26580838"/>
            <w:bookmarkEnd w:id="13"/>
            <w:bookmarkStart w:id="14" w:name="_Hlt26609391"/>
            <w:bookmarkEnd w:id="14"/>
            <w:bookmarkStart w:id="15" w:name="_Hlt26671343"/>
            <w:bookmarkEnd w:id="15"/>
            <w:bookmarkStart w:id="16" w:name="_Hlt24879081"/>
            <w:bookmarkEnd w:id="16"/>
            <w:r>
              <w:rPr>
                <w:rFonts w:hint="eastAsia" w:ascii="宋体" w:hAnsi="宋体" w:eastAsia="宋体" w:cs="宋体"/>
                <w:color w:val="000000"/>
                <w:sz w:val="24"/>
                <w:szCs w:val="24"/>
              </w:rPr>
              <w:t>序号</w:t>
            </w:r>
          </w:p>
        </w:tc>
        <w:tc>
          <w:tcPr>
            <w:tcW w:w="3263" w:type="dxa"/>
            <w:noWrap w:val="0"/>
            <w:vAlign w:val="center"/>
          </w:tcPr>
          <w:p w14:paraId="13BB7DD3">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招标文件要求</w:t>
            </w:r>
          </w:p>
        </w:tc>
        <w:tc>
          <w:tcPr>
            <w:tcW w:w="3034" w:type="dxa"/>
            <w:noWrap w:val="0"/>
            <w:vAlign w:val="center"/>
          </w:tcPr>
          <w:p w14:paraId="20B02739">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投标响应情况</w:t>
            </w:r>
          </w:p>
        </w:tc>
        <w:tc>
          <w:tcPr>
            <w:tcW w:w="1391" w:type="dxa"/>
            <w:noWrap w:val="0"/>
            <w:vAlign w:val="center"/>
          </w:tcPr>
          <w:p w14:paraId="6691021F">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超出、符合或偏离</w:t>
            </w:r>
          </w:p>
        </w:tc>
      </w:tr>
      <w:tr w14:paraId="67ADF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7" w:type="dxa"/>
            <w:noWrap w:val="0"/>
            <w:vAlign w:val="center"/>
          </w:tcPr>
          <w:p w14:paraId="0180DEC9">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263" w:type="dxa"/>
            <w:noWrap w:val="0"/>
            <w:vAlign w:val="center"/>
          </w:tcPr>
          <w:p w14:paraId="03583993">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3034" w:type="dxa"/>
            <w:noWrap w:val="0"/>
            <w:vAlign w:val="center"/>
          </w:tcPr>
          <w:p w14:paraId="27ED458E">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391" w:type="dxa"/>
            <w:noWrap w:val="0"/>
            <w:vAlign w:val="center"/>
          </w:tcPr>
          <w:p w14:paraId="6CE08780">
            <w:pPr>
              <w:pageBreakBefore w:val="0"/>
              <w:wordWrap/>
              <w:overflowPunct/>
              <w:topLinePunct w:val="0"/>
              <w:bidi w:val="0"/>
              <w:spacing w:line="360" w:lineRule="auto"/>
              <w:jc w:val="center"/>
              <w:rPr>
                <w:rFonts w:hint="eastAsia" w:ascii="宋体" w:hAnsi="宋体" w:eastAsia="宋体" w:cs="宋体"/>
                <w:color w:val="000000"/>
                <w:sz w:val="24"/>
                <w:szCs w:val="24"/>
              </w:rPr>
            </w:pPr>
          </w:p>
        </w:tc>
      </w:tr>
      <w:tr w14:paraId="1F526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7" w:type="dxa"/>
            <w:noWrap w:val="0"/>
            <w:vAlign w:val="center"/>
          </w:tcPr>
          <w:p w14:paraId="7BD51B21">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263" w:type="dxa"/>
            <w:noWrap w:val="0"/>
            <w:vAlign w:val="center"/>
          </w:tcPr>
          <w:p w14:paraId="501D7FE5">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3034" w:type="dxa"/>
            <w:noWrap w:val="0"/>
            <w:vAlign w:val="center"/>
          </w:tcPr>
          <w:p w14:paraId="3E1D8B9A">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391" w:type="dxa"/>
            <w:noWrap w:val="0"/>
            <w:vAlign w:val="center"/>
          </w:tcPr>
          <w:p w14:paraId="70E6EAFC">
            <w:pPr>
              <w:pageBreakBefore w:val="0"/>
              <w:wordWrap/>
              <w:overflowPunct/>
              <w:topLinePunct w:val="0"/>
              <w:bidi w:val="0"/>
              <w:spacing w:line="360" w:lineRule="auto"/>
              <w:jc w:val="center"/>
              <w:rPr>
                <w:rFonts w:hint="eastAsia" w:ascii="宋体" w:hAnsi="宋体" w:eastAsia="宋体" w:cs="宋体"/>
                <w:color w:val="000000"/>
                <w:sz w:val="24"/>
                <w:szCs w:val="24"/>
              </w:rPr>
            </w:pPr>
          </w:p>
        </w:tc>
      </w:tr>
      <w:tr w14:paraId="751F1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7" w:type="dxa"/>
            <w:noWrap w:val="0"/>
            <w:vAlign w:val="center"/>
          </w:tcPr>
          <w:p w14:paraId="7DFFA756">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263" w:type="dxa"/>
            <w:noWrap w:val="0"/>
            <w:vAlign w:val="center"/>
          </w:tcPr>
          <w:p w14:paraId="2764DA07">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3034" w:type="dxa"/>
            <w:noWrap w:val="0"/>
            <w:vAlign w:val="center"/>
          </w:tcPr>
          <w:p w14:paraId="52931439">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391" w:type="dxa"/>
            <w:noWrap w:val="0"/>
            <w:vAlign w:val="center"/>
          </w:tcPr>
          <w:p w14:paraId="42AA6A2E">
            <w:pPr>
              <w:pageBreakBefore w:val="0"/>
              <w:wordWrap/>
              <w:overflowPunct/>
              <w:topLinePunct w:val="0"/>
              <w:bidi w:val="0"/>
              <w:spacing w:line="360" w:lineRule="auto"/>
              <w:jc w:val="center"/>
              <w:rPr>
                <w:rFonts w:hint="eastAsia" w:ascii="宋体" w:hAnsi="宋体" w:eastAsia="宋体" w:cs="宋体"/>
                <w:color w:val="000000"/>
                <w:sz w:val="24"/>
                <w:szCs w:val="24"/>
              </w:rPr>
            </w:pPr>
          </w:p>
        </w:tc>
      </w:tr>
      <w:tr w14:paraId="0764C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7" w:type="dxa"/>
            <w:noWrap w:val="0"/>
            <w:vAlign w:val="center"/>
          </w:tcPr>
          <w:p w14:paraId="11E8F39C">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3263" w:type="dxa"/>
            <w:noWrap w:val="0"/>
            <w:vAlign w:val="center"/>
          </w:tcPr>
          <w:p w14:paraId="73F46A5B">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3034" w:type="dxa"/>
            <w:noWrap w:val="0"/>
            <w:vAlign w:val="center"/>
          </w:tcPr>
          <w:p w14:paraId="7193556D">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391" w:type="dxa"/>
            <w:noWrap w:val="0"/>
            <w:vAlign w:val="center"/>
          </w:tcPr>
          <w:p w14:paraId="65A724C2">
            <w:pPr>
              <w:pageBreakBefore w:val="0"/>
              <w:wordWrap/>
              <w:overflowPunct/>
              <w:topLinePunct w:val="0"/>
              <w:bidi w:val="0"/>
              <w:spacing w:line="360" w:lineRule="auto"/>
              <w:jc w:val="center"/>
              <w:rPr>
                <w:rFonts w:hint="eastAsia" w:ascii="宋体" w:hAnsi="宋体" w:eastAsia="宋体" w:cs="宋体"/>
                <w:color w:val="000000"/>
                <w:sz w:val="24"/>
                <w:szCs w:val="24"/>
              </w:rPr>
            </w:pPr>
          </w:p>
        </w:tc>
      </w:tr>
    </w:tbl>
    <w:p w14:paraId="62265EFB">
      <w:pPr>
        <w:pageBreakBefore w:val="0"/>
        <w:wordWrap/>
        <w:overflowPunct/>
        <w:topLinePunct w:val="0"/>
        <w:bidi w:val="0"/>
        <w:spacing w:line="360" w:lineRule="auto"/>
        <w:ind w:firstLine="480"/>
        <w:rPr>
          <w:rFonts w:hint="eastAsia" w:ascii="宋体" w:hAnsi="宋体" w:eastAsia="宋体" w:cs="宋体"/>
          <w:color w:val="000000"/>
          <w:sz w:val="24"/>
          <w:szCs w:val="24"/>
        </w:rPr>
      </w:pPr>
    </w:p>
    <w:p w14:paraId="0B3FCD31">
      <w:pPr>
        <w:pageBreakBefore w:val="0"/>
        <w:wordWrap/>
        <w:overflowPunct/>
        <w:topLinePunct w:val="0"/>
        <w:bidi w:val="0"/>
        <w:spacing w:line="360" w:lineRule="auto"/>
        <w:ind w:firstLine="480"/>
        <w:rPr>
          <w:rFonts w:hint="eastAsia" w:ascii="宋体" w:hAnsi="宋体" w:eastAsia="宋体" w:cs="宋体"/>
          <w:color w:val="000000"/>
          <w:sz w:val="24"/>
          <w:szCs w:val="24"/>
        </w:rPr>
      </w:pPr>
    </w:p>
    <w:p w14:paraId="3E1B0A4B">
      <w:pPr>
        <w:pageBreakBefore w:val="0"/>
        <w:wordWrap/>
        <w:overflowPunct/>
        <w:topLinePunct w:val="0"/>
        <w:bidi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投标人（盖章）：</w:t>
      </w:r>
    </w:p>
    <w:p w14:paraId="23A1E9A9">
      <w:pPr>
        <w:pageBreakBefore w:val="0"/>
        <w:wordWrap/>
        <w:overflowPunct/>
        <w:topLinePunct w:val="0"/>
        <w:bidi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法定代表人（单位负责人）或委托代理人（签字或盖章）：</w:t>
      </w:r>
    </w:p>
    <w:p w14:paraId="76A044C9">
      <w:pPr>
        <w:pageBreakBefore w:val="0"/>
        <w:wordWrap/>
        <w:overflowPunct/>
        <w:topLinePunct w:val="0"/>
        <w:bidi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7F8B5D09">
      <w:pPr>
        <w:pageBreakBefore w:val="0"/>
        <w:wordWrap/>
        <w:overflowPunct/>
        <w:topLinePunct w:val="0"/>
        <w:bidi w:val="0"/>
        <w:spacing w:line="360" w:lineRule="auto"/>
        <w:rPr>
          <w:rFonts w:hint="eastAsia" w:ascii="宋体" w:hAnsi="宋体" w:eastAsia="宋体" w:cs="宋体"/>
          <w:color w:val="000000"/>
        </w:rPr>
      </w:pPr>
      <w:bookmarkStart w:id="17" w:name="_Hlt26609389"/>
      <w:bookmarkEnd w:id="17"/>
      <w:bookmarkStart w:id="18" w:name="_格式2__法定代表人授权书"/>
      <w:bookmarkEnd w:id="18"/>
      <w:bookmarkStart w:id="19" w:name="_Hlt26671374"/>
      <w:bookmarkEnd w:id="19"/>
      <w:bookmarkStart w:id="20" w:name="_Hlt26955066"/>
      <w:bookmarkEnd w:id="20"/>
    </w:p>
    <w:p w14:paraId="5BB9ACCC">
      <w:pPr>
        <w:pageBreakBefore w:val="0"/>
        <w:wordWrap/>
        <w:overflowPunct/>
        <w:topLinePunct w:val="0"/>
        <w:bidi w:val="0"/>
        <w:spacing w:line="360" w:lineRule="auto"/>
        <w:rPr>
          <w:rFonts w:hint="eastAsia" w:ascii="宋体" w:hAnsi="宋体" w:eastAsia="宋体" w:cs="宋体"/>
          <w:color w:val="000000"/>
        </w:rPr>
      </w:pPr>
    </w:p>
    <w:p w14:paraId="6E9D8F42">
      <w:pPr>
        <w:pageBreakBefore w:val="0"/>
        <w:wordWrap/>
        <w:overflowPunct/>
        <w:topLinePunct w:val="0"/>
        <w:bidi w:val="0"/>
        <w:spacing w:line="360" w:lineRule="auto"/>
        <w:rPr>
          <w:rFonts w:hint="eastAsia" w:ascii="宋体" w:hAnsi="宋体" w:eastAsia="宋体" w:cs="宋体"/>
          <w:color w:val="000000"/>
        </w:rPr>
      </w:pPr>
    </w:p>
    <w:p w14:paraId="78204BC5">
      <w:pPr>
        <w:pageBreakBefore w:val="0"/>
        <w:wordWrap/>
        <w:overflowPunct/>
        <w:topLinePunct w:val="0"/>
        <w:bidi w:val="0"/>
        <w:spacing w:line="360" w:lineRule="auto"/>
        <w:rPr>
          <w:rFonts w:hint="eastAsia" w:ascii="宋体" w:hAnsi="宋体" w:eastAsia="宋体" w:cs="宋体"/>
          <w:color w:val="000000"/>
        </w:rPr>
      </w:pPr>
    </w:p>
    <w:p w14:paraId="20F29C64">
      <w:pPr>
        <w:pageBreakBefore w:val="0"/>
        <w:wordWrap/>
        <w:overflowPunct/>
        <w:topLinePunct w:val="0"/>
        <w:bidi w:val="0"/>
        <w:spacing w:line="360" w:lineRule="auto"/>
        <w:rPr>
          <w:rFonts w:hint="eastAsia" w:ascii="宋体" w:hAnsi="宋体" w:eastAsia="宋体" w:cs="宋体"/>
          <w:color w:val="000000"/>
        </w:rPr>
      </w:pPr>
    </w:p>
    <w:p w14:paraId="1F5BE75F">
      <w:pPr>
        <w:keepNext/>
        <w:keepLines/>
        <w:pageBreakBefore w:val="0"/>
        <w:wordWrap/>
        <w:overflowPunct/>
        <w:topLinePunct w:val="0"/>
        <w:bidi w:val="0"/>
        <w:spacing w:before="360" w:after="200" w:line="360" w:lineRule="auto"/>
        <w:jc w:val="left"/>
        <w:outlineLvl w:val="1"/>
        <w:rPr>
          <w:rFonts w:hint="eastAsia" w:ascii="宋体" w:hAnsi="宋体" w:eastAsia="宋体" w:cs="宋体"/>
          <w:iCs/>
          <w:color w:val="000000"/>
          <w:sz w:val="36"/>
        </w:rPr>
      </w:pPr>
      <w:r>
        <w:rPr>
          <w:rFonts w:hint="eastAsia" w:ascii="宋体" w:hAnsi="宋体" w:eastAsia="宋体" w:cs="宋体"/>
          <w:iCs/>
          <w:color w:val="000000"/>
          <w:sz w:val="36"/>
          <w:lang w:val="en-US" w:eastAsia="zh-CN"/>
        </w:rPr>
        <w:t>十七</w:t>
      </w:r>
      <w:r>
        <w:rPr>
          <w:rFonts w:hint="eastAsia" w:ascii="宋体" w:hAnsi="宋体" w:eastAsia="宋体" w:cs="宋体"/>
          <w:iCs/>
          <w:color w:val="000000"/>
          <w:sz w:val="36"/>
        </w:rPr>
        <w:t>、类似项目业绩一览表（分包号：**）</w:t>
      </w:r>
    </w:p>
    <w:p w14:paraId="1C40ADE5">
      <w:pPr>
        <w:pageBreakBefore w:val="0"/>
        <w:tabs>
          <w:tab w:val="left" w:pos="360"/>
        </w:tabs>
        <w:wordWrap/>
        <w:overflowPunct/>
        <w:topLinePunct w:val="0"/>
        <w:bidi w:val="0"/>
        <w:spacing w:line="360" w:lineRule="auto"/>
        <w:jc w:val="center"/>
        <w:rPr>
          <w:rFonts w:hint="eastAsia" w:ascii="宋体" w:hAnsi="宋体" w:eastAsia="宋体" w:cs="宋体"/>
          <w:bCs/>
          <w:color w:val="000000"/>
          <w:sz w:val="36"/>
          <w:szCs w:val="28"/>
        </w:rPr>
      </w:pPr>
      <w:r>
        <w:rPr>
          <w:rFonts w:hint="eastAsia" w:ascii="宋体" w:hAnsi="宋体" w:eastAsia="宋体" w:cs="宋体"/>
          <w:bCs/>
          <w:color w:val="000000"/>
          <w:sz w:val="36"/>
          <w:szCs w:val="28"/>
        </w:rPr>
        <w:t>类似项目业绩一览表</w:t>
      </w:r>
    </w:p>
    <w:p w14:paraId="32644267">
      <w:pPr>
        <w:pageBreakBefore w:val="0"/>
        <w:wordWrap/>
        <w:overflowPunct/>
        <w:topLinePunct w:val="0"/>
        <w:bidi w:val="0"/>
        <w:spacing w:line="360" w:lineRule="auto"/>
        <w:jc w:val="left"/>
        <w:rPr>
          <w:rFonts w:hint="eastAsia" w:ascii="宋体" w:hAnsi="宋体" w:eastAsia="宋体" w:cs="宋体"/>
          <w:color w:val="000000"/>
        </w:rPr>
      </w:pPr>
      <w:r>
        <w:rPr>
          <w:rFonts w:hint="eastAsia" w:ascii="宋体" w:hAnsi="宋体" w:eastAsia="宋体" w:cs="宋体"/>
          <w:color w:val="000000"/>
          <w:sz w:val="24"/>
          <w:szCs w:val="24"/>
        </w:rPr>
        <w:t>项目名称：      项目编号：      分包号：</w:t>
      </w:r>
      <w:r>
        <w:rPr>
          <w:rFonts w:hint="eastAsia" w:ascii="宋体" w:hAnsi="宋体" w:eastAsia="宋体" w:cs="宋体"/>
          <w:bCs/>
          <w:color w:val="000000"/>
          <w:sz w:val="24"/>
          <w:szCs w:val="24"/>
        </w:rPr>
        <w:t xml:space="preserve"> </w:t>
      </w:r>
    </w:p>
    <w:tbl>
      <w:tblPr>
        <w:tblStyle w:val="28"/>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686"/>
        <w:gridCol w:w="1850"/>
        <w:gridCol w:w="1985"/>
        <w:gridCol w:w="1309"/>
      </w:tblGrid>
      <w:tr w14:paraId="5474A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675" w:type="dxa"/>
            <w:noWrap w:val="0"/>
            <w:vAlign w:val="center"/>
          </w:tcPr>
          <w:p w14:paraId="64A02C27">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686" w:type="dxa"/>
            <w:noWrap w:val="0"/>
            <w:vAlign w:val="center"/>
          </w:tcPr>
          <w:p w14:paraId="21957B3D">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1850" w:type="dxa"/>
            <w:noWrap w:val="0"/>
            <w:vAlign w:val="center"/>
          </w:tcPr>
          <w:p w14:paraId="5E491EA7">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签订时间</w:t>
            </w:r>
          </w:p>
        </w:tc>
        <w:tc>
          <w:tcPr>
            <w:tcW w:w="1985" w:type="dxa"/>
            <w:noWrap w:val="0"/>
            <w:vAlign w:val="center"/>
          </w:tcPr>
          <w:p w14:paraId="3A479367">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采购单位</w:t>
            </w:r>
          </w:p>
        </w:tc>
        <w:tc>
          <w:tcPr>
            <w:tcW w:w="1309" w:type="dxa"/>
            <w:noWrap w:val="0"/>
            <w:vAlign w:val="center"/>
          </w:tcPr>
          <w:p w14:paraId="4288E55C">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主要标的</w:t>
            </w:r>
          </w:p>
        </w:tc>
      </w:tr>
      <w:tr w14:paraId="60BE8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675" w:type="dxa"/>
            <w:noWrap w:val="0"/>
            <w:vAlign w:val="center"/>
          </w:tcPr>
          <w:p w14:paraId="2A84C9B9">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686" w:type="dxa"/>
            <w:noWrap w:val="0"/>
            <w:vAlign w:val="center"/>
          </w:tcPr>
          <w:p w14:paraId="265407CA">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850" w:type="dxa"/>
            <w:noWrap w:val="0"/>
            <w:vAlign w:val="top"/>
          </w:tcPr>
          <w:p w14:paraId="37A79886">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985" w:type="dxa"/>
            <w:noWrap w:val="0"/>
            <w:vAlign w:val="center"/>
          </w:tcPr>
          <w:p w14:paraId="5D9C5FDF">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309" w:type="dxa"/>
            <w:noWrap w:val="0"/>
            <w:vAlign w:val="center"/>
          </w:tcPr>
          <w:p w14:paraId="76620C3A">
            <w:pPr>
              <w:pageBreakBefore w:val="0"/>
              <w:wordWrap/>
              <w:overflowPunct/>
              <w:topLinePunct w:val="0"/>
              <w:bidi w:val="0"/>
              <w:spacing w:line="360" w:lineRule="auto"/>
              <w:jc w:val="center"/>
              <w:rPr>
                <w:rFonts w:hint="eastAsia" w:ascii="宋体" w:hAnsi="宋体" w:eastAsia="宋体" w:cs="宋体"/>
                <w:color w:val="000000"/>
                <w:sz w:val="24"/>
                <w:szCs w:val="24"/>
              </w:rPr>
            </w:pPr>
          </w:p>
        </w:tc>
      </w:tr>
      <w:tr w14:paraId="56891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675" w:type="dxa"/>
            <w:noWrap w:val="0"/>
            <w:vAlign w:val="center"/>
          </w:tcPr>
          <w:p w14:paraId="47398101">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686" w:type="dxa"/>
            <w:noWrap w:val="0"/>
            <w:vAlign w:val="center"/>
          </w:tcPr>
          <w:p w14:paraId="2CAAB918">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850" w:type="dxa"/>
            <w:noWrap w:val="0"/>
            <w:vAlign w:val="top"/>
          </w:tcPr>
          <w:p w14:paraId="78091B8A">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985" w:type="dxa"/>
            <w:noWrap w:val="0"/>
            <w:vAlign w:val="center"/>
          </w:tcPr>
          <w:p w14:paraId="241C74ED">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309" w:type="dxa"/>
            <w:noWrap w:val="0"/>
            <w:vAlign w:val="center"/>
          </w:tcPr>
          <w:p w14:paraId="109F3D99">
            <w:pPr>
              <w:pageBreakBefore w:val="0"/>
              <w:wordWrap/>
              <w:overflowPunct/>
              <w:topLinePunct w:val="0"/>
              <w:bidi w:val="0"/>
              <w:spacing w:line="360" w:lineRule="auto"/>
              <w:jc w:val="center"/>
              <w:rPr>
                <w:rFonts w:hint="eastAsia" w:ascii="宋体" w:hAnsi="宋体" w:eastAsia="宋体" w:cs="宋体"/>
                <w:color w:val="000000"/>
                <w:sz w:val="24"/>
                <w:szCs w:val="24"/>
              </w:rPr>
            </w:pPr>
          </w:p>
        </w:tc>
      </w:tr>
      <w:tr w14:paraId="57AE9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675" w:type="dxa"/>
            <w:noWrap w:val="0"/>
            <w:vAlign w:val="center"/>
          </w:tcPr>
          <w:p w14:paraId="28383067">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686" w:type="dxa"/>
            <w:noWrap w:val="0"/>
            <w:vAlign w:val="center"/>
          </w:tcPr>
          <w:p w14:paraId="34F06BAF">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850" w:type="dxa"/>
            <w:noWrap w:val="0"/>
            <w:vAlign w:val="top"/>
          </w:tcPr>
          <w:p w14:paraId="7559A838">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985" w:type="dxa"/>
            <w:noWrap w:val="0"/>
            <w:vAlign w:val="center"/>
          </w:tcPr>
          <w:p w14:paraId="1F71DC0D">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309" w:type="dxa"/>
            <w:noWrap w:val="0"/>
            <w:vAlign w:val="center"/>
          </w:tcPr>
          <w:p w14:paraId="2DFB8DC7">
            <w:pPr>
              <w:pageBreakBefore w:val="0"/>
              <w:wordWrap/>
              <w:overflowPunct/>
              <w:topLinePunct w:val="0"/>
              <w:bidi w:val="0"/>
              <w:spacing w:line="360" w:lineRule="auto"/>
              <w:jc w:val="center"/>
              <w:rPr>
                <w:rFonts w:hint="eastAsia" w:ascii="宋体" w:hAnsi="宋体" w:eastAsia="宋体" w:cs="宋体"/>
                <w:color w:val="000000"/>
                <w:sz w:val="24"/>
                <w:szCs w:val="24"/>
              </w:rPr>
            </w:pPr>
          </w:p>
        </w:tc>
      </w:tr>
      <w:tr w14:paraId="7F2EB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675" w:type="dxa"/>
            <w:noWrap w:val="0"/>
            <w:vAlign w:val="center"/>
          </w:tcPr>
          <w:p w14:paraId="7118675C">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686" w:type="dxa"/>
            <w:noWrap w:val="0"/>
            <w:vAlign w:val="center"/>
          </w:tcPr>
          <w:p w14:paraId="3BB0B7E6">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850" w:type="dxa"/>
            <w:noWrap w:val="0"/>
            <w:vAlign w:val="top"/>
          </w:tcPr>
          <w:p w14:paraId="6D720746">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985" w:type="dxa"/>
            <w:noWrap w:val="0"/>
            <w:vAlign w:val="center"/>
          </w:tcPr>
          <w:p w14:paraId="32D3DE9E">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309" w:type="dxa"/>
            <w:noWrap w:val="0"/>
            <w:vAlign w:val="center"/>
          </w:tcPr>
          <w:p w14:paraId="79610859">
            <w:pPr>
              <w:pageBreakBefore w:val="0"/>
              <w:wordWrap/>
              <w:overflowPunct/>
              <w:topLinePunct w:val="0"/>
              <w:bidi w:val="0"/>
              <w:spacing w:line="360" w:lineRule="auto"/>
              <w:jc w:val="center"/>
              <w:rPr>
                <w:rFonts w:hint="eastAsia" w:ascii="宋体" w:hAnsi="宋体" w:eastAsia="宋体" w:cs="宋体"/>
                <w:color w:val="000000"/>
                <w:sz w:val="24"/>
                <w:szCs w:val="24"/>
              </w:rPr>
            </w:pPr>
          </w:p>
        </w:tc>
      </w:tr>
    </w:tbl>
    <w:p w14:paraId="51FB7789">
      <w:pPr>
        <w:pageBreakBefore w:val="0"/>
        <w:wordWrap/>
        <w:overflowPunct/>
        <w:topLinePunct w:val="0"/>
        <w:bidi w:val="0"/>
        <w:spacing w:line="360" w:lineRule="auto"/>
        <w:ind w:firstLine="480"/>
        <w:rPr>
          <w:rFonts w:hint="eastAsia" w:ascii="宋体" w:hAnsi="宋体" w:eastAsia="宋体" w:cs="宋体"/>
          <w:color w:val="000000"/>
          <w:sz w:val="24"/>
          <w:szCs w:val="24"/>
        </w:rPr>
      </w:pPr>
    </w:p>
    <w:p w14:paraId="03A0C320">
      <w:pPr>
        <w:pageBreakBefore w:val="0"/>
        <w:wordWrap/>
        <w:overflowPunct/>
        <w:topLinePunct w:val="0"/>
        <w:bidi w:val="0"/>
        <w:spacing w:line="360" w:lineRule="auto"/>
        <w:ind w:firstLine="480"/>
        <w:rPr>
          <w:rFonts w:hint="eastAsia" w:ascii="宋体" w:hAnsi="宋体" w:eastAsia="宋体" w:cs="宋体"/>
          <w:color w:val="000000"/>
          <w:sz w:val="24"/>
          <w:szCs w:val="24"/>
        </w:rPr>
      </w:pPr>
    </w:p>
    <w:p w14:paraId="6ED68D12">
      <w:pPr>
        <w:pageBreakBefore w:val="0"/>
        <w:wordWrap/>
        <w:overflowPunct/>
        <w:topLinePunct w:val="0"/>
        <w:bidi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投标人（盖章）：</w:t>
      </w:r>
    </w:p>
    <w:p w14:paraId="0F09D46B">
      <w:pPr>
        <w:pageBreakBefore w:val="0"/>
        <w:wordWrap/>
        <w:overflowPunct/>
        <w:topLinePunct w:val="0"/>
        <w:bidi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法定代表人（单位负责人）或委托代理人（签字或盖章）：</w:t>
      </w:r>
    </w:p>
    <w:p w14:paraId="694E17AF">
      <w:pPr>
        <w:pageBreakBefore w:val="0"/>
        <w:wordWrap/>
        <w:overflowPunct/>
        <w:topLinePunct w:val="0"/>
        <w:bidi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0469437B">
      <w:pPr>
        <w:pageBreakBefore w:val="0"/>
        <w:wordWrap/>
        <w:overflowPunct/>
        <w:topLinePunct w:val="0"/>
        <w:bidi w:val="0"/>
        <w:spacing w:line="360" w:lineRule="auto"/>
        <w:ind w:firstLine="480"/>
        <w:rPr>
          <w:rFonts w:hint="eastAsia" w:ascii="宋体" w:hAnsi="宋体" w:eastAsia="宋体" w:cs="宋体"/>
          <w:color w:val="000000"/>
          <w:sz w:val="24"/>
          <w:szCs w:val="24"/>
        </w:rPr>
      </w:pPr>
    </w:p>
    <w:p w14:paraId="5D3E6E8C">
      <w:pPr>
        <w:pageBreakBefore w:val="0"/>
        <w:wordWrap/>
        <w:overflowPunct/>
        <w:topLinePunct w:val="0"/>
        <w:bidi w:val="0"/>
        <w:spacing w:line="360" w:lineRule="auto"/>
        <w:ind w:firstLine="480"/>
        <w:rPr>
          <w:rFonts w:hint="eastAsia" w:ascii="宋体" w:hAnsi="宋体" w:eastAsia="宋体" w:cs="宋体"/>
          <w:color w:val="000000"/>
          <w:sz w:val="24"/>
          <w:szCs w:val="24"/>
        </w:rPr>
      </w:pPr>
    </w:p>
    <w:p w14:paraId="5AC3C28B">
      <w:pPr>
        <w:pageBreakBefore w:val="0"/>
        <w:wordWrap/>
        <w:overflowPunct/>
        <w:topLinePunct w:val="0"/>
        <w:bidi w:val="0"/>
        <w:spacing w:line="360" w:lineRule="auto"/>
        <w:ind w:firstLine="480"/>
        <w:rPr>
          <w:rFonts w:hint="eastAsia" w:ascii="宋体" w:hAnsi="宋体" w:eastAsia="宋体" w:cs="宋体"/>
          <w:color w:val="000000"/>
          <w:sz w:val="24"/>
          <w:szCs w:val="24"/>
        </w:rPr>
      </w:pPr>
    </w:p>
    <w:p w14:paraId="27C75851">
      <w:pPr>
        <w:pageBreakBefore w:val="0"/>
        <w:wordWrap/>
        <w:overflowPunct/>
        <w:topLinePunct w:val="0"/>
        <w:bidi w:val="0"/>
        <w:spacing w:line="360" w:lineRule="auto"/>
        <w:ind w:firstLine="480"/>
        <w:rPr>
          <w:rFonts w:hint="eastAsia" w:ascii="宋体" w:hAnsi="宋体" w:eastAsia="宋体" w:cs="宋体"/>
          <w:color w:val="000000"/>
          <w:sz w:val="24"/>
          <w:szCs w:val="24"/>
        </w:rPr>
      </w:pPr>
    </w:p>
    <w:p w14:paraId="1629C2D9">
      <w:pPr>
        <w:pageBreakBefore w:val="0"/>
        <w:wordWrap/>
        <w:overflowPunct/>
        <w:topLinePunct w:val="0"/>
        <w:bidi w:val="0"/>
        <w:spacing w:line="360" w:lineRule="auto"/>
        <w:rPr>
          <w:rFonts w:hint="eastAsia" w:ascii="宋体" w:hAnsi="宋体" w:eastAsia="宋体" w:cs="宋体"/>
          <w:color w:val="000000"/>
        </w:rPr>
      </w:pPr>
    </w:p>
    <w:p w14:paraId="01597173">
      <w:pPr>
        <w:pageBreakBefore w:val="0"/>
        <w:wordWrap/>
        <w:overflowPunct/>
        <w:topLinePunct w:val="0"/>
        <w:bidi w:val="0"/>
        <w:spacing w:line="360" w:lineRule="auto"/>
        <w:rPr>
          <w:rFonts w:hint="eastAsia" w:ascii="宋体" w:hAnsi="宋体" w:eastAsia="宋体" w:cs="宋体"/>
          <w:color w:val="000000"/>
        </w:rPr>
      </w:pPr>
    </w:p>
    <w:p w14:paraId="5640BE3D">
      <w:pPr>
        <w:keepNext/>
        <w:keepLines/>
        <w:pageBreakBefore w:val="0"/>
        <w:wordWrap/>
        <w:overflowPunct/>
        <w:topLinePunct w:val="0"/>
        <w:bidi w:val="0"/>
        <w:spacing w:before="360" w:after="200" w:line="360" w:lineRule="auto"/>
        <w:jc w:val="left"/>
        <w:outlineLvl w:val="1"/>
        <w:rPr>
          <w:rFonts w:hint="eastAsia" w:ascii="宋体" w:hAnsi="宋体" w:eastAsia="宋体" w:cs="宋体"/>
          <w:iCs/>
          <w:color w:val="000000"/>
          <w:sz w:val="36"/>
        </w:rPr>
      </w:pPr>
      <w:r>
        <w:rPr>
          <w:rFonts w:hint="eastAsia" w:ascii="宋体" w:hAnsi="宋体" w:eastAsia="宋体" w:cs="宋体"/>
          <w:iCs/>
          <w:color w:val="000000"/>
          <w:sz w:val="36"/>
          <w:lang w:val="en-US" w:eastAsia="zh-CN"/>
        </w:rPr>
        <w:t>十八</w:t>
      </w:r>
      <w:r>
        <w:rPr>
          <w:rFonts w:hint="eastAsia" w:ascii="宋体" w:hAnsi="宋体" w:eastAsia="宋体" w:cs="宋体"/>
          <w:iCs/>
          <w:color w:val="000000"/>
          <w:sz w:val="36"/>
        </w:rPr>
        <w:t>、项目团队人员一览表（分包号：**）</w:t>
      </w:r>
    </w:p>
    <w:p w14:paraId="74B9E235">
      <w:pPr>
        <w:pageBreakBefore w:val="0"/>
        <w:tabs>
          <w:tab w:val="left" w:pos="360"/>
        </w:tabs>
        <w:wordWrap/>
        <w:overflowPunct/>
        <w:topLinePunct w:val="0"/>
        <w:bidi w:val="0"/>
        <w:spacing w:line="360" w:lineRule="auto"/>
        <w:jc w:val="center"/>
        <w:rPr>
          <w:rFonts w:hint="eastAsia" w:ascii="宋体" w:hAnsi="宋体" w:eastAsia="宋体" w:cs="宋体"/>
          <w:bCs/>
          <w:color w:val="000000"/>
          <w:sz w:val="36"/>
          <w:szCs w:val="28"/>
        </w:rPr>
      </w:pPr>
      <w:r>
        <w:rPr>
          <w:rFonts w:hint="eastAsia" w:ascii="宋体" w:hAnsi="宋体" w:eastAsia="宋体" w:cs="宋体"/>
          <w:bCs/>
          <w:color w:val="000000"/>
          <w:sz w:val="36"/>
          <w:szCs w:val="28"/>
        </w:rPr>
        <w:t>项目团队人员一览表</w:t>
      </w:r>
    </w:p>
    <w:p w14:paraId="4E2B1AE1">
      <w:pPr>
        <w:pageBreakBefore w:val="0"/>
        <w:wordWrap/>
        <w:overflowPunct/>
        <w:topLinePunct w:val="0"/>
        <w:bidi w:val="0"/>
        <w:spacing w:line="360" w:lineRule="auto"/>
        <w:jc w:val="left"/>
        <w:rPr>
          <w:rFonts w:hint="eastAsia" w:ascii="宋体" w:hAnsi="宋体" w:eastAsia="宋体" w:cs="宋体"/>
          <w:color w:val="000000"/>
        </w:rPr>
      </w:pPr>
      <w:r>
        <w:rPr>
          <w:rFonts w:hint="eastAsia" w:ascii="宋体" w:hAnsi="宋体" w:eastAsia="宋体" w:cs="宋体"/>
          <w:color w:val="000000"/>
          <w:sz w:val="24"/>
          <w:szCs w:val="24"/>
        </w:rPr>
        <w:t>项目名称：      项目编号：      分包号：</w:t>
      </w:r>
      <w:r>
        <w:rPr>
          <w:rFonts w:hint="eastAsia" w:ascii="宋体" w:hAnsi="宋体" w:eastAsia="宋体" w:cs="宋体"/>
          <w:bCs/>
          <w:color w:val="000000"/>
          <w:sz w:val="24"/>
          <w:szCs w:val="24"/>
        </w:rPr>
        <w:t xml:space="preserve"> </w:t>
      </w:r>
    </w:p>
    <w:tbl>
      <w:tblPr>
        <w:tblStyle w:val="28"/>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1"/>
        <w:gridCol w:w="1446"/>
        <w:gridCol w:w="2239"/>
        <w:gridCol w:w="1134"/>
        <w:gridCol w:w="1134"/>
        <w:gridCol w:w="1601"/>
      </w:tblGrid>
      <w:tr w14:paraId="0A190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951" w:type="dxa"/>
            <w:noWrap w:val="0"/>
            <w:vAlign w:val="center"/>
          </w:tcPr>
          <w:p w14:paraId="2C2A0F39">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446" w:type="dxa"/>
            <w:noWrap w:val="0"/>
            <w:vAlign w:val="center"/>
          </w:tcPr>
          <w:p w14:paraId="5E2FB289">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本项目拟担任职务</w:t>
            </w:r>
          </w:p>
        </w:tc>
        <w:tc>
          <w:tcPr>
            <w:tcW w:w="2239" w:type="dxa"/>
            <w:noWrap w:val="0"/>
            <w:vAlign w:val="center"/>
          </w:tcPr>
          <w:p w14:paraId="332A50F3">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技术职称、专业资质</w:t>
            </w:r>
          </w:p>
        </w:tc>
        <w:tc>
          <w:tcPr>
            <w:tcW w:w="1134" w:type="dxa"/>
            <w:noWrap w:val="0"/>
            <w:vAlign w:val="center"/>
          </w:tcPr>
          <w:p w14:paraId="452733C5">
            <w:pPr>
              <w:pageBreakBefore w:val="0"/>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学历</w:t>
            </w:r>
          </w:p>
        </w:tc>
        <w:tc>
          <w:tcPr>
            <w:tcW w:w="1134" w:type="dxa"/>
            <w:noWrap w:val="0"/>
            <w:vAlign w:val="center"/>
          </w:tcPr>
          <w:p w14:paraId="309D81E3">
            <w:pPr>
              <w:pageBreakBefore w:val="0"/>
              <w:wordWrap/>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年龄</w:t>
            </w:r>
          </w:p>
        </w:tc>
        <w:tc>
          <w:tcPr>
            <w:tcW w:w="1601" w:type="dxa"/>
            <w:noWrap w:val="0"/>
            <w:vAlign w:val="center"/>
          </w:tcPr>
          <w:p w14:paraId="4831D161">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主要资历及担任过的职务</w:t>
            </w:r>
          </w:p>
        </w:tc>
      </w:tr>
      <w:tr w14:paraId="2171D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951" w:type="dxa"/>
            <w:noWrap w:val="0"/>
            <w:vAlign w:val="center"/>
          </w:tcPr>
          <w:p w14:paraId="0E3F6EF1">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446" w:type="dxa"/>
            <w:noWrap w:val="0"/>
            <w:vAlign w:val="center"/>
          </w:tcPr>
          <w:p w14:paraId="524F5290">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2239" w:type="dxa"/>
            <w:noWrap w:val="0"/>
            <w:vAlign w:val="top"/>
          </w:tcPr>
          <w:p w14:paraId="3131586C">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134" w:type="dxa"/>
            <w:noWrap w:val="0"/>
            <w:vAlign w:val="top"/>
          </w:tcPr>
          <w:p w14:paraId="2558485E">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134" w:type="dxa"/>
            <w:noWrap w:val="0"/>
            <w:vAlign w:val="center"/>
          </w:tcPr>
          <w:p w14:paraId="78731E9B">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601" w:type="dxa"/>
            <w:noWrap w:val="0"/>
            <w:vAlign w:val="center"/>
          </w:tcPr>
          <w:p w14:paraId="3A510312">
            <w:pPr>
              <w:pageBreakBefore w:val="0"/>
              <w:wordWrap/>
              <w:overflowPunct/>
              <w:topLinePunct w:val="0"/>
              <w:bidi w:val="0"/>
              <w:spacing w:line="360" w:lineRule="auto"/>
              <w:jc w:val="center"/>
              <w:rPr>
                <w:rFonts w:hint="eastAsia" w:ascii="宋体" w:hAnsi="宋体" w:eastAsia="宋体" w:cs="宋体"/>
                <w:color w:val="000000"/>
                <w:sz w:val="24"/>
                <w:szCs w:val="24"/>
              </w:rPr>
            </w:pPr>
          </w:p>
        </w:tc>
      </w:tr>
      <w:tr w14:paraId="28FB0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951" w:type="dxa"/>
            <w:noWrap w:val="0"/>
            <w:vAlign w:val="center"/>
          </w:tcPr>
          <w:p w14:paraId="1374C62A">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446" w:type="dxa"/>
            <w:noWrap w:val="0"/>
            <w:vAlign w:val="center"/>
          </w:tcPr>
          <w:p w14:paraId="06A8A869">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2239" w:type="dxa"/>
            <w:noWrap w:val="0"/>
            <w:vAlign w:val="top"/>
          </w:tcPr>
          <w:p w14:paraId="0036B472">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134" w:type="dxa"/>
            <w:noWrap w:val="0"/>
            <w:vAlign w:val="top"/>
          </w:tcPr>
          <w:p w14:paraId="012CFE17">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134" w:type="dxa"/>
            <w:noWrap w:val="0"/>
            <w:vAlign w:val="center"/>
          </w:tcPr>
          <w:p w14:paraId="1606C1D2">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601" w:type="dxa"/>
            <w:noWrap w:val="0"/>
            <w:vAlign w:val="center"/>
          </w:tcPr>
          <w:p w14:paraId="10776F0A">
            <w:pPr>
              <w:pageBreakBefore w:val="0"/>
              <w:wordWrap/>
              <w:overflowPunct/>
              <w:topLinePunct w:val="0"/>
              <w:bidi w:val="0"/>
              <w:spacing w:line="360" w:lineRule="auto"/>
              <w:jc w:val="center"/>
              <w:rPr>
                <w:rFonts w:hint="eastAsia" w:ascii="宋体" w:hAnsi="宋体" w:eastAsia="宋体" w:cs="宋体"/>
                <w:color w:val="000000"/>
                <w:sz w:val="24"/>
                <w:szCs w:val="24"/>
              </w:rPr>
            </w:pPr>
          </w:p>
        </w:tc>
      </w:tr>
      <w:tr w14:paraId="07DFC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951" w:type="dxa"/>
            <w:noWrap w:val="0"/>
            <w:vAlign w:val="center"/>
          </w:tcPr>
          <w:p w14:paraId="5F9D6CB6">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446" w:type="dxa"/>
            <w:noWrap w:val="0"/>
            <w:vAlign w:val="center"/>
          </w:tcPr>
          <w:p w14:paraId="7DF4504A">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2239" w:type="dxa"/>
            <w:noWrap w:val="0"/>
            <w:vAlign w:val="top"/>
          </w:tcPr>
          <w:p w14:paraId="1CF15A68">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134" w:type="dxa"/>
            <w:noWrap w:val="0"/>
            <w:vAlign w:val="top"/>
          </w:tcPr>
          <w:p w14:paraId="5924F9E5">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134" w:type="dxa"/>
            <w:noWrap w:val="0"/>
            <w:vAlign w:val="center"/>
          </w:tcPr>
          <w:p w14:paraId="0374157B">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601" w:type="dxa"/>
            <w:noWrap w:val="0"/>
            <w:vAlign w:val="center"/>
          </w:tcPr>
          <w:p w14:paraId="4C9028E3">
            <w:pPr>
              <w:pageBreakBefore w:val="0"/>
              <w:wordWrap/>
              <w:overflowPunct/>
              <w:topLinePunct w:val="0"/>
              <w:bidi w:val="0"/>
              <w:spacing w:line="360" w:lineRule="auto"/>
              <w:jc w:val="center"/>
              <w:rPr>
                <w:rFonts w:hint="eastAsia" w:ascii="宋体" w:hAnsi="宋体" w:eastAsia="宋体" w:cs="宋体"/>
                <w:color w:val="000000"/>
                <w:sz w:val="24"/>
                <w:szCs w:val="24"/>
              </w:rPr>
            </w:pPr>
          </w:p>
        </w:tc>
      </w:tr>
      <w:tr w14:paraId="66EDC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951" w:type="dxa"/>
            <w:noWrap w:val="0"/>
            <w:vAlign w:val="center"/>
          </w:tcPr>
          <w:p w14:paraId="44DF5AD1">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446" w:type="dxa"/>
            <w:noWrap w:val="0"/>
            <w:vAlign w:val="center"/>
          </w:tcPr>
          <w:p w14:paraId="67056026">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2239" w:type="dxa"/>
            <w:noWrap w:val="0"/>
            <w:vAlign w:val="top"/>
          </w:tcPr>
          <w:p w14:paraId="6529AD16">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134" w:type="dxa"/>
            <w:noWrap w:val="0"/>
            <w:vAlign w:val="top"/>
          </w:tcPr>
          <w:p w14:paraId="57506229">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134" w:type="dxa"/>
            <w:noWrap w:val="0"/>
            <w:vAlign w:val="center"/>
          </w:tcPr>
          <w:p w14:paraId="5EBE3D98">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1601" w:type="dxa"/>
            <w:noWrap w:val="0"/>
            <w:vAlign w:val="center"/>
          </w:tcPr>
          <w:p w14:paraId="0CD82438">
            <w:pPr>
              <w:pageBreakBefore w:val="0"/>
              <w:wordWrap/>
              <w:overflowPunct/>
              <w:topLinePunct w:val="0"/>
              <w:bidi w:val="0"/>
              <w:spacing w:line="360" w:lineRule="auto"/>
              <w:jc w:val="center"/>
              <w:rPr>
                <w:rFonts w:hint="eastAsia" w:ascii="宋体" w:hAnsi="宋体" w:eastAsia="宋体" w:cs="宋体"/>
                <w:color w:val="000000"/>
                <w:sz w:val="24"/>
                <w:szCs w:val="24"/>
              </w:rPr>
            </w:pPr>
          </w:p>
        </w:tc>
      </w:tr>
    </w:tbl>
    <w:p w14:paraId="01FA1BFA">
      <w:pPr>
        <w:pageBreakBefore w:val="0"/>
        <w:wordWrap/>
        <w:overflowPunct/>
        <w:topLinePunct w:val="0"/>
        <w:bidi w:val="0"/>
        <w:spacing w:line="360" w:lineRule="auto"/>
        <w:ind w:firstLine="480"/>
        <w:rPr>
          <w:rFonts w:hint="eastAsia" w:ascii="宋体" w:hAnsi="宋体" w:eastAsia="宋体" w:cs="宋体"/>
          <w:color w:val="000000"/>
          <w:sz w:val="24"/>
          <w:szCs w:val="24"/>
        </w:rPr>
      </w:pPr>
    </w:p>
    <w:p w14:paraId="051FB174">
      <w:pPr>
        <w:pageBreakBefore w:val="0"/>
        <w:wordWrap/>
        <w:overflowPunct/>
        <w:topLinePunct w:val="0"/>
        <w:bidi w:val="0"/>
        <w:spacing w:line="360" w:lineRule="auto"/>
        <w:ind w:firstLine="480"/>
        <w:rPr>
          <w:rFonts w:hint="eastAsia" w:ascii="宋体" w:hAnsi="宋体" w:eastAsia="宋体" w:cs="宋体"/>
          <w:color w:val="000000"/>
          <w:sz w:val="24"/>
          <w:szCs w:val="24"/>
        </w:rPr>
      </w:pPr>
    </w:p>
    <w:p w14:paraId="369F81F0">
      <w:pPr>
        <w:pageBreakBefore w:val="0"/>
        <w:wordWrap/>
        <w:overflowPunct/>
        <w:topLinePunct w:val="0"/>
        <w:bidi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投标人（盖章）：</w:t>
      </w:r>
    </w:p>
    <w:p w14:paraId="72993D67">
      <w:pPr>
        <w:pageBreakBefore w:val="0"/>
        <w:wordWrap/>
        <w:overflowPunct/>
        <w:topLinePunct w:val="0"/>
        <w:bidi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法定代表人（单位负责人）或委托代理人（签字或盖章）：</w:t>
      </w:r>
    </w:p>
    <w:p w14:paraId="4F769A09">
      <w:pPr>
        <w:pageBreakBefore w:val="0"/>
        <w:wordWrap/>
        <w:overflowPunct/>
        <w:topLinePunct w:val="0"/>
        <w:bidi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2648AA2E">
      <w:pPr>
        <w:pageBreakBefore w:val="0"/>
        <w:wordWrap/>
        <w:overflowPunct/>
        <w:topLinePunct w:val="0"/>
        <w:bidi w:val="0"/>
        <w:spacing w:line="360" w:lineRule="auto"/>
        <w:ind w:firstLine="480"/>
        <w:rPr>
          <w:rFonts w:hint="eastAsia" w:ascii="宋体" w:hAnsi="宋体" w:eastAsia="宋体" w:cs="宋体"/>
          <w:color w:val="000000"/>
          <w:sz w:val="24"/>
          <w:szCs w:val="24"/>
        </w:rPr>
      </w:pPr>
    </w:p>
    <w:p w14:paraId="09D93E7E">
      <w:pPr>
        <w:pageBreakBefore w:val="0"/>
        <w:wordWrap/>
        <w:overflowPunct/>
        <w:topLinePunct w:val="0"/>
        <w:bidi w:val="0"/>
        <w:spacing w:line="360" w:lineRule="auto"/>
        <w:ind w:firstLine="480"/>
        <w:rPr>
          <w:rFonts w:hint="eastAsia" w:ascii="宋体" w:hAnsi="宋体" w:eastAsia="宋体" w:cs="宋体"/>
          <w:color w:val="000000"/>
          <w:sz w:val="24"/>
          <w:szCs w:val="24"/>
        </w:rPr>
      </w:pPr>
    </w:p>
    <w:p w14:paraId="13360891">
      <w:pPr>
        <w:pageBreakBefore w:val="0"/>
        <w:wordWrap/>
        <w:overflowPunct/>
        <w:topLinePunct w:val="0"/>
        <w:bidi w:val="0"/>
        <w:spacing w:line="360" w:lineRule="auto"/>
        <w:ind w:firstLine="480"/>
        <w:rPr>
          <w:rFonts w:hint="eastAsia" w:ascii="宋体" w:hAnsi="宋体" w:eastAsia="宋体" w:cs="宋体"/>
          <w:color w:val="000000"/>
          <w:sz w:val="24"/>
          <w:szCs w:val="24"/>
        </w:rPr>
      </w:pPr>
    </w:p>
    <w:p w14:paraId="68529B4B">
      <w:pPr>
        <w:pageBreakBefore w:val="0"/>
        <w:wordWrap/>
        <w:overflowPunct/>
        <w:topLinePunct w:val="0"/>
        <w:bidi w:val="0"/>
        <w:spacing w:line="360" w:lineRule="auto"/>
        <w:rPr>
          <w:rFonts w:hint="eastAsia" w:ascii="宋体" w:hAnsi="宋体" w:eastAsia="宋体" w:cs="宋体"/>
          <w:color w:val="000000"/>
        </w:rPr>
      </w:pPr>
    </w:p>
    <w:p w14:paraId="5A6DB41A">
      <w:pPr>
        <w:pageBreakBefore w:val="0"/>
        <w:wordWrap/>
        <w:overflowPunct/>
        <w:topLinePunct w:val="0"/>
        <w:bidi w:val="0"/>
        <w:spacing w:line="360" w:lineRule="auto"/>
        <w:rPr>
          <w:rFonts w:hint="eastAsia" w:ascii="宋体" w:hAnsi="宋体" w:eastAsia="宋体" w:cs="宋体"/>
          <w:color w:val="000000"/>
        </w:rPr>
      </w:pPr>
    </w:p>
    <w:p w14:paraId="57065263">
      <w:pPr>
        <w:keepNext/>
        <w:keepLines/>
        <w:pageBreakBefore w:val="0"/>
        <w:wordWrap/>
        <w:overflowPunct/>
        <w:topLinePunct w:val="0"/>
        <w:bidi w:val="0"/>
        <w:spacing w:before="360" w:after="200" w:line="360" w:lineRule="auto"/>
        <w:jc w:val="left"/>
        <w:outlineLvl w:val="1"/>
        <w:rPr>
          <w:rFonts w:hint="eastAsia" w:ascii="宋体" w:hAnsi="宋体" w:eastAsia="宋体" w:cs="宋体"/>
          <w:i/>
          <w:color w:val="000000"/>
          <w:sz w:val="36"/>
          <w:u w:val="single"/>
          <w:lang w:val="en-US" w:eastAsia="zh-CN"/>
        </w:rPr>
      </w:pPr>
      <w:r>
        <w:rPr>
          <w:rFonts w:hint="eastAsia" w:ascii="宋体" w:hAnsi="宋体" w:eastAsia="宋体" w:cs="宋体"/>
          <w:i/>
          <w:color w:val="000000"/>
          <w:sz w:val="36"/>
          <w:u w:val="single"/>
          <w:lang w:val="en-US" w:eastAsia="zh-CN"/>
        </w:rPr>
        <w:t>十九</w:t>
      </w:r>
      <w:r>
        <w:rPr>
          <w:rFonts w:hint="eastAsia" w:ascii="宋体" w:hAnsi="宋体" w:eastAsia="宋体" w:cs="宋体"/>
          <w:i/>
          <w:color w:val="000000"/>
          <w:sz w:val="36"/>
          <w:u w:val="single"/>
        </w:rPr>
        <w:t>、开标一览表</w:t>
      </w:r>
    </w:p>
    <w:p w14:paraId="350EFEF4">
      <w:pPr>
        <w:pageBreakBefore w:val="0"/>
        <w:wordWrap/>
        <w:overflowPunct/>
        <w:topLinePunct w:val="0"/>
        <w:bidi w:val="0"/>
        <w:spacing w:line="360" w:lineRule="auto"/>
        <w:jc w:val="left"/>
        <w:rPr>
          <w:rFonts w:hint="eastAsia" w:ascii="宋体" w:hAnsi="宋体" w:eastAsia="宋体" w:cs="宋体"/>
          <w:color w:val="000000"/>
          <w:sz w:val="36"/>
        </w:rPr>
      </w:pPr>
      <w:r>
        <w:rPr>
          <w:rFonts w:hint="eastAsia" w:ascii="宋体" w:hAnsi="宋体" w:eastAsia="宋体" w:cs="宋体"/>
          <w:color w:val="000000"/>
          <w:sz w:val="24"/>
          <w:szCs w:val="24"/>
        </w:rPr>
        <w:t>项目编号：      分包号：</w:t>
      </w:r>
      <w:r>
        <w:rPr>
          <w:rFonts w:hint="eastAsia" w:ascii="宋体" w:hAnsi="宋体" w:eastAsia="宋体" w:cs="宋体"/>
          <w:bCs/>
          <w:color w:val="000000"/>
          <w:sz w:val="24"/>
          <w:szCs w:val="24"/>
        </w:rPr>
        <w:t xml:space="preserve"> </w:t>
      </w:r>
    </w:p>
    <w:p w14:paraId="4E70A374">
      <w:pPr>
        <w:pageBreakBefore w:val="0"/>
        <w:wordWrap/>
        <w:overflowPunct/>
        <w:topLinePunct w:val="0"/>
        <w:bidi w:val="0"/>
        <w:spacing w:line="360" w:lineRule="auto"/>
        <w:ind w:firstLine="480"/>
        <w:jc w:val="right"/>
        <w:rPr>
          <w:rFonts w:hint="eastAsia" w:ascii="宋体" w:hAnsi="宋体" w:eastAsia="宋体" w:cs="宋体"/>
          <w:color w:val="000000"/>
          <w:sz w:val="24"/>
          <w:szCs w:val="24"/>
        </w:rPr>
      </w:pPr>
      <w:r>
        <w:rPr>
          <w:rFonts w:hint="eastAsia" w:ascii="宋体" w:hAnsi="宋体" w:eastAsia="宋体" w:cs="宋体"/>
          <w:color w:val="000000"/>
          <w:sz w:val="24"/>
          <w:szCs w:val="24"/>
        </w:rPr>
        <w:t>货币单位：人民币元</w:t>
      </w:r>
    </w:p>
    <w:tbl>
      <w:tblPr>
        <w:tblStyle w:val="2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0"/>
        <w:gridCol w:w="3276"/>
        <w:gridCol w:w="3742"/>
      </w:tblGrid>
      <w:tr w14:paraId="27EAD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noWrap w:val="0"/>
            <w:vAlign w:val="top"/>
          </w:tcPr>
          <w:p w14:paraId="6C58DE5E">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276" w:type="dxa"/>
            <w:noWrap w:val="0"/>
            <w:vAlign w:val="top"/>
          </w:tcPr>
          <w:p w14:paraId="1617796A">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项目内容</w:t>
            </w:r>
          </w:p>
        </w:tc>
        <w:tc>
          <w:tcPr>
            <w:tcW w:w="3742" w:type="dxa"/>
            <w:noWrap w:val="0"/>
            <w:vAlign w:val="top"/>
          </w:tcPr>
          <w:p w14:paraId="799182F6">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总价（小写）</w:t>
            </w:r>
          </w:p>
        </w:tc>
      </w:tr>
      <w:tr w14:paraId="00E46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noWrap w:val="0"/>
            <w:vAlign w:val="top"/>
          </w:tcPr>
          <w:p w14:paraId="4AB0F2B0">
            <w:pPr>
              <w:pageBreakBefore w:val="0"/>
              <w:wordWrap/>
              <w:overflowPunct/>
              <w:topLinePunct w:val="0"/>
              <w:bidi w:val="0"/>
              <w:spacing w:line="360" w:lineRule="auto"/>
              <w:jc w:val="center"/>
              <w:rPr>
                <w:rFonts w:hint="eastAsia" w:ascii="宋体" w:hAnsi="宋体" w:eastAsia="宋体" w:cs="宋体"/>
                <w:color w:val="000000"/>
                <w:sz w:val="24"/>
                <w:szCs w:val="24"/>
              </w:rPr>
            </w:pPr>
          </w:p>
        </w:tc>
        <w:tc>
          <w:tcPr>
            <w:tcW w:w="3276" w:type="dxa"/>
            <w:noWrap w:val="0"/>
            <w:vAlign w:val="top"/>
          </w:tcPr>
          <w:p w14:paraId="55B748B7">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详见投标文件</w:t>
            </w:r>
          </w:p>
        </w:tc>
        <w:tc>
          <w:tcPr>
            <w:tcW w:w="3742" w:type="dxa"/>
            <w:noWrap w:val="0"/>
            <w:vAlign w:val="top"/>
          </w:tcPr>
          <w:p w14:paraId="13A77127">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元</w:t>
            </w:r>
          </w:p>
        </w:tc>
      </w:tr>
      <w:tr w14:paraId="5B28C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noWrap w:val="0"/>
            <w:vAlign w:val="top"/>
          </w:tcPr>
          <w:p w14:paraId="7452B812">
            <w:pPr>
              <w:pageBreakBefore w:val="0"/>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总价（大写）</w:t>
            </w:r>
          </w:p>
        </w:tc>
        <w:tc>
          <w:tcPr>
            <w:tcW w:w="7018" w:type="dxa"/>
            <w:gridSpan w:val="2"/>
            <w:noWrap w:val="0"/>
            <w:vAlign w:val="top"/>
          </w:tcPr>
          <w:p w14:paraId="6031BEEE">
            <w:pPr>
              <w:pageBreakBefore w:val="0"/>
              <w:wordWrap/>
              <w:overflowPunct/>
              <w:topLinePunct w:val="0"/>
              <w:bidi w:val="0"/>
              <w:spacing w:line="360" w:lineRule="auto"/>
              <w:jc w:val="center"/>
              <w:rPr>
                <w:rFonts w:hint="eastAsia" w:ascii="宋体" w:hAnsi="宋体" w:eastAsia="宋体" w:cs="宋体"/>
                <w:color w:val="000000"/>
                <w:sz w:val="24"/>
                <w:szCs w:val="24"/>
              </w:rPr>
            </w:pPr>
          </w:p>
        </w:tc>
      </w:tr>
    </w:tbl>
    <w:p w14:paraId="30041FCC">
      <w:pPr>
        <w:pageBreakBefore w:val="0"/>
        <w:wordWrap/>
        <w:overflowPunct/>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投标人公章：             （电子签章）</w:t>
      </w:r>
    </w:p>
    <w:p w14:paraId="05341E00">
      <w:pPr>
        <w:rPr>
          <w:rFonts w:hint="eastAsia" w:ascii="宋体" w:hAnsi="宋体" w:eastAsia="宋体" w:cs="宋体"/>
          <w:color w:val="FF0000"/>
          <w:sz w:val="24"/>
          <w:szCs w:val="24"/>
          <w:highlight w:val="none"/>
        </w:rPr>
        <w:sectPr>
          <w:footerReference r:id="rId4" w:type="default"/>
          <w:pgSz w:w="11907" w:h="16840"/>
          <w:pgMar w:top="1134" w:right="1080" w:bottom="1134" w:left="1080" w:header="720" w:footer="720" w:gutter="0"/>
          <w:lnNumType w:countBy="0" w:start="1"/>
          <w:pgNumType w:fmt="decimal"/>
          <w:cols w:space="720" w:num="1"/>
          <w:rtlGutter w:val="0"/>
          <w:docGrid w:type="lines" w:linePitch="490" w:charSpace="0"/>
        </w:sectPr>
      </w:pPr>
      <w:r>
        <w:rPr>
          <w:rFonts w:hint="eastAsia" w:ascii="宋体" w:hAnsi="宋体" w:eastAsia="宋体" w:cs="宋体"/>
          <w:color w:val="FF0000"/>
          <w:sz w:val="24"/>
          <w:szCs w:val="24"/>
          <w:highlight w:val="none"/>
          <w:lang w:val="en-US" w:eastAsia="zh-CN" w:bidi="ar-SA"/>
        </w:rPr>
        <w:t>注：投标人按照暂定人数进行汇总报价，此处仅作为计算价格分依据，不作为签约依据，签约以报价明细表中单价为依据。</w:t>
      </w:r>
    </w:p>
    <w:p w14:paraId="39B389C7">
      <w:pPr>
        <w:pageBreakBefore w:val="0"/>
        <w:wordWrap/>
        <w:overflowPunct/>
        <w:topLinePunct w:val="0"/>
        <w:bidi w:val="0"/>
        <w:spacing w:line="360" w:lineRule="auto"/>
        <w:jc w:val="center"/>
        <w:rPr>
          <w:rFonts w:hint="eastAsia" w:ascii="宋体" w:hAnsi="宋体" w:eastAsia="宋体" w:cs="宋体"/>
          <w:bCs/>
          <w:color w:val="000000"/>
          <w:sz w:val="40"/>
          <w:szCs w:val="32"/>
        </w:rPr>
      </w:pPr>
      <w:r>
        <w:rPr>
          <w:rFonts w:hint="eastAsia" w:ascii="宋体" w:hAnsi="宋体" w:eastAsia="宋体" w:cs="宋体"/>
          <w:bCs/>
          <w:color w:val="000000"/>
          <w:sz w:val="40"/>
          <w:szCs w:val="32"/>
        </w:rPr>
        <w:t>质疑函范本</w:t>
      </w:r>
    </w:p>
    <w:p w14:paraId="278DDFB2">
      <w:pPr>
        <w:pageBreakBefore w:val="0"/>
        <w:wordWrap/>
        <w:overflowPunct/>
        <w:topLinePunct w:val="0"/>
        <w:bidi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一、质疑供应商基本信息</w:t>
      </w:r>
    </w:p>
    <w:p w14:paraId="07A1CC85">
      <w:pPr>
        <w:pageBreakBefore w:val="0"/>
        <w:wordWrap/>
        <w:overflowPunct/>
        <w:topLinePunct w:val="0"/>
        <w:bidi w:val="0"/>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质疑供应商：</w:t>
      </w:r>
      <w:r>
        <w:rPr>
          <w:rFonts w:hint="eastAsia" w:ascii="宋体" w:hAnsi="宋体" w:eastAsia="宋体" w:cs="宋体"/>
          <w:color w:val="000000"/>
          <w:sz w:val="24"/>
          <w:szCs w:val="24"/>
          <w:u w:val="single"/>
        </w:rPr>
        <w:t xml:space="preserve">                                                         </w:t>
      </w:r>
    </w:p>
    <w:p w14:paraId="78A4D8CB">
      <w:pPr>
        <w:pageBreakBefore w:val="0"/>
        <w:wordWrap/>
        <w:overflowPunct/>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邮编：</w:t>
      </w:r>
      <w:r>
        <w:rPr>
          <w:rFonts w:hint="eastAsia" w:ascii="宋体" w:hAnsi="宋体" w:eastAsia="宋体" w:cs="宋体"/>
          <w:color w:val="000000"/>
          <w:sz w:val="24"/>
          <w:szCs w:val="24"/>
          <w:u w:val="single"/>
        </w:rPr>
        <w:t xml:space="preserve">                            </w:t>
      </w:r>
    </w:p>
    <w:p w14:paraId="729FEC84">
      <w:pPr>
        <w:pageBreakBefore w:val="0"/>
        <w:wordWrap/>
        <w:overflowPunct/>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联系人：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xml:space="preserve">                             </w:t>
      </w:r>
    </w:p>
    <w:p w14:paraId="052BC9ED">
      <w:pPr>
        <w:pageBreakBefore w:val="0"/>
        <w:wordWrap/>
        <w:overflowPunct/>
        <w:topLinePunct w:val="0"/>
        <w:bidi w:val="0"/>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w:t>
      </w:r>
      <w:r>
        <w:rPr>
          <w:rFonts w:hint="eastAsia" w:ascii="宋体" w:hAnsi="宋体" w:eastAsia="宋体" w:cs="宋体"/>
          <w:color w:val="000000"/>
          <w:sz w:val="24"/>
          <w:szCs w:val="24"/>
          <w:u w:val="single"/>
        </w:rPr>
        <w:t xml:space="preserve">                                                           </w:t>
      </w:r>
    </w:p>
    <w:p w14:paraId="0AC15415">
      <w:pPr>
        <w:pageBreakBefore w:val="0"/>
        <w:wordWrap/>
        <w:overflowPunct/>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xml:space="preserve">                                                           </w:t>
      </w:r>
    </w:p>
    <w:p w14:paraId="41410931">
      <w:pPr>
        <w:pageBreakBefore w:val="0"/>
        <w:wordWrap/>
        <w:overflowPunct/>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地址：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邮编：</w:t>
      </w:r>
      <w:r>
        <w:rPr>
          <w:rFonts w:hint="eastAsia" w:ascii="宋体" w:hAnsi="宋体" w:eastAsia="宋体" w:cs="宋体"/>
          <w:color w:val="000000"/>
          <w:sz w:val="24"/>
          <w:szCs w:val="24"/>
          <w:u w:val="single"/>
        </w:rPr>
        <w:t xml:space="preserve">                                </w:t>
      </w:r>
    </w:p>
    <w:p w14:paraId="21DAE86F">
      <w:pPr>
        <w:pageBreakBefore w:val="0"/>
        <w:wordWrap/>
        <w:overflowPunct/>
        <w:topLinePunct w:val="0"/>
        <w:bidi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二、质疑项目基本情况</w:t>
      </w:r>
    </w:p>
    <w:p w14:paraId="5A9D512C">
      <w:pPr>
        <w:pageBreakBefore w:val="0"/>
        <w:wordWrap/>
        <w:overflowPunct/>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质疑项目的名称：</w:t>
      </w:r>
      <w:r>
        <w:rPr>
          <w:rFonts w:hint="eastAsia" w:ascii="宋体" w:hAnsi="宋体" w:eastAsia="宋体" w:cs="宋体"/>
          <w:color w:val="000000"/>
          <w:sz w:val="24"/>
          <w:szCs w:val="24"/>
          <w:u w:val="single"/>
        </w:rPr>
        <w:t xml:space="preserve">                                                     </w:t>
      </w:r>
    </w:p>
    <w:p w14:paraId="743222C4">
      <w:pPr>
        <w:pageBreakBefore w:val="0"/>
        <w:wordWrap/>
        <w:overflowPunct/>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质疑项目的编号：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包号：</w:t>
      </w:r>
      <w:r>
        <w:rPr>
          <w:rFonts w:hint="eastAsia" w:ascii="宋体" w:hAnsi="宋体" w:eastAsia="宋体" w:cs="宋体"/>
          <w:color w:val="000000"/>
          <w:sz w:val="24"/>
          <w:szCs w:val="24"/>
          <w:u w:val="single"/>
        </w:rPr>
        <w:t xml:space="preserve">                      </w:t>
      </w:r>
    </w:p>
    <w:p w14:paraId="4A5E23C8">
      <w:pPr>
        <w:pageBreakBefore w:val="0"/>
        <w:wordWrap/>
        <w:overflowPunct/>
        <w:topLinePunct w:val="0"/>
        <w:bidi w:val="0"/>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采购人名称：</w:t>
      </w:r>
      <w:r>
        <w:rPr>
          <w:rFonts w:hint="eastAsia" w:ascii="宋体" w:hAnsi="宋体" w:eastAsia="宋体" w:cs="宋体"/>
          <w:color w:val="000000"/>
          <w:sz w:val="24"/>
          <w:szCs w:val="24"/>
          <w:u w:val="single"/>
        </w:rPr>
        <w:t xml:space="preserve">                                                         </w:t>
      </w:r>
    </w:p>
    <w:p w14:paraId="52E562BF">
      <w:pPr>
        <w:pageBreakBefore w:val="0"/>
        <w:wordWrap/>
        <w:overflowPunct/>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采购文件获取日期：</w:t>
      </w:r>
      <w:r>
        <w:rPr>
          <w:rFonts w:hint="eastAsia" w:ascii="宋体" w:hAnsi="宋体" w:eastAsia="宋体" w:cs="宋体"/>
          <w:color w:val="000000"/>
          <w:sz w:val="24"/>
          <w:szCs w:val="24"/>
          <w:u w:val="single"/>
        </w:rPr>
        <w:t xml:space="preserve">                                                   </w:t>
      </w:r>
    </w:p>
    <w:p w14:paraId="2F4C084F">
      <w:pPr>
        <w:pageBreakBefore w:val="0"/>
        <w:wordWrap/>
        <w:overflowPunct/>
        <w:topLinePunct w:val="0"/>
        <w:bidi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三、质疑事项具体内容</w:t>
      </w:r>
    </w:p>
    <w:p w14:paraId="4C6B0CAD">
      <w:pPr>
        <w:pageBreakBefore w:val="0"/>
        <w:wordWrap/>
        <w:overflowPunct/>
        <w:topLinePunct w:val="0"/>
        <w:bidi w:val="0"/>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质疑事项1：</w:t>
      </w:r>
      <w:r>
        <w:rPr>
          <w:rFonts w:hint="eastAsia" w:ascii="宋体" w:hAnsi="宋体" w:eastAsia="宋体" w:cs="宋体"/>
          <w:color w:val="000000"/>
          <w:sz w:val="24"/>
          <w:szCs w:val="24"/>
          <w:u w:val="single"/>
        </w:rPr>
        <w:t xml:space="preserve">                                                          </w:t>
      </w:r>
    </w:p>
    <w:p w14:paraId="65873125">
      <w:pPr>
        <w:pageBreakBefore w:val="0"/>
        <w:wordWrap/>
        <w:overflowPunct/>
        <w:topLinePunct w:val="0"/>
        <w:bidi w:val="0"/>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事实依据：</w:t>
      </w:r>
      <w:r>
        <w:rPr>
          <w:rFonts w:hint="eastAsia" w:ascii="宋体" w:hAnsi="宋体" w:eastAsia="宋体" w:cs="宋体"/>
          <w:color w:val="000000"/>
          <w:sz w:val="24"/>
          <w:szCs w:val="24"/>
          <w:u w:val="single"/>
        </w:rPr>
        <w:t xml:space="preserve">                                                            </w:t>
      </w:r>
    </w:p>
    <w:p w14:paraId="2DE9FFE3">
      <w:pPr>
        <w:pageBreakBefore w:val="0"/>
        <w:wordWrap/>
        <w:overflowPunct/>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p>
    <w:p w14:paraId="2337F6AA">
      <w:pPr>
        <w:pageBreakBefore w:val="0"/>
        <w:wordWrap/>
        <w:overflowPunct/>
        <w:topLinePunct w:val="0"/>
        <w:bidi w:val="0"/>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法律依据：</w:t>
      </w:r>
      <w:r>
        <w:rPr>
          <w:rFonts w:hint="eastAsia" w:ascii="宋体" w:hAnsi="宋体" w:eastAsia="宋体" w:cs="宋体"/>
          <w:color w:val="000000"/>
          <w:sz w:val="24"/>
          <w:szCs w:val="24"/>
          <w:u w:val="single"/>
        </w:rPr>
        <w:t xml:space="preserve">                                                            </w:t>
      </w:r>
    </w:p>
    <w:p w14:paraId="2DC28EF5">
      <w:pPr>
        <w:pageBreakBefore w:val="0"/>
        <w:wordWrap/>
        <w:overflowPunct/>
        <w:topLinePunct w:val="0"/>
        <w:bidi w:val="0"/>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p>
    <w:p w14:paraId="1C92F0E9">
      <w:pPr>
        <w:pageBreakBefore w:val="0"/>
        <w:wordWrap/>
        <w:overflowPunct/>
        <w:topLinePunct w:val="0"/>
        <w:bidi w:val="0"/>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质疑事项2</w:t>
      </w:r>
    </w:p>
    <w:p w14:paraId="35D9CE1D">
      <w:pPr>
        <w:pageBreakBefore w:val="0"/>
        <w:wordWrap/>
        <w:overflowPunct/>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w:t>
      </w:r>
    </w:p>
    <w:p w14:paraId="34C82DC4">
      <w:pPr>
        <w:pageBreakBefore w:val="0"/>
        <w:wordWrap/>
        <w:overflowPunct/>
        <w:topLinePunct w:val="0"/>
        <w:bidi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四、与质疑事项相关的质疑请求</w:t>
      </w:r>
    </w:p>
    <w:p w14:paraId="17029AB9">
      <w:pPr>
        <w:pageBreakBefore w:val="0"/>
        <w:wordWrap/>
        <w:overflowPunct/>
        <w:topLinePunct w:val="0"/>
        <w:bidi w:val="0"/>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请求：</w:t>
      </w:r>
      <w:r>
        <w:rPr>
          <w:rFonts w:hint="eastAsia" w:ascii="宋体" w:hAnsi="宋体" w:eastAsia="宋体" w:cs="宋体"/>
          <w:color w:val="000000"/>
          <w:sz w:val="24"/>
          <w:szCs w:val="24"/>
          <w:u w:val="single"/>
        </w:rPr>
        <w:t xml:space="preserve">                                                                </w:t>
      </w:r>
    </w:p>
    <w:p w14:paraId="731186D6">
      <w:pPr>
        <w:pageBreakBefore w:val="0"/>
        <w:wordWrap/>
        <w:overflowPunct/>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签字（签章）：                   公章：                      </w:t>
      </w:r>
    </w:p>
    <w:p w14:paraId="7915D89A">
      <w:pPr>
        <w:pageBreakBefore w:val="0"/>
        <w:wordWrap/>
        <w:overflowPunct/>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14:paraId="64CD9F4A">
      <w:pPr>
        <w:pageBreakBefore w:val="0"/>
        <w:wordWrap/>
        <w:overflowPunct/>
        <w:topLinePunct w:val="0"/>
        <w:bidi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质疑函制作说明：</w:t>
      </w:r>
    </w:p>
    <w:p w14:paraId="4ACE623D">
      <w:pPr>
        <w:pageBreakBefore w:val="0"/>
        <w:widowControl/>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1.供应商提出质疑时，应提交质疑函和必要的证明材料。</w:t>
      </w:r>
    </w:p>
    <w:p w14:paraId="35FA8056">
      <w:pPr>
        <w:pageBreakBefore w:val="0"/>
        <w:widowControl/>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供应商为自然人的，应当由本人签字；供应商为法人或者其他组织的，应当由法定代表人、主要负责人签字或者盖章，并加盖公章。</w:t>
      </w:r>
    </w:p>
    <w:p w14:paraId="1BE72EAF">
      <w:pPr>
        <w:pageBreakBefore w:val="0"/>
        <w:widowControl/>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3.质疑供应商若对项目的某一分包进行质疑，质疑函中应列明具体分包号。</w:t>
      </w:r>
    </w:p>
    <w:p w14:paraId="1AFD56BE">
      <w:pPr>
        <w:pageBreakBefore w:val="0"/>
        <w:widowControl/>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4.质疑函的质疑事项应具体、明确，并有必要的事实依据和法律依据。</w:t>
      </w:r>
    </w:p>
    <w:p w14:paraId="7301419B">
      <w:pPr>
        <w:pageBreakBefore w:val="0"/>
        <w:widowControl/>
        <w:wordWrap/>
        <w:overflowPunct/>
        <w:topLinePunct w:val="0"/>
        <w:bidi w:val="0"/>
        <w:spacing w:line="36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5.质疑函的质疑请求应与质疑事项相关。</w:t>
      </w:r>
    </w:p>
    <w:p w14:paraId="6F4BA727">
      <w:pPr>
        <w:pageBreakBefore w:val="0"/>
        <w:widowControl/>
        <w:wordWrap/>
        <w:overflowPunct/>
        <w:topLinePunct w:val="0"/>
        <w:bidi w:val="0"/>
        <w:spacing w:line="360" w:lineRule="auto"/>
        <w:ind w:firstLine="48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6.质疑供应商为自然人的，质疑函应附自然人身份证明复印件并由本人签字；质疑供应商为法人或者其他组织的，质疑函应附营业执照等证明文件复印件、法定代表人或主要负责人身份证明复印件，并由法定代表人或主要负责人签字或盖章，并加盖公章；委托授权质疑的还应附授权委托书，并由授权代表签字或者盖章，并加盖公章。</w:t>
      </w:r>
    </w:p>
    <w:sectPr>
      <w:footerReference r:id="rId5" w:type="default"/>
      <w:pgSz w:w="11906" w:h="16838"/>
      <w:pgMar w:top="1440" w:right="1800" w:bottom="1440" w:left="1800" w:header="851" w:footer="992" w:gutter="0"/>
      <w:pgNumType w:start="1"/>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MS Mincho">
    <w:altName w:val="Segoe Print"/>
    <w:panose1 w:val="020206030504050903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4323D">
    <w:pPr>
      <w:pStyle w:val="203"/>
      <w:jc w:val="center"/>
    </w:pPr>
  </w:p>
  <w:p w14:paraId="120A0712">
    <w:pPr>
      <w:pStyle w:val="2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207A9">
    <w:pPr>
      <w:widowControl w:val="0"/>
      <w:snapToGrid w:val="0"/>
      <w:spacing w:after="0" w:line="240" w:lineRule="auto"/>
      <w:jc w:val="left"/>
      <w:rPr>
        <w:rFonts w:ascii="Calibri" w:hAnsi="Calibri" w:eastAsia="Calibri" w:cs="Times New Roman"/>
        <w:sz w:val="18"/>
        <w:szCs w:val="22"/>
        <w:lang w:val="en-US" w:eastAsia="en-US" w:bidi="ar-SA"/>
      </w:rPr>
    </w:pPr>
    <w:r>
      <w:rPr>
        <w:rFonts w:ascii="Calibri" w:hAnsi="Calibri" w:eastAsia="Calibri" w:cs="Times New Roman"/>
        <w:sz w:val="18"/>
        <w:szCs w:val="22"/>
        <w:lang w:val="en-US" w:eastAsia="en-US"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B3FC33B">
                          <w:pPr>
                            <w:widowControl w:val="0"/>
                            <w:snapToGrid w:val="0"/>
                            <w:spacing w:after="0" w:line="240" w:lineRule="auto"/>
                            <w:jc w:val="left"/>
                            <w:rPr>
                              <w:rFonts w:hint="eastAsia" w:ascii="Calibri" w:hAnsi="Calibri" w:eastAsia="宋体" w:cs="Times New Roman"/>
                              <w:sz w:val="18"/>
                              <w:szCs w:val="22"/>
                              <w:lang w:val="en-US" w:eastAsia="zh-CN" w:bidi="ar-SA"/>
                            </w:rPr>
                          </w:pPr>
                          <w:r>
                            <w:rPr>
                              <w:rFonts w:hint="eastAsia" w:ascii="Calibri" w:hAnsi="Calibri" w:eastAsia="宋体" w:cs="Times New Roman"/>
                              <w:sz w:val="18"/>
                              <w:szCs w:val="22"/>
                              <w:lang w:val="en-US" w:eastAsia="zh-CN" w:bidi="ar-SA"/>
                            </w:rPr>
                            <w:fldChar w:fldCharType="begin"/>
                          </w:r>
                          <w:r>
                            <w:rPr>
                              <w:rFonts w:hint="eastAsia" w:ascii="Calibri" w:hAnsi="Calibri" w:eastAsia="宋体" w:cs="Times New Roman"/>
                              <w:sz w:val="18"/>
                              <w:szCs w:val="22"/>
                              <w:lang w:val="en-US" w:eastAsia="zh-CN" w:bidi="ar-SA"/>
                            </w:rPr>
                            <w:instrText xml:space="preserve"> PAGE  \* MERGEFORMAT </w:instrText>
                          </w:r>
                          <w:r>
                            <w:rPr>
                              <w:rFonts w:hint="eastAsia" w:ascii="Calibri" w:hAnsi="Calibri" w:eastAsia="宋体" w:cs="Times New Roman"/>
                              <w:sz w:val="18"/>
                              <w:szCs w:val="22"/>
                              <w:lang w:val="en-US" w:eastAsia="zh-CN" w:bidi="ar-SA"/>
                            </w:rPr>
                            <w:fldChar w:fldCharType="separate"/>
                          </w:r>
                          <w:r>
                            <w:rPr>
                              <w:rFonts w:hint="eastAsia" w:ascii="Calibri" w:hAnsi="Calibri" w:eastAsia="宋体" w:cs="Times New Roman"/>
                              <w:sz w:val="18"/>
                              <w:szCs w:val="22"/>
                              <w:lang w:val="en-US" w:eastAsia="zh-CN" w:bidi="ar-SA"/>
                            </w:rPr>
                            <w:t>3</w:t>
                          </w:r>
                          <w:r>
                            <w:rPr>
                              <w:rFonts w:hint="eastAsia" w:ascii="Calibri" w:hAnsi="Calibri" w:eastAsia="宋体" w:cs="Times New Roman"/>
                              <w:sz w:val="18"/>
                              <w:szCs w:val="22"/>
                              <w:lang w:val="en-US" w:eastAsia="zh-CN" w:bidi="ar-SA"/>
                            </w:rPr>
                            <w:fldChar w:fldCharType="end"/>
                          </w:r>
                        </w:p>
                        <w:p w14:paraId="55D3EB6F">
                          <w:pPr>
                            <w:spacing w:after="0" w:line="240" w:lineRule="auto"/>
                            <w:jc w:val="left"/>
                            <w:rPr>
                              <w:rFonts w:hint="default" w:eastAsia="Calibri"/>
                              <w:sz w:val="22"/>
                              <w:lang w:eastAsia="en-US"/>
                            </w:rPr>
                          </w:pPr>
                        </w:p>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WIFz1LoBAACGAwAADgAAAAAAAAABACAAAAAiAQAAZHJzL2Uyb0RvYy54bWxQSwUGAAAA&#10;AAYABgBZAQAATgUAAAAA&#10;">
              <v:fill on="f" focussize="0,0"/>
              <v:stroke on="f"/>
              <v:imagedata o:title=""/>
              <o:lock v:ext="edit" aspectratio="f"/>
              <v:textbox>
                <w:txbxContent>
                  <w:p w14:paraId="0B3FC33B">
                    <w:pPr>
                      <w:widowControl w:val="0"/>
                      <w:snapToGrid w:val="0"/>
                      <w:spacing w:after="0" w:line="240" w:lineRule="auto"/>
                      <w:jc w:val="left"/>
                      <w:rPr>
                        <w:rFonts w:hint="eastAsia" w:ascii="Calibri" w:hAnsi="Calibri" w:eastAsia="宋体" w:cs="Times New Roman"/>
                        <w:sz w:val="18"/>
                        <w:szCs w:val="22"/>
                        <w:lang w:val="en-US" w:eastAsia="zh-CN" w:bidi="ar-SA"/>
                      </w:rPr>
                    </w:pPr>
                    <w:r>
                      <w:rPr>
                        <w:rFonts w:hint="eastAsia" w:ascii="Calibri" w:hAnsi="Calibri" w:eastAsia="宋体" w:cs="Times New Roman"/>
                        <w:sz w:val="18"/>
                        <w:szCs w:val="22"/>
                        <w:lang w:val="en-US" w:eastAsia="zh-CN" w:bidi="ar-SA"/>
                      </w:rPr>
                      <w:fldChar w:fldCharType="begin"/>
                    </w:r>
                    <w:r>
                      <w:rPr>
                        <w:rFonts w:hint="eastAsia" w:ascii="Calibri" w:hAnsi="Calibri" w:eastAsia="宋体" w:cs="Times New Roman"/>
                        <w:sz w:val="18"/>
                        <w:szCs w:val="22"/>
                        <w:lang w:val="en-US" w:eastAsia="zh-CN" w:bidi="ar-SA"/>
                      </w:rPr>
                      <w:instrText xml:space="preserve"> PAGE  \* MERGEFORMAT </w:instrText>
                    </w:r>
                    <w:r>
                      <w:rPr>
                        <w:rFonts w:hint="eastAsia" w:ascii="Calibri" w:hAnsi="Calibri" w:eastAsia="宋体" w:cs="Times New Roman"/>
                        <w:sz w:val="18"/>
                        <w:szCs w:val="22"/>
                        <w:lang w:val="en-US" w:eastAsia="zh-CN" w:bidi="ar-SA"/>
                      </w:rPr>
                      <w:fldChar w:fldCharType="separate"/>
                    </w:r>
                    <w:r>
                      <w:rPr>
                        <w:rFonts w:hint="eastAsia" w:ascii="Calibri" w:hAnsi="Calibri" w:eastAsia="宋体" w:cs="Times New Roman"/>
                        <w:sz w:val="18"/>
                        <w:szCs w:val="22"/>
                        <w:lang w:val="en-US" w:eastAsia="zh-CN" w:bidi="ar-SA"/>
                      </w:rPr>
                      <w:t>3</w:t>
                    </w:r>
                    <w:r>
                      <w:rPr>
                        <w:rFonts w:hint="eastAsia" w:ascii="Calibri" w:hAnsi="Calibri" w:eastAsia="宋体" w:cs="Times New Roman"/>
                        <w:sz w:val="18"/>
                        <w:szCs w:val="22"/>
                        <w:lang w:val="en-US" w:eastAsia="zh-CN" w:bidi="ar-SA"/>
                      </w:rPr>
                      <w:fldChar w:fldCharType="end"/>
                    </w:r>
                  </w:p>
                  <w:p w14:paraId="55D3EB6F">
                    <w:pPr>
                      <w:spacing w:after="0" w:line="240" w:lineRule="auto"/>
                      <w:jc w:val="left"/>
                      <w:rPr>
                        <w:rFonts w:hint="default" w:eastAsia="Calibri"/>
                        <w:sz w:val="22"/>
                        <w:lang w:eastAsia="en-US"/>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9AEC0">
    <w:pPr>
      <w:pStyle w:val="203"/>
      <w:jc w:val="center"/>
    </w:pPr>
    <w:r>
      <w:fldChar w:fldCharType="begin"/>
    </w:r>
    <w:r>
      <w:instrText xml:space="preserve"> PAGE   \* MERGEFORMAT </w:instrText>
    </w:r>
    <w:r>
      <w:fldChar w:fldCharType="separate"/>
    </w:r>
    <w:r>
      <w:rPr>
        <w:lang w:val="zh-CN"/>
      </w:rPr>
      <w:t>14</w:t>
    </w:r>
    <w:r>
      <w:rPr>
        <w:lang w:val="zh-CN"/>
      </w:rPr>
      <w:fldChar w:fldCharType="end"/>
    </w:r>
  </w:p>
  <w:p w14:paraId="3F8C3BB7">
    <w:pPr>
      <w:pStyle w:val="20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C1B80"/>
    <w:multiLevelType w:val="singleLevel"/>
    <w:tmpl w:val="91FC1B80"/>
    <w:lvl w:ilvl="0" w:tentative="0">
      <w:start w:val="1"/>
      <w:numFmt w:val="decimal"/>
      <w:suff w:val="nothing"/>
      <w:lvlText w:val="%1、"/>
      <w:lvlJc w:val="left"/>
    </w:lvl>
  </w:abstractNum>
  <w:abstractNum w:abstractNumId="1">
    <w:nsid w:val="E454397F"/>
    <w:multiLevelType w:val="singleLevel"/>
    <w:tmpl w:val="E454397F"/>
    <w:lvl w:ilvl="0" w:tentative="0">
      <w:start w:val="2"/>
      <w:numFmt w:val="decimal"/>
      <w:suff w:val="nothing"/>
      <w:lvlText w:val="%1、"/>
      <w:lvlJc w:val="left"/>
    </w:lvl>
  </w:abstractNum>
  <w:abstractNum w:abstractNumId="2">
    <w:nsid w:val="0053208E"/>
    <w:multiLevelType w:val="multilevel"/>
    <w:tmpl w:val="0053208E"/>
    <w:lvl w:ilvl="0" w:tentative="0">
      <w:start w:val="1"/>
      <w:numFmt w:val="decimal"/>
      <w:lvlText w:val="%1"/>
      <w:lvlJc w:val="left"/>
      <w:pPr>
        <w:tabs>
          <w:tab w:val="left" w:pos="360"/>
        </w:tabs>
        <w:ind w:left="284" w:hanging="284"/>
      </w:pPr>
      <w:rPr>
        <w:rFonts w:ascii="Times New Roman" w:hAnsi="Times New Roman"/>
        <w:b/>
        <w:i w:val="0"/>
        <w:sz w:val="28"/>
      </w:rPr>
    </w:lvl>
    <w:lvl w:ilvl="1" w:tentative="0">
      <w:start w:val="1"/>
      <w:numFmt w:val="decimal"/>
      <w:suff w:val="space"/>
      <w:lvlText w:val="%1.%2"/>
      <w:lvlJc w:val="left"/>
      <w:pPr>
        <w:ind w:left="0" w:firstLine="0"/>
      </w:pPr>
      <w:rPr>
        <w:rFonts w:ascii="Times New Roman" w:hAnsi="Times New Roman"/>
        <w:b/>
        <w:i w:val="0"/>
        <w:sz w:val="28"/>
      </w:rPr>
    </w:lvl>
    <w:lvl w:ilvl="2" w:tentative="0">
      <w:start w:val="1"/>
      <w:numFmt w:val="decimal"/>
      <w:suff w:val="space"/>
      <w:lvlText w:val="%1.%2.%3"/>
      <w:lvlJc w:val="left"/>
      <w:pPr>
        <w:ind w:left="0" w:firstLine="40"/>
      </w:pPr>
      <w:rPr>
        <w:rFonts w:ascii="Times New Roman" w:hAnsi="Times New Roman"/>
        <w:b/>
        <w:i w:val="0"/>
        <w:sz w:val="24"/>
      </w:rPr>
    </w:lvl>
    <w:lvl w:ilvl="3" w:tentative="0">
      <w:start w:val="1"/>
      <w:numFmt w:val="decimal"/>
      <w:pStyle w:val="185"/>
      <w:suff w:val="space"/>
      <w:lvlText w:val="%1.%2.%3.%4"/>
      <w:lvlJc w:val="left"/>
      <w:pPr>
        <w:ind w:left="0" w:firstLine="0"/>
      </w:pPr>
      <w:rPr>
        <w:rFonts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67B77A0E"/>
    <w:multiLevelType w:val="singleLevel"/>
    <w:tmpl w:val="67B77A0E"/>
    <w:lvl w:ilvl="0" w:tentative="0">
      <w:start w:val="6"/>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124C0"/>
    <w:rsid w:val="18820D00"/>
    <w:rsid w:val="1911433B"/>
    <w:rsid w:val="2F3C6F86"/>
    <w:rsid w:val="37D72607"/>
    <w:rsid w:val="39D20EC0"/>
    <w:rsid w:val="44334273"/>
    <w:rsid w:val="4B9B4530"/>
    <w:rsid w:val="5D0D0F45"/>
    <w:rsid w:val="5F9413B2"/>
    <w:rsid w:val="637F50AC"/>
    <w:rsid w:val="638F5724"/>
    <w:rsid w:val="69CE0BCF"/>
    <w:rsid w:val="6F4855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3"/>
    <w:qFormat/>
    <w:uiPriority w:val="0"/>
    <w:pPr>
      <w:widowControl w:val="0"/>
      <w:jc w:val="both"/>
    </w:pPr>
    <w:rPr>
      <w:rFonts w:hint="default" w:ascii="Calibri" w:hAnsi="Calibri" w:eastAsia="宋体" w:cs="Times New Roman"/>
      <w:sz w:val="21"/>
      <w:szCs w:val="22"/>
      <w:lang w:val="en-US" w:eastAsia="zh-CN" w:bidi="ar-SA"/>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unhideWhenUsed/>
    <w:qFormat/>
    <w:uiPriority w:val="99"/>
    <w:rPr>
      <w:vertAlign w:val="superscript"/>
    </w:rPr>
  </w:style>
  <w:style w:type="character" w:customStyle="1" w:styleId="34">
    <w:name w:val="Heading 1 Char"/>
    <w:link w:val="2"/>
    <w:qFormat/>
    <w:uiPriority w:val="9"/>
    <w:rPr>
      <w:rFonts w:ascii="Arial" w:hAnsi="Arial" w:eastAsia="Arial" w:cs="Arial"/>
      <w:sz w:val="40"/>
      <w:szCs w:val="40"/>
    </w:rPr>
  </w:style>
  <w:style w:type="character" w:customStyle="1" w:styleId="35">
    <w:name w:val="Heading 2 Char"/>
    <w:link w:val="3"/>
    <w:qFormat/>
    <w:uiPriority w:val="9"/>
    <w:rPr>
      <w:rFonts w:ascii="Arial" w:hAnsi="Arial" w:eastAsia="Arial" w:cs="Arial"/>
      <w:sz w:val="34"/>
    </w:rPr>
  </w:style>
  <w:style w:type="character" w:customStyle="1" w:styleId="36">
    <w:name w:val="Heading 3 Char"/>
    <w:link w:val="4"/>
    <w:qFormat/>
    <w:uiPriority w:val="9"/>
    <w:rPr>
      <w:rFonts w:ascii="Arial" w:hAnsi="Arial" w:eastAsia="Arial" w:cs="Arial"/>
      <w:sz w:val="30"/>
      <w:szCs w:val="30"/>
    </w:rPr>
  </w:style>
  <w:style w:type="character" w:customStyle="1" w:styleId="37">
    <w:name w:val="Heading 4 Char"/>
    <w:link w:val="5"/>
    <w:qFormat/>
    <w:uiPriority w:val="9"/>
    <w:rPr>
      <w:rFonts w:ascii="Arial" w:hAnsi="Arial" w:eastAsia="Arial" w:cs="Arial"/>
      <w:b/>
      <w:bCs/>
      <w:sz w:val="26"/>
      <w:szCs w:val="26"/>
    </w:rPr>
  </w:style>
  <w:style w:type="character" w:customStyle="1" w:styleId="38">
    <w:name w:val="Heading 5 Char"/>
    <w:link w:val="6"/>
    <w:qFormat/>
    <w:uiPriority w:val="9"/>
    <w:rPr>
      <w:rFonts w:ascii="Arial" w:hAnsi="Arial" w:eastAsia="Arial" w:cs="Arial"/>
      <w:b/>
      <w:bCs/>
      <w:sz w:val="24"/>
      <w:szCs w:val="24"/>
    </w:rPr>
  </w:style>
  <w:style w:type="character" w:customStyle="1" w:styleId="39">
    <w:name w:val="Heading 6 Char"/>
    <w:link w:val="7"/>
    <w:qFormat/>
    <w:uiPriority w:val="9"/>
    <w:rPr>
      <w:rFonts w:ascii="Arial" w:hAnsi="Arial" w:eastAsia="Arial" w:cs="Arial"/>
      <w:b/>
      <w:bCs/>
      <w:sz w:val="22"/>
      <w:szCs w:val="22"/>
    </w:rPr>
  </w:style>
  <w:style w:type="character" w:customStyle="1" w:styleId="40">
    <w:name w:val="Heading 7 Char"/>
    <w:link w:val="8"/>
    <w:qFormat/>
    <w:uiPriority w:val="9"/>
    <w:rPr>
      <w:rFonts w:ascii="Arial" w:hAnsi="Arial" w:eastAsia="Arial" w:cs="Arial"/>
      <w:b/>
      <w:bCs/>
      <w:i/>
      <w:iCs/>
      <w:sz w:val="22"/>
      <w:szCs w:val="22"/>
    </w:rPr>
  </w:style>
  <w:style w:type="character" w:customStyle="1" w:styleId="41">
    <w:name w:val="Heading 8 Char"/>
    <w:link w:val="9"/>
    <w:qFormat/>
    <w:uiPriority w:val="9"/>
    <w:rPr>
      <w:rFonts w:ascii="Arial" w:hAnsi="Arial" w:eastAsia="Arial" w:cs="Arial"/>
      <w:i/>
      <w:iCs/>
      <w:sz w:val="22"/>
      <w:szCs w:val="22"/>
    </w:rPr>
  </w:style>
  <w:style w:type="character" w:customStyle="1" w:styleId="42">
    <w:name w:val="Heading 9 Char"/>
    <w:link w:val="10"/>
    <w:qFormat/>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link w:val="18"/>
    <w:qFormat/>
    <w:uiPriority w:val="99"/>
  </w:style>
  <w:style w:type="character" w:customStyle="1" w:styleId="52">
    <w:name w:val="Footer Char"/>
    <w:link w:val="17"/>
    <w:qFormat/>
    <w:uiPriority w:val="99"/>
  </w:style>
  <w:style w:type="character" w:customStyle="1" w:styleId="53">
    <w:name w:val="Caption Char"/>
    <w:link w:val="17"/>
    <w:qFormat/>
    <w:uiPriority w:val="99"/>
  </w:style>
  <w:style w:type="table" w:customStyle="1" w:styleId="5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2">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4">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5">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6">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7">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9">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0">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1">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2">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4">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3">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0">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1">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2">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3">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4">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5">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6">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7">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8">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99">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0">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1">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2">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5">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6">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7">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8">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09">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1">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2">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3">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4">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5">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6">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8">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0">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1">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2">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3">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5">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7">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9">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0">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0">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1">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2">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3">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4">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5">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6">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7">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9">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0">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1">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3">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4">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5">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6">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7">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8">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0">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1">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2">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3">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4">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4">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7">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8">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Times New Roman" w:hAnsi="Times New Roman" w:eastAsia="宋体" w:cs="Times New Roman"/>
    </w:rPr>
  </w:style>
  <w:style w:type="paragraph" w:customStyle="1" w:styleId="182">
    <w:name w:val="标题 11"/>
    <w:basedOn w:val="1"/>
    <w:next w:val="1"/>
    <w:link w:val="188"/>
    <w:qFormat/>
    <w:uiPriority w:val="9"/>
    <w:pPr>
      <w:keepNext/>
      <w:keepLines/>
      <w:spacing w:before="340" w:after="330" w:line="578" w:lineRule="auto"/>
      <w:outlineLvl w:val="0"/>
    </w:pPr>
    <w:rPr>
      <w:b/>
      <w:bCs/>
      <w:sz w:val="44"/>
      <w:szCs w:val="44"/>
    </w:rPr>
  </w:style>
  <w:style w:type="paragraph" w:customStyle="1" w:styleId="183">
    <w:name w:val="标题 21"/>
    <w:basedOn w:val="1"/>
    <w:next w:val="1"/>
    <w:link w:val="189"/>
    <w:qFormat/>
    <w:uiPriority w:val="9"/>
    <w:pPr>
      <w:keepNext/>
      <w:keepLines/>
      <w:spacing w:before="260" w:after="260" w:line="416" w:lineRule="auto"/>
      <w:outlineLvl w:val="1"/>
    </w:pPr>
    <w:rPr>
      <w:rFonts w:ascii="Cambria" w:hAnsi="Cambria" w:eastAsia="宋体" w:cs="Times New Roman"/>
      <w:b/>
      <w:bCs/>
      <w:sz w:val="32"/>
      <w:szCs w:val="32"/>
    </w:rPr>
  </w:style>
  <w:style w:type="paragraph" w:customStyle="1" w:styleId="184">
    <w:name w:val="标题 31"/>
    <w:basedOn w:val="1"/>
    <w:next w:val="1"/>
    <w:link w:val="190"/>
    <w:qFormat/>
    <w:uiPriority w:val="9"/>
    <w:pPr>
      <w:keepNext/>
      <w:keepLines/>
      <w:spacing w:before="260" w:after="260" w:line="416" w:lineRule="auto"/>
      <w:outlineLvl w:val="2"/>
    </w:pPr>
    <w:rPr>
      <w:b/>
      <w:bCs/>
      <w:sz w:val="32"/>
      <w:szCs w:val="32"/>
    </w:rPr>
  </w:style>
  <w:style w:type="paragraph" w:customStyle="1" w:styleId="185">
    <w:name w:val="标题 41"/>
    <w:basedOn w:val="1"/>
    <w:next w:val="1"/>
    <w:qFormat/>
    <w:uiPriority w:val="0"/>
    <w:pPr>
      <w:numPr>
        <w:ilvl w:val="3"/>
        <w:numId w:val="1"/>
      </w:numPr>
      <w:tabs>
        <w:tab w:val="left" w:pos="2155"/>
      </w:tabs>
      <w:spacing w:before="120" w:line="360" w:lineRule="auto"/>
      <w:ind w:left="0" w:firstLine="0"/>
      <w:outlineLvl w:val="3"/>
    </w:pPr>
    <w:rPr>
      <w:rFonts w:ascii="Arial" w:hAnsi="Times New Roman" w:eastAsia="黑体" w:cs="Times New Roman"/>
      <w:sz w:val="28"/>
      <w:szCs w:val="20"/>
    </w:rPr>
  </w:style>
  <w:style w:type="character" w:customStyle="1" w:styleId="186">
    <w:name w:val="默认段落字体1"/>
    <w:link w:val="1"/>
    <w:unhideWhenUsed/>
    <w:qFormat/>
    <w:uiPriority w:val="1"/>
  </w:style>
  <w:style w:type="table" w:customStyle="1" w:styleId="187">
    <w:name w:val="普通表格1"/>
    <w:unhideWhenUsed/>
    <w:qFormat/>
    <w:uiPriority w:val="99"/>
    <w:pPr>
      <w:keepNext w:val="0"/>
      <w:keepLines w:val="0"/>
      <w:widowControl/>
      <w:suppressLineNumbers w:val="0"/>
      <w:spacing w:before="0" w:beforeAutospacing="0" w:after="0" w:afterAutospacing="0"/>
      <w:ind w:left="0" w:right="0"/>
    </w:pPr>
    <w:rPr>
      <w:rFonts w:ascii="Calibri" w:hAnsi="Calibri" w:cs="Times New Roman"/>
      <w:sz w:val="21"/>
      <w:szCs w:val="22"/>
    </w:rPr>
  </w:style>
  <w:style w:type="character" w:customStyle="1" w:styleId="188">
    <w:name w:val="标题 1 Char"/>
    <w:basedOn w:val="186"/>
    <w:link w:val="182"/>
    <w:qFormat/>
    <w:uiPriority w:val="9"/>
    <w:rPr>
      <w:b/>
      <w:bCs/>
      <w:sz w:val="44"/>
      <w:szCs w:val="44"/>
    </w:rPr>
  </w:style>
  <w:style w:type="character" w:customStyle="1" w:styleId="189">
    <w:name w:val="标题 2 Char"/>
    <w:basedOn w:val="186"/>
    <w:link w:val="183"/>
    <w:qFormat/>
    <w:uiPriority w:val="9"/>
    <w:rPr>
      <w:rFonts w:ascii="Cambria" w:hAnsi="Cambria" w:eastAsia="宋体" w:cs="Times New Roman"/>
      <w:b/>
      <w:bCs/>
      <w:sz w:val="32"/>
      <w:szCs w:val="32"/>
    </w:rPr>
  </w:style>
  <w:style w:type="character" w:customStyle="1" w:styleId="190">
    <w:name w:val="标题 3 Char"/>
    <w:basedOn w:val="186"/>
    <w:link w:val="184"/>
    <w:qFormat/>
    <w:uiPriority w:val="9"/>
    <w:rPr>
      <w:b/>
      <w:bCs/>
      <w:sz w:val="32"/>
      <w:szCs w:val="32"/>
    </w:rPr>
  </w:style>
  <w:style w:type="paragraph" w:customStyle="1" w:styleId="191">
    <w:name w:val="文档结构图1"/>
    <w:basedOn w:val="1"/>
    <w:link w:val="192"/>
    <w:unhideWhenUsed/>
    <w:qFormat/>
    <w:uiPriority w:val="99"/>
    <w:rPr>
      <w:rFonts w:ascii="宋体" w:eastAsia="宋体"/>
      <w:sz w:val="18"/>
      <w:szCs w:val="18"/>
    </w:rPr>
  </w:style>
  <w:style w:type="character" w:customStyle="1" w:styleId="192">
    <w:name w:val="文档结构图 Char"/>
    <w:basedOn w:val="186"/>
    <w:link w:val="191"/>
    <w:semiHidden/>
    <w:qFormat/>
    <w:uiPriority w:val="99"/>
    <w:rPr>
      <w:rFonts w:ascii="宋体" w:eastAsia="宋体"/>
      <w:sz w:val="18"/>
      <w:szCs w:val="18"/>
    </w:rPr>
  </w:style>
  <w:style w:type="paragraph" w:customStyle="1" w:styleId="193">
    <w:name w:val="批注文字1"/>
    <w:basedOn w:val="1"/>
    <w:link w:val="194"/>
    <w:qFormat/>
    <w:uiPriority w:val="0"/>
    <w:pPr>
      <w:spacing w:line="360" w:lineRule="auto"/>
      <w:ind w:firstLine="922"/>
      <w:jc w:val="left"/>
    </w:pPr>
    <w:rPr>
      <w:rFonts w:ascii="Times New Roman" w:hAnsi="Times New Roman" w:eastAsia="宋体" w:cs="Times New Roman"/>
      <w:szCs w:val="24"/>
    </w:rPr>
  </w:style>
  <w:style w:type="character" w:customStyle="1" w:styleId="194">
    <w:name w:val="批注文字 Char"/>
    <w:basedOn w:val="186"/>
    <w:link w:val="193"/>
    <w:qFormat/>
    <w:uiPriority w:val="0"/>
    <w:rPr>
      <w:rFonts w:ascii="Times New Roman" w:hAnsi="Times New Roman" w:eastAsia="宋体" w:cs="Times New Roman"/>
      <w:szCs w:val="24"/>
    </w:rPr>
  </w:style>
  <w:style w:type="paragraph" w:customStyle="1" w:styleId="195">
    <w:name w:val="正文文本1"/>
    <w:basedOn w:val="1"/>
    <w:next w:val="1"/>
    <w:unhideWhenUsed/>
    <w:qFormat/>
    <w:uiPriority w:val="99"/>
    <w:pPr>
      <w:spacing w:after="120"/>
    </w:pPr>
  </w:style>
  <w:style w:type="paragraph" w:customStyle="1" w:styleId="196">
    <w:name w:val="正文文本缩进1"/>
    <w:basedOn w:val="1"/>
    <w:qFormat/>
    <w:uiPriority w:val="99"/>
    <w:pPr>
      <w:spacing w:after="120"/>
      <w:ind w:left="420"/>
    </w:pPr>
  </w:style>
  <w:style w:type="paragraph" w:customStyle="1" w:styleId="197">
    <w:name w:val="纯文本1"/>
    <w:basedOn w:val="1"/>
    <w:link w:val="198"/>
    <w:qFormat/>
    <w:uiPriority w:val="0"/>
    <w:rPr>
      <w:rFonts w:ascii="宋体" w:hAnsi="Courier New" w:eastAsia="宋体" w:cs="Times New Roman"/>
      <w:szCs w:val="20"/>
    </w:rPr>
  </w:style>
  <w:style w:type="character" w:customStyle="1" w:styleId="198">
    <w:name w:val="纯文本 Char"/>
    <w:basedOn w:val="186"/>
    <w:link w:val="197"/>
    <w:qFormat/>
    <w:uiPriority w:val="0"/>
    <w:rPr>
      <w:rFonts w:ascii="宋体" w:hAnsi="Courier New" w:eastAsia="宋体" w:cs="Times New Roman"/>
      <w:szCs w:val="20"/>
    </w:rPr>
  </w:style>
  <w:style w:type="paragraph" w:customStyle="1" w:styleId="199">
    <w:name w:val="日期1"/>
    <w:basedOn w:val="1"/>
    <w:next w:val="1"/>
    <w:link w:val="200"/>
    <w:unhideWhenUsed/>
    <w:qFormat/>
    <w:uiPriority w:val="99"/>
    <w:pPr>
      <w:ind w:left="100"/>
    </w:pPr>
  </w:style>
  <w:style w:type="character" w:customStyle="1" w:styleId="200">
    <w:name w:val="日期 Char"/>
    <w:basedOn w:val="186"/>
    <w:link w:val="199"/>
    <w:semiHidden/>
    <w:qFormat/>
    <w:uiPriority w:val="99"/>
  </w:style>
  <w:style w:type="paragraph" w:customStyle="1" w:styleId="201">
    <w:name w:val="批注框文本1"/>
    <w:basedOn w:val="1"/>
    <w:link w:val="202"/>
    <w:unhideWhenUsed/>
    <w:qFormat/>
    <w:uiPriority w:val="99"/>
    <w:rPr>
      <w:sz w:val="18"/>
      <w:szCs w:val="18"/>
    </w:rPr>
  </w:style>
  <w:style w:type="character" w:customStyle="1" w:styleId="202">
    <w:name w:val="批注框文本 Char"/>
    <w:basedOn w:val="186"/>
    <w:link w:val="201"/>
    <w:semiHidden/>
    <w:qFormat/>
    <w:uiPriority w:val="99"/>
    <w:rPr>
      <w:sz w:val="18"/>
      <w:szCs w:val="18"/>
    </w:rPr>
  </w:style>
  <w:style w:type="paragraph" w:customStyle="1" w:styleId="203">
    <w:name w:val="页脚1"/>
    <w:basedOn w:val="1"/>
    <w:link w:val="204"/>
    <w:unhideWhenUsed/>
    <w:qFormat/>
    <w:uiPriority w:val="99"/>
    <w:pPr>
      <w:tabs>
        <w:tab w:val="center" w:pos="4153"/>
        <w:tab w:val="right" w:pos="8306"/>
      </w:tabs>
      <w:jc w:val="left"/>
    </w:pPr>
    <w:rPr>
      <w:sz w:val="18"/>
      <w:szCs w:val="18"/>
    </w:rPr>
  </w:style>
  <w:style w:type="character" w:customStyle="1" w:styleId="204">
    <w:name w:val="页脚 Char"/>
    <w:basedOn w:val="186"/>
    <w:link w:val="203"/>
    <w:qFormat/>
    <w:uiPriority w:val="99"/>
    <w:rPr>
      <w:sz w:val="18"/>
      <w:szCs w:val="18"/>
    </w:rPr>
  </w:style>
  <w:style w:type="paragraph" w:customStyle="1" w:styleId="205">
    <w:name w:val="寄信人地址1"/>
    <w:basedOn w:val="1"/>
    <w:unhideWhenUsed/>
    <w:qFormat/>
    <w:uiPriority w:val="99"/>
    <w:rPr>
      <w:rFonts w:ascii="Arial" w:hAnsi="Arial"/>
    </w:rPr>
  </w:style>
  <w:style w:type="paragraph" w:customStyle="1" w:styleId="206">
    <w:name w:val="页眉1"/>
    <w:basedOn w:val="1"/>
    <w:link w:val="207"/>
    <w:unhideWhenUsed/>
    <w:qFormat/>
    <w:uiPriority w:val="99"/>
    <w:pPr>
      <w:pBdr>
        <w:bottom w:val="single" w:color="000000" w:sz="6" w:space="1"/>
      </w:pBdr>
      <w:tabs>
        <w:tab w:val="center" w:pos="4153"/>
        <w:tab w:val="right" w:pos="8306"/>
      </w:tabs>
      <w:jc w:val="center"/>
    </w:pPr>
    <w:rPr>
      <w:sz w:val="18"/>
      <w:szCs w:val="18"/>
    </w:rPr>
  </w:style>
  <w:style w:type="character" w:customStyle="1" w:styleId="207">
    <w:name w:val="页眉 Char"/>
    <w:basedOn w:val="186"/>
    <w:link w:val="206"/>
    <w:semiHidden/>
    <w:qFormat/>
    <w:uiPriority w:val="99"/>
    <w:rPr>
      <w:sz w:val="18"/>
      <w:szCs w:val="18"/>
    </w:rPr>
  </w:style>
  <w:style w:type="paragraph" w:customStyle="1" w:styleId="208">
    <w:name w:val="目录 11"/>
    <w:basedOn w:val="1"/>
    <w:next w:val="1"/>
    <w:unhideWhenUsed/>
    <w:qFormat/>
    <w:uiPriority w:val="39"/>
  </w:style>
  <w:style w:type="paragraph" w:customStyle="1" w:styleId="209">
    <w:name w:val="正文首行缩进1"/>
    <w:basedOn w:val="195"/>
    <w:qFormat/>
    <w:uiPriority w:val="99"/>
    <w:pPr>
      <w:tabs>
        <w:tab w:val="left" w:pos="567"/>
      </w:tabs>
      <w:ind w:firstLine="420"/>
    </w:pPr>
  </w:style>
  <w:style w:type="paragraph" w:customStyle="1" w:styleId="210">
    <w:name w:val="正文首行缩进 21"/>
    <w:basedOn w:val="196"/>
    <w:qFormat/>
    <w:uiPriority w:val="99"/>
    <w:pPr>
      <w:ind w:firstLine="420"/>
    </w:pPr>
  </w:style>
  <w:style w:type="table" w:customStyle="1" w:styleId="211">
    <w:name w:val="网格型1"/>
    <w:basedOn w:val="187"/>
    <w:qFormat/>
    <w:uiPriority w:val="59"/>
  </w:style>
  <w:style w:type="character" w:customStyle="1" w:styleId="212">
    <w:name w:val="超链接1"/>
    <w:link w:val="1"/>
    <w:qFormat/>
    <w:uiPriority w:val="99"/>
    <w:rPr>
      <w:color w:val="0000FF"/>
      <w:u w:val="none"/>
    </w:rPr>
  </w:style>
  <w:style w:type="character" w:customStyle="1" w:styleId="213">
    <w:name w:val="批注引用1"/>
    <w:link w:val="1"/>
    <w:qFormat/>
    <w:uiPriority w:val="0"/>
    <w:rPr>
      <w:sz w:val="21"/>
      <w:szCs w:val="21"/>
    </w:rPr>
  </w:style>
  <w:style w:type="paragraph" w:customStyle="1" w:styleId="214">
    <w:name w:val="Default"/>
    <w:link w:val="215"/>
    <w:qFormat/>
    <w:uiPriority w:val="99"/>
    <w:pPr>
      <w:widowControl w:val="0"/>
    </w:pPr>
    <w:rPr>
      <w:rFonts w:hint="default" w:ascii="MS Mincho" w:hAnsi="Calibri" w:eastAsia="宋体" w:cs="Times New Roman"/>
      <w:color w:val="000000"/>
      <w:szCs w:val="24"/>
      <w:lang w:bidi="ar-SA"/>
    </w:rPr>
  </w:style>
  <w:style w:type="character" w:customStyle="1" w:styleId="215">
    <w:name w:val="Default Char"/>
    <w:link w:val="214"/>
    <w:qFormat/>
    <w:uiPriority w:val="99"/>
    <w:rPr>
      <w:rFonts w:ascii="MS Mincho" w:hAnsi="Calibri"/>
      <w:color w:val="000000"/>
      <w:szCs w:val="24"/>
      <w:lang w:bidi="ar-SA"/>
    </w:rPr>
  </w:style>
  <w:style w:type="paragraph" w:customStyle="1" w:styleId="216">
    <w:name w:val="正文首行缩进11"/>
    <w:basedOn w:val="217"/>
    <w:qFormat/>
    <w:uiPriority w:val="0"/>
    <w:pPr>
      <w:spacing w:line="360" w:lineRule="auto"/>
      <w:ind w:firstLine="200"/>
    </w:pPr>
    <w:rPr>
      <w:rFonts w:ascii="仿宋_GB2312" w:hAnsi="Times New Roman" w:eastAsia="仿宋_GB2312"/>
      <w:sz w:val="30"/>
      <w:szCs w:val="30"/>
    </w:rPr>
  </w:style>
  <w:style w:type="paragraph" w:customStyle="1" w:styleId="217">
    <w:name w:val="正文文本11"/>
    <w:basedOn w:val="1"/>
    <w:next w:val="1"/>
    <w:qFormat/>
    <w:uiPriority w:val="0"/>
    <w:rPr>
      <w:rFonts w:ascii="楷体_GB2312" w:hAnsi="Arial" w:eastAsia="楷体_GB2312"/>
      <w:sz w:val="28"/>
      <w:szCs w:val="28"/>
      <w:lang w:eastAsia="en-US"/>
    </w:rPr>
  </w:style>
  <w:style w:type="paragraph" w:customStyle="1" w:styleId="218">
    <w:name w:val="AONormal"/>
    <w:qFormat/>
    <w:uiPriority w:val="0"/>
    <w:pPr>
      <w:spacing w:line="400" w:lineRule="exact"/>
      <w:ind w:firstLine="440"/>
    </w:pPr>
    <w:rPr>
      <w:rFonts w:hint="default" w:ascii="华文楷体" w:hAnsi="华文楷体" w:eastAsia="华文楷体" w:cs="华文楷体"/>
      <w:sz w:val="22"/>
      <w:szCs w:val="21"/>
      <w:lang w:val="en-US" w:eastAsia="zh-CN" w:bidi="ar-SA"/>
    </w:rPr>
  </w:style>
  <w:style w:type="paragraph" w:customStyle="1" w:styleId="219">
    <w:name w:val="列出段落1"/>
    <w:basedOn w:val="1"/>
    <w:qFormat/>
    <w:uiPriority w:val="0"/>
    <w:pPr>
      <w:ind w:firstLine="420"/>
    </w:pPr>
    <w:rPr>
      <w:rFonts w:ascii="Times New Roman" w:hAnsi="Times New Roman" w:eastAsia="宋体" w:cs="Times New Roman"/>
      <w:szCs w:val="21"/>
    </w:rPr>
  </w:style>
  <w:style w:type="paragraph" w:customStyle="1" w:styleId="220">
    <w:name w:val="null3"/>
    <w:qFormat/>
    <w:uiPriority w:val="0"/>
    <w:rPr>
      <w:rFonts w:hint="eastAsia" w:ascii="Calibri" w:hAnsi="Calibri" w:eastAsia="宋体" w:cs="Times New Roman"/>
      <w:lang w:val="en-US" w:eastAsia="en-US"/>
    </w:rPr>
  </w:style>
  <w:style w:type="paragraph" w:customStyle="1" w:styleId="221">
    <w:name w:val="标题 311"/>
    <w:next w:val="1"/>
    <w:qFormat/>
    <w:uiPriority w:val="9"/>
    <w:pPr>
      <w:keepNext/>
      <w:keepLines/>
      <w:widowControl w:val="0"/>
      <w:spacing w:before="260" w:after="260" w:line="416" w:lineRule="auto"/>
      <w:jc w:val="both"/>
      <w:outlineLvl w:val="2"/>
    </w:pPr>
    <w:rPr>
      <w:rFonts w:hint="default" w:ascii="Calibri" w:hAnsi="Calibri" w:eastAsia="宋体" w:cs="Times New Roman"/>
      <w:b/>
      <w:bCs/>
      <w:sz w:val="32"/>
      <w:szCs w:val="32"/>
      <w:lang w:val="en-US" w:eastAsia="zh-CN" w:bidi="ar-SA"/>
    </w:rPr>
  </w:style>
  <w:style w:type="table" w:customStyle="1" w:styleId="222">
    <w:name w:val="Table Normal"/>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Pages>118</Pages>
  <Words>15066</Words>
  <Characters>15863</Characters>
  <TotalTime>64</TotalTime>
  <ScaleCrop>false</ScaleCrop>
  <LinksUpToDate>false</LinksUpToDate>
  <CharactersWithSpaces>16576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“苏采云”公开</cp:category>
  <dcterms:created xsi:type="dcterms:W3CDTF">2024-08-14T05:18:00Z</dcterms:created>
  <dc:creator>连云港市公共</dc:creator>
  <dc:description>2024年11</dc:description>
  <cp:lastModifiedBy>一顺百顺</cp:lastModifiedBy>
  <dcterms:modified xsi:type="dcterms:W3CDTF">2025-07-25T09:03:46Z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eyJoZGlkIjoiZGMyNDAyMTFkZDVkYTdmMTUwMjk4NTIzNTEyZWQzMDIiLCJ1c2VySWQiOiIyNjYzMTU1MTkifQ==</vt:lpwstr>
  </property>
  <property fmtid="{D5CDD505-2E9C-101B-9397-08002B2CF9AE}" pid="3" name="KSOProductBuildVer">
    <vt:lpwstr>2052-12.1.0.21915</vt:lpwstr>
  </property>
  <property fmtid="{D5CDD505-2E9C-101B-9397-08002B2CF9AE}" pid="4" name="ICV">
    <vt:lpwstr>7B8087B075984A11A75B74DF85B2CDF4_13</vt:lpwstr>
  </property>
</Properties>
</file>