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b/>
          <w:sz w:val="36"/>
          <w:szCs w:val="36"/>
        </w:rPr>
      </w:pPr>
      <w:r>
        <w:rPr>
          <w:rFonts w:hint="eastAsia" w:eastAsia="黑体"/>
          <w:sz w:val="36"/>
          <w:szCs w:val="36"/>
          <w:lang w:val="en-US" w:eastAsia="zh-CN"/>
        </w:rPr>
        <w:t>常州工学院天璇楼智慧教室装修工程</w:t>
      </w:r>
      <w:r>
        <w:rPr>
          <w:rFonts w:hint="eastAsia" w:eastAsia="黑体"/>
          <w:sz w:val="36"/>
          <w:szCs w:val="36"/>
        </w:rPr>
        <w:t>编制说明</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一、编制依据</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1、《建设工程工程量清单计价规范》（GB50500-2013）、《房屋建筑与装饰工程工程量计算规范》（GB50854-2013）</w:t>
      </w:r>
      <w:r>
        <w:rPr>
          <w:rFonts w:hint="eastAsia" w:ascii="仿宋" w:hAnsi="仿宋" w:eastAsia="仿宋" w:cs="仿宋"/>
          <w:bCs/>
          <w:sz w:val="24"/>
          <w:szCs w:val="24"/>
          <w:lang w:eastAsia="zh-CN"/>
        </w:rPr>
        <w:t>、《通用安装工程工程量计算规范》（GB50856-2013）、《江苏省安装工程计价定额》（2014年）、</w:t>
      </w:r>
      <w:r>
        <w:rPr>
          <w:rFonts w:hint="eastAsia" w:ascii="仿宋" w:hAnsi="仿宋" w:eastAsia="仿宋" w:cs="仿宋"/>
          <w:bCs/>
          <w:sz w:val="24"/>
          <w:szCs w:val="24"/>
        </w:rPr>
        <w:t>《江苏省建筑与装饰工程计价定额》（2014版）及配套的《江苏省建设工程费用定额》（2014版）。</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2、委托方的编制要求。</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3、</w:t>
      </w:r>
      <w:r>
        <w:rPr>
          <w:rFonts w:hint="eastAsia" w:ascii="仿宋" w:hAnsi="仿宋" w:eastAsia="仿宋" w:cs="仿宋"/>
          <w:bCs/>
          <w:sz w:val="24"/>
          <w:szCs w:val="24"/>
          <w:lang w:eastAsia="zh-CN"/>
        </w:rPr>
        <w:t>常建（2014）279号文、苏建价（2014）448号文、苏建价〔2016〕154号文、苏建价函（2019）178号文、常建（2019）1号文、</w:t>
      </w:r>
      <w:r>
        <w:rPr>
          <w:rFonts w:hint="eastAsia" w:ascii="仿宋" w:hAnsi="仿宋" w:eastAsia="仿宋" w:cs="仿宋"/>
          <w:sz w:val="24"/>
          <w:szCs w:val="24"/>
        </w:rPr>
        <w:t>等编制</w:t>
      </w:r>
      <w:r>
        <w:rPr>
          <w:rFonts w:hint="eastAsia" w:ascii="仿宋" w:hAnsi="仿宋" w:eastAsia="仿宋" w:cs="仿宋"/>
          <w:bCs/>
          <w:sz w:val="24"/>
          <w:szCs w:val="24"/>
        </w:rPr>
        <w:t>等相关法律法规文件。</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4、材料价格依据20</w:t>
      </w:r>
      <w:r>
        <w:rPr>
          <w:rFonts w:hint="eastAsia" w:ascii="仿宋" w:hAnsi="仿宋" w:eastAsia="仿宋" w:cs="仿宋"/>
          <w:bCs/>
          <w:sz w:val="24"/>
          <w:szCs w:val="24"/>
          <w:lang w:val="en-US" w:eastAsia="zh-CN"/>
        </w:rPr>
        <w:t>25</w:t>
      </w:r>
      <w:r>
        <w:rPr>
          <w:rFonts w:hint="eastAsia" w:ascii="仿宋" w:hAnsi="仿宋" w:eastAsia="仿宋" w:cs="仿宋"/>
          <w:bCs/>
          <w:sz w:val="24"/>
          <w:szCs w:val="24"/>
        </w:rPr>
        <w:t>年</w:t>
      </w:r>
      <w:r>
        <w:rPr>
          <w:rFonts w:hint="eastAsia" w:ascii="仿宋" w:hAnsi="仿宋" w:eastAsia="仿宋" w:cs="仿宋"/>
          <w:bCs/>
          <w:sz w:val="24"/>
          <w:szCs w:val="24"/>
          <w:lang w:val="en-US" w:eastAsia="zh-CN"/>
        </w:rPr>
        <w:t>4</w:t>
      </w:r>
      <w:r>
        <w:rPr>
          <w:rFonts w:hint="eastAsia" w:ascii="仿宋" w:hAnsi="仿宋" w:eastAsia="仿宋" w:cs="仿宋"/>
          <w:bCs/>
          <w:sz w:val="24"/>
          <w:szCs w:val="24"/>
        </w:rPr>
        <w:t>月份常州工程造价信息指导价</w:t>
      </w:r>
      <w:r>
        <w:rPr>
          <w:rFonts w:hint="eastAsia" w:ascii="仿宋" w:hAnsi="仿宋" w:eastAsia="仿宋" w:cs="仿宋"/>
          <w:bCs/>
          <w:sz w:val="24"/>
          <w:szCs w:val="24"/>
          <w:lang w:val="en-US" w:eastAsia="zh-CN"/>
        </w:rPr>
        <w:t>含税价计入</w:t>
      </w:r>
      <w:r>
        <w:rPr>
          <w:rFonts w:hint="eastAsia" w:ascii="仿宋" w:hAnsi="仿宋" w:eastAsia="仿宋" w:cs="仿宋"/>
          <w:bCs/>
          <w:sz w:val="24"/>
          <w:szCs w:val="24"/>
        </w:rPr>
        <w:t>，</w:t>
      </w:r>
      <w:r>
        <w:rPr>
          <w:rFonts w:hint="eastAsia" w:ascii="仿宋" w:hAnsi="仿宋" w:eastAsia="仿宋" w:cs="仿宋"/>
          <w:bCs/>
          <w:sz w:val="24"/>
          <w:szCs w:val="24"/>
          <w:lang w:val="en-US" w:eastAsia="zh-CN"/>
        </w:rPr>
        <w:t>4</w:t>
      </w:r>
      <w:r>
        <w:rPr>
          <w:rFonts w:hint="eastAsia" w:ascii="仿宋" w:hAnsi="仿宋" w:eastAsia="仿宋" w:cs="仿宋"/>
          <w:bCs/>
          <w:sz w:val="24"/>
          <w:szCs w:val="24"/>
        </w:rPr>
        <w:t>月份未有的逐月前推，信息价上没有的材料价格为市场询价计入标底，；</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5、机械费用依据江苏省2014</w:t>
      </w:r>
      <w:bookmarkStart w:id="0" w:name="_GoBack"/>
      <w:bookmarkEnd w:id="0"/>
      <w:r>
        <w:rPr>
          <w:rFonts w:hint="eastAsia" w:ascii="仿宋" w:hAnsi="仿宋" w:eastAsia="仿宋" w:cs="仿宋"/>
          <w:bCs/>
          <w:sz w:val="24"/>
          <w:szCs w:val="24"/>
        </w:rPr>
        <w:t>年台班单价，柴油、汽油和人工已调。</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6、人工工资单价执行</w:t>
      </w:r>
      <w:r>
        <w:rPr>
          <w:rFonts w:hint="eastAsia" w:ascii="仿宋" w:hAnsi="仿宋" w:eastAsia="仿宋" w:cs="仿宋"/>
          <w:bCs/>
          <w:sz w:val="24"/>
          <w:szCs w:val="24"/>
          <w:lang w:val="en-US" w:eastAsia="zh-CN"/>
        </w:rPr>
        <w:t>按</w:t>
      </w:r>
      <w:r>
        <w:rPr>
          <w:rFonts w:hint="eastAsia" w:ascii="仿宋" w:hAnsi="仿宋" w:eastAsia="仿宋" w:cs="仿宋"/>
          <w:bCs/>
          <w:sz w:val="24"/>
          <w:szCs w:val="24"/>
        </w:rPr>
        <w:t>苏建函价【20</w:t>
      </w:r>
      <w:r>
        <w:rPr>
          <w:rFonts w:hint="eastAsia" w:ascii="仿宋" w:hAnsi="仿宋" w:eastAsia="仿宋" w:cs="仿宋"/>
          <w:bCs/>
          <w:sz w:val="24"/>
          <w:szCs w:val="24"/>
          <w:lang w:val="en-US" w:eastAsia="zh-CN"/>
        </w:rPr>
        <w:t>25</w:t>
      </w:r>
      <w:r>
        <w:rPr>
          <w:rFonts w:hint="eastAsia" w:ascii="仿宋" w:hAnsi="仿宋" w:eastAsia="仿宋" w:cs="仿宋"/>
          <w:bCs/>
          <w:sz w:val="24"/>
          <w:szCs w:val="24"/>
        </w:rPr>
        <w:t>】</w:t>
      </w:r>
      <w:r>
        <w:rPr>
          <w:rFonts w:hint="eastAsia" w:ascii="仿宋" w:hAnsi="仿宋" w:eastAsia="仿宋" w:cs="仿宋"/>
          <w:bCs/>
          <w:sz w:val="24"/>
          <w:szCs w:val="24"/>
          <w:lang w:val="en-US" w:eastAsia="zh-CN"/>
        </w:rPr>
        <w:t>66</w:t>
      </w:r>
      <w:r>
        <w:rPr>
          <w:rFonts w:hint="eastAsia" w:ascii="仿宋" w:hAnsi="仿宋" w:eastAsia="仿宋" w:cs="仿宋"/>
          <w:bCs/>
          <w:sz w:val="24"/>
          <w:szCs w:val="24"/>
        </w:rPr>
        <w:t>号</w:t>
      </w:r>
      <w:r>
        <w:rPr>
          <w:rFonts w:hint="eastAsia" w:ascii="仿宋" w:hAnsi="仿宋" w:eastAsia="仿宋" w:cs="仿宋"/>
          <w:bCs/>
          <w:sz w:val="24"/>
          <w:szCs w:val="24"/>
          <w:lang w:eastAsia="zh-CN"/>
        </w:rPr>
        <w:t>文《江苏省住房和城乡建设厅关于发布建设工工程人工工资指导价的通知》执行</w:t>
      </w:r>
      <w:r>
        <w:rPr>
          <w:rFonts w:hint="eastAsia" w:ascii="仿宋" w:hAnsi="仿宋" w:eastAsia="仿宋" w:cs="仿宋"/>
          <w:bCs/>
          <w:sz w:val="24"/>
          <w:szCs w:val="24"/>
        </w:rPr>
        <w:t>。</w:t>
      </w:r>
    </w:p>
    <w:p>
      <w:pPr>
        <w:snapToGrid w:val="0"/>
        <w:spacing w:line="360" w:lineRule="auto"/>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7、</w:t>
      </w:r>
      <w:r>
        <w:rPr>
          <w:rFonts w:hint="eastAsia" w:ascii="仿宋" w:hAnsi="仿宋" w:eastAsia="仿宋" w:cs="仿宋"/>
          <w:bCs/>
          <w:sz w:val="24"/>
          <w:szCs w:val="24"/>
          <w:lang w:eastAsia="zh-CN"/>
        </w:rPr>
        <w:t>本清单根据营改增后的编制规范，计税方式采用</w:t>
      </w:r>
      <w:r>
        <w:rPr>
          <w:rFonts w:hint="eastAsia" w:ascii="仿宋" w:hAnsi="仿宋" w:eastAsia="仿宋" w:cs="仿宋"/>
          <w:bCs/>
          <w:sz w:val="24"/>
          <w:szCs w:val="24"/>
          <w:lang w:val="en-US" w:eastAsia="zh-CN"/>
        </w:rPr>
        <w:t>一般</w:t>
      </w:r>
      <w:r>
        <w:rPr>
          <w:rFonts w:hint="eastAsia" w:ascii="仿宋" w:hAnsi="仿宋" w:eastAsia="仿宋" w:cs="仿宋"/>
          <w:bCs/>
          <w:sz w:val="24"/>
          <w:szCs w:val="24"/>
          <w:lang w:eastAsia="zh-CN"/>
        </w:rPr>
        <w:t>计税模式编制。</w:t>
      </w:r>
    </w:p>
    <w:p>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二、编制范围</w:t>
      </w:r>
    </w:p>
    <w:p>
      <w:pPr>
        <w:snapToGrid w:val="0"/>
        <w:spacing w:line="360" w:lineRule="auto"/>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rPr>
        <w:t>本工程包括：</w:t>
      </w:r>
      <w:r>
        <w:rPr>
          <w:rFonts w:hint="eastAsia" w:ascii="仿宋" w:hAnsi="仿宋" w:eastAsia="仿宋" w:cs="仿宋"/>
          <w:bCs/>
          <w:sz w:val="24"/>
          <w:szCs w:val="24"/>
          <w:lang w:val="en-US" w:eastAsia="zh-CN"/>
        </w:rPr>
        <w:t>教室内墙面装饰板、走道墙面装饰板、人造石窗台板、窗帘盒、铝合金格栅吊顶等</w:t>
      </w:r>
      <w:r>
        <w:rPr>
          <w:rFonts w:hint="eastAsia" w:ascii="仿宋" w:hAnsi="仿宋" w:eastAsia="仿宋" w:cs="仿宋"/>
          <w:bCs/>
          <w:sz w:val="24"/>
          <w:szCs w:val="24"/>
          <w:lang w:eastAsia="zh-CN"/>
        </w:rPr>
        <w:t>。</w:t>
      </w:r>
    </w:p>
    <w:p>
      <w:pPr>
        <w:snapToGrid w:val="0"/>
        <w:spacing w:line="360" w:lineRule="auto"/>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rPr>
        <w:t>三、其它说明：</w:t>
      </w:r>
      <w:r>
        <w:rPr>
          <w:rFonts w:hint="eastAsia" w:ascii="仿宋" w:hAnsi="仿宋" w:eastAsia="仿宋" w:cs="仿宋"/>
          <w:bCs/>
          <w:sz w:val="24"/>
          <w:szCs w:val="24"/>
          <w:lang w:val="en-US" w:eastAsia="zh-CN"/>
        </w:rPr>
        <w:t xml:space="preserve">  </w:t>
      </w:r>
    </w:p>
    <w:p>
      <w:pPr>
        <w:snapToGrid w:val="0"/>
        <w:spacing w:line="360" w:lineRule="auto"/>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1）、供应商须自行考虑整个施工范围内，各种建筑施工材料的运输条件、运输距离、各种可能存在的干扰因素，合理安排各种材料设备的运输方法、运输设备，并在投标报价中充分考虑相应场内、场外运输费用，材料的场内、场外运输费用、多次搬运费用，结算时均不另行计算。</w:t>
      </w:r>
    </w:p>
    <w:p>
      <w:pPr>
        <w:spacing w:line="360" w:lineRule="auto"/>
        <w:ind w:firstLine="420" w:firstLineChars="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（2）、对已完工程及设备保护采取覆盖、包裹、封闭、隔离、不同材质、方式、方法等必要保护措施所发生的任何费用均由供应商综合考虑报价，结算时不调整。</w:t>
      </w:r>
    </w:p>
    <w:p>
      <w:pPr>
        <w:spacing w:line="360" w:lineRule="auto"/>
        <w:ind w:firstLine="420" w:firstLineChars="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3）、本清单所列工程数量是根据现场情况暂定的，仅作为投标的共同基础，不能作为最终结算与支付的依据。结算与支付应以工程师审核并报业主现场代表认可的、按现场实际完成的合格工程数量为依据。完成的合格工程数量，应由承包商按工程师认可的尺寸断面或其他计量方法进行计量，经工程师审核后报业主现场代表确认，最终按工程量清单的单价和总额价进行结算和支付。工程量清单中所列工程量的变动，丝毫不会降低或影响合同条件的效力，也不免除承包商按规定的标准进行施工和修复缺陷的责任。</w:t>
      </w:r>
    </w:p>
    <w:p>
      <w:pPr>
        <w:spacing w:line="360" w:lineRule="auto"/>
        <w:ind w:firstLine="420" w:firstLineChars="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（4）、本工程分部分项单价均为完成本分项全部内容的综合单价，未列出的辅助工作、措施费均不另行计价，均在相关项目综合单价内考虑。</w:t>
      </w:r>
    </w:p>
    <w:p>
      <w:pPr>
        <w:spacing w:line="360" w:lineRule="auto"/>
        <w:ind w:firstLine="420" w:firstLineChars="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5）、所有按“项”为单位设置的分部分项清单和单价措施清单，供应商应充分熟悉现场情况，考虑本项目的施工组织设计和施工方案，现场根据建设方要求及相关政策法规实施，在报价中予以综合考虑，综合单价包含现场一切施工费用，结算时不单独计算。</w:t>
      </w:r>
    </w:p>
    <w:p>
      <w:pPr>
        <w:spacing w:line="360" w:lineRule="auto"/>
        <w:ind w:firstLine="420" w:firstLineChars="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6）、采购文件、技术要求、施工规范及工程量清单中的项目特征互为补充，均作为编制投标报价的依据，工程量清单描述做法与相关规范不一致的，以标准要求高的为准，工程量清单做法中未明确或不完善事项以答疑、回复等为准，施工前，对于不一致的情况，供应商需通知采购人，并经采购人书面确认后再施工。不得以清单漏项、清单描述不全、清单描述前后矛盾、清单描述和规范不一致等为由要求增加、索赔相关费用等。</w:t>
      </w:r>
    </w:p>
    <w:p>
      <w:pPr>
        <w:spacing w:line="360" w:lineRule="auto"/>
        <w:ind w:firstLine="420" w:firstLineChars="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（7）、施工现场如需设置简易围护措施，此费用在投标报价中综合考虑,施工过程中不另计算。</w:t>
      </w:r>
    </w:p>
    <w:p>
      <w:pPr>
        <w:snapToGrid w:val="0"/>
        <w:spacing w:line="360" w:lineRule="auto"/>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（8）、规费、税金项目清单中所列费用均为不可竞争费</w:t>
      </w:r>
    </w:p>
    <w:p>
      <w:pPr>
        <w:snapToGrid w:val="0"/>
        <w:spacing w:line="360" w:lineRule="auto"/>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（9）、本工程施工所需水、接电或自行发电等由供应商负责，相关费用在投标报价中考虑，施工过程中不另计量。</w:t>
      </w:r>
    </w:p>
    <w:p>
      <w:pPr>
        <w:snapToGrid w:val="0"/>
        <w:spacing w:line="360" w:lineRule="auto"/>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（10）、本工程施工过程必须严格执行《常州市建筑施工扬尘控制实施细则》，投标单位在投标报价中应充分考虑扬尘控制措施的相关费用，结算时不再另行计算。</w:t>
      </w:r>
    </w:p>
    <w:p>
      <w:pPr>
        <w:snapToGrid w:val="0"/>
        <w:spacing w:line="360" w:lineRule="auto"/>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（11）、采购文件、有关施工规范及工程量清单中的项目特征互为补充，均作为编制投标报价的依据。</w:t>
      </w:r>
    </w:p>
    <w:p>
      <w:pPr>
        <w:snapToGrid w:val="0"/>
        <w:spacing w:line="360" w:lineRule="auto"/>
        <w:ind w:firstLine="480" w:firstLineChars="200"/>
        <w:rPr>
          <w:rFonts w:hint="default" w:ascii="仿宋" w:hAnsi="仿宋" w:eastAsia="仿宋" w:cs="仿宋"/>
          <w:bCs/>
          <w:sz w:val="24"/>
          <w:szCs w:val="24"/>
          <w:lang w:val="en-US" w:eastAsia="zh-CN"/>
        </w:rPr>
      </w:pPr>
      <w:r>
        <w:rPr>
          <w:rFonts w:hint="eastAsia" w:ascii="仿宋" w:hAnsi="仿宋" w:eastAsia="仿宋" w:cs="仿宋"/>
          <w:bCs/>
          <w:sz w:val="24"/>
          <w:szCs w:val="24"/>
          <w:lang w:val="en-US" w:eastAsia="zh-CN"/>
        </w:rPr>
        <w:t>（12）、包含但不限于原有水龙头、角阀等拆除费用由投标单位在投标报价中综合考虑，施工过程中不另计算。</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四、清单及控制价相关内容：</w:t>
      </w:r>
    </w:p>
    <w:p>
      <w:p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rPr>
        <w:t>1、现行相关费率（不可竞争费率）：</w:t>
      </w:r>
      <w:r>
        <w:rPr>
          <w:rFonts w:hint="eastAsia" w:ascii="仿宋" w:hAnsi="仿宋" w:eastAsia="仿宋" w:cs="仿宋"/>
          <w:sz w:val="24"/>
          <w:szCs w:val="24"/>
          <w:lang w:val="en-US" w:eastAsia="zh-CN"/>
        </w:rPr>
        <w:t>安全文明施工费暂计基本费，其他详见工程量清单</w:t>
      </w:r>
    </w:p>
    <w:p>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rPr>
        <w:t>税金：</w:t>
      </w:r>
      <w:r>
        <w:rPr>
          <w:rFonts w:hint="eastAsia" w:ascii="仿宋" w:hAnsi="仿宋" w:eastAsia="仿宋" w:cs="仿宋"/>
          <w:sz w:val="24"/>
          <w:szCs w:val="24"/>
          <w:lang w:val="en-US" w:eastAsia="zh-CN"/>
        </w:rPr>
        <w:t>9</w:t>
      </w:r>
      <w:r>
        <w:rPr>
          <w:rFonts w:hint="eastAsia" w:ascii="仿宋" w:hAnsi="仿宋" w:eastAsia="仿宋" w:cs="仿宋"/>
          <w:sz w:val="24"/>
          <w:szCs w:val="24"/>
        </w:rPr>
        <w:t>%</w:t>
      </w:r>
      <w:r>
        <w:rPr>
          <w:rFonts w:hint="eastAsia" w:ascii="仿宋" w:hAnsi="仿宋" w:eastAsia="仿宋" w:cs="仿宋"/>
          <w:sz w:val="24"/>
          <w:szCs w:val="24"/>
          <w:lang w:eastAsia="zh-CN"/>
        </w:rPr>
        <w:t>；</w:t>
      </w:r>
    </w:p>
    <w:p>
      <w:p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五、材料品牌推荐表</w:t>
      </w:r>
    </w:p>
    <w:tbl>
      <w:tblPr>
        <w:tblStyle w:val="8"/>
        <w:tblpPr w:leftFromText="180" w:rightFromText="180" w:vertAnchor="text" w:horzAnchor="page" w:tblpXSpec="center" w:tblpY="13"/>
        <w:tblOverlap w:val="never"/>
        <w:tblW w:w="84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8"/>
        <w:gridCol w:w="1913"/>
        <w:gridCol w:w="2742"/>
        <w:gridCol w:w="31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57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913"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阻燃板</w:t>
            </w:r>
          </w:p>
        </w:tc>
        <w:tc>
          <w:tcPr>
            <w:tcW w:w="2742" w:type="dxa"/>
            <w:vAlign w:val="center"/>
          </w:tcPr>
          <w:p>
            <w:pPr>
              <w:spacing w:line="324"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莫干山、鹏鸿、泰山</w:t>
            </w:r>
          </w:p>
        </w:tc>
        <w:tc>
          <w:tcPr>
            <w:tcW w:w="316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质量符合设计和规范要求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57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913"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科技木饰面板</w:t>
            </w:r>
          </w:p>
        </w:tc>
        <w:tc>
          <w:tcPr>
            <w:tcW w:w="2742"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科定、梵品、尚艺</w:t>
            </w:r>
          </w:p>
        </w:tc>
        <w:tc>
          <w:tcPr>
            <w:tcW w:w="316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质量符合设计和规范要求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57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913" w:type="dxa"/>
            <w:vAlign w:val="center"/>
          </w:tcPr>
          <w:p>
            <w:pPr>
              <w:spacing w:line="324"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开关、插座</w:t>
            </w:r>
          </w:p>
        </w:tc>
        <w:tc>
          <w:tcPr>
            <w:tcW w:w="2742" w:type="dxa"/>
            <w:vAlign w:val="center"/>
          </w:tcPr>
          <w:p>
            <w:pPr>
              <w:spacing w:line="324"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正泰、德力西、鸿雁</w:t>
            </w:r>
          </w:p>
        </w:tc>
        <w:tc>
          <w:tcPr>
            <w:tcW w:w="316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质量符合设计和规范要求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578" w:type="dxa"/>
            <w:vAlign w:val="center"/>
          </w:tcPr>
          <w:p>
            <w:pPr>
              <w:spacing w:line="324"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913"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石膏板</w:t>
            </w:r>
          </w:p>
        </w:tc>
        <w:tc>
          <w:tcPr>
            <w:tcW w:w="2742"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龙牌、泰山、圣戈班</w:t>
            </w:r>
          </w:p>
        </w:tc>
        <w:tc>
          <w:tcPr>
            <w:tcW w:w="316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质量符合设计和规范要求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578" w:type="dxa"/>
            <w:vAlign w:val="center"/>
          </w:tcPr>
          <w:p>
            <w:pPr>
              <w:spacing w:line="324"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913"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轻钢龙骨</w:t>
            </w:r>
          </w:p>
        </w:tc>
        <w:tc>
          <w:tcPr>
            <w:tcW w:w="2742"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龙牌、圣戈班、泰山</w:t>
            </w:r>
          </w:p>
        </w:tc>
        <w:tc>
          <w:tcPr>
            <w:tcW w:w="316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质量符合设计和规范要求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578" w:type="dxa"/>
            <w:vAlign w:val="center"/>
          </w:tcPr>
          <w:p>
            <w:pPr>
              <w:spacing w:line="324"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1913"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涂料</w:t>
            </w:r>
          </w:p>
        </w:tc>
        <w:tc>
          <w:tcPr>
            <w:tcW w:w="2742"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立邦、多乐士、三棵树</w:t>
            </w:r>
          </w:p>
        </w:tc>
        <w:tc>
          <w:tcPr>
            <w:tcW w:w="3168" w:type="dxa"/>
            <w:vAlign w:val="center"/>
          </w:tcPr>
          <w:p>
            <w:pPr>
              <w:spacing w:line="324"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质量符合设计和规范要求</w:t>
            </w:r>
          </w:p>
        </w:tc>
      </w:tr>
    </w:tbl>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采购</w:t>
      </w:r>
      <w:r>
        <w:rPr>
          <w:rFonts w:hint="eastAsia" w:ascii="仿宋" w:hAnsi="仿宋" w:eastAsia="仿宋" w:cs="仿宋"/>
          <w:sz w:val="24"/>
          <w:szCs w:val="24"/>
        </w:rPr>
        <w:t>人已提供材料备选品牌的，投标单位应按约定品牌选择其一进行报价；如</w:t>
      </w:r>
      <w:r>
        <w:rPr>
          <w:rFonts w:hint="eastAsia" w:ascii="仿宋" w:hAnsi="仿宋" w:eastAsia="仿宋" w:cs="仿宋"/>
          <w:sz w:val="24"/>
          <w:szCs w:val="24"/>
          <w:lang w:eastAsia="zh-CN"/>
        </w:rPr>
        <w:t>供应商</w:t>
      </w:r>
      <w:r>
        <w:rPr>
          <w:rFonts w:hint="eastAsia" w:ascii="仿宋" w:hAnsi="仿宋" w:eastAsia="仿宋" w:cs="仿宋"/>
          <w:sz w:val="24"/>
          <w:szCs w:val="24"/>
        </w:rPr>
        <w:t>拟在推荐品牌（或规格、型号、产地）外自行选择品牌，自选品牌应在性能、价格、技术指标、技术参数、使用寿命等方面均不低于备选品牌相应性能、价格、技术指标、技术参数、使用寿命等方面的要求，同时</w:t>
      </w:r>
      <w:r>
        <w:rPr>
          <w:rFonts w:hint="eastAsia" w:ascii="仿宋" w:hAnsi="仿宋" w:eastAsia="仿宋" w:cs="仿宋"/>
          <w:sz w:val="24"/>
          <w:szCs w:val="24"/>
          <w:lang w:eastAsia="zh-CN"/>
        </w:rPr>
        <w:t>供应商</w:t>
      </w:r>
      <w:r>
        <w:rPr>
          <w:rFonts w:hint="eastAsia" w:ascii="仿宋" w:hAnsi="仿宋" w:eastAsia="仿宋" w:cs="仿宋"/>
          <w:sz w:val="24"/>
          <w:szCs w:val="24"/>
        </w:rPr>
        <w:t>须在网上答疑截止前向</w:t>
      </w:r>
      <w:r>
        <w:rPr>
          <w:rFonts w:hint="eastAsia" w:ascii="仿宋" w:hAnsi="仿宋" w:eastAsia="仿宋" w:cs="仿宋"/>
          <w:sz w:val="24"/>
          <w:szCs w:val="24"/>
          <w:lang w:eastAsia="zh-CN"/>
        </w:rPr>
        <w:t>采购</w:t>
      </w:r>
      <w:r>
        <w:rPr>
          <w:rFonts w:hint="eastAsia" w:ascii="仿宋" w:hAnsi="仿宋" w:eastAsia="仿宋" w:cs="仿宋"/>
          <w:sz w:val="24"/>
          <w:szCs w:val="24"/>
        </w:rPr>
        <w:t>人提出，并通过“</w:t>
      </w:r>
      <w:r>
        <w:rPr>
          <w:rFonts w:hint="eastAsia" w:ascii="仿宋" w:hAnsi="仿宋" w:eastAsia="仿宋" w:cs="仿宋"/>
          <w:sz w:val="24"/>
          <w:szCs w:val="24"/>
          <w:lang w:eastAsia="zh-CN"/>
        </w:rPr>
        <w:t>采购</w:t>
      </w:r>
      <w:r>
        <w:rPr>
          <w:rFonts w:hint="eastAsia" w:ascii="仿宋" w:hAnsi="仿宋" w:eastAsia="仿宋" w:cs="仿宋"/>
          <w:sz w:val="24"/>
          <w:szCs w:val="24"/>
        </w:rPr>
        <w:t>文件网上提问”中的附件将相应证明材料原件的扫描件上传，经</w:t>
      </w:r>
      <w:r>
        <w:rPr>
          <w:rFonts w:hint="eastAsia" w:ascii="仿宋" w:hAnsi="仿宋" w:eastAsia="仿宋" w:cs="仿宋"/>
          <w:sz w:val="24"/>
          <w:szCs w:val="24"/>
          <w:lang w:eastAsia="zh-CN"/>
        </w:rPr>
        <w:t>采购</w:t>
      </w:r>
      <w:r>
        <w:rPr>
          <w:rFonts w:hint="eastAsia" w:ascii="仿宋" w:hAnsi="仿宋" w:eastAsia="仿宋" w:cs="仿宋"/>
          <w:sz w:val="24"/>
          <w:szCs w:val="24"/>
        </w:rPr>
        <w:t>人审核确认，将以</w:t>
      </w:r>
      <w:r>
        <w:rPr>
          <w:rFonts w:hint="eastAsia" w:ascii="仿宋" w:hAnsi="仿宋" w:eastAsia="仿宋" w:cs="仿宋"/>
          <w:sz w:val="24"/>
          <w:szCs w:val="24"/>
          <w:lang w:eastAsia="zh-CN"/>
        </w:rPr>
        <w:t>采购</w:t>
      </w:r>
      <w:r>
        <w:rPr>
          <w:rFonts w:hint="eastAsia" w:ascii="仿宋" w:hAnsi="仿宋" w:eastAsia="仿宋" w:cs="仿宋"/>
          <w:sz w:val="24"/>
          <w:szCs w:val="24"/>
        </w:rPr>
        <w:t>文件答疑方式告知所有</w:t>
      </w:r>
      <w:r>
        <w:rPr>
          <w:rFonts w:hint="eastAsia" w:ascii="仿宋" w:hAnsi="仿宋" w:eastAsia="仿宋" w:cs="仿宋"/>
          <w:sz w:val="24"/>
          <w:szCs w:val="24"/>
          <w:lang w:eastAsia="zh-CN"/>
        </w:rPr>
        <w:t>供应商</w:t>
      </w:r>
      <w:r>
        <w:rPr>
          <w:rFonts w:hint="eastAsia" w:ascii="仿宋" w:hAnsi="仿宋" w:eastAsia="仿宋" w:cs="仿宋"/>
          <w:sz w:val="24"/>
          <w:szCs w:val="24"/>
        </w:rPr>
        <w:t>予以增加，没有得到</w:t>
      </w:r>
      <w:r>
        <w:rPr>
          <w:rFonts w:hint="eastAsia" w:ascii="仿宋" w:hAnsi="仿宋" w:eastAsia="仿宋" w:cs="仿宋"/>
          <w:sz w:val="24"/>
          <w:szCs w:val="24"/>
          <w:lang w:eastAsia="zh-CN"/>
        </w:rPr>
        <w:t>采购</w:t>
      </w:r>
      <w:r>
        <w:rPr>
          <w:rFonts w:hint="eastAsia" w:ascii="仿宋" w:hAnsi="仿宋" w:eastAsia="仿宋" w:cs="仿宋"/>
          <w:sz w:val="24"/>
          <w:szCs w:val="24"/>
        </w:rPr>
        <w:t>人书面认可的材料品牌一律不予接受。</w:t>
      </w:r>
    </w:p>
    <w:p>
      <w:pPr>
        <w:spacing w:line="520" w:lineRule="exact"/>
        <w:rPr>
          <w:rFonts w:hint="eastAsia" w:ascii="楷体" w:hAnsi="楷体" w:eastAsia="楷体" w:cs="楷体"/>
          <w:bCs/>
          <w:sz w:val="24"/>
          <w:szCs w:val="24"/>
        </w:rPr>
      </w:pPr>
    </w:p>
    <w:p>
      <w:pPr>
        <w:spacing w:line="324" w:lineRule="auto"/>
        <w:rPr>
          <w:rFonts w:hint="eastAsia" w:ascii="仿宋" w:hAnsi="仿宋" w:eastAsia="仿宋" w:cs="仿宋"/>
          <w:sz w:val="21"/>
          <w:szCs w:val="21"/>
          <w:lang w:eastAsia="zh-CN"/>
        </w:rPr>
      </w:pPr>
    </w:p>
    <w:p>
      <w:pPr>
        <w:keepNext w:val="0"/>
        <w:keepLines w:val="0"/>
        <w:pageBreakBefore w:val="0"/>
        <w:widowControl w:val="0"/>
        <w:kinsoku/>
        <w:wordWrap/>
        <w:overflowPunct/>
        <w:topLinePunct w:val="0"/>
        <w:autoSpaceDE/>
        <w:autoSpaceDN/>
        <w:bidi w:val="0"/>
        <w:adjustRightInd/>
        <w:snapToGrid w:val="0"/>
        <w:spacing w:line="324" w:lineRule="auto"/>
        <w:jc w:val="right"/>
        <w:textAlignment w:val="auto"/>
        <w:rPr>
          <w:rFonts w:ascii="宋体"/>
          <w:sz w:val="21"/>
          <w:szCs w:val="21"/>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FkZTMzNGY2NTU1MTc4ZjkwNTg1M2FmNGJmYzEwMWMifQ=="/>
    <w:docVar w:name="KSO_WPS_MARK_KEY" w:val="43f9f250-a22a-49fd-b25f-b75828d41a60"/>
  </w:docVars>
  <w:rsids>
    <w:rsidRoot w:val="00172A27"/>
    <w:rsid w:val="00074168"/>
    <w:rsid w:val="000838C1"/>
    <w:rsid w:val="000A2876"/>
    <w:rsid w:val="000C71DF"/>
    <w:rsid w:val="001237DF"/>
    <w:rsid w:val="00166689"/>
    <w:rsid w:val="001701AB"/>
    <w:rsid w:val="00172A27"/>
    <w:rsid w:val="001753D9"/>
    <w:rsid w:val="001F1045"/>
    <w:rsid w:val="00211969"/>
    <w:rsid w:val="0022616A"/>
    <w:rsid w:val="002313B4"/>
    <w:rsid w:val="00260308"/>
    <w:rsid w:val="002D37E8"/>
    <w:rsid w:val="00334A37"/>
    <w:rsid w:val="003A0002"/>
    <w:rsid w:val="004101FB"/>
    <w:rsid w:val="00416C71"/>
    <w:rsid w:val="00475B8C"/>
    <w:rsid w:val="004913BA"/>
    <w:rsid w:val="00536EE5"/>
    <w:rsid w:val="005426C5"/>
    <w:rsid w:val="005B326F"/>
    <w:rsid w:val="005F6942"/>
    <w:rsid w:val="00623B54"/>
    <w:rsid w:val="008E349C"/>
    <w:rsid w:val="00925F0E"/>
    <w:rsid w:val="009A610A"/>
    <w:rsid w:val="009B4CE3"/>
    <w:rsid w:val="009E2849"/>
    <w:rsid w:val="009E3D08"/>
    <w:rsid w:val="00A479BE"/>
    <w:rsid w:val="00A61B1F"/>
    <w:rsid w:val="00B221B9"/>
    <w:rsid w:val="00BE5F1F"/>
    <w:rsid w:val="00C2371E"/>
    <w:rsid w:val="00C37E69"/>
    <w:rsid w:val="00CC132C"/>
    <w:rsid w:val="00CE03B8"/>
    <w:rsid w:val="00D409D3"/>
    <w:rsid w:val="00D417A0"/>
    <w:rsid w:val="00D74A32"/>
    <w:rsid w:val="00D962C5"/>
    <w:rsid w:val="00DA6DB6"/>
    <w:rsid w:val="00E53570"/>
    <w:rsid w:val="00E71DD1"/>
    <w:rsid w:val="00EF234D"/>
    <w:rsid w:val="00F15873"/>
    <w:rsid w:val="00F445FD"/>
    <w:rsid w:val="00F81861"/>
    <w:rsid w:val="00F92C74"/>
    <w:rsid w:val="00F95EF7"/>
    <w:rsid w:val="00FB5C07"/>
    <w:rsid w:val="01CC1F7A"/>
    <w:rsid w:val="01D70516"/>
    <w:rsid w:val="02D21CBA"/>
    <w:rsid w:val="032919EF"/>
    <w:rsid w:val="039C2B03"/>
    <w:rsid w:val="03B46C2F"/>
    <w:rsid w:val="05134880"/>
    <w:rsid w:val="05AE24F2"/>
    <w:rsid w:val="066920C6"/>
    <w:rsid w:val="069806E5"/>
    <w:rsid w:val="07326BB4"/>
    <w:rsid w:val="076F746F"/>
    <w:rsid w:val="096D3CDF"/>
    <w:rsid w:val="0A0A1957"/>
    <w:rsid w:val="0A791B86"/>
    <w:rsid w:val="0CA66AD6"/>
    <w:rsid w:val="0ED331A3"/>
    <w:rsid w:val="0F0D2995"/>
    <w:rsid w:val="11156435"/>
    <w:rsid w:val="123749B0"/>
    <w:rsid w:val="12AF21A0"/>
    <w:rsid w:val="13C96C87"/>
    <w:rsid w:val="13F87B9A"/>
    <w:rsid w:val="161B5974"/>
    <w:rsid w:val="16E47648"/>
    <w:rsid w:val="16E922CE"/>
    <w:rsid w:val="17970A36"/>
    <w:rsid w:val="17D91A87"/>
    <w:rsid w:val="17E86BE0"/>
    <w:rsid w:val="181C1799"/>
    <w:rsid w:val="1A0B09BD"/>
    <w:rsid w:val="1A49489C"/>
    <w:rsid w:val="1B374675"/>
    <w:rsid w:val="1B3B3111"/>
    <w:rsid w:val="1B4A52B7"/>
    <w:rsid w:val="1BAF29DC"/>
    <w:rsid w:val="1CAF6BAA"/>
    <w:rsid w:val="1CDE6EA9"/>
    <w:rsid w:val="1D0E0A7A"/>
    <w:rsid w:val="1DF97454"/>
    <w:rsid w:val="1E2B7E81"/>
    <w:rsid w:val="1F221DE0"/>
    <w:rsid w:val="1F756732"/>
    <w:rsid w:val="216D3400"/>
    <w:rsid w:val="21ED681A"/>
    <w:rsid w:val="227617FB"/>
    <w:rsid w:val="25111D6D"/>
    <w:rsid w:val="27576524"/>
    <w:rsid w:val="279632DC"/>
    <w:rsid w:val="27EB36F2"/>
    <w:rsid w:val="2869322C"/>
    <w:rsid w:val="292D0604"/>
    <w:rsid w:val="295760F6"/>
    <w:rsid w:val="2A1413AE"/>
    <w:rsid w:val="2A4B2B8E"/>
    <w:rsid w:val="2A506DCA"/>
    <w:rsid w:val="2AD17490"/>
    <w:rsid w:val="2BAE7C4F"/>
    <w:rsid w:val="2C5C2320"/>
    <w:rsid w:val="2D4D5749"/>
    <w:rsid w:val="2F512AB9"/>
    <w:rsid w:val="2F7648E6"/>
    <w:rsid w:val="2FF73C5A"/>
    <w:rsid w:val="305737DD"/>
    <w:rsid w:val="30D87159"/>
    <w:rsid w:val="31333D88"/>
    <w:rsid w:val="31477EE5"/>
    <w:rsid w:val="31E122D8"/>
    <w:rsid w:val="3249075D"/>
    <w:rsid w:val="32795CAE"/>
    <w:rsid w:val="337A64B0"/>
    <w:rsid w:val="34B97624"/>
    <w:rsid w:val="36A66174"/>
    <w:rsid w:val="380B5388"/>
    <w:rsid w:val="38907AE5"/>
    <w:rsid w:val="38BF290C"/>
    <w:rsid w:val="39114408"/>
    <w:rsid w:val="396B142C"/>
    <w:rsid w:val="39850D18"/>
    <w:rsid w:val="39DA68C1"/>
    <w:rsid w:val="3BBE5283"/>
    <w:rsid w:val="3C1F330B"/>
    <w:rsid w:val="3C54376E"/>
    <w:rsid w:val="3C792325"/>
    <w:rsid w:val="3EB6232F"/>
    <w:rsid w:val="3F066A5C"/>
    <w:rsid w:val="3F0E5724"/>
    <w:rsid w:val="3F237BF6"/>
    <w:rsid w:val="40266728"/>
    <w:rsid w:val="40F9406B"/>
    <w:rsid w:val="414E7C85"/>
    <w:rsid w:val="42FB5A42"/>
    <w:rsid w:val="43464DEC"/>
    <w:rsid w:val="44BD0D9A"/>
    <w:rsid w:val="45D35CFF"/>
    <w:rsid w:val="460B7476"/>
    <w:rsid w:val="46771312"/>
    <w:rsid w:val="46BE3A6B"/>
    <w:rsid w:val="46BF5678"/>
    <w:rsid w:val="47BC334D"/>
    <w:rsid w:val="48B77DC2"/>
    <w:rsid w:val="491A62F4"/>
    <w:rsid w:val="4A966E3C"/>
    <w:rsid w:val="4B006EDF"/>
    <w:rsid w:val="4BDF433C"/>
    <w:rsid w:val="4CA625CF"/>
    <w:rsid w:val="4CA77E82"/>
    <w:rsid w:val="4CC154B2"/>
    <w:rsid w:val="4E6E3253"/>
    <w:rsid w:val="4E821CAF"/>
    <w:rsid w:val="4F5462B4"/>
    <w:rsid w:val="4FF23121"/>
    <w:rsid w:val="50D40833"/>
    <w:rsid w:val="518A54CC"/>
    <w:rsid w:val="51C10533"/>
    <w:rsid w:val="52B84C43"/>
    <w:rsid w:val="52D42F27"/>
    <w:rsid w:val="53B117C2"/>
    <w:rsid w:val="53D42B46"/>
    <w:rsid w:val="544530D6"/>
    <w:rsid w:val="54E256BD"/>
    <w:rsid w:val="558E6117"/>
    <w:rsid w:val="55BA78C5"/>
    <w:rsid w:val="55FC25A2"/>
    <w:rsid w:val="567B172B"/>
    <w:rsid w:val="56974B0E"/>
    <w:rsid w:val="57257989"/>
    <w:rsid w:val="57272798"/>
    <w:rsid w:val="574B11BF"/>
    <w:rsid w:val="58CD097E"/>
    <w:rsid w:val="597B2ED3"/>
    <w:rsid w:val="599721D6"/>
    <w:rsid w:val="5AA12B72"/>
    <w:rsid w:val="5AFB63EF"/>
    <w:rsid w:val="5C0312EA"/>
    <w:rsid w:val="5CD92CE6"/>
    <w:rsid w:val="5DBF7494"/>
    <w:rsid w:val="5DEB4975"/>
    <w:rsid w:val="5E660F32"/>
    <w:rsid w:val="5ECB7055"/>
    <w:rsid w:val="5FDF4842"/>
    <w:rsid w:val="61E1021C"/>
    <w:rsid w:val="643416F6"/>
    <w:rsid w:val="649A0D44"/>
    <w:rsid w:val="64FC4134"/>
    <w:rsid w:val="65FC33BF"/>
    <w:rsid w:val="661D24FF"/>
    <w:rsid w:val="66540A9C"/>
    <w:rsid w:val="668A2FCF"/>
    <w:rsid w:val="66C06967"/>
    <w:rsid w:val="66F6183D"/>
    <w:rsid w:val="67BF264C"/>
    <w:rsid w:val="68420E55"/>
    <w:rsid w:val="69094AFB"/>
    <w:rsid w:val="690B6F9D"/>
    <w:rsid w:val="692E2E33"/>
    <w:rsid w:val="69CD1F1D"/>
    <w:rsid w:val="6A076AF5"/>
    <w:rsid w:val="6A8E6692"/>
    <w:rsid w:val="6B94614B"/>
    <w:rsid w:val="6C075ADF"/>
    <w:rsid w:val="6E5F6442"/>
    <w:rsid w:val="6E85086A"/>
    <w:rsid w:val="6ED72798"/>
    <w:rsid w:val="6F4C28AE"/>
    <w:rsid w:val="6FF82400"/>
    <w:rsid w:val="709C1ABD"/>
    <w:rsid w:val="712C026B"/>
    <w:rsid w:val="71D3021D"/>
    <w:rsid w:val="720771F4"/>
    <w:rsid w:val="72355BF2"/>
    <w:rsid w:val="749429E5"/>
    <w:rsid w:val="74B36313"/>
    <w:rsid w:val="75307B4D"/>
    <w:rsid w:val="75466E7D"/>
    <w:rsid w:val="759E6137"/>
    <w:rsid w:val="787A1B43"/>
    <w:rsid w:val="79236E42"/>
    <w:rsid w:val="7AA96614"/>
    <w:rsid w:val="7B4B73EF"/>
    <w:rsid w:val="7BF52CA2"/>
    <w:rsid w:val="7CDE1173"/>
    <w:rsid w:val="7DC3283F"/>
    <w:rsid w:val="7F661EA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qFormat/>
    <w:uiPriority w:val="0"/>
    <w:pPr>
      <w:widowControl/>
      <w:tabs>
        <w:tab w:val="left" w:pos="0"/>
        <w:tab w:val="left" w:pos="993"/>
        <w:tab w:val="left" w:pos="1134"/>
      </w:tabs>
      <w:spacing w:line="500" w:lineRule="exact"/>
      <w:ind w:firstLine="567"/>
    </w:pPr>
    <w:rPr>
      <w:rFonts w:ascii="宋体"/>
      <w:kern w:val="0"/>
      <w:sz w:val="28"/>
      <w:szCs w:val="20"/>
    </w:rPr>
  </w:style>
  <w:style w:type="paragraph" w:styleId="3">
    <w:name w:val="Date"/>
    <w:basedOn w:val="1"/>
    <w:next w:val="1"/>
    <w:link w:val="12"/>
    <w:qFormat/>
    <w:uiPriority w:val="0"/>
    <w:pPr>
      <w:ind w:left="100" w:leftChars="2500"/>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kern w:val="0"/>
      <w:sz w:val="24"/>
    </w:rPr>
  </w:style>
  <w:style w:type="table" w:styleId="8">
    <w:name w:val="Table Grid"/>
    <w:basedOn w:val="7"/>
    <w:qFormat/>
    <w:uiPriority w:val="99"/>
    <w:rPr>
      <w:rFonts w:asciiTheme="minorHAnsi" w:hAnsiTheme="minorHAnsi" w:eastAsiaTheme="minorEastAsia" w:cstheme="minorBid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font11"/>
    <w:basedOn w:val="9"/>
    <w:qFormat/>
    <w:uiPriority w:val="0"/>
    <w:rPr>
      <w:rFonts w:hint="eastAsia" w:ascii="宋体" w:hAnsi="宋体" w:eastAsia="宋体" w:cs="宋体"/>
      <w:color w:val="000000"/>
      <w:sz w:val="24"/>
      <w:szCs w:val="24"/>
      <w:u w:val="none"/>
    </w:rPr>
  </w:style>
  <w:style w:type="character" w:customStyle="1" w:styleId="11">
    <w:name w:val="页眉 字符"/>
    <w:basedOn w:val="9"/>
    <w:link w:val="5"/>
    <w:qFormat/>
    <w:uiPriority w:val="0"/>
    <w:rPr>
      <w:kern w:val="2"/>
      <w:sz w:val="18"/>
      <w:szCs w:val="18"/>
    </w:rPr>
  </w:style>
  <w:style w:type="character" w:customStyle="1" w:styleId="12">
    <w:name w:val="日期 字符"/>
    <w:basedOn w:val="9"/>
    <w:link w:val="3"/>
    <w:qFormat/>
    <w:uiPriority w:val="0"/>
    <w:rPr>
      <w:kern w:val="2"/>
      <w:sz w:val="21"/>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1989</Words>
  <Characters>2068</Characters>
  <Lines>75</Lines>
  <Paragraphs>21</Paragraphs>
  <TotalTime>2</TotalTime>
  <ScaleCrop>false</ScaleCrop>
  <LinksUpToDate>false</LinksUpToDate>
  <CharactersWithSpaces>2075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2017-03-13T01:31:00Z</dcterms:created>
  <dc:creator>Administrator</dc:creator>
  <cp:lastModifiedBy>中金招投标孔燕芬</cp:lastModifiedBy>
  <dcterms:modified xsi:type="dcterms:W3CDTF">2025-05-29T03:32:03Z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860042033F5442169FD96F5AE14B9935</vt:lpwstr>
  </property>
  <property fmtid="{D5CDD505-2E9C-101B-9397-08002B2CF9AE}" pid="4" name="KSOTemplateDocerSaveRecord">
    <vt:lpwstr>eyJoZGlkIjoiYWRiZTVlOTY5MDJiZmUxMjdjNWI5NmJiNzg5YTRmYTkiLCJ1c2VySWQiOiIxMTQ5NTg2NDUzIn0=</vt:lpwstr>
  </property>
</Properties>
</file>