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74"/>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74"/>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86"/>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JSZC-320200-JZCG-G2024-0095</w:t>
      </w:r>
      <w:r>
        <w:rPr>
          <w:rFonts w:ascii="黑体" w:hAnsi="华文中宋" w:eastAsia="黑体"/>
          <w:bCs/>
          <w:color w:val="000000"/>
          <w:sz w:val="32"/>
          <w:szCs w:val="32"/>
        </w:rPr>
      </w:r>
      <w:r/>
    </w:p>
    <w:p>
      <w:pPr>
        <w:pStyle w:val="68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无锡市个人信用积分数字生活及智慧信用服务提升一站式项目</w:t>
      </w:r>
      <w:r>
        <w:rPr>
          <w:rFonts w:hint="eastAsia" w:ascii="黑体" w:hAnsi="华文中宋" w:eastAsia="黑体"/>
          <w:bCs/>
          <w:color w:val="000000"/>
          <w:sz w:val="32"/>
          <w:szCs w:val="32"/>
        </w:rPr>
      </w:r>
      <w:r/>
    </w:p>
    <w:p>
      <w:pPr>
        <w:pStyle w:val="68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无锡市发展和改革委员会</w:t>
      </w:r>
      <w:r>
        <w:rPr>
          <w:rFonts w:hint="eastAsia" w:ascii="黑体" w:hAnsi="华文中宋" w:eastAsia="黑体"/>
          <w:bCs/>
          <w:color w:val="000000"/>
          <w:sz w:val="32"/>
          <w:szCs w:val="32"/>
        </w:rPr>
      </w:r>
      <w:r/>
    </w:p>
    <w:p>
      <w:pPr>
        <w:pStyle w:val="68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7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五</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74"/>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686"/>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86"/>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无锡市发展和改革委员会</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无锡市个人信用积分数字生活及智慧信用服务提升一站式项目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JSZC-320200-JZCG-G2024-0095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无锡市个人信用积分数字生活及智慧信用服务提升一站式项目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获取招标文件，并于2024年6月28日0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89"/>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JSZC-320200-JZCG-G2024-0095</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无锡市个人信用积分数字生活及智慧信用服务提升一站式项目</w:t>
      </w:r>
      <w:r>
        <w:rPr>
          <w:rFonts w:ascii="宋体" w:hAnsi="宋体"/>
          <w:color w:val="000000"/>
          <w:sz w:val="24"/>
          <w:szCs w:val="24"/>
        </w:rPr>
      </w:r>
      <w:r/>
    </w:p>
    <w:p>
      <w:pPr>
        <w:pStyle w:val="686"/>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rPr>
        <w:t xml:space="preserve">315</w:t>
      </w:r>
      <w:r>
        <w:rPr>
          <w:rFonts w:hint="eastAsia" w:ascii="宋体" w:hAnsi="宋体"/>
          <w:color w:val="000000"/>
          <w:sz w:val="24"/>
          <w:szCs w:val="24"/>
        </w:rPr>
        <w:t xml:space="preserve">万元</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315</w:t>
      </w:r>
      <w:r>
        <w:rPr>
          <w:rFonts w:hint="eastAsia" w:ascii="宋体" w:hAnsi="宋体"/>
          <w:color w:val="000000"/>
          <w:sz w:val="24"/>
          <w:szCs w:val="24"/>
        </w:rPr>
        <w:t xml:space="preserve">万元</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86"/>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686"/>
        <w:ind w:firstLine="480"/>
        <w:spacing w:line="500" w:lineRule="exact"/>
        <w:rPr>
          <w:rFonts w:hint="eastAsia" w:ascii="宋体" w:hAnsi="宋体"/>
          <w:i/>
          <w:color w:val="000000"/>
          <w:sz w:val="24"/>
          <w:szCs w:val="24"/>
        </w:rPr>
      </w:pPr>
      <w:r>
        <w:rPr>
          <w:rFonts w:hint="eastAsia" w:ascii="宋体" w:hAnsi="宋体"/>
          <w:color w:val="000000"/>
          <w:sz w:val="24"/>
          <w:szCs w:val="24"/>
        </w:rPr>
        <w:t xml:space="preserve">2.1中小企业政策：</w:t>
      </w:r>
      <w:r>
        <w:rPr>
          <w:rFonts w:hint="eastAsia" w:ascii="宋体" w:hAnsi="宋体"/>
          <w:color w:val="000000"/>
          <w:sz w:val="24"/>
          <w:szCs w:val="24"/>
        </w:rPr>
        <w:t xml:space="preserve"> </w:t>
      </w:r>
      <w:r>
        <w:rPr>
          <w:rFonts w:hint="eastAsia" w:ascii="宋体" w:hAnsi="宋体"/>
          <w:color w:val="000000"/>
          <w:sz w:val="24"/>
          <w:szCs w:val="24"/>
        </w:rPr>
        <w:t xml:space="preserve">本项目专门面向中小企业；</w:t>
      </w:r>
      <w:r>
        <w:rPr>
          <w:rFonts w:hint="eastAsia" w:ascii="宋体" w:hAnsi="宋体"/>
          <w:i/>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86"/>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86"/>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686"/>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686"/>
        <w:ind w:firstLine="540"/>
        <w:spacing w:line="500" w:lineRule="exact"/>
        <w:rPr>
          <w:rStyle w:val="763"/>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763"/>
          <w:color w:val="000000"/>
        </w:rPr>
      </w:r>
      <w:r/>
    </w:p>
    <w:p>
      <w:pPr>
        <w:pStyle w:val="686"/>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1.时间：2024年6月28日09点30分（北京时间）</w:t>
      </w:r>
      <w:r/>
    </w:p>
    <w:p>
      <w:pPr>
        <w:pStyle w:val="686"/>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689"/>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686"/>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无锡市发展和改革委员会</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市民中心3号楼13楼</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陈叶青</w:t>
      </w:r>
      <w:r>
        <w:rPr>
          <w:rFonts w:hint="eastAsia" w:ascii="宋体" w:hAnsi="宋体" w:cs="宋体"/>
          <w:color w:val="000000"/>
          <w:sz w:val="24"/>
          <w:szCs w:val="24"/>
        </w:rPr>
        <w:t xml:space="preserve">；电话：</w:t>
      </w:r>
      <w:r>
        <w:rPr>
          <w:rFonts w:ascii="宋体" w:hAnsi="宋体" w:cs="宋体"/>
          <w:color w:val="000000"/>
          <w:sz w:val="24"/>
          <w:szCs w:val="24"/>
        </w:rPr>
        <w:t xml:space="preserve">0510-81821711</w:t>
      </w:r>
      <w:r>
        <w:rPr>
          <w:rFonts w:hint="eastAsia"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陈叶青</w:t>
      </w:r>
      <w:r>
        <w:rPr>
          <w:rFonts w:hint="eastAsia" w:ascii="宋体" w:hAnsi="宋体" w:cs="宋体"/>
          <w:color w:val="000000"/>
          <w:sz w:val="24"/>
          <w:szCs w:val="24"/>
        </w:rPr>
        <w:t xml:space="preserve">；电话：</w:t>
      </w:r>
      <w:r>
        <w:rPr>
          <w:rFonts w:ascii="宋体" w:hAnsi="宋体" w:cs="宋体"/>
          <w:color w:val="000000"/>
          <w:sz w:val="24"/>
          <w:szCs w:val="24"/>
        </w:rPr>
        <w:t xml:space="preserve">0510-81821711</w:t>
      </w:r>
      <w:r>
        <w:rPr>
          <w:rFonts w:hint="eastAsia"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8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8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86"/>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686"/>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689"/>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90"/>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0"/>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89"/>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86"/>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22"/>
        <w:keepLines w:val="0"/>
        <w:keepNext w:val="0"/>
        <w:spacing w:before="0" w:after="0" w:line="500" w:lineRule="exact"/>
        <w:rPr>
          <w:rFonts w:hint="eastAsia" w:ascii="宋体" w:hAnsi="宋体" w:eastAsia="宋体"/>
          <w:bCs w:val="0"/>
          <w:color w:val="000000"/>
          <w:lang w:eastAsia="zh-CN"/>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lang w:eastAsia="zh-CN"/>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90"/>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689"/>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90"/>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686"/>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690"/>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90"/>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686"/>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690"/>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89"/>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799"/>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690"/>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690"/>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89"/>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686"/>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pStyle w:val="686"/>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686"/>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86"/>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86"/>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90"/>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686"/>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690"/>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86"/>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6"/>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86"/>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86"/>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686"/>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标段、分包）投标总价超过本项目（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标段、分包）预算或最高限价的。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86"/>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686"/>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86"/>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86"/>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89"/>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顺序确定</w:t>
      </w:r>
      <w:r>
        <w:rPr>
          <w:rFonts w:hint="eastAsia" w:ascii="宋体" w:hAnsi="宋体"/>
          <w:bCs/>
          <w:color w:val="000000"/>
          <w:sz w:val="24"/>
        </w:rPr>
        <w:t xml:space="preserve">一名投标人为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w:t>
      </w:r>
      <w:r>
        <w:rPr>
          <w:rFonts w:hint="eastAsia" w:ascii="宋体" w:hAnsi="宋体"/>
          <w:bCs/>
          <w:color w:val="000000"/>
          <w:sz w:val="24"/>
        </w:rPr>
        <w:t xml:space="preserve">经采购人有关书面委托的，评标委员会也可按排名先后顺序直接确定中标人。</w:t>
      </w:r>
      <w:r>
        <w:rPr>
          <w:rFonts w:hint="eastAsia" w:ascii="宋体" w:hAnsi="宋体"/>
          <w:bCs/>
          <w:color w:val="000000"/>
          <w:sz w:val="24"/>
        </w:rPr>
        <w:t xml:space="preserve">联合体中标的，联合体各方应当共同与采购人签订合同，就中标项目向采购人承担连带责任。</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86"/>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86"/>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86"/>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9"/>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8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1"/>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686"/>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以下为中标后签定本项目合同的通用条款，中标人不得提出实质性的修改。</w:t>
      </w:r>
      <w:r/>
    </w:p>
    <w:p>
      <w:pPr>
        <w:pStyle w:val="686"/>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25"/>
        <w:spacing w:line="400" w:lineRule="exact"/>
        <w:rPr>
          <w:rFonts w:hAnsi="宋体"/>
          <w:color w:val="000000"/>
          <w:sz w:val="24"/>
          <w:szCs w:val="24"/>
        </w:rPr>
      </w:pPr>
      <w:r>
        <w:rPr>
          <w:rFonts w:hAnsi="宋体"/>
          <w:color w:val="000000"/>
          <w:sz w:val="24"/>
          <w:szCs w:val="24"/>
        </w:rPr>
        <w:t xml:space="preserve">项目名称：                                       项目编号：</w:t>
      </w:r>
      <w:r/>
    </w:p>
    <w:p>
      <w:pPr>
        <w:pStyle w:val="725"/>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25"/>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25"/>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25"/>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25"/>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25"/>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25"/>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25"/>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25"/>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25"/>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5"/>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25"/>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5"/>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25"/>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25"/>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25"/>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25"/>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25"/>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8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686"/>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25"/>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25"/>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尾款支付时间：服务结束并验收合格,采购人收到发票后15日内，尾款支付比例：合同金额的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5"/>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68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86"/>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《民法典》、《政府采购法》</w:t>
      </w:r>
      <w:r>
        <w:rPr>
          <w:rFonts w:hAnsi="宋体"/>
          <w:color w:val="000000"/>
          <w:sz w:val="24"/>
          <w:szCs w:val="24"/>
        </w:rPr>
        <w:t xml:space="preserve">有关条文执行。</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25"/>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25"/>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25"/>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25"/>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686"/>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686"/>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686"/>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686"/>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68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86"/>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（一）项目背景</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为贯彻落实省政府办公厅印发《加强个人诚信体系建设实施意见》（苏政办规〔2023〕13号），坚持强化 应用、奖惩联动，大力弘扬诚信文化，积极营造知信守信用信的良好社会氛围，助力高水平“诚信无锡”建设。通过不断拓展“信用惠民”应用，增强人民群众的获得感和幸福感，实实在在地增进群众福祉，让“信用有价”真正走向百姓生活。</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（二）项目目标</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基于我市信用信息化平台的基础之上，以智慧城市APP灵锡为</w:t>
      </w:r>
      <w:r>
        <w:rPr>
          <w:rFonts w:hint="eastAsia" w:ascii="宋体" w:hAnsi="宋体"/>
          <w:color w:val="000000"/>
          <w:sz w:val="24"/>
          <w:szCs w:val="24"/>
        </w:rPr>
        <w:t xml:space="preserve">载体，结合多样化技术手段，将个人信用积分“阿福分”“幸福豆”，将信用应用嵌入数字生活场景。采集并分析应用中产生的各类个人信用行为数据，提取个人信用行为数据特征，完善个人信用积分模型，探索如重点职业、金融等特定领域“阿福+N”个人信用积分模型，形成机制、数据、模型、应用闭环。开发个人信用积分开放系统，开放应用场景自助接口对接服务能力，开发应用场景运营系统，实时监管应用场景运行状况，实现从公共服务领域应用逐步拓展到市场化领域应用，“安全有序”推进，覆盖更多的“信用惠民”数字生活场景应用，助力无锡市智慧城市建设。</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同时，基于无锡市公共信用信息服务平台，开发信用工作监测子系统、政务诚信监管子系统，根据国家和本省的各项工作考核要求，监测信用平台各项工作进展情况，通过目标任务清单式管理，确保我市各项考核位于全国全省前列。开发信用智慧服务移动端应用，嵌入灵锡APP，方便信用主体开展社会法人信用报告、第三方信用报告、信用修复、信用异议、信用提示预警等功能，进一步提升智慧信用平台的全方位服务能力。</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二、建设内容及相关技术指标</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（一）采购清单</w:t>
      </w:r>
      <w:r>
        <w:rPr>
          <w:rFonts w:ascii="宋体" w:hAnsi="宋体"/>
          <w:color w:val="000000"/>
          <w:sz w:val="24"/>
          <w:szCs w:val="24"/>
        </w:rPr>
      </w:r>
      <w:r/>
    </w:p>
    <w:p>
      <w:pPr>
        <w:pStyle w:val="686"/>
        <w:ind w:firstLine="480"/>
        <w:jc w:val="left"/>
        <w:spacing w:line="360" w:lineRule="auto"/>
        <w:rPr>
          <w:rFonts w:ascii="宋体" w:hAnsi="宋体"/>
          <w:color w:val="000000"/>
          <w:sz w:val="24"/>
          <w:szCs w:val="24"/>
        </w:rPr>
      </w:pPr>
      <w:r>
        <w:rPr>
          <w:rFonts w:hint="eastAsia" w:ascii="宋体" w:hAnsi="宋体"/>
          <w:color w:val="000000"/>
          <w:sz w:val="24"/>
          <w:szCs w:val="24"/>
        </w:rPr>
        <w:t xml:space="preserve">（1）货物部分标的</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shd w:val="clear" w:color="auto" w:fill="eeece1"/>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货物部分标的名称</w:t>
            </w:r>
            <w:r>
              <w:rPr>
                <w:rFonts w:ascii="宋体" w:hAnsi="宋体"/>
                <w:color w:val="000000"/>
                <w:sz w:val="24"/>
                <w:szCs w:val="24"/>
              </w:rPr>
            </w:r>
            <w:r/>
          </w:p>
        </w:tc>
        <w:tc>
          <w:tcPr>
            <w:shd w:val="clear" w:color="auto" w:fill="eeece1"/>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货物部分标的及其所属行业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国产操作系统</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国产数据库</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国密SSL证书</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身份认证服务器</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SSL VPN网关</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签名验签服务器</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智能密码钥匙</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服务器密码机</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bl>
    <w:p>
      <w:pPr>
        <w:pStyle w:val="686"/>
        <w:rPr>
          <w:rFonts w:ascii="宋体" w:hAnsi="宋体"/>
          <w:color w:val="000000"/>
          <w:sz w:val="24"/>
          <w:szCs w:val="24"/>
        </w:rPr>
      </w:pP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（2）服务部分标的</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shd w:val="clear" w:color="auto" w:fill="eeece1"/>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服务部分标的名称</w:t>
            </w:r>
            <w:r>
              <w:rPr>
                <w:rFonts w:ascii="宋体" w:hAnsi="宋体"/>
                <w:color w:val="000000"/>
                <w:sz w:val="24"/>
                <w:szCs w:val="24"/>
              </w:rPr>
            </w:r>
            <w:r/>
          </w:p>
        </w:tc>
        <w:tc>
          <w:tcPr>
            <w:shd w:val="clear" w:color="auto" w:fill="eeece1"/>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服务部分标的及其所属行业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个人信用积分数字生活场景应用</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智慧信用数字生活开放平台</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“幸福豆”兑换商城</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场景应用结算系统</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场景应用运营分析系统</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政务诚信监管系统</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信用工作监测系统</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信用智慧服务移动端</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r>
        <w:trPr/>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安全及密码体系建设</w:t>
            </w:r>
            <w:r>
              <w:rPr>
                <w:rFonts w:ascii="宋体" w:hAnsi="宋体"/>
                <w:color w:val="000000"/>
                <w:sz w:val="24"/>
                <w:szCs w:val="24"/>
              </w:rPr>
            </w:r>
            <w:r/>
          </w:p>
        </w:tc>
        <w:tc>
          <w:tcPr>
            <w:tcW w:w="4261" w:type="dxa"/>
            <w:vAlign w:val="top"/>
            <w:textDirection w:val="lrTb"/>
            <w:noWrap w:val="false"/>
          </w:tcPr>
          <w:p>
            <w:pPr>
              <w:pStyle w:val="686"/>
              <w:jc w:val="center"/>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bl>
    <w:p>
      <w:pPr>
        <w:pStyle w:val="686"/>
        <w:rPr>
          <w:rFonts w:ascii="宋体" w:hAnsi="宋体"/>
          <w:color w:val="000000"/>
          <w:sz w:val="24"/>
          <w:szCs w:val="24"/>
        </w:rPr>
      </w:pP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（3）功能和技术指标</w:t>
      </w:r>
      <w:r>
        <w:rPr>
          <w:rFonts w:ascii="宋体" w:hAnsi="宋体"/>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243"/>
        <w:gridCol w:w="5391"/>
        <w:gridCol w:w="935"/>
        <w:gridCol w:w="811"/>
      </w:tblGrid>
      <w:tr>
        <w:trPr>
          <w:trHeight w:val="520"/>
        </w:trPr>
        <w:tc>
          <w:tcPr>
            <w:shd w:val="clear" w:color="auto" w:fill="eeece1"/>
            <w:tcW w:w="430" w:type="pct"/>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shd w:val="clear" w:color="auto" w:fill="eeece1"/>
            <w:tcW w:w="678" w:type="pct"/>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shd w:val="clear" w:color="auto" w:fill="eeece1"/>
            <w:tcW w:w="2940" w:type="pct"/>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技术指标</w:t>
            </w:r>
            <w:r>
              <w:rPr>
                <w:rFonts w:ascii="宋体" w:hAnsi="宋体"/>
                <w:color w:val="000000"/>
                <w:sz w:val="24"/>
                <w:szCs w:val="24"/>
              </w:rPr>
            </w:r>
            <w:r/>
          </w:p>
        </w:tc>
        <w:tc>
          <w:tcPr>
            <w:shd w:val="clear" w:color="auto" w:fill="eeece1"/>
            <w:tcW w:w="510" w:type="pct"/>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shd w:val="clear" w:color="auto" w:fill="eeece1"/>
            <w:tcW w:w="442" w:type="pct"/>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tc>
      </w:tr>
      <w:tr>
        <w:trPr/>
        <w:tc>
          <w:tcPr>
            <w:gridSpan w:val="5"/>
            <w:tcW w:w="500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一、软件购置</w:t>
            </w:r>
            <w:r>
              <w:rPr>
                <w:rFonts w:ascii="宋体" w:hAnsi="宋体"/>
                <w:color w:val="000000"/>
                <w:sz w:val="24"/>
                <w:szCs w:val="24"/>
              </w:rPr>
            </w:r>
            <w:r/>
          </w:p>
        </w:tc>
      </w:tr>
      <w:tr>
        <w:trPr/>
        <w:tc>
          <w:tcPr>
            <w:tcW w:w="43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国产操作系统</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在国家国产产品名录，授权具有永久使用权</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3套</w:t>
            </w:r>
            <w:r>
              <w:rPr>
                <w:rFonts w:ascii="宋体" w:hAnsi="宋体"/>
                <w:color w:val="000000"/>
                <w:sz w:val="24"/>
                <w:szCs w:val="24"/>
              </w:rPr>
            </w:r>
            <w:r/>
          </w:p>
        </w:tc>
        <w:tc>
          <w:tcPr>
            <w:tcW w:w="442" w:type="pct"/>
            <w:vAlign w:val="top"/>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国产数据库</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1、国家国产产品名录，授权具有永久使用权</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2、支持存储关系型数据和对象型数据；</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3、支持同构、异构数据源的访问，包括文件数据源；能和异构数据库互相复制；</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4、能够将原有异种数据库向本数据库无损失移植；</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5、应具有强的容错能力、错误恢复能力、错误记录及预警能力，能在不影响数据库运行的条件下快速恢复已提交的修改，可以把整个数据库、指定表或指定的记录恢复到指定时间点；</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6、数据库、表大小等参数可在线设置，支持在线重建索引；</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7、内嵌支持表分区技术；</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8、支持OLTP和OLAP应用，内嵌多维数据库功能，内嵌数据挖掘功能；</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9、数据库系统应支持多种索引结构，如：B*树、HASH、Bitmap、反转键值索引等。</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三年</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免费</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运维</w:t>
            </w: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国密SSL证书</w:t>
            </w:r>
            <w:r>
              <w:rPr>
                <w:rFonts w:ascii="宋体" w:hAnsi="宋体"/>
                <w:color w:val="000000"/>
                <w:sz w:val="24"/>
                <w:szCs w:val="24"/>
              </w:rPr>
            </w:r>
            <w:r/>
          </w:p>
        </w:tc>
        <w:tc>
          <w:tcPr>
            <w:tcW w:w="2940"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由第三方可信机构签发，有效期≥3年</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1个</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gridSpan w:val="4"/>
            <w:tcW w:w="455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二、硬件设备购置</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身份认证服务器</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1.采用国产数字证书认证方式；</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2.支持国产数字证书双向认证，支持消息加密和数据完整性保护；</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3.可创建多个认证服务，保护不同的应用服务；</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4.支持将用户证书信息包括扩展项信息传送给应用系统 ；</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5.支持国产SM2算法证书；</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6.对外提供的数字签名、数字信封服务结构符合PKCS#7、PKCS#1标准；</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7.支持基于用户角色的授权管理与访问控制；</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8.提供统一的用户管理入口，支持由各级管理员对机构、用户组、用户、应用进行相应的管理维护；</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9.支持Firefox、Chrome、IE等多浏览器客户端；</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10.SM4加/解密速率≥20Mbps/20Mbps；</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11.SM2密钥对生成速率≥300对/秒；</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12.签名速率≥400次/秒；</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13.验签速率≥150次/秒；</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14.SM3运算速率≥20Mbps。</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五年</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质保</w:t>
            </w: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SSL VPN网关</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w:t>
              <w:tab/>
              <w:t xml:space="preserve">遵循国家密码管理部门发布的相关技术规范；</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2.</w:t>
              <w:tab/>
              <w:t xml:space="preserve">支持国密SSL协议，支持国密SM1/2/3/4密码算法协议；</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3.</w:t>
              <w:tab/>
              <w:t xml:space="preserve">支持应用系统的“零改造”单点登录，并提供基于本地用户信息的单点登录接口服务；</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4.</w:t>
              <w:tab/>
              <w:t xml:space="preserve">支持证书、用户名口令、域、短信、机器码等多种认证方式自由组合；</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5.</w:t>
              <w:tab/>
              <w:t xml:space="preserve">支持远程应用推送，提供快捷访问受保护应用的能力；</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6.</w:t>
              <w:tab/>
              <w:t xml:space="preserve">支持热备份、负载均衡；</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7.</w:t>
              <w:tab/>
              <w:t xml:space="preserve">最大并发用户数≥50000；</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8.</w:t>
              <w:tab/>
              <w:t xml:space="preserve">最大并发连接数≥50000；</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9.</w:t>
              <w:tab/>
              <w:t xml:space="preserve">每秒新建连接数≥350；</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10.加解密吞吐率≥220Mbps。</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五年</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质保</w:t>
            </w: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签名验签服务器</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1.密钥管理:支持密钥进行生成、存储、备份、恢复、销毁、状态查询等管理功能；</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2.密码服务:支持对数据进行加解密、签名、验证签名；</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3.证书存储：上传数字证书进行存储，并支持接口获取；</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4.签名验证服务器管理:对签名验签服务器本身进行配置，如签名验证服务器IP地址、子网掩码、网关、端口，对用户白名单进行管理；</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5.支持对称密码算法：SM1/SM4；</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6.支持非对称密码算法：SM2；</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7.支持杂凑算法：SM3；</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8.SM2签名速率≥3000次/秒；</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9.验签速率≥3200次/秒。</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五年</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质保</w:t>
            </w: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智能密码钥匙</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 加/解密速率≥418.34Kbps/467.91Kbps；</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2. 签名速率≥43.03次/秒；</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3. 验签速率≥34.92次/秒；</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4. 支持在国产环境中使用；</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5. 具备国家密码管理局颁发的《商用密码产品认证证书》；</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6. 支持USB2.0/3.0；</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7. 支持的算法包含：支持SM1/SM2/SM3/SM4等算法；</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8. 支持国际通用接口：PKCS#11、CSP；</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9. 支持国密局智能密码钥匙SKF接口；</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10. 支持Firefox、Chrome等多浏览器应用；</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200个</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五年</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质保</w:t>
            </w: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678"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服务器密码机</w:t>
            </w:r>
            <w:r>
              <w:rPr>
                <w:rFonts w:ascii="宋体" w:hAnsi="宋体"/>
                <w:color w:val="000000"/>
                <w:sz w:val="24"/>
                <w:szCs w:val="24"/>
              </w:rPr>
            </w:r>
            <w:r/>
          </w:p>
        </w:tc>
        <w:tc>
          <w:tcPr>
            <w:tcW w:w="2940" w:type="pct"/>
            <w:vAlign w:val="top"/>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1.密钥管理：包括密钥产生、加密传输、存储、导入、删除、销毁，删除密钥支持指定索引号对称和非对称密钥的删除；</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2.支持对称密码算法：SM1/SM4；</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3.支持非对称密码算法：SM2；</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4.支持杂凑算法：SM3；</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5.具备客户端访问密码机IP地址过滤功能（白名单）；</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6.支持热备份、负载均衡；</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7.加/解密速率≥700Mbps/700Mbps；</w:t>
            </w:r>
            <w:r>
              <w:rPr>
                <w:rFonts w:ascii="宋体" w:hAnsi="宋体"/>
                <w:color w:val="000000"/>
                <w:sz w:val="24"/>
                <w:szCs w:val="24"/>
              </w:rPr>
            </w:r>
            <w:r/>
          </w:p>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8.签名验签速率≥50次/秒；</w:t>
            </w:r>
            <w:r>
              <w:rPr>
                <w:rFonts w:ascii="宋体" w:hAnsi="宋体"/>
                <w:color w:val="000000"/>
                <w:sz w:val="24"/>
                <w:szCs w:val="24"/>
              </w:rPr>
            </w:r>
            <w:r/>
          </w:p>
        </w:tc>
        <w:tc>
          <w:tcPr>
            <w:tcW w:w="510" w:type="pct"/>
            <w:vAlign w:val="top"/>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五年</w:t>
            </w:r>
            <w:r>
              <w:rPr>
                <w:rFonts w:ascii="宋体" w:hAnsi="宋体"/>
                <w:color w:val="000000"/>
                <w:sz w:val="24"/>
                <w:szCs w:val="24"/>
              </w:rPr>
            </w:r>
            <w:r/>
          </w:p>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质保</w:t>
            </w:r>
            <w:r>
              <w:rPr>
                <w:rFonts w:ascii="宋体" w:hAnsi="宋体"/>
                <w:color w:val="000000"/>
                <w:sz w:val="24"/>
                <w:szCs w:val="24"/>
              </w:rPr>
            </w:r>
            <w:r/>
          </w:p>
        </w:tc>
      </w:tr>
      <w:tr>
        <w:trPr/>
        <w:tc>
          <w:tcPr>
            <w:gridSpan w:val="5"/>
            <w:tcW w:w="5000"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三、定制软件开发</w:t>
            </w: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个人信用积分数字生活场景应用</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根据应用场景用户覆盖面、系统基础条件、主管部门意愿等因素，选择数字生活中交通出行（无锡停车、就诊联动、错时共享、地铁公交码、绿色出行）、文旅体育（场馆预约、旅游景点、酒店民宿、票务）、驾培信用、诚信消费商圈等，构建个人信用积分数字生活场景应用。</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智慧信用数字生活开放平台</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面向市场化企事业单位、个体工商户，将“阿福分”“幸福豆”嵌入至交通出行、文旅体育、行业应用、诚信消费商圈等信用数字生活的方方面面。</w:t>
            </w:r>
            <w:r>
              <w:rPr>
                <w:rFonts w:ascii="宋体" w:hAnsi="宋体"/>
                <w:color w:val="000000"/>
                <w:sz w:val="24"/>
                <w:szCs w:val="24"/>
              </w:rPr>
            </w:r>
            <w:r/>
          </w:p>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用户侧主要功能包括用户认证审核申请、应用创建申请、接口配额申请、接口在线文档、接口在线调试、预发布审核申请、接口调用统计。</w:t>
            </w:r>
            <w:r>
              <w:rPr>
                <w:rFonts w:ascii="宋体" w:hAnsi="宋体"/>
                <w:color w:val="000000"/>
                <w:sz w:val="24"/>
                <w:szCs w:val="24"/>
              </w:rPr>
            </w:r>
            <w:r/>
          </w:p>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管理侧主要功能包括认证审核管理、应用创建审核、接口配额审核、接口在线管理、预发布审核管理、接口调用预警监控、应用定期抽检管理。</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“幸福豆”兑换商城</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“幸福豆”兑换商城是重要的信用场景应用环节，将积累的 “幸福豆”兑换成实体物品或虚拟物品，以实现“幸福豆”闭环的途径之一。</w:t>
            </w:r>
            <w:r>
              <w:rPr>
                <w:rFonts w:ascii="宋体" w:hAnsi="宋体"/>
                <w:color w:val="000000"/>
                <w:sz w:val="24"/>
                <w:szCs w:val="24"/>
              </w:rPr>
            </w:r>
            <w:r/>
          </w:p>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用户侧功能主要包括商城使用端功能有商城首页、商品搜索、商品分类、商品列表、商品详情、商品评价、购物车、结算页面、兑换收银台、我的订单。</w:t>
            </w:r>
            <w:r>
              <w:rPr>
                <w:rFonts w:ascii="宋体" w:hAnsi="宋体"/>
                <w:color w:val="000000"/>
                <w:sz w:val="24"/>
                <w:szCs w:val="24"/>
              </w:rPr>
            </w:r>
            <w:r/>
          </w:p>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管理侧功能主要包括用户商品分类管理、商品发布管理、用户评价管理、商品订单管理、虚拟订单管理、退订管理、首页配置、对账结算、数据统计。</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场景应用结算系统</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针对平台中产生的“幸福豆”在各类应用场景中产生、使用、兑换、消亡（过期）闭环中，产生于某个应用场景、使用流转至某个应用场景的实时、定期结算功能，以此来衡量单个应用场景的贡献度，为后续大范围推广运营做好数据基础。</w:t>
            </w:r>
            <w:r>
              <w:rPr>
                <w:rFonts w:ascii="宋体" w:hAnsi="宋体"/>
                <w:color w:val="000000"/>
                <w:sz w:val="24"/>
                <w:szCs w:val="24"/>
              </w:rPr>
            </w:r>
            <w:r/>
          </w:p>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主要功能包括场景应用分类管理、场景应用实时查询，场景应用结算报表，多场景结算明细对比分析、场景应用贡献模型管理、场景应用贡献报表等功能。</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678" w:type="pct"/>
            <w:vAlign w:val="center"/>
            <w:textDirection w:val="lrTb"/>
            <w:noWrap w:val="false"/>
          </w:tcPr>
          <w:p>
            <w:pPr>
              <w:pStyle w:val="686"/>
              <w:jc w:val="left"/>
              <w:spacing w:line="480" w:lineRule="exact"/>
            </w:pPr>
            <w:r>
              <w:rPr>
                <w:rFonts w:hint="eastAsia" w:ascii="宋体" w:hAnsi="宋体"/>
                <w:color w:val="000000"/>
                <w:sz w:val="24"/>
                <w:szCs w:val="24"/>
              </w:rPr>
              <w:t xml:space="preserve">场景应用运营分析系统</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对接入平台的各类信用场景开展状况的全面分析，基于电子地图，根据区域、场景类别、信用区间人群等分类，通过不同的视角、不同的维度，多方位展示信用场景开展统计分析数据，从而实现优化信用场景运营管理细节的目的。</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政务诚信监管系统</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以政务诚信数据归集为基础，以政务诚信应用为导向，建设诚信档案、信用查询、监督预警、信用修复、联合奖惩以及公信力指数等功能,支撑区域政务诚信监管。</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信用工作监测系统</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对无锡市社会信用体系建设成员单位和各区县在社会信用体系建设相关的工作情况实施清单分解、动态化管理，通过建立监测模型、监测项目管理、监测指标管理、监测评分规则配置、监测等级管理、动态监测以及监测情况报告生成等功能，使考评工作科学化、数字化、公开化。</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r>
        <w:trPr/>
        <w:tc>
          <w:tcPr>
            <w:tcW w:w="43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678" w:type="pct"/>
            <w:vAlign w:val="center"/>
            <w:textDirection w:val="lrTb"/>
            <w:noWrap w:val="false"/>
          </w:tcPr>
          <w:p>
            <w:pPr>
              <w:pStyle w:val="686"/>
              <w:jc w:val="left"/>
              <w:spacing w:line="480" w:lineRule="exact"/>
              <w:rPr>
                <w:rFonts w:ascii="宋体" w:hAnsi="宋体"/>
                <w:color w:val="000000"/>
                <w:sz w:val="24"/>
                <w:szCs w:val="24"/>
              </w:rPr>
            </w:pPr>
            <w:r>
              <w:rPr>
                <w:rFonts w:hint="eastAsia" w:ascii="宋体" w:hAnsi="宋体"/>
                <w:color w:val="000000"/>
                <w:sz w:val="24"/>
                <w:szCs w:val="24"/>
              </w:rPr>
              <w:t xml:space="preserve">信用智慧服务移动端</w:t>
            </w:r>
            <w:r>
              <w:rPr>
                <w:rFonts w:ascii="宋体" w:hAnsi="宋体"/>
                <w:color w:val="000000"/>
                <w:sz w:val="24"/>
                <w:szCs w:val="24"/>
              </w:rPr>
            </w:r>
            <w:r/>
          </w:p>
        </w:tc>
        <w:tc>
          <w:tcPr>
            <w:tcW w:w="2940" w:type="pct"/>
            <w:vAlign w:val="top"/>
            <w:textDirection w:val="lrTb"/>
            <w:noWrap w:val="false"/>
          </w:tcPr>
          <w:p>
            <w:pPr>
              <w:pStyle w:val="686"/>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开发移动端的小程序，方便信用主体随时使用信用服务，主要功能包括社会法人信用报告、第三方信用报告、信用修复、信用异议、信用提示预警等功能，持续提升数字生活的知晓度和覆盖面。</w:t>
            </w:r>
            <w:r>
              <w:rPr>
                <w:rFonts w:ascii="宋体" w:hAnsi="宋体"/>
                <w:color w:val="000000"/>
                <w:sz w:val="24"/>
                <w:szCs w:val="24"/>
              </w:rPr>
            </w:r>
            <w:r/>
          </w:p>
        </w:tc>
        <w:tc>
          <w:tcPr>
            <w:tcW w:w="510" w:type="pct"/>
            <w:vAlign w:val="center"/>
            <w:textDirection w:val="lrTb"/>
            <w:noWrap w:val="false"/>
          </w:tcPr>
          <w:p>
            <w:pPr>
              <w:pStyle w:val="686"/>
              <w:jc w:val="center"/>
              <w:spacing w:line="480" w:lineRule="exac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c>
          <w:tcPr>
            <w:tcW w:w="442" w:type="pct"/>
            <w:vAlign w:val="center"/>
            <w:textDirection w:val="lrTb"/>
            <w:noWrap w:val="false"/>
          </w:tcPr>
          <w:p>
            <w:pPr>
              <w:pStyle w:val="686"/>
              <w:jc w:val="center"/>
              <w:spacing w:line="480" w:lineRule="exact"/>
              <w:rPr>
                <w:rFonts w:ascii="宋体" w:hAnsi="宋体"/>
                <w:color w:val="000000"/>
                <w:sz w:val="24"/>
                <w:szCs w:val="24"/>
              </w:rPr>
            </w:pPr>
            <w:r>
              <w:rPr>
                <w:rFonts w:ascii="宋体" w:hAnsi="宋体"/>
                <w:color w:val="000000"/>
                <w:sz w:val="24"/>
                <w:szCs w:val="24"/>
              </w:rPr>
            </w:r>
            <w:r/>
          </w:p>
        </w:tc>
      </w:tr>
    </w:tbl>
    <w:p>
      <w:pPr>
        <w:pStyle w:val="686"/>
        <w:rPr>
          <w:rFonts w:ascii="宋体" w:hAnsi="宋体"/>
          <w:color w:val="000000"/>
          <w:sz w:val="24"/>
          <w:szCs w:val="24"/>
        </w:rPr>
      </w:pPr>
      <w:r>
        <w:rPr>
          <w:rFonts w:hint="eastAsia" w:ascii="宋体" w:hAnsi="宋体"/>
          <w:color w:val="000000"/>
          <w:sz w:val="24"/>
          <w:szCs w:val="24"/>
        </w:rPr>
        <w:t xml:space="preserve">（二）设计要求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（1）个人信用行为数据库建设</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基于无锡市公共信用信息服务平台的自然人信用信息基础库、无锡市个人信用积分一站式智能管理平台的个人信用积分库（含阿福分、个人增信数据），新建个人信用行为数据库，记录在个人信用应用场景中产生的所有诚信守约、失信违诺的行为事项，以居民身份证号码为唯一标识，实现个人信用行为数据的交换、处理、整合、存储、更新、服务为一体的规范化运行、管理、共享体系。为市级相关部门、运营主体的业务应用提供数据支持与服务。要求提供个人信用行为数据库的架构设计、数据模型设计、指标体系设计、性能和优化方案。</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（2）多领域个人信用积分模型管理</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在“诚信阿福分”的计算模型中加入个人信用行为数据，补充“用信”维度，优化完善整体阿福分模型。同时，针对特定领域，如重点职业、金融等领域，提供行业主管部门自定义维度指标管理、自动计算、发布，实现能够支持多领域的“阿福+N”个人信用积分微模型嵌入，更适用于特定领域应用场景使用。</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（3）基于城市APP的应用场景对接</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依托无锡城市APP灵锡，根据应用场景用户覆盖面、系统基础条件、主管部门意愿等因素，首选数字生活中交通出行、文旅体育、驾培信用、诚信消费商圈等，基于应用场景对接情况，构建能够覆盖大多数场景的通用授权、调用、监控、统计的管理系统，实现一套或多套场景对接接口、页面实现逻辑。要求提供应用场景流程、涉众、主要业务功能、涉及规则、难点及解决方案。</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（4）智慧信用数字生活开放平台</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有效应用“互联网+”思维，强化互联网服务能力，面向有能力的企业、机构、商户，在安全可控范围内，开放信用数字生活应用场景接入能力，构建注册认证、申请授权、调用监控等管理流程，实现自助式对接能力，对内打造“集约化”管理矩阵，对外提供“一体化”服务。规范化管理的同时，加速市场化信用应用场景落地。</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要求提供相关设计方案。用户侧主要功能包括用户认证审核申请、应用创建申请、接口配额申请、接口在线文档、接口在线调试、预发布审核申请、接口调用统计。管理侧主要功能包括认证审核管理、应用创建审核、接口配额审核、接口在线管理、预发布审核管理、接口调用预警监控、应用定期抽检管理。</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（5）应用场景运营服务系统建设</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应用场景的长效运营离不开各落地场景的多方合作共建，场景提供方、主管单位、运营方本着“合作共赢”的原则，应建立公平、公正、公开的成效统计、贡献结算等机制。通过建设“幸福豆”兑换商城、场景应用结算模块以及应用场景成效分析系统，实现应用场景运营服务的管理高效、服务惠民和协同发展。</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要求提供相关设计方案。主要功能包括：</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“幸福豆”兑换商城是重要的信用场景应用环节，个人用户可在灵锡APP阿福分版块进入兑换商城，将积累的 “幸福豆”兑换成实体物品或虚拟物品，以实现“幸福豆”闭环的途径之一。用户侧功能主要包括商城使用端功能有商城首页、商品搜索、商品分类、商品列表、商品详情、商品评价、购物车、结算页面、兑换收银台、我的订单。管理侧功能主要包括用户商品分类管理、商品发布管理、用户评价管理、商品订单管理、虚拟订单管理、退订管理、首页配置、对账结算、数据统计。</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场景应用结算系统是针对平台中产生的“幸福豆”在各类应用场景中产生、使用、兑换、消亡（过期）闭环中，产生于某个应用场景、使用流转至某个应用场景的实时、定期结算功能，以此来衡量单个应用场景的贡献度，贡献度可以综合热度（使用频次）、幸福豆净值（使用/兑换 – 产生），为后续大范围推广运营做好数据基础。主要功能包括场景应用分类管理、场景应用实时查询，场景应用结算报表，多场景结算明细对比分析、场景应用贡献模型管理、场景应用贡献报表等功能。</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场景应用运营分析是对接入平台的各类信用场景开展状况的全面分析，基于电子地图，根据区域、场景类别、信用区间人群等分类，通过不同的视角、不同的维度，多方位展示信用场景开展统计分析数据，从而实现优化信用场景运营管理细节的目的。</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（6）政务诚信监管系统建设</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贯彻落实《省政府关于加强政务诚信建设的实施意见》，开发政务诚信监管系统，促进政府守信践诺机制和失信责任追究制度逐步完善，实现政府部门信用信息记录、归集、共享全覆盖，实现重点领域政务诚信建设取得积极进展，推动全市政务诚信水平显著提高，确保我市政务诚信考核位于全国及全省的前列。</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要求提供相关设计方案。政务诚信数据归集为基础，以政务诚信应用为导向，主要功能包括建设诚信档案、信用查询、监督预警、信用修复、联合奖惩以及公信力指数等。</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（7）信用工作监测系统建设</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根据国家和本省的各项工作考核要求，监测信用平台各项工作进展情况，提供动态统计分析。同时，结合省社会信用体系建设工作要点、省公共信用信息工作要点、省社会信用体系建设工作考评细化指标，以无锡市社会信用体系建设成员单位和各区县为监测对象，根据社会信用体系建设工作年度目标分解情况，对数据归集、“双公示”报送、信用修复、失信专项治理占比、信用应用、宣传信息报送、联合奖惩以及监管创新实行目标任务清单式管理。</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要求提供相关设计方案。主要功能包括监测模型、监测项目管理、监测指标管理、监测评分规则配置、监测等级管理、动态监测以及监测情况报告生成等。</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（8）信用智慧服务移动端建设</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开发信用智慧服务移动端应用，开发嵌入灵锡APP的小程序，方便信用主体开展社会法人信用报告、第三方信用报告、信用修复、信用异议、信用提示预警等功能，持续提升数字生活的知晓度和覆盖面。</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要求提供相关设计方案。主要功能包括社会法人信用报告、第三方信用报告、信用修复、信用异议、信用提示预警等功能。</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（9）安全及密码体系建设</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平台建设遵循《国家标准信息安全技术信息系统安全等级保护基本要求》信息安全标准，提供多方式、多层次、多渠道的安全保密措施，防止各种形式与途径的非法侵入和机密信息的泄露，保证平台的安全，且整个平台需通过网络安全等级测评（三级）检测，符合三级安全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围绕《国家政务信息化项目建设管理办法》中关于政务信息系统在系统规划阶段的密码应用要求，综合考虑信用信息共享平台物理和环境、网络和通信、设备和计算、应用和数据、安全管理等层面的密码应用需求，设计合规、正确、有效的平台密码应用方案，满足《基本要求》中三级指标要求，并通过密码应用安全性评估。</w:t>
      </w:r>
      <w:r>
        <w:rPr>
          <w:rFonts w:ascii="宋体" w:hAnsi="宋体"/>
          <w:color w:val="000000"/>
          <w:sz w:val="24"/>
          <w:szCs w:val="24"/>
        </w:rPr>
      </w:r>
      <w:r/>
    </w:p>
    <w:p>
      <w:pPr>
        <w:pStyle w:val="686"/>
        <w:rPr>
          <w:rFonts w:ascii="宋体" w:hAnsi="宋体"/>
          <w:color w:val="000000"/>
          <w:sz w:val="24"/>
          <w:szCs w:val="24"/>
        </w:rPr>
      </w:pP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三、相关要求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（1）开发部署要求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本项目建设基于无锡市政务云服务资源，实现弹性扩展和快速部署，供应商需根据本项目建设要求进行相应的云服务资源规划，并对云服务资源进行报价。</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（2）项目管理要求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[1]供应商须针对本项目做出详细可行的项目实施方案。</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[2]供应商须具有完整的项目实施组织机构，明确项目计划、有详细的项目分工。</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[3]供应商应保证本项目项目质量和软件质量。</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[4]供应商应分析项目存在的各种风险应对策略和措施。</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[5]实施过程中，应定期提交项目实施相关信息。</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（3）质量保证要求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供应商须提交项目质量计划，项目质量计划要求：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[1]明确项目质量目标、质量标准；确定项目遵循的标准、规范及模板，遵守项目管理组的相关要求。项目若使用其他的标准和规范，应该在质量保证计划中说明。</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[2]制定项目质量管理制度，明确项目质量管理工作流程及质量问题的发现、解决方法。</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[3]明确质量管理工作方法和工具、管理内容；明确影响质量的控制节点，以及如何检查、控制。</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（4）风险管理与控制要求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[1]供应商应针对各阶段工作内容和要求，详细分析实施过程中可能出现的各类风险，制定完善的风险管理策略。</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[2]项目完成后，成交供应商应对该项目所涉及的需求分析、设计开发、测试、试运行、验收等各阶段工作文档按采购人质量、数量、提供方式、提供时间等要求进行整理，提交采购人归档。</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（5）项目实施要求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供应商应根据项目实施内容制定详细的项目实施计划，明确各项工作任务的执行策略、进度安排和初步设想。项目实施计划应至少包括以下内容：</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[1]工作任务按照项目建设内容、时间进度进行结构化分解，细化到具体实施工作安排上，明确每个具体任务的工作过程、方法和产出物。</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[2]进度计划要求划分项目的实施阶段，确定项目的重大节点和里程碑，提出有效的节点控制办法，保证项目的整体时间进度要求，项目实施计划要细化到周。</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（6）实施人员要求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为了使本项目能够按质、按量、按时及有序开展，成交供应商须组建具有承担过相关系统软件开发经验的实施团队，委派本项目的人员要求如下：</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要确保项目试运行至平台验收期间，派驻至少5人在项目地点驻点现场办公。未经采购人同意，项目负责人和投入的团队人员不得调整。</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（7）质保期要求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项目整体验收合格后，提供至少三年软件免费本地化质保服务，免费质保服务期间应派驻不少于3人进行驻场服务，工作时间每日打卡考勤，负责质保期内系统的运行维护及版本升级等。在用户有需要时，提供30分钟内到现场解决系统问题，提供季、半年、年度巡检等服务。</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免费质保期所需费用包含在本项目投标报价中。</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（8）售后服务要求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供应商须详细阐述其售后服务体系、服务内容、服务流程、关键问题处理能力的保障等相关因素。</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（9）培训要求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供应商应根据项目实施的进度要求，做出各阶段培训计划，及时安排有关培训。对系统所有用户提供应用性的培训，侧重在该软件的使用及系统基本维护、系统常见问题及解决办法等方面，并提供上机操作，目标是使受训者能够熟悉软件设计思路、掌握该软件的操作、基本维护方法等。</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（10）验收要求</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成交供应商应当负责在项目整体验收前将系统的全部各种相关的系统软件，各阶段开发文档，运行稳定可靠的系统及其安装程序，注释清晰明了的、能够编译生成生产环境下正常运行的应用程序的源代码，以及有关产品和系统说明书、安装手册、技术文件、测试报告等文档汇集成册交付给采购人，如成交供应商不提供以上资料，采购人有权不办理项目整体验收程序。</w:t>
      </w:r>
      <w:r>
        <w:rPr>
          <w:rFonts w:ascii="宋体" w:hAnsi="宋体"/>
          <w:color w:val="000000"/>
          <w:sz w:val="24"/>
          <w:szCs w:val="24"/>
        </w:rPr>
      </w:r>
      <w:r/>
    </w:p>
    <w:p>
      <w:pPr>
        <w:pStyle w:val="686"/>
        <w:rPr>
          <w:rFonts w:ascii="宋体" w:hAnsi="宋体"/>
          <w:color w:val="000000"/>
          <w:sz w:val="24"/>
          <w:szCs w:val="24"/>
        </w:rPr>
      </w:pPr>
      <w:r/>
      <w:bookmarkStart w:id="193" w:name="_Toc24850"/>
      <w:r>
        <w:rPr>
          <w:rFonts w:hint="eastAsia" w:ascii="宋体" w:hAnsi="宋体"/>
          <w:color w:val="000000"/>
          <w:sz w:val="24"/>
          <w:szCs w:val="24"/>
        </w:rPr>
        <w:t xml:space="preserve">（11）文档交付要求</w:t>
      </w:r>
      <w:bookmarkEnd w:id="193"/>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成交供应商除在规定时间内按照招标文件的要求完成该系统的调研、设计、开发、调试、测试等工作外，还应向采购人提供《无锡市使用财政性资金信息化项目竣工验收材料清单》中要求的全部文档。</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成交供应商必须对工程技术文件以及由采购人提供的所有内部资料、技术文档和信息予以保密。成交供应商必须遵守与采购人签订的保密协议，未经采购人书面许可，成交供应商不得以任何形式向第三方透露本项目的任何内容。</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（12）知识产权</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成交供应商必须对所提供软件和服务等知识产权方面的一切产权关系负全部责任，由此而引起的法律纠纷以及费用成交供应商须全部承担。</w:t>
      </w:r>
      <w:r>
        <w:rPr>
          <w:rFonts w:ascii="宋体" w:hAnsi="宋体"/>
          <w:color w:val="000000"/>
          <w:sz w:val="24"/>
          <w:szCs w:val="24"/>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rPr>
          <w:rFonts w:ascii="宋体"/>
          <w:bCs/>
          <w:color w:val="000000"/>
          <w:sz w:val="24"/>
          <w:szCs w:val="24"/>
        </w:rPr>
      </w:r>
      <w:r/>
    </w:p>
    <w:p>
      <w:pPr>
        <w:pStyle w:val="686"/>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合同签订生效后8个月内完成整个项目建设、上线试运行和项目验收</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免费</w:t>
      </w:r>
      <w:r>
        <w:rPr>
          <w:rFonts w:hint="eastAsia" w:ascii="宋体"/>
          <w:bCs/>
          <w:color w:val="000000"/>
          <w:sz w:val="24"/>
          <w:szCs w:val="24"/>
        </w:rPr>
        <w:t xml:space="preserve">质保期：</w:t>
      </w:r>
      <w:r>
        <w:rPr>
          <w:rFonts w:hint="eastAsia" w:ascii="宋体"/>
          <w:bCs/>
          <w:color w:val="000000"/>
          <w:sz w:val="24"/>
          <w:szCs w:val="24"/>
        </w:rPr>
        <w:t xml:space="preserve">硬件五年，软件三年。</w:t>
      </w:r>
      <w:r>
        <w:rPr>
          <w:rFonts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项目合同签订后，7个工作日内支付合同额的30%；项目初步验收合格后，7个工作日内支付合同额的40%；项目竣工验收合格后，7个工作日内支付合同额的20%；三年免费质保期后7个工作日内支付合同金额的10%</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 </w:t>
      </w:r>
      <w:r>
        <w:rPr>
          <w:rFonts w:hint="eastAsia" w:ascii="宋体" w:hAnsi="宋体"/>
          <w:bCs/>
          <w:color w:val="000000"/>
          <w:sz w:val="24"/>
          <w:szCs w:val="24"/>
        </w:rPr>
        <w:t xml:space="preserve">无锡  </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686"/>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686"/>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中标、成交供应商可以采用电子履约保函形式，具体操作可登陆江苏政府采购网的保险保函模块进行办理。</w:t>
      </w:r>
      <w:r/>
    </w:p>
    <w:p>
      <w:pPr>
        <w:pStyle w:val="68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68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686"/>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4"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774"/>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74"/>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74"/>
        <w:spacing w:before="0" w:after="0" w:line="500" w:lineRule="exact"/>
        <w:rPr>
          <w:rFonts w:hint="eastAsia" w:cs="Arial"/>
          <w:color w:val="000000"/>
        </w:rPr>
      </w:pPr>
      <w:r>
        <w:rPr>
          <w:rFonts w:hint="eastAsia" w:cs="Arial"/>
          <w:color w:val="000000"/>
        </w:rPr>
        <w:t xml:space="preserve">比较与评价采用综合评分法。</w:t>
      </w:r>
      <w:r/>
    </w:p>
    <w:p>
      <w:pPr>
        <w:pStyle w:val="774"/>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r>
      <w:r/>
    </w:p>
    <w:p>
      <w:pPr>
        <w:pStyle w:val="774"/>
        <w:ind w:firstLine="602"/>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774"/>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86"/>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86"/>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74"/>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w:t>
      </w:r>
      <w:r>
        <w:rPr>
          <w:rFonts w:hint="eastAsia" w:ascii="宋体" w:hAnsi="宋体"/>
          <w:b/>
          <w:bCs/>
          <w:color w:val="000000"/>
          <w:sz w:val="24"/>
          <w:szCs w:val="24"/>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8</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2.1  </w:t>
      </w:r>
      <w:r>
        <w:rPr>
          <w:rFonts w:hint="eastAsia" w:ascii="宋体" w:hAnsi="宋体"/>
          <w:color w:val="000000"/>
          <w:sz w:val="24"/>
        </w:rPr>
        <w:t xml:space="preserve">项目经理（5分）具有电子信息类</w:t>
      </w:r>
      <w:r>
        <w:rPr>
          <w:rFonts w:hint="eastAsia" w:ascii="宋体" w:hAnsi="宋体"/>
          <w:color w:val="000000"/>
          <w:sz w:val="24"/>
        </w:rPr>
        <w:t xml:space="preserve">或计算机类</w:t>
      </w:r>
      <w:r>
        <w:rPr>
          <w:rFonts w:hint="eastAsia" w:ascii="宋体" w:hAnsi="宋体"/>
          <w:color w:val="000000"/>
          <w:sz w:val="24"/>
        </w:rPr>
        <w:t xml:space="preserve">工程师资格得1分，信用管理师证书得1分，最多得2分；具备类似项目管理经验的提供相关经验证明（需体现项目经理姓名），一个得1分，最高3分。</w:t>
      </w:r>
      <w:r>
        <w:rPr>
          <w:rFonts w:ascii="宋体" w:hAnsi="宋体"/>
          <w:color w:val="000000"/>
          <w:sz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2.2  </w:t>
      </w:r>
      <w:r>
        <w:rPr>
          <w:rFonts w:hint="eastAsia" w:ascii="宋体" w:hAnsi="宋体"/>
          <w:color w:val="000000"/>
          <w:sz w:val="24"/>
        </w:rPr>
        <w:t xml:space="preserve">项目组成员（</w:t>
      </w:r>
      <w:r>
        <w:rPr>
          <w:rFonts w:hint="eastAsia" w:ascii="宋体" w:hAnsi="宋体"/>
          <w:color w:val="000000"/>
          <w:sz w:val="24"/>
        </w:rPr>
        <w:t xml:space="preserve">3</w:t>
      </w:r>
      <w:r>
        <w:rPr>
          <w:rFonts w:hint="eastAsia" w:ascii="宋体" w:hAnsi="宋体"/>
          <w:color w:val="000000"/>
          <w:sz w:val="24"/>
        </w:rPr>
        <w:t xml:space="preserve">分）：项目组其他成员（不含项目经理）具备电子信息类工程师资格、信用管理师，软件工程师证书的，每提供1个证书的得1分，最高得</w:t>
      </w:r>
      <w:r>
        <w:rPr>
          <w:rFonts w:hint="eastAsia" w:ascii="宋体" w:hAnsi="宋体"/>
          <w:color w:val="000000"/>
          <w:sz w:val="24"/>
        </w:rPr>
        <w:t xml:space="preserve">3</w:t>
      </w:r>
      <w:r>
        <w:rPr>
          <w:rFonts w:hint="eastAsia" w:ascii="宋体" w:hAnsi="宋体"/>
          <w:color w:val="000000"/>
          <w:sz w:val="24"/>
        </w:rPr>
        <w:t xml:space="preserve">分。</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业绩（4分）投标人近三年以来具有与本项目类似的成功案例，每提供一份有效合同复印件得1分，最高不超过4分；合同扫描件上传至投标系统中。</w:t>
      </w:r>
      <w:r>
        <w:rPr>
          <w:rFonts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3.2  </w:t>
      </w:r>
      <w:r>
        <w:rPr>
          <w:rFonts w:hint="eastAsia" w:ascii="宋体" w:hAnsi="宋体"/>
          <w:color w:val="000000"/>
          <w:sz w:val="24"/>
        </w:rPr>
        <w:t xml:space="preserve">软著</w:t>
      </w: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分）：投标人具有个人信用积分管理、信用考核、接口服务网关相关功能模块的软件著作权登记证，每提供一项得1分，最高得3分。</w:t>
      </w:r>
      <w:r>
        <w:rPr>
          <w:rFonts w:hint="eastAsia" w:ascii="宋体" w:hAnsi="宋体"/>
          <w:color w:val="000000"/>
          <w:sz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3.3体系认证（3分）：投标人具有有效期内的质量管理体系认证证书、信息安全管理体系认证证书、信息技术服务管理体系认证证书，有1个得1分，最高3分。</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65</w:t>
      </w:r>
      <w:r>
        <w:rPr>
          <w:rFonts w:hint="eastAsia" w:ascii="宋体" w:hAnsi="宋体"/>
          <w:b/>
          <w:bCs/>
          <w:color w:val="000000"/>
          <w:sz w:val="24"/>
          <w:szCs w:val="24"/>
        </w:rPr>
        <w:t xml:space="preserve">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4.1需求分析方案（</w:t>
      </w:r>
      <w:r>
        <w:rPr>
          <w:rFonts w:hint="eastAsia" w:ascii="宋体" w:hAnsi="宋体"/>
          <w:color w:val="000000"/>
          <w:sz w:val="24"/>
        </w:rPr>
        <w:t xml:space="preserve">9</w:t>
      </w:r>
      <w:r>
        <w:rPr>
          <w:rFonts w:hint="eastAsia" w:ascii="宋体" w:hAnsi="宋体"/>
          <w:color w:val="000000"/>
          <w:sz w:val="24"/>
        </w:rPr>
        <w:t xml:space="preserve">分）：投标人对无锡市公共信用信息化平台现状了解、项目建设目标、项目需求理解、项目的难点和关键点理解进行表述，要求表述内容完整、合理、可行性强。以上内容不存在瑕疵：</w:t>
      </w:r>
      <w:r>
        <w:rPr>
          <w:rFonts w:hint="eastAsia" w:ascii="宋体" w:hAnsi="宋体"/>
          <w:color w:val="000000"/>
          <w:sz w:val="24"/>
        </w:rPr>
        <w:t xml:space="preserve">9</w:t>
      </w:r>
      <w:r>
        <w:rPr>
          <w:rFonts w:hint="eastAsia" w:ascii="宋体" w:hAnsi="宋体"/>
          <w:color w:val="000000"/>
          <w:sz w:val="24"/>
        </w:rPr>
        <w:t xml:space="preserve">分；以上内容存在1处瑕疵：</w:t>
      </w:r>
      <w:r>
        <w:rPr>
          <w:rFonts w:hint="eastAsia" w:ascii="宋体" w:hAnsi="宋体"/>
          <w:color w:val="000000"/>
          <w:sz w:val="24"/>
        </w:rPr>
        <w:t xml:space="preserve">7</w:t>
      </w:r>
      <w:r>
        <w:rPr>
          <w:rFonts w:hint="eastAsia" w:ascii="宋体" w:hAnsi="宋体"/>
          <w:color w:val="000000"/>
          <w:sz w:val="24"/>
        </w:rPr>
        <w:t xml:space="preserve">分；以上内容存在2处瑕疵：</w:t>
      </w:r>
      <w:r>
        <w:rPr>
          <w:rFonts w:hint="eastAsia" w:ascii="宋体" w:hAnsi="宋体"/>
          <w:color w:val="000000"/>
          <w:sz w:val="24"/>
        </w:rPr>
        <w:t xml:space="preserve">5</w:t>
      </w:r>
      <w:r>
        <w:rPr>
          <w:rFonts w:hint="eastAsia" w:ascii="宋体" w:hAnsi="宋体"/>
          <w:color w:val="000000"/>
          <w:sz w:val="24"/>
        </w:rPr>
        <w:t xml:space="preserve">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4.2项目总体设计方案（</w:t>
      </w:r>
      <w:r>
        <w:rPr>
          <w:rFonts w:hint="eastAsia" w:ascii="宋体" w:hAnsi="宋体"/>
          <w:color w:val="000000"/>
          <w:sz w:val="24"/>
        </w:rPr>
        <w:t xml:space="preserve">9</w:t>
      </w:r>
      <w:r>
        <w:rPr>
          <w:rFonts w:hint="eastAsia" w:ascii="宋体" w:hAnsi="宋体"/>
          <w:color w:val="000000"/>
          <w:sz w:val="24"/>
        </w:rPr>
        <w:t xml:space="preserve">分）：投标人对本项目的建设原则、建设思路、总体架构、业务架构、数据架构、部署架构进行表述，要求表述内容完整、合理、可行性强。以上内容不存在瑕疵：</w:t>
      </w:r>
      <w:r>
        <w:rPr>
          <w:rFonts w:hint="eastAsia" w:ascii="宋体" w:hAnsi="宋体"/>
          <w:color w:val="000000"/>
          <w:sz w:val="24"/>
        </w:rPr>
        <w:t xml:space="preserve">9</w:t>
      </w:r>
      <w:r>
        <w:rPr>
          <w:rFonts w:hint="eastAsia" w:ascii="宋体" w:hAnsi="宋体"/>
          <w:color w:val="000000"/>
          <w:sz w:val="24"/>
        </w:rPr>
        <w:t xml:space="preserve">分；以上内容存在1处瑕疵：</w:t>
      </w:r>
      <w:r>
        <w:rPr>
          <w:rFonts w:hint="eastAsia" w:ascii="宋体" w:hAnsi="宋体"/>
          <w:color w:val="000000"/>
          <w:sz w:val="24"/>
        </w:rPr>
        <w:t xml:space="preserve">7</w:t>
      </w:r>
      <w:r>
        <w:rPr>
          <w:rFonts w:hint="eastAsia" w:ascii="宋体" w:hAnsi="宋体"/>
          <w:color w:val="000000"/>
          <w:sz w:val="24"/>
        </w:rPr>
        <w:t xml:space="preserve">分；以上内容存在2处瑕疵：</w:t>
      </w:r>
      <w:r>
        <w:rPr>
          <w:rFonts w:hint="eastAsia" w:ascii="宋体" w:hAnsi="宋体"/>
          <w:color w:val="000000"/>
          <w:sz w:val="24"/>
        </w:rPr>
        <w:t xml:space="preserve">5</w:t>
      </w:r>
      <w:r>
        <w:rPr>
          <w:rFonts w:hint="eastAsia" w:ascii="宋体" w:hAnsi="宋体"/>
          <w:color w:val="000000"/>
          <w:sz w:val="24"/>
        </w:rPr>
        <w:t xml:space="preserve">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4.3安全系统建设方案（</w:t>
      </w:r>
      <w:r>
        <w:rPr>
          <w:rFonts w:hint="eastAsia" w:ascii="宋体" w:hAnsi="宋体"/>
          <w:color w:val="000000"/>
          <w:sz w:val="24"/>
        </w:rPr>
        <w:t xml:space="preserve">9</w:t>
      </w:r>
      <w:r>
        <w:rPr>
          <w:rFonts w:hint="eastAsia" w:ascii="宋体" w:hAnsi="宋体"/>
          <w:color w:val="000000"/>
          <w:sz w:val="24"/>
        </w:rPr>
        <w:t xml:space="preserve">分）：投标人对安全体系方案设计，密码体系方案设计进行表述，要求表述内容完整、合理、可行性强。以上内容不存在瑕疵：</w:t>
      </w:r>
      <w:r>
        <w:rPr>
          <w:rFonts w:hint="eastAsia" w:ascii="宋体" w:hAnsi="宋体"/>
          <w:color w:val="000000"/>
          <w:sz w:val="24"/>
        </w:rPr>
        <w:t xml:space="preserve">9</w:t>
      </w:r>
      <w:r>
        <w:rPr>
          <w:rFonts w:hint="eastAsia" w:ascii="宋体" w:hAnsi="宋体"/>
          <w:color w:val="000000"/>
          <w:sz w:val="24"/>
        </w:rPr>
        <w:t xml:space="preserve">分；以上内容存在1处瑕疵：</w:t>
      </w:r>
      <w:r>
        <w:rPr>
          <w:rFonts w:hint="eastAsia" w:ascii="宋体" w:hAnsi="宋体"/>
          <w:color w:val="000000"/>
          <w:sz w:val="24"/>
        </w:rPr>
        <w:t xml:space="preserve">7</w:t>
      </w:r>
      <w:r>
        <w:rPr>
          <w:rFonts w:hint="eastAsia" w:ascii="宋体" w:hAnsi="宋体"/>
          <w:color w:val="000000"/>
          <w:sz w:val="24"/>
        </w:rPr>
        <w:t xml:space="preserve">分；以上内容存在2处瑕疵：</w:t>
      </w:r>
      <w:r>
        <w:rPr>
          <w:rFonts w:hint="eastAsia" w:ascii="宋体" w:hAnsi="宋体"/>
          <w:color w:val="000000"/>
          <w:sz w:val="24"/>
        </w:rPr>
        <w:t xml:space="preserve">5</w:t>
      </w:r>
      <w:r>
        <w:rPr>
          <w:rFonts w:hint="eastAsia" w:ascii="宋体" w:hAnsi="宋体"/>
          <w:color w:val="000000"/>
          <w:sz w:val="24"/>
        </w:rPr>
        <w:t xml:space="preserve">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.4</w:t>
      </w:r>
      <w:r>
        <w:rPr>
          <w:rFonts w:hint="eastAsia" w:ascii="宋体" w:hAnsi="宋体"/>
          <w:color w:val="000000"/>
          <w:sz w:val="24"/>
        </w:rPr>
        <w:t xml:space="preserve">功能设计方案（28分）：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①</w:t>
      </w:r>
      <w:r>
        <w:rPr>
          <w:rFonts w:hint="eastAsia" w:ascii="宋体" w:hAnsi="宋体"/>
          <w:color w:val="000000"/>
          <w:sz w:val="24"/>
        </w:rPr>
        <w:t xml:space="preserve">投标人对个人信用行为数据库的信息资源规划、数据总体架构、数据库设计、数据库性能与优化以及保证数据安全等方面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投标人对智慧信用数字生活开发平台设计方案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③</w:t>
      </w:r>
      <w:r>
        <w:rPr>
          <w:rFonts w:hint="eastAsia" w:ascii="宋体" w:hAnsi="宋体"/>
          <w:color w:val="000000"/>
          <w:sz w:val="24"/>
        </w:rPr>
        <w:t xml:space="preserve">投标人对个人信用积分数字生活场景应用规划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④</w:t>
      </w:r>
      <w:r>
        <w:rPr>
          <w:rFonts w:hint="eastAsia" w:ascii="宋体" w:hAnsi="宋体"/>
          <w:color w:val="000000"/>
          <w:sz w:val="24"/>
        </w:rPr>
        <w:t xml:space="preserve">投标人对应用场景运营服务系统设计方案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⑤</w:t>
      </w:r>
      <w:r>
        <w:rPr>
          <w:rFonts w:hint="eastAsia" w:ascii="宋体" w:hAnsi="宋体"/>
          <w:color w:val="000000"/>
          <w:sz w:val="24"/>
        </w:rPr>
        <w:t xml:space="preserve">投标人对政务诚信监管系统设计方案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⑥</w:t>
      </w:r>
      <w:r>
        <w:rPr>
          <w:rFonts w:hint="eastAsia" w:ascii="宋体" w:hAnsi="宋体"/>
          <w:color w:val="000000"/>
          <w:sz w:val="24"/>
        </w:rPr>
        <w:t xml:space="preserve">投标人对信用工作监测系统设计方案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⑦</w:t>
      </w:r>
      <w:r>
        <w:rPr>
          <w:rFonts w:hint="eastAsia" w:ascii="宋体" w:hAnsi="宋体"/>
          <w:color w:val="000000"/>
          <w:sz w:val="24"/>
        </w:rPr>
        <w:t xml:space="preserve">投标人对信用智慧服务移动端设计方案进行表述，要求表述内容完整、合理、可行性强（4分）。以上内容不存在瑕疵：4分；以上内容存在1处瑕疵：3分；以上内容存在2处瑕疵：2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4.5</w:t>
      </w:r>
      <w:r>
        <w:rPr>
          <w:rFonts w:hint="eastAsia" w:ascii="宋体" w:hAnsi="宋体"/>
          <w:color w:val="000000"/>
          <w:sz w:val="24"/>
        </w:rPr>
        <w:t xml:space="preserve">项目实施方案（5分）：投标人对实施方案、工期、组织架构、进度安排、项目质量管理措施进行表述，要求表述内容完整、合理、可行性强。以上内容不存在瑕疵：5分；以上内容存在1处瑕疵：3分；以上内容存在2处瑕疵：</w:t>
      </w:r>
      <w:r>
        <w:rPr>
          <w:rFonts w:hint="eastAsia" w:ascii="宋体" w:hAnsi="宋体"/>
          <w:color w:val="000000"/>
          <w:sz w:val="24"/>
        </w:rPr>
        <w:t xml:space="preserve">2</w:t>
      </w:r>
      <w:r>
        <w:rPr>
          <w:rFonts w:hint="eastAsia" w:ascii="宋体" w:hAnsi="宋体"/>
          <w:color w:val="000000"/>
          <w:sz w:val="24"/>
        </w:rPr>
        <w:t xml:space="preserve">分；未提供方案或不满足项目需求书要求或内容存在3处及以上瑕疵：0分。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4.6</w:t>
      </w:r>
      <w:r>
        <w:rPr>
          <w:rFonts w:hint="eastAsia" w:ascii="宋体" w:hAnsi="宋体"/>
          <w:color w:val="000000"/>
          <w:sz w:val="24"/>
        </w:rPr>
        <w:t xml:space="preserve">服务方案（5分）：投标人对提供的售后服务方案、培训方案、是否安排专业讲师授课进行表述，要求表述内容完整、合理、可行性强。以上内容不存在瑕疵：5分；以上内容存在1处瑕疵：3分；以上内容存在2处瑕疵：</w:t>
      </w:r>
      <w:r>
        <w:rPr>
          <w:rFonts w:hint="eastAsia" w:ascii="宋体" w:hAnsi="宋体"/>
          <w:color w:val="000000"/>
          <w:sz w:val="24"/>
        </w:rPr>
        <w:t xml:space="preserve">2</w:t>
      </w:r>
      <w:r>
        <w:rPr>
          <w:rFonts w:hint="eastAsia" w:ascii="宋体" w:hAnsi="宋体"/>
          <w:color w:val="000000"/>
          <w:sz w:val="24"/>
        </w:rPr>
        <w:t xml:space="preserve">分；未提供方案或不满足项目需求书要求或内容存在3处及以上瑕疵：0分。</w:t>
      </w:r>
      <w:r/>
    </w:p>
    <w:p>
      <w:pPr>
        <w:pStyle w:val="686"/>
        <w:ind w:firstLine="480"/>
        <w:spacing w:line="500" w:lineRule="exact"/>
        <w:rPr>
          <w:rFonts w:ascii="宋体" w:hAnsi="宋体"/>
          <w:color w:val="000000"/>
          <w:sz w:val="24"/>
        </w:rPr>
      </w:pPr>
      <w:r>
        <w:rPr>
          <w:rFonts w:hint="eastAsia" w:ascii="宋体" w:hAnsi="宋体"/>
          <w:color w:val="000000"/>
          <w:sz w:val="24"/>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未列入本评分细则的其他条件不作为评分内容。</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774"/>
        <w:spacing w:before="0" w:after="0" w:line="500" w:lineRule="exact"/>
        <w:rPr>
          <w:rFonts w:ascii="黑体" w:eastAsia="黑体"/>
          <w:bCs/>
          <w:color w:val="000000"/>
          <w:sz w:val="36"/>
          <w:szCs w:val="36"/>
        </w:rPr>
      </w:pPr>
      <w:r>
        <w:rPr>
          <w:rFonts w:ascii="宋体" w:hAnsi="宋体"/>
          <w:color w:val="000000"/>
        </w:rPr>
        <w:br w:type="page" w:clear="all"/>
      </w:r>
      <w:r>
        <w:rPr>
          <w:rFonts w:ascii="黑体" w:eastAsia="黑体"/>
          <w:bCs/>
          <w:color w:val="000000"/>
          <w:sz w:val="36"/>
          <w:szCs w:val="36"/>
        </w:rPr>
      </w:r>
      <w:r/>
    </w:p>
    <w:p>
      <w:pPr>
        <w:pStyle w:val="686"/>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4"/>
      <w:r>
        <w:rPr>
          <w:rFonts w:hint="eastAsia" w:ascii="黑体" w:eastAsia="黑体"/>
          <w:bCs/>
          <w:color w:val="000000"/>
          <w:sz w:val="36"/>
          <w:szCs w:val="36"/>
        </w:rPr>
        <w:t xml:space="preserve">投标文件内容与格式</w:t>
      </w:r>
      <w:r/>
    </w:p>
    <w:p>
      <w:pPr>
        <w:pStyle w:val="774"/>
        <w:ind w:firstLine="602"/>
        <w:spacing w:before="0" w:after="0" w:line="500" w:lineRule="exact"/>
        <w:rPr>
          <w:rFonts w:hint="eastAsia" w:cs="Arial"/>
          <w:b/>
          <w:color w:val="000000"/>
          <w:sz w:val="30"/>
          <w:szCs w:val="30"/>
        </w:rPr>
      </w:pPr>
      <w:r/>
      <w:bookmarkStart w:id="195" w:name="_Hlt26955039"/>
      <w:r/>
      <w:bookmarkEnd w:id="195"/>
      <w:r/>
      <w:bookmarkStart w:id="196" w:name="_Toc49090576"/>
      <w:r/>
      <w:bookmarkStart w:id="197" w:name="_Toc120614282"/>
      <w:r/>
      <w:bookmarkStart w:id="198" w:name="_Toc26554094"/>
      <w:r/>
      <w:bookmarkStart w:id="199" w:name="_Hlt26671244"/>
      <w:r/>
      <w:bookmarkEnd w:id="199"/>
      <w:r>
        <w:rPr>
          <w:rFonts w:hint="eastAsia" w:cs="Arial"/>
          <w:b/>
          <w:color w:val="000000"/>
          <w:sz w:val="30"/>
          <w:szCs w:val="30"/>
        </w:rPr>
        <w:t xml:space="preserve">第一部分  投标文件内容</w:t>
      </w:r>
      <w:r/>
    </w:p>
    <w:p>
      <w:pPr>
        <w:pStyle w:val="774"/>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74"/>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7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3"/>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774"/>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774"/>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774"/>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6"/>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686"/>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686"/>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686"/>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restart"/>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74"/>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74"/>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r>
            <w:r/>
          </w:p>
        </w:tc>
      </w:tr>
    </w:tbl>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6"/>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686"/>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686"/>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686"/>
        <w:rPr>
          <w:rFonts w:hint="eastAsia"/>
          <w:b/>
          <w:color w:val="000000"/>
          <w:sz w:val="28"/>
          <w:szCs w:val="28"/>
        </w:rPr>
      </w:pPr>
      <w:r>
        <w:rPr>
          <w:rFonts w:hint="eastAsia"/>
          <w:b/>
          <w:color w:val="000000"/>
          <w:sz w:val="28"/>
          <w:szCs w:val="28"/>
        </w:rPr>
      </w:r>
      <w:r/>
    </w:p>
    <w:p>
      <w:pPr>
        <w:pStyle w:val="686"/>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686"/>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686"/>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686"/>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74"/>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JSZC-320200-JZCG-G2024-0095</w:t>
      </w:r>
      <w:r>
        <w:rPr>
          <w:rFonts w:ascii="黑体" w:hAnsi="华文中宋" w:eastAsia="黑体"/>
          <w:bCs/>
          <w:color w:val="000000"/>
          <w:sz w:val="30"/>
          <w:szCs w:val="30"/>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无锡市个人信用积分数字生活及智慧信用服务提升一站式项目</w:t>
      </w:r>
      <w:r>
        <w:rPr>
          <w:rFonts w:hint="eastAsia" w:ascii="黑体" w:hAnsi="华文中宋" w:eastAsia="黑体"/>
          <w:bCs/>
          <w:color w:val="000000"/>
          <w:sz w:val="30"/>
          <w:szCs w:val="30"/>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6"/>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8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72"/>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JSZC-320200-JZCG-G2024-0095</w:t>
      </w:r>
      <w:r>
        <w:rPr>
          <w:rFonts w:hint="eastAsia" w:ascii="宋体" w:hAnsi="宋体"/>
          <w:bCs/>
          <w:color w:val="000000"/>
          <w:sz w:val="24"/>
          <w:szCs w:val="24"/>
        </w:rPr>
        <w:t xml:space="preserve">项目，兹授权：</w:t>
      </w:r>
      <w:r>
        <w:rPr>
          <w:rFonts w:hint="eastAsia"/>
          <w:color w:val="000000"/>
          <w:sz w:val="24"/>
          <w:szCs w:val="24"/>
        </w:rPr>
      </w:r>
      <w:r/>
    </w:p>
    <w:p>
      <w:pPr>
        <w:pStyle w:val="772"/>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72"/>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72"/>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72"/>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72"/>
        <w:ind w:firstLine="480"/>
        <w:rPr>
          <w:rFonts w:hint="eastAsia"/>
          <w:color w:val="000000"/>
          <w:sz w:val="24"/>
          <w:szCs w:val="24"/>
        </w:rPr>
      </w:pPr>
      <w:r>
        <w:rPr>
          <w:rFonts w:hint="eastAsia"/>
          <w:color w:val="000000"/>
          <w:sz w:val="24"/>
          <w:szCs w:val="24"/>
        </w:rPr>
        <w:t xml:space="preserve">特此授权委托。</w:t>
      </w:r>
      <w:r/>
    </w:p>
    <w:p>
      <w:pPr>
        <w:pStyle w:val="772"/>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72"/>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772"/>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772"/>
        <w:ind w:firstLine="0"/>
        <w:rPr>
          <w:rFonts w:hint="eastAsia"/>
          <w:color w:val="000000"/>
          <w:sz w:val="24"/>
          <w:szCs w:val="24"/>
        </w:rPr>
      </w:pPr>
      <w:r>
        <w:rPr>
          <w:rFonts w:hint="eastAsia"/>
          <w:color w:val="000000"/>
          <w:sz w:val="24"/>
          <w:szCs w:val="24"/>
        </w:rPr>
        <w:t xml:space="preserve">说明：</w:t>
      </w:r>
      <w:r/>
    </w:p>
    <w:p>
      <w:pPr>
        <w:pStyle w:val="772"/>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77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77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772"/>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72"/>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86"/>
        <w:jc w:val="center"/>
        <w:rPr>
          <w:rFonts w:ascii="黑体" w:eastAsia="黑体"/>
          <w:bCs/>
          <w:color w:val="000000"/>
          <w:sz w:val="28"/>
          <w:szCs w:val="28"/>
        </w:rPr>
        <w:outlineLvl w:val="0"/>
      </w:pPr>
      <w:r/>
      <w:bookmarkStart w:id="200" w:name="报价方关于资格的声明函（格式）"/>
      <w:r/>
      <w:bookmarkEnd w:id="200"/>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6"/>
        <w:jc w:val="center"/>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JSZC-320200-JZCG-G2024-0095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86"/>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686"/>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6"/>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686"/>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86"/>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86"/>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ind w:firstLine="420"/>
        <w:spacing w:line="360" w:lineRule="auto"/>
        <w:rPr>
          <w:rFonts w:hint="eastAsia"/>
          <w:color w:val="000000"/>
        </w:rPr>
      </w:pPr>
      <w:r>
        <w:rPr>
          <w:rFonts w:hint="eastAsia"/>
          <w:color w:val="000000"/>
        </w:rPr>
      </w:r>
      <w:r/>
    </w:p>
    <w:p>
      <w:pPr>
        <w:pStyle w:val="686"/>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86"/>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86"/>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686"/>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686"/>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86"/>
        <w:ind w:firstLine="482"/>
        <w:spacing w:line="440" w:lineRule="exact"/>
        <w:rPr>
          <w:rFonts w:ascii="Arial" w:hAnsi="Arial"/>
          <w:b/>
          <w:color w:val="000000"/>
          <w:sz w:val="24"/>
        </w:rPr>
      </w:pPr>
      <w:r>
        <w:rPr>
          <w:rFonts w:ascii="Arial" w:hAnsi="Arial"/>
          <w:b/>
          <w:color w:val="000000"/>
          <w:sz w:val="24"/>
        </w:rPr>
      </w:r>
      <w:r/>
    </w:p>
    <w:p>
      <w:pPr>
        <w:pStyle w:val="68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6"/>
        <w:jc w:val="center"/>
        <w:rPr>
          <w:rFonts w:ascii="黑体" w:eastAsia="黑体"/>
          <w:bCs/>
          <w:color w:val="000000"/>
          <w:sz w:val="28"/>
          <w:szCs w:val="28"/>
        </w:rPr>
      </w:pPr>
      <w:r>
        <w:rPr>
          <w:rFonts w:ascii="黑体" w:eastAsia="黑体"/>
          <w:bCs/>
          <w:color w:val="000000"/>
          <w:sz w:val="28"/>
          <w:szCs w:val="28"/>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86"/>
        <w:spacing w:line="360" w:lineRule="auto"/>
        <w:rPr>
          <w:rFonts w:hint="eastAsia"/>
          <w:b/>
          <w:color w:val="000000"/>
          <w:sz w:val="30"/>
          <w:szCs w:val="30"/>
        </w:rPr>
      </w:pPr>
      <w:r>
        <w:rPr>
          <w:rFonts w:hint="eastAsia"/>
          <w:b/>
          <w:color w:val="000000"/>
          <w:sz w:val="30"/>
          <w:szCs w:val="30"/>
        </w:rPr>
      </w:r>
      <w:r/>
    </w:p>
    <w:p>
      <w:pPr>
        <w:pStyle w:val="68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6"/>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86"/>
        <w:ind w:firstLine="48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JSZC-320200-JZCG-G2024-0095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6"/>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61"/>
          <w:bCs/>
          <w:color w:val="000000"/>
        </w:rPr>
      </w:pPr>
      <w:r>
        <w:rPr>
          <w:rFonts w:hint="eastAsia" w:ascii="宋体" w:hAnsi="宋体"/>
          <w:bCs/>
          <w:color w:val="000000"/>
          <w:sz w:val="24"/>
          <w:szCs w:val="24"/>
        </w:rPr>
        <w:t xml:space="preserve">我方愿意提供无锡市公共资源交易中心在招标文件中要求的文件、资料。</w:t>
      </w:r>
      <w:r>
        <w:rPr>
          <w:rStyle w:val="761"/>
          <w:bCs/>
          <w:color w:val="000000"/>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6"/>
        <w:ind w:firstLine="72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8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86"/>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686"/>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686"/>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JSZC-320200-JZCG-G2024-0095</w:t>
      </w:r>
      <w:r>
        <w:rPr>
          <w:rFonts w:hint="eastAsia" w:ascii="宋体" w:hAnsi="宋体"/>
          <w:color w:val="000000"/>
          <w:sz w:val="24"/>
          <w:szCs w:val="24"/>
        </w:rPr>
        <w:t xml:space="preserve">在此承诺：</w:t>
      </w:r>
      <w:r>
        <w:rPr>
          <w:rFonts w:ascii="宋体" w:hAnsi="宋体"/>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2.本项目中如有涉及到商品包装、快递包装要求的，本公司（单位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686"/>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686"/>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r>
      <w:r/>
    </w:p>
    <w:p>
      <w:pPr>
        <w:pStyle w:val="686"/>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r>
      <w:r/>
    </w:p>
    <w:p>
      <w:pPr>
        <w:pStyle w:val="686"/>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686"/>
        <w:ind w:firstLine="5400"/>
        <w:spacing w:line="480" w:lineRule="auto"/>
        <w:rPr>
          <w:rFonts w:ascii="宋体" w:hAnsi="宋体"/>
          <w:bCs/>
          <w:color w:val="000000"/>
          <w:sz w:val="24"/>
          <w:szCs w:val="24"/>
        </w:rPr>
      </w:pPr>
      <w:r>
        <w:rPr>
          <w:rFonts w:ascii="宋体" w:hAnsi="宋体"/>
          <w:bCs/>
          <w:color w:val="000000"/>
          <w:sz w:val="24"/>
          <w:szCs w:val="24"/>
        </w:rPr>
      </w:r>
      <w:r/>
    </w:p>
    <w:p>
      <w:pPr>
        <w:pStyle w:val="686"/>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86"/>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686"/>
        <w:spacing w:line="360" w:lineRule="auto"/>
        <w:rPr>
          <w:rFonts w:hint="eastAsia"/>
          <w:b/>
          <w:color w:val="000000"/>
          <w:sz w:val="28"/>
          <w:szCs w:val="28"/>
        </w:rPr>
      </w:pPr>
      <w:r>
        <w:rPr>
          <w:rFonts w:hint="eastAsia"/>
          <w:b/>
          <w:color w:val="000000"/>
          <w:sz w:val="28"/>
          <w:szCs w:val="28"/>
        </w:rPr>
        <w:t xml:space="preserve">八、开标一览表（给定格式）：</w:t>
      </w:r>
      <w:r/>
    </w:p>
    <w:p>
      <w:pPr>
        <w:pStyle w:val="686"/>
        <w:ind w:firstLine="482"/>
        <w:spacing w:line="440" w:lineRule="exact"/>
        <w:rPr>
          <w:rFonts w:hint="eastAsia" w:ascii="Arial" w:hAnsi="Arial"/>
          <w:b/>
          <w:color w:val="000000"/>
          <w:sz w:val="24"/>
        </w:rPr>
      </w:pPr>
      <w:r>
        <w:rPr>
          <w:rFonts w:hint="eastAsia" w:ascii="Arial" w:hAnsi="Arial"/>
          <w:b/>
          <w:color w:val="000000"/>
          <w:sz w:val="24"/>
        </w:rPr>
      </w:r>
      <w:r/>
    </w:p>
    <w:p>
      <w:pPr>
        <w:pStyle w:val="68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6"/>
        <w:jc w:val="center"/>
        <w:rPr>
          <w:rFonts w:ascii="黑体" w:eastAsia="黑体"/>
          <w:bCs/>
          <w:color w:val="000000"/>
          <w:sz w:val="28"/>
          <w:szCs w:val="28"/>
        </w:rPr>
        <w:outlineLvl w:val="0"/>
      </w:pPr>
      <w:r>
        <w:rPr>
          <w:rFonts w:ascii="黑体" w:eastAsia="黑体"/>
          <w:bCs/>
          <w:color w:val="000000"/>
          <w:sz w:val="28"/>
          <w:szCs w:val="28"/>
        </w:rPr>
      </w:r>
      <w:r/>
    </w:p>
    <w:p>
      <w:pPr>
        <w:pStyle w:val="686"/>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JSZC-320200-JZCG-G2024-0095</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00"/>
              <w:jc w:val="center"/>
              <w:spacing w:line="400" w:lineRule="exact"/>
              <w:rPr>
                <w:rFonts w:hAnsi="宋体"/>
                <w:bCs/>
                <w:color w:val="000000"/>
                <w:szCs w:val="24"/>
              </w:rPr>
            </w:pPr>
            <w:r>
              <w:rPr>
                <w:rFonts w:hint="eastAsia" w:hAnsi="宋体"/>
                <w:bCs/>
                <w:color w:val="000000"/>
                <w:szCs w:val="24"/>
              </w:rPr>
              <w:t xml:space="preserve">无锡市个人信用积分数字生活及智慧信用服务提升一站式项目</w:t>
            </w:r>
            <w:r>
              <w:rPr>
                <w:rFonts w:hAnsi="宋体"/>
                <w:bCs/>
                <w:color w:val="000000"/>
                <w:szCs w:val="24"/>
              </w:rPr>
            </w:r>
            <w:r/>
          </w:p>
        </w:tc>
        <w:tc>
          <w:tcPr>
            <w:tcW w:w="3188" w:type="dxa"/>
            <w:vAlign w:val="center"/>
            <w:textDirection w:val="lrTb"/>
            <w:noWrap w:val="false"/>
          </w:tcPr>
          <w:p>
            <w:pPr>
              <w:pStyle w:val="80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86"/>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86"/>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86"/>
        <w:spacing w:line="360" w:lineRule="auto"/>
        <w:rPr>
          <w:rFonts w:hint="eastAsia"/>
          <w:b/>
          <w:color w:val="000000"/>
          <w:sz w:val="30"/>
          <w:szCs w:val="30"/>
        </w:rPr>
      </w:pPr>
      <w:r>
        <w:rPr>
          <w:rFonts w:hint="eastAsia"/>
          <w:b/>
          <w:color w:val="000000"/>
          <w:sz w:val="30"/>
          <w:szCs w:val="30"/>
        </w:rPr>
      </w:r>
      <w:r/>
    </w:p>
    <w:p>
      <w:pPr>
        <w:pStyle w:val="686"/>
        <w:jc w:val="center"/>
        <w:spacing w:line="400" w:lineRule="exact"/>
        <w:rPr>
          <w:rFonts w:ascii="黑体" w:eastAsia="黑体"/>
          <w:bCs/>
          <w:color w:val="000000"/>
          <w:sz w:val="28"/>
          <w:szCs w:val="28"/>
        </w:rPr>
        <w:outlineLvl w:val="0"/>
      </w:pPr>
      <w:r/>
      <w:bookmarkEnd w:id="196"/>
      <w:r/>
      <w:bookmarkEnd w:id="197"/>
      <w:r/>
      <w:bookmarkEnd w:id="198"/>
      <w:r/>
      <w:bookmarkStart w:id="201"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68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JSZC-320200-JZCG-G2024-0095</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86"/>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86"/>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686"/>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686"/>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686"/>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686"/>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686"/>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686"/>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686"/>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8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68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86"/>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8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86"/>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86"/>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8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86"/>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6"/>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86"/>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86"/>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86"/>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686"/>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686"/>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686"/>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686"/>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8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86"/>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6"/>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86"/>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86"/>
        <w:spacing w:line="400" w:lineRule="exact"/>
        <w:rPr>
          <w:rFonts w:hint="eastAsia" w:ascii="宋体" w:hAnsi="宋体"/>
          <w:b/>
          <w:color w:val="000000"/>
        </w:rPr>
        <w:outlineLvl w:val="0"/>
      </w:pPr>
      <w:r>
        <w:rPr>
          <w:rFonts w:hint="eastAsia" w:ascii="宋体" w:hAnsi="宋体"/>
          <w:b/>
          <w:color w:val="000000"/>
        </w:rPr>
      </w:r>
      <w:r/>
    </w:p>
    <w:p>
      <w:pPr>
        <w:pStyle w:val="686"/>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w:t>
      </w:r>
      <w:r>
        <w:rPr>
          <w:rFonts w:ascii="宋体"/>
          <w:bCs/>
          <w:color w:val="000000"/>
        </w:rPr>
        <w:t xml:space="preserve"> </w:t>
      </w:r>
      <w:r>
        <w:rPr>
          <w:rFonts w:ascii="宋体"/>
          <w:bCs/>
          <w:color w:val="000000"/>
        </w:rPr>
      </w:r>
      <w:r/>
    </w:p>
    <w:p>
      <w:pPr>
        <w:pStyle w:val="686"/>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686"/>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86"/>
        <w:ind w:firstLine="315"/>
        <w:jc w:val="center"/>
        <w:spacing w:line="400" w:lineRule="exact"/>
        <w:rPr>
          <w:b/>
          <w:color w:val="000000"/>
          <w:sz w:val="28"/>
          <w:szCs w:val="28"/>
        </w:rPr>
        <w:outlineLvl w:val="0"/>
      </w:pPr>
      <w:r>
        <w:rPr>
          <w:rFonts w:ascii="宋体" w:hAnsi="宋体"/>
          <w:bCs/>
          <w:color w:val="000000"/>
        </w:rPr>
        <w:br w:type="page" w:clear="all"/>
      </w:r>
      <w:r>
        <w:rPr>
          <w:b/>
          <w:color w:val="000000"/>
          <w:sz w:val="28"/>
          <w:szCs w:val="28"/>
        </w:rPr>
      </w:r>
      <w:r/>
    </w:p>
    <w:p>
      <w:pPr>
        <w:pStyle w:val="686"/>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8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JSZC-320200-JZCG-G2024-0095</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Cs/>
                <w:color w:val="000000"/>
              </w:rPr>
            </w:pPr>
            <w:r>
              <w:rPr>
                <w:rFonts w:ascii="宋体"/>
                <w:bCs/>
                <w:color w:val="000000"/>
              </w:rPr>
            </w:r>
            <w:r/>
          </w:p>
        </w:tc>
      </w:tr>
    </w:tbl>
    <w:p>
      <w:pPr>
        <w:pStyle w:val="68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6"/>
        <w:rPr>
          <w:rFonts w:ascii="宋体"/>
          <w:bCs/>
          <w:color w:val="000000"/>
          <w:sz w:val="30"/>
        </w:rPr>
      </w:pPr>
      <w:r>
        <w:rPr>
          <w:rFonts w:ascii="宋体"/>
          <w:bCs/>
          <w:color w:val="000000"/>
          <w:sz w:val="30"/>
        </w:rPr>
      </w:r>
      <w:r/>
    </w:p>
    <w:p>
      <w:pPr>
        <w:pStyle w:val="686"/>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1"/>
      <w:r/>
      <w:bookmarkStart w:id="202" w:name="_Hlt26671374"/>
      <w:r/>
      <w:bookmarkEnd w:id="202"/>
      <w:r/>
      <w:bookmarkStart w:id="203" w:name="_格式2__法定代表人授权书"/>
      <w:r/>
      <w:bookmarkEnd w:id="203"/>
      <w:r/>
      <w:bookmarkStart w:id="204" w:name="_Hlt26955066"/>
      <w:r/>
      <w:bookmarkEnd w:id="204"/>
      <w:r/>
      <w:bookmarkStart w:id="205" w:name="_Hlt26609389"/>
      <w:r/>
      <w:bookmarkEnd w:id="205"/>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spacing w:line="360" w:lineRule="auto"/>
        <w:rPr>
          <w:rFonts w:ascii="黑体" w:eastAsia="黑体"/>
          <w:bCs/>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rFonts w:ascii="黑体" w:eastAsia="黑体"/>
          <w:bCs/>
          <w:color w:val="000000"/>
          <w:sz w:val="28"/>
          <w:szCs w:val="28"/>
        </w:rPr>
      </w:r>
      <w:r/>
    </w:p>
    <w:p>
      <w:pPr>
        <w:pStyle w:val="686"/>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686"/>
        <w:jc w:val="center"/>
        <w:spacing w:line="400" w:lineRule="exact"/>
        <w:rPr>
          <w:rFonts w:ascii="黑体" w:eastAsia="黑体"/>
          <w:bCs/>
          <w:color w:val="000000"/>
          <w:sz w:val="28"/>
          <w:szCs w:val="28"/>
        </w:rPr>
      </w:pPr>
      <w:r>
        <w:rPr>
          <w:rFonts w:ascii="黑体" w:eastAsia="黑体"/>
          <w:bCs/>
          <w:color w:val="000000"/>
          <w:sz w:val="28"/>
          <w:szCs w:val="28"/>
        </w:rPr>
      </w:r>
      <w:r/>
    </w:p>
    <w:p>
      <w:pPr>
        <w:pStyle w:val="686"/>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JSZC-320200-JZCG-G2024-0095</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86"/>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86"/>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86"/>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86"/>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86"/>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bl>
    <w:p>
      <w:pPr>
        <w:pStyle w:val="686"/>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686"/>
        <w:rPr>
          <w:rFonts w:hint="eastAsia" w:ascii="宋体" w:hAnsi="宋体"/>
          <w:bCs/>
          <w:color w:val="000000"/>
        </w:rPr>
      </w:pPr>
      <w:r>
        <w:rPr>
          <w:rFonts w:hint="eastAsia" w:ascii="宋体" w:hAnsi="宋体"/>
          <w:bCs/>
          <w:color w:val="000000"/>
        </w:rPr>
      </w:r>
      <w:r/>
    </w:p>
    <w:p>
      <w:pPr>
        <w:pStyle w:val="686"/>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86"/>
        <w:ind w:firstLine="420"/>
        <w:rPr>
          <w:rFonts w:hint="eastAsia"/>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rFonts w:hint="eastAsia"/>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Fonts w:ascii="宋体" w:hAnsi="宋体"/>
      </w:rPr>
      <w:framePr w:wrap="around" w:vAnchor="text" w:hAnchor="margin" w:xAlign="center" w:y="1"/>
    </w:pPr>
    <w:r>
      <w:rPr>
        <w:rFonts w:ascii="宋体" w:hAnsi="宋体"/>
      </w:rPr>
      <w:fldChar w:fldCharType="begin"/>
    </w:r>
    <w:r>
      <w:rPr>
        <w:rStyle w:val="759"/>
        <w:rFonts w:ascii="宋体" w:hAnsi="宋体"/>
      </w:rPr>
      <w:instrText xml:space="preserve">PAGE  </w:instrText>
    </w:r>
    <w:r>
      <w:rPr>
        <w:rFonts w:ascii="宋体" w:hAnsi="宋体"/>
      </w:rPr>
      <w:fldChar w:fldCharType="separate"/>
    </w:r>
    <w:r>
      <w:rPr>
        <w:rStyle w:val="759"/>
        <w:rFonts w:ascii="宋体" w:hAnsi="宋体"/>
      </w:rPr>
      <w:t xml:space="preserve">１７</w:t>
    </w:r>
    <w:r>
      <w:rPr>
        <w:rFonts w:ascii="宋体" w:hAnsi="宋体"/>
      </w:rPr>
      <w:fldChar w:fldCharType="end"/>
    </w:r>
    <w:r>
      <w:rPr>
        <w:rStyle w:val="759"/>
        <w:rFonts w:ascii="宋体" w:hAnsi="宋体"/>
      </w:rPr>
    </w:r>
    <w:r/>
  </w:p>
  <w:p>
    <w:pPr>
      <w:pStyle w:val="734"/>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rPr>
        <w:rStyle w:val="759"/>
      </w:rPr>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6"/>
      <w:isLgl w:val="false"/>
      <w:suff w:val="tab"/>
      <w:lvlText w:val="附录%1."/>
      <w:lvlJc w:val="left"/>
      <w:pPr>
        <w:pStyle w:val="6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686"/>
        <w:ind w:left="1505" w:hanging="945"/>
        <w:tabs>
          <w:tab w:val="num" w:pos="1505" w:leader="none"/>
        </w:tabs>
      </w:pPr>
      <w:rPr>
        <w:rFonts w:hint="eastAsia"/>
      </w:rPr>
    </w:lvl>
    <w:lvl w:ilvl="1">
      <w:start w:val="1"/>
      <w:numFmt w:val="decimal"/>
      <w:isLgl w:val="false"/>
      <w:suff w:val="tab"/>
      <w:lvlText w:val="%2、"/>
      <w:lvlJc w:val="left"/>
      <w:pPr>
        <w:pStyle w:val="686"/>
        <w:ind w:left="1340" w:hanging="360"/>
        <w:tabs>
          <w:tab w:val="num" w:pos="1340" w:leader="none"/>
        </w:tabs>
      </w:pPr>
      <w:rPr>
        <w:rFonts w:hint="eastAsia"/>
      </w:rPr>
    </w:lvl>
    <w:lvl w:ilvl="2">
      <w:start w:val="1"/>
      <w:numFmt w:val="japaneseCounting"/>
      <w:isLgl w:val="false"/>
      <w:suff w:val="tab"/>
      <w:lvlText w:val="%3、"/>
      <w:lvlJc w:val="left"/>
      <w:pPr>
        <w:pStyle w:val="686"/>
        <w:ind w:left="1820" w:hanging="420"/>
        <w:tabs>
          <w:tab w:val="num" w:pos="1820" w:leader="none"/>
        </w:tabs>
      </w:pPr>
      <w:rPr>
        <w:rFonts w:hint="eastAsia"/>
      </w:rPr>
    </w:lvl>
    <w:lvl w:ilvl="3">
      <w:start w:val="1"/>
      <w:numFmt w:val="decimal"/>
      <w:isLgl w:val="false"/>
      <w:suff w:val="tab"/>
      <w:lvlText w:val="%4."/>
      <w:lvlJc w:val="left"/>
      <w:pPr>
        <w:pStyle w:val="686"/>
        <w:ind w:left="2240" w:hanging="420"/>
        <w:tabs>
          <w:tab w:val="num" w:pos="2240" w:leader="none"/>
        </w:tabs>
      </w:pPr>
    </w:lvl>
    <w:lvl w:ilvl="4">
      <w:start w:val="1"/>
      <w:numFmt w:val="lowerLetter"/>
      <w:isLgl w:val="false"/>
      <w:suff w:val="tab"/>
      <w:lvlText w:val="%5)"/>
      <w:lvlJc w:val="left"/>
      <w:pPr>
        <w:pStyle w:val="686"/>
        <w:ind w:left="2660" w:hanging="420"/>
        <w:tabs>
          <w:tab w:val="num" w:pos="2660" w:leader="none"/>
        </w:tabs>
      </w:pPr>
    </w:lvl>
    <w:lvl w:ilvl="5">
      <w:start w:val="1"/>
      <w:numFmt w:val="lowerRoman"/>
      <w:isLgl w:val="false"/>
      <w:suff w:val="tab"/>
      <w:lvlText w:val="%6."/>
      <w:lvlJc w:val="right"/>
      <w:pPr>
        <w:pStyle w:val="686"/>
        <w:ind w:left="3080" w:hanging="420"/>
        <w:tabs>
          <w:tab w:val="num" w:pos="3080" w:leader="none"/>
        </w:tabs>
      </w:pPr>
    </w:lvl>
    <w:lvl w:ilvl="6">
      <w:start w:val="1"/>
      <w:numFmt w:val="decimal"/>
      <w:isLgl w:val="false"/>
      <w:suff w:val="tab"/>
      <w:lvlText w:val="%7."/>
      <w:lvlJc w:val="left"/>
      <w:pPr>
        <w:pStyle w:val="686"/>
        <w:ind w:left="3500" w:hanging="420"/>
        <w:tabs>
          <w:tab w:val="num" w:pos="3500" w:leader="none"/>
        </w:tabs>
      </w:pPr>
    </w:lvl>
    <w:lvl w:ilvl="7">
      <w:start w:val="1"/>
      <w:numFmt w:val="lowerLetter"/>
      <w:isLgl w:val="false"/>
      <w:suff w:val="tab"/>
      <w:lvlText w:val="%8)"/>
      <w:lvlJc w:val="left"/>
      <w:pPr>
        <w:pStyle w:val="686"/>
        <w:ind w:left="3920" w:hanging="420"/>
        <w:tabs>
          <w:tab w:val="num" w:pos="3920" w:leader="none"/>
        </w:tabs>
      </w:pPr>
    </w:lvl>
    <w:lvl w:ilvl="8">
      <w:start w:val="1"/>
      <w:numFmt w:val="lowerRoman"/>
      <w:isLgl w:val="false"/>
      <w:suff w:val="tab"/>
      <w:lvlText w:val="%9."/>
      <w:lvlJc w:val="right"/>
      <w:pPr>
        <w:pStyle w:val="686"/>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686"/>
        <w:ind w:left="1239" w:hanging="720"/>
      </w:pPr>
      <w:rPr>
        <w:rFonts w:hAnsi="宋体"/>
      </w:rPr>
    </w:lvl>
    <w:lvl w:ilvl="1">
      <w:start w:val="1"/>
      <w:numFmt w:val="lowerLetter"/>
      <w:isLgl w:val="false"/>
      <w:suff w:val="tab"/>
      <w:lvlText w:val="%2)"/>
      <w:lvlJc w:val="left"/>
      <w:pPr>
        <w:pStyle w:val="686"/>
        <w:ind w:left="1359" w:hanging="420"/>
      </w:pPr>
    </w:lvl>
    <w:lvl w:ilvl="2">
      <w:start w:val="1"/>
      <w:numFmt w:val="lowerRoman"/>
      <w:isLgl w:val="false"/>
      <w:suff w:val="tab"/>
      <w:lvlText w:val="%3."/>
      <w:lvlJc w:val="right"/>
      <w:pPr>
        <w:pStyle w:val="686"/>
        <w:ind w:left="1779" w:hanging="420"/>
      </w:pPr>
    </w:lvl>
    <w:lvl w:ilvl="3">
      <w:start w:val="1"/>
      <w:numFmt w:val="decimal"/>
      <w:isLgl w:val="false"/>
      <w:suff w:val="tab"/>
      <w:lvlText w:val="%4."/>
      <w:lvlJc w:val="left"/>
      <w:pPr>
        <w:pStyle w:val="686"/>
        <w:ind w:left="2199" w:hanging="420"/>
      </w:pPr>
    </w:lvl>
    <w:lvl w:ilvl="4">
      <w:start w:val="1"/>
      <w:numFmt w:val="lowerLetter"/>
      <w:isLgl w:val="false"/>
      <w:suff w:val="tab"/>
      <w:lvlText w:val="%5)"/>
      <w:lvlJc w:val="left"/>
      <w:pPr>
        <w:pStyle w:val="686"/>
        <w:ind w:left="2619" w:hanging="420"/>
      </w:pPr>
    </w:lvl>
    <w:lvl w:ilvl="5">
      <w:start w:val="1"/>
      <w:numFmt w:val="lowerRoman"/>
      <w:isLgl w:val="false"/>
      <w:suff w:val="tab"/>
      <w:lvlText w:val="%6."/>
      <w:lvlJc w:val="right"/>
      <w:pPr>
        <w:pStyle w:val="686"/>
        <w:ind w:left="3039" w:hanging="420"/>
      </w:pPr>
    </w:lvl>
    <w:lvl w:ilvl="6">
      <w:start w:val="1"/>
      <w:numFmt w:val="decimal"/>
      <w:isLgl w:val="false"/>
      <w:suff w:val="tab"/>
      <w:lvlText w:val="%7."/>
      <w:lvlJc w:val="left"/>
      <w:pPr>
        <w:pStyle w:val="686"/>
        <w:ind w:left="3459" w:hanging="420"/>
      </w:pPr>
    </w:lvl>
    <w:lvl w:ilvl="7">
      <w:start w:val="1"/>
      <w:numFmt w:val="lowerLetter"/>
      <w:isLgl w:val="false"/>
      <w:suff w:val="tab"/>
      <w:lvlText w:val="%8)"/>
      <w:lvlJc w:val="left"/>
      <w:pPr>
        <w:pStyle w:val="686"/>
        <w:ind w:left="3879" w:hanging="420"/>
      </w:pPr>
    </w:lvl>
    <w:lvl w:ilvl="8">
      <w:start w:val="1"/>
      <w:numFmt w:val="lowerRoman"/>
      <w:isLgl w:val="false"/>
      <w:suff w:val="tab"/>
      <w:lvlText w:val="%9."/>
      <w:lvlJc w:val="right"/>
      <w:pPr>
        <w:pStyle w:val="686"/>
        <w:ind w:left="4299" w:hanging="420"/>
      </w:pPr>
    </w:lvl>
  </w:abstractNum>
  <w:abstractNum w:abstractNumId="10">
    <w:multiLevelType w:val="hybridMultilevel"/>
    <w:lvl w:ilvl="0">
      <w:start w:val="1"/>
      <w:numFmt w:val="decimal"/>
      <w:pStyle w:val="783"/>
      <w:isLgl w:val="false"/>
      <w:suff w:val="tab"/>
      <w:lvlText w:val="%1."/>
      <w:lvlJc w:val="left"/>
      <w:pPr>
        <w:pStyle w:val="686"/>
        <w:ind w:left="709" w:hanging="709"/>
        <w:tabs>
          <w:tab w:val="num" w:pos="709" w:leader="none"/>
        </w:tabs>
      </w:pPr>
      <w:rPr>
        <w:rFonts w:hint="eastAsia"/>
      </w:rPr>
    </w:lvl>
    <w:lvl w:ilvl="1">
      <w:start w:val="1"/>
      <w:numFmt w:val="decimal"/>
      <w:isLgl w:val="false"/>
      <w:suff w:val="tab"/>
      <w:lvlText w:val="%1.%2"/>
      <w:lvlJc w:val="left"/>
      <w:pPr>
        <w:pStyle w:val="686"/>
        <w:ind w:left="709" w:hanging="709"/>
        <w:tabs>
          <w:tab w:val="num" w:pos="709" w:leader="none"/>
        </w:tabs>
      </w:pPr>
      <w:rPr>
        <w:rFonts w:hint="eastAsia"/>
      </w:rPr>
    </w:lvl>
    <w:lvl w:ilvl="2">
      <w:start w:val="1"/>
      <w:numFmt w:val="decimal"/>
      <w:isLgl w:val="false"/>
      <w:suff w:val="tab"/>
      <w:lvlText w:val="%1.%2.%3."/>
      <w:lvlJc w:val="left"/>
      <w:pPr>
        <w:pStyle w:val="686"/>
        <w:ind w:left="425" w:hanging="425"/>
        <w:tabs>
          <w:tab w:val="num" w:pos="425" w:leader="none"/>
        </w:tabs>
      </w:pPr>
      <w:rPr>
        <w:rFonts w:hint="eastAsia"/>
      </w:rPr>
    </w:lvl>
    <w:lvl w:ilvl="3">
      <w:start w:val="1"/>
      <w:numFmt w:val="decimal"/>
      <w:isLgl w:val="false"/>
      <w:suff w:val="tab"/>
      <w:lvlText w:val="%1.%2.%3.%4."/>
      <w:lvlJc w:val="left"/>
      <w:pPr>
        <w:pStyle w:val="686"/>
        <w:ind w:left="851" w:hanging="851"/>
        <w:tabs>
          <w:tab w:val="num" w:pos="851" w:leader="none"/>
        </w:tabs>
      </w:pPr>
      <w:rPr>
        <w:rFonts w:hint="eastAsia"/>
      </w:rPr>
    </w:lvl>
    <w:lvl w:ilvl="4">
      <w:start w:val="1"/>
      <w:numFmt w:val="decimal"/>
      <w:isLgl w:val="false"/>
      <w:suff w:val="tab"/>
      <w:lvlText w:val="%1.%2.%3.%4.%5."/>
      <w:lvlJc w:val="left"/>
      <w:pPr>
        <w:pStyle w:val="686"/>
        <w:ind w:left="992" w:hanging="992"/>
        <w:tabs>
          <w:tab w:val="num" w:pos="992" w:leader="none"/>
        </w:tabs>
      </w:pPr>
      <w:rPr>
        <w:rFonts w:hint="eastAsia"/>
      </w:rPr>
    </w:lvl>
    <w:lvl w:ilvl="5">
      <w:start w:val="1"/>
      <w:numFmt w:val="decimal"/>
      <w:isLgl w:val="false"/>
      <w:suff w:val="tab"/>
      <w:lvlText w:val="%1.%2.%3.%4.%5.%6."/>
      <w:lvlJc w:val="left"/>
      <w:pPr>
        <w:pStyle w:val="686"/>
        <w:ind w:left="1134" w:hanging="1134"/>
        <w:tabs>
          <w:tab w:val="num" w:pos="1134" w:leader="none"/>
        </w:tabs>
      </w:pPr>
      <w:rPr>
        <w:rFonts w:hint="eastAsia"/>
      </w:rPr>
    </w:lvl>
    <w:lvl w:ilvl="6">
      <w:start w:val="1"/>
      <w:numFmt w:val="decimal"/>
      <w:isLgl w:val="false"/>
      <w:suff w:val="tab"/>
      <w:lvlText w:val="%1.%2.%3.%4.%5.%6.%7."/>
      <w:lvlJc w:val="left"/>
      <w:pPr>
        <w:pStyle w:val="686"/>
        <w:ind w:left="1276" w:hanging="1276"/>
        <w:tabs>
          <w:tab w:val="num" w:pos="1276" w:leader="none"/>
        </w:tabs>
      </w:pPr>
      <w:rPr>
        <w:rFonts w:hint="eastAsia"/>
      </w:rPr>
    </w:lvl>
    <w:lvl w:ilvl="7">
      <w:start w:val="1"/>
      <w:numFmt w:val="decimal"/>
      <w:isLgl w:val="false"/>
      <w:suff w:val="tab"/>
      <w:lvlText w:val="%1.%2.%3.%4.%5.%6.%7.%8."/>
      <w:lvlJc w:val="left"/>
      <w:pPr>
        <w:pStyle w:val="686"/>
        <w:ind w:left="1418" w:hanging="1418"/>
        <w:tabs>
          <w:tab w:val="num" w:pos="1418" w:leader="none"/>
        </w:tabs>
      </w:pPr>
      <w:rPr>
        <w:rFonts w:hint="eastAsia"/>
      </w:rPr>
    </w:lvl>
    <w:lvl w:ilvl="8">
      <w:start w:val="1"/>
      <w:numFmt w:val="decimal"/>
      <w:isLgl w:val="false"/>
      <w:suff w:val="tab"/>
      <w:lvlText w:val="%1.%2.%3.%4.%5.%6.%7.%8.%9."/>
      <w:lvlJc w:val="left"/>
      <w:pPr>
        <w:pStyle w:val="686"/>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686"/>
        <w:ind w:left="0" w:firstLine="0"/>
      </w:pPr>
      <w:rPr>
        <w:rFonts w:hint="eastAsia"/>
      </w:rPr>
    </w:lvl>
    <w:lvl w:ilvl="1">
      <w:start w:val="1"/>
      <w:numFmt w:val="decimal"/>
      <w:isLgl w:val="false"/>
      <w:suff w:val="nothing"/>
      <w:lvlText w:val="%2、"/>
      <w:lvlJc w:val="left"/>
      <w:pPr>
        <w:pStyle w:val="686"/>
        <w:ind w:left="0" w:firstLine="0"/>
      </w:pPr>
      <w:rPr>
        <w:rFonts w:hint="eastAsia"/>
      </w:rPr>
    </w:lvl>
    <w:lvl w:ilvl="2">
      <w:start w:val="1"/>
      <w:numFmt w:val="decimal"/>
      <w:isLgl w:val="false"/>
      <w:suff w:val="nothing"/>
      <w:lvlText w:val="%2.%3 "/>
      <w:lvlJc w:val="left"/>
      <w:pPr>
        <w:pStyle w:val="686"/>
        <w:ind w:left="0" w:firstLine="0"/>
      </w:pPr>
      <w:rPr>
        <w:rFonts w:hint="eastAsia"/>
      </w:rPr>
    </w:lvl>
    <w:lvl w:ilvl="3">
      <w:start w:val="1"/>
      <w:numFmt w:val="decimal"/>
      <w:isLgl w:val="false"/>
      <w:suff w:val="nothing"/>
      <w:lvlText w:val="%2.%3.%4 "/>
      <w:lvlJc w:val="left"/>
      <w:pPr>
        <w:pStyle w:val="686"/>
        <w:ind w:left="0" w:firstLine="0"/>
      </w:pPr>
      <w:rPr>
        <w:rFonts w:hint="eastAsia"/>
      </w:rPr>
    </w:lvl>
    <w:lvl w:ilvl="4">
      <w:start w:val="1"/>
      <w:numFmt w:val="decimal"/>
      <w:isLgl w:val="false"/>
      <w:suff w:val="nothing"/>
      <w:lvlText w:val="%2.%3.%4.%5 "/>
      <w:lvlJc w:val="left"/>
      <w:pPr>
        <w:pStyle w:val="686"/>
        <w:ind w:left="0" w:firstLine="0"/>
      </w:pPr>
      <w:rPr>
        <w:rFonts w:hint="eastAsia"/>
      </w:rPr>
    </w:lvl>
    <w:lvl w:ilvl="5">
      <w:start w:val="1"/>
      <w:numFmt w:val="decimal"/>
      <w:pStyle w:val="692"/>
      <w:isLgl w:val="false"/>
      <w:suff w:val="nothing"/>
      <w:lvlText w:val=""/>
      <w:lvlJc w:val="left"/>
      <w:pPr>
        <w:pStyle w:val="686"/>
        <w:ind w:left="0" w:firstLine="0"/>
      </w:pPr>
      <w:rPr>
        <w:rFonts w:hint="eastAsia"/>
      </w:rPr>
    </w:lvl>
    <w:lvl w:ilvl="6">
      <w:start w:val="1"/>
      <w:numFmt w:val="decimal"/>
      <w:pStyle w:val="693"/>
      <w:isLgl w:val="false"/>
      <w:suff w:val="nothing"/>
      <w:lvlText w:val=""/>
      <w:lvlJc w:val="left"/>
      <w:pPr>
        <w:pStyle w:val="686"/>
        <w:ind w:left="0" w:firstLine="0"/>
      </w:pPr>
      <w:rPr>
        <w:rFonts w:hint="eastAsia"/>
      </w:rPr>
    </w:lvl>
    <w:lvl w:ilvl="7">
      <w:start w:val="1"/>
      <w:numFmt w:val="decimal"/>
      <w:pStyle w:val="694"/>
      <w:isLgl w:val="false"/>
      <w:suff w:val="nothing"/>
      <w:lvlText w:val=""/>
      <w:lvlJc w:val="left"/>
      <w:pPr>
        <w:pStyle w:val="686"/>
        <w:ind w:left="0" w:firstLine="0"/>
      </w:pPr>
      <w:rPr>
        <w:rFonts w:hint="eastAsia"/>
      </w:rPr>
    </w:lvl>
    <w:lvl w:ilvl="8">
      <w:start w:val="1"/>
      <w:numFmt w:val="decimal"/>
      <w:pStyle w:val="695"/>
      <w:isLgl w:val="false"/>
      <w:suff w:val="nothing"/>
      <w:lvlText w:val=""/>
      <w:lvlJc w:val="left"/>
      <w:pPr>
        <w:pStyle w:val="686"/>
        <w:ind w:left="0" w:firstLine="0"/>
      </w:pPr>
      <w:rPr>
        <w:rFonts w:hint="eastAsia"/>
      </w:rPr>
    </w:lvl>
  </w:abstractNum>
  <w:abstractNum w:abstractNumId="14">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68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6"/>
        <w:ind w:left="840" w:hanging="420"/>
        <w:tabs>
          <w:tab w:val="num" w:pos="840" w:leader="none"/>
        </w:tabs>
      </w:pPr>
      <w:rPr>
        <w:rFonts w:cs="Times New Roman"/>
      </w:rPr>
    </w:lvl>
    <w:lvl w:ilvl="2">
      <w:start w:val="10"/>
      <w:numFmt w:val="decimal"/>
      <w:isLgl w:val="false"/>
      <w:suff w:val="tab"/>
      <w:lvlText w:val="%3."/>
      <w:lvlJc w:val="left"/>
      <w:pPr>
        <w:pStyle w:val="686"/>
        <w:ind w:left="1200" w:hanging="360"/>
        <w:tabs>
          <w:tab w:val="num" w:pos="120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686"/>
        <w:ind w:left="720" w:hanging="720"/>
        <w:tabs>
          <w:tab w:val="num" w:pos="720" w:leader="none"/>
        </w:tabs>
      </w:pPr>
      <w:rPr>
        <w:rFonts w:hint="eastAsia" w:cs="Times New Roman"/>
      </w:rPr>
    </w:lvl>
    <w:lvl w:ilvl="1">
      <w:start w:val="2"/>
      <w:numFmt w:val="decimal"/>
      <w:isLgl w:val="false"/>
      <w:suff w:val="tab"/>
      <w:lvlText w:val="%2."/>
      <w:lvlJc w:val="left"/>
      <w:pPr>
        <w:pStyle w:val="686"/>
        <w:ind w:left="1770" w:hanging="360"/>
        <w:tabs>
          <w:tab w:val="num" w:pos="1770" w:leader="none"/>
        </w:tabs>
      </w:pPr>
      <w:rPr>
        <w:rFonts w:cs="Times New Roman"/>
      </w:rPr>
    </w:lvl>
    <w:lvl w:ilvl="2">
      <w:start w:val="1"/>
      <w:numFmt w:val="lowerRoman"/>
      <w:isLgl w:val="false"/>
      <w:suff w:val="tab"/>
      <w:lvlText w:val="%3."/>
      <w:lvlJc w:val="right"/>
      <w:pPr>
        <w:pStyle w:val="686"/>
        <w:ind w:left="2250" w:hanging="420"/>
        <w:tabs>
          <w:tab w:val="num" w:pos="2250" w:leader="none"/>
        </w:tabs>
      </w:pPr>
      <w:rPr>
        <w:rFonts w:cs="Times New Roman"/>
      </w:rPr>
    </w:lvl>
    <w:lvl w:ilvl="3">
      <w:start w:val="1"/>
      <w:numFmt w:val="decimal"/>
      <w:isLgl w:val="false"/>
      <w:suff w:val="tab"/>
      <w:lvlText w:val="%4."/>
      <w:lvlJc w:val="left"/>
      <w:pPr>
        <w:pStyle w:val="686"/>
        <w:ind w:left="2670" w:hanging="420"/>
        <w:tabs>
          <w:tab w:val="num" w:pos="2670" w:leader="none"/>
        </w:tabs>
      </w:pPr>
      <w:rPr>
        <w:rFonts w:cs="Times New Roman"/>
      </w:rPr>
    </w:lvl>
    <w:lvl w:ilvl="4">
      <w:start w:val="1"/>
      <w:numFmt w:val="lowerLetter"/>
      <w:isLgl w:val="false"/>
      <w:suff w:val="tab"/>
      <w:lvlText w:val="%5)"/>
      <w:lvlJc w:val="left"/>
      <w:pPr>
        <w:pStyle w:val="686"/>
        <w:ind w:left="3090" w:hanging="420"/>
        <w:tabs>
          <w:tab w:val="num" w:pos="3090" w:leader="none"/>
        </w:tabs>
      </w:pPr>
      <w:rPr>
        <w:rFonts w:cs="Times New Roman"/>
      </w:rPr>
    </w:lvl>
    <w:lvl w:ilvl="5">
      <w:start w:val="1"/>
      <w:numFmt w:val="lowerRoman"/>
      <w:isLgl w:val="false"/>
      <w:suff w:val="tab"/>
      <w:lvlText w:val="%6."/>
      <w:lvlJc w:val="right"/>
      <w:pPr>
        <w:pStyle w:val="686"/>
        <w:ind w:left="3510" w:hanging="420"/>
        <w:tabs>
          <w:tab w:val="num" w:pos="3510" w:leader="none"/>
        </w:tabs>
      </w:pPr>
      <w:rPr>
        <w:rFonts w:cs="Times New Roman"/>
      </w:rPr>
    </w:lvl>
    <w:lvl w:ilvl="6">
      <w:start w:val="1"/>
      <w:numFmt w:val="decimal"/>
      <w:isLgl w:val="false"/>
      <w:suff w:val="tab"/>
      <w:lvlText w:val="%7."/>
      <w:lvlJc w:val="left"/>
      <w:pPr>
        <w:pStyle w:val="686"/>
        <w:ind w:left="3930" w:hanging="420"/>
        <w:tabs>
          <w:tab w:val="num" w:pos="3930" w:leader="none"/>
        </w:tabs>
      </w:pPr>
      <w:rPr>
        <w:rFonts w:cs="Times New Roman"/>
      </w:rPr>
    </w:lvl>
    <w:lvl w:ilvl="7">
      <w:start w:val="1"/>
      <w:numFmt w:val="lowerLetter"/>
      <w:isLgl w:val="false"/>
      <w:suff w:val="tab"/>
      <w:lvlText w:val="%8)"/>
      <w:lvlJc w:val="left"/>
      <w:pPr>
        <w:pStyle w:val="686"/>
        <w:ind w:left="4350" w:hanging="420"/>
        <w:tabs>
          <w:tab w:val="num" w:pos="4350" w:leader="none"/>
        </w:tabs>
      </w:pPr>
      <w:rPr>
        <w:rFonts w:cs="Times New Roman"/>
      </w:rPr>
    </w:lvl>
    <w:lvl w:ilvl="8">
      <w:start w:val="1"/>
      <w:numFmt w:val="lowerRoman"/>
      <w:isLgl w:val="false"/>
      <w:suff w:val="tab"/>
      <w:lvlText w:val="%9."/>
      <w:lvlJc w:val="right"/>
      <w:pPr>
        <w:pStyle w:val="686"/>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68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rFonts w:ascii="Times New Roman" w:hAnsi="Times New Roman"/>
      <w:sz w:val="21"/>
      <w:szCs w:val="21"/>
      <w:lang w:val="en-US" w:eastAsia="zh-CN" w:bidi="ar-SA"/>
    </w:rPr>
  </w:style>
  <w:style w:type="paragraph" w:styleId="687">
    <w:name w:val="标题 1"/>
    <w:basedOn w:val="686"/>
    <w:next w:val="686"/>
    <w:link w:val="699"/>
    <w:qFormat/>
    <w:pPr>
      <w:jc w:val="center"/>
      <w:keepNext/>
      <w:outlineLvl w:val="0"/>
    </w:pPr>
    <w:rPr>
      <w:rFonts w:ascii="楷体_GB2312" w:eastAsia="楷体_GB2312"/>
      <w:sz w:val="28"/>
      <w:szCs w:val="28"/>
      <w:lang w:val="en-US" w:eastAsia="en-US"/>
    </w:rPr>
  </w:style>
  <w:style w:type="paragraph" w:styleId="688">
    <w:name w:val="标题 2"/>
    <w:basedOn w:val="686"/>
    <w:next w:val="701"/>
    <w:link w:val="70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89">
    <w:name w:val="标题 3"/>
    <w:basedOn w:val="686"/>
    <w:next w:val="701"/>
    <w:link w:val="703"/>
    <w:qFormat/>
    <w:pPr>
      <w:keepLines/>
      <w:keepNext/>
      <w:spacing w:before="260" w:after="260" w:line="416" w:lineRule="auto"/>
      <w:outlineLvl w:val="2"/>
    </w:pPr>
    <w:rPr>
      <w:b/>
      <w:bCs/>
      <w:sz w:val="32"/>
      <w:szCs w:val="32"/>
      <w:lang w:val="en-US" w:eastAsia="en-US"/>
    </w:rPr>
  </w:style>
  <w:style w:type="paragraph" w:styleId="690">
    <w:name w:val="标题 4"/>
    <w:basedOn w:val="686"/>
    <w:next w:val="701"/>
    <w:link w:val="704"/>
    <w:qFormat/>
    <w:pPr>
      <w:keepLines/>
      <w:keepNext/>
      <w:spacing w:before="280" w:after="290" w:line="376" w:lineRule="auto"/>
      <w:outlineLvl w:val="3"/>
    </w:pPr>
    <w:rPr>
      <w:rFonts w:ascii="Arial" w:hAnsi="Arial" w:eastAsia="黑体"/>
      <w:b/>
      <w:bCs/>
      <w:sz w:val="28"/>
      <w:szCs w:val="28"/>
      <w:lang w:val="en-US" w:eastAsia="en-US"/>
    </w:rPr>
  </w:style>
  <w:style w:type="paragraph" w:styleId="691">
    <w:name w:val="标题 5"/>
    <w:basedOn w:val="686"/>
    <w:next w:val="701"/>
    <w:link w:val="705"/>
    <w:qFormat/>
    <w:pPr>
      <w:keepNext/>
      <w:outlineLvl w:val="4"/>
    </w:pPr>
    <w:rPr>
      <w:rFonts w:ascii="宋体"/>
      <w:color w:val="000000"/>
      <w:sz w:val="28"/>
      <w:szCs w:val="28"/>
      <w:lang w:val="en-US" w:eastAsia="en-US"/>
    </w:rPr>
  </w:style>
  <w:style w:type="paragraph" w:styleId="692">
    <w:name w:val="标题 6"/>
    <w:basedOn w:val="686"/>
    <w:next w:val="686"/>
    <w:link w:val="70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93">
    <w:name w:val="标题 7"/>
    <w:basedOn w:val="686"/>
    <w:next w:val="686"/>
    <w:link w:val="707"/>
    <w:qFormat/>
    <w:pPr>
      <w:numPr>
        <w:ilvl w:val="6"/>
        <w:numId w:val="1"/>
      </w:numPr>
      <w:keepLines/>
      <w:keepNext/>
      <w:spacing w:before="240" w:after="64" w:line="320" w:lineRule="auto"/>
      <w:outlineLvl w:val="6"/>
    </w:pPr>
    <w:rPr>
      <w:b/>
      <w:bCs/>
      <w:sz w:val="24"/>
      <w:szCs w:val="24"/>
      <w:lang w:val="en-US" w:eastAsia="en-US"/>
    </w:rPr>
  </w:style>
  <w:style w:type="paragraph" w:styleId="694">
    <w:name w:val="标题 8"/>
    <w:basedOn w:val="686"/>
    <w:next w:val="686"/>
    <w:link w:val="70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95">
    <w:name w:val="标题 9"/>
    <w:basedOn w:val="686"/>
    <w:next w:val="686"/>
    <w:link w:val="70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96">
    <w:name w:val="默认段落字体"/>
    <w:next w:val="696"/>
    <w:link w:val="686"/>
    <w:uiPriority w:val="1"/>
    <w:unhideWhenUsed/>
  </w:style>
  <w:style w:type="table" w:styleId="697">
    <w:name w:val="普通表格"/>
    <w:next w:val="697"/>
    <w:link w:val="686"/>
    <w:uiPriority w:val="99"/>
    <w:unhideWhenUsed/>
    <w:tblPr/>
  </w:style>
  <w:style w:type="numbering" w:styleId="698">
    <w:name w:val="无列表"/>
    <w:next w:val="698"/>
    <w:link w:val="686"/>
    <w:uiPriority w:val="99"/>
    <w:semiHidden/>
    <w:unhideWhenUsed/>
  </w:style>
  <w:style w:type="character" w:styleId="699">
    <w:name w:val="标题 1 Char"/>
    <w:next w:val="699"/>
    <w:link w:val="687"/>
    <w:rPr>
      <w:rFonts w:ascii="楷体_GB2312" w:hAnsi="Times New Roman" w:eastAsia="楷体_GB2312" w:cs="Times New Roman"/>
      <w:sz w:val="28"/>
      <w:szCs w:val="28"/>
    </w:rPr>
  </w:style>
  <w:style w:type="character" w:styleId="700">
    <w:name w:val="标题 2 Char"/>
    <w:next w:val="700"/>
    <w:link w:val="688"/>
    <w:rPr>
      <w:rFonts w:ascii="Arial" w:hAnsi="Arial" w:eastAsia="幼圆" w:cs="Arial"/>
      <w:b/>
      <w:bCs/>
      <w:sz w:val="44"/>
      <w:szCs w:val="44"/>
    </w:rPr>
  </w:style>
  <w:style w:type="paragraph" w:styleId="701">
    <w:name w:val="正文缩进"/>
    <w:basedOn w:val="686"/>
    <w:next w:val="701"/>
    <w:link w:val="702"/>
    <w:pPr>
      <w:ind w:firstLine="420"/>
    </w:pPr>
    <w:rPr>
      <w:sz w:val="20"/>
      <w:lang w:val="en-US" w:eastAsia="en-US"/>
    </w:rPr>
  </w:style>
  <w:style w:type="character" w:styleId="702">
    <w:name w:val="正文缩进 Char"/>
    <w:next w:val="702"/>
    <w:link w:val="701"/>
    <w:rPr>
      <w:rFonts w:ascii="Times New Roman" w:hAnsi="Times New Roman" w:eastAsia="宋体" w:cs="Times New Roman"/>
      <w:szCs w:val="21"/>
    </w:rPr>
  </w:style>
  <w:style w:type="character" w:styleId="703">
    <w:name w:val="标题 3 Char"/>
    <w:next w:val="703"/>
    <w:link w:val="689"/>
    <w:rPr>
      <w:rFonts w:ascii="Times New Roman" w:hAnsi="Times New Roman" w:eastAsia="宋体" w:cs="Times New Roman"/>
      <w:b/>
      <w:bCs/>
      <w:sz w:val="32"/>
      <w:szCs w:val="32"/>
    </w:rPr>
  </w:style>
  <w:style w:type="character" w:styleId="704">
    <w:name w:val="标题 4 Char"/>
    <w:next w:val="704"/>
    <w:link w:val="690"/>
    <w:rPr>
      <w:rFonts w:ascii="Arial" w:hAnsi="Arial" w:eastAsia="黑体" w:cs="Arial"/>
      <w:b/>
      <w:bCs/>
      <w:sz w:val="28"/>
      <w:szCs w:val="28"/>
    </w:rPr>
  </w:style>
  <w:style w:type="character" w:styleId="705">
    <w:name w:val="标题 5 Char"/>
    <w:next w:val="705"/>
    <w:link w:val="691"/>
    <w:rPr>
      <w:rFonts w:ascii="宋体" w:hAnsi="Times New Roman" w:eastAsia="宋体" w:cs="Times New Roman"/>
      <w:color w:val="000000"/>
      <w:sz w:val="28"/>
      <w:szCs w:val="28"/>
    </w:rPr>
  </w:style>
  <w:style w:type="character" w:styleId="706">
    <w:name w:val="标题 6 Char"/>
    <w:next w:val="706"/>
    <w:link w:val="692"/>
    <w:rPr>
      <w:rFonts w:ascii="Arial" w:hAnsi="Arial" w:eastAsia="黑体" w:cs="Times New Roman"/>
      <w:b/>
      <w:bCs/>
      <w:sz w:val="24"/>
      <w:szCs w:val="24"/>
    </w:rPr>
  </w:style>
  <w:style w:type="character" w:styleId="707">
    <w:name w:val="标题 7 Char"/>
    <w:next w:val="707"/>
    <w:link w:val="693"/>
    <w:rPr>
      <w:rFonts w:ascii="Times New Roman" w:hAnsi="Times New Roman" w:eastAsia="宋体" w:cs="Times New Roman"/>
      <w:b/>
      <w:bCs/>
      <w:sz w:val="24"/>
      <w:szCs w:val="24"/>
    </w:rPr>
  </w:style>
  <w:style w:type="character" w:styleId="708">
    <w:name w:val="标题 8 Char"/>
    <w:next w:val="708"/>
    <w:link w:val="694"/>
    <w:rPr>
      <w:rFonts w:ascii="Arial" w:hAnsi="Arial" w:eastAsia="黑体" w:cs="Times New Roman"/>
      <w:sz w:val="24"/>
      <w:szCs w:val="24"/>
    </w:rPr>
  </w:style>
  <w:style w:type="character" w:styleId="709">
    <w:name w:val="标题 9 Char"/>
    <w:next w:val="709"/>
    <w:link w:val="695"/>
    <w:rPr>
      <w:rFonts w:ascii="Arial" w:hAnsi="Arial" w:eastAsia="黑体" w:cs="Times New Roman"/>
      <w:szCs w:val="21"/>
    </w:rPr>
  </w:style>
  <w:style w:type="paragraph" w:styleId="710">
    <w:name w:val="列表 3"/>
    <w:basedOn w:val="686"/>
    <w:next w:val="710"/>
    <w:link w:val="686"/>
    <w:pPr>
      <w:ind w:left="100" w:hanging="200"/>
    </w:pPr>
  </w:style>
  <w:style w:type="paragraph" w:styleId="711">
    <w:name w:val="目录 7"/>
    <w:basedOn w:val="686"/>
    <w:next w:val="686"/>
    <w:link w:val="686"/>
    <w:semiHidden/>
    <w:pPr>
      <w:ind w:left="1260"/>
      <w:jc w:val="left"/>
    </w:pPr>
  </w:style>
  <w:style w:type="paragraph" w:styleId="712">
    <w:name w:val="文档结构图"/>
    <w:basedOn w:val="686"/>
    <w:next w:val="712"/>
    <w:link w:val="713"/>
    <w:semiHidden/>
    <w:pPr>
      <w:shd w:val="clear" w:color="auto" w:fill="000080"/>
    </w:pPr>
    <w:rPr>
      <w:sz w:val="20"/>
      <w:lang w:val="en-US" w:eastAsia="en-US"/>
    </w:rPr>
  </w:style>
  <w:style w:type="character" w:styleId="713">
    <w:name w:val="文档结构图 Char"/>
    <w:next w:val="713"/>
    <w:link w:val="712"/>
    <w:semiHidden/>
    <w:rPr>
      <w:rFonts w:ascii="Times New Roman" w:hAnsi="Times New Roman" w:eastAsia="宋体" w:cs="Times New Roman"/>
      <w:szCs w:val="21"/>
      <w:shd w:val="clear" w:color="auto" w:fill="000080"/>
    </w:rPr>
  </w:style>
  <w:style w:type="paragraph" w:styleId="714">
    <w:name w:val="批注文字"/>
    <w:basedOn w:val="686"/>
    <w:next w:val="714"/>
    <w:link w:val="715"/>
    <w:semiHidden/>
    <w:pPr>
      <w:jc w:val="left"/>
    </w:pPr>
    <w:rPr>
      <w:sz w:val="20"/>
      <w:lang w:val="en-US" w:eastAsia="en-US"/>
    </w:rPr>
  </w:style>
  <w:style w:type="character" w:styleId="715">
    <w:name w:val="批注文字 Char"/>
    <w:next w:val="715"/>
    <w:link w:val="714"/>
    <w:semiHidden/>
    <w:rPr>
      <w:rFonts w:ascii="Times New Roman" w:hAnsi="Times New Roman" w:eastAsia="宋体" w:cs="Times New Roman"/>
      <w:szCs w:val="21"/>
    </w:rPr>
  </w:style>
  <w:style w:type="paragraph" w:styleId="716">
    <w:name w:val="正文文本 3"/>
    <w:basedOn w:val="686"/>
    <w:next w:val="716"/>
    <w:link w:val="717"/>
    <w:rPr>
      <w:rFonts w:ascii="仿宋_GB2312" w:hAnsi="Arial" w:eastAsia="仿宋_GB2312"/>
      <w:sz w:val="32"/>
      <w:szCs w:val="32"/>
      <w:lang w:val="en-US" w:eastAsia="en-US"/>
    </w:rPr>
  </w:style>
  <w:style w:type="character" w:styleId="717">
    <w:name w:val="正文文本 3 Char"/>
    <w:next w:val="717"/>
    <w:link w:val="716"/>
    <w:rPr>
      <w:rFonts w:ascii="仿宋_GB2312" w:hAnsi="Arial" w:eastAsia="仿宋_GB2312" w:cs="Times New Roman"/>
      <w:sz w:val="32"/>
      <w:szCs w:val="32"/>
    </w:rPr>
  </w:style>
  <w:style w:type="paragraph" w:styleId="718">
    <w:name w:val="正文文本"/>
    <w:basedOn w:val="686"/>
    <w:next w:val="718"/>
    <w:link w:val="719"/>
    <w:rPr>
      <w:rFonts w:ascii="楷体_GB2312" w:hAnsi="Arial" w:eastAsia="楷体_GB2312"/>
      <w:sz w:val="28"/>
      <w:szCs w:val="28"/>
      <w:lang w:val="en-US" w:eastAsia="en-US"/>
    </w:rPr>
  </w:style>
  <w:style w:type="character" w:styleId="719">
    <w:name w:val="正文文本 Char"/>
    <w:next w:val="719"/>
    <w:link w:val="718"/>
    <w:rPr>
      <w:rFonts w:ascii="楷体_GB2312" w:hAnsi="Arial" w:eastAsia="楷体_GB2312" w:cs="Times New Roman"/>
      <w:sz w:val="28"/>
      <w:szCs w:val="28"/>
    </w:rPr>
  </w:style>
  <w:style w:type="paragraph" w:styleId="720">
    <w:name w:val="正文文本缩进"/>
    <w:basedOn w:val="686"/>
    <w:next w:val="720"/>
    <w:link w:val="721"/>
    <w:pPr>
      <w:ind w:firstLine="645"/>
    </w:pPr>
    <w:rPr>
      <w:rFonts w:ascii="楷体_GB2312" w:eastAsia="楷体_GB2312"/>
      <w:sz w:val="32"/>
      <w:szCs w:val="32"/>
      <w:lang w:val="en-US" w:eastAsia="en-US"/>
    </w:rPr>
  </w:style>
  <w:style w:type="character" w:styleId="721">
    <w:name w:val="正文文本缩进 Char"/>
    <w:next w:val="721"/>
    <w:link w:val="720"/>
    <w:rPr>
      <w:rFonts w:ascii="楷体_GB2312" w:hAnsi="Times New Roman" w:eastAsia="楷体_GB2312" w:cs="Times New Roman"/>
      <w:sz w:val="32"/>
      <w:szCs w:val="32"/>
    </w:rPr>
  </w:style>
  <w:style w:type="paragraph" w:styleId="722">
    <w:name w:val="列表 2"/>
    <w:basedOn w:val="686"/>
    <w:next w:val="722"/>
    <w:link w:val="686"/>
    <w:pPr>
      <w:ind w:left="100" w:hanging="200"/>
    </w:pPr>
  </w:style>
  <w:style w:type="paragraph" w:styleId="723">
    <w:name w:val="目录 5"/>
    <w:basedOn w:val="686"/>
    <w:next w:val="686"/>
    <w:link w:val="686"/>
    <w:semiHidden/>
    <w:pPr>
      <w:ind w:left="840"/>
      <w:jc w:val="left"/>
    </w:pPr>
  </w:style>
  <w:style w:type="paragraph" w:styleId="724">
    <w:name w:val="目录 3"/>
    <w:basedOn w:val="686"/>
    <w:next w:val="686"/>
    <w:link w:val="686"/>
    <w:semiHidden/>
    <w:pPr>
      <w:ind w:left="420"/>
      <w:jc w:val="left"/>
    </w:pPr>
    <w:rPr>
      <w:i/>
      <w:iCs/>
      <w:szCs w:val="24"/>
    </w:rPr>
  </w:style>
  <w:style w:type="paragraph" w:styleId="725">
    <w:name w:val="纯文本"/>
    <w:basedOn w:val="686"/>
    <w:next w:val="725"/>
    <w:link w:val="726"/>
    <w:rPr>
      <w:rFonts w:ascii="宋体" w:hAnsi="Courier New"/>
      <w:sz w:val="20"/>
      <w:lang w:val="en-US" w:eastAsia="en-US"/>
    </w:rPr>
  </w:style>
  <w:style w:type="character" w:styleId="726">
    <w:name w:val="纯文本 Char"/>
    <w:next w:val="726"/>
    <w:link w:val="725"/>
    <w:rPr>
      <w:rFonts w:ascii="宋体" w:hAnsi="Courier New" w:eastAsia="宋体" w:cs="Courier New"/>
      <w:szCs w:val="21"/>
    </w:rPr>
  </w:style>
  <w:style w:type="paragraph" w:styleId="727">
    <w:name w:val="目录 8"/>
    <w:basedOn w:val="686"/>
    <w:next w:val="686"/>
    <w:link w:val="686"/>
    <w:semiHidden/>
    <w:pPr>
      <w:ind w:left="1470"/>
      <w:jc w:val="left"/>
    </w:pPr>
  </w:style>
  <w:style w:type="paragraph" w:styleId="728">
    <w:name w:val="日期"/>
    <w:basedOn w:val="686"/>
    <w:next w:val="686"/>
    <w:link w:val="729"/>
    <w:rPr>
      <w:sz w:val="24"/>
      <w:szCs w:val="24"/>
      <w:lang w:val="en-US" w:eastAsia="en-US"/>
    </w:rPr>
  </w:style>
  <w:style w:type="character" w:styleId="729">
    <w:name w:val="日期 Char"/>
    <w:next w:val="729"/>
    <w:link w:val="728"/>
    <w:rPr>
      <w:rFonts w:ascii="Times New Roman" w:hAnsi="Times New Roman" w:eastAsia="宋体" w:cs="Times New Roman"/>
      <w:sz w:val="24"/>
      <w:szCs w:val="24"/>
    </w:rPr>
  </w:style>
  <w:style w:type="paragraph" w:styleId="730">
    <w:name w:val="正文文本缩进 2"/>
    <w:basedOn w:val="686"/>
    <w:next w:val="730"/>
    <w:link w:val="731"/>
    <w:pPr>
      <w:ind w:left="630" w:firstLine="645"/>
    </w:pPr>
    <w:rPr>
      <w:rFonts w:ascii="Arial" w:hAnsi="Arial" w:eastAsia="仿宋_GB2312"/>
      <w:sz w:val="32"/>
      <w:szCs w:val="32"/>
      <w:lang w:val="en-US" w:eastAsia="en-US"/>
    </w:rPr>
  </w:style>
  <w:style w:type="character" w:styleId="731">
    <w:name w:val="正文文本缩进 2 Char"/>
    <w:next w:val="731"/>
    <w:link w:val="730"/>
    <w:rPr>
      <w:rFonts w:ascii="Arial" w:hAnsi="Arial" w:eastAsia="仿宋_GB2312" w:cs="Arial"/>
      <w:sz w:val="32"/>
      <w:szCs w:val="32"/>
    </w:rPr>
  </w:style>
  <w:style w:type="paragraph" w:styleId="732">
    <w:name w:val="批注框文本"/>
    <w:basedOn w:val="686"/>
    <w:next w:val="732"/>
    <w:link w:val="733"/>
    <w:semiHidden/>
    <w:rPr>
      <w:sz w:val="18"/>
      <w:szCs w:val="18"/>
      <w:lang w:val="en-US" w:eastAsia="en-US"/>
    </w:rPr>
  </w:style>
  <w:style w:type="character" w:styleId="733">
    <w:name w:val="批注框文本 Char"/>
    <w:next w:val="733"/>
    <w:link w:val="732"/>
    <w:semiHidden/>
    <w:rPr>
      <w:rFonts w:ascii="Times New Roman" w:hAnsi="Times New Roman" w:eastAsia="宋体" w:cs="Times New Roman"/>
      <w:sz w:val="18"/>
      <w:szCs w:val="18"/>
    </w:rPr>
  </w:style>
  <w:style w:type="paragraph" w:styleId="734">
    <w:name w:val="页脚"/>
    <w:basedOn w:val="686"/>
    <w:next w:val="734"/>
    <w:link w:val="735"/>
    <w:pPr>
      <w:jc w:val="left"/>
      <w:tabs>
        <w:tab w:val="center" w:pos="4153" w:leader="none"/>
        <w:tab w:val="right" w:pos="8306" w:leader="none"/>
      </w:tabs>
    </w:pPr>
    <w:rPr>
      <w:sz w:val="18"/>
      <w:szCs w:val="18"/>
      <w:lang w:val="en-US" w:eastAsia="en-US"/>
    </w:rPr>
  </w:style>
  <w:style w:type="character" w:styleId="735">
    <w:name w:val="页脚 Char"/>
    <w:next w:val="735"/>
    <w:link w:val="734"/>
    <w:rPr>
      <w:rFonts w:ascii="Times New Roman" w:hAnsi="Times New Roman" w:eastAsia="宋体" w:cs="Times New Roman"/>
      <w:sz w:val="18"/>
      <w:szCs w:val="18"/>
    </w:rPr>
  </w:style>
  <w:style w:type="paragraph" w:styleId="736">
    <w:name w:val="页眉"/>
    <w:basedOn w:val="686"/>
    <w:next w:val="736"/>
    <w:link w:val="73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37">
    <w:name w:val="页眉 Char"/>
    <w:next w:val="737"/>
    <w:link w:val="736"/>
    <w:uiPriority w:val="99"/>
    <w:qFormat/>
    <w:rPr>
      <w:rFonts w:ascii="Times New Roman" w:hAnsi="Times New Roman" w:eastAsia="宋体" w:cs="Times New Roman"/>
      <w:sz w:val="18"/>
      <w:szCs w:val="18"/>
    </w:rPr>
  </w:style>
  <w:style w:type="paragraph" w:styleId="738">
    <w:name w:val="目录 1"/>
    <w:basedOn w:val="686"/>
    <w:next w:val="686"/>
    <w:link w:val="686"/>
    <w:semiHidden/>
    <w:pPr>
      <w:jc w:val="left"/>
      <w:spacing w:before="120" w:after="120" w:line="400" w:lineRule="exact"/>
      <w:tabs>
        <w:tab w:val="right" w:pos="8720" w:leader="dot"/>
      </w:tabs>
    </w:pPr>
    <w:rPr>
      <w:rFonts w:ascii="宋体" w:hAnsi="宋体"/>
      <w:caps/>
      <w:sz w:val="24"/>
      <w:szCs w:val="24"/>
    </w:rPr>
  </w:style>
  <w:style w:type="paragraph" w:styleId="739">
    <w:name w:val="目录 4"/>
    <w:basedOn w:val="686"/>
    <w:next w:val="686"/>
    <w:link w:val="686"/>
    <w:semiHidden/>
    <w:pPr>
      <w:ind w:left="630"/>
      <w:jc w:val="left"/>
    </w:pPr>
  </w:style>
  <w:style w:type="paragraph" w:styleId="740">
    <w:name w:val="列表"/>
    <w:basedOn w:val="686"/>
    <w:next w:val="740"/>
    <w:link w:val="686"/>
    <w:pPr>
      <w:ind w:left="200" w:hanging="200"/>
    </w:pPr>
  </w:style>
  <w:style w:type="paragraph" w:styleId="741">
    <w:name w:val="目录 6"/>
    <w:basedOn w:val="686"/>
    <w:next w:val="686"/>
    <w:link w:val="686"/>
    <w:semiHidden/>
    <w:pPr>
      <w:ind w:left="1050"/>
      <w:jc w:val="left"/>
    </w:pPr>
  </w:style>
  <w:style w:type="paragraph" w:styleId="742">
    <w:name w:val="正文文本缩进 3"/>
    <w:basedOn w:val="686"/>
    <w:next w:val="742"/>
    <w:link w:val="743"/>
    <w:pPr>
      <w:ind w:left="645" w:firstLine="645"/>
    </w:pPr>
    <w:rPr>
      <w:rFonts w:ascii="Arial" w:hAnsi="Arial" w:eastAsia="仿宋_GB2312"/>
      <w:color w:val="ffff00"/>
      <w:sz w:val="32"/>
      <w:szCs w:val="32"/>
      <w:lang w:val="en-US" w:eastAsia="en-US"/>
    </w:rPr>
  </w:style>
  <w:style w:type="character" w:styleId="743">
    <w:name w:val="正文文本缩进 3 Char"/>
    <w:next w:val="743"/>
    <w:link w:val="742"/>
    <w:rPr>
      <w:rFonts w:ascii="Arial" w:hAnsi="Arial" w:eastAsia="仿宋_GB2312" w:cs="Arial"/>
      <w:color w:val="ffff00"/>
      <w:sz w:val="32"/>
      <w:szCs w:val="32"/>
    </w:rPr>
  </w:style>
  <w:style w:type="paragraph" w:styleId="744">
    <w:name w:val="图表目录"/>
    <w:basedOn w:val="686"/>
    <w:next w:val="686"/>
    <w:link w:val="686"/>
    <w:semiHidden/>
    <w:pPr>
      <w:ind w:left="840" w:hanging="420"/>
    </w:pPr>
  </w:style>
  <w:style w:type="paragraph" w:styleId="745">
    <w:name w:val="目录 2"/>
    <w:basedOn w:val="686"/>
    <w:next w:val="686"/>
    <w:link w:val="686"/>
    <w:semiHidden/>
    <w:pPr>
      <w:ind w:left="210"/>
      <w:jc w:val="left"/>
    </w:pPr>
    <w:rPr>
      <w:smallCaps/>
      <w:szCs w:val="24"/>
    </w:rPr>
  </w:style>
  <w:style w:type="paragraph" w:styleId="746">
    <w:name w:val="目录 9"/>
    <w:basedOn w:val="686"/>
    <w:next w:val="686"/>
    <w:link w:val="686"/>
    <w:semiHidden/>
    <w:pPr>
      <w:ind w:left="1680"/>
      <w:jc w:val="left"/>
    </w:pPr>
  </w:style>
  <w:style w:type="paragraph" w:styleId="747">
    <w:name w:val="正文文本 2"/>
    <w:basedOn w:val="686"/>
    <w:next w:val="747"/>
    <w:link w:val="748"/>
    <w:pPr>
      <w:jc w:val="center"/>
      <w:widowControl/>
    </w:pPr>
    <w:rPr>
      <w:rFonts w:ascii="楷体_GB2312" w:eastAsia="楷体_GB2312"/>
      <w:sz w:val="28"/>
      <w:szCs w:val="28"/>
      <w:lang w:val="en-US" w:eastAsia="en-US"/>
    </w:rPr>
  </w:style>
  <w:style w:type="character" w:styleId="748">
    <w:name w:val="正文文本 2 Char"/>
    <w:next w:val="748"/>
    <w:link w:val="747"/>
    <w:rPr>
      <w:rFonts w:ascii="楷体_GB2312" w:hAnsi="Times New Roman" w:eastAsia="楷体_GB2312" w:cs="Times New Roman"/>
      <w:sz w:val="28"/>
      <w:szCs w:val="28"/>
    </w:rPr>
  </w:style>
  <w:style w:type="paragraph" w:styleId="749">
    <w:name w:val="普通(网站)"/>
    <w:basedOn w:val="686"/>
    <w:next w:val="749"/>
    <w:link w:val="686"/>
    <w:uiPriority w:val="99"/>
    <w:pPr>
      <w:jc w:val="left"/>
      <w:spacing w:before="100" w:beforeAutospacing="1" w:after="100" w:afterAutospacing="1"/>
      <w:widowControl/>
    </w:pPr>
    <w:rPr>
      <w:rFonts w:ascii="宋体" w:hAnsi="宋体" w:cs="宋体"/>
      <w:sz w:val="24"/>
      <w:szCs w:val="24"/>
    </w:rPr>
  </w:style>
  <w:style w:type="paragraph" w:styleId="750">
    <w:name w:val="索引 1"/>
    <w:basedOn w:val="686"/>
    <w:next w:val="686"/>
    <w:link w:val="686"/>
    <w:semiHidden/>
    <w:pPr>
      <w:spacing w:line="240" w:lineRule="atLeast"/>
    </w:pPr>
    <w:rPr>
      <w:b/>
      <w:bCs/>
    </w:rPr>
  </w:style>
  <w:style w:type="paragraph" w:styleId="751">
    <w:name w:val="批注主题"/>
    <w:basedOn w:val="714"/>
    <w:next w:val="714"/>
    <w:link w:val="752"/>
    <w:semiHidden/>
    <w:rPr>
      <w:b/>
      <w:bCs/>
    </w:rPr>
  </w:style>
  <w:style w:type="character" w:styleId="752">
    <w:name w:val="批注主题 Char"/>
    <w:next w:val="752"/>
    <w:link w:val="751"/>
    <w:semiHidden/>
    <w:rPr>
      <w:rFonts w:ascii="Times New Roman" w:hAnsi="Times New Roman" w:eastAsia="宋体" w:cs="Times New Roman"/>
      <w:b/>
      <w:bCs/>
      <w:szCs w:val="21"/>
    </w:rPr>
  </w:style>
  <w:style w:type="paragraph" w:styleId="753">
    <w:name w:val="正文首行缩进"/>
    <w:basedOn w:val="686"/>
    <w:next w:val="753"/>
    <w:link w:val="754"/>
    <w:pPr>
      <w:ind w:firstLine="200"/>
      <w:spacing w:line="360" w:lineRule="auto"/>
    </w:pPr>
    <w:rPr>
      <w:rFonts w:ascii="仿宋_GB2312" w:eastAsia="仿宋_GB2312"/>
      <w:sz w:val="30"/>
      <w:szCs w:val="30"/>
      <w:lang w:val="en-US" w:eastAsia="en-US"/>
    </w:rPr>
  </w:style>
  <w:style w:type="character" w:styleId="754">
    <w:name w:val="正文首行缩进 Char"/>
    <w:next w:val="754"/>
    <w:link w:val="753"/>
    <w:rPr>
      <w:rFonts w:ascii="仿宋_GB2312" w:hAnsi="Times New Roman" w:eastAsia="仿宋_GB2312" w:cs="Times New Roman"/>
      <w:sz w:val="30"/>
      <w:szCs w:val="30"/>
    </w:rPr>
  </w:style>
  <w:style w:type="paragraph" w:styleId="755">
    <w:name w:val="正文首行缩进 2"/>
    <w:basedOn w:val="720"/>
    <w:next w:val="755"/>
    <w:link w:val="756"/>
    <w:pPr>
      <w:ind w:firstLine="420"/>
      <w:spacing w:line="360" w:lineRule="auto"/>
    </w:pPr>
    <w:rPr>
      <w:rFonts w:ascii="宋体" w:hAnsi="宋体" w:eastAsia="宋体"/>
      <w:szCs w:val="20"/>
    </w:rPr>
  </w:style>
  <w:style w:type="character" w:styleId="756">
    <w:name w:val="正文首行缩进 2 Char"/>
    <w:next w:val="756"/>
    <w:link w:val="755"/>
    <w:rPr>
      <w:rFonts w:ascii="宋体" w:hAnsi="宋体" w:eastAsia="宋体" w:cs="Times New Roman"/>
      <w:sz w:val="32"/>
      <w:szCs w:val="20"/>
    </w:rPr>
  </w:style>
  <w:style w:type="table" w:styleId="757">
    <w:name w:val="网格型"/>
    <w:basedOn w:val="697"/>
    <w:next w:val="757"/>
    <w:link w:val="686"/>
    <w:uiPriority w:val="59"/>
    <w:qFormat/>
    <w:pPr>
      <w:jc w:val="both"/>
      <w:widowControl w:val="off"/>
    </w:pPr>
    <w:rPr>
      <w:rFonts w:ascii="Times New Roman" w:hAnsi="Times New Roman" w:eastAsia="宋体" w:cs="Times New Roman"/>
      <w:sz w:val="20"/>
      <w:szCs w:val="20"/>
    </w:rPr>
    <w:tblPr/>
  </w:style>
  <w:style w:type="character" w:styleId="758">
    <w:name w:val="要点"/>
    <w:next w:val="758"/>
    <w:link w:val="686"/>
    <w:qFormat/>
    <w:rPr>
      <w:b/>
      <w:bCs/>
    </w:rPr>
  </w:style>
  <w:style w:type="character" w:styleId="759">
    <w:name w:val="页码"/>
    <w:next w:val="759"/>
    <w:link w:val="686"/>
  </w:style>
  <w:style w:type="character" w:styleId="760">
    <w:name w:val="已访问的超链接"/>
    <w:next w:val="760"/>
    <w:link w:val="686"/>
    <w:rPr>
      <w:color w:val="800080"/>
      <w:u w:val="single"/>
    </w:rPr>
  </w:style>
  <w:style w:type="character" w:styleId="761">
    <w:name w:val="HTML 打字机"/>
    <w:next w:val="761"/>
    <w:link w:val="686"/>
    <w:uiPriority w:val="99"/>
    <w:rPr>
      <w:rFonts w:ascii="宋体" w:hAnsi="宋体" w:eastAsia="宋体" w:cs="宋体"/>
      <w:sz w:val="24"/>
      <w:szCs w:val="24"/>
    </w:rPr>
  </w:style>
  <w:style w:type="character" w:styleId="762">
    <w:name w:val="超链接"/>
    <w:next w:val="762"/>
    <w:link w:val="686"/>
    <w:rPr>
      <w:color w:val="0000ff"/>
      <w:u w:val="single"/>
    </w:rPr>
  </w:style>
  <w:style w:type="character" w:styleId="763">
    <w:name w:val="批注引用"/>
    <w:next w:val="763"/>
    <w:link w:val="686"/>
    <w:semiHidden/>
    <w:rPr>
      <w:sz w:val="21"/>
      <w:szCs w:val="21"/>
    </w:rPr>
  </w:style>
  <w:style w:type="character" w:styleId="764">
    <w:name w:val="font5 Char"/>
    <w:next w:val="764"/>
    <w:link w:val="686"/>
    <w:rPr>
      <w:rFonts w:ascii="宋体" w:hAnsi="宋体" w:eastAsia="宋体"/>
      <w:sz w:val="28"/>
      <w:szCs w:val="28"/>
      <w:lang w:val="en-US" w:eastAsia="zh-CN" w:bidi="ar-SA"/>
    </w:rPr>
  </w:style>
  <w:style w:type="character" w:styleId="765">
    <w:name w:val="二级目录 Char"/>
    <w:next w:val="765"/>
    <w:link w:val="766"/>
    <w:rPr>
      <w:b/>
      <w:sz w:val="30"/>
      <w:szCs w:val="28"/>
      <w:lang w:val="en-US" w:eastAsia="zh-CN" w:bidi="ar-SA"/>
    </w:rPr>
  </w:style>
  <w:style w:type="paragraph" w:styleId="766">
    <w:name w:val="二级目录"/>
    <w:next w:val="686"/>
    <w:link w:val="765"/>
    <w:pPr>
      <w:numPr>
        <w:ilvl w:val="0"/>
        <w:numId w:val="2"/>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6"/>
    <w:next w:val="768"/>
    <w:link w:val="767"/>
    <w:qFormat/>
    <w:pPr>
      <w:contextualSpacing/>
      <w:ind w:left="720"/>
      <w:jc w:val="left"/>
      <w:widowControl/>
    </w:pPr>
    <w:rPr>
      <w:rFonts w:ascii="Calibri" w:hAnsi="Calibri"/>
      <w:sz w:val="24"/>
      <w:szCs w:val="24"/>
      <w:lang w:val="en-US" w:eastAsia="en-US" w:bidi="en-US"/>
    </w:rPr>
  </w:style>
  <w:style w:type="paragraph" w:styleId="769">
    <w:name w:val="Body Text(ch)"/>
    <w:basedOn w:val="686"/>
    <w:next w:val="718"/>
    <w:link w:val="686"/>
    <w:pPr>
      <w:spacing w:after="120"/>
    </w:pPr>
    <w:rPr>
      <w:rFonts w:ascii="宋体" w:hAnsi="Arial"/>
      <w:bCs/>
      <w:iCs/>
      <w:szCs w:val="24"/>
    </w:rPr>
  </w:style>
  <w:style w:type="paragraph" w:styleId="770">
    <w:name w:val="xl27"/>
    <w:basedOn w:val="686"/>
    <w:next w:val="770"/>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1">
    <w:name w:val="xl26"/>
    <w:basedOn w:val="686"/>
    <w:next w:val="771"/>
    <w:link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2">
    <w:name w:val="Char"/>
    <w:basedOn w:val="686"/>
    <w:next w:val="772"/>
    <w:link w:val="686"/>
    <w:pPr>
      <w:ind w:firstLine="200"/>
      <w:tabs>
        <w:tab w:val="left" w:pos="360" w:leader="none"/>
      </w:tabs>
    </w:pPr>
    <w:rPr>
      <w:sz w:val="28"/>
      <w:szCs w:val="30"/>
    </w:rPr>
  </w:style>
  <w:style w:type="paragraph" w:styleId="773">
    <w:name w:val=" Char"/>
    <w:basedOn w:val="712"/>
    <w:next w:val="773"/>
    <w:link w:val="686"/>
    <w:rPr>
      <w:rFonts w:ascii="Tahoma" w:hAnsi="Tahoma"/>
      <w:sz w:val="24"/>
      <w:szCs w:val="24"/>
    </w:rPr>
  </w:style>
  <w:style w:type="paragraph" w:styleId="774">
    <w:name w:val="普通正文"/>
    <w:basedOn w:val="686"/>
    <w:next w:val="774"/>
    <w:link w:val="686"/>
    <w:pPr>
      <w:ind w:firstLine="480"/>
      <w:jc w:val="left"/>
      <w:spacing w:before="120" w:after="120" w:line="360" w:lineRule="auto"/>
    </w:pPr>
    <w:rPr>
      <w:rFonts w:ascii="Arial" w:hAnsi="Arial"/>
      <w:sz w:val="24"/>
      <w:szCs w:val="24"/>
    </w:rPr>
  </w:style>
  <w:style w:type="paragraph" w:styleId="775">
    <w:name w:val="table_lines"/>
    <w:basedOn w:val="686"/>
    <w:next w:val="775"/>
    <w:link w:val="686"/>
    <w:pPr>
      <w:jc w:val="left"/>
      <w:widowControl/>
    </w:pPr>
    <w:rPr>
      <w:sz w:val="20"/>
      <w:szCs w:val="20"/>
      <w:lang w:val="de-DE" w:eastAsia="de-DE"/>
    </w:rPr>
  </w:style>
  <w:style w:type="paragraph" w:styleId="776">
    <w:name w:val="附录1"/>
    <w:next w:val="776"/>
    <w:link w:val="68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7">
    <w:name w:val="font7"/>
    <w:basedOn w:val="686"/>
    <w:next w:val="777"/>
    <w:link w:val="686"/>
    <w:pPr>
      <w:jc w:val="left"/>
      <w:spacing w:before="100" w:beforeAutospacing="1" w:after="100" w:afterAutospacing="1"/>
      <w:widowControl/>
    </w:pPr>
    <w:rPr>
      <w:rFonts w:hint="eastAsia" w:ascii="宋体" w:hAnsi="宋体"/>
      <w:sz w:val="18"/>
      <w:szCs w:val="18"/>
    </w:rPr>
  </w:style>
  <w:style w:type="paragraph" w:styleId="778">
    <w:name w:val=" Char Char Char Char"/>
    <w:basedOn w:val="712"/>
    <w:next w:val="778"/>
    <w:link w:val="686"/>
    <w:pPr>
      <w:spacing w:line="360" w:lineRule="auto"/>
    </w:pPr>
    <w:rPr>
      <w:rFonts w:ascii="Tahoma" w:hAnsi="Tahoma"/>
      <w:sz w:val="24"/>
      <w:szCs w:val="24"/>
    </w:rPr>
  </w:style>
  <w:style w:type="paragraph" w:styleId="779">
    <w:name w:val="列出段落"/>
    <w:basedOn w:val="686"/>
    <w:next w:val="779"/>
    <w:link w:val="686"/>
    <w:uiPriority w:val="99"/>
    <w:qFormat/>
    <w:pPr>
      <w:contextualSpacing/>
      <w:ind w:left="720"/>
      <w:jc w:val="left"/>
      <w:widowControl/>
    </w:pPr>
    <w:rPr>
      <w:rFonts w:ascii="Calibri" w:hAnsi="Calibri"/>
      <w:sz w:val="24"/>
      <w:szCs w:val="24"/>
      <w:lang w:eastAsia="en-US" w:bidi="en-US"/>
    </w:rPr>
  </w:style>
  <w:style w:type="paragraph" w:styleId="780">
    <w:name w:val="4"/>
    <w:basedOn w:val="686"/>
    <w:next w:val="742"/>
    <w:link w:val="686"/>
    <w:pPr>
      <w:ind w:firstLine="420"/>
      <w:spacing w:line="360" w:lineRule="auto"/>
    </w:pPr>
    <w:rPr>
      <w:color w:val="ff0000"/>
      <w:sz w:val="24"/>
      <w:szCs w:val="24"/>
    </w:rPr>
  </w:style>
  <w:style w:type="paragraph" w:styleId="781">
    <w:name w:val="普通 (Web)"/>
    <w:basedOn w:val="686"/>
    <w:next w:val="781"/>
    <w:link w:val="686"/>
    <w:pPr>
      <w:jc w:val="left"/>
      <w:spacing w:before="100" w:beforeAutospacing="1" w:after="100" w:afterAutospacing="1"/>
      <w:widowControl/>
    </w:pPr>
    <w:rPr>
      <w:rFonts w:ascii="宋体" w:hAnsi="宋体"/>
      <w:sz w:val="24"/>
      <w:szCs w:val="24"/>
    </w:rPr>
  </w:style>
  <w:style w:type="paragraph" w:styleId="782">
    <w:name w:val=" Char Char Char Char Char Char Char Char Char Char"/>
    <w:basedOn w:val="686"/>
    <w:next w:val="782"/>
    <w:link w:val="686"/>
    <w:pPr>
      <w:spacing w:line="360" w:lineRule="auto"/>
    </w:pPr>
    <w:rPr>
      <w:sz w:val="24"/>
      <w:szCs w:val="20"/>
    </w:rPr>
  </w:style>
  <w:style w:type="paragraph" w:styleId="783">
    <w:name w:val="样式1"/>
    <w:basedOn w:val="686"/>
    <w:next w:val="783"/>
    <w:link w:val="686"/>
    <w:pPr>
      <w:numPr>
        <w:ilvl w:val="0"/>
        <w:numId w:val="3"/>
      </w:numPr>
      <w:tabs>
        <w:tab w:val="left" w:pos="709" w:leader="none"/>
      </w:tabs>
    </w:pPr>
    <w:rPr>
      <w:rFonts w:ascii="宋体" w:hAnsi="宋体"/>
    </w:rPr>
  </w:style>
  <w:style w:type="paragraph" w:styleId="784">
    <w:name w:val="font6"/>
    <w:basedOn w:val="686"/>
    <w:next w:val="784"/>
    <w:link w:val="686"/>
    <w:pPr>
      <w:jc w:val="left"/>
      <w:spacing w:before="100" w:beforeAutospacing="1" w:after="100" w:afterAutospacing="1"/>
      <w:widowControl/>
    </w:pPr>
    <w:rPr>
      <w:rFonts w:hint="eastAsia" w:ascii="宋体" w:hAnsi="宋体"/>
      <w:sz w:val="28"/>
      <w:szCs w:val="28"/>
      <w:u w:val="single"/>
    </w:rPr>
  </w:style>
  <w:style w:type="paragraph" w:styleId="785">
    <w:name w:val="xl25"/>
    <w:basedOn w:val="686"/>
    <w:next w:val="785"/>
    <w:link w:val="6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6">
    <w:name w:val="图标"/>
    <w:basedOn w:val="686"/>
    <w:next w:val="686"/>
    <w:link w:val="68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7">
    <w:name w:val="标题3"/>
    <w:basedOn w:val="686"/>
    <w:next w:val="686"/>
    <w:link w:val="686"/>
    <w:pPr>
      <w:ind w:firstLine="624"/>
      <w:spacing w:line="590" w:lineRule="atLeast"/>
    </w:pPr>
    <w:rPr>
      <w:rFonts w:ascii="方正黑体_GBK" w:eastAsia="方正黑体_GBK"/>
      <w:sz w:val="32"/>
      <w:szCs w:val="32"/>
    </w:rPr>
  </w:style>
  <w:style w:type="paragraph" w:styleId="788">
    <w:name w:val="xl24"/>
    <w:basedOn w:val="686"/>
    <w:next w:val="788"/>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9">
    <w:name w:val="xl29"/>
    <w:basedOn w:val="686"/>
    <w:next w:val="789"/>
    <w:link w:val="68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0">
    <w:name w:val="Char Char Char Char Char Char Char Char"/>
    <w:basedOn w:val="686"/>
    <w:next w:val="790"/>
    <w:link w:val="686"/>
    <w:pPr>
      <w:jc w:val="left"/>
      <w:spacing w:after="160" w:line="240" w:lineRule="exact"/>
      <w:widowControl/>
    </w:pPr>
    <w:rPr>
      <w:rFonts w:ascii="Verdana" w:hAnsi="Verdana"/>
      <w:sz w:val="20"/>
      <w:szCs w:val="20"/>
      <w:lang w:eastAsia="en-US"/>
    </w:rPr>
  </w:style>
  <w:style w:type="paragraph" w:styleId="791">
    <w:name w:val="xl28"/>
    <w:basedOn w:val="686"/>
    <w:next w:val="791"/>
    <w:link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2">
    <w:name w:val=" Char Char Char Char Char Char Char Char"/>
    <w:basedOn w:val="686"/>
    <w:next w:val="792"/>
    <w:link w:val="686"/>
    <w:pPr>
      <w:jc w:val="left"/>
      <w:spacing w:after="160" w:line="240" w:lineRule="exact"/>
      <w:widowControl/>
    </w:pPr>
    <w:rPr>
      <w:rFonts w:ascii="Verdana" w:hAnsi="Verdana"/>
      <w:sz w:val="20"/>
      <w:szCs w:val="20"/>
      <w:lang w:eastAsia="en-US"/>
    </w:rPr>
  </w:style>
  <w:style w:type="paragraph" w:styleId="793">
    <w:name w:val="xl30"/>
    <w:basedOn w:val="686"/>
    <w:next w:val="793"/>
    <w:link w:val="686"/>
    <w:pPr>
      <w:jc w:val="center"/>
      <w:spacing w:before="100" w:beforeAutospacing="1" w:after="100" w:afterAutospacing="1"/>
      <w:widowControl/>
    </w:pPr>
    <w:rPr>
      <w:rFonts w:ascii="宋体" w:hAnsi="宋体"/>
      <w:b/>
      <w:bCs/>
      <w:sz w:val="36"/>
      <w:szCs w:val="36"/>
    </w:rPr>
  </w:style>
  <w:style w:type="paragraph" w:styleId="794">
    <w:name w:val="Char Char Char Char"/>
    <w:basedOn w:val="712"/>
    <w:next w:val="794"/>
    <w:link w:val="686"/>
    <w:pPr>
      <w:spacing w:line="360" w:lineRule="auto"/>
    </w:pPr>
    <w:rPr>
      <w:rFonts w:ascii="Tahoma" w:hAnsi="Tahoma"/>
      <w:sz w:val="24"/>
      <w:szCs w:val="24"/>
    </w:rPr>
  </w:style>
  <w:style w:type="paragraph" w:styleId="795">
    <w:name w:val="table_1stline"/>
    <w:basedOn w:val="686"/>
    <w:next w:val="795"/>
    <w:link w:val="686"/>
    <w:pPr>
      <w:jc w:val="left"/>
      <w:spacing w:before="120"/>
      <w:widowControl/>
    </w:pPr>
    <w:rPr>
      <w:bCs/>
      <w:sz w:val="20"/>
      <w:szCs w:val="20"/>
      <w:lang w:val="de-DE" w:eastAsia="de-DE"/>
    </w:rPr>
  </w:style>
  <w:style w:type="paragraph" w:styleId="796">
    <w:name w:val="font5"/>
    <w:basedOn w:val="686"/>
    <w:next w:val="796"/>
    <w:link w:val="686"/>
    <w:pPr>
      <w:jc w:val="left"/>
      <w:spacing w:before="100" w:beforeAutospacing="1" w:after="100" w:afterAutospacing="1"/>
      <w:widowControl/>
    </w:pPr>
    <w:rPr>
      <w:rFonts w:hint="eastAsia" w:ascii="宋体" w:hAnsi="宋体"/>
      <w:sz w:val="28"/>
      <w:szCs w:val="28"/>
    </w:rPr>
  </w:style>
  <w:style w:type="paragraph" w:styleId="797">
    <w:name w:val="标题1"/>
    <w:basedOn w:val="686"/>
    <w:next w:val="686"/>
    <w:link w:val="686"/>
    <w:pPr>
      <w:jc w:val="center"/>
      <w:spacing w:line="700" w:lineRule="atLeast"/>
      <w:tabs>
        <w:tab w:val="left" w:pos="9193" w:leader="none"/>
        <w:tab w:val="left" w:pos="9827" w:leader="none"/>
      </w:tabs>
    </w:pPr>
    <w:rPr>
      <w:rFonts w:ascii="方正小标宋_GBK" w:eastAsia="方正小标宋_GBK"/>
      <w:sz w:val="44"/>
      <w:szCs w:val="20"/>
    </w:rPr>
  </w:style>
  <w:style w:type="paragraph" w:styleId="798">
    <w:name w:val="修订"/>
    <w:next w:val="798"/>
    <w:link w:val="686"/>
    <w:uiPriority w:val="99"/>
    <w:semiHidden/>
    <w:rPr>
      <w:rFonts w:ascii="Times New Roman" w:hAnsi="Times New Roman"/>
      <w:sz w:val="21"/>
      <w:szCs w:val="21"/>
      <w:lang w:val="en-US" w:eastAsia="zh-CN" w:bidi="ar-SA"/>
    </w:rPr>
  </w:style>
  <w:style w:type="paragraph" w:styleId="799">
    <w:name w:val="无间隔"/>
    <w:next w:val="799"/>
    <w:link w:val="686"/>
    <w:uiPriority w:val="99"/>
    <w:qFormat/>
    <w:pPr>
      <w:jc w:val="both"/>
      <w:widowControl w:val="off"/>
    </w:pPr>
    <w:rPr>
      <w:rFonts w:ascii="Times New Roman" w:hAnsi="Times New Roman"/>
      <w:sz w:val="21"/>
      <w:szCs w:val="21"/>
      <w:lang w:val="en-US" w:eastAsia="zh-CN" w:bidi="ar-SA"/>
    </w:rPr>
  </w:style>
  <w:style w:type="paragraph" w:styleId="800">
    <w:name w:val="普通文字"/>
    <w:basedOn w:val="686"/>
    <w:next w:val="686"/>
    <w:link w:val="686"/>
    <w:uiPriority w:val="99"/>
    <w:rPr>
      <w:rFonts w:ascii="宋体" w:hAnsi="Times New Roman" w:eastAsia="宋体" w:cs="Times New Roman"/>
      <w:sz w:val="24"/>
      <w:szCs w:val="20"/>
      <w:u w:val="none"/>
    </w:rPr>
  </w:style>
  <w:style w:type="paragraph" w:styleId="801">
    <w:name w:val="目录 111"/>
    <w:basedOn w:val="686"/>
    <w:next w:val="686"/>
    <w:link w:val="686"/>
    <w:uiPriority w:val="39"/>
    <w:unhideWhenUsed/>
    <w:qFormat/>
    <w:pPr>
      <w:jc w:val="left"/>
      <w:spacing w:after="100" w:line="259" w:lineRule="auto"/>
      <w:widowControl/>
    </w:pPr>
    <w:rPr>
      <w:rFonts w:ascii="Calibri" w:hAnsi="Calibri" w:eastAsia="宋体"/>
      <w:sz w:val="22"/>
      <w:szCs w:val="22"/>
    </w:rPr>
  </w:style>
  <w:style w:type="character" w:styleId="9069" w:default="1">
    <w:name w:val="Default Paragraph Font"/>
    <w:uiPriority w:val="1"/>
    <w:semiHidden/>
    <w:unhideWhenUsed/>
  </w:style>
  <w:style w:type="numbering" w:styleId="9070" w:default="1">
    <w:name w:val="No List"/>
    <w:uiPriority w:val="99"/>
    <w:semiHidden/>
    <w:unhideWhenUsed/>
  </w:style>
  <w:style w:type="table" w:styleId="9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523</cp:revision>
  <dcterms:created xsi:type="dcterms:W3CDTF">2023-03-16T02:16:00Z</dcterms:created>
  <dcterms:modified xsi:type="dcterms:W3CDTF">2024-05-30T01:36:11Z</dcterms:modified>
  <cp:version>917504</cp:version>
</cp:coreProperties>
</file>