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C6B70">
      <w:pPr>
        <w:spacing w:line="360" w:lineRule="auto"/>
        <w:jc w:val="center"/>
        <w:rPr>
          <w:rFonts w:hint="default" w:ascii="微软雅黑" w:hAnsi="微软雅黑" w:eastAsia="微软雅黑" w:cs="微软雅黑"/>
          <w:color w:val="auto"/>
          <w:sz w:val="32"/>
          <w:szCs w:val="32"/>
          <w:lang w:val="en-US" w:eastAsia="zh-CN"/>
        </w:rPr>
      </w:pPr>
      <w:r>
        <w:rPr>
          <w:rFonts w:hint="eastAsia" w:ascii="微软雅黑" w:hAnsi="微软雅黑" w:eastAsia="微软雅黑" w:cs="微软雅黑"/>
          <w:color w:val="auto"/>
          <w:sz w:val="32"/>
          <w:szCs w:val="32"/>
          <w:lang w:val="en-US" w:eastAsia="zh-CN"/>
        </w:rPr>
        <w:t>吴中太湖新城数字经济创新港一期建设项目供电架空线入地零星土方清运工程清单编制说明</w:t>
      </w:r>
    </w:p>
    <w:p w14:paraId="70143553">
      <w:pPr>
        <w:spacing w:line="360" w:lineRule="auto"/>
        <w:rPr>
          <w:rFonts w:hint="eastAsia" w:ascii="仿宋" w:hAnsi="仿宋" w:eastAsia="仿宋" w:cs="仿宋"/>
          <w:b/>
          <w:bCs/>
          <w:sz w:val="28"/>
          <w:szCs w:val="28"/>
        </w:rPr>
      </w:pPr>
      <w:r>
        <w:rPr>
          <w:rFonts w:hint="eastAsia" w:ascii="微软雅黑" w:hAnsi="微软雅黑" w:eastAsia="微软雅黑" w:cs="微软雅黑"/>
          <w:b/>
          <w:bCs/>
          <w:sz w:val="20"/>
          <w:szCs w:val="20"/>
        </w:rPr>
        <w:t>一、工程概况</w:t>
      </w:r>
    </w:p>
    <w:p w14:paraId="69FB6FAE">
      <w:pPr>
        <w:pStyle w:val="4"/>
        <w:widowControl/>
        <w:snapToGrid w:val="0"/>
        <w:spacing w:before="0" w:beforeAutospacing="0" w:after="0" w:afterAutospacing="0" w:line="384" w:lineRule="auto"/>
        <w:ind w:firstLine="400" w:firstLineChars="200"/>
        <w:rPr>
          <w:rFonts w:hint="eastAsia" w:ascii="微软雅黑" w:hAnsi="微软雅黑" w:eastAsia="微软雅黑" w:cs="微软雅黑"/>
          <w:sz w:val="20"/>
          <w:szCs w:val="20"/>
          <w:u w:val="none"/>
          <w:lang w:eastAsia="zh-CN"/>
        </w:rPr>
      </w:pPr>
      <w:r>
        <w:rPr>
          <w:rFonts w:hint="eastAsia" w:ascii="微软雅黑" w:hAnsi="微软雅黑" w:eastAsia="微软雅黑" w:cs="微软雅黑"/>
          <w:sz w:val="20"/>
          <w:szCs w:val="20"/>
          <w:u w:val="none"/>
        </w:rPr>
        <w:t>吴中太湖新城数字经济创新港一期建设项目供电架空线入地零星土方清运工程</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u w:val="none"/>
        </w:rPr>
        <w:t>建设单位是苏州太湖新城吴中管理委员会</w:t>
      </w:r>
      <w:r>
        <w:rPr>
          <w:rFonts w:hint="eastAsia" w:ascii="微软雅黑" w:hAnsi="微软雅黑" w:eastAsia="微软雅黑" w:cs="微软雅黑"/>
          <w:sz w:val="20"/>
          <w:szCs w:val="20"/>
          <w:u w:val="none"/>
          <w:lang w:eastAsia="zh-CN"/>
        </w:rPr>
        <w:t>。</w:t>
      </w:r>
    </w:p>
    <w:p w14:paraId="00A0855C">
      <w:pPr>
        <w:pStyle w:val="4"/>
        <w:widowControl/>
        <w:snapToGrid w:val="0"/>
        <w:spacing w:before="0" w:beforeAutospacing="0" w:after="0" w:afterAutospacing="0" w:line="384" w:lineRule="auto"/>
        <w:ind w:firstLine="400" w:firstLineChars="200"/>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rPr>
        <w:t>该工程</w:t>
      </w:r>
      <w:r>
        <w:rPr>
          <w:rFonts w:hint="eastAsia" w:ascii="微软雅黑" w:hAnsi="微软雅黑" w:eastAsia="微软雅黑" w:cs="微软雅黑"/>
          <w:sz w:val="20"/>
          <w:szCs w:val="20"/>
          <w:lang w:val="en-US" w:eastAsia="zh-CN"/>
        </w:rPr>
        <w:t>包含市政工程</w:t>
      </w:r>
      <w:r>
        <w:rPr>
          <w:rFonts w:hint="eastAsia" w:ascii="微软雅黑" w:hAnsi="微软雅黑" w:eastAsia="微软雅黑" w:cs="微软雅黑"/>
          <w:sz w:val="20"/>
          <w:szCs w:val="20"/>
        </w:rPr>
        <w:t>。工程类别：</w:t>
      </w:r>
      <w:r>
        <w:rPr>
          <w:rFonts w:hint="eastAsia" w:ascii="微软雅黑" w:hAnsi="微软雅黑" w:eastAsia="微软雅黑" w:cs="微软雅黑"/>
          <w:sz w:val="20"/>
          <w:szCs w:val="20"/>
          <w:lang w:val="en-US" w:eastAsia="zh-CN"/>
        </w:rPr>
        <w:t>市政大型土石方工程。</w:t>
      </w:r>
    </w:p>
    <w:p w14:paraId="45BE9023">
      <w:pPr>
        <w:snapToGrid w:val="0"/>
        <w:spacing w:line="384" w:lineRule="auto"/>
        <w:rPr>
          <w:rFonts w:hint="eastAsia" w:ascii="微软雅黑" w:hAnsi="微软雅黑" w:eastAsia="微软雅黑" w:cs="微软雅黑"/>
          <w:sz w:val="20"/>
          <w:szCs w:val="20"/>
        </w:rPr>
      </w:pPr>
      <w:r>
        <w:rPr>
          <w:rFonts w:hint="eastAsia" w:ascii="微软雅黑" w:hAnsi="微软雅黑" w:eastAsia="微软雅黑" w:cs="微软雅黑"/>
          <w:b/>
          <w:bCs/>
          <w:sz w:val="20"/>
          <w:szCs w:val="20"/>
        </w:rPr>
        <w:t>二、编制依据</w:t>
      </w:r>
    </w:p>
    <w:p w14:paraId="3E8AB6CB">
      <w:pPr>
        <w:snapToGrid w:val="0"/>
        <w:spacing w:line="384" w:lineRule="auto"/>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1.建设单位提供的</w:t>
      </w:r>
      <w:r>
        <w:rPr>
          <w:rFonts w:hint="eastAsia" w:ascii="微软雅黑" w:hAnsi="微软雅黑" w:eastAsia="微软雅黑" w:cs="微软雅黑"/>
          <w:sz w:val="20"/>
          <w:szCs w:val="20"/>
          <w:lang w:val="en-US" w:eastAsia="zh-CN"/>
        </w:rPr>
        <w:t>相关资料</w:t>
      </w:r>
      <w:r>
        <w:rPr>
          <w:rFonts w:hint="eastAsia" w:ascii="微软雅黑" w:hAnsi="微软雅黑" w:eastAsia="微软雅黑" w:cs="微软雅黑"/>
          <w:sz w:val="20"/>
          <w:szCs w:val="20"/>
        </w:rPr>
        <w:t>；</w:t>
      </w:r>
    </w:p>
    <w:p w14:paraId="5D0B7BC8">
      <w:pPr>
        <w:snapToGrid w:val="0"/>
        <w:spacing w:line="384" w:lineRule="auto"/>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2.《建设工程工程量清单计价规范》GB50500-2013、《市政工程工程量计算规范》GB50857-2013</w:t>
      </w:r>
      <w:r>
        <w:rPr>
          <w:rFonts w:hint="eastAsia" w:ascii="微软雅黑" w:hAnsi="微软雅黑" w:eastAsia="微软雅黑" w:cs="微软雅黑"/>
          <w:sz w:val="20"/>
          <w:szCs w:val="20"/>
          <w:lang w:eastAsia="zh-CN"/>
        </w:rPr>
        <w:t>、</w:t>
      </w:r>
      <w:r>
        <w:rPr>
          <w:rFonts w:hint="eastAsia" w:ascii="微软雅黑" w:hAnsi="微软雅黑" w:eastAsia="微软雅黑" w:cs="微软雅黑"/>
          <w:sz w:val="20"/>
          <w:szCs w:val="20"/>
        </w:rPr>
        <w:t>苏州市住房和城乡建设局的苏住建价〔2014〕4 号；</w:t>
      </w:r>
    </w:p>
    <w:p w14:paraId="3965B33C">
      <w:pPr>
        <w:snapToGrid w:val="0"/>
        <w:spacing w:line="384" w:lineRule="auto"/>
        <w:ind w:firstLine="400" w:firstLineChars="200"/>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3、</w:t>
      </w:r>
      <w:r>
        <w:rPr>
          <w:rFonts w:hint="eastAsia" w:ascii="微软雅黑" w:hAnsi="微软雅黑" w:eastAsia="微软雅黑" w:cs="微软雅黑"/>
          <w:sz w:val="20"/>
          <w:szCs w:val="20"/>
        </w:rPr>
        <w:t>苏建价〔2014〕448 号 江苏省住房城乡建设厅关于《建设工程工程量清单计价规范》（GB50500—2013）及其 9 本工程量计算规范的贯彻意见；</w:t>
      </w:r>
    </w:p>
    <w:p w14:paraId="0EE56D9F">
      <w:pPr>
        <w:snapToGrid w:val="0"/>
        <w:spacing w:line="384" w:lineRule="auto"/>
        <w:ind w:firstLine="400" w:firstLineChars="200"/>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4、江苏省、苏州市相关规定及计价文件；</w:t>
      </w:r>
    </w:p>
    <w:p w14:paraId="2296629C">
      <w:pPr>
        <w:snapToGrid w:val="0"/>
        <w:spacing w:line="384" w:lineRule="auto"/>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rPr>
        <w:t>三、编制说明</w:t>
      </w:r>
    </w:p>
    <w:p w14:paraId="782A5C2E">
      <w:pPr>
        <w:snapToGrid w:val="0"/>
        <w:spacing w:line="384" w:lineRule="auto"/>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1、本工程中按“项”、“个”、“台”、“樘”等以整数计算的项目投标时综合单价应该包括所列清单对应图纸节点做法全部工作内容，投标报价需要充分考虑相关费用，投标后综合单价不再调整；</w:t>
      </w:r>
    </w:p>
    <w:p w14:paraId="3EAD20A9">
      <w:pPr>
        <w:snapToGrid w:val="0"/>
        <w:spacing w:line="384" w:lineRule="auto"/>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3</w:t>
      </w:r>
      <w:r>
        <w:rPr>
          <w:rFonts w:hint="eastAsia" w:ascii="微软雅黑" w:hAnsi="微软雅黑" w:eastAsia="微软雅黑" w:cs="微软雅黑"/>
          <w:sz w:val="20"/>
          <w:szCs w:val="20"/>
        </w:rPr>
        <w:t>、清单工程量为</w:t>
      </w:r>
      <w:r>
        <w:rPr>
          <w:rFonts w:hint="eastAsia" w:ascii="微软雅黑" w:hAnsi="微软雅黑" w:eastAsia="微软雅黑" w:cs="微软雅黑"/>
          <w:sz w:val="20"/>
          <w:szCs w:val="20"/>
          <w:lang w:val="en-US" w:eastAsia="zh-CN"/>
        </w:rPr>
        <w:t>招标方提供</w:t>
      </w:r>
      <w:r>
        <w:rPr>
          <w:rFonts w:hint="eastAsia" w:ascii="微软雅黑" w:hAnsi="微软雅黑" w:eastAsia="微软雅黑" w:cs="微软雅黑"/>
          <w:sz w:val="20"/>
          <w:szCs w:val="20"/>
        </w:rPr>
        <w:t>的暂定工程量，个别包干项按招标文件要求，结算时按招标文件相关规定执行；</w:t>
      </w:r>
    </w:p>
    <w:p w14:paraId="08E27CE3">
      <w:pPr>
        <w:snapToGrid w:val="0"/>
        <w:spacing w:line="384" w:lineRule="auto"/>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4</w:t>
      </w:r>
      <w:r>
        <w:rPr>
          <w:rFonts w:hint="eastAsia" w:ascii="微软雅黑" w:hAnsi="微软雅黑" w:eastAsia="微软雅黑" w:cs="微软雅黑"/>
          <w:sz w:val="20"/>
          <w:szCs w:val="20"/>
        </w:rPr>
        <w:t>、投标人必须对施工现场进行踏勘，客观发生的费用（非隐蔽性的），在提交答疑时提出、答疑时确定，否则其费用结算时不作增加调整；</w:t>
      </w:r>
    </w:p>
    <w:p w14:paraId="6D77C03A">
      <w:pPr>
        <w:snapToGrid w:val="0"/>
        <w:spacing w:line="384" w:lineRule="auto"/>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5</w:t>
      </w:r>
      <w:r>
        <w:rPr>
          <w:rFonts w:hint="eastAsia" w:ascii="微软雅黑" w:hAnsi="微软雅黑" w:eastAsia="微软雅黑" w:cs="微软雅黑"/>
          <w:sz w:val="20"/>
          <w:szCs w:val="20"/>
        </w:rPr>
        <w:t>、如施工图设计文件中或施工工序必要或投标人认为任何分项工程或其细目未在工程量清单中出现的，则应被认为是其它相关工程的附属工作，不再另行增列和计量；</w:t>
      </w:r>
    </w:p>
    <w:p w14:paraId="7C98FBC0">
      <w:pPr>
        <w:snapToGrid w:val="0"/>
        <w:spacing w:line="384" w:lineRule="auto"/>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6</w:t>
      </w:r>
      <w:r>
        <w:rPr>
          <w:rFonts w:hint="eastAsia" w:ascii="微软雅黑" w:hAnsi="微软雅黑" w:eastAsia="微软雅黑" w:cs="微软雅黑"/>
          <w:sz w:val="20"/>
          <w:szCs w:val="20"/>
        </w:rPr>
        <w:t>、投标单位应充分考虑施工期间各类建材的市场风险和国家政策性调整风险系数，招标文件要求的其他费用或施工必要工序之费用自行考虑计入投标报价；</w:t>
      </w:r>
    </w:p>
    <w:p w14:paraId="4E1B3D28">
      <w:pPr>
        <w:snapToGrid w:val="0"/>
        <w:spacing w:line="384" w:lineRule="auto"/>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7</w:t>
      </w:r>
      <w:r>
        <w:rPr>
          <w:rFonts w:hint="eastAsia" w:ascii="微软雅黑" w:hAnsi="微软雅黑" w:eastAsia="微软雅黑" w:cs="微软雅黑"/>
          <w:sz w:val="20"/>
          <w:szCs w:val="20"/>
        </w:rPr>
        <w:t>、本工程所产生垃圾的处理必须满足建设、规划、城管、环保等部门要求，由此引起的费用自行考虑计入投标报价内，竣工结算不调整；</w:t>
      </w:r>
    </w:p>
    <w:p w14:paraId="696CDEA6">
      <w:pPr>
        <w:snapToGrid w:val="0"/>
        <w:spacing w:line="384" w:lineRule="auto"/>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8</w:t>
      </w:r>
      <w:r>
        <w:rPr>
          <w:rFonts w:hint="eastAsia" w:ascii="微软雅黑" w:hAnsi="微软雅黑" w:eastAsia="微软雅黑" w:cs="微软雅黑"/>
          <w:sz w:val="20"/>
          <w:szCs w:val="20"/>
        </w:rPr>
        <w:t>、关于取费</w:t>
      </w:r>
    </w:p>
    <w:p w14:paraId="602A5774">
      <w:pPr>
        <w:snapToGrid w:val="0"/>
        <w:spacing w:line="384" w:lineRule="auto"/>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1）安全文明施工费、规费、税费取定，按照国家有关规定计取；</w:t>
      </w:r>
    </w:p>
    <w:p w14:paraId="36C48D42">
      <w:pPr>
        <w:snapToGrid w:val="0"/>
        <w:spacing w:line="384" w:lineRule="auto"/>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2）措施项目费：除上述所列安全文明施工费以外的其他措施费均为可竞争费用，由投标单位根据招标清单自行报价。</w:t>
      </w:r>
    </w:p>
    <w:p w14:paraId="3B296E2F">
      <w:pPr>
        <w:snapToGrid w:val="0"/>
        <w:spacing w:line="384" w:lineRule="auto"/>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3）</w:t>
      </w:r>
      <w:r>
        <w:rPr>
          <w:rFonts w:hint="eastAsia" w:ascii="微软雅黑" w:hAnsi="微软雅黑" w:eastAsia="微软雅黑" w:cs="微软雅黑"/>
          <w:sz w:val="20"/>
          <w:szCs w:val="20"/>
        </w:rPr>
        <w:t>暂列金额：</w:t>
      </w:r>
    </w:p>
    <w:p w14:paraId="200EF03C">
      <w:pPr>
        <w:snapToGrid w:val="0"/>
        <w:spacing w:line="384" w:lineRule="auto"/>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无。</w:t>
      </w:r>
    </w:p>
    <w:p w14:paraId="406D054F">
      <w:pPr>
        <w:snapToGrid w:val="0"/>
        <w:spacing w:line="384" w:lineRule="auto"/>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4）</w:t>
      </w:r>
      <w:r>
        <w:rPr>
          <w:rFonts w:hint="eastAsia" w:ascii="微软雅黑" w:hAnsi="微软雅黑" w:eastAsia="微软雅黑" w:cs="微软雅黑"/>
          <w:sz w:val="20"/>
          <w:szCs w:val="20"/>
        </w:rPr>
        <w:t>专业工程暂估价：</w:t>
      </w:r>
    </w:p>
    <w:p w14:paraId="28CB2456">
      <w:pPr>
        <w:snapToGrid w:val="0"/>
        <w:spacing w:line="384" w:lineRule="auto"/>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无。</w:t>
      </w:r>
    </w:p>
    <w:p w14:paraId="5F5AE4A9">
      <w:pPr>
        <w:snapToGrid w:val="0"/>
        <w:spacing w:line="384" w:lineRule="auto"/>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rPr>
        <w:t>四、其它情况说明</w:t>
      </w:r>
    </w:p>
    <w:p w14:paraId="6F9A1113">
      <w:pPr>
        <w:snapToGrid w:val="0"/>
        <w:spacing w:line="384" w:lineRule="auto"/>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1、</w:t>
      </w:r>
      <w:r>
        <w:rPr>
          <w:rFonts w:hint="eastAsia" w:ascii="微软雅黑" w:hAnsi="微软雅黑" w:eastAsia="微软雅黑" w:cs="微软雅黑"/>
          <w:sz w:val="20"/>
          <w:szCs w:val="20"/>
          <w:lang w:val="en-US" w:eastAsia="zh-CN"/>
        </w:rPr>
        <w:t>市政工程</w:t>
      </w:r>
    </w:p>
    <w:p w14:paraId="4481A9AF">
      <w:pPr>
        <w:keepNext w:val="0"/>
        <w:keepLines w:val="0"/>
        <w:pageBreakBefore w:val="0"/>
        <w:widowControl w:val="0"/>
        <w:kinsoku/>
        <w:wordWrap/>
        <w:overflowPunct/>
        <w:topLinePunct w:val="0"/>
        <w:autoSpaceDE/>
        <w:autoSpaceDN/>
        <w:bidi w:val="0"/>
        <w:adjustRightInd/>
        <w:snapToGrid/>
        <w:spacing w:line="510" w:lineRule="exact"/>
        <w:ind w:firstLine="400" w:firstLineChars="200"/>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zh-CN" w:eastAsia="zh-CN"/>
        </w:rPr>
        <w:t>（</w:t>
      </w:r>
      <w:r>
        <w:rPr>
          <w:rFonts w:hint="eastAsia" w:ascii="微软雅黑" w:hAnsi="微软雅黑" w:eastAsia="微软雅黑" w:cs="微软雅黑"/>
          <w:sz w:val="20"/>
          <w:szCs w:val="20"/>
          <w:lang w:val="en-US" w:eastAsia="zh-CN"/>
        </w:rPr>
        <w:t>1</w:t>
      </w:r>
      <w:r>
        <w:rPr>
          <w:rFonts w:hint="eastAsia" w:ascii="微软雅黑" w:hAnsi="微软雅黑" w:eastAsia="微软雅黑" w:cs="微软雅黑"/>
          <w:sz w:val="20"/>
          <w:szCs w:val="20"/>
          <w:lang w:val="zh-CN" w:eastAsia="zh-CN"/>
        </w:rPr>
        <w:t>）土方工程</w:t>
      </w:r>
      <w:r>
        <w:rPr>
          <w:rFonts w:hint="eastAsia" w:ascii="微软雅黑" w:hAnsi="微软雅黑" w:eastAsia="微软雅黑" w:cs="微软雅黑"/>
          <w:sz w:val="20"/>
          <w:szCs w:val="20"/>
          <w:lang w:val="en-US" w:eastAsia="zh-CN"/>
        </w:rPr>
        <w:t>中土方外运弃置点由建设单位提供</w:t>
      </w:r>
      <w:r>
        <w:rPr>
          <w:rFonts w:hint="eastAsia" w:ascii="微软雅黑" w:hAnsi="微软雅黑" w:eastAsia="微软雅黑" w:cs="微软雅黑"/>
          <w:sz w:val="20"/>
          <w:szCs w:val="20"/>
          <w:lang w:val="zh-CN" w:eastAsia="zh-CN"/>
        </w:rPr>
        <w:t>，余土外运预算中按</w:t>
      </w:r>
      <w:r>
        <w:rPr>
          <w:rFonts w:hint="eastAsia" w:ascii="微软雅黑" w:hAnsi="微软雅黑" w:eastAsia="微软雅黑" w:cs="微软雅黑"/>
          <w:sz w:val="20"/>
          <w:szCs w:val="20"/>
          <w:lang w:val="en-US" w:eastAsia="zh-CN"/>
        </w:rPr>
        <w:t>15</w:t>
      </w:r>
      <w:r>
        <w:rPr>
          <w:rFonts w:hint="eastAsia" w:ascii="微软雅黑" w:hAnsi="微软雅黑" w:eastAsia="微软雅黑" w:cs="微软雅黑"/>
          <w:sz w:val="20"/>
          <w:szCs w:val="20"/>
          <w:lang w:val="zh-CN" w:eastAsia="zh-CN"/>
        </w:rPr>
        <w:t>km计算，超过15Km运距包干，含弃置点费用。零星固化土归集打堆，机械多次进场施工，均考虑在内，结算不予调整，</w:t>
      </w:r>
      <w:r>
        <w:rPr>
          <w:rFonts w:hint="eastAsia" w:ascii="微软雅黑" w:hAnsi="微软雅黑" w:eastAsia="微软雅黑" w:cs="微软雅黑"/>
          <w:sz w:val="20"/>
          <w:szCs w:val="20"/>
          <w:lang w:val="en-US" w:eastAsia="zh-CN"/>
        </w:rPr>
        <w:t>并</w:t>
      </w:r>
      <w:r>
        <w:rPr>
          <w:rFonts w:hint="eastAsia" w:ascii="微软雅黑" w:hAnsi="微软雅黑" w:eastAsia="微软雅黑" w:cs="微软雅黑"/>
          <w:sz w:val="20"/>
          <w:szCs w:val="20"/>
          <w:lang w:val="zh-CN" w:eastAsia="zh-CN"/>
        </w:rPr>
        <w:t>满足弃土外运的相关部门手续由施工单位自行办理，</w:t>
      </w:r>
      <w:r>
        <w:rPr>
          <w:rFonts w:hint="eastAsia" w:ascii="微软雅黑" w:hAnsi="微软雅黑" w:eastAsia="微软雅黑" w:cs="微软雅黑"/>
          <w:sz w:val="20"/>
          <w:szCs w:val="20"/>
          <w:lang w:val="en-US" w:eastAsia="zh-CN"/>
        </w:rPr>
        <w:t>投标单位自行考虑施工中可能存在的风险并计入投标报价；</w:t>
      </w:r>
    </w:p>
    <w:p w14:paraId="3EC33753">
      <w:pPr>
        <w:keepNext w:val="0"/>
        <w:keepLines w:val="0"/>
        <w:pageBreakBefore w:val="0"/>
        <w:widowControl w:val="0"/>
        <w:kinsoku/>
        <w:wordWrap/>
        <w:overflowPunct/>
        <w:topLinePunct w:val="0"/>
        <w:autoSpaceDE/>
        <w:autoSpaceDN/>
        <w:bidi w:val="0"/>
        <w:adjustRightInd/>
        <w:snapToGrid/>
        <w:spacing w:line="510" w:lineRule="exact"/>
        <w:ind w:firstLine="400" w:firstLineChars="200"/>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（2）投标单位根据现场情况自行考虑是否需要铺设</w:t>
      </w:r>
      <w:bookmarkStart w:id="0" w:name="_GoBack"/>
      <w:bookmarkEnd w:id="0"/>
      <w:r>
        <w:rPr>
          <w:rFonts w:hint="eastAsia" w:ascii="微软雅黑" w:hAnsi="微软雅黑" w:eastAsia="微软雅黑" w:cs="微软雅黑"/>
          <w:sz w:val="20"/>
          <w:szCs w:val="20"/>
          <w:lang w:val="en-US" w:eastAsia="zh-CN"/>
        </w:rPr>
        <w:t>钢板便道，如需钢板便道则费用在投标报价内综合考虑，结算不调整；</w:t>
      </w:r>
    </w:p>
    <w:p w14:paraId="1172E5F2">
      <w:pPr>
        <w:keepNext w:val="0"/>
        <w:keepLines w:val="0"/>
        <w:pageBreakBefore w:val="0"/>
        <w:widowControl w:val="0"/>
        <w:kinsoku/>
        <w:wordWrap/>
        <w:overflowPunct/>
        <w:topLinePunct w:val="0"/>
        <w:autoSpaceDE/>
        <w:autoSpaceDN/>
        <w:bidi w:val="0"/>
        <w:adjustRightInd/>
        <w:snapToGrid/>
        <w:spacing w:line="510" w:lineRule="exact"/>
        <w:ind w:firstLine="400" w:firstLineChars="200"/>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（3）投标单位根据现场情况自行考虑对施工场地及周边的高压线、天然气管道及各类市政公用管道的保护措施，费用在投标报价内综合考虑，结算不调整；</w:t>
      </w:r>
    </w:p>
    <w:p w14:paraId="0C48AE0D">
      <w:pPr>
        <w:keepNext w:val="0"/>
        <w:keepLines w:val="0"/>
        <w:pageBreakBefore w:val="0"/>
        <w:widowControl w:val="0"/>
        <w:kinsoku/>
        <w:wordWrap/>
        <w:overflowPunct/>
        <w:topLinePunct w:val="0"/>
        <w:autoSpaceDE/>
        <w:autoSpaceDN/>
        <w:bidi w:val="0"/>
        <w:adjustRightInd/>
        <w:snapToGrid/>
        <w:spacing w:line="510" w:lineRule="exact"/>
        <w:ind w:firstLine="400" w:firstLineChars="200"/>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（4）投标单位根据现场情况自行考虑是否需将垃圾与土分开处理，如需分开，费用在投标报价内综合考虑，结算不调整；</w:t>
      </w:r>
    </w:p>
    <w:p w14:paraId="5CA9F33F">
      <w:pPr>
        <w:keepNext w:val="0"/>
        <w:keepLines w:val="0"/>
        <w:pageBreakBefore w:val="0"/>
        <w:widowControl w:val="0"/>
        <w:kinsoku/>
        <w:wordWrap/>
        <w:overflowPunct/>
        <w:topLinePunct w:val="0"/>
        <w:autoSpaceDE/>
        <w:autoSpaceDN/>
        <w:bidi w:val="0"/>
        <w:adjustRightInd/>
        <w:snapToGrid/>
        <w:spacing w:line="510" w:lineRule="exact"/>
        <w:ind w:firstLine="400" w:firstLineChars="200"/>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（5）外运过程中的车辆清理、保洁由乙方承担，撒落土方、泥浆土清理，装车外运；</w:t>
      </w:r>
    </w:p>
    <w:p w14:paraId="559D7A57">
      <w:pPr>
        <w:keepNext w:val="0"/>
        <w:keepLines w:val="0"/>
        <w:pageBreakBefore w:val="0"/>
        <w:widowControl w:val="0"/>
        <w:kinsoku/>
        <w:wordWrap/>
        <w:overflowPunct/>
        <w:topLinePunct w:val="0"/>
        <w:autoSpaceDE/>
        <w:autoSpaceDN/>
        <w:bidi w:val="0"/>
        <w:adjustRightInd/>
        <w:snapToGrid/>
        <w:spacing w:line="510" w:lineRule="exact"/>
        <w:ind w:firstLine="400" w:firstLineChars="200"/>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（6）乙方负责办理土方运输前的土方运输路线图、运输证手续，且相关费用由乙方承担。</w:t>
      </w:r>
    </w:p>
    <w:p w14:paraId="36FBB3D2">
      <w:pPr>
        <w:snapToGrid w:val="0"/>
        <w:spacing w:line="384" w:lineRule="auto"/>
        <w:ind w:firstLine="400" w:firstLineChars="200"/>
        <w:rPr>
          <w:rFonts w:hint="default" w:ascii="微软雅黑" w:hAnsi="微软雅黑" w:eastAsia="微软雅黑" w:cs="微软雅黑"/>
          <w:sz w:val="20"/>
          <w:szCs w:val="20"/>
          <w:lang w:val="en-US" w:eastAsia="zh-CN"/>
        </w:rPr>
      </w:pPr>
    </w:p>
    <w:p w14:paraId="0F3A60BE">
      <w:pPr>
        <w:snapToGrid w:val="0"/>
        <w:spacing w:line="384" w:lineRule="auto"/>
        <w:jc w:val="right"/>
        <w:rPr>
          <w:rFonts w:hint="eastAsia" w:ascii="微软雅黑" w:hAnsi="微软雅黑" w:eastAsia="微软雅黑" w:cs="微软雅黑"/>
          <w:b/>
          <w:bCs/>
          <w:szCs w:val="21"/>
        </w:rPr>
      </w:pPr>
      <w:r>
        <w:rPr>
          <w:rFonts w:hint="eastAsia" w:ascii="微软雅黑" w:hAnsi="微软雅黑" w:eastAsia="微软雅黑" w:cs="微软雅黑"/>
          <w:b/>
          <w:bCs/>
          <w:szCs w:val="21"/>
        </w:rPr>
        <w:t>江苏海外集团国际工程咨询有限公司</w:t>
      </w:r>
    </w:p>
    <w:p w14:paraId="2BF2E9F1">
      <w:pPr>
        <w:snapToGrid w:val="0"/>
        <w:spacing w:line="384" w:lineRule="auto"/>
        <w:jc w:val="right"/>
      </w:pPr>
      <w:r>
        <w:rPr>
          <w:rFonts w:hint="eastAsia" w:ascii="微软雅黑" w:hAnsi="微软雅黑" w:eastAsia="微软雅黑" w:cs="微软雅黑"/>
          <w:b/>
          <w:bCs/>
          <w:szCs w:val="21"/>
        </w:rPr>
        <w:t>202</w:t>
      </w:r>
      <w:r>
        <w:rPr>
          <w:rFonts w:hint="eastAsia" w:ascii="微软雅黑" w:hAnsi="微软雅黑" w:eastAsia="微软雅黑" w:cs="微软雅黑"/>
          <w:b/>
          <w:bCs/>
          <w:szCs w:val="21"/>
          <w:lang w:val="en-US" w:eastAsia="zh-CN"/>
        </w:rPr>
        <w:t>5</w:t>
      </w:r>
      <w:r>
        <w:rPr>
          <w:rFonts w:hint="eastAsia" w:ascii="微软雅黑" w:hAnsi="微软雅黑" w:eastAsia="微软雅黑" w:cs="微软雅黑"/>
          <w:b/>
          <w:bCs/>
          <w:szCs w:val="21"/>
        </w:rPr>
        <w:t>年</w:t>
      </w:r>
      <w:r>
        <w:rPr>
          <w:rFonts w:hint="eastAsia" w:ascii="微软雅黑" w:hAnsi="微软雅黑" w:eastAsia="微软雅黑" w:cs="微软雅黑"/>
          <w:b/>
          <w:bCs/>
          <w:szCs w:val="21"/>
          <w:lang w:val="en-US" w:eastAsia="zh-CN"/>
        </w:rPr>
        <w:t>06</w:t>
      </w:r>
      <w:r>
        <w:rPr>
          <w:rFonts w:hint="eastAsia" w:ascii="微软雅黑" w:hAnsi="微软雅黑" w:eastAsia="微软雅黑" w:cs="微软雅黑"/>
          <w:b/>
          <w:bCs/>
          <w:szCs w:val="21"/>
        </w:rPr>
        <w:t>月</w:t>
      </w:r>
      <w:r>
        <w:rPr>
          <w:rFonts w:hint="eastAsia" w:ascii="微软雅黑" w:hAnsi="微软雅黑" w:eastAsia="微软雅黑" w:cs="微软雅黑"/>
          <w:b/>
          <w:bCs/>
          <w:szCs w:val="21"/>
          <w:lang w:val="en-US" w:eastAsia="zh-CN"/>
        </w:rPr>
        <w:t>03</w:t>
      </w:r>
      <w:r>
        <w:rPr>
          <w:rFonts w:hint="eastAsia" w:ascii="微软雅黑" w:hAnsi="微软雅黑" w:eastAsia="微软雅黑" w:cs="微软雅黑"/>
          <w:b/>
          <w:bCs/>
          <w:szCs w:val="21"/>
        </w:rPr>
        <w:t xml:space="preserve">日    </w:t>
      </w:r>
      <w:r>
        <w:rPr>
          <w:rFonts w:hint="eastAsia" w:ascii="微软雅黑" w:hAnsi="微软雅黑" w:eastAsia="微软雅黑" w:cs="微软雅黑"/>
          <w:szCs w:val="21"/>
        </w:rPr>
        <w:t xml:space="preserve"> </w:t>
      </w:r>
    </w:p>
    <w:sectPr>
      <w:headerReference r:id="rId4" w:type="first"/>
      <w:headerReference r:id="rId3" w:type="default"/>
      <w:footerReference r:id="rId5" w:type="default"/>
      <w:pgSz w:w="11906" w:h="16838"/>
      <w:pgMar w:top="1157" w:right="1080" w:bottom="873" w:left="1080" w:header="624" w:footer="624" w:gutter="34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D069F">
    <w:pPr>
      <w:pStyle w:val="2"/>
      <w:jc w:val="both"/>
      <w:rPr>
        <w:rFonts w:ascii="微软雅黑" w:hAnsi="微软雅黑" w:eastAsia="微软雅黑" w:cs="微软雅黑"/>
        <w:i/>
        <w:iCs/>
        <w:color w:val="0000FF"/>
        <w:kern w:val="0"/>
        <w:u w:val="single"/>
        <w:lang w:val="en-US" w:eastAsia="zh-CN"/>
      </w:rPr>
    </w:pPr>
    <w:r>
      <w:rPr>
        <w:rFonts w:hint="eastAsia" w:ascii="微软雅黑" w:hAnsi="微软雅黑" w:eastAsia="微软雅黑" w:cs="微软雅黑"/>
        <w:i/>
        <w:iCs/>
        <w:color w:val="0000FF"/>
        <w:kern w:val="0"/>
        <w:u w:val="single"/>
        <w:lang w:val="en-US" w:eastAsia="zh-CN"/>
      </w:rPr>
      <w:t xml:space="preserve">                                                                                                         </w:t>
    </w:r>
  </w:p>
  <w:p w14:paraId="5AC58384">
    <w:pPr>
      <w:pStyle w:val="2"/>
      <w:jc w:val="center"/>
      <w:rPr>
        <w:rFonts w:hint="eastAsia"/>
        <w:b/>
        <w:color w:val="0000FF"/>
        <w:lang w:val="en-US" w:eastAsia="zh-CN"/>
      </w:rPr>
    </w:pPr>
    <w:r>
      <w:rPr>
        <w:rFonts w:hint="eastAsia" w:ascii="微软雅黑" w:hAnsi="微软雅黑" w:eastAsia="微软雅黑" w:cs="微软雅黑"/>
        <w:color w:val="0000FF"/>
        <w:kern w:val="0"/>
      </w:rPr>
      <w:t xml:space="preserve">第 </w:t>
    </w:r>
    <w:r>
      <w:rPr>
        <w:rFonts w:hint="eastAsia" w:ascii="微软雅黑" w:hAnsi="微软雅黑" w:eastAsia="微软雅黑" w:cs="微软雅黑"/>
        <w:color w:val="0000FF"/>
        <w:kern w:val="0"/>
      </w:rPr>
      <w:fldChar w:fldCharType="begin"/>
    </w:r>
    <w:r>
      <w:rPr>
        <w:rFonts w:hint="eastAsia" w:ascii="微软雅黑" w:hAnsi="微软雅黑" w:eastAsia="微软雅黑" w:cs="微软雅黑"/>
        <w:color w:val="0000FF"/>
        <w:kern w:val="0"/>
      </w:rPr>
      <w:instrText xml:space="preserve"> PAGE </w:instrText>
    </w:r>
    <w:r>
      <w:rPr>
        <w:rFonts w:hint="eastAsia" w:ascii="微软雅黑" w:hAnsi="微软雅黑" w:eastAsia="微软雅黑" w:cs="微软雅黑"/>
        <w:color w:val="0000FF"/>
        <w:kern w:val="0"/>
      </w:rPr>
      <w:fldChar w:fldCharType="separate"/>
    </w:r>
    <w:r>
      <w:rPr>
        <w:rFonts w:ascii="微软雅黑" w:hAnsi="微软雅黑" w:eastAsia="微软雅黑" w:cs="微软雅黑"/>
        <w:color w:val="0000FF"/>
        <w:kern w:val="0"/>
      </w:rPr>
      <w:t>2</w:t>
    </w:r>
    <w:r>
      <w:rPr>
        <w:rFonts w:hint="eastAsia" w:ascii="微软雅黑" w:hAnsi="微软雅黑" w:eastAsia="微软雅黑" w:cs="微软雅黑"/>
        <w:color w:val="0000FF"/>
        <w:kern w:val="0"/>
      </w:rPr>
      <w:fldChar w:fldCharType="end"/>
    </w:r>
    <w:r>
      <w:rPr>
        <w:rFonts w:hint="eastAsia" w:ascii="微软雅黑" w:hAnsi="微软雅黑" w:eastAsia="微软雅黑" w:cs="微软雅黑"/>
        <w:color w:val="0000FF"/>
        <w:kern w:val="0"/>
      </w:rPr>
      <w:t xml:space="preserve"> 页 共 </w:t>
    </w:r>
    <w:r>
      <w:rPr>
        <w:rFonts w:hint="eastAsia" w:ascii="微软雅黑" w:hAnsi="微软雅黑" w:eastAsia="微软雅黑" w:cs="微软雅黑"/>
        <w:color w:val="0000FF"/>
        <w:kern w:val="0"/>
      </w:rPr>
      <w:fldChar w:fldCharType="begin"/>
    </w:r>
    <w:r>
      <w:rPr>
        <w:rFonts w:hint="eastAsia" w:ascii="微软雅黑" w:hAnsi="微软雅黑" w:eastAsia="微软雅黑" w:cs="微软雅黑"/>
        <w:color w:val="0000FF"/>
        <w:kern w:val="0"/>
      </w:rPr>
      <w:instrText xml:space="preserve"> NUMPAGES </w:instrText>
    </w:r>
    <w:r>
      <w:rPr>
        <w:rFonts w:hint="eastAsia" w:ascii="微软雅黑" w:hAnsi="微软雅黑" w:eastAsia="微软雅黑" w:cs="微软雅黑"/>
        <w:color w:val="0000FF"/>
        <w:kern w:val="0"/>
      </w:rPr>
      <w:fldChar w:fldCharType="separate"/>
    </w:r>
    <w:r>
      <w:rPr>
        <w:rFonts w:ascii="微软雅黑" w:hAnsi="微软雅黑" w:eastAsia="微软雅黑" w:cs="微软雅黑"/>
        <w:color w:val="0000FF"/>
        <w:kern w:val="0"/>
      </w:rPr>
      <w:t>2</w:t>
    </w:r>
    <w:r>
      <w:rPr>
        <w:rFonts w:hint="eastAsia" w:ascii="微软雅黑" w:hAnsi="微软雅黑" w:eastAsia="微软雅黑" w:cs="微软雅黑"/>
        <w:color w:val="0000FF"/>
        <w:kern w:val="0"/>
      </w:rPr>
      <w:fldChar w:fldCharType="end"/>
    </w:r>
    <w:r>
      <w:rPr>
        <w:rFonts w:hint="eastAsia" w:ascii="微软雅黑" w:hAnsi="微软雅黑" w:eastAsia="微软雅黑" w:cs="微软雅黑"/>
        <w:color w:val="0000FF"/>
        <w:kern w:val="0"/>
      </w:rPr>
      <w:t xml:space="preserve"> 页</w:t>
    </w:r>
  </w:p>
  <w:p w14:paraId="00932F48">
    <w:pPr>
      <w:pStyle w:val="2"/>
      <w:jc w:val="center"/>
      <w:rPr>
        <w:i/>
        <w:iCs/>
        <w:color w:val="0000FF"/>
        <w:sz w:val="13"/>
        <w:szCs w:val="13"/>
        <w:lang w:val="en-US"/>
      </w:rPr>
    </w:pPr>
    <w:r>
      <w:rPr>
        <w:rFonts w:hint="eastAsia" w:ascii="微软雅黑" w:hAnsi="微软雅黑" w:eastAsia="微软雅黑" w:cs="微软雅黑"/>
        <w:i/>
        <w:iCs/>
        <w:color w:val="0000FF"/>
        <w:sz w:val="13"/>
        <w:szCs w:val="13"/>
        <w:lang w:val="en-US" w:eastAsia="zh-CN"/>
      </w:rPr>
      <w:t>JOC INTERNATIONAL ENGINEERING CONSULTING CO.,LTD.</w:t>
    </w:r>
  </w:p>
  <w:p w14:paraId="3C954CF1">
    <w:pPr>
      <w:pStyle w:val="2"/>
      <w:rPr>
        <w:i/>
        <w:iCs/>
        <w:sz w:val="15"/>
        <w:szCs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8EE45">
    <w:pPr>
      <w:pStyle w:val="3"/>
      <w:pBdr>
        <w:bottom w:val="none" w:color="auto" w:sz="0" w:space="0"/>
      </w:pBdr>
      <w:ind w:firstLine="120" w:firstLineChars="50"/>
      <w:jc w:val="left"/>
      <w:rPr>
        <w:rFonts w:hint="eastAsia" w:ascii="微软雅黑" w:hAnsi="微软雅黑" w:eastAsia="微软雅黑" w:cs="微软雅黑"/>
        <w:color w:val="0000FF"/>
        <w:spacing w:val="6"/>
      </w:rPr>
    </w:pPr>
    <w:r>
      <w:rPr>
        <w:rFonts w:ascii="宋体" w:hAnsi="宋体" w:cs="宋体"/>
        <w:sz w:val="24"/>
        <w:szCs w:val="24"/>
      </w:rPr>
      <w:drawing>
        <wp:anchor distT="0" distB="0" distL="114300" distR="114300" simplePos="0" relativeHeight="251659264" behindDoc="1" locked="0" layoutInCell="1" allowOverlap="1">
          <wp:simplePos x="0" y="0"/>
          <wp:positionH relativeFrom="column">
            <wp:posOffset>57150</wp:posOffset>
          </wp:positionH>
          <wp:positionV relativeFrom="paragraph">
            <wp:posOffset>18415</wp:posOffset>
          </wp:positionV>
          <wp:extent cx="876935" cy="290195"/>
          <wp:effectExtent l="0" t="0" r="12065" b="1905"/>
          <wp:wrapNone/>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
                  <a:stretch>
                    <a:fillRect/>
                  </a:stretch>
                </pic:blipFill>
                <pic:spPr>
                  <a:xfrm>
                    <a:off x="0" y="0"/>
                    <a:ext cx="876935" cy="290195"/>
                  </a:xfrm>
                  <a:prstGeom prst="rect">
                    <a:avLst/>
                  </a:prstGeom>
                  <a:noFill/>
                  <a:ln>
                    <a:noFill/>
                  </a:ln>
                </pic:spPr>
              </pic:pic>
            </a:graphicData>
          </a:graphic>
        </wp:anchor>
      </w:drawing>
    </w:r>
    <w:r>
      <w:rPr>
        <w:rFonts w:hint="eastAsia" w:ascii="宋体" w:hAnsi="宋体"/>
        <w:b/>
        <w:bCs/>
        <w:sz w:val="28"/>
        <w:szCs w:val="28"/>
      </w:rPr>
      <w:t xml:space="preserve">           </w:t>
    </w:r>
    <w:r>
      <w:rPr>
        <w:rFonts w:hint="eastAsia" w:ascii="微软雅黑" w:hAnsi="微软雅黑" w:eastAsia="微软雅黑" w:cs="微软雅黑"/>
        <w:color w:val="0000FF"/>
        <w:spacing w:val="6"/>
      </w:rPr>
      <w:t>江苏海外集团国际工程咨询有限公司</w:t>
    </w:r>
  </w:p>
  <w:p w14:paraId="3A321573">
    <w:pPr>
      <w:pStyle w:val="3"/>
      <w:pBdr>
        <w:bottom w:val="single" w:color="0000FF" w:sz="4" w:space="0"/>
      </w:pBdr>
      <w:ind w:firstLine="1650" w:firstLineChars="1500"/>
      <w:jc w:val="both"/>
      <w:rPr>
        <w:rFonts w:ascii="微软雅黑" w:hAnsi="微软雅黑" w:eastAsia="微软雅黑" w:cs="微软雅黑"/>
        <w:i/>
        <w:iCs/>
      </w:rPr>
    </w:pPr>
    <w:r>
      <w:rPr>
        <w:rFonts w:hint="eastAsia" w:ascii="微软雅黑" w:hAnsi="微软雅黑" w:eastAsia="微软雅黑" w:cs="微软雅黑"/>
        <w:i/>
        <w:iCs/>
        <w:color w:val="0000FF"/>
        <w:sz w:val="11"/>
        <w:szCs w:val="11"/>
      </w:rPr>
      <w:t>JOC INTERNATIONAL ENGINEERING CONSULTING CO.,LTD.</w:t>
    </w:r>
    <w:r>
      <w:rPr>
        <w:rFonts w:hint="eastAsia" w:ascii="微软雅黑" w:hAnsi="微软雅黑" w:eastAsia="微软雅黑" w:cs="微软雅黑"/>
        <w:i/>
        <w:iCs/>
        <w:color w:val="0000FF"/>
      </w:rPr>
      <w:t xml:space="preserve">    </w:t>
    </w:r>
    <w:r>
      <w:rPr>
        <w:rFonts w:hint="eastAsia" w:ascii="微软雅黑" w:hAnsi="微软雅黑" w:eastAsia="微软雅黑" w:cs="微软雅黑"/>
        <w:i/>
        <w:i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86977">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9B5C52"/>
    <w:rsid w:val="134B1430"/>
    <w:rsid w:val="2DCD5FDC"/>
    <w:rsid w:val="39630919"/>
    <w:rsid w:val="3AB86BC6"/>
    <w:rsid w:val="3C403C34"/>
    <w:rsid w:val="41765C37"/>
    <w:rsid w:val="43513D03"/>
    <w:rsid w:val="46464B9E"/>
    <w:rsid w:val="47B756A6"/>
    <w:rsid w:val="4A1D1CE5"/>
    <w:rsid w:val="65A47C2B"/>
    <w:rsid w:val="6B945E65"/>
    <w:rsid w:val="719B5C52"/>
    <w:rsid w:val="785C52A9"/>
    <w:rsid w:val="7BB82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1218</Words>
  <Characters>1270</Characters>
  <Lines>0</Lines>
  <Paragraphs>0</Paragraphs>
  <TotalTime>0</TotalTime>
  <ScaleCrop>false</ScaleCrop>
  <LinksUpToDate>false</LinksUpToDate>
  <CharactersWithSpaces>1280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2025-02-08T02:30:00Z</dcterms:created>
  <dc:creator>凡云</dc:creator>
  <cp:lastModifiedBy>陆朝</cp:lastModifiedBy>
  <dcterms:modified xsi:type="dcterms:W3CDTF">2025-06-23T02:46:04Z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8D00853D1DB64E0C89AC5C8881456710_13</vt:lpwstr>
  </property>
  <property fmtid="{D5CDD505-2E9C-101B-9397-08002B2CF9AE}" pid="4" name="KSOTemplateDocerSaveRecord">
    <vt:lpwstr>eyJoZGlkIjoiNDY4YTg3MGVhYjBiMDk5NDZiNjJlNjM0N2M5NWIyZTMiLCJ1c2VySWQiOiIxMTQ1MDQ3NzEyIn0=</vt:lpwstr>
  </property>
</Properties>
</file>