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106A1">
      <w:pPr>
        <w:pStyle w:val="8"/>
        <w:spacing w:before="120" w:beforeAutospacing="0" w:after="120" w:afterAutospacing="0" w:line="360" w:lineRule="auto"/>
        <w:rPr>
          <w:color w:val="000000" w:themeColor="text1"/>
          <w14:textFill>
            <w14:solidFill>
              <w14:schemeClr w14:val="tx1"/>
            </w14:solidFill>
          </w14:textFill>
        </w:rPr>
      </w:pPr>
      <w:bookmarkStart w:id="212" w:name="_GoBack"/>
      <w:bookmarkEnd w:id="212"/>
      <w:r>
        <w:rPr>
          <w:color w:val="000000" w:themeColor="text1"/>
          <w14:textFill>
            <w14:solidFill>
              <w14:schemeClr w14:val="tx1"/>
            </w14:solidFill>
          </w14:textFill>
        </w:rPr>
        <w:t> </w:t>
      </w:r>
    </w:p>
    <w:p w14:paraId="52488821">
      <w:pPr>
        <w:pStyle w:val="8"/>
        <w:spacing w:before="120" w:beforeAutospacing="0" w:after="120" w:afterAutospacing="0" w:line="360" w:lineRule="auto"/>
        <w:rPr>
          <w:color w:val="000000" w:themeColor="text1"/>
          <w14:textFill>
            <w14:solidFill>
              <w14:schemeClr w14:val="tx1"/>
            </w14:solidFill>
          </w14:textFill>
        </w:rPr>
      </w:pPr>
    </w:p>
    <w:p w14:paraId="7079B241">
      <w:pPr>
        <w:pStyle w:val="8"/>
        <w:spacing w:before="120" w:beforeAutospacing="0" w:after="120" w:afterAutospacing="0" w:line="360" w:lineRule="auto"/>
        <w:rPr>
          <w:color w:val="000000" w:themeColor="text1"/>
          <w14:textFill>
            <w14:solidFill>
              <w14:schemeClr w14:val="tx1"/>
            </w14:solidFill>
          </w14:textFill>
        </w:rPr>
      </w:pPr>
    </w:p>
    <w:p w14:paraId="7A224571">
      <w:pPr>
        <w:pStyle w:val="8"/>
        <w:spacing w:before="120" w:beforeAutospacing="0" w:after="120" w:afterAutospacing="0" w:line="360" w:lineRule="auto"/>
        <w:rPr>
          <w:color w:val="000000" w:themeColor="text1"/>
          <w14:textFill>
            <w14:solidFill>
              <w14:schemeClr w14:val="tx1"/>
            </w14:solidFill>
          </w14:textFill>
        </w:rPr>
      </w:pPr>
    </w:p>
    <w:p w14:paraId="6E67B333">
      <w:pPr>
        <w:pStyle w:val="8"/>
        <w:spacing w:before="120" w:beforeAutospacing="0" w:after="120" w:afterAutospacing="0" w:line="360" w:lineRule="auto"/>
        <w:rPr>
          <w:color w:val="000000" w:themeColor="text1"/>
          <w14:textFill>
            <w14:solidFill>
              <w14:schemeClr w14:val="tx1"/>
            </w14:solidFill>
          </w14:textFill>
        </w:rPr>
      </w:pPr>
    </w:p>
    <w:p w14:paraId="04020E28">
      <w:pPr>
        <w:pStyle w:val="8"/>
        <w:spacing w:before="120" w:beforeAutospacing="0" w:after="120" w:afterAutospacing="0" w:line="360" w:lineRule="auto"/>
        <w:jc w:val="center"/>
        <w:rPr>
          <w:color w:val="000000" w:themeColor="text1"/>
          <w14:textFill>
            <w14:solidFill>
              <w14:schemeClr w14:val="tx1"/>
            </w14:solidFill>
          </w14:textFill>
        </w:rPr>
      </w:pPr>
      <w:r>
        <w:rPr>
          <w:rFonts w:ascii="Arial" w:hAnsi="Arial" w:cs="Arial"/>
          <w:b/>
          <w:color w:val="000000" w:themeColor="text1"/>
          <w:sz w:val="84"/>
          <w:szCs w:val="84"/>
          <w14:textFill>
            <w14:solidFill>
              <w14:schemeClr w14:val="tx1"/>
            </w14:solidFill>
          </w14:textFill>
        </w:rPr>
        <w:t>招 标 文 件</w:t>
      </w:r>
    </w:p>
    <w:p w14:paraId="12947861">
      <w:pPr>
        <w:pStyle w:val="8"/>
        <w:spacing w:before="120" w:beforeAutospacing="0" w:after="120" w:afterAutospacing="0" w:line="360" w:lineRule="auto"/>
        <w:ind w:firstLine="2249"/>
        <w:rPr>
          <w:rFonts w:ascii="Arial" w:hAnsi="Arial" w:cs="Arial"/>
          <w:b/>
          <w:color w:val="000000" w:themeColor="text1"/>
          <w:sz w:val="32"/>
          <w:szCs w:val="32"/>
          <w14:textFill>
            <w14:solidFill>
              <w14:schemeClr w14:val="tx1"/>
            </w14:solidFill>
          </w14:textFill>
        </w:rPr>
      </w:pPr>
    </w:p>
    <w:p w14:paraId="6751327F">
      <w:pPr>
        <w:pStyle w:val="8"/>
        <w:tabs>
          <w:tab w:val="left" w:pos="3805"/>
        </w:tabs>
        <w:spacing w:before="120" w:beforeAutospacing="0" w:after="120" w:afterAutospacing="0" w:line="360" w:lineRule="auto"/>
        <w:ind w:firstLine="2249"/>
        <w:rPr>
          <w:rFonts w:hint="eastAsia" w:ascii="Arial" w:hAnsi="Arial" w:cs="Arial" w:eastAsiaTheme="minorEastAsia"/>
          <w:b/>
          <w:color w:val="000000" w:themeColor="text1"/>
          <w:sz w:val="32"/>
          <w:szCs w:val="32"/>
          <w:lang w:eastAsia="zh-CN"/>
          <w14:textFill>
            <w14:solidFill>
              <w14:schemeClr w14:val="tx1"/>
            </w14:solidFill>
          </w14:textFill>
        </w:rPr>
      </w:pPr>
      <w:r>
        <w:rPr>
          <w:rFonts w:hint="eastAsia" w:ascii="Arial" w:hAnsi="Arial" w:cs="Arial"/>
          <w:b/>
          <w:color w:val="000000" w:themeColor="text1"/>
          <w:sz w:val="32"/>
          <w:szCs w:val="32"/>
          <w:lang w:eastAsia="zh-CN"/>
          <w14:textFill>
            <w14:solidFill>
              <w14:schemeClr w14:val="tx1"/>
            </w14:solidFill>
          </w14:textFill>
        </w:rPr>
        <w:tab/>
      </w:r>
    </w:p>
    <w:p w14:paraId="28CBDB2E">
      <w:pPr>
        <w:pStyle w:val="8"/>
        <w:spacing w:before="120" w:beforeAutospacing="0" w:after="120" w:afterAutospacing="0" w:line="360" w:lineRule="auto"/>
        <w:ind w:firstLine="2249"/>
        <w:rPr>
          <w:rFonts w:ascii="Arial" w:hAnsi="Arial" w:cs="Arial"/>
          <w:b/>
          <w:color w:val="000000" w:themeColor="text1"/>
          <w:sz w:val="32"/>
          <w:szCs w:val="32"/>
          <w14:textFill>
            <w14:solidFill>
              <w14:schemeClr w14:val="tx1"/>
            </w14:solidFill>
          </w14:textFill>
        </w:rPr>
      </w:pPr>
    </w:p>
    <w:p w14:paraId="2A3EAE1D">
      <w:pPr>
        <w:pStyle w:val="8"/>
        <w:spacing w:before="120" w:beforeAutospacing="0" w:after="120" w:afterAutospacing="0" w:line="360" w:lineRule="auto"/>
        <w:ind w:firstLine="2249"/>
        <w:rPr>
          <w:rFonts w:ascii="Arial" w:hAnsi="Arial" w:cs="Arial"/>
          <w:b/>
          <w:color w:val="000000" w:themeColor="text1"/>
          <w:sz w:val="32"/>
          <w:szCs w:val="32"/>
          <w14:textFill>
            <w14:solidFill>
              <w14:schemeClr w14:val="tx1"/>
            </w14:solidFill>
          </w14:textFill>
        </w:rPr>
      </w:pPr>
    </w:p>
    <w:p w14:paraId="019975AD">
      <w:pPr>
        <w:pStyle w:val="8"/>
        <w:spacing w:before="120" w:beforeAutospacing="0" w:after="120" w:afterAutospacing="0" w:line="360" w:lineRule="auto"/>
        <w:ind w:firstLine="643" w:firstLineChars="200"/>
        <w:rPr>
          <w:color w:val="000000" w:themeColor="text1"/>
          <w14:textFill>
            <w14:solidFill>
              <w14:schemeClr w14:val="tx1"/>
            </w14:solidFill>
          </w14:textFill>
        </w:rPr>
      </w:pPr>
      <w:r>
        <w:rPr>
          <w:rFonts w:ascii="Arial" w:hAnsi="Arial" w:cs="Arial"/>
          <w:b/>
          <w:color w:val="000000" w:themeColor="text1"/>
          <w:sz w:val="32"/>
          <w:szCs w:val="32"/>
          <w14:textFill>
            <w14:solidFill>
              <w14:schemeClr w14:val="tx1"/>
            </w14:solidFill>
          </w14:textFill>
        </w:rPr>
        <w:t>项目名称：</w:t>
      </w:r>
      <w:r>
        <w:rPr>
          <w:rFonts w:hint="eastAsia" w:ascii="Arial" w:hAnsi="Arial" w:cs="Arial"/>
          <w:b/>
          <w:color w:val="000000" w:themeColor="text1"/>
          <w:sz w:val="32"/>
          <w:szCs w:val="32"/>
          <w:lang w:val="en-US" w:eastAsia="zh-CN"/>
          <w14:textFill>
            <w14:solidFill>
              <w14:schemeClr w14:val="tx1"/>
            </w14:solidFill>
          </w14:textFill>
        </w:rPr>
        <w:t>射阳县高级中学物业服务项目</w:t>
      </w:r>
    </w:p>
    <w:p w14:paraId="2516F52B">
      <w:pPr>
        <w:pStyle w:val="8"/>
        <w:spacing w:beforeAutospacing="0" w:afterAutospacing="0"/>
        <w:ind w:firstLine="643" w:firstLineChars="200"/>
        <w:jc w:val="both"/>
        <w:rPr>
          <w:rFonts w:hint="default" w:ascii="Arial" w:hAnsi="Arial" w:cs="Arial"/>
          <w:b/>
          <w:color w:val="000000" w:themeColor="text1"/>
          <w:sz w:val="32"/>
          <w:szCs w:val="32"/>
          <w:lang w:val="en-US" w:eastAsia="zh-CN"/>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项目编号：</w:t>
      </w:r>
      <w:r>
        <w:rPr>
          <w:rFonts w:hint="eastAsia" w:ascii="Arial" w:hAnsi="Arial" w:cs="Arial"/>
          <w:b/>
          <w:color w:val="000000" w:themeColor="text1"/>
          <w:sz w:val="32"/>
          <w:szCs w:val="32"/>
          <w:lang w:val="en-US" w:eastAsia="zh-CN"/>
          <w14:textFill>
            <w14:solidFill>
              <w14:schemeClr w14:val="tx1"/>
            </w14:solidFill>
          </w14:textFill>
        </w:rPr>
        <w:t>JSZC-320924-JZCG-G2025-0012</w:t>
      </w:r>
    </w:p>
    <w:p w14:paraId="41CC7D11">
      <w:pPr>
        <w:pStyle w:val="8"/>
        <w:spacing w:beforeAutospacing="0" w:afterAutospacing="0" w:line="360" w:lineRule="auto"/>
        <w:rPr>
          <w:color w:val="000000" w:themeColor="text1"/>
          <w14:textFill>
            <w14:solidFill>
              <w14:schemeClr w14:val="tx1"/>
            </w14:solidFill>
          </w14:textFill>
        </w:rPr>
      </w:pPr>
      <w:r>
        <w:rPr>
          <w:color w:val="000000" w:themeColor="text1"/>
          <w14:textFill>
            <w14:solidFill>
              <w14:schemeClr w14:val="tx1"/>
            </w14:solidFill>
          </w14:textFill>
        </w:rPr>
        <w:t> </w:t>
      </w:r>
    </w:p>
    <w:p w14:paraId="190582C7">
      <w:pPr>
        <w:pStyle w:val="8"/>
        <w:spacing w:beforeAutospacing="0" w:afterAutospacing="0" w:line="360" w:lineRule="auto"/>
        <w:rPr>
          <w:color w:val="000000" w:themeColor="text1"/>
          <w14:textFill>
            <w14:solidFill>
              <w14:schemeClr w14:val="tx1"/>
            </w14:solidFill>
          </w14:textFill>
        </w:rPr>
      </w:pPr>
      <w:r>
        <w:rPr>
          <w:color w:val="000000" w:themeColor="text1"/>
          <w14:textFill>
            <w14:solidFill>
              <w14:schemeClr w14:val="tx1"/>
            </w14:solidFill>
          </w14:textFill>
        </w:rPr>
        <w:t> </w:t>
      </w:r>
    </w:p>
    <w:p w14:paraId="161C2589">
      <w:pPr>
        <w:pStyle w:val="8"/>
        <w:spacing w:beforeAutospacing="0" w:afterAutospacing="0" w:line="360" w:lineRule="auto"/>
        <w:rPr>
          <w:color w:val="000000" w:themeColor="text1"/>
          <w14:textFill>
            <w14:solidFill>
              <w14:schemeClr w14:val="tx1"/>
            </w14:solidFill>
          </w14:textFill>
        </w:rPr>
      </w:pPr>
      <w:r>
        <w:rPr>
          <w:color w:val="000000" w:themeColor="text1"/>
          <w14:textFill>
            <w14:solidFill>
              <w14:schemeClr w14:val="tx1"/>
            </w14:solidFill>
          </w14:textFill>
        </w:rPr>
        <w:t> </w:t>
      </w:r>
    </w:p>
    <w:p w14:paraId="54E9DA74">
      <w:pPr>
        <w:pStyle w:val="8"/>
        <w:spacing w:beforeAutospacing="0" w:afterAutospacing="0" w:line="360" w:lineRule="auto"/>
        <w:rPr>
          <w:color w:val="000000" w:themeColor="text1"/>
          <w14:textFill>
            <w14:solidFill>
              <w14:schemeClr w14:val="tx1"/>
            </w14:solidFill>
          </w14:textFill>
        </w:rPr>
      </w:pPr>
      <w:r>
        <w:rPr>
          <w:color w:val="000000" w:themeColor="text1"/>
          <w14:textFill>
            <w14:solidFill>
              <w14:schemeClr w14:val="tx1"/>
            </w14:solidFill>
          </w14:textFill>
        </w:rPr>
        <w:t> </w:t>
      </w:r>
    </w:p>
    <w:p w14:paraId="33838198">
      <w:pPr>
        <w:pStyle w:val="8"/>
        <w:spacing w:beforeAutospacing="0" w:afterAutospacing="0" w:line="360" w:lineRule="auto"/>
        <w:rPr>
          <w:color w:val="000000" w:themeColor="text1"/>
          <w14:textFill>
            <w14:solidFill>
              <w14:schemeClr w14:val="tx1"/>
            </w14:solidFill>
          </w14:textFill>
        </w:rPr>
      </w:pPr>
      <w:r>
        <w:rPr>
          <w:color w:val="000000" w:themeColor="text1"/>
          <w14:textFill>
            <w14:solidFill>
              <w14:schemeClr w14:val="tx1"/>
            </w14:solidFill>
          </w14:textFill>
        </w:rPr>
        <w:t> </w:t>
      </w:r>
    </w:p>
    <w:p w14:paraId="4DE74D72">
      <w:pPr>
        <w:pStyle w:val="8"/>
        <w:spacing w:before="120" w:beforeAutospacing="0" w:after="120" w:afterAutospacing="0" w:line="360" w:lineRule="auto"/>
        <w:jc w:val="center"/>
        <w:rPr>
          <w:rFonts w:hint="eastAsia" w:ascii="Arial" w:hAnsi="Arial" w:cs="Arial" w:eastAsiaTheme="minorEastAsia"/>
          <w:b/>
          <w:color w:val="000000" w:themeColor="text1"/>
          <w:sz w:val="32"/>
          <w:szCs w:val="32"/>
          <w:lang w:eastAsia="zh-CN"/>
          <w14:textFill>
            <w14:solidFill>
              <w14:schemeClr w14:val="tx1"/>
            </w14:solidFill>
          </w14:textFill>
        </w:rPr>
      </w:pPr>
      <w:r>
        <w:rPr>
          <w:rFonts w:hint="eastAsia" w:ascii="Arial" w:hAnsi="Arial" w:cs="Arial"/>
          <w:b/>
          <w:color w:val="000000" w:themeColor="text1"/>
          <w:sz w:val="32"/>
          <w:szCs w:val="32"/>
          <w14:textFill>
            <w14:solidFill>
              <w14:schemeClr w14:val="tx1"/>
            </w14:solidFill>
          </w14:textFill>
        </w:rPr>
        <w:t>采购单位</w:t>
      </w:r>
      <w:r>
        <w:rPr>
          <w:rFonts w:hint="eastAsia" w:ascii="Arial" w:hAnsi="Arial" w:cs="Arial"/>
          <w:b/>
          <w:color w:val="000000" w:themeColor="text1"/>
          <w:sz w:val="32"/>
          <w:szCs w:val="32"/>
          <w:lang w:eastAsia="zh-CN"/>
          <w14:textFill>
            <w14:solidFill>
              <w14:schemeClr w14:val="tx1"/>
            </w14:solidFill>
          </w14:textFill>
        </w:rPr>
        <w:t>：</w:t>
      </w:r>
      <w:r>
        <w:rPr>
          <w:rFonts w:hint="eastAsia" w:ascii="Arial" w:hAnsi="Arial" w:cs="Arial"/>
          <w:b/>
          <w:color w:val="000000" w:themeColor="text1"/>
          <w:sz w:val="32"/>
          <w:szCs w:val="32"/>
          <w:lang w:val="en-US" w:eastAsia="zh-CN"/>
          <w14:textFill>
            <w14:solidFill>
              <w14:schemeClr w14:val="tx1"/>
            </w14:solidFill>
          </w14:textFill>
        </w:rPr>
        <w:t>射阳县高级中学</w:t>
      </w:r>
    </w:p>
    <w:p w14:paraId="77D1497C">
      <w:pPr>
        <w:pStyle w:val="8"/>
        <w:spacing w:before="120" w:beforeAutospacing="0" w:after="120" w:afterAutospacing="0" w:line="360" w:lineRule="auto"/>
        <w:jc w:val="center"/>
        <w:rPr>
          <w:color w:val="000000" w:themeColor="text1"/>
          <w14:textFill>
            <w14:solidFill>
              <w14:schemeClr w14:val="tx1"/>
            </w14:solidFill>
          </w14:textFill>
        </w:rPr>
      </w:pPr>
      <w:r>
        <w:rPr>
          <w:rFonts w:hint="eastAsia" w:ascii="Arial" w:hAnsi="Arial" w:cs="Arial"/>
          <w:b/>
          <w:color w:val="000000" w:themeColor="text1"/>
          <w:sz w:val="32"/>
          <w:szCs w:val="32"/>
          <w:lang w:val="en-US" w:eastAsia="zh-CN"/>
          <w14:textFill>
            <w14:solidFill>
              <w14:schemeClr w14:val="tx1"/>
            </w14:solidFill>
          </w14:textFill>
        </w:rPr>
        <w:t>2025</w:t>
      </w:r>
      <w:r>
        <w:rPr>
          <w:rFonts w:ascii="Arial" w:hAnsi="Arial" w:cs="Arial"/>
          <w:b/>
          <w:color w:val="000000" w:themeColor="text1"/>
          <w:sz w:val="32"/>
          <w:szCs w:val="32"/>
          <w14:textFill>
            <w14:solidFill>
              <w14:schemeClr w14:val="tx1"/>
            </w14:solidFill>
          </w14:textFill>
        </w:rPr>
        <w:t>年</w:t>
      </w:r>
      <w:r>
        <w:rPr>
          <w:rFonts w:hint="eastAsia" w:ascii="Arial" w:hAnsi="Arial" w:cs="Arial"/>
          <w:b/>
          <w:color w:val="000000" w:themeColor="text1"/>
          <w:sz w:val="32"/>
          <w:szCs w:val="32"/>
          <w:lang w:val="en-US" w:eastAsia="zh-CN"/>
          <w14:textFill>
            <w14:solidFill>
              <w14:schemeClr w14:val="tx1"/>
            </w14:solidFill>
          </w14:textFill>
        </w:rPr>
        <w:t>07</w:t>
      </w:r>
      <w:r>
        <w:rPr>
          <w:rFonts w:ascii="Arial" w:hAnsi="Arial" w:cs="Arial"/>
          <w:b/>
          <w:color w:val="000000" w:themeColor="text1"/>
          <w:sz w:val="32"/>
          <w:szCs w:val="32"/>
          <w14:textFill>
            <w14:solidFill>
              <w14:schemeClr w14:val="tx1"/>
            </w14:solidFill>
          </w14:textFill>
        </w:rPr>
        <w:t>月</w:t>
      </w:r>
    </w:p>
    <w:p w14:paraId="589A0DAC">
      <w:pPr>
        <w:pStyle w:val="8"/>
        <w:spacing w:before="120" w:beforeAutospacing="0" w:after="120" w:afterAutospacing="0" w:line="360" w:lineRule="auto"/>
        <w:rPr>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w:t>
      </w:r>
    </w:p>
    <w:p w14:paraId="5218FA67">
      <w:pPr>
        <w:pStyle w:val="8"/>
        <w:spacing w:before="120" w:beforeAutospacing="0" w:after="120" w:afterAutospacing="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56801E51">
      <w:pPr>
        <w:pStyle w:val="8"/>
        <w:spacing w:beforeAutospacing="0" w:afterAutospacing="0" w:line="480" w:lineRule="auto"/>
        <w:jc w:val="center"/>
        <w:rPr>
          <w:color w:val="000000" w:themeColor="text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br w:type="page"/>
      </w:r>
      <w:r>
        <w:rPr>
          <w:rFonts w:ascii="Times New Roman" w:hAnsi="Times New Roman"/>
          <w:color w:val="000000" w:themeColor="text1"/>
          <w:sz w:val="21"/>
          <w:szCs w:val="21"/>
          <w14:textFill>
            <w14:solidFill>
              <w14:schemeClr w14:val="tx1"/>
            </w14:solidFill>
          </w14:textFill>
        </w:rPr>
        <w:t> </w:t>
      </w:r>
      <w:bookmarkStart w:id="0" w:name="_Toc513029200"/>
      <w:bookmarkStart w:id="1" w:name="_Toc479757206"/>
      <w:bookmarkStart w:id="2" w:name="_Toc120614210"/>
      <w:bookmarkStart w:id="3" w:name="_Toc20823272"/>
      <w:bookmarkStart w:id="4" w:name="_Toc523127445"/>
      <w:bookmarkStart w:id="5" w:name="_Toc16938516"/>
      <w:r>
        <w:rPr>
          <w:rFonts w:ascii="Times New Roman" w:hAnsi="Times New Roman"/>
          <w:color w:val="000000" w:themeColor="text1"/>
          <w:sz w:val="21"/>
          <w:szCs w:val="21"/>
          <w14:textFill>
            <w14:solidFill>
              <w14:schemeClr w14:val="tx1"/>
            </w14:solidFill>
          </w14:textFill>
        </w:rPr>
        <w:t> </w:t>
      </w:r>
      <w:r>
        <w:rPr>
          <w:rFonts w:ascii="黑体" w:hAnsi="宋体" w:eastAsia="黑体" w:cs="黑体"/>
          <w:b/>
          <w:color w:val="000000" w:themeColor="text1"/>
          <w:sz w:val="44"/>
          <w:szCs w:val="44"/>
          <w14:textFill>
            <w14:solidFill>
              <w14:schemeClr w14:val="tx1"/>
            </w14:solidFill>
          </w14:textFill>
        </w:rPr>
        <w:t>总  目  录</w:t>
      </w:r>
      <w:bookmarkEnd w:id="0"/>
      <w:bookmarkEnd w:id="1"/>
      <w:bookmarkEnd w:id="2"/>
      <w:bookmarkEnd w:id="3"/>
      <w:bookmarkEnd w:id="4"/>
      <w:bookmarkEnd w:id="5"/>
    </w:p>
    <w:p w14:paraId="52FC5059">
      <w:pPr>
        <w:pStyle w:val="8"/>
        <w:spacing w:beforeAutospacing="0" w:afterAutospacing="0"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6E70A55A">
      <w:pPr>
        <w:pStyle w:val="8"/>
        <w:tabs>
          <w:tab w:val="left" w:pos="1441"/>
        </w:tabs>
        <w:spacing w:beforeAutospacing="0" w:afterAutospacing="0" w:line="480" w:lineRule="auto"/>
        <w:jc w:val="both"/>
        <w:rPr>
          <w:rFonts w:hint="eastAsia" w:eastAsia="黑体"/>
          <w:color w:val="000000" w:themeColor="text1"/>
          <w:lang w:val="en-US" w:eastAsia="zh-CN"/>
          <w14:textFill>
            <w14:solidFill>
              <w14:schemeClr w14:val="tx1"/>
            </w14:solidFill>
          </w14:textFill>
        </w:rPr>
      </w:pPr>
      <w:r>
        <w:rPr>
          <w:rFonts w:hint="eastAsia" w:ascii="黑体" w:hAnsi="宋体" w:eastAsia="黑体" w:cs="黑体"/>
          <w:color w:val="000000" w:themeColor="text1"/>
          <w:sz w:val="36"/>
          <w:szCs w:val="36"/>
          <w:lang w:val="en-US" w:eastAsia="zh-CN"/>
          <w14:textFill>
            <w14:solidFill>
              <w14:schemeClr w14:val="tx1"/>
            </w14:solidFill>
          </w14:textFill>
        </w:rPr>
        <w:t>第一章  招标公告</w:t>
      </w:r>
      <w:r>
        <w:rPr>
          <w:rFonts w:hint="eastAsia" w:ascii="黑体" w:hAnsi="宋体" w:eastAsia="黑体" w:cs="黑体"/>
          <w:color w:val="000000" w:themeColor="text1"/>
          <w:sz w:val="36"/>
          <w:szCs w:val="36"/>
          <w14:textFill>
            <w14:solidFill>
              <w14:schemeClr w14:val="tx1"/>
            </w14:solidFill>
          </w14:textFill>
        </w:rPr>
        <w:t xml:space="preserve">…………………………………… </w:t>
      </w:r>
      <w:r>
        <w:rPr>
          <w:rFonts w:hint="eastAsia" w:ascii="黑体" w:hAnsi="宋体" w:eastAsia="黑体" w:cs="黑体"/>
          <w:color w:val="000000" w:themeColor="text1"/>
          <w:sz w:val="36"/>
          <w:szCs w:val="36"/>
          <w:lang w:val="en-US" w:eastAsia="zh-CN"/>
          <w14:textFill>
            <w14:solidFill>
              <w14:schemeClr w14:val="tx1"/>
            </w14:solidFill>
          </w14:textFill>
        </w:rPr>
        <w:t>1</w:t>
      </w:r>
    </w:p>
    <w:p w14:paraId="30CA8F86">
      <w:pPr>
        <w:pStyle w:val="8"/>
        <w:tabs>
          <w:tab w:val="left" w:pos="1441"/>
        </w:tabs>
        <w:spacing w:beforeAutospacing="0" w:afterAutospacing="0" w:line="480" w:lineRule="auto"/>
        <w:jc w:val="both"/>
        <w:rPr>
          <w:color w:val="000000" w:themeColor="text1"/>
          <w14:textFill>
            <w14:solidFill>
              <w14:schemeClr w14:val="tx1"/>
            </w14:solidFill>
          </w14:textFill>
        </w:rPr>
      </w:pPr>
      <w:r>
        <w:rPr>
          <w:rFonts w:hint="eastAsia" w:ascii="黑体" w:hAnsi="宋体" w:eastAsia="黑体" w:cs="黑体"/>
          <w:color w:val="000000" w:themeColor="text1"/>
          <w:sz w:val="36"/>
          <w:szCs w:val="36"/>
          <w:lang w:val="en-US" w:eastAsia="zh-CN"/>
          <w14:textFill>
            <w14:solidFill>
              <w14:schemeClr w14:val="tx1"/>
            </w14:solidFill>
          </w14:textFill>
        </w:rPr>
        <w:t xml:space="preserve">第二章  </w:t>
      </w:r>
      <w:r>
        <w:rPr>
          <w:rFonts w:hint="eastAsia" w:ascii="黑体" w:hAnsi="宋体" w:eastAsia="黑体" w:cs="黑体"/>
          <w:color w:val="000000" w:themeColor="text1"/>
          <w:sz w:val="36"/>
          <w:szCs w:val="36"/>
          <w14:textFill>
            <w14:solidFill>
              <w14:schemeClr w14:val="tx1"/>
            </w14:solidFill>
          </w14:textFill>
        </w:rPr>
        <w:t>投标人须知…………………………………</w:t>
      </w:r>
      <w:r>
        <w:rPr>
          <w:rFonts w:hint="eastAsia" w:ascii="黑体" w:hAnsi="宋体" w:eastAsia="黑体" w:cs="黑体"/>
          <w:color w:val="000000" w:themeColor="text1"/>
          <w:sz w:val="36"/>
          <w:szCs w:val="36"/>
          <w:lang w:val="en-US" w:eastAsia="zh-CN"/>
          <w14:textFill>
            <w14:solidFill>
              <w14:schemeClr w14:val="tx1"/>
            </w14:solidFill>
          </w14:textFill>
        </w:rPr>
        <w:t xml:space="preserve"> 5</w:t>
      </w:r>
      <w:r>
        <w:rPr>
          <w:rFonts w:hint="eastAsia" w:ascii="黑体" w:hAnsi="宋体" w:eastAsia="黑体" w:cs="黑体"/>
          <w:color w:val="000000" w:themeColor="text1"/>
          <w:sz w:val="36"/>
          <w:szCs w:val="36"/>
          <w14:textFill>
            <w14:solidFill>
              <w14:schemeClr w14:val="tx1"/>
            </w14:solidFill>
          </w14:textFill>
        </w:rPr>
        <w:t xml:space="preserve"> </w:t>
      </w:r>
    </w:p>
    <w:p w14:paraId="798ADEA6">
      <w:pPr>
        <w:pStyle w:val="8"/>
        <w:tabs>
          <w:tab w:val="left" w:pos="1441"/>
        </w:tabs>
        <w:spacing w:beforeAutospacing="0" w:afterAutospacing="0" w:line="480" w:lineRule="auto"/>
        <w:jc w:val="both"/>
        <w:rPr>
          <w:rFonts w:hint="default" w:eastAsia="黑体"/>
          <w:color w:val="000000" w:themeColor="text1"/>
          <w:lang w:val="en-US" w:eastAsia="zh-CN"/>
          <w14:textFill>
            <w14:solidFill>
              <w14:schemeClr w14:val="tx1"/>
            </w14:solidFill>
          </w14:textFill>
        </w:rPr>
      </w:pPr>
      <w:r>
        <w:rPr>
          <w:rFonts w:hint="eastAsia" w:ascii="黑体" w:hAnsi="宋体" w:eastAsia="黑体" w:cs="黑体"/>
          <w:color w:val="000000" w:themeColor="text1"/>
          <w:sz w:val="36"/>
          <w:szCs w:val="36"/>
          <w:lang w:val="en-US" w:eastAsia="zh-CN"/>
          <w14:textFill>
            <w14:solidFill>
              <w14:schemeClr w14:val="tx1"/>
            </w14:solidFill>
          </w14:textFill>
        </w:rPr>
        <w:t xml:space="preserve">第三章  </w:t>
      </w:r>
      <w:r>
        <w:rPr>
          <w:rFonts w:hint="eastAsia" w:ascii="黑体" w:hAnsi="宋体" w:eastAsia="黑体" w:cs="黑体"/>
          <w:color w:val="000000" w:themeColor="text1"/>
          <w:sz w:val="36"/>
          <w:szCs w:val="36"/>
          <w14:textFill>
            <w14:solidFill>
              <w14:schemeClr w14:val="tx1"/>
            </w14:solidFill>
          </w14:textFill>
        </w:rPr>
        <w:t>合同文本……………………………………</w:t>
      </w:r>
      <w:r>
        <w:rPr>
          <w:rFonts w:hint="eastAsia" w:ascii="黑体" w:hAnsi="宋体" w:eastAsia="黑体" w:cs="黑体"/>
          <w:color w:val="000000" w:themeColor="text1"/>
          <w:sz w:val="36"/>
          <w:szCs w:val="36"/>
          <w:lang w:val="en-US" w:eastAsia="zh-CN"/>
          <w14:textFill>
            <w14:solidFill>
              <w14:schemeClr w14:val="tx1"/>
            </w14:solidFill>
          </w14:textFill>
        </w:rPr>
        <w:t>20</w:t>
      </w:r>
    </w:p>
    <w:p w14:paraId="0352DE96">
      <w:pPr>
        <w:pStyle w:val="8"/>
        <w:tabs>
          <w:tab w:val="left" w:pos="1441"/>
        </w:tabs>
        <w:spacing w:beforeAutospacing="0" w:afterAutospacing="0" w:line="480" w:lineRule="auto"/>
        <w:jc w:val="both"/>
        <w:rPr>
          <w:rFonts w:hint="default" w:eastAsia="黑体"/>
          <w:color w:val="000000" w:themeColor="text1"/>
          <w:lang w:val="en-US" w:eastAsia="zh-CN"/>
          <w14:textFill>
            <w14:solidFill>
              <w14:schemeClr w14:val="tx1"/>
            </w14:solidFill>
          </w14:textFill>
        </w:rPr>
      </w:pPr>
      <w:r>
        <w:rPr>
          <w:rFonts w:hint="eastAsia" w:ascii="黑体" w:hAnsi="宋体" w:eastAsia="黑体" w:cs="黑体"/>
          <w:color w:val="000000" w:themeColor="text1"/>
          <w:sz w:val="36"/>
          <w:szCs w:val="36"/>
          <w:lang w:val="en-US" w:eastAsia="zh-CN"/>
          <w14:textFill>
            <w14:solidFill>
              <w14:schemeClr w14:val="tx1"/>
            </w14:solidFill>
          </w14:textFill>
        </w:rPr>
        <w:t xml:space="preserve">第四章  </w:t>
      </w:r>
      <w:r>
        <w:rPr>
          <w:rFonts w:hint="eastAsia" w:ascii="黑体" w:hAnsi="宋体" w:eastAsia="黑体" w:cs="黑体"/>
          <w:color w:val="000000" w:themeColor="text1"/>
          <w:sz w:val="36"/>
          <w:szCs w:val="36"/>
          <w14:textFill>
            <w14:solidFill>
              <w14:schemeClr w14:val="tx1"/>
            </w14:solidFill>
          </w14:textFill>
        </w:rPr>
        <w:t>采购需求……………………………………</w:t>
      </w:r>
      <w:r>
        <w:rPr>
          <w:rFonts w:hint="eastAsia" w:ascii="黑体" w:hAnsi="宋体" w:eastAsia="黑体" w:cs="黑体"/>
          <w:color w:val="000000" w:themeColor="text1"/>
          <w:sz w:val="36"/>
          <w:szCs w:val="36"/>
          <w:lang w:val="en-US" w:eastAsia="zh-CN"/>
          <w14:textFill>
            <w14:solidFill>
              <w14:schemeClr w14:val="tx1"/>
            </w14:solidFill>
          </w14:textFill>
        </w:rPr>
        <w:t>26</w:t>
      </w:r>
    </w:p>
    <w:p w14:paraId="1E247CE2">
      <w:pPr>
        <w:pStyle w:val="8"/>
        <w:tabs>
          <w:tab w:val="left" w:pos="1441"/>
        </w:tabs>
        <w:spacing w:beforeAutospacing="0" w:afterAutospacing="0" w:line="480" w:lineRule="auto"/>
        <w:jc w:val="both"/>
        <w:rPr>
          <w:rFonts w:hint="default" w:eastAsia="黑体"/>
          <w:color w:val="000000" w:themeColor="text1"/>
          <w:lang w:val="en-US" w:eastAsia="zh-CN"/>
          <w14:textFill>
            <w14:solidFill>
              <w14:schemeClr w14:val="tx1"/>
            </w14:solidFill>
          </w14:textFill>
        </w:rPr>
      </w:pPr>
      <w:r>
        <w:rPr>
          <w:rFonts w:hint="eastAsia" w:ascii="黑体" w:hAnsi="宋体" w:eastAsia="黑体" w:cs="黑体"/>
          <w:color w:val="000000" w:themeColor="text1"/>
          <w:sz w:val="36"/>
          <w:szCs w:val="36"/>
          <w:lang w:val="en-US" w:eastAsia="zh-CN"/>
          <w14:textFill>
            <w14:solidFill>
              <w14:schemeClr w14:val="tx1"/>
            </w14:solidFill>
          </w14:textFill>
        </w:rPr>
        <w:t xml:space="preserve">第五章  </w:t>
      </w:r>
      <w:r>
        <w:rPr>
          <w:rFonts w:hint="eastAsia" w:ascii="黑体" w:hAnsi="宋体" w:eastAsia="黑体" w:cs="黑体"/>
          <w:color w:val="000000" w:themeColor="text1"/>
          <w:sz w:val="36"/>
          <w:szCs w:val="36"/>
          <w14:textFill>
            <w14:solidFill>
              <w14:schemeClr w14:val="tx1"/>
            </w14:solidFill>
          </w14:textFill>
        </w:rPr>
        <w:t>评标方法与评标标准………………………</w:t>
      </w:r>
      <w:r>
        <w:rPr>
          <w:rFonts w:hint="eastAsia" w:ascii="黑体" w:hAnsi="宋体" w:eastAsia="黑体" w:cs="黑体"/>
          <w:color w:val="000000" w:themeColor="text1"/>
          <w:sz w:val="36"/>
          <w:szCs w:val="36"/>
          <w:lang w:val="en-US" w:eastAsia="zh-CN"/>
          <w14:textFill>
            <w14:solidFill>
              <w14:schemeClr w14:val="tx1"/>
            </w14:solidFill>
          </w14:textFill>
        </w:rPr>
        <w:t>38</w:t>
      </w:r>
    </w:p>
    <w:p w14:paraId="26C5BFB8">
      <w:pPr>
        <w:pStyle w:val="8"/>
        <w:tabs>
          <w:tab w:val="left" w:pos="1441"/>
        </w:tabs>
        <w:spacing w:beforeAutospacing="0" w:afterAutospacing="0" w:line="480" w:lineRule="auto"/>
        <w:jc w:val="both"/>
        <w:rPr>
          <w:rFonts w:hint="default" w:eastAsia="黑体"/>
          <w:color w:val="000000" w:themeColor="text1"/>
          <w:lang w:val="en-US" w:eastAsia="zh-CN"/>
          <w14:textFill>
            <w14:solidFill>
              <w14:schemeClr w14:val="tx1"/>
            </w14:solidFill>
          </w14:textFill>
        </w:rPr>
      </w:pPr>
      <w:r>
        <w:rPr>
          <w:rFonts w:hint="eastAsia" w:ascii="黑体" w:hAnsi="宋体" w:eastAsia="黑体" w:cs="黑体"/>
          <w:color w:val="000000" w:themeColor="text1"/>
          <w:sz w:val="36"/>
          <w:szCs w:val="36"/>
          <w:lang w:val="en-US" w:eastAsia="zh-CN"/>
          <w14:textFill>
            <w14:solidFill>
              <w14:schemeClr w14:val="tx1"/>
            </w14:solidFill>
          </w14:textFill>
        </w:rPr>
        <w:t xml:space="preserve">第六章  </w:t>
      </w:r>
      <w:r>
        <w:rPr>
          <w:rFonts w:hint="eastAsia" w:ascii="黑体" w:hAnsi="宋体" w:eastAsia="黑体" w:cs="黑体"/>
          <w:color w:val="000000" w:themeColor="text1"/>
          <w:sz w:val="36"/>
          <w:szCs w:val="36"/>
          <w14:textFill>
            <w14:solidFill>
              <w14:schemeClr w14:val="tx1"/>
            </w14:solidFill>
          </w14:textFill>
        </w:rPr>
        <w:t>投标文件格式………………………………</w:t>
      </w:r>
      <w:r>
        <w:rPr>
          <w:rFonts w:hint="eastAsia" w:ascii="黑体" w:hAnsi="宋体" w:eastAsia="黑体" w:cs="黑体"/>
          <w:color w:val="000000" w:themeColor="text1"/>
          <w:sz w:val="36"/>
          <w:szCs w:val="36"/>
          <w:lang w:val="en-US" w:eastAsia="zh-CN"/>
          <w14:textFill>
            <w14:solidFill>
              <w14:schemeClr w14:val="tx1"/>
            </w14:solidFill>
          </w14:textFill>
        </w:rPr>
        <w:t>41</w:t>
      </w:r>
    </w:p>
    <w:p w14:paraId="76383744">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7F017789">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17E9121A">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3C385028">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7F0DD050">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408F0F3F">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151C9999">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1B182D01">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7A44457C">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289ED500">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0AB229C5">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7F3BE097">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5B13D454">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1CCFFE4F">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2FD399F4">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29019949">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5BCDD23C">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0A1DE42A">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24AB225E">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78BF770D">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733D2F6E">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0DC0F655">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0EFEE575">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5C47B422">
      <w:pPr>
        <w:pStyle w:val="8"/>
        <w:keepNext/>
        <w:spacing w:beforeAutospacing="0" w:afterAutospacing="0"/>
        <w:jc w:val="center"/>
        <w:rPr>
          <w:rFonts w:hint="eastAsia" w:ascii="黑体" w:hAnsi="宋体" w:eastAsia="黑体" w:cs="黑体"/>
          <w:color w:val="000000" w:themeColor="text1"/>
          <w:sz w:val="44"/>
          <w:szCs w:val="44"/>
          <w14:textFill>
            <w14:solidFill>
              <w14:schemeClr w14:val="tx1"/>
            </w14:solidFill>
          </w14:textFill>
        </w:rPr>
        <w:sectPr>
          <w:headerReference r:id="rId3" w:type="default"/>
          <w:footerReference r:id="rId4" w:type="default"/>
          <w:pgSz w:w="11906" w:h="16839"/>
          <w:pgMar w:top="1305" w:right="1399" w:bottom="1188" w:left="1633" w:header="962" w:footer="971" w:gutter="0"/>
          <w:pgNumType w:fmt="decimal"/>
          <w:cols w:space="720" w:num="1"/>
          <w:docGrid w:linePitch="360" w:charSpace="0"/>
        </w:sectPr>
      </w:pPr>
      <w:bookmarkStart w:id="6" w:name="_Toc28359009"/>
    </w:p>
    <w:p w14:paraId="1E1F05F1">
      <w:pPr>
        <w:pStyle w:val="8"/>
        <w:keepNext/>
        <w:spacing w:beforeAutospacing="0" w:afterAutospacing="0"/>
        <w:jc w:val="center"/>
        <w:rPr>
          <w:rFonts w:hint="default" w:eastAsia="黑体"/>
          <w:color w:val="000000" w:themeColor="text1"/>
          <w:lang w:val="en-US" w:eastAsia="zh-CN"/>
          <w14:textFill>
            <w14:solidFill>
              <w14:schemeClr w14:val="tx1"/>
            </w14:solidFill>
          </w14:textFill>
        </w:rPr>
      </w:pPr>
      <w:r>
        <w:rPr>
          <w:rFonts w:hint="eastAsia" w:ascii="黑体" w:hAnsi="宋体" w:eastAsia="黑体" w:cs="黑体"/>
          <w:color w:val="000000" w:themeColor="text1"/>
          <w:sz w:val="44"/>
          <w:szCs w:val="44"/>
          <w14:textFill>
            <w14:solidFill>
              <w14:schemeClr w14:val="tx1"/>
            </w14:solidFill>
          </w14:textFill>
        </w:rPr>
        <w:t>第一章 </w:t>
      </w:r>
      <w:r>
        <w:rPr>
          <w:rFonts w:hint="eastAsia" w:ascii="黑体" w:hAnsi="宋体" w:eastAsia="黑体" w:cs="黑体"/>
          <w:color w:val="000000" w:themeColor="text1"/>
          <w:sz w:val="44"/>
          <w:szCs w:val="44"/>
          <w:lang w:val="en-US" w:eastAsia="zh-CN"/>
          <w14:textFill>
            <w14:solidFill>
              <w14:schemeClr w14:val="tx1"/>
            </w14:solidFill>
          </w14:textFill>
        </w:rPr>
        <w:t>招标公告</w:t>
      </w:r>
    </w:p>
    <w:p w14:paraId="4235351E">
      <w:pPr>
        <w:pStyle w:val="8"/>
        <w:pBdr>
          <w:top w:val="single" w:color="000000" w:sz="4" w:space="0"/>
          <w:left w:val="single" w:color="000000" w:sz="4" w:space="0"/>
          <w:bottom w:val="single" w:color="000000" w:sz="4" w:space="0"/>
          <w:right w:val="single" w:color="000000" w:sz="4" w:space="0"/>
        </w:pBdr>
        <w:spacing w:beforeAutospacing="0" w:afterAutospacing="0"/>
        <w:ind w:firstLine="48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项目概况</w:t>
      </w:r>
    </w:p>
    <w:p w14:paraId="08D098E9">
      <w:pPr>
        <w:pStyle w:val="8"/>
        <w:pBdr>
          <w:top w:val="single" w:color="000000" w:sz="4" w:space="0"/>
          <w:left w:val="single" w:color="000000" w:sz="4" w:space="0"/>
          <w:bottom w:val="single" w:color="000000" w:sz="4" w:space="0"/>
          <w:right w:val="single" w:color="000000" w:sz="4" w:space="0"/>
        </w:pBdr>
        <w:spacing w:beforeAutospacing="0" w:afterAutospacing="0"/>
        <w:ind w:firstLine="480"/>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lang w:val="en-US" w:eastAsia="zh-CN"/>
          <w14:textFill>
            <w14:solidFill>
              <w14:schemeClr w14:val="tx1"/>
            </w14:solidFill>
          </w14:textFill>
        </w:rPr>
        <w:t>射阳县高级中学物业服务项目</w:t>
      </w:r>
      <w:r>
        <w:rPr>
          <w:rFonts w:hint="eastAsia" w:ascii="仿宋" w:hAnsi="仿宋" w:eastAsia="仿宋" w:cs="仿宋"/>
          <w:color w:val="000000" w:themeColor="text1"/>
          <w:sz w:val="28"/>
          <w:szCs w:val="28"/>
          <w14:textFill>
            <w14:solidFill>
              <w14:schemeClr w14:val="tx1"/>
            </w14:solidFill>
          </w14:textFill>
        </w:rPr>
        <w:t>招标项目的潜在投标人可在</w:t>
      </w:r>
      <w:r>
        <w:rPr>
          <w:rFonts w:ascii="仿宋" w:hAnsi="仿宋" w:eastAsia="仿宋" w:cs="仿宋"/>
          <w:i w:val="0"/>
          <w:iCs w:val="0"/>
          <w:caps w:val="0"/>
          <w:color w:val="000000" w:themeColor="text1"/>
          <w:spacing w:val="0"/>
          <w:sz w:val="28"/>
          <w:szCs w:val="28"/>
          <w:shd w:val="clear" w:fill="FFFFFF"/>
          <w14:textFill>
            <w14:solidFill>
              <w14:schemeClr w14:val="tx1"/>
            </w14:solidFill>
          </w14:textFill>
        </w:rPr>
        <w:t>“苏采云”系统内免费下载（投标人必须在苏采云系统中获取采购文件，方能参与政府采购项目）</w:t>
      </w:r>
      <w:r>
        <w:rPr>
          <w:rFonts w:hint="eastAsia" w:ascii="仿宋" w:hAnsi="仿宋" w:eastAsia="仿宋" w:cs="仿宋"/>
          <w:color w:val="000000" w:themeColor="text1"/>
          <w:sz w:val="28"/>
          <w:szCs w:val="28"/>
          <w14:textFill>
            <w14:solidFill>
              <w14:schemeClr w14:val="tx1"/>
            </w14:solidFill>
          </w14:textFill>
        </w:rPr>
        <w:t>，并于</w:t>
      </w:r>
      <w:r>
        <w:rPr>
          <w:rFonts w:hint="eastAsia" w:ascii="仿宋" w:hAnsi="仿宋" w:eastAsia="仿宋" w:cs="仿宋"/>
          <w:color w:val="000000" w:themeColor="text1"/>
          <w:sz w:val="28"/>
          <w:szCs w:val="28"/>
          <w:u w:val="single"/>
          <w:lang w:val="en-US" w:eastAsia="zh-CN"/>
          <w14:textFill>
            <w14:solidFill>
              <w14:schemeClr w14:val="tx1"/>
            </w14:solidFill>
          </w14:textFill>
        </w:rPr>
        <w:t>2025</w:t>
      </w:r>
      <w:r>
        <w:rPr>
          <w:rFonts w:hint="eastAsia" w:ascii="仿宋" w:hAnsi="仿宋" w:eastAsia="仿宋" w:cs="仿宋"/>
          <w:color w:val="000000" w:themeColor="text1"/>
          <w:sz w:val="28"/>
          <w:szCs w:val="28"/>
          <w:u w:val="single"/>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08</w:t>
      </w:r>
      <w:r>
        <w:rPr>
          <w:rFonts w:hint="eastAsia" w:ascii="仿宋" w:hAnsi="仿宋" w:eastAsia="仿宋" w:cs="仿宋"/>
          <w:color w:val="000000" w:themeColor="text1"/>
          <w:sz w:val="28"/>
          <w:szCs w:val="28"/>
          <w:u w:val="single"/>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06</w:t>
      </w:r>
      <w:r>
        <w:rPr>
          <w:rFonts w:hint="eastAsia" w:ascii="仿宋" w:hAnsi="仿宋" w:eastAsia="仿宋" w:cs="仿宋"/>
          <w:color w:val="000000" w:themeColor="text1"/>
          <w:sz w:val="28"/>
          <w:szCs w:val="28"/>
          <w:u w:val="single"/>
          <w14:textFill>
            <w14:solidFill>
              <w14:schemeClr w14:val="tx1"/>
            </w14:solidFill>
          </w14:textFill>
        </w:rPr>
        <w:t>日</w:t>
      </w:r>
      <w:r>
        <w:rPr>
          <w:rFonts w:hint="eastAsia" w:ascii="仿宋" w:hAnsi="仿宋" w:eastAsia="仿宋" w:cs="仿宋"/>
          <w:color w:val="000000" w:themeColor="text1"/>
          <w:sz w:val="28"/>
          <w:szCs w:val="28"/>
          <w:u w:val="single"/>
          <w:lang w:val="en-US" w:eastAsia="zh-CN"/>
          <w14:textFill>
            <w14:solidFill>
              <w14:schemeClr w14:val="tx1"/>
            </w14:solidFill>
          </w14:textFill>
        </w:rPr>
        <w:t>09</w:t>
      </w:r>
      <w:r>
        <w:rPr>
          <w:rFonts w:hint="eastAsia" w:ascii="仿宋" w:hAnsi="仿宋" w:eastAsia="仿宋" w:cs="仿宋"/>
          <w:color w:val="000000" w:themeColor="text1"/>
          <w:sz w:val="28"/>
          <w:szCs w:val="28"/>
          <w:u w:val="single"/>
          <w14:textFill>
            <w14:solidFill>
              <w14:schemeClr w14:val="tx1"/>
            </w14:solidFill>
          </w14:textFill>
        </w:rPr>
        <w:t>点</w:t>
      </w:r>
      <w:r>
        <w:rPr>
          <w:rFonts w:hint="eastAsia" w:ascii="仿宋" w:hAnsi="仿宋" w:eastAsia="仿宋" w:cs="仿宋"/>
          <w:color w:val="000000" w:themeColor="text1"/>
          <w:sz w:val="28"/>
          <w:szCs w:val="28"/>
          <w:u w:val="single"/>
          <w:lang w:val="en-US" w:eastAsia="zh-CN"/>
          <w14:textFill>
            <w14:solidFill>
              <w14:schemeClr w14:val="tx1"/>
            </w14:solidFill>
          </w14:textFill>
        </w:rPr>
        <w:t>00</w:t>
      </w:r>
      <w:r>
        <w:rPr>
          <w:rFonts w:hint="eastAsia" w:ascii="仿宋" w:hAnsi="仿宋" w:eastAsia="仿宋" w:cs="仿宋"/>
          <w:color w:val="000000" w:themeColor="text1"/>
          <w:sz w:val="28"/>
          <w:szCs w:val="28"/>
          <w:u w:val="single"/>
          <w14:textFill>
            <w14:solidFill>
              <w14:schemeClr w14:val="tx1"/>
            </w14:solidFill>
          </w14:textFill>
        </w:rPr>
        <w:t>分（</w:t>
      </w:r>
      <w:r>
        <w:rPr>
          <w:rFonts w:hint="eastAsia" w:ascii="仿宋" w:hAnsi="仿宋" w:eastAsia="仿宋" w:cs="仿宋"/>
          <w:color w:val="000000" w:themeColor="text1"/>
          <w:sz w:val="28"/>
          <w:szCs w:val="28"/>
          <w14:textFill>
            <w14:solidFill>
              <w14:schemeClr w14:val="tx1"/>
            </w14:solidFill>
          </w14:textFill>
        </w:rPr>
        <w:t>北京时间）前递交投标文件。</w:t>
      </w:r>
    </w:p>
    <w:p w14:paraId="2476F4A0">
      <w:pPr>
        <w:pStyle w:val="8"/>
        <w:keepNext/>
        <w:keepLines/>
        <w:pageBreakBefore w:val="0"/>
        <w:kinsoku/>
        <w:wordWrap/>
        <w:overflowPunct/>
        <w:topLinePunct w:val="0"/>
        <w:autoSpaceDE/>
        <w:autoSpaceDN/>
        <w:bidi w:val="0"/>
        <w:adjustRightInd/>
        <w:snapToGrid/>
        <w:spacing w:beforeAutospacing="0" w:afterAutospacing="0" w:line="480" w:lineRule="exact"/>
        <w:ind w:firstLine="498"/>
        <w:jc w:val="both"/>
        <w:textAlignment w:val="auto"/>
        <w:rPr>
          <w:color w:val="000000" w:themeColor="text1"/>
          <w14:textFill>
            <w14:solidFill>
              <w14:schemeClr w14:val="tx1"/>
            </w14:solidFill>
          </w14:textFill>
        </w:rPr>
      </w:pPr>
      <w:bookmarkStart w:id="7" w:name="_Toc35393790"/>
      <w:bookmarkStart w:id="8" w:name="_Toc35393621"/>
      <w:bookmarkStart w:id="9" w:name="_Toc38985263"/>
      <w:bookmarkStart w:id="10" w:name="_Hlk24379207"/>
      <w:bookmarkStart w:id="11" w:name="_Toc28359079"/>
      <w:bookmarkStart w:id="12" w:name="_Toc28359002"/>
      <w:r>
        <w:rPr>
          <w:rFonts w:ascii="Times New Roman" w:hAnsi="Times New Roman"/>
          <w:b/>
          <w:color w:val="000000" w:themeColor="text1"/>
          <w:sz w:val="32"/>
          <w:szCs w:val="32"/>
          <w14:textFill>
            <w14:solidFill>
              <w14:schemeClr w14:val="tx1"/>
            </w14:solidFill>
          </w14:textFill>
        </w:rPr>
        <w:t>一、项目基本情况</w:t>
      </w:r>
      <w:bookmarkEnd w:id="7"/>
      <w:bookmarkEnd w:id="8"/>
      <w:bookmarkEnd w:id="9"/>
      <w:bookmarkEnd w:id="10"/>
      <w:bookmarkEnd w:id="11"/>
      <w:bookmarkEnd w:id="12"/>
    </w:p>
    <w:p w14:paraId="18E27F47">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1.项目编号：</w:t>
      </w:r>
      <w:r>
        <w:rPr>
          <w:rFonts w:hint="eastAsia" w:ascii="仿宋" w:hAnsi="仿宋" w:eastAsia="仿宋" w:cs="仿宋"/>
          <w:color w:val="000000" w:themeColor="text1"/>
          <w:sz w:val="28"/>
          <w:szCs w:val="28"/>
          <w:lang w:val="en-US" w:eastAsia="zh-CN"/>
          <w14:textFill>
            <w14:solidFill>
              <w14:schemeClr w14:val="tx1"/>
            </w14:solidFill>
          </w14:textFill>
        </w:rPr>
        <w:t>JSZC-320924-JZCG-G2025-0012</w:t>
      </w:r>
    </w:p>
    <w:p w14:paraId="58EFC811">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2.项目名称：</w:t>
      </w:r>
      <w:r>
        <w:rPr>
          <w:rFonts w:hint="eastAsia" w:ascii="仿宋" w:hAnsi="仿宋" w:eastAsia="仿宋" w:cs="仿宋"/>
          <w:color w:val="000000" w:themeColor="text1"/>
          <w:sz w:val="28"/>
          <w:szCs w:val="28"/>
          <w:lang w:val="en-US" w:eastAsia="zh-CN"/>
          <w14:textFill>
            <w14:solidFill>
              <w14:schemeClr w14:val="tx1"/>
            </w14:solidFill>
          </w14:textFill>
        </w:rPr>
        <w:t>射阳县高级中学物业服务</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项目</w:t>
      </w:r>
    </w:p>
    <w:p w14:paraId="6ADA4A59">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采购方式：</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公开招标</w:t>
      </w:r>
    </w:p>
    <w:p w14:paraId="3D9DF71C">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.预算金额：</w:t>
      </w:r>
      <w:r>
        <w:rPr>
          <w:rFonts w:hint="eastAsia" w:ascii="仿宋" w:hAnsi="仿宋" w:eastAsia="仿宋" w:cs="仿宋"/>
          <w:color w:val="000000" w:themeColor="text1"/>
          <w:sz w:val="28"/>
          <w:szCs w:val="28"/>
          <w:lang w:val="en-US" w:eastAsia="zh-CN"/>
          <w14:textFill>
            <w14:solidFill>
              <w14:schemeClr w14:val="tx1"/>
            </w14:solidFill>
          </w14:textFill>
        </w:rPr>
        <w:t>76.00万元</w:t>
      </w:r>
    </w:p>
    <w:p w14:paraId="02856409">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最高限价：</w:t>
      </w:r>
      <w:r>
        <w:rPr>
          <w:rFonts w:hint="eastAsia" w:ascii="仿宋" w:hAnsi="仿宋" w:eastAsia="仿宋" w:cs="仿宋"/>
          <w:color w:val="000000" w:themeColor="text1"/>
          <w:sz w:val="28"/>
          <w:szCs w:val="28"/>
          <w:lang w:val="en-US" w:eastAsia="zh-CN"/>
          <w14:textFill>
            <w14:solidFill>
              <w14:schemeClr w14:val="tx1"/>
            </w14:solidFill>
          </w14:textFill>
        </w:rPr>
        <w:t>76.00万元，</w:t>
      </w:r>
      <w:r>
        <w:rPr>
          <w:rFonts w:hint="eastAsia" w:ascii="仿宋" w:hAnsi="仿宋" w:eastAsia="仿宋" w:cs="仿宋"/>
          <w:color w:val="000000" w:themeColor="text1"/>
          <w:sz w:val="28"/>
          <w:szCs w:val="28"/>
          <w14:textFill>
            <w14:solidFill>
              <w14:schemeClr w14:val="tx1"/>
            </w14:solidFill>
          </w14:textFill>
        </w:rPr>
        <w:t>投标报价高于最高限价的，采购人将不予接受，视为无效标书。</w:t>
      </w:r>
    </w:p>
    <w:p w14:paraId="2F7ED2DB">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.采购需求（简介）：</w:t>
      </w:r>
      <w:r>
        <w:rPr>
          <w:rFonts w:hint="eastAsia" w:ascii="仿宋" w:hAnsi="仿宋" w:eastAsia="仿宋" w:cs="仿宋"/>
          <w:color w:val="000000" w:themeColor="text1"/>
          <w:sz w:val="28"/>
          <w:szCs w:val="28"/>
          <w:lang w:val="en-US" w:eastAsia="zh-CN"/>
          <w14:textFill>
            <w14:solidFill>
              <w14:schemeClr w14:val="tx1"/>
            </w14:solidFill>
          </w14:textFill>
        </w:rPr>
        <w:t>射阳县高级中学物业服务项目，服务工作内容范围包括且不限于：宿舍管理、校园卫生保洁、安保服务及学校安排的其他有关物业管理事项等，招标人保留对服务内容进行适当调整的权利。（详细内容见本招标文件第四章）</w:t>
      </w:r>
    </w:p>
    <w:p w14:paraId="4EC5955B">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.合同履行期限：</w:t>
      </w:r>
      <w:r>
        <w:rPr>
          <w:rFonts w:hint="eastAsia" w:ascii="仿宋" w:hAnsi="仿宋" w:eastAsia="仿宋" w:cs="仿宋"/>
          <w:color w:val="000000" w:themeColor="text1"/>
          <w:sz w:val="28"/>
          <w:szCs w:val="28"/>
          <w:lang w:val="en-US" w:eastAsia="zh-CN"/>
          <w14:textFill>
            <w14:solidFill>
              <w14:schemeClr w14:val="tx1"/>
            </w14:solidFill>
          </w14:textFill>
        </w:rPr>
        <w:t>一年。</w:t>
      </w:r>
    </w:p>
    <w:p w14:paraId="60E71207">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仿宋" w:hAnsi="仿宋" w:eastAsia="仿宋" w:cs="仿宋"/>
          <w:color w:val="000000" w:themeColor="text1"/>
          <w:sz w:val="28"/>
          <w:szCs w:val="28"/>
          <w:shd w:val="clear" w:color="auto" w:fill="FFFF00"/>
          <w:lang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8.</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本项目</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不</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接受联合体</w:t>
      </w:r>
      <w:r>
        <w:rPr>
          <w:rFonts w:hint="eastAsia" w:ascii="仿宋" w:hAnsi="仿宋" w:eastAsia="仿宋" w:cs="仿宋"/>
          <w:color w:val="000000" w:themeColor="text1"/>
          <w:sz w:val="28"/>
          <w:szCs w:val="28"/>
          <w14:textFill>
            <w14:solidFill>
              <w14:schemeClr w14:val="tx1"/>
            </w14:solidFill>
          </w14:textFill>
        </w:rPr>
        <w:t>参与</w:t>
      </w:r>
      <w:r>
        <w:rPr>
          <w:rFonts w:hint="eastAsia" w:ascii="仿宋" w:hAnsi="仿宋" w:eastAsia="仿宋" w:cs="仿宋"/>
          <w:color w:val="000000" w:themeColor="text1"/>
          <w:sz w:val="28"/>
          <w:szCs w:val="28"/>
          <w:lang w:val="en-US" w:eastAsia="zh-CN"/>
          <w14:textFill>
            <w14:solidFill>
              <w14:schemeClr w14:val="tx1"/>
            </w14:solidFill>
          </w14:textFill>
        </w:rPr>
        <w:t>招标</w:t>
      </w:r>
      <w:r>
        <w:rPr>
          <w:rFonts w:hint="eastAsia" w:ascii="仿宋" w:hAnsi="仿宋" w:eastAsia="仿宋" w:cs="仿宋"/>
          <w:color w:val="000000" w:themeColor="text1"/>
          <w:sz w:val="28"/>
          <w:szCs w:val="28"/>
          <w:lang w:eastAsia="zh-CN"/>
          <w14:textFill>
            <w14:solidFill>
              <w14:schemeClr w14:val="tx1"/>
            </w14:solidFill>
          </w14:textFill>
        </w:rPr>
        <w:t>。</w:t>
      </w:r>
    </w:p>
    <w:p w14:paraId="5E8D77B1">
      <w:pPr>
        <w:pStyle w:val="8"/>
        <w:keepNext/>
        <w:keepLines/>
        <w:pageBreakBefore w:val="0"/>
        <w:kinsoku/>
        <w:wordWrap/>
        <w:overflowPunct/>
        <w:topLinePunct w:val="0"/>
        <w:autoSpaceDE/>
        <w:autoSpaceDN/>
        <w:bidi w:val="0"/>
        <w:adjustRightInd/>
        <w:snapToGrid/>
        <w:spacing w:beforeAutospacing="0" w:afterAutospacing="0" w:line="480" w:lineRule="exact"/>
        <w:ind w:firstLine="498"/>
        <w:jc w:val="both"/>
        <w:textAlignment w:val="auto"/>
        <w:rPr>
          <w:color w:val="000000" w:themeColor="text1"/>
          <w14:textFill>
            <w14:solidFill>
              <w14:schemeClr w14:val="tx1"/>
            </w14:solidFill>
          </w14:textFill>
        </w:rPr>
      </w:pPr>
      <w:bookmarkStart w:id="13" w:name="_Toc35393791"/>
      <w:bookmarkStart w:id="14" w:name="_Toc28359080"/>
      <w:bookmarkStart w:id="15" w:name="_Toc38985264"/>
      <w:bookmarkStart w:id="16" w:name="_Toc35393622"/>
      <w:bookmarkStart w:id="17" w:name="_Toc28359003"/>
      <w:r>
        <w:rPr>
          <w:rFonts w:ascii="Times New Roman" w:hAnsi="Times New Roman"/>
          <w:b/>
          <w:color w:val="000000" w:themeColor="text1"/>
          <w:sz w:val="32"/>
          <w:szCs w:val="32"/>
          <w14:textFill>
            <w14:solidFill>
              <w14:schemeClr w14:val="tx1"/>
            </w14:solidFill>
          </w14:textFill>
        </w:rPr>
        <w:t>二、申请人的资格要求：</w:t>
      </w:r>
      <w:bookmarkEnd w:id="13"/>
      <w:bookmarkEnd w:id="14"/>
      <w:bookmarkEnd w:id="15"/>
      <w:bookmarkEnd w:id="16"/>
      <w:bookmarkEnd w:id="17"/>
    </w:p>
    <w:p w14:paraId="4D230237">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1.满足《中华人民共和国政府采购法》第二十二条规定，并提供下列材料：</w:t>
      </w:r>
    </w:p>
    <w:p w14:paraId="5BB987A6">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 法人或者其他组织的营业执照等证明文件，自然人的身份证明；</w:t>
      </w:r>
    </w:p>
    <w:p w14:paraId="7CFAA914">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1.2上一年度的财务状</w:t>
      </w:r>
      <w:r>
        <w:rPr>
          <w:rFonts w:hint="eastAsia" w:ascii="仿宋" w:hAnsi="仿宋" w:eastAsia="仿宋" w:cs="仿宋"/>
          <w:color w:val="000000" w:themeColor="text1"/>
          <w:sz w:val="28"/>
          <w:szCs w:val="28"/>
          <w:highlight w:val="none"/>
          <w14:textFill>
            <w14:solidFill>
              <w14:schemeClr w14:val="tx1"/>
            </w14:solidFill>
          </w14:textFill>
        </w:rPr>
        <w:t>况报表（成</w:t>
      </w:r>
      <w:r>
        <w:rPr>
          <w:rFonts w:hint="eastAsia" w:ascii="仿宋" w:hAnsi="仿宋" w:eastAsia="仿宋" w:cs="仿宋"/>
          <w:color w:val="000000" w:themeColor="text1"/>
          <w:sz w:val="28"/>
          <w:szCs w:val="28"/>
          <w14:textFill>
            <w14:solidFill>
              <w14:schemeClr w14:val="tx1"/>
            </w14:solidFill>
          </w14:textFill>
        </w:rPr>
        <w:t>立不满一年无需提供）；</w:t>
      </w:r>
    </w:p>
    <w:p w14:paraId="2ACEC419">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具备履行合同所必需的设备和专业技术能力的书面声明；</w:t>
      </w:r>
    </w:p>
    <w:p w14:paraId="316B6D25">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7471F591">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.5参加政府采购活动前3年内在经营活动中没有重大违法记录的书面声明。</w:t>
      </w:r>
    </w:p>
    <w:p w14:paraId="742939EC">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1.6法律、行政法规规定的其他条件。</w:t>
      </w:r>
    </w:p>
    <w:p w14:paraId="1C7D4A50">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1.7</w:t>
      </w:r>
      <w:r>
        <w:rPr>
          <w:rFonts w:hint="eastAsia" w:ascii="仿宋" w:hAnsi="仿宋" w:eastAsia="仿宋" w:cs="仿宋"/>
          <w:color w:val="000000" w:themeColor="text1"/>
          <w:sz w:val="28"/>
          <w:szCs w:val="28"/>
          <w14:textFill>
            <w14:solidFill>
              <w14:schemeClr w14:val="tx1"/>
            </w14:solidFill>
          </w14:textFill>
        </w:rPr>
        <w:t>在</w:t>
      </w:r>
      <w:r>
        <w:rPr>
          <w:rFonts w:hint="eastAsia" w:ascii="仿宋" w:hAnsi="仿宋" w:eastAsia="仿宋" w:cs="仿宋"/>
          <w:color w:val="000000" w:themeColor="text1"/>
          <w:sz w:val="28"/>
          <w:szCs w:val="28"/>
          <w:highlight w:val="none"/>
          <w14:textFill>
            <w14:solidFill>
              <w14:schemeClr w14:val="tx1"/>
            </w14:solidFill>
          </w14:textFill>
        </w:rPr>
        <w:t>“信用中国”</w:t>
      </w:r>
      <w:r>
        <w:rPr>
          <w:rFonts w:hint="eastAsia" w:ascii="仿宋" w:hAnsi="仿宋" w:eastAsia="仿宋" w:cs="仿宋"/>
          <w:color w:val="000000" w:themeColor="text1"/>
          <w:sz w:val="28"/>
          <w:szCs w:val="28"/>
          <w14:textFill>
            <w14:solidFill>
              <w14:schemeClr w14:val="tx1"/>
            </w14:solidFill>
          </w14:textFill>
        </w:rPr>
        <w:t>网站查询，无被列入失信被执行人、重大税收违法案件当事人名单、政府采购严重失信行为记录名单及其他不符合《中华人民共和国政府采购法》第二十二条规定条件的信用记录。（</w:t>
      </w:r>
      <w:r>
        <w:rPr>
          <w:rFonts w:hint="eastAsia" w:ascii="仿宋" w:hAnsi="仿宋" w:eastAsia="仿宋" w:cs="仿宋"/>
          <w:color w:val="000000" w:themeColor="text1"/>
          <w:sz w:val="28"/>
          <w:szCs w:val="28"/>
          <w:lang w:val="en-US" w:eastAsia="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文件中无需提供证明材料）</w:t>
      </w:r>
    </w:p>
    <w:p w14:paraId="5EC011A5">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1.8</w:t>
      </w:r>
      <w:r>
        <w:rPr>
          <w:rFonts w:hint="eastAsia" w:ascii="仿宋" w:hAnsi="仿宋" w:eastAsia="仿宋" w:cs="仿宋"/>
          <w:color w:val="000000" w:themeColor="text1"/>
          <w:sz w:val="28"/>
          <w:szCs w:val="28"/>
          <w14:textFill>
            <w14:solidFill>
              <w14:schemeClr w14:val="tx1"/>
            </w14:solidFill>
          </w14:textFill>
        </w:rPr>
        <w:t>单位负责人为同一人或者存在直接控股、</w:t>
      </w:r>
      <w:r>
        <w:rPr>
          <w:rFonts w:hint="eastAsia" w:ascii="仿宋" w:hAnsi="仿宋" w:eastAsia="仿宋" w:cs="仿宋"/>
          <w:color w:val="000000" w:themeColor="text1"/>
          <w:sz w:val="28"/>
          <w:szCs w:val="28"/>
          <w:lang w:val="en-US" w:eastAsia="zh-CN"/>
          <w14:textFill>
            <w14:solidFill>
              <w14:schemeClr w14:val="tx1"/>
            </w14:solidFill>
          </w14:textFill>
        </w:rPr>
        <w:t>管理</w:t>
      </w:r>
      <w:r>
        <w:rPr>
          <w:rFonts w:hint="eastAsia" w:ascii="仿宋" w:hAnsi="仿宋" w:eastAsia="仿宋" w:cs="仿宋"/>
          <w:color w:val="000000" w:themeColor="text1"/>
          <w:sz w:val="28"/>
          <w:szCs w:val="28"/>
          <w14:textFill>
            <w14:solidFill>
              <w14:schemeClr w14:val="tx1"/>
            </w14:solidFill>
          </w14:textFill>
        </w:rPr>
        <w:t>关系的不同供应商，不得参加同一合同项下的政府采购活动。</w:t>
      </w:r>
    </w:p>
    <w:p w14:paraId="755F4BC5">
      <w:pPr>
        <w:pageBreakBefore w:val="0"/>
        <w:kinsoku/>
        <w:wordWrap/>
        <w:overflowPunct/>
        <w:topLinePunct w:val="0"/>
        <w:autoSpaceDE/>
        <w:autoSpaceDN/>
        <w:bidi w:val="0"/>
        <w:adjustRightInd/>
        <w:snapToGrid/>
        <w:spacing w:line="480" w:lineRule="exact"/>
        <w:ind w:left="6" w:right="209" w:firstLine="484"/>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落实政府采购政策需满足的资格要求：</w:t>
      </w:r>
      <w:r>
        <w:rPr>
          <w:rFonts w:hint="eastAsia" w:ascii="仿宋" w:hAnsi="仿宋" w:eastAsia="仿宋" w:cs="仿宋"/>
          <w:b/>
          <w:bCs/>
          <w:color w:val="000000" w:themeColor="text1"/>
          <w:spacing w:val="-1"/>
          <w:sz w:val="28"/>
          <w:szCs w:val="28"/>
          <w14:textFill>
            <w14:solidFill>
              <w14:schemeClr w14:val="tx1"/>
            </w14:solidFill>
          </w14:textFill>
        </w:rPr>
        <w:t>本项目专门面向中小</w:t>
      </w:r>
      <w:r>
        <w:rPr>
          <w:rFonts w:hint="eastAsia" w:ascii="仿宋" w:hAnsi="仿宋" w:eastAsia="仿宋" w:cs="仿宋"/>
          <w:b/>
          <w:bCs/>
          <w:color w:val="000000" w:themeColor="text1"/>
          <w:spacing w:val="-2"/>
          <w:sz w:val="28"/>
          <w:szCs w:val="28"/>
          <w14:textFill>
            <w14:solidFill>
              <w14:schemeClr w14:val="tx1"/>
            </w14:solidFill>
          </w14:textFill>
        </w:rPr>
        <w:t>企业采购。采购标的的所属行业为物业管理，投标人需按照采购文件的要求提供相应的《中小企业声明函》。企业标准请参照《关于印发中小企业划型标准规定的通知》（工</w:t>
      </w:r>
      <w:r>
        <w:rPr>
          <w:rFonts w:hint="eastAsia" w:ascii="仿宋" w:hAnsi="仿宋" w:eastAsia="仿宋" w:cs="仿宋"/>
          <w:b/>
          <w:bCs/>
          <w:color w:val="000000" w:themeColor="text1"/>
          <w:spacing w:val="-3"/>
          <w:sz w:val="28"/>
          <w:szCs w:val="28"/>
          <w14:textFill>
            <w14:solidFill>
              <w14:schemeClr w14:val="tx1"/>
            </w14:solidFill>
          </w14:textFill>
        </w:rPr>
        <w:t>信部联企业[2011]300</w:t>
      </w:r>
      <w:r>
        <w:rPr>
          <w:rFonts w:hint="eastAsia" w:ascii="仿宋" w:hAnsi="仿宋" w:eastAsia="仿宋" w:cs="仿宋"/>
          <w:color w:val="000000" w:themeColor="text1"/>
          <w:spacing w:val="-33"/>
          <w:sz w:val="28"/>
          <w:szCs w:val="28"/>
          <w14:textFill>
            <w14:solidFill>
              <w14:schemeClr w14:val="tx1"/>
            </w14:solidFill>
          </w14:textFill>
        </w:rPr>
        <w:t xml:space="preserve"> </w:t>
      </w:r>
      <w:r>
        <w:rPr>
          <w:rFonts w:hint="eastAsia" w:ascii="仿宋" w:hAnsi="仿宋" w:eastAsia="仿宋" w:cs="仿宋"/>
          <w:b/>
          <w:bCs/>
          <w:color w:val="000000" w:themeColor="text1"/>
          <w:spacing w:val="-3"/>
          <w:sz w:val="28"/>
          <w:szCs w:val="28"/>
          <w14:textFill>
            <w14:solidFill>
              <w14:schemeClr w14:val="tx1"/>
            </w14:solidFill>
          </w14:textFill>
        </w:rPr>
        <w:t>号）文件规定自行填写。</w:t>
      </w:r>
    </w:p>
    <w:p w14:paraId="29E9AA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exact"/>
        <w:ind w:left="0" w:right="0" w:firstLine="56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本项目的特定资格要求</w:t>
      </w:r>
      <w:r>
        <w:rPr>
          <w:rFonts w:hint="eastAsia" w:ascii="仿宋" w:hAnsi="仿宋" w:eastAsia="仿宋" w:cs="仿宋"/>
          <w:color w:val="000000" w:themeColor="text1"/>
          <w:sz w:val="28"/>
          <w:szCs w:val="28"/>
          <w:lang w:eastAsia="zh-CN"/>
          <w14:textFill>
            <w14:solidFill>
              <w14:schemeClr w14:val="tx1"/>
            </w14:solidFill>
          </w14:textFill>
        </w:rPr>
        <w:t>：</w:t>
      </w:r>
    </w:p>
    <w:p w14:paraId="3E90342A">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w:t>
      </w:r>
      <w:r>
        <w:rPr>
          <w:rFonts w:hint="eastAsia" w:ascii="仿宋" w:hAnsi="仿宋" w:eastAsia="仿宋" w:cs="仿宋"/>
          <w:color w:val="000000" w:themeColor="text1"/>
          <w:kern w:val="0"/>
          <w:sz w:val="28"/>
          <w:szCs w:val="28"/>
          <w:lang w:val="en-US" w:eastAsia="zh-CN" w:bidi="ar-SA"/>
          <w14:textFill>
            <w14:solidFill>
              <w14:schemeClr w14:val="tx1"/>
            </w14:solidFill>
          </w14:textFill>
        </w:rPr>
        <w:t>供应商的授权委托人须为供应商的在职员工，提供供应商为其缴纳的开标前六个月中任意一个月的社保证明材料（如是单位法定代表人参加无须提供）。</w:t>
      </w:r>
    </w:p>
    <w:p w14:paraId="204726C7">
      <w:pPr>
        <w:pStyle w:val="8"/>
        <w:keepNext/>
        <w:keepLines/>
        <w:pageBreakBefore w:val="0"/>
        <w:kinsoku/>
        <w:wordWrap/>
        <w:overflowPunct/>
        <w:topLinePunct w:val="0"/>
        <w:autoSpaceDE/>
        <w:autoSpaceDN/>
        <w:bidi w:val="0"/>
        <w:adjustRightInd/>
        <w:snapToGrid/>
        <w:spacing w:beforeAutospacing="0" w:afterAutospacing="0" w:line="480" w:lineRule="exact"/>
        <w:ind w:firstLine="498"/>
        <w:jc w:val="both"/>
        <w:textAlignment w:val="auto"/>
        <w:rPr>
          <w:color w:val="000000" w:themeColor="text1"/>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三、获取招标文件</w:t>
      </w:r>
    </w:p>
    <w:p w14:paraId="2654E8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right="0" w:firstLine="540"/>
        <w:jc w:val="both"/>
        <w:textAlignment w:val="auto"/>
        <w:rPr>
          <w:rFonts w:hint="eastAsia" w:ascii="仿宋" w:hAnsi="仿宋" w:eastAsia="仿宋" w:cs="仿宋"/>
          <w:color w:val="000000" w:themeColor="text1"/>
          <w:sz w:val="28"/>
          <w:szCs w:val="28"/>
          <w:highlight w:val="none"/>
          <w14:textFill>
            <w14:solidFill>
              <w14:schemeClr w14:val="tx1"/>
            </w14:solidFill>
          </w14:textFill>
        </w:rPr>
      </w:pPr>
      <w:bookmarkStart w:id="18" w:name="_Toc38985266"/>
      <w:bookmarkStart w:id="19" w:name="_Toc35393624"/>
      <w:bookmarkStart w:id="20" w:name="_Toc28359082"/>
      <w:bookmarkStart w:id="21" w:name="_Toc28359005"/>
      <w:bookmarkStart w:id="22" w:name="_Toc35393793"/>
      <w:r>
        <w:rPr>
          <w:rFonts w:hint="eastAsia" w:ascii="仿宋" w:hAnsi="仿宋" w:eastAsia="仿宋" w:cs="仿宋"/>
          <w:color w:val="000000" w:themeColor="text1"/>
          <w:sz w:val="28"/>
          <w:szCs w:val="28"/>
          <w:highlight w:val="none"/>
          <w14:textFill>
            <w14:solidFill>
              <w14:schemeClr w14:val="tx1"/>
            </w14:solidFill>
          </w14:textFill>
        </w:rPr>
        <w:t>1.时间：</w:t>
      </w:r>
      <w:bookmarkEnd w:id="18"/>
      <w:bookmarkEnd w:id="19"/>
      <w:bookmarkEnd w:id="20"/>
      <w:bookmarkEnd w:id="21"/>
      <w:bookmarkEnd w:id="22"/>
      <w:r>
        <w:rPr>
          <w:rFonts w:hint="eastAsia" w:ascii="仿宋" w:hAnsi="仿宋" w:eastAsia="仿宋" w:cs="仿宋"/>
          <w:color w:val="000000" w:themeColor="text1"/>
          <w:sz w:val="28"/>
          <w:szCs w:val="28"/>
          <w:highlight w:val="none"/>
          <w14:textFill>
            <w14:solidFill>
              <w14:schemeClr w14:val="tx1"/>
            </w14:solidFill>
          </w14:textFill>
        </w:rPr>
        <w:t>自招标文件公告发布之日起 5 个工作日；</w:t>
      </w:r>
    </w:p>
    <w:p w14:paraId="7D58F39B">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2.地点：“苏采云”系统内免费下载（投标人必须在苏采云系统中获取采购文件，方能参与政府采购项目）；</w:t>
      </w:r>
    </w:p>
    <w:p w14:paraId="0AC42F76">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3.方式：本项目采用网上注册登记方式。 </w:t>
      </w:r>
    </w:p>
    <w:p w14:paraId="3B6F1007">
      <w:pPr>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000000" w:themeColor="text1"/>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4.售价：0元</w:t>
      </w:r>
    </w:p>
    <w:p w14:paraId="0BCA8BE8">
      <w:pPr>
        <w:pStyle w:val="8"/>
        <w:keepNext/>
        <w:keepLines/>
        <w:pageBreakBefore w:val="0"/>
        <w:kinsoku/>
        <w:wordWrap/>
        <w:overflowPunct/>
        <w:topLinePunct w:val="0"/>
        <w:autoSpaceDE/>
        <w:autoSpaceDN/>
        <w:bidi w:val="0"/>
        <w:adjustRightInd/>
        <w:snapToGrid/>
        <w:spacing w:beforeAutospacing="0" w:afterAutospacing="0" w:line="480" w:lineRule="exact"/>
        <w:ind w:firstLine="498"/>
        <w:jc w:val="both"/>
        <w:textAlignment w:val="auto"/>
        <w:rPr>
          <w:color w:val="000000" w:themeColor="text1"/>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四、提交投标文件截止时间、开标时间和地点</w:t>
      </w:r>
    </w:p>
    <w:p w14:paraId="2E0670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right="0" w:firstLine="54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1.时间：</w:t>
      </w:r>
      <w:r>
        <w:rPr>
          <w:rFonts w:hint="eastAsia" w:ascii="仿宋" w:hAnsi="仿宋" w:eastAsia="仿宋" w:cs="仿宋"/>
          <w:color w:val="000000" w:themeColor="text1"/>
          <w:sz w:val="28"/>
          <w:szCs w:val="28"/>
          <w:u w:val="single"/>
          <w:lang w:val="en-US" w:eastAsia="zh-CN"/>
          <w14:textFill>
            <w14:solidFill>
              <w14:schemeClr w14:val="tx1"/>
            </w14:solidFill>
          </w14:textFill>
        </w:rPr>
        <w:t>2025</w:t>
      </w:r>
      <w:r>
        <w:rPr>
          <w:rFonts w:hint="eastAsia" w:ascii="仿宋" w:hAnsi="仿宋" w:eastAsia="仿宋" w:cs="仿宋"/>
          <w:color w:val="000000" w:themeColor="text1"/>
          <w:sz w:val="28"/>
          <w:szCs w:val="28"/>
          <w:u w:val="single"/>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08</w:t>
      </w:r>
      <w:r>
        <w:rPr>
          <w:rFonts w:hint="eastAsia" w:ascii="仿宋" w:hAnsi="仿宋" w:eastAsia="仿宋" w:cs="仿宋"/>
          <w:color w:val="000000" w:themeColor="text1"/>
          <w:sz w:val="28"/>
          <w:szCs w:val="28"/>
          <w:u w:val="single"/>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06</w:t>
      </w:r>
      <w:r>
        <w:rPr>
          <w:rFonts w:hint="eastAsia" w:ascii="仿宋" w:hAnsi="仿宋" w:eastAsia="仿宋" w:cs="仿宋"/>
          <w:color w:val="000000" w:themeColor="text1"/>
          <w:sz w:val="28"/>
          <w:szCs w:val="28"/>
          <w:u w:val="single"/>
          <w14:textFill>
            <w14:solidFill>
              <w14:schemeClr w14:val="tx1"/>
            </w14:solidFill>
          </w14:textFill>
        </w:rPr>
        <w:t>日</w:t>
      </w:r>
      <w:r>
        <w:rPr>
          <w:rFonts w:hint="eastAsia" w:ascii="仿宋" w:hAnsi="仿宋" w:eastAsia="仿宋" w:cs="仿宋"/>
          <w:color w:val="000000" w:themeColor="text1"/>
          <w:sz w:val="28"/>
          <w:szCs w:val="28"/>
          <w:u w:val="single"/>
          <w:lang w:val="en-US" w:eastAsia="zh-CN"/>
          <w14:textFill>
            <w14:solidFill>
              <w14:schemeClr w14:val="tx1"/>
            </w14:solidFill>
          </w14:textFill>
        </w:rPr>
        <w:t>09</w:t>
      </w:r>
      <w:r>
        <w:rPr>
          <w:rFonts w:hint="eastAsia" w:ascii="仿宋" w:hAnsi="仿宋" w:eastAsia="仿宋" w:cs="仿宋"/>
          <w:color w:val="000000" w:themeColor="text1"/>
          <w:sz w:val="28"/>
          <w:szCs w:val="28"/>
          <w:u w:val="single"/>
          <w14:textFill>
            <w14:solidFill>
              <w14:schemeClr w14:val="tx1"/>
            </w14:solidFill>
          </w14:textFill>
        </w:rPr>
        <w:t>点</w:t>
      </w:r>
      <w:r>
        <w:rPr>
          <w:rFonts w:hint="eastAsia" w:ascii="仿宋" w:hAnsi="仿宋" w:eastAsia="仿宋" w:cs="仿宋"/>
          <w:color w:val="000000" w:themeColor="text1"/>
          <w:sz w:val="28"/>
          <w:szCs w:val="28"/>
          <w:u w:val="single"/>
          <w:lang w:val="en-US" w:eastAsia="zh-CN"/>
          <w14:textFill>
            <w14:solidFill>
              <w14:schemeClr w14:val="tx1"/>
            </w14:solidFill>
          </w14:textFill>
        </w:rPr>
        <w:t>00</w:t>
      </w:r>
      <w:r>
        <w:rPr>
          <w:rFonts w:hint="eastAsia" w:ascii="仿宋" w:hAnsi="仿宋" w:eastAsia="仿宋" w:cs="仿宋"/>
          <w:color w:val="000000" w:themeColor="text1"/>
          <w:sz w:val="28"/>
          <w:szCs w:val="28"/>
          <w:u w:val="single"/>
          <w14:textFill>
            <w14:solidFill>
              <w14:schemeClr w14:val="tx1"/>
            </w14:solidFill>
          </w14:textFill>
        </w:rPr>
        <w:t>分</w:t>
      </w:r>
      <w:r>
        <w:rPr>
          <w:rFonts w:hint="eastAsia" w:ascii="仿宋" w:hAnsi="仿宋" w:eastAsia="仿宋" w:cs="仿宋"/>
          <w:color w:val="000000" w:themeColor="text1"/>
          <w:sz w:val="28"/>
          <w:szCs w:val="28"/>
          <w14:textFill>
            <w14:solidFill>
              <w14:schemeClr w14:val="tx1"/>
            </w14:solidFill>
          </w14:textFill>
        </w:rPr>
        <w:t>（北京时间）。</w:t>
      </w:r>
    </w:p>
    <w:p w14:paraId="1F2DCA9D">
      <w:pPr>
        <w:pStyle w:val="8"/>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2.地点：苏采云“不见面 ”开标大厅。</w:t>
      </w:r>
    </w:p>
    <w:p w14:paraId="0202DB10">
      <w:pPr>
        <w:pStyle w:val="8"/>
        <w:keepNext/>
        <w:keepLines/>
        <w:pageBreakBefore w:val="0"/>
        <w:kinsoku/>
        <w:wordWrap/>
        <w:overflowPunct/>
        <w:topLinePunct w:val="0"/>
        <w:autoSpaceDE/>
        <w:autoSpaceDN/>
        <w:bidi w:val="0"/>
        <w:adjustRightInd/>
        <w:snapToGrid/>
        <w:spacing w:beforeAutospacing="0" w:afterAutospacing="0" w:line="480" w:lineRule="exact"/>
        <w:ind w:firstLine="498"/>
        <w:jc w:val="both"/>
        <w:textAlignment w:val="auto"/>
        <w:rPr>
          <w:color w:val="000000" w:themeColor="text1"/>
          <w14:textFill>
            <w14:solidFill>
              <w14:schemeClr w14:val="tx1"/>
            </w14:solidFill>
          </w14:textFill>
        </w:rPr>
      </w:pPr>
      <w:bookmarkStart w:id="23" w:name="_Toc35393625"/>
      <w:bookmarkStart w:id="24" w:name="_Toc28359007"/>
      <w:bookmarkStart w:id="25" w:name="_Toc28359084"/>
      <w:bookmarkStart w:id="26" w:name="_Toc38985267"/>
      <w:bookmarkStart w:id="27" w:name="_Toc35393794"/>
      <w:r>
        <w:rPr>
          <w:rFonts w:ascii="Times New Roman" w:hAnsi="Times New Roman"/>
          <w:b/>
          <w:color w:val="000000" w:themeColor="text1"/>
          <w:sz w:val="32"/>
          <w:szCs w:val="32"/>
          <w14:textFill>
            <w14:solidFill>
              <w14:schemeClr w14:val="tx1"/>
            </w14:solidFill>
          </w14:textFill>
        </w:rPr>
        <w:t>五、公告期限</w:t>
      </w:r>
      <w:bookmarkEnd w:id="23"/>
      <w:bookmarkEnd w:id="24"/>
      <w:bookmarkEnd w:id="25"/>
      <w:bookmarkEnd w:id="26"/>
      <w:bookmarkEnd w:id="27"/>
    </w:p>
    <w:p w14:paraId="03BA13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bookmarkStart w:id="28" w:name="_Toc38985268"/>
      <w:bookmarkStart w:id="29" w:name="_Toc35393626"/>
      <w:bookmarkStart w:id="30" w:name="_Toc35393795"/>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自本公告发布之日起5个工作日。</w:t>
      </w:r>
      <w:bookmarkEnd w:id="28"/>
      <w:bookmarkEnd w:id="29"/>
      <w:bookmarkEnd w:id="30"/>
    </w:p>
    <w:p w14:paraId="5DF5C32E">
      <w:pPr>
        <w:pStyle w:val="8"/>
        <w:keepNext/>
        <w:keepLines/>
        <w:pageBreakBefore w:val="0"/>
        <w:kinsoku/>
        <w:wordWrap/>
        <w:overflowPunct/>
        <w:topLinePunct w:val="0"/>
        <w:autoSpaceDE/>
        <w:autoSpaceDN/>
        <w:bidi w:val="0"/>
        <w:adjustRightInd/>
        <w:snapToGrid/>
        <w:spacing w:beforeAutospacing="0" w:afterAutospacing="0" w:line="480" w:lineRule="exact"/>
        <w:ind w:firstLine="498"/>
        <w:jc w:val="both"/>
        <w:textAlignment w:val="auto"/>
        <w:rPr>
          <w:color w:val="000000" w:themeColor="text1"/>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六、其他补充事宜</w:t>
      </w:r>
    </w:p>
    <w:p w14:paraId="5CB152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pPr>
      <w:bookmarkStart w:id="31" w:name="_Toc28359018"/>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1.根据省财政厅《关于更换全省政府采购交易系统 CA 数字证书和电子签章的通知》（苏财购〔2023〕101 号），“苏采云 ”政府采购交易系统（以下简称苏采云系统）的 CA 数字证书、电子签章已更换为江苏省电子政务证书认证中心 CA 和方 正国际软件（北京）有限公司电子签章。如果投标人通过苏采云系统参与政府采购项目，需要更换 CA 数字证书和电子签章。具体办理指南和操作手册：在盐城市政府采购网点击【办事指南】-【供应商参与政府采购活动相关资料】。</w:t>
      </w:r>
    </w:p>
    <w:p w14:paraId="61BF6F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领取 CA 和办理电子签章（请至亭湖区政务服务中心二楼226窗口办理，联系电话：15051556883，办理邮箱：yancheng@ideabank.net.cn，具体联系方式见《苏采云系统供应商操作手册》（以下简称《操作手册》）、进行注册并按《操作手册》要求制作、上传电子投标文件,《苏采云系统供应商操作手册》：在盐城  市政府采购网点击【办事指南】-【供应商参与政府采购活动相关资料】。</w:t>
      </w:r>
    </w:p>
    <w:p w14:paraId="6CED92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2.潜在供应商访问电子招标响应交易平台的网络地址和方法：</w:t>
      </w:r>
    </w:p>
    <w:p w14:paraId="629DDE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2.1“苏采云”系统用户注册--获取“CA 数字证书 ”--CA 绑定与登录--参与投标--下载采购文件（后缀名为“.kedt”）--将后缀名为“.kedt”的采购文件导入政府采购客户端工具--制作响应文件--导出加密的响应文件（后缀名为zip）-- 通过“苏采云”系统上传响应文件。具体见《“苏采云”系统供应商操作手册》</w:t>
      </w:r>
    </w:p>
    <w:p w14:paraId="452250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（手册下载地址：苏采云系统-右侧消息通知栏）。</w:t>
      </w:r>
    </w:p>
    <w:p w14:paraId="55E981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2.2 潜在投标人访问“苏采云”系统方法：江苏省政府采购网首页-“苏采云”链接。</w:t>
      </w:r>
    </w:p>
    <w:p w14:paraId="55DE5C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2.3 采购文件（后缀名为“.kedt”）、供应商操作手册及政府采购客户端工具可通过“苏采云”系统相应链接进行下载。</w:t>
      </w:r>
    </w:p>
    <w:p w14:paraId="1887CD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 xml:space="preserve">2.4 </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采购中心</w:t>
      </w:r>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将数据电文形式的采购文件加载至“苏采云”系统，供潜在供应商下载或者查阅。</w:t>
      </w:r>
    </w:p>
    <w:p w14:paraId="194718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right="0" w:firstLine="560" w:firstLineChars="200"/>
        <w:jc w:val="both"/>
        <w:textAlignment w:val="auto"/>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2.5 请潜在投标单位提前安装相应的控件（详见《“苏采云”系统供应商操作手册》）并使用谷歌浏览器登录“苏采云”系统参与不见面开评标。</w:t>
      </w:r>
    </w:p>
    <w:p w14:paraId="6FEA50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如潜在投标人未按上述要求操作，将自行承担所产生的风险。</w:t>
      </w:r>
    </w:p>
    <w:p w14:paraId="106FCA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有关本次招标的事项若存在变动或修改，敬请及时关注盐城市政府</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采购中心</w:t>
      </w:r>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在“ 中国政府采购网 ”、“江苏政府采购网 ”、“盐城市政府采购网 ”发布的更正公告。</w:t>
      </w:r>
    </w:p>
    <w:p w14:paraId="7E521C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4.本次招标不收取投标保证金，不收取质量保证金。</w:t>
      </w:r>
    </w:p>
    <w:p w14:paraId="2323C0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微软雅黑" w:hAnsi="微软雅黑" w:eastAsia="微软雅黑" w:cs="微软雅黑"/>
          <w:b w:val="0"/>
          <w:bCs w:val="0"/>
          <w:i w:val="0"/>
          <w:iCs w:val="0"/>
          <w:caps w:val="0"/>
          <w:color w:val="000000" w:themeColor="text1"/>
          <w:spacing w:val="0"/>
          <w:sz w:val="27"/>
          <w:szCs w:val="27"/>
          <w14:textFill>
            <w14:solidFill>
              <w14:schemeClr w14:val="tx1"/>
            </w14:solidFill>
          </w14:textFill>
        </w:rPr>
      </w:pPr>
      <w:r>
        <w:rPr>
          <w:rFonts w:hint="eastAsia" w:ascii="黑体" w:eastAsia="黑体" w:cs="黑体"/>
          <w:b w:val="0"/>
          <w:bCs w:val="0"/>
          <w:i w:val="0"/>
          <w:iCs w:val="0"/>
          <w:caps w:val="0"/>
          <w:color w:val="000000" w:themeColor="text1"/>
          <w:spacing w:val="0"/>
          <w:sz w:val="28"/>
          <w:szCs w:val="28"/>
          <w:u w:val="none"/>
          <w:shd w:val="clear" w:fill="FFFFFF"/>
          <w:lang w:val="en-US" w:eastAsia="zh-CN"/>
          <w14:textFill>
            <w14:solidFill>
              <w14:schemeClr w14:val="tx1"/>
            </w14:solidFill>
          </w14:textFill>
        </w:rPr>
        <w:t>七</w:t>
      </w:r>
      <w:r>
        <w:rPr>
          <w:rFonts w:hint="eastAsia" w:ascii="黑体" w:hAnsi="宋体" w:eastAsia="黑体" w:cs="黑体"/>
          <w:b w:val="0"/>
          <w:bCs w:val="0"/>
          <w:i w:val="0"/>
          <w:iCs w:val="0"/>
          <w:caps w:val="0"/>
          <w:color w:val="000000" w:themeColor="text1"/>
          <w:spacing w:val="0"/>
          <w:sz w:val="28"/>
          <w:szCs w:val="28"/>
          <w:u w:val="none"/>
          <w:shd w:val="clear" w:fill="FFFFFF"/>
          <w14:textFill>
            <w14:solidFill>
              <w14:schemeClr w14:val="tx1"/>
            </w14:solidFill>
          </w14:textFill>
        </w:rPr>
        <w:t>、对本次</w:t>
      </w:r>
      <w:r>
        <w:rPr>
          <w:rFonts w:hint="eastAsia" w:ascii="黑体" w:eastAsia="黑体" w:cs="黑体"/>
          <w:b w:val="0"/>
          <w:bCs w:val="0"/>
          <w:i w:val="0"/>
          <w:iCs w:val="0"/>
          <w:caps w:val="0"/>
          <w:color w:val="000000" w:themeColor="text1"/>
          <w:spacing w:val="0"/>
          <w:sz w:val="28"/>
          <w:szCs w:val="28"/>
          <w:u w:val="none"/>
          <w:shd w:val="clear" w:fill="FFFFFF"/>
          <w:lang w:val="en-US" w:eastAsia="zh-CN"/>
          <w14:textFill>
            <w14:solidFill>
              <w14:schemeClr w14:val="tx1"/>
            </w14:solidFill>
          </w14:textFill>
        </w:rPr>
        <w:t>招标</w:t>
      </w:r>
      <w:r>
        <w:rPr>
          <w:rFonts w:hint="eastAsia" w:ascii="黑体" w:hAnsi="宋体" w:eastAsia="黑体" w:cs="黑体"/>
          <w:b w:val="0"/>
          <w:bCs w:val="0"/>
          <w:i w:val="0"/>
          <w:iCs w:val="0"/>
          <w:caps w:val="0"/>
          <w:color w:val="000000" w:themeColor="text1"/>
          <w:spacing w:val="0"/>
          <w:sz w:val="28"/>
          <w:szCs w:val="28"/>
          <w:u w:val="none"/>
          <w:shd w:val="clear" w:fill="FFFFFF"/>
          <w14:textFill>
            <w14:solidFill>
              <w14:schemeClr w14:val="tx1"/>
            </w14:solidFill>
          </w14:textFill>
        </w:rPr>
        <w:t>提出询问，请按以下方式联系。</w:t>
      </w:r>
    </w:p>
    <w:p w14:paraId="6F1718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 </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1.采购人信息</w:t>
      </w:r>
    </w:p>
    <w:p w14:paraId="7E4072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名 称：射阳县高级中学   </w:t>
      </w:r>
    </w:p>
    <w:p w14:paraId="2C8D3F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地 址：</w:t>
      </w:r>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江苏省盐城市射阳县红旗东路</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号</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p>
    <w:p w14:paraId="5F7E7E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联系人：陆老师             </w:t>
      </w:r>
    </w:p>
    <w:p w14:paraId="7F3731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联系方式：</w:t>
      </w:r>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15861920978</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p>
    <w:p w14:paraId="19653E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2.采购中心信息</w:t>
      </w:r>
    </w:p>
    <w:p w14:paraId="0E742C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名 称：</w:t>
      </w:r>
      <w:r>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t>射阳县行政服务中心</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p>
    <w:p w14:paraId="42025B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地 址： 盐城市射阳县幸福大道16号</w:t>
      </w:r>
    </w:p>
    <w:p w14:paraId="68FC41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联系人：彭明静                     </w:t>
      </w:r>
    </w:p>
    <w:p w14:paraId="465F0A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联系方式：</w:t>
      </w:r>
      <w:bookmarkStart w:id="32" w:name="_Toc28359087"/>
      <w:bookmarkStart w:id="33" w:name="_Toc28359010"/>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0515-82309113       </w:t>
      </w:r>
      <w:bookmarkEnd w:id="32"/>
      <w:bookmarkEnd w:id="33"/>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p>
    <w:p w14:paraId="03B5FA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bookmarkStart w:id="34" w:name="_Toc28359021"/>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3.</w:t>
      </w:r>
      <w:bookmarkEnd w:id="34"/>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项目联系方式</w:t>
      </w:r>
    </w:p>
    <w:p w14:paraId="67789B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项目联系人：彭明静</w:t>
      </w:r>
    </w:p>
    <w:p w14:paraId="103349A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560" w:leftChars="0" w:right="0" w:rightChars="0"/>
        <w:jc w:val="both"/>
        <w:textAlignment w:val="auto"/>
        <w:rPr>
          <w:rFonts w:hint="eastAsia" w:ascii="仿宋" w:hAnsi="仿宋" w:eastAsia="仿宋" w:cs="仿宋"/>
          <w:i w:val="0"/>
          <w:iCs w:val="0"/>
          <w:caps w:val="0"/>
          <w:color w:val="000000" w:themeColor="text1"/>
          <w:spacing w:val="0"/>
          <w:sz w:val="28"/>
          <w:szCs w:val="28"/>
          <w:shd w:val="clear" w:fill="FFFFFF"/>
          <w:lang w:val="en-US" w:eastAsia="zh-Hans"/>
          <w14:textFill>
            <w14:solidFill>
              <w14:schemeClr w14:val="tx1"/>
            </w14:solidFill>
          </w14:textFill>
        </w:rPr>
        <w:sectPr>
          <w:footerReference r:id="rId5" w:type="default"/>
          <w:pgSz w:w="11906" w:h="16839"/>
          <w:pgMar w:top="1305" w:right="1399" w:bottom="1188" w:left="1633" w:header="962" w:footer="971" w:gutter="0"/>
          <w:pgNumType w:fmt="decimal" w:start="1"/>
          <w:cols w:space="720" w:num="1"/>
          <w:docGrid w:linePitch="360" w:charSpace="0"/>
        </w:sect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电　　 话：0515-82309113 </w:t>
      </w:r>
    </w:p>
    <w:bookmarkEnd w:id="31"/>
    <w:p w14:paraId="33CC6DD5">
      <w:pPr>
        <w:jc w:val="center"/>
        <w:rPr>
          <w:color w:val="000000" w:themeColor="text1"/>
          <w14:textFill>
            <w14:solidFill>
              <w14:schemeClr w14:val="tx1"/>
            </w14:solidFill>
          </w14:textFill>
        </w:rPr>
      </w:pPr>
      <w:bookmarkStart w:id="35" w:name="_Toc120614211"/>
      <w:r>
        <w:rPr>
          <w:rFonts w:hint="eastAsia" w:ascii="黑体" w:hAnsi="宋体" w:eastAsia="黑体" w:cs="黑体"/>
          <w:b/>
          <w:color w:val="000000" w:themeColor="text1"/>
          <w:sz w:val="44"/>
          <w:szCs w:val="44"/>
          <w14:textFill>
            <w14:solidFill>
              <w14:schemeClr w14:val="tx1"/>
            </w14:solidFill>
          </w14:textFill>
        </w:rPr>
        <w:t xml:space="preserve">第二章  </w:t>
      </w:r>
      <w:bookmarkEnd w:id="35"/>
      <w:bookmarkStart w:id="36" w:name="_Toc513029202"/>
      <w:bookmarkStart w:id="37" w:name="_Toc120614213"/>
      <w:bookmarkStart w:id="38" w:name="_Toc20823274"/>
      <w:bookmarkStart w:id="39" w:name="_Toc16938518"/>
      <w:r>
        <w:rPr>
          <w:rFonts w:hint="eastAsia" w:ascii="黑体" w:hAnsi="宋体" w:eastAsia="黑体" w:cs="黑体"/>
          <w:b/>
          <w:color w:val="000000" w:themeColor="text1"/>
          <w:sz w:val="44"/>
          <w:szCs w:val="44"/>
          <w14:textFill>
            <w14:solidFill>
              <w14:schemeClr w14:val="tx1"/>
            </w14:solidFill>
          </w14:textFill>
        </w:rPr>
        <w:t>投标人须知</w:t>
      </w:r>
      <w:bookmarkEnd w:id="36"/>
      <w:bookmarkEnd w:id="37"/>
      <w:bookmarkEnd w:id="38"/>
      <w:bookmarkEnd w:id="39"/>
    </w:p>
    <w:p w14:paraId="3DEF94F8">
      <w:pPr>
        <w:pStyle w:val="8"/>
        <w:keepNext/>
        <w:keepLines/>
        <w:spacing w:before="145" w:beforeAutospacing="0" w:after="145" w:afterAutospacing="0" w:line="360" w:lineRule="auto"/>
        <w:ind w:firstLine="498"/>
        <w:jc w:val="both"/>
        <w:rPr>
          <w:color w:val="000000" w:themeColor="text1"/>
          <w14:textFill>
            <w14:solidFill>
              <w14:schemeClr w14:val="tx1"/>
            </w14:solidFill>
          </w14:textFill>
        </w:rPr>
      </w:pPr>
      <w:bookmarkStart w:id="40" w:name="_Toc120614214"/>
      <w:bookmarkStart w:id="41" w:name="_Toc513029203"/>
      <w:bookmarkStart w:id="42" w:name="_Toc16938519"/>
      <w:bookmarkStart w:id="43" w:name="_Toc20823275"/>
      <w:r>
        <w:rPr>
          <w:rFonts w:ascii="Times New Roman" w:hAnsi="Times New Roman"/>
          <w:b/>
          <w:color w:val="000000" w:themeColor="text1"/>
          <w:sz w:val="32"/>
          <w:szCs w:val="32"/>
          <w14:textFill>
            <w14:solidFill>
              <w14:schemeClr w14:val="tx1"/>
            </w14:solidFill>
          </w14:textFill>
        </w:rPr>
        <w:t>一、总则</w:t>
      </w:r>
      <w:bookmarkEnd w:id="40"/>
      <w:bookmarkEnd w:id="41"/>
      <w:bookmarkEnd w:id="42"/>
      <w:bookmarkEnd w:id="43"/>
    </w:p>
    <w:p w14:paraId="7397FA30">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bookmarkStart w:id="44" w:name="_Toc16938520"/>
      <w:bookmarkStart w:id="45" w:name="_Toc458694821"/>
      <w:bookmarkStart w:id="46" w:name="_Toc20823276"/>
      <w:bookmarkStart w:id="47" w:name="_Toc513029204"/>
      <w:bookmarkStart w:id="48" w:name="_Hlt16619475"/>
      <w:r>
        <w:rPr>
          <w:rFonts w:ascii="Arial" w:hAnsi="Arial" w:cs="Arial"/>
          <w:color w:val="000000" w:themeColor="text1"/>
          <w:sz w:val="28"/>
          <w:szCs w:val="28"/>
          <w14:textFill>
            <w14:solidFill>
              <w14:schemeClr w14:val="tx1"/>
            </w14:solidFill>
          </w14:textFill>
        </w:rPr>
        <w:t>1</w:t>
      </w:r>
      <w:bookmarkEnd w:id="44"/>
      <w:r>
        <w:rPr>
          <w:rFonts w:ascii="Arial" w:hAnsi="Arial" w:cs="Arial"/>
          <w:color w:val="000000" w:themeColor="text1"/>
          <w:sz w:val="28"/>
          <w:szCs w:val="28"/>
          <w14:textFill>
            <w14:solidFill>
              <w14:schemeClr w14:val="tx1"/>
            </w14:solidFill>
          </w14:textFill>
        </w:rPr>
        <w:t>、招标方式</w:t>
      </w:r>
      <w:bookmarkEnd w:id="45"/>
      <w:bookmarkEnd w:id="46"/>
      <w:bookmarkEnd w:id="47"/>
    </w:p>
    <w:p w14:paraId="1F501620">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rFonts w:hint="default" w:ascii="宋体" w:hAnsi="宋体" w:eastAsia="宋体" w:cs="宋体"/>
          <w:color w:val="000000" w:themeColor="text1"/>
          <w:spacing w:val="-1"/>
          <w:kern w:val="0"/>
          <w:sz w:val="24"/>
          <w:szCs w:val="24"/>
          <w:lang w:val="en-US" w:eastAsia="en-US" w:bidi="ar-SA"/>
          <w14:textFill>
            <w14:solidFill>
              <w14:schemeClr w14:val="tx1"/>
            </w14:solidFill>
          </w14:textFill>
        </w:rPr>
      </w:pPr>
      <w:r>
        <w:rPr>
          <w:rFonts w:hint="eastAsia" w:ascii="宋体" w:hAnsi="宋体" w:eastAsia="宋体" w:cs="宋体"/>
          <w:color w:val="000000" w:themeColor="text1"/>
          <w:spacing w:val="-1"/>
          <w:kern w:val="0"/>
          <w:sz w:val="24"/>
          <w:szCs w:val="24"/>
          <w:lang w:val="en-US" w:eastAsia="en-US" w:bidi="ar-SA"/>
          <w14:textFill>
            <w14:solidFill>
              <w14:schemeClr w14:val="tx1"/>
            </w14:solidFill>
          </w14:textFill>
        </w:rPr>
        <w:t>1.1本次招标采取公开招标方式，本招标文件仅适用于招标公告中所述项目。</w:t>
      </w:r>
    </w:p>
    <w:p w14:paraId="7FDF9D07">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bookmarkStart w:id="49" w:name="_Toc20823277"/>
      <w:bookmarkStart w:id="50" w:name="_Toc16938521"/>
      <w:bookmarkStart w:id="51" w:name="_Toc513029205"/>
      <w:r>
        <w:rPr>
          <w:rFonts w:ascii="Arial" w:hAnsi="Arial" w:cs="Arial"/>
          <w:color w:val="000000" w:themeColor="text1"/>
          <w:sz w:val="28"/>
          <w:szCs w:val="28"/>
          <w14:textFill>
            <w14:solidFill>
              <w14:schemeClr w14:val="tx1"/>
            </w14:solidFill>
          </w14:textFill>
        </w:rPr>
        <w:t>2、合格的投标人</w:t>
      </w:r>
      <w:bookmarkEnd w:id="49"/>
      <w:bookmarkEnd w:id="50"/>
      <w:bookmarkEnd w:id="51"/>
    </w:p>
    <w:p w14:paraId="22F73BBB">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2.1满足招标公告中供应商的资格要求的规定。</w:t>
      </w:r>
    </w:p>
    <w:p w14:paraId="3EE8BE7F">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2.2满足本文件实质性要求和条件的规定。</w:t>
      </w:r>
    </w:p>
    <w:p w14:paraId="7F9D5FA9">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bookmarkStart w:id="52" w:name="_Toc513029206"/>
      <w:bookmarkStart w:id="53" w:name="_Toc20823278"/>
      <w:bookmarkStart w:id="54" w:name="_Toc16938522"/>
      <w:r>
        <w:rPr>
          <w:rFonts w:ascii="Arial" w:hAnsi="Arial" w:cs="Arial"/>
          <w:color w:val="000000" w:themeColor="text1"/>
          <w:sz w:val="28"/>
          <w:szCs w:val="28"/>
          <w14:textFill>
            <w14:solidFill>
              <w14:schemeClr w14:val="tx1"/>
            </w14:solidFill>
          </w14:textFill>
        </w:rPr>
        <w:t>3、适用法律</w:t>
      </w:r>
      <w:bookmarkEnd w:id="52"/>
      <w:bookmarkEnd w:id="53"/>
      <w:bookmarkEnd w:id="54"/>
    </w:p>
    <w:p w14:paraId="2B4AE730">
      <w:pPr>
        <w:pStyle w:val="8"/>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3.1本次招标及由此产生的合同受中华人民共和国有关的法律法规制约和保护。</w:t>
      </w:r>
    </w:p>
    <w:p w14:paraId="0B513170">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bookmarkStart w:id="55" w:name="_Toc462564067"/>
      <w:bookmarkStart w:id="56" w:name="_Toc16938523"/>
      <w:bookmarkStart w:id="57" w:name="_Toc513029207"/>
      <w:bookmarkStart w:id="58" w:name="_Toc20823279"/>
      <w:r>
        <w:rPr>
          <w:rFonts w:ascii="Arial" w:hAnsi="Arial" w:cs="Arial"/>
          <w:color w:val="000000" w:themeColor="text1"/>
          <w:sz w:val="28"/>
          <w:szCs w:val="28"/>
          <w14:textFill>
            <w14:solidFill>
              <w14:schemeClr w14:val="tx1"/>
            </w14:solidFill>
          </w14:textFill>
        </w:rPr>
        <w:t>4、投标费用</w:t>
      </w:r>
      <w:bookmarkEnd w:id="55"/>
      <w:bookmarkEnd w:id="56"/>
      <w:bookmarkEnd w:id="57"/>
      <w:bookmarkEnd w:id="58"/>
    </w:p>
    <w:p w14:paraId="577BF2F0">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4.1投标人应自行承担所有与参加投标有关的费用，无论投标过程中的做法和结果如何，采购人及</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在任何情况下均无义务和责任承担这些费用。</w:t>
      </w:r>
    </w:p>
    <w:p w14:paraId="10339001">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4.2本次招标</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和采购人不收取标书工本费</w:t>
      </w:r>
      <w:r>
        <w:rPr>
          <w:rFonts w:ascii="宋体" w:hAnsi="宋体" w:eastAsia="宋体" w:cs="宋体"/>
          <w:color w:val="000000" w:themeColor="text1"/>
          <w:spacing w:val="-1"/>
          <w:sz w:val="24"/>
          <w:szCs w:val="24"/>
          <w14:textFill>
            <w14:solidFill>
              <w14:schemeClr w14:val="tx1"/>
            </w14:solidFill>
          </w14:textFill>
        </w:rPr>
        <w:t>与中标服务费</w:t>
      </w:r>
      <w:r>
        <w:rPr>
          <w:rFonts w:hint="eastAsia" w:ascii="宋体" w:hAnsi="宋体" w:eastAsia="宋体" w:cs="宋体"/>
          <w:color w:val="000000" w:themeColor="text1"/>
          <w14:textFill>
            <w14:solidFill>
              <w14:schemeClr w14:val="tx1"/>
            </w14:solidFill>
          </w14:textFill>
        </w:rPr>
        <w:t>。</w:t>
      </w:r>
    </w:p>
    <w:p w14:paraId="4F5FD3C2">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602"/>
        <w:jc w:val="both"/>
        <w:textAlignment w:val="auto"/>
        <w:rPr>
          <w:color w:val="000000" w:themeColor="text1"/>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5、</w:t>
      </w:r>
      <w:r>
        <w:rPr>
          <w:rFonts w:hint="eastAsia" w:ascii="黑体" w:hAnsi="宋体" w:eastAsia="黑体" w:cs="黑体"/>
          <w:color w:val="000000" w:themeColor="text1"/>
          <w:sz w:val="28"/>
          <w:szCs w:val="28"/>
          <w14:textFill>
            <w14:solidFill>
              <w14:schemeClr w14:val="tx1"/>
            </w14:solidFill>
          </w14:textFill>
        </w:rPr>
        <w:t>招标文件的约束力</w:t>
      </w:r>
    </w:p>
    <w:p w14:paraId="6E300A72">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5.1投标人一旦参加本项目采购活动，即被认为接受了本招标文件的规定和约束。</w:t>
      </w:r>
    </w:p>
    <w:p w14:paraId="4E8A84C0">
      <w:pPr>
        <w:pStyle w:val="8"/>
        <w:keepNext/>
        <w:keepLines/>
        <w:spacing w:before="145" w:beforeAutospacing="0" w:after="145" w:afterAutospacing="0" w:line="360" w:lineRule="auto"/>
        <w:ind w:firstLine="321"/>
        <w:jc w:val="both"/>
        <w:rPr>
          <w:color w:val="000000" w:themeColor="text1"/>
          <w14:textFill>
            <w14:solidFill>
              <w14:schemeClr w14:val="tx1"/>
            </w14:solidFill>
          </w14:textFill>
        </w:rPr>
      </w:pPr>
      <w:bookmarkStart w:id="59" w:name="_Toc16938525"/>
      <w:bookmarkStart w:id="60" w:name="_Toc513029209"/>
      <w:bookmarkStart w:id="61" w:name="_Toc120614215"/>
      <w:bookmarkStart w:id="62" w:name="_Toc20823281"/>
      <w:r>
        <w:rPr>
          <w:rFonts w:ascii="Times New Roman" w:hAnsi="Times New Roman"/>
          <w:b/>
          <w:color w:val="000000" w:themeColor="text1"/>
          <w:sz w:val="32"/>
          <w:szCs w:val="32"/>
          <w14:textFill>
            <w14:solidFill>
              <w14:schemeClr w14:val="tx1"/>
            </w14:solidFill>
          </w14:textFill>
        </w:rPr>
        <w:t>二、招标文件</w:t>
      </w:r>
      <w:bookmarkEnd w:id="59"/>
      <w:bookmarkEnd w:id="60"/>
      <w:bookmarkEnd w:id="61"/>
      <w:bookmarkEnd w:id="62"/>
    </w:p>
    <w:p w14:paraId="66BF44C8">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bookmarkStart w:id="63" w:name="_Toc16938526"/>
      <w:bookmarkStart w:id="64" w:name="_Toc513029210"/>
      <w:bookmarkStart w:id="65" w:name="_Toc20823282"/>
      <w:r>
        <w:rPr>
          <w:rFonts w:ascii="Arial" w:hAnsi="Arial" w:cs="Arial"/>
          <w:color w:val="000000" w:themeColor="text1"/>
          <w:sz w:val="28"/>
          <w:szCs w:val="28"/>
          <w14:textFill>
            <w14:solidFill>
              <w14:schemeClr w14:val="tx1"/>
            </w14:solidFill>
          </w14:textFill>
        </w:rPr>
        <w:t>6、招标文件构成</w:t>
      </w:r>
      <w:bookmarkEnd w:id="63"/>
      <w:bookmarkEnd w:id="64"/>
      <w:bookmarkEnd w:id="65"/>
    </w:p>
    <w:p w14:paraId="335787F5">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 招标文件由以下部分组成：</w:t>
      </w:r>
    </w:p>
    <w:p w14:paraId="60DFBBE0">
      <w:pPr>
        <w:pStyle w:val="8"/>
        <w:pageBreakBefore w:val="0"/>
        <w:widowControl w:val="0"/>
        <w:kinsoku/>
        <w:wordWrap/>
        <w:overflowPunct/>
        <w:topLinePunct w:val="0"/>
        <w:autoSpaceDE/>
        <w:autoSpaceDN/>
        <w:bidi w:val="0"/>
        <w:adjustRightInd/>
        <w:snapToGrid/>
        <w:spacing w:beforeAutospacing="0" w:afterAutospacing="0" w:line="480" w:lineRule="exact"/>
        <w:ind w:firstLine="36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招标公告</w:t>
      </w:r>
    </w:p>
    <w:p w14:paraId="7EDFDB12">
      <w:pPr>
        <w:pStyle w:val="8"/>
        <w:pageBreakBefore w:val="0"/>
        <w:widowControl w:val="0"/>
        <w:kinsoku/>
        <w:wordWrap/>
        <w:overflowPunct/>
        <w:topLinePunct w:val="0"/>
        <w:autoSpaceDE/>
        <w:autoSpaceDN/>
        <w:bidi w:val="0"/>
        <w:adjustRightInd/>
        <w:snapToGrid/>
        <w:spacing w:beforeAutospacing="0" w:afterAutospacing="0" w:line="480" w:lineRule="exact"/>
        <w:ind w:firstLine="36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（2）投标人须知</w:t>
      </w:r>
    </w:p>
    <w:p w14:paraId="522C5260">
      <w:pPr>
        <w:pStyle w:val="8"/>
        <w:pageBreakBefore w:val="0"/>
        <w:widowControl w:val="0"/>
        <w:kinsoku/>
        <w:wordWrap/>
        <w:overflowPunct/>
        <w:topLinePunct w:val="0"/>
        <w:autoSpaceDE/>
        <w:autoSpaceDN/>
        <w:bidi w:val="0"/>
        <w:adjustRightInd/>
        <w:snapToGrid/>
        <w:spacing w:beforeAutospacing="0" w:afterAutospacing="0" w:line="480" w:lineRule="exact"/>
        <w:ind w:firstLine="36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（3）合同文本</w:t>
      </w:r>
    </w:p>
    <w:p w14:paraId="0FC85767">
      <w:pPr>
        <w:pStyle w:val="8"/>
        <w:pageBreakBefore w:val="0"/>
        <w:widowControl w:val="0"/>
        <w:kinsoku/>
        <w:wordWrap/>
        <w:overflowPunct/>
        <w:topLinePunct w:val="0"/>
        <w:autoSpaceDE/>
        <w:autoSpaceDN/>
        <w:bidi w:val="0"/>
        <w:adjustRightInd/>
        <w:snapToGrid/>
        <w:spacing w:beforeAutospacing="0" w:afterAutospacing="0" w:line="480" w:lineRule="exact"/>
        <w:ind w:firstLine="36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（4）采购需求</w:t>
      </w:r>
    </w:p>
    <w:p w14:paraId="47E41971">
      <w:pPr>
        <w:pStyle w:val="8"/>
        <w:pageBreakBefore w:val="0"/>
        <w:widowControl w:val="0"/>
        <w:kinsoku/>
        <w:wordWrap/>
        <w:overflowPunct/>
        <w:topLinePunct w:val="0"/>
        <w:autoSpaceDE/>
        <w:autoSpaceDN/>
        <w:bidi w:val="0"/>
        <w:adjustRightInd/>
        <w:snapToGrid/>
        <w:spacing w:beforeAutospacing="0" w:afterAutospacing="0" w:line="480" w:lineRule="exact"/>
        <w:ind w:firstLine="36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评标方法与评标标准</w:t>
      </w:r>
    </w:p>
    <w:p w14:paraId="70027427">
      <w:pPr>
        <w:pStyle w:val="8"/>
        <w:pageBreakBefore w:val="0"/>
        <w:widowControl w:val="0"/>
        <w:kinsoku/>
        <w:wordWrap/>
        <w:overflowPunct/>
        <w:topLinePunct w:val="0"/>
        <w:autoSpaceDE/>
        <w:autoSpaceDN/>
        <w:bidi w:val="0"/>
        <w:adjustRightInd/>
        <w:snapToGrid/>
        <w:spacing w:beforeAutospacing="0" w:afterAutospacing="0" w:line="480" w:lineRule="exact"/>
        <w:ind w:firstLine="36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（6）投标文件格式</w:t>
      </w:r>
    </w:p>
    <w:p w14:paraId="0791A5B3">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请仔细检查招标文件是否齐全，如有缺漏请立即与</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联系解决。</w:t>
      </w:r>
    </w:p>
    <w:p w14:paraId="14EA27C0">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E61EB34">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560"/>
        <w:jc w:val="both"/>
        <w:textAlignment w:val="auto"/>
        <w:rPr>
          <w:color w:val="000000" w:themeColor="text1"/>
          <w14:textFill>
            <w14:solidFill>
              <w14:schemeClr w14:val="tx1"/>
            </w14:solidFill>
          </w14:textFill>
        </w:rPr>
      </w:pPr>
      <w:bookmarkStart w:id="66" w:name="_Toc462564070"/>
      <w:bookmarkStart w:id="67" w:name="_Toc20823283"/>
      <w:bookmarkStart w:id="68" w:name="_Toc513029211"/>
      <w:bookmarkStart w:id="69" w:name="_Toc16938527"/>
      <w:r>
        <w:rPr>
          <w:rFonts w:ascii="Arial" w:hAnsi="Arial" w:cs="Arial"/>
          <w:color w:val="000000" w:themeColor="text1"/>
          <w:sz w:val="28"/>
          <w:szCs w:val="28"/>
          <w14:textFill>
            <w14:solidFill>
              <w14:schemeClr w14:val="tx1"/>
            </w14:solidFill>
          </w14:textFill>
        </w:rPr>
        <w:t>7、招标文件的澄清</w:t>
      </w:r>
      <w:bookmarkEnd w:id="66"/>
      <w:bookmarkEnd w:id="67"/>
      <w:bookmarkEnd w:id="68"/>
      <w:bookmarkEnd w:id="69"/>
    </w:p>
    <w:p w14:paraId="340019D2">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7.1任何要求对招标文件进行澄清的投标人，应在投标截止期十日前按招标公告中的通讯地址，以书面形式通知</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w:t>
      </w:r>
    </w:p>
    <w:p w14:paraId="04A07D4B">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560"/>
        <w:jc w:val="both"/>
        <w:textAlignment w:val="auto"/>
        <w:rPr>
          <w:color w:val="000000" w:themeColor="text1"/>
          <w14:textFill>
            <w14:solidFill>
              <w14:schemeClr w14:val="tx1"/>
            </w14:solidFill>
          </w14:textFill>
        </w:rPr>
      </w:pPr>
      <w:bookmarkStart w:id="70" w:name="_Toc20823284"/>
      <w:bookmarkStart w:id="71" w:name="_Toc16938528"/>
      <w:bookmarkStart w:id="72" w:name="_Toc513029212"/>
      <w:bookmarkStart w:id="73" w:name="_Toc462564071"/>
      <w:r>
        <w:rPr>
          <w:rFonts w:ascii="Arial" w:hAnsi="Arial" w:cs="Arial"/>
          <w:color w:val="000000" w:themeColor="text1"/>
          <w:sz w:val="28"/>
          <w:szCs w:val="28"/>
          <w14:textFill>
            <w14:solidFill>
              <w14:schemeClr w14:val="tx1"/>
            </w14:solidFill>
          </w14:textFill>
        </w:rPr>
        <w:t>8、招标文件的修改</w:t>
      </w:r>
      <w:bookmarkEnd w:id="70"/>
      <w:bookmarkEnd w:id="71"/>
      <w:bookmarkEnd w:id="72"/>
      <w:bookmarkEnd w:id="73"/>
    </w:p>
    <w:p w14:paraId="6CB44EE1">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8.1在投标截止时间前，</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可以对招标文件进行修改。</w:t>
      </w:r>
    </w:p>
    <w:p w14:paraId="76213FA0">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8.2</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有权按照法定的要求推迟投标截止日期和开标日期。</w:t>
      </w:r>
    </w:p>
    <w:p w14:paraId="6727E6EC">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8.3招标文件的修改将在</w:t>
      </w:r>
      <w:r>
        <w:rPr>
          <w:rFonts w:hint="eastAsia" w:ascii="宋体" w:hAnsi="宋体" w:eastAsia="宋体" w:cs="宋体"/>
          <w:color w:val="000000" w:themeColor="text1"/>
          <w:lang w:val="en-US" w:eastAsia="zh-CN"/>
          <w14:textFill>
            <w14:solidFill>
              <w14:schemeClr w14:val="tx1"/>
            </w14:solidFill>
          </w14:textFill>
        </w:rPr>
        <w:t>“中国政府采购网”、“江苏政府采购网”、“盐城市政府采购网”</w:t>
      </w:r>
      <w:r>
        <w:rPr>
          <w:rFonts w:hint="eastAsia" w:ascii="宋体" w:hAnsi="宋体" w:eastAsia="宋体" w:cs="宋体"/>
          <w:color w:val="000000" w:themeColor="text1"/>
          <w14:textFill>
            <w14:solidFill>
              <w14:schemeClr w14:val="tx1"/>
            </w14:solidFill>
          </w14:textFill>
        </w:rPr>
        <w:t>公布，补充文件将作为招标文件的组成部分，并对投标人具有约束力。</w:t>
      </w:r>
    </w:p>
    <w:p w14:paraId="226DECC7">
      <w:pPr>
        <w:pStyle w:val="8"/>
        <w:keepNext/>
        <w:keepLines/>
        <w:spacing w:before="145" w:beforeAutospacing="0" w:after="145" w:afterAutospacing="0" w:line="360" w:lineRule="auto"/>
        <w:ind w:firstLine="482"/>
        <w:jc w:val="both"/>
        <w:rPr>
          <w:color w:val="000000" w:themeColor="text1"/>
          <w14:textFill>
            <w14:solidFill>
              <w14:schemeClr w14:val="tx1"/>
            </w14:solidFill>
          </w14:textFill>
        </w:rPr>
      </w:pPr>
      <w:bookmarkStart w:id="74" w:name="_Toc120614216"/>
      <w:bookmarkStart w:id="75" w:name="_Toc20823285"/>
      <w:bookmarkStart w:id="76" w:name="_Toc513029213"/>
      <w:bookmarkStart w:id="77" w:name="_Toc16938529"/>
      <w:bookmarkStart w:id="78" w:name="_Toc462564072"/>
      <w:r>
        <w:rPr>
          <w:rFonts w:ascii="Times New Roman" w:hAnsi="Times New Roman"/>
          <w:b/>
          <w:color w:val="000000" w:themeColor="text1"/>
          <w:sz w:val="32"/>
          <w:szCs w:val="32"/>
          <w14:textFill>
            <w14:solidFill>
              <w14:schemeClr w14:val="tx1"/>
            </w14:solidFill>
          </w14:textFill>
        </w:rPr>
        <w:t>三、投标文件的编制</w:t>
      </w:r>
      <w:bookmarkEnd w:id="74"/>
      <w:bookmarkEnd w:id="75"/>
      <w:bookmarkEnd w:id="76"/>
      <w:bookmarkEnd w:id="77"/>
      <w:bookmarkEnd w:id="78"/>
    </w:p>
    <w:p w14:paraId="00066381">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560"/>
        <w:jc w:val="both"/>
        <w:textAlignment w:val="auto"/>
        <w:rPr>
          <w:color w:val="000000" w:themeColor="text1"/>
          <w14:textFill>
            <w14:solidFill>
              <w14:schemeClr w14:val="tx1"/>
            </w14:solidFill>
          </w14:textFill>
        </w:rPr>
      </w:pPr>
      <w:bookmarkStart w:id="79" w:name="_Toc20823286"/>
      <w:bookmarkStart w:id="80" w:name="_Toc462564073"/>
      <w:bookmarkStart w:id="81" w:name="_Toc16938530"/>
      <w:bookmarkStart w:id="82" w:name="_Toc513029214"/>
      <w:r>
        <w:rPr>
          <w:rFonts w:ascii="Arial" w:hAnsi="Arial" w:cs="Arial"/>
          <w:color w:val="000000" w:themeColor="text1"/>
          <w:sz w:val="28"/>
          <w:szCs w:val="28"/>
          <w14:textFill>
            <w14:solidFill>
              <w14:schemeClr w14:val="tx1"/>
            </w14:solidFill>
          </w14:textFill>
        </w:rPr>
        <w:t>9、投标文件的语言及度量衡单位</w:t>
      </w:r>
      <w:bookmarkEnd w:id="79"/>
      <w:bookmarkEnd w:id="80"/>
      <w:bookmarkEnd w:id="81"/>
      <w:bookmarkEnd w:id="82"/>
    </w:p>
    <w:p w14:paraId="37EDDA98">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9.1投标人提交的投标文件以及投标人与</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就有关投标的所有来往通知、函件和文件均应使用</w:t>
      </w:r>
      <w:r>
        <w:rPr>
          <w:rFonts w:hint="eastAsia" w:ascii="宋体" w:hAnsi="宋体" w:eastAsia="宋体" w:cs="宋体"/>
          <w:b/>
          <w:color w:val="000000" w:themeColor="text1"/>
          <w14:textFill>
            <w14:solidFill>
              <w14:schemeClr w14:val="tx1"/>
            </w14:solidFill>
          </w14:textFill>
        </w:rPr>
        <w:t>简体中文</w:t>
      </w:r>
      <w:r>
        <w:rPr>
          <w:rFonts w:hint="eastAsia" w:ascii="宋体" w:hAnsi="宋体" w:eastAsia="宋体" w:cs="宋体"/>
          <w:color w:val="000000" w:themeColor="text1"/>
          <w14:textFill>
            <w14:solidFill>
              <w14:schemeClr w14:val="tx1"/>
            </w14:solidFill>
          </w14:textFill>
        </w:rPr>
        <w:t>。</w:t>
      </w:r>
    </w:p>
    <w:p w14:paraId="0C2E893C">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9.2除技术性能另有规定外，投标文件所使用的度量衡单位，均须采用国家法定计量单位。</w:t>
      </w:r>
    </w:p>
    <w:p w14:paraId="6FECCA96">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bookmarkStart w:id="83" w:name="_Toc20823287"/>
      <w:bookmarkStart w:id="84" w:name="_Toc16938531"/>
      <w:bookmarkStart w:id="85" w:name="_Toc513029215"/>
      <w:bookmarkStart w:id="86" w:name="_Toc462564074"/>
      <w:r>
        <w:rPr>
          <w:rFonts w:ascii="Arial" w:hAnsi="Arial" w:cs="Arial"/>
          <w:color w:val="000000" w:themeColor="text1"/>
          <w:sz w:val="28"/>
          <w:szCs w:val="28"/>
          <w14:textFill>
            <w14:solidFill>
              <w14:schemeClr w14:val="tx1"/>
            </w14:solidFill>
          </w14:textFill>
        </w:rPr>
        <w:t>10、投标文件构成</w:t>
      </w:r>
      <w:bookmarkEnd w:id="83"/>
      <w:bookmarkEnd w:id="84"/>
      <w:bookmarkEnd w:id="85"/>
      <w:bookmarkEnd w:id="86"/>
    </w:p>
    <w:p w14:paraId="10E736FB">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10.1投标人编写的投标文件应包括资格证明文件、符合性证明文件、投标分项报价表、技术要求响应及偏离表、商务要求响应及偏离表、其他证明文件、投标函、开标一览表等</w:t>
      </w:r>
      <w:r>
        <w:rPr>
          <w:rFonts w:hint="eastAsia" w:ascii="宋体" w:hAnsi="宋体" w:eastAsia="宋体" w:cs="宋体"/>
          <w:color w:val="000000" w:themeColor="text1"/>
          <w:highlight w:val="none"/>
          <w14:textFill>
            <w14:solidFill>
              <w14:schemeClr w14:val="tx1"/>
            </w14:solidFill>
          </w14:textFill>
        </w:rPr>
        <w:t>部分。</w:t>
      </w:r>
    </w:p>
    <w:p w14:paraId="3ED177A9">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10.2</w:t>
      </w:r>
      <w:r>
        <w:rPr>
          <w:rFonts w:hint="eastAsia" w:ascii="宋体" w:hAnsi="宋体" w:eastAsia="宋体" w:cs="宋体"/>
          <w:color w:val="000000" w:themeColor="text1"/>
          <w14:textFill>
            <w14:solidFill>
              <w14:schemeClr w14:val="tx1"/>
            </w14:solidFill>
          </w14:textFill>
        </w:rPr>
        <w:t>如标书制作工具中格式和内容与</w:t>
      </w:r>
      <w:r>
        <w:rPr>
          <w:rFonts w:hint="eastAsia" w:ascii="宋体" w:hAnsi="宋体" w:eastAsia="宋体" w:cs="宋体"/>
          <w:color w:val="000000" w:themeColor="text1"/>
          <w:lang w:val="en-US" w:eastAsia="zh-CN"/>
          <w14:textFill>
            <w14:solidFill>
              <w14:schemeClr w14:val="tx1"/>
            </w14:solidFill>
          </w14:textFill>
        </w:rPr>
        <w:t>“中国政府采购网”、“江苏政府采购网”、“盐城市政府采购网”</w:t>
      </w:r>
      <w:r>
        <w:rPr>
          <w:rFonts w:hint="eastAsia" w:ascii="宋体" w:hAnsi="宋体" w:eastAsia="宋体" w:cs="宋体"/>
          <w:color w:val="000000" w:themeColor="text1"/>
          <w14:textFill>
            <w14:solidFill>
              <w14:schemeClr w14:val="tx1"/>
            </w14:solidFill>
          </w14:textFill>
        </w:rPr>
        <w:t>发布的招标文件不一致，请以</w:t>
      </w:r>
      <w:r>
        <w:rPr>
          <w:rFonts w:hint="eastAsia" w:ascii="宋体" w:hAnsi="宋体" w:eastAsia="宋体" w:cs="宋体"/>
          <w:color w:val="000000" w:themeColor="text1"/>
          <w:lang w:val="en-US" w:eastAsia="zh-CN"/>
          <w14:textFill>
            <w14:solidFill>
              <w14:schemeClr w14:val="tx1"/>
            </w14:solidFill>
          </w14:textFill>
        </w:rPr>
        <w:t>“中国政府采购网”、“江苏政府采购网”、“盐城市政府采购网”</w:t>
      </w:r>
      <w:r>
        <w:rPr>
          <w:rFonts w:hint="eastAsia" w:ascii="宋体" w:hAnsi="宋体" w:eastAsia="宋体" w:cs="宋体"/>
          <w:color w:val="000000" w:themeColor="text1"/>
          <w14:textFill>
            <w14:solidFill>
              <w14:schemeClr w14:val="tx1"/>
            </w14:solidFill>
          </w14:textFill>
        </w:rPr>
        <w:t>发布的招标文件为准。</w:t>
      </w:r>
    </w:p>
    <w:p w14:paraId="19737E4A">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bookmarkStart w:id="87" w:name="_Toc49090507"/>
      <w:bookmarkStart w:id="88" w:name="_Toc14577354"/>
      <w:bookmarkStart w:id="89" w:name="_Toc49090509"/>
      <w:bookmarkStart w:id="90" w:name="_Toc513029216"/>
      <w:bookmarkStart w:id="91" w:name="_Toc14577357"/>
      <w:bookmarkStart w:id="92" w:name="_Toc513029219"/>
      <w:bookmarkStart w:id="93" w:name="_Hlt26668975"/>
      <w:bookmarkStart w:id="94" w:name="_Hlt26954838"/>
      <w:bookmarkStart w:id="95" w:name="_Hlt26670360"/>
      <w:r>
        <w:rPr>
          <w:rFonts w:ascii="Arial" w:hAnsi="Arial" w:cs="Arial"/>
          <w:color w:val="000000" w:themeColor="text1"/>
          <w:sz w:val="28"/>
          <w:szCs w:val="28"/>
          <w14:textFill>
            <w14:solidFill>
              <w14:schemeClr w14:val="tx1"/>
            </w14:solidFill>
          </w14:textFill>
        </w:rPr>
        <w:t>11、证明投标人及投标标的符合招标文件规定的文件</w:t>
      </w:r>
      <w:bookmarkEnd w:id="87"/>
      <w:bookmarkEnd w:id="88"/>
      <w:bookmarkEnd w:id="89"/>
      <w:bookmarkEnd w:id="90"/>
      <w:bookmarkEnd w:id="91"/>
      <w:bookmarkEnd w:id="92"/>
    </w:p>
    <w:p w14:paraId="3E0C0BBB">
      <w:pPr>
        <w:pStyle w:val="8"/>
        <w:pageBreakBefore w:val="0"/>
        <w:widowControl w:val="0"/>
        <w:kinsoku/>
        <w:wordWrap/>
        <w:overflowPunct/>
        <w:topLinePunct w:val="0"/>
        <w:autoSpaceDE/>
        <w:autoSpaceDN/>
        <w:bidi w:val="0"/>
        <w:adjustRightInd/>
        <w:snapToGrid/>
        <w:spacing w:beforeAutospacing="0" w:afterAutospacing="0" w:line="480" w:lineRule="exact"/>
        <w:jc w:val="both"/>
        <w:textAlignment w:val="auto"/>
        <w:rPr>
          <w:color w:val="000000" w:themeColor="text1"/>
          <w14:textFill>
            <w14:solidFill>
              <w14:schemeClr w14:val="tx1"/>
            </w14:solidFill>
          </w14:textFill>
        </w:rPr>
      </w:pPr>
      <w:bookmarkStart w:id="96" w:name="_Toc14577355"/>
      <w:bookmarkStart w:id="97" w:name="_Toc49090508"/>
      <w:r>
        <w:rPr>
          <w:rFonts w:hint="eastAsia" w:ascii="宋体" w:hAnsi="宋体" w:eastAsia="宋体" w:cs="宋体"/>
          <w:color w:val="000000" w:themeColor="text1"/>
          <w14:textFill>
            <w14:solidFill>
              <w14:schemeClr w14:val="tx1"/>
            </w14:solidFill>
          </w14:textFill>
        </w:rPr>
        <w:t>  11.1投标人应按照法律、法规、规章和规范性文件以及招标文件要求提交证明文件，证明其及投标标的符合招标文件规定。</w:t>
      </w:r>
      <w:bookmarkEnd w:id="96"/>
      <w:bookmarkEnd w:id="97"/>
    </w:p>
    <w:p w14:paraId="5E29F8C7">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11.2招标文件对证明文件无明确形式要求的，证明文件可以以文字资料、图</w:t>
      </w:r>
      <w:r>
        <w:rPr>
          <w:rFonts w:hint="eastAsia" w:ascii="宋体" w:hAnsi="宋体" w:eastAsia="宋体" w:cs="宋体"/>
          <w:color w:val="000000" w:themeColor="text1"/>
          <w:highlight w:val="none"/>
          <w14:textFill>
            <w14:solidFill>
              <w14:schemeClr w14:val="tx1"/>
            </w14:solidFill>
          </w14:textFill>
        </w:rPr>
        <w:t>纸和数据等形式提交。</w:t>
      </w:r>
    </w:p>
    <w:p w14:paraId="10AF328F">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highlight w:val="none"/>
          <w14:textFill>
            <w14:solidFill>
              <w14:schemeClr w14:val="tx1"/>
            </w14:solidFill>
          </w14:textFill>
        </w:rPr>
      </w:pPr>
      <w:r>
        <w:rPr>
          <w:rFonts w:ascii="Arial" w:hAnsi="Arial" w:cs="Arial"/>
          <w:color w:val="000000" w:themeColor="text1"/>
          <w:sz w:val="28"/>
          <w:szCs w:val="28"/>
          <w:highlight w:val="none"/>
          <w14:textFill>
            <w14:solidFill>
              <w14:schemeClr w14:val="tx1"/>
            </w14:solidFill>
          </w14:textFill>
        </w:rPr>
        <w:t>12、投标分项报价</w:t>
      </w:r>
      <w:bookmarkStart w:id="98" w:name="_Hlt26670373"/>
      <w:r>
        <w:rPr>
          <w:rFonts w:ascii="Arial" w:hAnsi="Arial" w:cs="Arial"/>
          <w:color w:val="000000" w:themeColor="text1"/>
          <w:sz w:val="28"/>
          <w:szCs w:val="28"/>
          <w:highlight w:val="none"/>
          <w14:textFill>
            <w14:solidFill>
              <w14:schemeClr w14:val="tx1"/>
            </w14:solidFill>
          </w14:textFill>
        </w:rPr>
        <w:t>表</w:t>
      </w:r>
    </w:p>
    <w:p w14:paraId="77620783">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12.1投</w:t>
      </w:r>
      <w:bookmarkStart w:id="99" w:name="_Hlt26954840"/>
      <w:r>
        <w:rPr>
          <w:rFonts w:hint="eastAsia" w:ascii="宋体" w:hAnsi="宋体" w:eastAsia="宋体" w:cs="宋体"/>
          <w:color w:val="000000" w:themeColor="text1"/>
          <w:highlight w:val="none"/>
          <w14:textFill>
            <w14:solidFill>
              <w14:schemeClr w14:val="tx1"/>
            </w14:solidFill>
          </w14:textFill>
        </w:rPr>
        <w:t>标人应按照招标文件规定格式填报投标分项报价表</w:t>
      </w:r>
      <w:bookmarkStart w:id="100" w:name="_Hlt26670399"/>
      <w:r>
        <w:rPr>
          <w:rFonts w:hint="eastAsia" w:ascii="宋体" w:hAnsi="宋体" w:eastAsia="宋体" w:cs="宋体"/>
          <w:color w:val="000000" w:themeColor="text1"/>
          <w:highlight w:val="none"/>
          <w14:textFill>
            <w14:solidFill>
              <w14:schemeClr w14:val="tx1"/>
            </w14:solidFill>
          </w14:textFill>
        </w:rPr>
        <w:t>。</w:t>
      </w:r>
    </w:p>
    <w:p w14:paraId="338B75B1">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12.2投标货币。投标文件中的单价和总价无特殊规定的采用人民币报价，以元为单位标注。招标文件中另有规定的按规定执行。</w:t>
      </w:r>
    </w:p>
    <w:p w14:paraId="416AB0ED">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bookmarkStart w:id="101" w:name="_Hlt26954844"/>
      <w:bookmarkStart w:id="102" w:name="_Hlt26954846"/>
      <w:bookmarkStart w:id="103" w:name="_Hlt26670403"/>
      <w:bookmarkStart w:id="104" w:name="_Hlt26670486"/>
      <w:bookmarkStart w:id="105" w:name="_Hlt26670425"/>
      <w:bookmarkStart w:id="106" w:name="_Hlt26954842"/>
      <w:bookmarkStart w:id="107" w:name="_Hlt26670482"/>
      <w:bookmarkStart w:id="108" w:name="_Hlt26668983"/>
      <w:bookmarkStart w:id="109" w:name="_Hlt26954848"/>
      <w:bookmarkStart w:id="110" w:name="_Hlt26954731"/>
      <w:r>
        <w:rPr>
          <w:rFonts w:hint="eastAsia" w:ascii="宋体" w:hAnsi="宋体" w:eastAsia="宋体" w:cs="宋体"/>
          <w:color w:val="000000" w:themeColor="text1"/>
          <w:kern w:val="0"/>
          <w:sz w:val="24"/>
          <w:highlight w:val="none"/>
          <w14:textFill>
            <w14:solidFill>
              <w14:schemeClr w14:val="tx1"/>
            </w14:solidFill>
          </w14:textFill>
        </w:rPr>
        <w:t>12.3</w:t>
      </w:r>
      <w:r>
        <w:rPr>
          <w:rFonts w:ascii="宋体" w:hAnsi="宋体" w:eastAsia="宋体" w:cs="宋体"/>
          <w:color w:val="000000" w:themeColor="text1"/>
          <w:spacing w:val="-1"/>
          <w:sz w:val="24"/>
          <w:szCs w:val="24"/>
          <w14:textFill>
            <w14:solidFill>
              <w14:schemeClr w14:val="tx1"/>
            </w14:solidFill>
          </w14:textFill>
        </w:rPr>
        <w:t>本项目设定投标报价的最高限价，物</w:t>
      </w:r>
      <w:r>
        <w:rPr>
          <w:rFonts w:ascii="宋体" w:hAnsi="宋体" w:eastAsia="宋体" w:cs="宋体"/>
          <w:color w:val="000000" w:themeColor="text1"/>
          <w:spacing w:val="-2"/>
          <w:sz w:val="24"/>
          <w:szCs w:val="24"/>
          <w14:textFill>
            <w14:solidFill>
              <w14:schemeClr w14:val="tx1"/>
            </w14:solidFill>
          </w14:textFill>
        </w:rPr>
        <w:t>业服务费最高限价为：</w:t>
      </w:r>
      <w:r>
        <w:rPr>
          <w:rFonts w:hint="eastAsia" w:ascii="宋体" w:hAnsi="宋体" w:eastAsia="宋体" w:cs="宋体"/>
          <w:color w:val="000000" w:themeColor="text1"/>
          <w:spacing w:val="-2"/>
          <w:sz w:val="24"/>
          <w:szCs w:val="24"/>
          <w:lang w:val="en-US" w:eastAsia="zh-CN"/>
          <w14:textFill>
            <w14:solidFill>
              <w14:schemeClr w14:val="tx1"/>
            </w14:solidFill>
          </w14:textFill>
        </w:rPr>
        <w:t>76.00</w:t>
      </w:r>
      <w:r>
        <w:rPr>
          <w:rFonts w:ascii="宋体" w:hAnsi="宋体" w:eastAsia="宋体" w:cs="宋体"/>
          <w:color w:val="000000" w:themeColor="text1"/>
          <w:spacing w:val="-2"/>
          <w:sz w:val="24"/>
          <w:szCs w:val="24"/>
          <w14:textFill>
            <w14:solidFill>
              <w14:schemeClr w14:val="tx1"/>
            </w14:solidFill>
          </w14:textFill>
        </w:rPr>
        <w:t>万元，</w:t>
      </w:r>
      <w:r>
        <w:rPr>
          <w:rFonts w:hint="eastAsia" w:ascii="宋体" w:hAnsi="宋体" w:eastAsia="宋体" w:cs="宋体"/>
          <w:color w:val="000000" w:themeColor="text1"/>
          <w:spacing w:val="-2"/>
          <w:sz w:val="24"/>
          <w:szCs w:val="24"/>
          <w:lang w:val="en-US" w:eastAsia="zh-CN"/>
          <w14:textFill>
            <w14:solidFill>
              <w14:schemeClr w14:val="tx1"/>
            </w14:solidFill>
          </w14:textFill>
        </w:rPr>
        <w:t>采购</w:t>
      </w:r>
      <w:r>
        <w:rPr>
          <w:rFonts w:ascii="宋体" w:hAnsi="宋体" w:eastAsia="宋体" w:cs="宋体"/>
          <w:color w:val="000000" w:themeColor="text1"/>
          <w:spacing w:val="-1"/>
          <w:sz w:val="24"/>
          <w:szCs w:val="24"/>
          <w14:textFill>
            <w14:solidFill>
              <w14:schemeClr w14:val="tx1"/>
            </w14:solidFill>
          </w14:textFill>
        </w:rPr>
        <w:t>人将拒绝高于最高限价的投标报价。</w:t>
      </w:r>
    </w:p>
    <w:p w14:paraId="0D0C91E8">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投标配置和分项明细报价，不仅应包括所有人员的工资(含日常工资、工资性津贴、福利费、食宿费、劳动保护费、应由投标人交纳的社保、公积金及意外伤害保险等各项保险费、法定假日和双休日及夜间值班等一切加班费用)、办公用品设备购置及折旧费、日常保洁耗材、服装费、环境卫生服务及管理物业服务工作产生的费用，还应包括：投标所需的各项目费用、国家政策性文件调整所涉及的相关费用、不可预见费(应充分考虑所有风险、责任等）、管理费、利润、营业税等所有一切费用，以及为完成招标文件规定的物业服务工作所涉及到的一切相关费用。</w:t>
      </w:r>
    </w:p>
    <w:p w14:paraId="02C1CCD2">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所有人员的相关安保装备等由投标人购置并承担费用。</w:t>
      </w:r>
    </w:p>
    <w:p w14:paraId="4C5EFB02">
      <w:pPr>
        <w:spacing w:line="360" w:lineRule="auto"/>
        <w:ind w:firstLine="468" w:firstLineChars="195"/>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12.4</w:t>
      </w:r>
      <w:r>
        <w:rPr>
          <w:rFonts w:hint="eastAsia" w:ascii="宋体" w:hAnsi="Arial" w:cs="宋体"/>
          <w:b/>
          <w:bCs/>
          <w:color w:val="000000" w:themeColor="text1"/>
          <w:sz w:val="24"/>
          <w:highlight w:val="none"/>
          <w:lang w:val="zh-CN"/>
          <w14:textFill>
            <w14:solidFill>
              <w14:schemeClr w14:val="tx1"/>
            </w14:solidFill>
          </w14:textFill>
        </w:rPr>
        <w:t>所有人员工资不低于本</w:t>
      </w:r>
      <w:r>
        <w:rPr>
          <w:rFonts w:hint="eastAsia" w:ascii="宋体" w:hAnsi="Arial" w:cs="宋体"/>
          <w:b/>
          <w:bCs/>
          <w:color w:val="000000" w:themeColor="text1"/>
          <w:sz w:val="24"/>
          <w:highlight w:val="none"/>
          <w:lang w:val="en-US" w:eastAsia="zh-CN"/>
          <w14:textFill>
            <w14:solidFill>
              <w14:schemeClr w14:val="tx1"/>
            </w14:solidFill>
          </w14:textFill>
        </w:rPr>
        <w:t>县</w:t>
      </w:r>
      <w:r>
        <w:rPr>
          <w:rFonts w:hint="eastAsia" w:ascii="宋体" w:hAnsi="Arial" w:cs="宋体"/>
          <w:b/>
          <w:bCs/>
          <w:color w:val="000000" w:themeColor="text1"/>
          <w:sz w:val="24"/>
          <w:highlight w:val="none"/>
          <w:lang w:val="zh-CN"/>
          <w14:textFill>
            <w14:solidFill>
              <w14:schemeClr w14:val="tx1"/>
            </w14:solidFill>
          </w14:textFill>
        </w:rPr>
        <w:t>最低工资标准</w:t>
      </w:r>
      <w:r>
        <w:rPr>
          <w:rFonts w:hint="eastAsia" w:ascii="宋体" w:hAnsi="Arial" w:cs="宋体"/>
          <w:b/>
          <w:bCs/>
          <w:color w:val="000000" w:themeColor="text1"/>
          <w:sz w:val="24"/>
          <w:highlight w:val="none"/>
          <w:lang w:val="en-US" w:eastAsia="zh-CN"/>
          <w14:textFill>
            <w14:solidFill>
              <w14:schemeClr w14:val="tx1"/>
            </w14:solidFill>
          </w14:textFill>
        </w:rPr>
        <w:t>2010</w:t>
      </w:r>
      <w:r>
        <w:rPr>
          <w:rFonts w:hint="eastAsia" w:ascii="宋体" w:hAnsi="Arial" w:cs="宋体"/>
          <w:b/>
          <w:bCs/>
          <w:color w:val="000000" w:themeColor="text1"/>
          <w:sz w:val="24"/>
          <w:highlight w:val="none"/>
          <w:lang w:val="zh-CN"/>
          <w14:textFill>
            <w14:solidFill>
              <w14:schemeClr w14:val="tx1"/>
            </w14:solidFill>
          </w14:textFill>
        </w:rPr>
        <w:t>元/人每月，所有人员必须足额缴纳社保费用，社保（企业部分）不得低于</w:t>
      </w:r>
      <w:r>
        <w:rPr>
          <w:rFonts w:hint="eastAsia" w:ascii="宋体" w:hAnsi="Arial" w:cs="宋体"/>
          <w:b/>
          <w:bCs/>
          <w:color w:val="000000" w:themeColor="text1"/>
          <w:sz w:val="24"/>
          <w:highlight w:val="none"/>
          <w:lang w:val="en-US" w:eastAsia="zh-CN"/>
          <w14:textFill>
            <w14:solidFill>
              <w14:schemeClr w14:val="tx1"/>
            </w14:solidFill>
          </w14:textFill>
        </w:rPr>
        <w:t>1273.42</w:t>
      </w:r>
      <w:r>
        <w:rPr>
          <w:rFonts w:hint="eastAsia" w:ascii="宋体" w:hAnsi="Arial" w:cs="宋体"/>
          <w:b/>
          <w:bCs/>
          <w:color w:val="000000" w:themeColor="text1"/>
          <w:sz w:val="24"/>
          <w:highlight w:val="none"/>
          <w:lang w:val="zh-CN"/>
          <w14:textFill>
            <w14:solidFill>
              <w14:schemeClr w14:val="tx1"/>
            </w14:solidFill>
          </w14:textFill>
        </w:rPr>
        <w:t>元/人/每月，</w:t>
      </w:r>
      <w:r>
        <w:rPr>
          <w:rFonts w:hint="eastAsia" w:ascii="宋体" w:hAnsi="Arial" w:cs="宋体"/>
          <w:b/>
          <w:bCs/>
          <w:color w:val="000000" w:themeColor="text1"/>
          <w:sz w:val="24"/>
          <w:highlight w:val="none"/>
          <w14:textFill>
            <w14:solidFill>
              <w14:schemeClr w14:val="tx1"/>
            </w14:solidFill>
          </w14:textFill>
        </w:rPr>
        <w:t>住房公积金不得低于</w:t>
      </w:r>
      <w:r>
        <w:rPr>
          <w:rFonts w:hint="eastAsia" w:ascii="宋体" w:hAnsi="Arial" w:cs="宋体"/>
          <w:b/>
          <w:bCs/>
          <w:color w:val="000000" w:themeColor="text1"/>
          <w:sz w:val="24"/>
          <w:highlight w:val="none"/>
          <w:lang w:val="en-US" w:eastAsia="zh-CN"/>
          <w14:textFill>
            <w14:solidFill>
              <w14:schemeClr w14:val="tx1"/>
            </w14:solidFill>
          </w14:textFill>
        </w:rPr>
        <w:t>92</w:t>
      </w:r>
      <w:r>
        <w:rPr>
          <w:rFonts w:hint="eastAsia" w:ascii="宋体" w:hAnsi="Arial" w:cs="宋体"/>
          <w:b/>
          <w:bCs/>
          <w:color w:val="000000" w:themeColor="text1"/>
          <w:sz w:val="24"/>
          <w:highlight w:val="none"/>
          <w14:textFill>
            <w14:solidFill>
              <w14:schemeClr w14:val="tx1"/>
            </w14:solidFill>
          </w14:textFill>
        </w:rPr>
        <w:t>元</w:t>
      </w:r>
      <w:r>
        <w:rPr>
          <w:rFonts w:hint="eastAsia" w:ascii="宋体" w:hAnsi="Arial" w:cs="宋体"/>
          <w:b/>
          <w:bCs/>
          <w:color w:val="000000" w:themeColor="text1"/>
          <w:sz w:val="24"/>
          <w:highlight w:val="none"/>
          <w:lang w:val="en-US" w:eastAsia="zh-CN"/>
          <w14:textFill>
            <w14:solidFill>
              <w14:schemeClr w14:val="tx1"/>
            </w14:solidFill>
          </w14:textFill>
        </w:rPr>
        <w:t>/</w:t>
      </w:r>
      <w:r>
        <w:rPr>
          <w:rFonts w:hint="eastAsia" w:ascii="宋体" w:hAnsi="Arial" w:cs="宋体"/>
          <w:b/>
          <w:bCs/>
          <w:color w:val="000000" w:themeColor="text1"/>
          <w:sz w:val="24"/>
          <w:highlight w:val="none"/>
          <w:lang w:val="zh-CN"/>
          <w14:textFill>
            <w14:solidFill>
              <w14:schemeClr w14:val="tx1"/>
            </w14:solidFill>
          </w14:textFill>
        </w:rPr>
        <w:t>人/每月，</w:t>
      </w:r>
      <w:r>
        <w:rPr>
          <w:rFonts w:hint="eastAsia" w:ascii="宋体" w:hAnsi="Arial" w:cs="宋体"/>
          <w:b/>
          <w:bCs/>
          <w:color w:val="000000" w:themeColor="text1"/>
          <w:sz w:val="24"/>
          <w:highlight w:val="none"/>
          <w14:textFill>
            <w14:solidFill>
              <w14:schemeClr w14:val="tx1"/>
            </w14:solidFill>
          </w14:textFill>
        </w:rPr>
        <w:t>法定节假日加班费不得低于</w:t>
      </w:r>
      <w:r>
        <w:rPr>
          <w:rFonts w:hint="eastAsia" w:ascii="宋体" w:hAnsi="Arial" w:cs="宋体"/>
          <w:b/>
          <w:bCs/>
          <w:color w:val="000000" w:themeColor="text1"/>
          <w:sz w:val="24"/>
          <w:highlight w:val="none"/>
          <w:lang w:val="en-US" w:eastAsia="zh-CN"/>
          <w14:textFill>
            <w14:solidFill>
              <w14:schemeClr w14:val="tx1"/>
            </w14:solidFill>
          </w14:textFill>
        </w:rPr>
        <w:t>3604.14</w:t>
      </w:r>
      <w:r>
        <w:rPr>
          <w:rFonts w:hint="eastAsia" w:ascii="宋体" w:hAnsi="Arial" w:cs="宋体"/>
          <w:b/>
          <w:bCs/>
          <w:color w:val="000000" w:themeColor="text1"/>
          <w:sz w:val="24"/>
          <w:highlight w:val="none"/>
          <w14:textFill>
            <w14:solidFill>
              <w14:schemeClr w14:val="tx1"/>
            </w14:solidFill>
          </w14:textFill>
        </w:rPr>
        <w:t>元</w:t>
      </w:r>
      <w:r>
        <w:rPr>
          <w:rFonts w:hint="eastAsia" w:ascii="宋体" w:hAnsi="Arial" w:cs="宋体"/>
          <w:b/>
          <w:bCs/>
          <w:color w:val="000000" w:themeColor="text1"/>
          <w:sz w:val="24"/>
          <w:highlight w:val="none"/>
          <w:lang w:val="en-US" w:eastAsia="zh-CN"/>
          <w14:textFill>
            <w14:solidFill>
              <w14:schemeClr w14:val="tx1"/>
            </w14:solidFill>
          </w14:textFill>
        </w:rPr>
        <w:t>/</w:t>
      </w:r>
      <w:r>
        <w:rPr>
          <w:rFonts w:hint="eastAsia" w:ascii="宋体" w:hAnsi="Arial" w:cs="宋体"/>
          <w:b/>
          <w:bCs/>
          <w:color w:val="000000" w:themeColor="text1"/>
          <w:sz w:val="24"/>
          <w:highlight w:val="none"/>
          <w14:textFill>
            <w14:solidFill>
              <w14:schemeClr w14:val="tx1"/>
            </w14:solidFill>
          </w14:textFill>
        </w:rPr>
        <w:t>人/每年，税金费率不得低于</w:t>
      </w:r>
      <w:r>
        <w:rPr>
          <w:rFonts w:hint="eastAsia" w:ascii="宋体" w:hAnsi="Arial" w:cs="宋体"/>
          <w:b/>
          <w:bCs/>
          <w:color w:val="000000" w:themeColor="text1"/>
          <w:sz w:val="24"/>
          <w:highlight w:val="none"/>
          <w:lang w:val="en-US" w:eastAsia="zh-CN"/>
          <w14:textFill>
            <w14:solidFill>
              <w14:schemeClr w14:val="tx1"/>
            </w14:solidFill>
          </w14:textFill>
        </w:rPr>
        <w:t>6.72</w:t>
      </w:r>
      <w:r>
        <w:rPr>
          <w:rFonts w:hint="eastAsia" w:ascii="宋体" w:hAnsi="Arial" w:cs="宋体"/>
          <w:b/>
          <w:bCs/>
          <w:color w:val="000000" w:themeColor="text1"/>
          <w:sz w:val="24"/>
          <w:highlight w:val="none"/>
          <w14:textFill>
            <w14:solidFill>
              <w14:schemeClr w14:val="tx1"/>
            </w14:solidFill>
          </w14:textFill>
        </w:rPr>
        <w:t>%。</w:t>
      </w:r>
    </w:p>
    <w:p w14:paraId="5C1F91B0">
      <w:pPr>
        <w:spacing w:line="360" w:lineRule="auto"/>
        <w:ind w:firstLine="470" w:firstLineChars="195"/>
        <w:rPr>
          <w:rFonts w:ascii="宋体" w:hAnsi="宋体"/>
          <w:b/>
          <w:color w:val="000000" w:themeColor="text1"/>
          <w:sz w:val="24"/>
          <w:highlight w:val="none"/>
          <w14:textFill>
            <w14:solidFill>
              <w14:schemeClr w14:val="tx1"/>
            </w14:solidFill>
          </w14:textFill>
        </w:rPr>
      </w:pPr>
      <w:r>
        <w:rPr>
          <w:rFonts w:hint="eastAsia" w:ascii="宋体" w:hAnsi="宋体"/>
          <w:b/>
          <w:i/>
          <w:iCs/>
          <w:color w:val="000000" w:themeColor="text1"/>
          <w:sz w:val="24"/>
          <w:highlight w:val="none"/>
          <w:u w:val="single"/>
          <w14:textFill>
            <w14:solidFill>
              <w14:schemeClr w14:val="tx1"/>
            </w14:solidFill>
          </w14:textFill>
        </w:rPr>
        <w:t>投标人</w:t>
      </w:r>
      <w:r>
        <w:rPr>
          <w:rFonts w:hint="eastAsia" w:ascii="宋体" w:hAnsi="Arial" w:cs="宋体"/>
          <w:b/>
          <w:bCs/>
          <w:i/>
          <w:iCs/>
          <w:color w:val="000000" w:themeColor="text1"/>
          <w:sz w:val="24"/>
          <w:highlight w:val="none"/>
          <w:u w:val="single"/>
          <w:lang w:val="zh-CN"/>
          <w14:textFill>
            <w14:solidFill>
              <w14:schemeClr w14:val="tx1"/>
            </w14:solidFill>
          </w14:textFill>
        </w:rPr>
        <w:t>所提供人员的费用不得低于上述标准进行测算，</w:t>
      </w:r>
      <w:r>
        <w:rPr>
          <w:rFonts w:hint="eastAsia" w:ascii="宋体" w:hAnsi="宋体"/>
          <w:b/>
          <w:i/>
          <w:iCs/>
          <w:color w:val="000000" w:themeColor="text1"/>
          <w:sz w:val="24"/>
          <w:highlight w:val="none"/>
          <w:u w:val="single"/>
          <w14:textFill>
            <w14:solidFill>
              <w14:schemeClr w14:val="tx1"/>
            </w14:solidFill>
          </w14:textFill>
        </w:rPr>
        <w:t>否则</w:t>
      </w:r>
      <w:r>
        <w:rPr>
          <w:rFonts w:hint="eastAsia" w:ascii="宋体" w:hAnsi="Arial" w:cs="宋体"/>
          <w:b/>
          <w:bCs/>
          <w:i/>
          <w:iCs/>
          <w:color w:val="000000" w:themeColor="text1"/>
          <w:sz w:val="24"/>
          <w:highlight w:val="none"/>
          <w:u w:val="single"/>
          <w:lang w:val="zh-CN"/>
          <w14:textFill>
            <w14:solidFill>
              <w14:schemeClr w14:val="tx1"/>
            </w14:solidFill>
          </w14:textFill>
        </w:rPr>
        <w:t>视为未实质性响应招标文件要求</w:t>
      </w:r>
      <w:r>
        <w:rPr>
          <w:rFonts w:hint="eastAsia" w:ascii="宋体" w:hAnsi="宋体"/>
          <w:b/>
          <w:i/>
          <w:iCs/>
          <w:color w:val="000000" w:themeColor="text1"/>
          <w:sz w:val="24"/>
          <w:highlight w:val="none"/>
          <w:u w:val="singl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如果招标公告发布之后</w:t>
      </w:r>
      <w:r>
        <w:rPr>
          <w:rFonts w:hint="eastAsia" w:ascii="宋体" w:hAnsi="宋体"/>
          <w:b/>
          <w:color w:val="000000" w:themeColor="text1"/>
          <w:sz w:val="24"/>
          <w:highlight w:val="none"/>
          <w:lang w:val="en-US" w:eastAsia="zh-CN"/>
          <w14:textFill>
            <w14:solidFill>
              <w14:schemeClr w14:val="tx1"/>
            </w14:solidFill>
          </w14:textFill>
        </w:rPr>
        <w:t>开标前</w:t>
      </w:r>
      <w:r>
        <w:rPr>
          <w:rFonts w:hint="eastAsia" w:ascii="宋体" w:hAnsi="宋体"/>
          <w:b/>
          <w:color w:val="000000" w:themeColor="text1"/>
          <w:sz w:val="24"/>
          <w:highlight w:val="none"/>
          <w14:textFill>
            <w14:solidFill>
              <w14:schemeClr w14:val="tx1"/>
            </w14:solidFill>
          </w14:textFill>
        </w:rPr>
        <w:t>遇政府调整职工最低工资标准或社会保险缴纳基数，</w:t>
      </w:r>
      <w:r>
        <w:rPr>
          <w:rFonts w:hint="eastAsia" w:ascii="宋体" w:hAnsi="宋体"/>
          <w:b/>
          <w:color w:val="000000" w:themeColor="text1"/>
          <w:sz w:val="24"/>
          <w:highlight w:val="none"/>
          <w:lang w:val="en-US" w:eastAsia="zh-CN"/>
          <w14:textFill>
            <w14:solidFill>
              <w14:schemeClr w14:val="tx1"/>
            </w14:solidFill>
          </w14:textFill>
        </w:rPr>
        <w:t>评标委员会进行符合性审查时</w:t>
      </w:r>
      <w:r>
        <w:rPr>
          <w:rFonts w:hint="eastAsia" w:ascii="宋体" w:hAnsi="宋体"/>
          <w:b/>
          <w:color w:val="000000" w:themeColor="text1"/>
          <w:sz w:val="24"/>
          <w:highlight w:val="none"/>
          <w14:textFill>
            <w14:solidFill>
              <w14:schemeClr w14:val="tx1"/>
            </w14:solidFill>
          </w14:textFill>
        </w:rPr>
        <w:t>可仍按上述标准</w:t>
      </w:r>
      <w:r>
        <w:rPr>
          <w:rFonts w:hint="eastAsia" w:ascii="宋体" w:hAnsi="宋体"/>
          <w:b/>
          <w:color w:val="000000" w:themeColor="text1"/>
          <w:sz w:val="24"/>
          <w:highlight w:val="none"/>
          <w:lang w:val="en-US" w:eastAsia="zh-CN"/>
          <w14:textFill>
            <w14:solidFill>
              <w14:schemeClr w14:val="tx1"/>
            </w14:solidFill>
          </w14:textFill>
        </w:rPr>
        <w:t>审查</w:t>
      </w:r>
      <w:r>
        <w:rPr>
          <w:rFonts w:hint="eastAsia" w:ascii="宋体" w:hAnsi="宋体"/>
          <w:b/>
          <w:color w:val="000000" w:themeColor="text1"/>
          <w:sz w:val="24"/>
          <w:highlight w:val="none"/>
          <w14:textFill>
            <w14:solidFill>
              <w14:schemeClr w14:val="tx1"/>
            </w14:solidFill>
          </w14:textFill>
        </w:rPr>
        <w:t>，中标后，</w:t>
      </w:r>
      <w:r>
        <w:rPr>
          <w:rFonts w:hint="eastAsia" w:ascii="宋体" w:hAnsi="宋体"/>
          <w:b/>
          <w:color w:val="000000" w:themeColor="text1"/>
          <w:sz w:val="24"/>
          <w:highlight w:val="none"/>
          <w:lang w:val="en-US" w:eastAsia="zh-CN"/>
          <w14:textFill>
            <w14:solidFill>
              <w14:schemeClr w14:val="tx1"/>
            </w14:solidFill>
          </w14:textFill>
        </w:rPr>
        <w:t>中标人应按照最新政策文件规定执行</w:t>
      </w:r>
      <w:r>
        <w:rPr>
          <w:rFonts w:hint="eastAsia" w:ascii="宋体" w:hAnsi="宋体"/>
          <w:b/>
          <w:color w:val="000000" w:themeColor="text1"/>
          <w:sz w:val="24"/>
          <w:highlight w:val="none"/>
          <w14:textFill>
            <w14:solidFill>
              <w14:schemeClr w14:val="tx1"/>
            </w14:solidFill>
          </w14:textFill>
        </w:rPr>
        <w:t>。</w:t>
      </w:r>
    </w:p>
    <w:p w14:paraId="524C4A5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12.5投标人根据招标内容的要求准确报价，一经报出，不得更改。</w:t>
      </w:r>
    </w:p>
    <w:p w14:paraId="579F09E3">
      <w:pPr>
        <w:spacing w:before="78" w:line="393" w:lineRule="auto"/>
        <w:ind w:left="7" w:right="1" w:firstLine="480" w:firstLineChars="2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12.6投标报价的单位为人民币(元)/年。如果未能按合同、招标投标文件履约的，中止合同，履约保证金不予退还，并不支付服务期间的物业服务费用。招标方有权终止合同的履行，受托单位应承担相应的完全责任，包括赔偿因此而给本单位及第三人带来的相应损失。</w:t>
      </w:r>
      <w:r>
        <w:rPr>
          <w:rFonts w:ascii="宋体" w:hAnsi="宋体" w:eastAsia="宋体" w:cs="宋体"/>
          <w:color w:val="000000" w:themeColor="text1"/>
          <w:sz w:val="24"/>
          <w:szCs w:val="24"/>
          <w14:textFill>
            <w14:solidFill>
              <w14:schemeClr w14:val="tx1"/>
            </w14:solidFill>
          </w14:textFill>
        </w:rPr>
        <w:t>合同期满并完成与后续物业服务</w:t>
      </w:r>
      <w:r>
        <w:rPr>
          <w:rFonts w:ascii="宋体" w:hAnsi="宋体" w:eastAsia="宋体" w:cs="宋体"/>
          <w:color w:val="000000" w:themeColor="text1"/>
          <w:spacing w:val="-1"/>
          <w:sz w:val="24"/>
          <w:szCs w:val="24"/>
          <w14:textFill>
            <w14:solidFill>
              <w14:schemeClr w14:val="tx1"/>
            </w14:solidFill>
          </w14:textFill>
        </w:rPr>
        <w:t>企业的衔接后，</w:t>
      </w:r>
      <w:r>
        <w:rPr>
          <w:rFonts w:hint="eastAsia" w:ascii="宋体" w:hAnsi="宋体" w:eastAsia="宋体" w:cs="宋体"/>
          <w:color w:val="000000" w:themeColor="text1"/>
          <w:spacing w:val="-1"/>
          <w:sz w:val="24"/>
          <w:szCs w:val="24"/>
          <w:lang w:val="en-US" w:eastAsia="zh-CN"/>
          <w14:textFill>
            <w14:solidFill>
              <w14:schemeClr w14:val="tx1"/>
            </w14:solidFill>
          </w14:textFill>
        </w:rPr>
        <w:t>方可</w:t>
      </w:r>
      <w:r>
        <w:rPr>
          <w:rFonts w:hint="eastAsia" w:ascii="宋体" w:hAnsi="宋体"/>
          <w:color w:val="000000" w:themeColor="text1"/>
          <w:sz w:val="24"/>
          <w:highlight w:val="none"/>
          <w14:textFill>
            <w14:solidFill>
              <w14:schemeClr w14:val="tx1"/>
            </w14:solidFill>
          </w14:textFill>
        </w:rPr>
        <w:t>退出</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经本单位验收合格，</w:t>
      </w:r>
      <w:r>
        <w:rPr>
          <w:rFonts w:ascii="宋体" w:hAnsi="宋体" w:eastAsia="宋体" w:cs="宋体"/>
          <w:color w:val="000000" w:themeColor="text1"/>
          <w:sz w:val="24"/>
          <w:szCs w:val="24"/>
          <w14:textFill>
            <w14:solidFill>
              <w14:schemeClr w14:val="tx1"/>
            </w14:solidFill>
          </w14:textFill>
        </w:rPr>
        <w:t>退出本物业管理时必须向本单位移</w:t>
      </w:r>
      <w:r>
        <w:rPr>
          <w:rFonts w:ascii="宋体" w:hAnsi="宋体" w:eastAsia="宋体" w:cs="宋体"/>
          <w:color w:val="000000" w:themeColor="text1"/>
          <w:spacing w:val="-1"/>
          <w:sz w:val="24"/>
          <w:szCs w:val="24"/>
          <w14:textFill>
            <w14:solidFill>
              <w14:schemeClr w14:val="tx1"/>
            </w14:solidFill>
          </w14:textFill>
        </w:rPr>
        <w:t>交全套档案等资料，同时</w:t>
      </w:r>
      <w:r>
        <w:rPr>
          <w:rFonts w:hint="eastAsia" w:ascii="宋体" w:hAnsi="宋体"/>
          <w:color w:val="000000" w:themeColor="text1"/>
          <w:sz w:val="24"/>
          <w:highlight w:val="none"/>
          <w14:textFill>
            <w14:solidFill>
              <w14:schemeClr w14:val="tx1"/>
            </w14:solidFill>
          </w14:textFill>
        </w:rPr>
        <w:t>无息</w:t>
      </w:r>
      <w:r>
        <w:rPr>
          <w:rFonts w:ascii="宋体" w:hAnsi="宋体" w:eastAsia="宋体" w:cs="宋体"/>
          <w:color w:val="000000" w:themeColor="text1"/>
          <w:spacing w:val="-1"/>
          <w:sz w:val="24"/>
          <w:szCs w:val="24"/>
          <w14:textFill>
            <w14:solidFill>
              <w14:schemeClr w14:val="tx1"/>
            </w14:solidFill>
          </w14:textFill>
        </w:rPr>
        <w:t>退还履约保证金余额。</w:t>
      </w:r>
    </w:p>
    <w:p w14:paraId="49AEF20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12.7对于超出招标文件的其他临时性服务项目，由甲乙双方协商解决。</w:t>
      </w:r>
    </w:p>
    <w:p w14:paraId="72750CE1">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r>
        <w:rPr>
          <w:rFonts w:ascii="Arial" w:hAnsi="Arial" w:cs="Arial"/>
          <w:color w:val="000000" w:themeColor="text1"/>
          <w:sz w:val="28"/>
          <w:szCs w:val="28"/>
          <w14:textFill>
            <w14:solidFill>
              <w14:schemeClr w14:val="tx1"/>
            </w14:solidFill>
          </w14:textFill>
        </w:rPr>
        <w:t>13、技术要求响应及偏离表、商务要求响应及偏离表</w:t>
      </w:r>
    </w:p>
    <w:p w14:paraId="430A852A">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13.1投标人需对招标文件中的技术要求与商务要求逐项作出响应或偏离，并说明原因。</w:t>
      </w:r>
    </w:p>
    <w:p w14:paraId="78A94095">
      <w:pPr>
        <w:pStyle w:val="8"/>
        <w:pageBreakBefore w:val="0"/>
        <w:widowControl w:val="0"/>
        <w:tabs>
          <w:tab w:val="left" w:pos="1036"/>
        </w:tabs>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13.2投标人可在投标文件中提供认为需要的其他技术文件或说明。</w:t>
      </w:r>
    </w:p>
    <w:p w14:paraId="4E4FD5EB">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bookmarkStart w:id="111" w:name="_Toc49090510"/>
      <w:bookmarkStart w:id="112" w:name="_Toc14577359"/>
      <w:r>
        <w:rPr>
          <w:rFonts w:ascii="Arial" w:hAnsi="Arial" w:cs="Arial"/>
          <w:color w:val="000000" w:themeColor="text1"/>
          <w:sz w:val="28"/>
          <w:szCs w:val="28"/>
          <w14:textFill>
            <w14:solidFill>
              <w14:schemeClr w14:val="tx1"/>
            </w14:solidFill>
          </w14:textFill>
        </w:rPr>
        <w:t>14、投标函和开标一览表</w:t>
      </w:r>
      <w:bookmarkEnd w:id="111"/>
      <w:bookmarkEnd w:id="112"/>
    </w:p>
    <w:p w14:paraId="0414681E">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14.1投标人应按照招标文件中提供的格式完整、正确填写投标函、开标一览表。</w:t>
      </w:r>
    </w:p>
    <w:p w14:paraId="1B4E9A68">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rFonts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14.2对于采用货币报价的项目，开标一览表中的投标总报价应与投标分项报价表中的投标总报价一致，如不一致，不作为无效投标处理，但评标时按开标一览表中价格为准</w:t>
      </w:r>
      <w:r>
        <w:rPr>
          <w:rFonts w:hint="eastAsia" w:ascii="宋体" w:hAnsi="宋体" w:eastAsia="宋体" w:cs="宋体"/>
          <w:b/>
          <w:color w:val="000000" w:themeColor="text1"/>
          <w14:textFill>
            <w14:solidFill>
              <w14:schemeClr w14:val="tx1"/>
            </w14:solidFill>
          </w14:textFill>
        </w:rPr>
        <w:t>。</w:t>
      </w:r>
    </w:p>
    <w:p w14:paraId="562D8FFA">
      <w:pPr>
        <w:pageBreakBefore w:val="0"/>
        <w:widowControl w:val="0"/>
        <w:kinsoku/>
        <w:wordWrap/>
        <w:overflowPunct/>
        <w:topLinePunct w:val="0"/>
        <w:autoSpaceDE/>
        <w:autoSpaceDN/>
        <w:bidi w:val="0"/>
        <w:adjustRightInd/>
        <w:snapToGrid/>
        <w:spacing w:line="480" w:lineRule="exact"/>
        <w:ind w:firstLine="470" w:firstLineChars="196"/>
        <w:textAlignment w:val="auto"/>
        <w:rPr>
          <w:rFonts w:ascii="宋体" w:hAnsi="宋体" w:eastAsia="宋体" w:cs="宋体"/>
          <w:b/>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14.3投标文件的大写金额和小写金额不一致的，以大写金额为准；对不同文字文本投标的解释发生异议的，以中文文本为准。</w:t>
      </w:r>
    </w:p>
    <w:p w14:paraId="6C0961C7">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bookmarkStart w:id="113" w:name="_Toc49090511"/>
      <w:bookmarkStart w:id="114" w:name="_Toc14577360"/>
      <w:bookmarkStart w:id="115" w:name="_Hlt26954850"/>
      <w:bookmarkStart w:id="116" w:name="_Hlt26954734"/>
      <w:bookmarkStart w:id="117" w:name="_Hlt26670489"/>
      <w:r>
        <w:rPr>
          <w:rFonts w:ascii="Arial" w:hAnsi="Arial" w:cs="Arial"/>
          <w:color w:val="000000" w:themeColor="text1"/>
          <w:sz w:val="28"/>
          <w:szCs w:val="28"/>
          <w14:textFill>
            <w14:solidFill>
              <w14:schemeClr w14:val="tx1"/>
            </w14:solidFill>
          </w14:textFill>
        </w:rPr>
        <w:t>15、投标有效期</w:t>
      </w:r>
      <w:bookmarkEnd w:id="113"/>
      <w:bookmarkEnd w:id="114"/>
    </w:p>
    <w:p w14:paraId="43B8C147">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15.1投标有效期为</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规定的开标之日后</w:t>
      </w:r>
      <w:r>
        <w:rPr>
          <w:rFonts w:hint="eastAsia" w:ascii="仿宋_GB2312" w:eastAsia="仿宋_GB2312" w:cs="仿宋_GB2312"/>
          <w:b/>
          <w:color w:val="000000" w:themeColor="text1"/>
          <w:u w:val="single"/>
          <w:lang w:val="en-US" w:eastAsia="zh-CN"/>
          <w14:textFill>
            <w14:solidFill>
              <w14:schemeClr w14:val="tx1"/>
            </w14:solidFill>
          </w14:textFill>
        </w:rPr>
        <w:t>六</w:t>
      </w:r>
      <w:r>
        <w:rPr>
          <w:rFonts w:ascii="仿宋_GB2312" w:eastAsia="仿宋_GB2312" w:cs="仿宋_GB2312"/>
          <w:b/>
          <w:color w:val="000000" w:themeColor="text1"/>
          <w:u w:val="single"/>
          <w14:textFill>
            <w14:solidFill>
              <w14:schemeClr w14:val="tx1"/>
            </w14:solidFill>
          </w14:textFill>
        </w:rPr>
        <w:t>十（</w:t>
      </w:r>
      <w:r>
        <w:rPr>
          <w:rFonts w:hint="eastAsia" w:ascii="仿宋_GB2312" w:eastAsia="仿宋_GB2312" w:cs="仿宋_GB2312"/>
          <w:b/>
          <w:color w:val="000000" w:themeColor="text1"/>
          <w:u w:val="single"/>
          <w:lang w:val="en-US" w:eastAsia="zh-CN"/>
          <w14:textFill>
            <w14:solidFill>
              <w14:schemeClr w14:val="tx1"/>
            </w14:solidFill>
          </w14:textFill>
        </w:rPr>
        <w:t>6</w:t>
      </w:r>
      <w:r>
        <w:rPr>
          <w:rFonts w:ascii="仿宋_GB2312" w:eastAsia="仿宋_GB2312" w:cs="仿宋_GB2312"/>
          <w:b/>
          <w:color w:val="000000" w:themeColor="text1"/>
          <w:u w:val="single"/>
          <w14:textFill>
            <w14:solidFill>
              <w14:schemeClr w14:val="tx1"/>
            </w14:solidFill>
          </w14:textFill>
        </w:rPr>
        <w:t>0）天</w:t>
      </w:r>
      <w:r>
        <w:rPr>
          <w:rFonts w:hint="eastAsia" w:ascii="宋体" w:hAnsi="宋体" w:eastAsia="宋体" w:cs="宋体"/>
          <w:color w:val="000000" w:themeColor="text1"/>
          <w14:textFill>
            <w14:solidFill>
              <w14:schemeClr w14:val="tx1"/>
            </w14:solidFill>
          </w14:textFill>
        </w:rPr>
        <w:t>。投标有效期比规定短的将被视为未实质性响应招标文件而予以拒绝。</w:t>
      </w:r>
    </w:p>
    <w:p w14:paraId="60CE05AE">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r>
        <w:rPr>
          <w:rFonts w:ascii="Arial" w:hAnsi="Arial" w:cs="Arial"/>
          <w:color w:val="000000" w:themeColor="text1"/>
          <w:sz w:val="28"/>
          <w:szCs w:val="28"/>
          <w14:textFill>
            <w14:solidFill>
              <w14:schemeClr w14:val="tx1"/>
            </w14:solidFill>
          </w14:textFill>
        </w:rPr>
        <w:t>16、投标有效期的延长</w:t>
      </w:r>
    </w:p>
    <w:p w14:paraId="37EDF9A1">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16.1在特殊情况下，</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于原投标有效期满之前，可向投标人提出延长投标有效期的要求。这种要求与答复均应采用书面形式。投标人可以拒绝</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的这一要求而放弃投标。同意延长投标有效期的投标人既不能要求也不允许修改其投标文件，同时受投标有效期约束的所有权利与义务均延长至新的有效期。</w:t>
      </w:r>
    </w:p>
    <w:p w14:paraId="14966591">
      <w:pPr>
        <w:pStyle w:val="8"/>
        <w:keepNext/>
        <w:keepLines/>
        <w:spacing w:before="145" w:beforeAutospacing="0" w:after="145" w:afterAutospacing="0" w:line="360" w:lineRule="auto"/>
        <w:ind w:firstLine="482"/>
        <w:jc w:val="both"/>
        <w:rPr>
          <w:color w:val="000000" w:themeColor="text1"/>
          <w14:textFill>
            <w14:solidFill>
              <w14:schemeClr w14:val="tx1"/>
            </w14:solidFill>
          </w14:textFill>
        </w:rPr>
      </w:pPr>
      <w:bookmarkStart w:id="118" w:name="_Toc120614217"/>
      <w:bookmarkStart w:id="119" w:name="_Toc16938540"/>
      <w:bookmarkStart w:id="120" w:name="_Toc513029224"/>
      <w:bookmarkStart w:id="121" w:name="_Toc20823296"/>
      <w:bookmarkStart w:id="122" w:name="_Hlt26954852"/>
      <w:bookmarkStart w:id="123" w:name="_Hlt26954739"/>
      <w:r>
        <w:rPr>
          <w:rFonts w:ascii="Times New Roman" w:hAnsi="Times New Roman"/>
          <w:b/>
          <w:color w:val="000000" w:themeColor="text1"/>
          <w:sz w:val="32"/>
          <w:szCs w:val="32"/>
          <w14:textFill>
            <w14:solidFill>
              <w14:schemeClr w14:val="tx1"/>
            </w14:solidFill>
          </w14:textFill>
        </w:rPr>
        <w:t>四、投标文件的递交</w:t>
      </w:r>
      <w:bookmarkEnd w:id="118"/>
      <w:bookmarkEnd w:id="119"/>
      <w:bookmarkEnd w:id="120"/>
      <w:bookmarkEnd w:id="121"/>
    </w:p>
    <w:p w14:paraId="5F33E8E9">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560"/>
        <w:jc w:val="both"/>
        <w:textAlignment w:val="auto"/>
        <w:rPr>
          <w:color w:val="000000" w:themeColor="text1"/>
          <w14:textFill>
            <w14:solidFill>
              <w14:schemeClr w14:val="tx1"/>
            </w14:solidFill>
          </w14:textFill>
        </w:rPr>
      </w:pPr>
      <w:bookmarkStart w:id="124" w:name="_Toc20823297"/>
      <w:bookmarkStart w:id="125" w:name="_Toc16938541"/>
      <w:bookmarkStart w:id="126" w:name="_Toc513029225"/>
      <w:bookmarkStart w:id="127" w:name="_Toc462564084"/>
      <w:r>
        <w:rPr>
          <w:rFonts w:ascii="Arial" w:hAnsi="Arial" w:cs="Arial"/>
          <w:color w:val="000000" w:themeColor="text1"/>
          <w:sz w:val="28"/>
          <w:szCs w:val="28"/>
          <w14:textFill>
            <w14:solidFill>
              <w14:schemeClr w14:val="tx1"/>
            </w14:solidFill>
          </w14:textFill>
        </w:rPr>
        <w:t>17、</w:t>
      </w:r>
      <w:r>
        <w:rPr>
          <w:rFonts w:hint="eastAsia" w:ascii="黑体" w:hAnsi="宋体" w:eastAsia="黑体" w:cs="黑体"/>
          <w:color w:val="000000" w:themeColor="text1"/>
          <w:sz w:val="28"/>
          <w:szCs w:val="28"/>
          <w14:textFill>
            <w14:solidFill>
              <w14:schemeClr w14:val="tx1"/>
            </w14:solidFill>
          </w14:textFill>
        </w:rPr>
        <w:t>投标文件</w:t>
      </w:r>
      <w:bookmarkEnd w:id="124"/>
      <w:bookmarkEnd w:id="125"/>
      <w:bookmarkEnd w:id="126"/>
      <w:bookmarkEnd w:id="127"/>
      <w:r>
        <w:rPr>
          <w:rFonts w:hint="eastAsia" w:ascii="黑体" w:hAnsi="宋体" w:eastAsia="黑体" w:cs="黑体"/>
          <w:color w:val="000000" w:themeColor="text1"/>
          <w:sz w:val="28"/>
          <w:szCs w:val="28"/>
          <w14:textFill>
            <w14:solidFill>
              <w14:schemeClr w14:val="tx1"/>
            </w14:solidFill>
          </w14:textFill>
        </w:rPr>
        <w:t>的递交</w:t>
      </w:r>
    </w:p>
    <w:p w14:paraId="5320ECB8">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17.1 电子投标文件的递交</w:t>
      </w:r>
    </w:p>
    <w:p w14:paraId="034B95E9">
      <w:pPr>
        <w:pStyle w:val="8"/>
        <w:pageBreakBefore w:val="0"/>
        <w:widowControl w:val="0"/>
        <w:kinsoku/>
        <w:wordWrap/>
        <w:overflowPunct/>
        <w:topLinePunct w:val="0"/>
        <w:autoSpaceDE/>
        <w:autoSpaceDN/>
        <w:bidi w:val="0"/>
        <w:adjustRightInd/>
        <w:snapToGrid/>
        <w:spacing w:beforeAutospacing="0" w:afterAutospacing="0" w:line="480" w:lineRule="exact"/>
        <w:ind w:left="525"/>
        <w:jc w:val="both"/>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投标人应当按照《操作手册》规定，在投标截止时间前制作并上传电子投标文件。</w:t>
      </w:r>
      <w:bookmarkStart w:id="128" w:name="_Toc20823298"/>
      <w:bookmarkEnd w:id="128"/>
      <w:bookmarkStart w:id="129" w:name="_Toc16938542"/>
      <w:bookmarkEnd w:id="129"/>
      <w:bookmarkStart w:id="130" w:name="_Toc513029226"/>
    </w:p>
    <w:p w14:paraId="76FCA57C">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r>
        <w:rPr>
          <w:rFonts w:ascii="Arial" w:hAnsi="Arial" w:cs="Arial"/>
          <w:color w:val="000000" w:themeColor="text1"/>
          <w:sz w:val="28"/>
          <w:szCs w:val="28"/>
          <w14:textFill>
            <w14:solidFill>
              <w14:schemeClr w14:val="tx1"/>
            </w14:solidFill>
          </w14:textFill>
        </w:rPr>
        <w:t>18、投标截止时间</w:t>
      </w:r>
    </w:p>
    <w:p w14:paraId="714743C3">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i/>
          <w:color w:val="000000" w:themeColor="text1"/>
          <w:u w:val="single"/>
          <w14:textFill>
            <w14:solidFill>
              <w14:schemeClr w14:val="tx1"/>
            </w14:solidFill>
          </w14:textFill>
        </w:rPr>
        <w:t>18.1投标人上传电子投标文件的时间不得迟于招标公告中规定的投标截止时间。</w:t>
      </w:r>
    </w:p>
    <w:p w14:paraId="297BF2CE">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投标人应充分考虑到网络环境、网络带宽等风险因素，如因投标人自身原因造成的电子投标文件上传不成功的按照本招标文件第二章第26.1.2条 规定做无效投标处理。</w:t>
      </w:r>
    </w:p>
    <w:p w14:paraId="712ED928">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18.2</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可以按照规定，通过修改招标文件酌情延长投标截止时间，在此情况下，投标人的所有权利和义务以及投标人受制的截止时间均应以延长后新的截止时间为准。</w:t>
      </w:r>
    </w:p>
    <w:p w14:paraId="1E71D1BF">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bookmarkStart w:id="131" w:name="_Toc16938543"/>
      <w:bookmarkStart w:id="132" w:name="_Toc20823299"/>
      <w:bookmarkStart w:id="133" w:name="_Toc513029227"/>
      <w:r>
        <w:rPr>
          <w:rFonts w:ascii="Arial" w:hAnsi="Arial" w:cs="Arial"/>
          <w:color w:val="000000" w:themeColor="text1"/>
          <w:sz w:val="28"/>
          <w:szCs w:val="28"/>
          <w14:textFill>
            <w14:solidFill>
              <w14:schemeClr w14:val="tx1"/>
            </w14:solidFill>
          </w14:textFill>
        </w:rPr>
        <w:t>19、投标文件</w:t>
      </w:r>
      <w:bookmarkEnd w:id="131"/>
      <w:bookmarkEnd w:id="132"/>
      <w:bookmarkEnd w:id="133"/>
      <w:r>
        <w:rPr>
          <w:rFonts w:ascii="Arial" w:hAnsi="Arial" w:cs="Arial"/>
          <w:color w:val="000000" w:themeColor="text1"/>
          <w:sz w:val="28"/>
          <w:szCs w:val="28"/>
          <w14:textFill>
            <w14:solidFill>
              <w14:schemeClr w14:val="tx1"/>
            </w14:solidFill>
          </w14:textFill>
        </w:rPr>
        <w:t>的拒收</w:t>
      </w:r>
    </w:p>
    <w:p w14:paraId="1BABC457">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19.1</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拒绝接收在其规定的投标截止时间后上传的任何投标文件。</w:t>
      </w:r>
    </w:p>
    <w:p w14:paraId="66A80BA8">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bookmarkStart w:id="134" w:name="_Toc16938544"/>
      <w:bookmarkStart w:id="135" w:name="_Toc20823300"/>
      <w:bookmarkStart w:id="136" w:name="_Toc513029228"/>
      <w:r>
        <w:rPr>
          <w:rFonts w:ascii="Arial" w:hAnsi="Arial" w:cs="Arial"/>
          <w:color w:val="000000" w:themeColor="text1"/>
          <w:sz w:val="28"/>
          <w:szCs w:val="28"/>
          <w14:textFill>
            <w14:solidFill>
              <w14:schemeClr w14:val="tx1"/>
            </w14:solidFill>
          </w14:textFill>
        </w:rPr>
        <w:t>20、投标文件的撤回和修改</w:t>
      </w:r>
      <w:bookmarkEnd w:id="134"/>
      <w:bookmarkEnd w:id="135"/>
      <w:bookmarkEnd w:id="136"/>
    </w:p>
    <w:p w14:paraId="20F25299">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20.1投标文件的撤回</w:t>
      </w:r>
    </w:p>
    <w:p w14:paraId="40FC4920">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21.1.1电子投标文件的撤回</w:t>
      </w:r>
    </w:p>
    <w:p w14:paraId="14B64EE8">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投标人可在投标截止时间前，撤回其电子投标文件，具体操作方法见《操作手册》。</w:t>
      </w:r>
    </w:p>
    <w:p w14:paraId="5C335D97">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21.1.2投标人撤回电子投标文件，则认为其不再参与本项目投标活动。</w:t>
      </w:r>
    </w:p>
    <w:p w14:paraId="6FCC1F42">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20.2 投标文件的修改</w:t>
      </w:r>
    </w:p>
    <w:p w14:paraId="1BD96A60">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20.2.1投标人可在投标截止时间前，对其电子投标文件进行修改，具体操作方法见《操作手册》。</w:t>
      </w:r>
    </w:p>
    <w:p w14:paraId="1685AA35">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20.2.2在投标截止时间之后，投标人不得对其电子投标文件作任何修改。</w:t>
      </w:r>
    </w:p>
    <w:p w14:paraId="3ED39C3A">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20.3在投标截止时间至招标文件中规定的投标有效期满之间的这段时间内，投标人不得撤回其投标。</w:t>
      </w:r>
    </w:p>
    <w:p w14:paraId="06B1293D">
      <w:pPr>
        <w:pStyle w:val="8"/>
        <w:keepNext/>
        <w:keepLines/>
        <w:spacing w:before="145" w:beforeAutospacing="0" w:after="145" w:afterAutospacing="0" w:line="360" w:lineRule="auto"/>
        <w:ind w:firstLine="482"/>
        <w:jc w:val="both"/>
        <w:rPr>
          <w:color w:val="000000" w:themeColor="text1"/>
          <w14:textFill>
            <w14:solidFill>
              <w14:schemeClr w14:val="tx1"/>
            </w14:solidFill>
          </w14:textFill>
        </w:rPr>
      </w:pPr>
      <w:bookmarkStart w:id="137" w:name="_Toc20823301"/>
      <w:bookmarkStart w:id="138" w:name="_Toc513029229"/>
      <w:bookmarkStart w:id="139" w:name="_Toc16938545"/>
      <w:bookmarkStart w:id="140" w:name="_Toc120614218"/>
      <w:r>
        <w:rPr>
          <w:rFonts w:ascii="Times New Roman" w:hAnsi="Times New Roman"/>
          <w:b/>
          <w:color w:val="000000" w:themeColor="text1"/>
          <w:sz w:val="32"/>
          <w:szCs w:val="32"/>
          <w14:textFill>
            <w14:solidFill>
              <w14:schemeClr w14:val="tx1"/>
            </w14:solidFill>
          </w14:textFill>
        </w:rPr>
        <w:t>五、开标与评标</w:t>
      </w:r>
      <w:bookmarkEnd w:id="137"/>
      <w:bookmarkEnd w:id="138"/>
      <w:bookmarkEnd w:id="139"/>
      <w:bookmarkEnd w:id="140"/>
    </w:p>
    <w:p w14:paraId="0B37D74E">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bookmarkStart w:id="141" w:name="_Toc20823302"/>
      <w:bookmarkStart w:id="142" w:name="_Toc16938546"/>
      <w:bookmarkStart w:id="143" w:name="_Toc513029230"/>
      <w:r>
        <w:rPr>
          <w:rFonts w:ascii="Arial" w:hAnsi="Arial" w:cs="Arial"/>
          <w:color w:val="000000" w:themeColor="text1"/>
          <w:sz w:val="28"/>
          <w:szCs w:val="28"/>
          <w14:textFill>
            <w14:solidFill>
              <w14:schemeClr w14:val="tx1"/>
            </w14:solidFill>
          </w14:textFill>
        </w:rPr>
        <w:t>21、开标</w:t>
      </w:r>
      <w:bookmarkEnd w:id="141"/>
      <w:bookmarkEnd w:id="142"/>
      <w:bookmarkEnd w:id="143"/>
    </w:p>
    <w:p w14:paraId="70EE6185">
      <w:pPr>
        <w:pStyle w:val="8"/>
        <w:pageBreakBefore w:val="0"/>
        <w:widowControl w:val="0"/>
        <w:kinsoku/>
        <w:wordWrap/>
        <w:overflowPunct/>
        <w:topLinePunct w:val="0"/>
        <w:autoSpaceDE/>
        <w:autoSpaceDN/>
        <w:bidi w:val="0"/>
        <w:adjustRightInd/>
        <w:snapToGrid/>
        <w:spacing w:beforeAutospacing="0" w:afterAutospacing="0" w:line="480" w:lineRule="exact"/>
        <w:ind w:firstLine="36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将在招标公告中规定的时间和地点组织公开开标。投标人应当按照《操作手册》规定，参加开标活动和在苏采云系统规定的时间内对投标文件进行解密。</w:t>
      </w:r>
    </w:p>
    <w:p w14:paraId="7C101394">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21.2开标仪式由</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组织。苏采云系统将自动对项目进行开标，并宣布各投标人名称和投标价格。</w:t>
      </w:r>
    </w:p>
    <w:p w14:paraId="72E8B25C">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21.3投标人在开标过程中涉及到的投标文件解密、开标结果确认等工作，应按照《操作手册》规定执行。</w:t>
      </w:r>
    </w:p>
    <w:p w14:paraId="2B86CD2F">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21.4投标人如果对开标过程和开标记录有疑义，应当根据《操作手册》规定提出，如苏采云系统中《开标记录表》宣布后5分钟内未提出的，视同认可开标结果。</w:t>
      </w:r>
    </w:p>
    <w:p w14:paraId="0F9439E5">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bookmarkStart w:id="144" w:name="_Toc513029231"/>
      <w:bookmarkStart w:id="145" w:name="_Toc20823303"/>
      <w:bookmarkStart w:id="146" w:name="_Toc16938547"/>
      <w:r>
        <w:rPr>
          <w:rFonts w:ascii="Arial" w:hAnsi="Arial" w:cs="Arial"/>
          <w:color w:val="000000" w:themeColor="text1"/>
          <w:sz w:val="28"/>
          <w:szCs w:val="28"/>
          <w14:textFill>
            <w14:solidFill>
              <w14:schemeClr w14:val="tx1"/>
            </w14:solidFill>
          </w14:textFill>
        </w:rPr>
        <w:t>22、评标委员会</w:t>
      </w:r>
      <w:bookmarkEnd w:id="144"/>
      <w:bookmarkEnd w:id="145"/>
      <w:bookmarkEnd w:id="146"/>
    </w:p>
    <w:p w14:paraId="66A7CCC1">
      <w:pPr>
        <w:pStyle w:val="8"/>
        <w:pageBreakBefore w:val="0"/>
        <w:widowControl w:val="0"/>
        <w:kinsoku/>
        <w:wordWrap/>
        <w:overflowPunct/>
        <w:topLinePunct w:val="0"/>
        <w:autoSpaceDE/>
        <w:autoSpaceDN/>
        <w:bidi w:val="0"/>
        <w:adjustRightInd/>
        <w:snapToGrid/>
        <w:spacing w:beforeAutospacing="0" w:afterAutospacing="0" w:line="480" w:lineRule="exact"/>
        <w:jc w:val="both"/>
        <w:textAlignment w:val="auto"/>
        <w:rPr>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22.1开标后，</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将立即组织评标委员会（以下简称评委会）进行评标。</w:t>
      </w:r>
    </w:p>
    <w:p w14:paraId="2FCE645C">
      <w:pPr>
        <w:pStyle w:val="8"/>
        <w:pageBreakBefore w:val="0"/>
        <w:widowControl w:val="0"/>
        <w:kinsoku/>
        <w:wordWrap/>
        <w:overflowPunct/>
        <w:topLinePunct w:val="0"/>
        <w:autoSpaceDE/>
        <w:autoSpaceDN/>
        <w:bidi w:val="0"/>
        <w:adjustRightInd/>
        <w:snapToGrid/>
        <w:spacing w:beforeAutospacing="0" w:afterAutospacing="0" w:line="480" w:lineRule="exact"/>
        <w:jc w:val="both"/>
        <w:textAlignment w:val="auto"/>
        <w:rPr>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22.2评委会由采购人代表和有关技术、经济等方面的专家组成，且人员构成符合政府采购有关规定。</w:t>
      </w:r>
    </w:p>
    <w:p w14:paraId="61769403">
      <w:pPr>
        <w:pStyle w:val="8"/>
        <w:pageBreakBefore w:val="0"/>
        <w:widowControl w:val="0"/>
        <w:kinsoku/>
        <w:wordWrap/>
        <w:overflowPunct/>
        <w:topLinePunct w:val="0"/>
        <w:autoSpaceDE/>
        <w:autoSpaceDN/>
        <w:bidi w:val="0"/>
        <w:adjustRightInd/>
        <w:snapToGrid/>
        <w:spacing w:beforeAutospacing="0" w:afterAutospacing="0" w:line="480" w:lineRule="exact"/>
        <w:jc w:val="both"/>
        <w:textAlignment w:val="auto"/>
        <w:rPr>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22.3评委会独立工作，负责评审所有投标文件并确定中标侯选人。</w:t>
      </w:r>
    </w:p>
    <w:p w14:paraId="06B55F34">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r>
        <w:rPr>
          <w:rFonts w:hint="eastAsia" w:ascii="黑体" w:hAnsi="宋体" w:eastAsia="黑体" w:cs="黑体"/>
          <w:color w:val="000000" w:themeColor="text1"/>
          <w:sz w:val="28"/>
          <w:szCs w:val="28"/>
          <w14:textFill>
            <w14:solidFill>
              <w14:schemeClr w14:val="tx1"/>
            </w14:solidFill>
          </w14:textFill>
        </w:rPr>
        <w:t>23、评标过程的保密与公正</w:t>
      </w:r>
    </w:p>
    <w:p w14:paraId="638B4F23">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23.1凡是与审查、澄清、评价和比较投标的有关资料以及授标建议等，采购人、评委、</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均不得向投标人或与评标无关的其他人员透露。</w:t>
      </w:r>
    </w:p>
    <w:p w14:paraId="2CA02969">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23.2在评标过程中，投标人不得以任何行为影响评标过程，否则其投标文件将被作为无效投标文件。</w:t>
      </w:r>
    </w:p>
    <w:p w14:paraId="75B3DE4B">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23.3</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和评标委员会不向未中标的投标人解释未中标原因，也不公布评标过程中的相关细节。</w:t>
      </w:r>
    </w:p>
    <w:p w14:paraId="416B06C3">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23.4采用综合评分法的项目，未中标的投标人可于中标结果公告期限届满之日起通过苏采云系统查看自己的评审得分及排序情况。</w:t>
      </w:r>
    </w:p>
    <w:p w14:paraId="15BDB642">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bookmarkStart w:id="147" w:name="_Toc513029232"/>
      <w:bookmarkStart w:id="148" w:name="_Toc20823304"/>
      <w:bookmarkStart w:id="149" w:name="_Toc16938548"/>
      <w:r>
        <w:rPr>
          <w:rFonts w:ascii="Arial" w:hAnsi="Arial" w:cs="Arial"/>
          <w:color w:val="000000" w:themeColor="text1"/>
          <w:sz w:val="28"/>
          <w:szCs w:val="28"/>
          <w14:textFill>
            <w14:solidFill>
              <w14:schemeClr w14:val="tx1"/>
            </w14:solidFill>
          </w14:textFill>
        </w:rPr>
        <w:t>24、投标文件的澄清</w:t>
      </w:r>
      <w:bookmarkEnd w:id="147"/>
      <w:bookmarkEnd w:id="148"/>
      <w:bookmarkEnd w:id="149"/>
    </w:p>
    <w:p w14:paraId="1CF8D3E7">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24.1评标期间，评委会对投标文件中含义不明确、同类问题表述不一致或者有明显文字和计算错误的内容，有权要求投标人作出必要的澄清、说明或者补正。</w:t>
      </w:r>
    </w:p>
    <w:p w14:paraId="6653C636">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投标人的澄清、说明或者补正不得超出投标文件的范围或者改变投标文件的实质性内容。</w:t>
      </w:r>
    </w:p>
    <w:p w14:paraId="33B30C5D">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评标委员会并非对每个投标人都做澄清要求。</w:t>
      </w:r>
    </w:p>
    <w:p w14:paraId="251E9A38">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14:paraId="26D5A5FB">
      <w:pPr>
        <w:pStyle w:val="8"/>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24.3接到评委会澄清、说明和补正要求的投标人如未按规定做出澄清、说明和补正，其风险由投标人自行承担。</w:t>
      </w:r>
    </w:p>
    <w:p w14:paraId="5779B5EA">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bookmarkStart w:id="150" w:name="_Toc20823305"/>
      <w:bookmarkStart w:id="151" w:name="_Toc16938549"/>
      <w:bookmarkStart w:id="152" w:name="_Toc513029233"/>
      <w:r>
        <w:rPr>
          <w:rFonts w:ascii="Arial" w:hAnsi="Arial" w:cs="Arial"/>
          <w:color w:val="000000" w:themeColor="text1"/>
          <w:sz w:val="28"/>
          <w:szCs w:val="28"/>
          <w14:textFill>
            <w14:solidFill>
              <w14:schemeClr w14:val="tx1"/>
            </w14:solidFill>
          </w14:textFill>
        </w:rPr>
        <w:t>25、对投标文件的初审</w:t>
      </w:r>
      <w:bookmarkEnd w:id="150"/>
      <w:bookmarkEnd w:id="151"/>
      <w:bookmarkEnd w:id="152"/>
    </w:p>
    <w:p w14:paraId="3B5168F9">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25.1投标文件初审分为资格审查和符合性审查。</w:t>
      </w:r>
    </w:p>
    <w:p w14:paraId="33CA10DC">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25.1.1资格审查：依据法律法规和招标文件的规定，由采购人对投标文件中的资格证明文件进行审查。资格审查的结论</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采购人以书面形式向评委会进行反馈。</w:t>
      </w:r>
    </w:p>
    <w:p w14:paraId="29B6804D">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采购人在进行资格性审查的同时，将在“信用中国”网站（www.creditchina.gov.cn）查询投标人的信用记录，以确定投标人是否具备投标资格,查询结果留存并归档。</w:t>
      </w:r>
    </w:p>
    <w:p w14:paraId="07AA709F">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接受联合体的项目，两个以上的自然人、法人或者其他组织组成一个联合体，以一个供应商的身份共同参加政府采购活动的,联合体成员存在不良信用记录的，视同联合体存在不良应用记录。</w:t>
      </w:r>
    </w:p>
    <w:p w14:paraId="587AC4D4">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25.1.2符合性审查：依据招标文件的规定，由评委会从投标文件的有效性、完整性和对招标文件的响应程度进行审查，以确定是否对招标文件的实质性要求作出响应。</w:t>
      </w:r>
    </w:p>
    <w:p w14:paraId="126F8CB2">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25.1.3未通过资格审查或符合性审查的投标人，</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将在苏采云系统中告知未通过资格审查或符合性审查的原因，评标结束后，</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将不再告知未通过资格审查和符合性审查的原因。</w:t>
      </w:r>
    </w:p>
    <w:p w14:paraId="33175F4A">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25.2在详细评标之前，评委会将首先审查每份投标文件是否实质性响应了招标文件的要求。实质性响应的投标应该是与招标文件要求的全部条款、条件和规格相符，没有重大偏离或保留的投标。</w:t>
      </w:r>
    </w:p>
    <w:p w14:paraId="3683438B">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所谓重大偏离或保留是指与招标文件规定的实质性要求存在负偏离，或者在实质上与招标文件不一致，而且限制了合同中买方和</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40D14248">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25.3如果投标文件实质上没有响应招标文件的要求，评委会将予以拒绝，投标人不得通过修改或撤销不合要求的偏离或保留而使其投标成为实质性响应的投标。</w:t>
      </w:r>
    </w:p>
    <w:p w14:paraId="43C06788">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25.4评委会将对确定为实质性响应的投标进行进一步审核，确定其是否有计算上或累加上的算术错误，修正错误的原则如下：</w:t>
      </w:r>
    </w:p>
    <w:p w14:paraId="7779BE07">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（1）投标文件中开标一览表内容与投标文件中相应内容不一致的，以开标一览表为准。</w:t>
      </w:r>
    </w:p>
    <w:p w14:paraId="5B805790">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（2）大写金额和小写金额不一致的，以大写金额为准。</w:t>
      </w:r>
    </w:p>
    <w:p w14:paraId="5B03EFB0">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（3）单价金额小数点或者百分比有明显错位的，以开标一览表的总价为准，并修改单价。</w:t>
      </w:r>
    </w:p>
    <w:p w14:paraId="66CA6854">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（4）总价金额与按单价汇总金额不一致的，以单价金额计算结果为准。</w:t>
      </w:r>
    </w:p>
    <w:p w14:paraId="6787E09A">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同时出现两种以上错误的，按照前款规定的顺序修正。</w:t>
      </w:r>
    </w:p>
    <w:p w14:paraId="364D72BA">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25.5评委会将按上述修正错误的方法调整投标文件中的投标报价，并通过苏采云系统告知投标人，调整后的价格应对投标人具有约束力。如果投标人不接受修正后的价格，则其投标将被拒绝。</w:t>
      </w:r>
    </w:p>
    <w:p w14:paraId="565F6A1F">
      <w:pPr>
        <w:pStyle w:val="8"/>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rFonts w:hint="eastAsia" w:ascii="宋体" w:hAnsi="宋体" w:eastAsia="宋体" w:cs="宋体"/>
          <w:color w:val="000000" w:themeColor="text1"/>
          <w14:textFill>
            <w14:solidFill>
              <w14:schemeClr w14:val="tx1"/>
            </w14:solidFill>
          </w14:textFill>
        </w:rPr>
      </w:pPr>
      <w:bookmarkStart w:id="153" w:name="_Toc16938550"/>
      <w:bookmarkStart w:id="154" w:name="_Toc513029234"/>
      <w:bookmarkStart w:id="155" w:name="_Toc20823306"/>
      <w:r>
        <w:rPr>
          <w:rFonts w:hint="eastAsia" w:ascii="宋体" w:hAnsi="宋体" w:eastAsia="宋体" w:cs="宋体"/>
          <w:color w:val="000000" w:themeColor="text1"/>
          <w14:textFill>
            <w14:solidFill>
              <w14:schemeClr w14:val="tx1"/>
            </w14:solidFill>
          </w14:textFill>
        </w:rPr>
        <w:t>25.6投标人在开、评标全过程中应保持通讯畅通，及时登录苏采云系统查阅、答复相关信息，并安排专人与</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及评标委员会联系。</w:t>
      </w:r>
      <w:bookmarkEnd w:id="153"/>
      <w:bookmarkEnd w:id="154"/>
      <w:bookmarkEnd w:id="155"/>
    </w:p>
    <w:p w14:paraId="78BF83E4">
      <w:pPr>
        <w:pStyle w:val="8"/>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rFonts w:hint="eastAsia" w:ascii="宋体" w:hAnsi="宋体" w:eastAsia="宋体" w:cs="宋体"/>
          <w:color w:val="000000" w:themeColor="text1"/>
          <w:highlight w:val="cyan"/>
          <w14:textFill>
            <w14:solidFill>
              <w14:schemeClr w14:val="tx1"/>
            </w14:solidFill>
          </w14:textFill>
        </w:rPr>
      </w:pPr>
      <w:r>
        <w:rPr>
          <w:rFonts w:hint="eastAsia" w:ascii="宋体" w:hAnsi="宋体" w:eastAsia="宋体" w:cs="宋体"/>
          <w:color w:val="000000" w:themeColor="text1"/>
          <w:highlight w:val="cyan"/>
          <w14:textFill>
            <w14:solidFill>
              <w14:schemeClr w14:val="tx1"/>
            </w14:solidFill>
          </w14:textFill>
        </w:rPr>
        <w:t>26、评审委员会启动异常低价投标（响应）审查的情形和具体要求：</w:t>
      </w:r>
    </w:p>
    <w:p w14:paraId="360C0E70">
      <w:pPr>
        <w:pStyle w:val="8"/>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26.1评审过程中出现下列情形之一的，评审委员会应当启动异常低价投标（响应）审查程序：</w:t>
      </w:r>
    </w:p>
    <w:p w14:paraId="13C966CC">
      <w:pPr>
        <w:pStyle w:val="8"/>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(1)投标（响应）报价低于采购项目预算50%的，即投标（响应）报价&lt;采购项目预算×50%；</w:t>
      </w:r>
    </w:p>
    <w:p w14:paraId="510DE712">
      <w:pPr>
        <w:pStyle w:val="8"/>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（2）投标（响应）报价低于采购项目最高限价45%的，即投标（响应）报价&lt;采购项目最高限价×45%;</w:t>
      </w:r>
    </w:p>
    <w:p w14:paraId="010D9318">
      <w:pPr>
        <w:pStyle w:val="8"/>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（3）评审委员会认定的供应商报价过低、有可能影响产品质量或者不能诚信履约的其他情形。</w:t>
      </w:r>
    </w:p>
    <w:p w14:paraId="147BAABA">
      <w:pPr>
        <w:pStyle w:val="8"/>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26.2启动异常低价投标（响应）审查后，评审委员会应当要求相关供应商在评标现场合理的时间内，提供项目具体成本测算等与报价合理性相关的书面</w:t>
      </w:r>
    </w:p>
    <w:p w14:paraId="7F434A8F">
      <w:pPr>
        <w:pStyle w:val="8"/>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442F3A76">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420"/>
        <w:jc w:val="both"/>
        <w:textAlignment w:val="auto"/>
        <w:rPr>
          <w:color w:val="000000" w:themeColor="text1"/>
          <w14:textFill>
            <w14:solidFill>
              <w14:schemeClr w14:val="tx1"/>
            </w14:solidFill>
          </w14:textFill>
        </w:rPr>
      </w:pPr>
      <w:r>
        <w:rPr>
          <w:rFonts w:ascii="Arial" w:hAnsi="Arial" w:cs="Arial"/>
          <w:color w:val="000000" w:themeColor="text1"/>
          <w:sz w:val="28"/>
          <w:szCs w:val="28"/>
          <w14:textFill>
            <w14:solidFill>
              <w14:schemeClr w14:val="tx1"/>
            </w14:solidFill>
          </w14:textFill>
        </w:rPr>
        <w:t>2</w:t>
      </w:r>
      <w:r>
        <w:rPr>
          <w:rFonts w:hint="eastAsia" w:ascii="Arial" w:hAnsi="Arial" w:cs="Arial"/>
          <w:color w:val="000000" w:themeColor="text1"/>
          <w:sz w:val="28"/>
          <w:szCs w:val="28"/>
          <w:lang w:val="en-US" w:eastAsia="zh-CN"/>
          <w14:textFill>
            <w14:solidFill>
              <w14:schemeClr w14:val="tx1"/>
            </w14:solidFill>
          </w14:textFill>
        </w:rPr>
        <w:t>7</w:t>
      </w:r>
      <w:r>
        <w:rPr>
          <w:rFonts w:ascii="Arial" w:hAnsi="Arial" w:cs="Arial"/>
          <w:color w:val="000000" w:themeColor="text1"/>
          <w:sz w:val="28"/>
          <w:szCs w:val="28"/>
          <w14:textFill>
            <w14:solidFill>
              <w14:schemeClr w14:val="tx1"/>
            </w14:solidFill>
          </w14:textFill>
        </w:rPr>
        <w:t>、无效投标条款和废标条款</w:t>
      </w:r>
    </w:p>
    <w:p w14:paraId="65D6BDF5">
      <w:pPr>
        <w:pStyle w:val="8"/>
        <w:pageBreakBefore w:val="0"/>
        <w:widowControl w:val="0"/>
        <w:kinsoku/>
        <w:wordWrap/>
        <w:overflowPunct/>
        <w:topLinePunct w:val="0"/>
        <w:autoSpaceDE/>
        <w:autoSpaceDN/>
        <w:bidi w:val="0"/>
        <w:adjustRightInd/>
        <w:snapToGrid/>
        <w:spacing w:beforeAutospacing="0" w:afterAutospacing="0" w:line="480" w:lineRule="exact"/>
        <w:ind w:left="479"/>
        <w:jc w:val="both"/>
        <w:textAlignment w:val="auto"/>
        <w:rPr>
          <w:color w:val="000000" w:themeColor="text1"/>
          <w14:textFill>
            <w14:solidFill>
              <w14:schemeClr w14:val="tx1"/>
            </w14:solidFill>
          </w14:textFill>
        </w:rPr>
      </w:pPr>
      <w:bookmarkStart w:id="156" w:name="_Toc513029235"/>
      <w:bookmarkStart w:id="157" w:name="_Toc20823307"/>
      <w:bookmarkStart w:id="158" w:name="_Toc16938551"/>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.1无效投标条款</w:t>
      </w:r>
      <w:bookmarkEnd w:id="156"/>
      <w:bookmarkEnd w:id="157"/>
      <w:bookmarkEnd w:id="158"/>
    </w:p>
    <w:p w14:paraId="3A896DE6">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.1.1投标人在苏采云系统规定的时间内未成功解密电子投标文件的。</w:t>
      </w:r>
    </w:p>
    <w:p w14:paraId="55CB49B6">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.1.2投标人未按照招标文件要求上传电子投标文件的。</w:t>
      </w:r>
    </w:p>
    <w:p w14:paraId="67EB6022">
      <w:pPr>
        <w:pStyle w:val="8"/>
        <w:pageBreakBefore w:val="0"/>
        <w:widowControl w:val="0"/>
        <w:kinsoku/>
        <w:wordWrap/>
        <w:overflowPunct/>
        <w:topLinePunct w:val="0"/>
        <w:autoSpaceDE/>
        <w:autoSpaceDN/>
        <w:bidi w:val="0"/>
        <w:adjustRightInd/>
        <w:snapToGrid/>
        <w:spacing w:beforeAutospacing="0" w:afterAutospacing="0" w:line="480" w:lineRule="exact"/>
        <w:ind w:left="479"/>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.1.3同一投标人提交两个（含两个）以上不同的投标报价的。</w:t>
      </w:r>
    </w:p>
    <w:p w14:paraId="4BE7C127">
      <w:pPr>
        <w:pStyle w:val="8"/>
        <w:pageBreakBefore w:val="0"/>
        <w:widowControl w:val="0"/>
        <w:kinsoku/>
        <w:wordWrap/>
        <w:overflowPunct/>
        <w:topLinePunct w:val="0"/>
        <w:autoSpaceDE/>
        <w:autoSpaceDN/>
        <w:bidi w:val="0"/>
        <w:adjustRightInd/>
        <w:snapToGrid/>
        <w:spacing w:beforeAutospacing="0" w:afterAutospacing="0" w:line="480" w:lineRule="exact"/>
        <w:ind w:left="479"/>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.1.4投标人不具备招标文件中规定资格要求的。</w:t>
      </w:r>
    </w:p>
    <w:p w14:paraId="4FB4DAB1">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.1.5投标人的报价超过了采购预算或最高限价的。</w:t>
      </w:r>
    </w:p>
    <w:p w14:paraId="7DFE708B">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.1.6未通过符合性审查的。</w:t>
      </w:r>
    </w:p>
    <w:p w14:paraId="56F1A3C9">
      <w:pPr>
        <w:pStyle w:val="8"/>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.1.7不符合招标文件中规定的实质性要求和条件的（</w:t>
      </w:r>
      <w:r>
        <w:rPr>
          <w:rFonts w:hint="eastAsia" w:ascii="宋体" w:hAnsi="宋体" w:eastAsia="宋体" w:cs="宋体"/>
          <w:i/>
          <w:color w:val="000000" w:themeColor="text1"/>
          <w:u w:val="single"/>
          <w14:textFill>
            <w14:solidFill>
              <w14:schemeClr w14:val="tx1"/>
            </w14:solidFill>
          </w14:textFill>
        </w:rPr>
        <w:t>本招标文件中斜体且有下划线部分为实质性要求和条件）。</w:t>
      </w:r>
    </w:p>
    <w:p w14:paraId="7D583550">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1.8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3B6E008E">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.1.9投标文件含有采购人不能接受的附加条件的。</w:t>
      </w:r>
    </w:p>
    <w:p w14:paraId="16FB2AAF">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1.10评标委员会认为投标人的报价明显低于其他通过符合性审查投标人的报价，有可能影响产品质量或者不能诚信履约的，将通过苏采云系统要求其在合理的时间内提供说明，必要时提交相关证明材料；投标人不能证明其报价合理性的，评标委员会应当将其作为无效投标处理。</w:t>
      </w:r>
    </w:p>
    <w:p w14:paraId="13C1D7FF">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.1.11投标文件未按照招标文件要求加盖CA电子公章的。</w:t>
      </w:r>
    </w:p>
    <w:p w14:paraId="0D9C8E2F">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.1.12其他法律、法规及本招标文件规定的属无效投标的情形。</w:t>
      </w:r>
    </w:p>
    <w:p w14:paraId="24EF1A54">
      <w:pPr>
        <w:pStyle w:val="8"/>
        <w:pageBreakBefore w:val="0"/>
        <w:widowControl w:val="0"/>
        <w:kinsoku/>
        <w:wordWrap/>
        <w:overflowPunct/>
        <w:topLinePunct w:val="0"/>
        <w:autoSpaceDE/>
        <w:autoSpaceDN/>
        <w:bidi w:val="0"/>
        <w:adjustRightInd/>
        <w:snapToGrid/>
        <w:spacing w:beforeAutospacing="0" w:afterAutospacing="0" w:line="480" w:lineRule="exact"/>
        <w:ind w:left="479"/>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.2废标条款</w:t>
      </w:r>
    </w:p>
    <w:p w14:paraId="4CA42CAE">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.2.1符合专业条件的供应商或者对招标文件作实质响应的供应商不足三</w:t>
      </w:r>
      <w:r>
        <w:rPr>
          <w:rFonts w:hint="eastAsia" w:ascii="宋体" w:hAnsi="宋体" w:eastAsia="宋体" w:cs="宋体"/>
          <w:color w:val="000000" w:themeColor="text1"/>
          <w:lang w:val="en-US" w:eastAsia="zh-CN"/>
          <w14:textFill>
            <w14:solidFill>
              <w14:schemeClr w14:val="tx1"/>
            </w14:solidFill>
          </w14:textFill>
        </w:rPr>
        <w:t>家</w:t>
      </w:r>
      <w:r>
        <w:rPr>
          <w:rFonts w:hint="eastAsia" w:ascii="宋体" w:hAnsi="宋体" w:eastAsia="宋体" w:cs="宋体"/>
          <w:color w:val="000000" w:themeColor="text1"/>
          <w14:textFill>
            <w14:solidFill>
              <w14:schemeClr w14:val="tx1"/>
            </w14:solidFill>
          </w14:textFill>
        </w:rPr>
        <w:t>的。</w:t>
      </w:r>
    </w:p>
    <w:p w14:paraId="53D32019">
      <w:pPr>
        <w:pStyle w:val="8"/>
        <w:pageBreakBefore w:val="0"/>
        <w:widowControl w:val="0"/>
        <w:kinsoku/>
        <w:wordWrap/>
        <w:overflowPunct/>
        <w:topLinePunct w:val="0"/>
        <w:autoSpaceDE/>
        <w:autoSpaceDN/>
        <w:bidi w:val="0"/>
        <w:adjustRightInd/>
        <w:snapToGrid/>
        <w:spacing w:beforeAutospacing="0" w:afterAutospacing="0" w:line="480" w:lineRule="exact"/>
        <w:ind w:left="479"/>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.2.2出现影响采购公正的违法、违规行为的。</w:t>
      </w:r>
    </w:p>
    <w:p w14:paraId="320B9F32">
      <w:pPr>
        <w:pStyle w:val="8"/>
        <w:pageBreakBefore w:val="0"/>
        <w:widowControl w:val="0"/>
        <w:kinsoku/>
        <w:wordWrap/>
        <w:overflowPunct/>
        <w:topLinePunct w:val="0"/>
        <w:autoSpaceDE/>
        <w:autoSpaceDN/>
        <w:bidi w:val="0"/>
        <w:adjustRightInd/>
        <w:snapToGrid/>
        <w:spacing w:beforeAutospacing="0" w:afterAutospacing="0" w:line="480" w:lineRule="exact"/>
        <w:ind w:left="479"/>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.2.3因重大变故，采购任务取消的。</w:t>
      </w:r>
    </w:p>
    <w:p w14:paraId="544A4781">
      <w:pPr>
        <w:pStyle w:val="8"/>
        <w:pageBreakBefore w:val="0"/>
        <w:widowControl w:val="0"/>
        <w:kinsoku/>
        <w:wordWrap/>
        <w:overflowPunct/>
        <w:topLinePunct w:val="0"/>
        <w:autoSpaceDE/>
        <w:autoSpaceDN/>
        <w:bidi w:val="0"/>
        <w:adjustRightInd/>
        <w:snapToGrid/>
        <w:spacing w:beforeAutospacing="0" w:afterAutospacing="0" w:line="480" w:lineRule="exact"/>
        <w:ind w:left="479"/>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.2.4评标委员会认定招标文件存在歧义、重大缺陷导致评审工作无法进行。</w:t>
      </w:r>
    </w:p>
    <w:p w14:paraId="086E3962">
      <w:pPr>
        <w:pStyle w:val="8"/>
        <w:pageBreakBefore w:val="0"/>
        <w:widowControl w:val="0"/>
        <w:kinsoku/>
        <w:wordWrap/>
        <w:overflowPunct/>
        <w:topLinePunct w:val="0"/>
        <w:autoSpaceDE/>
        <w:autoSpaceDN/>
        <w:bidi w:val="0"/>
        <w:adjustRightInd/>
        <w:snapToGrid/>
        <w:spacing w:beforeAutospacing="0" w:afterAutospacing="0" w:line="480" w:lineRule="exact"/>
        <w:ind w:left="479"/>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.2.5因苏采云系统系统故障原因造成开标不成功的。</w:t>
      </w:r>
    </w:p>
    <w:p w14:paraId="5A7CCAEC">
      <w:pPr>
        <w:pStyle w:val="8"/>
        <w:pageBreakBefore w:val="0"/>
        <w:widowControl w:val="0"/>
        <w:kinsoku/>
        <w:wordWrap/>
        <w:overflowPunct/>
        <w:topLinePunct w:val="0"/>
        <w:autoSpaceDE/>
        <w:autoSpaceDN/>
        <w:bidi w:val="0"/>
        <w:adjustRightInd/>
        <w:snapToGrid/>
        <w:spacing w:beforeAutospacing="0" w:afterAutospacing="0" w:line="480" w:lineRule="exact"/>
        <w:ind w:left="479"/>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.3 投标截止时间结束后参加投标的供应商不足三家的处理：</w:t>
      </w:r>
    </w:p>
    <w:p w14:paraId="0D43FDA5">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.3.1如出现投标截止时间结束后参加投标的供应商或者在评标期间对招标文件做出实质响应的供应商不足三家情况，按政府采购相关规定执行。</w:t>
      </w:r>
    </w:p>
    <w:p w14:paraId="1329CB82">
      <w:pPr>
        <w:pStyle w:val="8"/>
        <w:keepNext/>
        <w:keepLines/>
        <w:spacing w:before="145" w:beforeAutospacing="0" w:after="145" w:afterAutospacing="0" w:line="360" w:lineRule="auto"/>
        <w:ind w:firstLine="482"/>
        <w:jc w:val="both"/>
        <w:rPr>
          <w:color w:val="000000" w:themeColor="text1"/>
          <w14:textFill>
            <w14:solidFill>
              <w14:schemeClr w14:val="tx1"/>
            </w14:solidFill>
          </w14:textFill>
        </w:rPr>
      </w:pPr>
      <w:bookmarkStart w:id="159" w:name="_Toc120614219"/>
      <w:r>
        <w:rPr>
          <w:rFonts w:ascii="Times New Roman" w:hAnsi="Times New Roman"/>
          <w:b/>
          <w:color w:val="000000" w:themeColor="text1"/>
          <w:sz w:val="32"/>
          <w:szCs w:val="32"/>
          <w14:textFill>
            <w14:solidFill>
              <w14:schemeClr w14:val="tx1"/>
            </w14:solidFill>
          </w14:textFill>
        </w:rPr>
        <w:t>六、定标</w:t>
      </w:r>
      <w:bookmarkEnd w:id="159"/>
    </w:p>
    <w:p w14:paraId="05689BD7">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color w:val="000000" w:themeColor="text1"/>
          <w14:textFill>
            <w14:solidFill>
              <w14:schemeClr w14:val="tx1"/>
            </w14:solidFill>
          </w14:textFill>
        </w:rPr>
      </w:pPr>
      <w:bookmarkStart w:id="160" w:name="_Toc20823310"/>
      <w:bookmarkStart w:id="161" w:name="_Toc16938554"/>
      <w:bookmarkStart w:id="162" w:name="_Toc513029238"/>
      <w:r>
        <w:rPr>
          <w:rFonts w:hint="eastAsia" w:ascii="黑体" w:hAnsi="宋体" w:eastAsia="黑体" w:cs="黑体"/>
          <w:color w:val="000000" w:themeColor="text1"/>
          <w:sz w:val="30"/>
          <w:szCs w:val="30"/>
          <w14:textFill>
            <w14:solidFill>
              <w14:schemeClr w14:val="tx1"/>
            </w14:solidFill>
          </w14:textFill>
        </w:rPr>
        <w:t>2</w:t>
      </w:r>
      <w:r>
        <w:rPr>
          <w:rFonts w:hint="eastAsia" w:ascii="黑体" w:hAnsi="宋体" w:eastAsia="黑体" w:cs="黑体"/>
          <w:color w:val="000000" w:themeColor="text1"/>
          <w:sz w:val="30"/>
          <w:szCs w:val="30"/>
          <w:lang w:val="en-US" w:eastAsia="zh-CN"/>
          <w14:textFill>
            <w14:solidFill>
              <w14:schemeClr w14:val="tx1"/>
            </w14:solidFill>
          </w14:textFill>
        </w:rPr>
        <w:t>8</w:t>
      </w:r>
      <w:r>
        <w:rPr>
          <w:rFonts w:hint="eastAsia" w:ascii="黑体" w:hAnsi="宋体" w:eastAsia="黑体" w:cs="黑体"/>
          <w:color w:val="000000" w:themeColor="text1"/>
          <w:sz w:val="30"/>
          <w:szCs w:val="30"/>
          <w14:textFill>
            <w14:solidFill>
              <w14:schemeClr w14:val="tx1"/>
            </w14:solidFill>
          </w14:textFill>
        </w:rPr>
        <w:t>、</w:t>
      </w:r>
      <w:bookmarkEnd w:id="160"/>
      <w:r>
        <w:rPr>
          <w:rFonts w:hint="eastAsia" w:ascii="黑体" w:hAnsi="宋体" w:eastAsia="黑体" w:cs="黑体"/>
          <w:color w:val="000000" w:themeColor="text1"/>
          <w:sz w:val="30"/>
          <w:szCs w:val="30"/>
          <w14:textFill>
            <w14:solidFill>
              <w14:schemeClr w14:val="tx1"/>
            </w14:solidFill>
          </w14:textFill>
        </w:rPr>
        <w:t>确定</w:t>
      </w:r>
      <w:bookmarkEnd w:id="161"/>
      <w:bookmarkEnd w:id="162"/>
      <w:r>
        <w:rPr>
          <w:rFonts w:hint="eastAsia" w:ascii="黑体" w:hAnsi="宋体" w:eastAsia="黑体" w:cs="黑体"/>
          <w:color w:val="000000" w:themeColor="text1"/>
          <w:sz w:val="30"/>
          <w:szCs w:val="30"/>
          <w14:textFill>
            <w14:solidFill>
              <w14:schemeClr w14:val="tx1"/>
            </w14:solidFill>
          </w14:textFill>
        </w:rPr>
        <w:t>中标单位</w:t>
      </w:r>
    </w:p>
    <w:p w14:paraId="1018A9AF">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 xml:space="preserve">.1中标候选人的选取原则和数量见招标文件第五章规定。 </w:t>
      </w:r>
    </w:p>
    <w:p w14:paraId="69CE1CC8">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.2采购人应根据评委会推荐的中标候选人确定中标人。</w:t>
      </w:r>
    </w:p>
    <w:p w14:paraId="6777BF8C">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将在</w:t>
      </w:r>
      <w:r>
        <w:rPr>
          <w:rFonts w:hint="eastAsia" w:ascii="宋体" w:hAnsi="宋体" w:eastAsia="宋体" w:cs="宋体"/>
          <w:color w:val="000000" w:themeColor="text1"/>
          <w:lang w:val="en-US" w:eastAsia="zh-CN"/>
          <w14:textFill>
            <w14:solidFill>
              <w14:schemeClr w14:val="tx1"/>
            </w14:solidFill>
          </w14:textFill>
        </w:rPr>
        <w:t>“中国政府采购网”、“江苏政府采购网”、“盐城市政府采购网”</w:t>
      </w:r>
      <w:r>
        <w:rPr>
          <w:rFonts w:hint="eastAsia" w:ascii="宋体" w:hAnsi="宋体" w:eastAsia="宋体" w:cs="宋体"/>
          <w:color w:val="000000" w:themeColor="text1"/>
          <w14:textFill>
            <w14:solidFill>
              <w14:schemeClr w14:val="tx1"/>
            </w14:solidFill>
          </w14:textFill>
        </w:rPr>
        <w:t>发布中标公告，公告期限为1个工作日。</w:t>
      </w:r>
    </w:p>
    <w:p w14:paraId="76B63811">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.4若有充分证据证明，中标人出现下列情况之一的，一经查实，将被取消中标资格：</w:t>
      </w:r>
    </w:p>
    <w:p w14:paraId="4A465177">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.4.1提供虚假材料谋取中标的。</w:t>
      </w:r>
    </w:p>
    <w:p w14:paraId="3A416C87">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.4.2向采购人、</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行贿或者提供其他不正当利益的。</w:t>
      </w:r>
    </w:p>
    <w:p w14:paraId="03D2058D">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.4.3属于本文件规定的无效条件，但在评标过程中又未被评委会发现的。</w:t>
      </w:r>
    </w:p>
    <w:p w14:paraId="46177D30">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.4.4与采购人或者其他供应商恶意串通的。</w:t>
      </w:r>
    </w:p>
    <w:p w14:paraId="41627432">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.4.5采取不正当手段诋毁、排挤其他供应商的。</w:t>
      </w:r>
    </w:p>
    <w:p w14:paraId="2A6AF29E">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bookmarkStart w:id="163" w:name="_Toc200451960"/>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 xml:space="preserve">.5 </w:t>
      </w:r>
      <w:r>
        <w:rPr>
          <w:rFonts w:ascii="Times New Roman" w:hAnsi="Times New Roman"/>
          <w:color w:val="000000" w:themeColor="text1"/>
          <w14:textFill>
            <w14:solidFill>
              <w14:schemeClr w14:val="tx1"/>
            </w14:solidFill>
          </w14:textFill>
        </w:rPr>
        <w:t>有下列情形之一的，视为投标人串通投标，投标无效：</w:t>
      </w:r>
      <w:bookmarkEnd w:id="163"/>
    </w:p>
    <w:p w14:paraId="683678C6">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.5.1不同投标人的投标文件由同一单位或者个人编制。</w:t>
      </w:r>
    </w:p>
    <w:p w14:paraId="43048D1F">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.5.2不同投标人委托同一单位或者个人办理投标事宜。</w:t>
      </w:r>
    </w:p>
    <w:p w14:paraId="3A449B24">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.5.3不同投标人的投标文件载明的项目管理成员或者联系人员为同一人。</w:t>
      </w:r>
    </w:p>
    <w:p w14:paraId="0A191FDA">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.5.4不同投标人的投标文件异常一致或者投标报价呈规律性差异。</w:t>
      </w:r>
    </w:p>
    <w:p w14:paraId="47792308">
      <w:pPr>
        <w:pStyle w:val="8"/>
        <w:keepNext/>
        <w:keepLines/>
        <w:spacing w:beforeAutospacing="0" w:afterAutospacing="0"/>
        <w:ind w:firstLine="600"/>
        <w:jc w:val="both"/>
        <w:rPr>
          <w:color w:val="000000" w:themeColor="text1"/>
          <w14:textFill>
            <w14:solidFill>
              <w14:schemeClr w14:val="tx1"/>
            </w14:solidFill>
          </w14:textFill>
        </w:rPr>
      </w:pPr>
      <w:r>
        <w:rPr>
          <w:rFonts w:hint="eastAsia" w:ascii="黑体" w:hAnsi="宋体" w:eastAsia="黑体" w:cs="黑体"/>
          <w:color w:val="000000" w:themeColor="text1"/>
          <w:sz w:val="30"/>
          <w:szCs w:val="30"/>
          <w14:textFill>
            <w14:solidFill>
              <w14:schemeClr w14:val="tx1"/>
            </w14:solidFill>
          </w14:textFill>
        </w:rPr>
        <w:t>2</w:t>
      </w:r>
      <w:r>
        <w:rPr>
          <w:rFonts w:hint="eastAsia" w:ascii="黑体" w:hAnsi="宋体" w:eastAsia="黑体" w:cs="黑体"/>
          <w:color w:val="000000" w:themeColor="text1"/>
          <w:sz w:val="30"/>
          <w:szCs w:val="30"/>
          <w:lang w:val="en-US" w:eastAsia="zh-CN"/>
          <w14:textFill>
            <w14:solidFill>
              <w14:schemeClr w14:val="tx1"/>
            </w14:solidFill>
          </w14:textFill>
        </w:rPr>
        <w:t>9</w:t>
      </w:r>
      <w:r>
        <w:rPr>
          <w:rFonts w:hint="eastAsia" w:ascii="黑体" w:hAnsi="宋体" w:eastAsia="黑体" w:cs="黑体"/>
          <w:color w:val="000000" w:themeColor="text1"/>
          <w:sz w:val="30"/>
          <w:szCs w:val="30"/>
          <w14:textFill>
            <w14:solidFill>
              <w14:schemeClr w14:val="tx1"/>
            </w14:solidFill>
          </w14:textFill>
        </w:rPr>
        <w:t>、质疑处理</w:t>
      </w:r>
    </w:p>
    <w:p w14:paraId="585D8F73">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.1提出质疑的供应商应当是参与所质疑项目采购活动的供应商。潜在供应商依法获取其可质疑的采购文件的，可以对采购文件提出质疑。</w:t>
      </w:r>
    </w:p>
    <w:p w14:paraId="0E7E22BD">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.2供应商认为采购文件、采购过程和采购结果使自己的权益受到损害的，可以在知道或应知其权益受到损害之日起七个工作日内，以书面形式根据下述28.4条款的规定向</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或采购人提出质疑。上述应知其权益受到损害之日，是指：</w:t>
      </w:r>
    </w:p>
    <w:p w14:paraId="4B20C2FD">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.2.1</w:t>
      </w:r>
      <w:r>
        <w:rPr>
          <w:rFonts w:ascii="Times New Roman" w:hAnsi="Times New Roman"/>
          <w:color w:val="000000" w:themeColor="text1"/>
          <w14:textFill>
            <w14:solidFill>
              <w14:schemeClr w14:val="tx1"/>
            </w14:solidFill>
          </w14:textFill>
        </w:rPr>
        <w:t>对可以质疑的采购文件提出质疑的，为收到采购文件之日或者采购文件公告期限届满之日；</w:t>
      </w:r>
    </w:p>
    <w:p w14:paraId="55478E1E">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.2.2</w:t>
      </w:r>
      <w:r>
        <w:rPr>
          <w:rFonts w:ascii="Times New Roman" w:hAnsi="Times New Roman"/>
          <w:color w:val="000000" w:themeColor="text1"/>
          <w14:textFill>
            <w14:solidFill>
              <w14:schemeClr w14:val="tx1"/>
            </w14:solidFill>
          </w14:textFill>
        </w:rPr>
        <w:t>对采购过程提出质疑的，为各采购程序环节结束之日；</w:t>
      </w:r>
    </w:p>
    <w:p w14:paraId="5948648D">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.2.3</w:t>
      </w:r>
      <w:r>
        <w:rPr>
          <w:rFonts w:ascii="Times New Roman" w:hAnsi="Times New Roman"/>
          <w:color w:val="000000" w:themeColor="text1"/>
          <w14:textFill>
            <w14:solidFill>
              <w14:schemeClr w14:val="tx1"/>
            </w14:solidFill>
          </w14:textFill>
        </w:rPr>
        <w:t>对中标或者成交结果提出质疑的，为中标或者成交结果公告期限届满之日。</w:t>
      </w:r>
    </w:p>
    <w:p w14:paraId="50530A4C">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供应商应当在法定质疑期内一次性提出针对同一采购程序环节的质疑。供应商如在法定期限内对同一采购程序环节提出多次质疑的，</w:t>
      </w:r>
      <w:r>
        <w:rPr>
          <w:rFonts w:hint="eastAsia" w:ascii="Times New Roman" w:hAnsi="Times New Roman"/>
          <w:color w:val="000000" w:themeColor="text1"/>
          <w:lang w:eastAsia="zh-CN"/>
          <w14:textFill>
            <w14:solidFill>
              <w14:schemeClr w14:val="tx1"/>
            </w14:solidFill>
          </w14:textFill>
        </w:rPr>
        <w:t>采购中心</w:t>
      </w:r>
      <w:r>
        <w:rPr>
          <w:rFonts w:ascii="Times New Roman" w:hAnsi="Times New Roman"/>
          <w:color w:val="000000" w:themeColor="text1"/>
          <w14:textFill>
            <w14:solidFill>
              <w14:schemeClr w14:val="tx1"/>
            </w14:solidFill>
          </w14:textFill>
        </w:rPr>
        <w:t>、采购人将只对供应商第一次质疑作出答复。</w:t>
      </w:r>
    </w:p>
    <w:p w14:paraId="59EF71C2">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.3质疑函必须按照本招标文件中《质疑函范本》要求的格式和内容进行填写。供应商如组成联合体参加投标，则《质疑函范本》中要求签字、盖章、加盖公章之处，联合体各方均须按要求签字、盖章、加盖公章。</w:t>
      </w:r>
    </w:p>
    <w:p w14:paraId="79F17DAB">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2"/>
        <w:jc w:val="both"/>
        <w:textAlignment w:val="auto"/>
        <w:rPr>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w:t>
      </w:r>
      <w:r>
        <w:rPr>
          <w:rFonts w:hint="eastAsia" w:ascii="宋体" w:hAnsi="宋体" w:eastAsia="宋体" w:cs="宋体"/>
          <w:b/>
          <w:bCs/>
          <w:color w:val="000000" w:themeColor="text1"/>
          <w:lang w:val="en-US" w:eastAsia="zh-CN"/>
          <w14:textFill>
            <w14:solidFill>
              <w14:schemeClr w14:val="tx1"/>
            </w14:solidFill>
          </w14:textFill>
        </w:rPr>
        <w:t>9</w:t>
      </w:r>
      <w:r>
        <w:rPr>
          <w:rFonts w:hint="eastAsia" w:ascii="宋体" w:hAnsi="宋体" w:eastAsia="宋体" w:cs="宋体"/>
          <w:b/>
          <w:bCs/>
          <w:color w:val="000000" w:themeColor="text1"/>
          <w14:textFill>
            <w14:solidFill>
              <w14:schemeClr w14:val="tx1"/>
            </w14:solidFill>
          </w14:textFill>
        </w:rPr>
        <w:t>.4供应商（含潜在供应商）对采购方式、采购需求、供应商资格条件及审查结果、评标方法和评标标准、合同文本的询问、质疑请向采购人提出，由采购人负责答复。供应商对除上述事项以外其他事项的询问、质疑请向</w:t>
      </w:r>
      <w:r>
        <w:rPr>
          <w:rFonts w:hint="eastAsia" w:ascii="宋体" w:hAnsi="宋体" w:eastAsia="宋体" w:cs="宋体"/>
          <w:b/>
          <w:bCs/>
          <w:color w:val="000000" w:themeColor="text1"/>
          <w:lang w:eastAsia="zh-CN"/>
          <w14:textFill>
            <w14:solidFill>
              <w14:schemeClr w14:val="tx1"/>
            </w14:solidFill>
          </w14:textFill>
        </w:rPr>
        <w:t>采购中心</w:t>
      </w:r>
      <w:r>
        <w:rPr>
          <w:rFonts w:hint="eastAsia" w:ascii="宋体" w:hAnsi="宋体" w:eastAsia="宋体" w:cs="宋体"/>
          <w:b/>
          <w:bCs/>
          <w:color w:val="000000" w:themeColor="text1"/>
          <w14:textFill>
            <w14:solidFill>
              <w14:schemeClr w14:val="tx1"/>
            </w14:solidFill>
          </w14:textFill>
        </w:rPr>
        <w:t>提出，由</w:t>
      </w:r>
      <w:r>
        <w:rPr>
          <w:rFonts w:hint="eastAsia" w:ascii="宋体" w:hAnsi="宋体" w:eastAsia="宋体" w:cs="宋体"/>
          <w:b/>
          <w:bCs/>
          <w:color w:val="000000" w:themeColor="text1"/>
          <w:lang w:eastAsia="zh-CN"/>
          <w14:textFill>
            <w14:solidFill>
              <w14:schemeClr w14:val="tx1"/>
            </w14:solidFill>
          </w14:textFill>
        </w:rPr>
        <w:t>采购中心</w:t>
      </w:r>
      <w:r>
        <w:rPr>
          <w:rFonts w:hint="eastAsia" w:ascii="宋体" w:hAnsi="宋体" w:eastAsia="宋体" w:cs="宋体"/>
          <w:b/>
          <w:bCs/>
          <w:color w:val="000000" w:themeColor="text1"/>
          <w14:textFill>
            <w14:solidFill>
              <w14:schemeClr w14:val="tx1"/>
            </w14:solidFill>
          </w14:textFill>
        </w:rPr>
        <w:t>负责答复。</w:t>
      </w:r>
    </w:p>
    <w:p w14:paraId="43E4DA0A">
      <w:pPr>
        <w:pStyle w:val="8"/>
        <w:pageBreakBefore w:val="0"/>
        <w:spacing w:beforeAutospacing="0" w:afterAutospacing="0" w:line="360" w:lineRule="auto"/>
        <w:ind w:firstLine="48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采购中心及采购人只接</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收以纸质原件形式送达的质疑,采购人和采购中心不接受未填写快递运单的快件。质疑接收部门为公共资源交易中心业务受理处，联系地址：江苏省盐城市射阳县幸福大道16号公共资源交易中心业务受理处，联系电话：0515-82309113。</w:t>
      </w:r>
    </w:p>
    <w:p w14:paraId="16541D47">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.5 以下情形的质疑不予受理</w:t>
      </w:r>
    </w:p>
    <w:p w14:paraId="5476A530">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.5.1内容不符合《政府采购质疑和投诉办法》第十二条规定的质疑。</w:t>
      </w:r>
    </w:p>
    <w:p w14:paraId="2E515CC2">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.5.2超出政府采购法定期限的质疑。</w:t>
      </w:r>
    </w:p>
    <w:p w14:paraId="065D67CC">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.5.3以传真、电子邮件等方式递交的非原件形式的质疑。</w:t>
      </w:r>
    </w:p>
    <w:p w14:paraId="34CF11C4">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.5.4未参加投标活动的供应商或在投标活动中自身权益未受到损害的供应商所提出的质疑。</w:t>
      </w:r>
    </w:p>
    <w:p w14:paraId="2C149FAB">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.5.5供应商组成联合体参加投标，联合体中任何一方或多方未按要求签字、盖章、加盖公章的质疑。</w:t>
      </w:r>
    </w:p>
    <w:p w14:paraId="709CC6AD">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.6供应商提出书面质疑必须有理、有据，不得捏造事实、提供虚假材料进行恶意质疑。否则，一经查实，</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有权依据政府采购的有关规定，报请政府采购监管部门对该供应商进行相应的行政处罚和记录该供应商的失信信息。</w:t>
      </w:r>
    </w:p>
    <w:p w14:paraId="61E0115F">
      <w:pPr>
        <w:pStyle w:val="8"/>
        <w:keepNext/>
        <w:keepLines/>
        <w:spacing w:beforeAutospacing="0" w:afterAutospacing="0"/>
        <w:ind w:firstLine="600"/>
        <w:jc w:val="both"/>
        <w:rPr>
          <w:color w:val="000000" w:themeColor="text1"/>
          <w14:textFill>
            <w14:solidFill>
              <w14:schemeClr w14:val="tx1"/>
            </w14:solidFill>
          </w14:textFill>
        </w:rPr>
      </w:pPr>
      <w:r>
        <w:rPr>
          <w:rFonts w:hint="eastAsia" w:ascii="黑体" w:hAnsi="宋体" w:eastAsia="黑体" w:cs="黑体"/>
          <w:color w:val="000000" w:themeColor="text1"/>
          <w:sz w:val="30"/>
          <w:szCs w:val="30"/>
          <w:lang w:val="en-US" w:eastAsia="zh-CN"/>
          <w14:textFill>
            <w14:solidFill>
              <w14:schemeClr w14:val="tx1"/>
            </w14:solidFill>
          </w14:textFill>
        </w:rPr>
        <w:t>30</w:t>
      </w:r>
      <w:r>
        <w:rPr>
          <w:rFonts w:hint="eastAsia" w:ascii="黑体" w:hAnsi="宋体" w:eastAsia="黑体" w:cs="黑体"/>
          <w:color w:val="000000" w:themeColor="text1"/>
          <w:sz w:val="30"/>
          <w:szCs w:val="30"/>
          <w14:textFill>
            <w14:solidFill>
              <w14:schemeClr w14:val="tx1"/>
            </w14:solidFill>
          </w14:textFill>
        </w:rPr>
        <w:t>、中标通知书</w:t>
      </w:r>
    </w:p>
    <w:p w14:paraId="5A27B7F3">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1"/>
        <w:jc w:val="both"/>
        <w:textAlignment w:val="auto"/>
        <w:rPr>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30</w:t>
      </w:r>
      <w:r>
        <w:rPr>
          <w:rFonts w:hint="eastAsia" w:ascii="宋体" w:hAnsi="宋体" w:eastAsia="宋体" w:cs="宋体"/>
          <w:color w:val="000000" w:themeColor="text1"/>
          <w14:textFill>
            <w14:solidFill>
              <w14:schemeClr w14:val="tx1"/>
            </w14:solidFill>
          </w14:textFill>
        </w:rPr>
        <w:t>.l中标结果确定后，</w:t>
      </w:r>
      <w:r>
        <w:rPr>
          <w:rFonts w:hint="eastAsia" w:ascii="宋体" w:hAnsi="宋体" w:eastAsia="宋体" w:cs="宋体"/>
          <w:color w:val="000000" w:themeColor="text1"/>
          <w:lang w:eastAsia="zh-CN"/>
          <w14:textFill>
            <w14:solidFill>
              <w14:schemeClr w14:val="tx1"/>
            </w14:solidFill>
          </w14:textFill>
        </w:rPr>
        <w:t>采购中心</w:t>
      </w:r>
      <w:r>
        <w:rPr>
          <w:rFonts w:hint="eastAsia" w:ascii="宋体" w:hAnsi="宋体" w:eastAsia="宋体" w:cs="宋体"/>
          <w:color w:val="000000" w:themeColor="text1"/>
          <w14:textFill>
            <w14:solidFill>
              <w14:schemeClr w14:val="tx1"/>
            </w14:solidFill>
          </w14:textFill>
        </w:rPr>
        <w:t>将向中标人发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14:paraId="46CDE3FC">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1"/>
        <w:jc w:val="both"/>
        <w:textAlignment w:val="auto"/>
        <w:rPr>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30</w:t>
      </w:r>
      <w:r>
        <w:rPr>
          <w:rFonts w:hint="eastAsia" w:ascii="宋体" w:hAnsi="宋体" w:eastAsia="宋体" w:cs="宋体"/>
          <w:color w:val="000000" w:themeColor="text1"/>
          <w14:textFill>
            <w14:solidFill>
              <w14:schemeClr w14:val="tx1"/>
            </w14:solidFill>
          </w14:textFill>
        </w:rPr>
        <w:t>.2中标通知书将是合同的一个组成部分。对采购人和中标人均具有法律效力。中标通知书发出后，采购人改变中标结果的，或者中标人放弃中标项目的，应当依法承担法律责任。</w:t>
      </w:r>
    </w:p>
    <w:p w14:paraId="4B4FDBBF">
      <w:pPr>
        <w:pStyle w:val="8"/>
        <w:keepNext/>
        <w:keepLines/>
        <w:pageBreakBefore w:val="0"/>
        <w:widowControl w:val="0"/>
        <w:kinsoku/>
        <w:wordWrap/>
        <w:overflowPunct/>
        <w:topLinePunct w:val="0"/>
        <w:autoSpaceDE/>
        <w:autoSpaceDN/>
        <w:bidi w:val="0"/>
        <w:adjustRightInd/>
        <w:snapToGrid/>
        <w:spacing w:beforeAutospacing="0" w:afterAutospacing="0" w:line="480" w:lineRule="exact"/>
        <w:jc w:val="both"/>
        <w:textAlignment w:val="auto"/>
        <w:rPr>
          <w:color w:val="000000" w:themeColor="text1"/>
          <w14:textFill>
            <w14:solidFill>
              <w14:schemeClr w14:val="tx1"/>
            </w14:solidFill>
          </w14:textFill>
        </w:rPr>
      </w:pPr>
      <w:bookmarkStart w:id="164" w:name="_Toc120614220"/>
      <w:bookmarkStart w:id="165" w:name="_Toc16938552"/>
      <w:bookmarkStart w:id="166" w:name="_Toc20823308"/>
      <w:bookmarkStart w:id="167" w:name="_Toc513029236"/>
      <w:r>
        <w:rPr>
          <w:rFonts w:ascii="Times New Roman" w:hAnsi="Times New Roman"/>
          <w:b/>
          <w:color w:val="000000" w:themeColor="text1"/>
          <w:sz w:val="32"/>
          <w:szCs w:val="32"/>
          <w14:textFill>
            <w14:solidFill>
              <w14:schemeClr w14:val="tx1"/>
            </w14:solidFill>
          </w14:textFill>
        </w:rPr>
        <w:t>七、授予合同</w:t>
      </w:r>
      <w:bookmarkEnd w:id="164"/>
      <w:bookmarkEnd w:id="165"/>
      <w:bookmarkEnd w:id="166"/>
      <w:bookmarkEnd w:id="167"/>
    </w:p>
    <w:p w14:paraId="5CCCD147">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color w:val="000000" w:themeColor="text1"/>
          <w14:textFill>
            <w14:solidFill>
              <w14:schemeClr w14:val="tx1"/>
            </w14:solidFill>
          </w14:textFill>
        </w:rPr>
      </w:pPr>
      <w:bookmarkStart w:id="168" w:name="_Toc20823309"/>
      <w:bookmarkStart w:id="169" w:name="_Toc513029237"/>
      <w:bookmarkStart w:id="170" w:name="_Toc16938553"/>
      <w:r>
        <w:rPr>
          <w:rFonts w:hint="eastAsia" w:ascii="黑体" w:hAnsi="宋体" w:eastAsia="黑体" w:cs="黑体"/>
          <w:color w:val="000000" w:themeColor="text1"/>
          <w:sz w:val="30"/>
          <w:szCs w:val="30"/>
          <w14:textFill>
            <w14:solidFill>
              <w14:schemeClr w14:val="tx1"/>
            </w14:solidFill>
          </w14:textFill>
        </w:rPr>
        <w:t>3</w:t>
      </w:r>
      <w:r>
        <w:rPr>
          <w:rFonts w:hint="eastAsia" w:ascii="黑体" w:hAnsi="宋体" w:eastAsia="黑体" w:cs="黑体"/>
          <w:color w:val="000000" w:themeColor="text1"/>
          <w:sz w:val="30"/>
          <w:szCs w:val="30"/>
          <w:lang w:val="en-US" w:eastAsia="zh-CN"/>
          <w14:textFill>
            <w14:solidFill>
              <w14:schemeClr w14:val="tx1"/>
            </w14:solidFill>
          </w14:textFill>
        </w:rPr>
        <w:t>1</w:t>
      </w:r>
      <w:r>
        <w:rPr>
          <w:rFonts w:hint="eastAsia" w:ascii="黑体" w:hAnsi="宋体" w:eastAsia="黑体" w:cs="黑体"/>
          <w:color w:val="000000" w:themeColor="text1"/>
          <w:sz w:val="30"/>
          <w:szCs w:val="30"/>
          <w14:textFill>
            <w14:solidFill>
              <w14:schemeClr w14:val="tx1"/>
            </w14:solidFill>
          </w14:textFill>
        </w:rPr>
        <w:t>.签订合同</w:t>
      </w:r>
      <w:bookmarkEnd w:id="168"/>
      <w:bookmarkEnd w:id="169"/>
      <w:bookmarkEnd w:id="170"/>
    </w:p>
    <w:p w14:paraId="51EEB004">
      <w:pPr>
        <w:pStyle w:val="8"/>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.l中标人应当在中标通知书发出之日起三十日内</w:t>
      </w:r>
      <w:r>
        <w:rPr>
          <w:rFonts w:hint="eastAsia" w:ascii="宋体" w:hAnsi="宋体" w:eastAsia="宋体" w:cs="宋体"/>
          <w:color w:val="000000" w:themeColor="text1"/>
          <w:lang w:eastAsia="zh-CN"/>
          <w14:textFill>
            <w14:solidFill>
              <w14:schemeClr w14:val="tx1"/>
            </w14:solidFill>
          </w14:textFill>
        </w:rPr>
        <w:t>（原则上应在15日签订采购合同）</w:t>
      </w:r>
      <w:r>
        <w:rPr>
          <w:rFonts w:hint="eastAsia" w:ascii="宋体" w:hAnsi="宋体" w:eastAsia="宋体" w:cs="宋体"/>
          <w:color w:val="000000" w:themeColor="text1"/>
          <w14:textFill>
            <w14:solidFill>
              <w14:schemeClr w14:val="tx1"/>
            </w14:solidFill>
          </w14:textFill>
        </w:rPr>
        <w:t>，按照招标文件确定的事项与采购人签订政府采购合同。合同签订之日起2个工作日内公告采购合同。</w:t>
      </w:r>
    </w:p>
    <w:p w14:paraId="41FBB5D2">
      <w:pPr>
        <w:pStyle w:val="8"/>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.2招标文件、中标人的投标文件及招标过程中有关澄清、承诺文件均应作为合同附件。</w:t>
      </w:r>
    </w:p>
    <w:p w14:paraId="47B890D2">
      <w:pPr>
        <w:pStyle w:val="8"/>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.3签订合同后，</w:t>
      </w:r>
      <w:r>
        <w:rPr>
          <w:rFonts w:hint="eastAsia" w:ascii="宋体" w:hAnsi="宋体" w:eastAsia="宋体" w:cs="宋体"/>
          <w:i/>
          <w:color w:val="000000" w:themeColor="text1"/>
          <w:u w:val="single"/>
          <w14:textFill>
            <w14:solidFill>
              <w14:schemeClr w14:val="tx1"/>
            </w14:solidFill>
          </w14:textFill>
        </w:rPr>
        <w:t>中标人不得将合同标的进行转包</w:t>
      </w:r>
      <w:r>
        <w:rPr>
          <w:rFonts w:hint="eastAsia" w:ascii="宋体" w:hAnsi="宋体" w:eastAsia="宋体" w:cs="宋体"/>
          <w:color w:val="000000" w:themeColor="text1"/>
          <w14:textFill>
            <w14:solidFill>
              <w14:schemeClr w14:val="tx1"/>
            </w14:solidFill>
          </w14:textFill>
        </w:rPr>
        <w:t>。未经采购人同意，中标人也不得采用分包的形式履行合同，否则采购人有权终止合同。转包或分包造成采购人损失的，中标人应承担相应赔偿责任。</w:t>
      </w:r>
    </w:p>
    <w:p w14:paraId="0F1F0DE5">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color w:val="000000" w:themeColor="text1"/>
          <w14:textFill>
            <w14:solidFill>
              <w14:schemeClr w14:val="tx1"/>
            </w14:solidFill>
          </w14:textFill>
        </w:rPr>
      </w:pPr>
      <w:r>
        <w:rPr>
          <w:rFonts w:hint="eastAsia" w:ascii="黑体" w:hAnsi="宋体" w:eastAsia="黑体" w:cs="黑体"/>
          <w:color w:val="000000" w:themeColor="text1"/>
          <w:sz w:val="30"/>
          <w:szCs w:val="30"/>
          <w14:textFill>
            <w14:solidFill>
              <w14:schemeClr w14:val="tx1"/>
            </w14:solidFill>
          </w14:textFill>
        </w:rPr>
        <w:t>3</w:t>
      </w:r>
      <w:r>
        <w:rPr>
          <w:rFonts w:hint="eastAsia" w:ascii="黑体" w:hAnsi="宋体" w:eastAsia="黑体" w:cs="黑体"/>
          <w:color w:val="000000" w:themeColor="text1"/>
          <w:sz w:val="30"/>
          <w:szCs w:val="30"/>
          <w:lang w:val="en-US" w:eastAsia="zh-CN"/>
          <w14:textFill>
            <w14:solidFill>
              <w14:schemeClr w14:val="tx1"/>
            </w14:solidFill>
          </w14:textFill>
        </w:rPr>
        <w:t>2</w:t>
      </w:r>
      <w:r>
        <w:rPr>
          <w:rFonts w:hint="eastAsia" w:ascii="黑体" w:hAnsi="宋体" w:eastAsia="黑体" w:cs="黑体"/>
          <w:color w:val="000000" w:themeColor="text1"/>
          <w:sz w:val="30"/>
          <w:szCs w:val="30"/>
          <w14:textFill>
            <w14:solidFill>
              <w14:schemeClr w14:val="tx1"/>
            </w14:solidFill>
          </w14:textFill>
        </w:rPr>
        <w:t>、服务（包含与服务相关的货物）的追加</w:t>
      </w:r>
    </w:p>
    <w:p w14:paraId="37D216D2">
      <w:pPr>
        <w:pStyle w:val="8"/>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.1政府采购合同履行中，采购人需追加与合同标的相同的服务（包含与服务相关的货物），在不改变合同其他条款的前提下，可以与中标人协商签订补充合同，但所有补充合同的采购金额不超过原合同金额10%。</w:t>
      </w:r>
    </w:p>
    <w:p w14:paraId="34E7BD0D">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hint="default" w:ascii="黑体" w:hAnsi="宋体" w:eastAsia="黑体" w:cs="黑体"/>
          <w:color w:val="000000" w:themeColor="text1"/>
          <w:sz w:val="30"/>
          <w:szCs w:val="30"/>
          <w:lang w:val="en-US" w:eastAsia="zh-CN"/>
          <w14:textFill>
            <w14:solidFill>
              <w14:schemeClr w14:val="tx1"/>
            </w14:solidFill>
          </w14:textFill>
        </w:rPr>
      </w:pPr>
      <w:bookmarkStart w:id="171" w:name="_Toc16938558"/>
      <w:bookmarkStart w:id="172" w:name="_Toc513029242"/>
      <w:bookmarkStart w:id="173" w:name="_Toc120614221"/>
      <w:bookmarkStart w:id="174" w:name="_Toc20823314"/>
      <w:bookmarkStart w:id="175" w:name="_Toc479757207"/>
      <w:r>
        <w:rPr>
          <w:rFonts w:hint="eastAsia" w:ascii="黑体" w:hAnsi="宋体" w:eastAsia="黑体" w:cs="黑体"/>
          <w:color w:val="000000" w:themeColor="text1"/>
          <w:sz w:val="30"/>
          <w:szCs w:val="30"/>
          <w14:textFill>
            <w14:solidFill>
              <w14:schemeClr w14:val="tx1"/>
            </w14:solidFill>
          </w14:textFill>
        </w:rPr>
        <w:t>3</w:t>
      </w:r>
      <w:r>
        <w:rPr>
          <w:rFonts w:hint="eastAsia" w:ascii="黑体" w:hAnsi="宋体" w:eastAsia="黑体" w:cs="黑体"/>
          <w:color w:val="000000" w:themeColor="text1"/>
          <w:sz w:val="30"/>
          <w:szCs w:val="30"/>
          <w:lang w:val="en-US" w:eastAsia="zh-CN"/>
          <w14:textFill>
            <w14:solidFill>
              <w14:schemeClr w14:val="tx1"/>
            </w14:solidFill>
          </w14:textFill>
        </w:rPr>
        <w:t>3</w:t>
      </w:r>
      <w:r>
        <w:rPr>
          <w:rFonts w:hint="eastAsia" w:ascii="黑体" w:hAnsi="宋体" w:eastAsia="黑体" w:cs="黑体"/>
          <w:color w:val="000000" w:themeColor="text1"/>
          <w:sz w:val="30"/>
          <w:szCs w:val="30"/>
          <w14:textFill>
            <w14:solidFill>
              <w14:schemeClr w14:val="tx1"/>
            </w14:solidFill>
          </w14:textFill>
        </w:rPr>
        <w:t>、</w:t>
      </w:r>
      <w:bookmarkEnd w:id="171"/>
      <w:bookmarkEnd w:id="172"/>
      <w:bookmarkEnd w:id="173"/>
      <w:bookmarkEnd w:id="174"/>
      <w:bookmarkEnd w:id="175"/>
      <w:r>
        <w:rPr>
          <w:rFonts w:hint="eastAsia" w:ascii="黑体" w:hAnsi="宋体" w:eastAsia="黑体" w:cs="黑体"/>
          <w:color w:val="000000" w:themeColor="text1"/>
          <w:sz w:val="30"/>
          <w:szCs w:val="30"/>
          <w:lang w:val="en-US" w:eastAsia="zh-CN"/>
          <w14:textFill>
            <w14:solidFill>
              <w14:schemeClr w14:val="tx1"/>
            </w14:solidFill>
          </w14:textFill>
        </w:rPr>
        <w:t>政府采购政策功能落实</w:t>
      </w:r>
    </w:p>
    <w:p w14:paraId="10E43B74">
      <w:pPr>
        <w:pStyle w:val="8"/>
        <w:keepNext/>
        <w:keepLines/>
        <w:pageBreakBefore w:val="0"/>
        <w:widowControl w:val="0"/>
        <w:kinsoku/>
        <w:wordWrap/>
        <w:overflowPunct/>
        <w:topLinePunct w:val="0"/>
        <w:autoSpaceDE/>
        <w:autoSpaceDN/>
        <w:bidi w:val="0"/>
        <w:adjustRightInd/>
        <w:snapToGrid/>
        <w:spacing w:beforeAutospacing="0" w:afterAutospacing="0" w:line="480" w:lineRule="exact"/>
        <w:ind w:firstLine="600"/>
        <w:jc w:val="both"/>
        <w:textAlignment w:val="auto"/>
        <w:rPr>
          <w:rFonts w:ascii="宋体" w:hAnsi="宋体" w:eastAsia="宋体" w:cs="宋体"/>
          <w:b/>
          <w:bCs/>
          <w:color w:val="000000" w:themeColor="text1"/>
          <w:spacing w:val="-5"/>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pacing w:val="-5"/>
          <w:kern w:val="2"/>
          <w:sz w:val="24"/>
          <w:szCs w:val="24"/>
          <w:lang w:val="en-US" w:eastAsia="zh-CN" w:bidi="ar-SA"/>
          <w14:textFill>
            <w14:solidFill>
              <w14:schemeClr w14:val="tx1"/>
            </w14:solidFill>
          </w14:textFill>
        </w:rPr>
        <w:t>33.1政府采购线上合同信用融资政策</w:t>
      </w:r>
    </w:p>
    <w:p w14:paraId="0023F7B9">
      <w:pPr>
        <w:pStyle w:val="8"/>
        <w:keepNext/>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根据《转发江苏省财政厅 中国人民银行南京分行&lt;关于深入推进政府采购线上合同信用融资工作的通知&gt;的通知》（盐财购〔2021〕20号）规定，中标供应商如有融资需求，可持政府采购合同在线向相关金融机构（具体信息详见盐城市政府采购网“政采贷”栏目）申请贷款，相关金融机构按照双方自愿的原则提供便捷、优惠的贷款服务；具体操作流程请参考苏采云系统中供应商操作手册</w:t>
      </w:r>
      <w:r>
        <w:rPr>
          <w:rFonts w:ascii="宋体" w:hAnsi="宋体" w:eastAsia="宋体" w:cs="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w:t>
      </w:r>
    </w:p>
    <w:p w14:paraId="4AEF589C">
      <w:pPr>
        <w:keepNext w:val="0"/>
        <w:keepLines w:val="0"/>
        <w:pageBreakBefore w:val="0"/>
        <w:widowControl w:val="0"/>
        <w:kinsoku/>
        <w:wordWrap/>
        <w:overflowPunct/>
        <w:topLinePunct w:val="0"/>
        <w:autoSpaceDE/>
        <w:autoSpaceDN/>
        <w:bidi w:val="0"/>
        <w:adjustRightInd/>
        <w:snapToGrid/>
        <w:spacing w:line="480" w:lineRule="exact"/>
        <w:ind w:left="493"/>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3</w:t>
      </w:r>
      <w:r>
        <w:rPr>
          <w:rFonts w:hint="eastAsia" w:ascii="宋体" w:hAnsi="宋体" w:eastAsia="宋体" w:cs="宋体"/>
          <w:b/>
          <w:bCs/>
          <w:color w:val="000000" w:themeColor="text1"/>
          <w:spacing w:val="-5"/>
          <w:sz w:val="24"/>
          <w:szCs w:val="24"/>
          <w:lang w:val="en-US" w:eastAsia="zh-CN"/>
          <w14:textFill>
            <w14:solidFill>
              <w14:schemeClr w14:val="tx1"/>
            </w14:solidFill>
          </w14:textFill>
        </w:rPr>
        <w:t>3</w:t>
      </w:r>
      <w:r>
        <w:rPr>
          <w:rFonts w:ascii="宋体" w:hAnsi="宋体" w:eastAsia="宋体" w:cs="宋体"/>
          <w:b/>
          <w:bCs/>
          <w:color w:val="000000" w:themeColor="text1"/>
          <w:spacing w:val="-5"/>
          <w:sz w:val="24"/>
          <w:szCs w:val="24"/>
          <w14:textFill>
            <w14:solidFill>
              <w14:schemeClr w14:val="tx1"/>
            </w14:solidFill>
          </w14:textFill>
        </w:rPr>
        <w:t>.2</w:t>
      </w:r>
      <w:r>
        <w:rPr>
          <w:rFonts w:ascii="宋体" w:hAnsi="宋体" w:eastAsia="宋体" w:cs="宋体"/>
          <w:color w:val="000000" w:themeColor="text1"/>
          <w:spacing w:val="-49"/>
          <w:sz w:val="24"/>
          <w:szCs w:val="24"/>
          <w14:textFill>
            <w14:solidFill>
              <w14:schemeClr w14:val="tx1"/>
            </w14:solidFill>
          </w14:textFill>
        </w:rPr>
        <w:t xml:space="preserve"> </w:t>
      </w:r>
      <w:r>
        <w:rPr>
          <w:rFonts w:ascii="宋体" w:hAnsi="宋体" w:eastAsia="宋体" w:cs="宋体"/>
          <w:b/>
          <w:bCs/>
          <w:color w:val="000000" w:themeColor="text1"/>
          <w:spacing w:val="-5"/>
          <w:sz w:val="24"/>
          <w:szCs w:val="24"/>
          <w14:textFill>
            <w14:solidFill>
              <w14:schemeClr w14:val="tx1"/>
            </w14:solidFill>
          </w14:textFill>
        </w:rPr>
        <w:t>进口产品</w:t>
      </w:r>
    </w:p>
    <w:p w14:paraId="3A6B3F82">
      <w:pPr>
        <w:keepNext w:val="0"/>
        <w:keepLines w:val="0"/>
        <w:pageBreakBefore w:val="0"/>
        <w:widowControl w:val="0"/>
        <w:kinsoku/>
        <w:wordWrap/>
        <w:overflowPunct/>
        <w:topLinePunct w:val="0"/>
        <w:autoSpaceDE/>
        <w:autoSpaceDN/>
        <w:bidi w:val="0"/>
        <w:adjustRightInd/>
        <w:snapToGrid/>
        <w:spacing w:line="480" w:lineRule="exact"/>
        <w:ind w:left="10" w:right="181" w:firstLine="476"/>
        <w:jc w:val="both"/>
        <w:textAlignment w:val="auto"/>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进口产品指通过中国海关报关验放进入中国境内且产自关</w:t>
      </w:r>
      <w:r>
        <w:rPr>
          <w:rFonts w:ascii="宋体" w:hAnsi="宋体" w:eastAsia="宋体" w:cs="宋体"/>
          <w:color w:val="000000" w:themeColor="text1"/>
          <w:spacing w:val="-1"/>
          <w:sz w:val="24"/>
          <w:szCs w:val="24"/>
          <w14:textFill>
            <w14:solidFill>
              <w14:schemeClr w14:val="tx1"/>
            </w14:solidFill>
          </w14:textFill>
        </w:rPr>
        <w:t>境外的产品，包括已</w:t>
      </w:r>
      <w:r>
        <w:rPr>
          <w:rFonts w:ascii="宋体" w:hAnsi="宋体" w:eastAsia="宋体" w:cs="宋体"/>
          <w:color w:val="000000" w:themeColor="text1"/>
          <w:sz w:val="24"/>
          <w:szCs w:val="24"/>
          <w14:textFill>
            <w14:solidFill>
              <w14:schemeClr w14:val="tx1"/>
            </w14:solidFill>
          </w14:textFill>
        </w:rPr>
        <w:t>经进入中国境内的进口产品。关于进口产品的相关规</w:t>
      </w:r>
      <w:r>
        <w:rPr>
          <w:rFonts w:ascii="宋体" w:hAnsi="宋体" w:eastAsia="宋体" w:cs="宋体"/>
          <w:color w:val="000000" w:themeColor="text1"/>
          <w:spacing w:val="-1"/>
          <w:sz w:val="24"/>
          <w:szCs w:val="24"/>
          <w14:textFill>
            <w14:solidFill>
              <w14:schemeClr w14:val="tx1"/>
            </w14:solidFill>
          </w14:textFill>
        </w:rPr>
        <w:t>定依据《政府采购进口产品管理办法》（财库〔2007〕119</w:t>
      </w:r>
      <w:r>
        <w:rPr>
          <w:rFonts w:ascii="宋体" w:hAnsi="宋体" w:eastAsia="宋体" w:cs="宋体"/>
          <w:color w:val="000000" w:themeColor="text1"/>
          <w:spacing w:val="-34"/>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号文）、《关于政府采购进口产品管理有关问题的通</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知》（财办库〔2008〕248</w:t>
      </w:r>
      <w:r>
        <w:rPr>
          <w:rFonts w:ascii="宋体" w:hAnsi="宋体" w:eastAsia="宋体" w:cs="宋体"/>
          <w:color w:val="000000" w:themeColor="text1"/>
          <w:spacing w:val="-35"/>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号文）。</w:t>
      </w:r>
    </w:p>
    <w:p w14:paraId="1F7544A1">
      <w:pPr>
        <w:keepNext w:val="0"/>
        <w:keepLines w:val="0"/>
        <w:pageBreakBefore w:val="0"/>
        <w:widowControl w:val="0"/>
        <w:kinsoku/>
        <w:wordWrap/>
        <w:overflowPunct/>
        <w:topLinePunct w:val="0"/>
        <w:autoSpaceDE/>
        <w:autoSpaceDN/>
        <w:bidi w:val="0"/>
        <w:adjustRightInd/>
        <w:snapToGrid/>
        <w:spacing w:line="480" w:lineRule="exact"/>
        <w:ind w:left="493"/>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3</w:t>
      </w:r>
      <w:r>
        <w:rPr>
          <w:rFonts w:hint="eastAsia" w:ascii="宋体" w:hAnsi="宋体" w:eastAsia="宋体" w:cs="宋体"/>
          <w:b/>
          <w:bCs/>
          <w:color w:val="000000" w:themeColor="text1"/>
          <w:spacing w:val="-4"/>
          <w:sz w:val="24"/>
          <w:szCs w:val="24"/>
          <w:lang w:val="en-US" w:eastAsia="zh-CN"/>
          <w14:textFill>
            <w14:solidFill>
              <w14:schemeClr w14:val="tx1"/>
            </w14:solidFill>
          </w14:textFill>
        </w:rPr>
        <w:t>3</w:t>
      </w:r>
      <w:r>
        <w:rPr>
          <w:rFonts w:ascii="宋体" w:hAnsi="宋体" w:eastAsia="宋体" w:cs="宋体"/>
          <w:b/>
          <w:bCs/>
          <w:color w:val="000000" w:themeColor="text1"/>
          <w:spacing w:val="-4"/>
          <w:sz w:val="24"/>
          <w:szCs w:val="24"/>
          <w14:textFill>
            <w14:solidFill>
              <w14:schemeClr w14:val="tx1"/>
            </w14:solidFill>
          </w14:textFill>
        </w:rPr>
        <w:t>.3</w:t>
      </w:r>
      <w:r>
        <w:rPr>
          <w:rFonts w:ascii="宋体" w:hAnsi="宋体" w:eastAsia="宋体" w:cs="宋体"/>
          <w:color w:val="000000" w:themeColor="text1"/>
          <w:spacing w:val="-22"/>
          <w:sz w:val="24"/>
          <w:szCs w:val="24"/>
          <w14:textFill>
            <w14:solidFill>
              <w14:schemeClr w14:val="tx1"/>
            </w14:solidFill>
          </w14:textFill>
        </w:rPr>
        <w:t xml:space="preserve"> </w:t>
      </w:r>
      <w:r>
        <w:rPr>
          <w:rFonts w:ascii="宋体" w:hAnsi="宋体" w:eastAsia="宋体" w:cs="宋体"/>
          <w:b/>
          <w:bCs/>
          <w:color w:val="000000" w:themeColor="text1"/>
          <w:spacing w:val="-4"/>
          <w:sz w:val="24"/>
          <w:szCs w:val="24"/>
          <w14:textFill>
            <w14:solidFill>
              <w14:schemeClr w14:val="tx1"/>
            </w14:solidFill>
          </w14:textFill>
        </w:rPr>
        <w:t>中小企业、监狱企业及残疾人福利性单位</w:t>
      </w:r>
    </w:p>
    <w:p w14:paraId="126A33A5">
      <w:pPr>
        <w:keepNext w:val="0"/>
        <w:keepLines w:val="0"/>
        <w:pageBreakBefore w:val="0"/>
        <w:widowControl w:val="0"/>
        <w:kinsoku/>
        <w:wordWrap/>
        <w:overflowPunct/>
        <w:topLinePunct w:val="0"/>
        <w:autoSpaceDE/>
        <w:autoSpaceDN/>
        <w:bidi w:val="0"/>
        <w:adjustRightInd/>
        <w:snapToGrid/>
        <w:spacing w:line="480" w:lineRule="exact"/>
        <w:ind w:left="493"/>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3</w:t>
      </w:r>
      <w:r>
        <w:rPr>
          <w:rFonts w:hint="eastAsia" w:ascii="宋体" w:hAnsi="宋体" w:eastAsia="宋体" w:cs="宋体"/>
          <w:color w:val="000000" w:themeColor="text1"/>
          <w:spacing w:val="-4"/>
          <w:sz w:val="24"/>
          <w:szCs w:val="24"/>
          <w:lang w:val="en-US" w:eastAsia="zh-CN"/>
          <w14:textFill>
            <w14:solidFill>
              <w14:schemeClr w14:val="tx1"/>
            </w14:solidFill>
          </w14:textFill>
        </w:rPr>
        <w:t>3</w:t>
      </w:r>
      <w:r>
        <w:rPr>
          <w:rFonts w:ascii="宋体" w:hAnsi="宋体" w:eastAsia="宋体" w:cs="宋体"/>
          <w:color w:val="000000" w:themeColor="text1"/>
          <w:spacing w:val="-4"/>
          <w:sz w:val="24"/>
          <w:szCs w:val="24"/>
          <w14:textFill>
            <w14:solidFill>
              <w14:schemeClr w14:val="tx1"/>
            </w14:solidFill>
          </w14:textFill>
        </w:rPr>
        <w:t>.3.1</w:t>
      </w:r>
      <w:r>
        <w:rPr>
          <w:rFonts w:ascii="宋体" w:hAnsi="宋体" w:eastAsia="宋体" w:cs="宋体"/>
          <w:color w:val="000000" w:themeColor="text1"/>
          <w:spacing w:val="-24"/>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中小企业定义：</w:t>
      </w:r>
    </w:p>
    <w:p w14:paraId="0C884338">
      <w:pPr>
        <w:keepNext w:val="0"/>
        <w:keepLines w:val="0"/>
        <w:pageBreakBefore w:val="0"/>
        <w:widowControl w:val="0"/>
        <w:kinsoku/>
        <w:wordWrap/>
        <w:overflowPunct/>
        <w:topLinePunct w:val="0"/>
        <w:autoSpaceDE/>
        <w:autoSpaceDN/>
        <w:bidi w:val="0"/>
        <w:adjustRightInd/>
        <w:snapToGrid/>
        <w:spacing w:line="480" w:lineRule="exact"/>
        <w:ind w:left="7" w:firstLine="503"/>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中小企业是指在中华人民共和国境内依法设立，依据国务院批准的中小企业划</w:t>
      </w:r>
      <w:r>
        <w:rPr>
          <w:rFonts w:ascii="宋体" w:hAnsi="宋体" w:eastAsia="宋体" w:cs="宋体"/>
          <w:color w:val="000000" w:themeColor="text1"/>
          <w:sz w:val="24"/>
          <w:szCs w:val="24"/>
          <w14:textFill>
            <w14:solidFill>
              <w14:schemeClr w14:val="tx1"/>
            </w14:solidFill>
          </w14:textFill>
        </w:rPr>
        <w:t>分标准确定的中型企业、小型企业和微型企业，但与大企业</w:t>
      </w:r>
      <w:r>
        <w:rPr>
          <w:rFonts w:ascii="宋体" w:hAnsi="宋体" w:eastAsia="宋体" w:cs="宋体"/>
          <w:color w:val="000000" w:themeColor="text1"/>
          <w:spacing w:val="-1"/>
          <w:sz w:val="24"/>
          <w:szCs w:val="24"/>
          <w14:textFill>
            <w14:solidFill>
              <w14:schemeClr w14:val="tx1"/>
            </w14:solidFill>
          </w14:textFill>
        </w:rPr>
        <w:t>的负责人为同一人，或</w:t>
      </w:r>
      <w:r>
        <w:rPr>
          <w:rFonts w:ascii="宋体" w:hAnsi="宋体" w:eastAsia="宋体" w:cs="宋体"/>
          <w:color w:val="000000" w:themeColor="text1"/>
          <w:spacing w:val="-2"/>
          <w:sz w:val="24"/>
          <w:szCs w:val="24"/>
          <w14:textFill>
            <w14:solidFill>
              <w14:schemeClr w14:val="tx1"/>
            </w14:solidFill>
          </w14:textFill>
        </w:rPr>
        <w:t>者与大企业存在直接控股、管理关系的除外。符合中小企业划分标准的个体工商户，</w:t>
      </w:r>
      <w:r>
        <w:rPr>
          <w:rFonts w:ascii="宋体" w:hAnsi="宋体" w:eastAsia="宋体" w:cs="宋体"/>
          <w:color w:val="000000" w:themeColor="text1"/>
          <w:sz w:val="24"/>
          <w:szCs w:val="24"/>
          <w14:textFill>
            <w14:solidFill>
              <w14:schemeClr w14:val="tx1"/>
            </w14:solidFill>
          </w14:textFill>
        </w:rPr>
        <w:t>在政府采购活动中视同中小企业。关于中小企业的相关规定</w:t>
      </w:r>
      <w:r>
        <w:rPr>
          <w:rFonts w:ascii="宋体" w:hAnsi="宋体" w:eastAsia="宋体" w:cs="宋体"/>
          <w:color w:val="000000" w:themeColor="text1"/>
          <w:spacing w:val="-1"/>
          <w:sz w:val="24"/>
          <w:szCs w:val="24"/>
          <w14:textFill>
            <w14:solidFill>
              <w14:schemeClr w14:val="tx1"/>
            </w14:solidFill>
          </w14:textFill>
        </w:rPr>
        <w:t>依据《中华人民共和国</w:t>
      </w:r>
      <w:r>
        <w:rPr>
          <w:rFonts w:ascii="宋体" w:hAnsi="宋体" w:eastAsia="宋体" w:cs="宋体"/>
          <w:color w:val="000000" w:themeColor="text1"/>
          <w:sz w:val="24"/>
          <w:szCs w:val="24"/>
          <w14:textFill>
            <w14:solidFill>
              <w14:schemeClr w14:val="tx1"/>
            </w14:solidFill>
          </w14:textFill>
        </w:rPr>
        <w:t>中小企业促进法》、《政府采购促进中小企业发展管理办法》（</w:t>
      </w:r>
      <w:r>
        <w:rPr>
          <w:rFonts w:ascii="宋体" w:hAnsi="宋体" w:eastAsia="宋体" w:cs="宋体"/>
          <w:color w:val="000000" w:themeColor="text1"/>
          <w:spacing w:val="-1"/>
          <w:sz w:val="24"/>
          <w:szCs w:val="24"/>
          <w14:textFill>
            <w14:solidFill>
              <w14:schemeClr w14:val="tx1"/>
            </w14:solidFill>
          </w14:textFill>
        </w:rPr>
        <w:t>财库〔2020〕46</w:t>
      </w:r>
      <w:r>
        <w:rPr>
          <w:rFonts w:ascii="宋体" w:hAnsi="宋体" w:eastAsia="宋体" w:cs="宋体"/>
          <w:color w:val="000000" w:themeColor="text1"/>
          <w:sz w:val="24"/>
          <w:szCs w:val="24"/>
          <w14:textFill>
            <w14:solidFill>
              <w14:schemeClr w14:val="tx1"/>
            </w14:solidFill>
          </w14:textFill>
        </w:rPr>
        <w:t>号）、《关于印发中小企业划型标准规定的通知</w:t>
      </w:r>
      <w:r>
        <w:rPr>
          <w:rFonts w:ascii="宋体" w:hAnsi="宋体" w:eastAsia="宋体" w:cs="宋体"/>
          <w:color w:val="000000" w:themeColor="text1"/>
          <w:spacing w:val="-1"/>
          <w:sz w:val="24"/>
          <w:szCs w:val="24"/>
          <w14:textFill>
            <w14:solidFill>
              <w14:schemeClr w14:val="tx1"/>
            </w14:solidFill>
          </w14:textFill>
        </w:rPr>
        <w:t>》（工信部联企业〔2011〕300</w:t>
      </w:r>
      <w:r>
        <w:rPr>
          <w:rFonts w:ascii="宋体" w:hAnsi="宋体" w:eastAsia="宋体" w:cs="宋体"/>
          <w:color w:val="000000" w:themeColor="text1"/>
          <w:sz w:val="24"/>
          <w:szCs w:val="24"/>
          <w14:textFill>
            <w14:solidFill>
              <w14:schemeClr w14:val="tx1"/>
            </w14:solidFill>
          </w14:textFill>
        </w:rPr>
        <w:t>号）、《国务院关于进一步促进中小企业发展</w:t>
      </w:r>
      <w:r>
        <w:rPr>
          <w:rFonts w:ascii="宋体" w:hAnsi="宋体" w:eastAsia="宋体" w:cs="宋体"/>
          <w:color w:val="000000" w:themeColor="text1"/>
          <w:spacing w:val="-1"/>
          <w:sz w:val="24"/>
          <w:szCs w:val="24"/>
          <w14:textFill>
            <w14:solidFill>
              <w14:schemeClr w14:val="tx1"/>
            </w14:solidFill>
          </w14:textFill>
        </w:rPr>
        <w:t>的若干意见》（国发〔2009〕36</w:t>
      </w:r>
      <w:r>
        <w:rPr>
          <w:rFonts w:ascii="宋体" w:hAnsi="宋体" w:eastAsia="宋体" w:cs="宋体"/>
          <w:color w:val="000000" w:themeColor="text1"/>
          <w:spacing w:val="-6"/>
          <w:sz w:val="24"/>
          <w:szCs w:val="24"/>
          <w14:textFill>
            <w14:solidFill>
              <w14:schemeClr w14:val="tx1"/>
            </w14:solidFill>
          </w14:textFill>
        </w:rPr>
        <w:t>号）。</w:t>
      </w:r>
    </w:p>
    <w:p w14:paraId="3FEF3A9E">
      <w:pPr>
        <w:keepNext w:val="0"/>
        <w:keepLines w:val="0"/>
        <w:pageBreakBefore w:val="0"/>
        <w:widowControl w:val="0"/>
        <w:kinsoku/>
        <w:wordWrap/>
        <w:overflowPunct/>
        <w:topLinePunct w:val="0"/>
        <w:autoSpaceDE/>
        <w:autoSpaceDN/>
        <w:bidi w:val="0"/>
        <w:adjustRightInd/>
        <w:snapToGrid/>
        <w:spacing w:line="480" w:lineRule="exact"/>
        <w:ind w:left="11" w:right="181" w:firstLine="481"/>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.3.2</w:t>
      </w:r>
      <w:r>
        <w:rPr>
          <w:rFonts w:ascii="宋体" w:hAnsi="宋体" w:eastAsia="宋体" w:cs="宋体"/>
          <w:color w:val="000000" w:themeColor="text1"/>
          <w:spacing w:val="-40"/>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供应商提供的货物、工程或者服务符合下列情形的，享受中小企业扶</w:t>
      </w:r>
      <w:r>
        <w:rPr>
          <w:rFonts w:ascii="宋体" w:hAnsi="宋体" w:eastAsia="宋体" w:cs="宋体"/>
          <w:color w:val="000000" w:themeColor="text1"/>
          <w:spacing w:val="-4"/>
          <w:sz w:val="24"/>
          <w:szCs w:val="24"/>
          <w14:textFill>
            <w14:solidFill>
              <w14:schemeClr w14:val="tx1"/>
            </w14:solidFill>
          </w14:textFill>
        </w:rPr>
        <w:t>持政策：</w:t>
      </w:r>
    </w:p>
    <w:p w14:paraId="1E9112A0">
      <w:pPr>
        <w:keepNext w:val="0"/>
        <w:keepLines w:val="0"/>
        <w:pageBreakBefore w:val="0"/>
        <w:widowControl w:val="0"/>
        <w:kinsoku/>
        <w:wordWrap/>
        <w:overflowPunct/>
        <w:topLinePunct w:val="0"/>
        <w:autoSpaceDE/>
        <w:autoSpaceDN/>
        <w:bidi w:val="0"/>
        <w:adjustRightInd/>
        <w:snapToGrid/>
        <w:spacing w:line="480" w:lineRule="exact"/>
        <w:ind w:left="8" w:right="181" w:firstLine="484"/>
        <w:textAlignment w:val="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"32.3.2.1"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.3.2.1</w:t>
      </w:r>
      <w:r>
        <w:rPr>
          <w:rFonts w:ascii="宋体" w:hAnsi="宋体" w:eastAsia="宋体" w:cs="宋体"/>
          <w:color w:val="000000" w:themeColor="text1"/>
          <w:spacing w:val="-1"/>
          <w:sz w:val="24"/>
          <w:szCs w:val="24"/>
          <w14:textFill>
            <w14:solidFill>
              <w14:schemeClr w14:val="tx1"/>
            </w14:solidFill>
          </w14:textFill>
        </w:rPr>
        <w:fldChar w:fldCharType="end"/>
      </w:r>
      <w:r>
        <w:rPr>
          <w:rFonts w:ascii="宋体" w:hAnsi="宋体" w:eastAsia="宋体" w:cs="宋体"/>
          <w:color w:val="000000" w:themeColor="text1"/>
          <w:spacing w:val="-39"/>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在货物采购项目中，货物由中小企业制造，即货物由中小企业生产且使用该中小企业商号或者注册商标；</w:t>
      </w:r>
    </w:p>
    <w:p w14:paraId="47822378">
      <w:pPr>
        <w:keepNext w:val="0"/>
        <w:keepLines w:val="0"/>
        <w:pageBreakBefore w:val="0"/>
        <w:widowControl w:val="0"/>
        <w:kinsoku/>
        <w:wordWrap/>
        <w:overflowPunct/>
        <w:topLinePunct w:val="0"/>
        <w:autoSpaceDE/>
        <w:autoSpaceDN/>
        <w:bidi w:val="0"/>
        <w:adjustRightInd/>
        <w:snapToGrid/>
        <w:spacing w:line="480" w:lineRule="exact"/>
        <w:ind w:left="12" w:right="181" w:firstLine="480"/>
        <w:textAlignment w:val="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"32.3.2.2"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.3.2.2</w:t>
      </w:r>
      <w:r>
        <w:rPr>
          <w:rFonts w:ascii="宋体" w:hAnsi="宋体" w:eastAsia="宋体" w:cs="宋体"/>
          <w:color w:val="000000" w:themeColor="text1"/>
          <w:spacing w:val="-1"/>
          <w:sz w:val="24"/>
          <w:szCs w:val="24"/>
          <w14:textFill>
            <w14:solidFill>
              <w14:schemeClr w14:val="tx1"/>
            </w14:solidFill>
          </w14:textFill>
        </w:rPr>
        <w:fldChar w:fldCharType="end"/>
      </w:r>
      <w:r>
        <w:rPr>
          <w:rFonts w:ascii="宋体" w:hAnsi="宋体" w:eastAsia="宋体" w:cs="宋体"/>
          <w:color w:val="000000" w:themeColor="text1"/>
          <w:spacing w:val="-39"/>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在工程采购项目中，工程由中小企业承建，即工程施工单位为中小</w:t>
      </w:r>
      <w:r>
        <w:rPr>
          <w:rFonts w:ascii="宋体" w:hAnsi="宋体" w:eastAsia="宋体" w:cs="宋体"/>
          <w:color w:val="000000" w:themeColor="text1"/>
          <w:spacing w:val="-5"/>
          <w:sz w:val="24"/>
          <w:szCs w:val="24"/>
          <w14:textFill>
            <w14:solidFill>
              <w14:schemeClr w14:val="tx1"/>
            </w14:solidFill>
          </w14:textFill>
        </w:rPr>
        <w:t>企业；</w:t>
      </w:r>
    </w:p>
    <w:p w14:paraId="620F1BFA">
      <w:pPr>
        <w:keepNext w:val="0"/>
        <w:keepLines w:val="0"/>
        <w:pageBreakBefore w:val="0"/>
        <w:widowControl w:val="0"/>
        <w:kinsoku/>
        <w:wordWrap/>
        <w:overflowPunct/>
        <w:topLinePunct w:val="0"/>
        <w:autoSpaceDE/>
        <w:autoSpaceDN/>
        <w:bidi w:val="0"/>
        <w:adjustRightInd/>
        <w:snapToGrid/>
        <w:spacing w:line="480" w:lineRule="exact"/>
        <w:ind w:left="14" w:right="181" w:firstLine="478"/>
        <w:textAlignment w:val="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"32.3.2.3"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.3.2.3</w:t>
      </w:r>
      <w:r>
        <w:rPr>
          <w:rFonts w:ascii="宋体" w:hAnsi="宋体" w:eastAsia="宋体" w:cs="宋体"/>
          <w:color w:val="000000" w:themeColor="text1"/>
          <w:spacing w:val="-1"/>
          <w:sz w:val="24"/>
          <w:szCs w:val="24"/>
          <w14:textFill>
            <w14:solidFill>
              <w14:schemeClr w14:val="tx1"/>
            </w14:solidFill>
          </w14:textFill>
        </w:rPr>
        <w:fldChar w:fldCharType="end"/>
      </w:r>
      <w:r>
        <w:rPr>
          <w:rFonts w:ascii="宋体" w:hAnsi="宋体" w:eastAsia="宋体" w:cs="宋体"/>
          <w:color w:val="000000" w:themeColor="text1"/>
          <w:spacing w:val="-39"/>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在服务采购项目中，服务由中小企业承接，即提供服务的人员为中小企业依照《中华人民共和国劳动合同法》订立劳动合同的从业人员。</w:t>
      </w:r>
    </w:p>
    <w:p w14:paraId="3963613F">
      <w:pPr>
        <w:keepNext w:val="0"/>
        <w:keepLines w:val="0"/>
        <w:pageBreakBefore w:val="0"/>
        <w:widowControl w:val="0"/>
        <w:kinsoku/>
        <w:wordWrap/>
        <w:overflowPunct/>
        <w:topLinePunct w:val="0"/>
        <w:autoSpaceDE/>
        <w:autoSpaceDN/>
        <w:bidi w:val="0"/>
        <w:adjustRightInd/>
        <w:snapToGrid/>
        <w:spacing w:line="480" w:lineRule="exact"/>
        <w:ind w:left="11" w:right="181" w:firstLine="481"/>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.3.3</w:t>
      </w:r>
      <w:r>
        <w:rPr>
          <w:rFonts w:ascii="宋体" w:hAnsi="宋体" w:eastAsia="宋体" w:cs="宋体"/>
          <w:color w:val="000000" w:themeColor="text1"/>
          <w:spacing w:val="-40"/>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在货物采购项目中，供应商提供的货物既有中小企业制造货物，也有大型企业制造货物的，不享受中小企业扶持政策。</w:t>
      </w:r>
    </w:p>
    <w:p w14:paraId="1B528536">
      <w:pPr>
        <w:keepNext w:val="0"/>
        <w:keepLines w:val="0"/>
        <w:pageBreakBefore w:val="0"/>
        <w:widowControl w:val="0"/>
        <w:kinsoku/>
        <w:wordWrap/>
        <w:overflowPunct/>
        <w:topLinePunct w:val="0"/>
        <w:autoSpaceDE/>
        <w:autoSpaceDN/>
        <w:bidi w:val="0"/>
        <w:adjustRightInd/>
        <w:snapToGrid/>
        <w:spacing w:line="480" w:lineRule="exact"/>
        <w:ind w:left="8" w:right="181" w:firstLine="484"/>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.3.4</w:t>
      </w:r>
      <w:r>
        <w:rPr>
          <w:rFonts w:ascii="宋体" w:hAnsi="宋体" w:eastAsia="宋体" w:cs="宋体"/>
          <w:color w:val="000000" w:themeColor="text1"/>
          <w:spacing w:val="-24"/>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以联合体形式参加政府采购活动</w:t>
      </w:r>
      <w:r>
        <w:rPr>
          <w:rFonts w:ascii="宋体" w:hAnsi="宋体" w:eastAsia="宋体" w:cs="宋体"/>
          <w:color w:val="000000" w:themeColor="text1"/>
          <w:spacing w:val="-2"/>
          <w:sz w:val="24"/>
          <w:szCs w:val="24"/>
          <w14:textFill>
            <w14:solidFill>
              <w14:schemeClr w14:val="tx1"/>
            </w14:solidFill>
          </w14:textFill>
        </w:rPr>
        <w:t>，联合体各方均为中小企业的，联合</w:t>
      </w:r>
      <w:r>
        <w:rPr>
          <w:rFonts w:ascii="宋体" w:hAnsi="宋体" w:eastAsia="宋体" w:cs="宋体"/>
          <w:color w:val="000000" w:themeColor="text1"/>
          <w:sz w:val="24"/>
          <w:szCs w:val="24"/>
          <w14:textFill>
            <w14:solidFill>
              <w14:schemeClr w14:val="tx1"/>
            </w14:solidFill>
          </w14:textFill>
        </w:rPr>
        <w:t>体视同中小企业。其中，联合体各方均为小微企业的</w:t>
      </w:r>
      <w:r>
        <w:rPr>
          <w:rFonts w:ascii="宋体" w:hAnsi="宋体" w:eastAsia="宋体" w:cs="宋体"/>
          <w:color w:val="000000" w:themeColor="text1"/>
          <w:spacing w:val="-1"/>
          <w:sz w:val="24"/>
          <w:szCs w:val="24"/>
          <w14:textFill>
            <w14:solidFill>
              <w14:schemeClr w14:val="tx1"/>
            </w14:solidFill>
          </w14:textFill>
        </w:rPr>
        <w:t>，联合体视同小微企业。</w:t>
      </w:r>
    </w:p>
    <w:p w14:paraId="777AF51D">
      <w:pPr>
        <w:keepNext w:val="0"/>
        <w:keepLines w:val="0"/>
        <w:pageBreakBefore w:val="0"/>
        <w:widowControl w:val="0"/>
        <w:kinsoku/>
        <w:wordWrap/>
        <w:overflowPunct/>
        <w:topLinePunct w:val="0"/>
        <w:autoSpaceDE/>
        <w:autoSpaceDN/>
        <w:bidi w:val="0"/>
        <w:adjustRightInd/>
        <w:snapToGrid/>
        <w:spacing w:line="480" w:lineRule="exact"/>
        <w:ind w:left="9" w:right="1" w:firstLine="483"/>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.3.5</w:t>
      </w:r>
      <w:r>
        <w:rPr>
          <w:rFonts w:ascii="宋体" w:hAnsi="宋体" w:eastAsia="宋体" w:cs="宋体"/>
          <w:color w:val="000000" w:themeColor="text1"/>
          <w:spacing w:val="-40"/>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监狱企业定义：是指由司法部认定的为罪犯、戒毒人员提供生产项目</w:t>
      </w:r>
      <w:r>
        <w:rPr>
          <w:rFonts w:ascii="宋体" w:hAnsi="宋体" w:eastAsia="宋体" w:cs="宋体"/>
          <w:color w:val="000000" w:themeColor="text1"/>
          <w:sz w:val="24"/>
          <w:szCs w:val="24"/>
          <w14:textFill>
            <w14:solidFill>
              <w14:schemeClr w14:val="tx1"/>
            </w14:solidFill>
          </w14:textFill>
        </w:rPr>
        <w:t>和劳动对象，且全部产权属于司法部监狱管理局、戒毒</w:t>
      </w:r>
      <w:r>
        <w:rPr>
          <w:rFonts w:ascii="宋体" w:hAnsi="宋体" w:eastAsia="宋体" w:cs="宋体"/>
          <w:color w:val="000000" w:themeColor="text1"/>
          <w:spacing w:val="-1"/>
          <w:sz w:val="24"/>
          <w:szCs w:val="24"/>
          <w14:textFill>
            <w14:solidFill>
              <w14:schemeClr w14:val="tx1"/>
            </w14:solidFill>
          </w14:textFill>
        </w:rPr>
        <w:t>管理局、直属煤矿管理局，</w:t>
      </w:r>
      <w:r>
        <w:rPr>
          <w:rFonts w:ascii="宋体" w:hAnsi="宋体" w:eastAsia="宋体" w:cs="宋体"/>
          <w:color w:val="000000" w:themeColor="text1"/>
          <w:spacing w:val="-2"/>
          <w:sz w:val="24"/>
          <w:szCs w:val="24"/>
          <w14:textFill>
            <w14:solidFill>
              <w14:schemeClr w14:val="tx1"/>
            </w14:solidFill>
          </w14:textFill>
        </w:rPr>
        <w:t>各省、</w:t>
      </w:r>
      <w:r>
        <w:rPr>
          <w:rFonts w:ascii="宋体" w:hAnsi="宋体" w:eastAsia="宋体" w:cs="宋体"/>
          <w:color w:val="000000" w:themeColor="text1"/>
          <w:spacing w:val="-60"/>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自治区、直辖市监狱管理局、戒毒管理局，各地（设区的市）监狱、强制隔</w:t>
      </w:r>
      <w:r>
        <w:rPr>
          <w:rFonts w:ascii="宋体" w:hAnsi="宋体" w:eastAsia="宋体" w:cs="宋体"/>
          <w:color w:val="000000" w:themeColor="text1"/>
          <w:sz w:val="24"/>
          <w:szCs w:val="24"/>
          <w14:textFill>
            <w14:solidFill>
              <w14:schemeClr w14:val="tx1"/>
            </w14:solidFill>
          </w14:textFill>
        </w:rPr>
        <w:t>离戒毒所、戒毒康复所，以及新疆生产建设兵团监狱管</w:t>
      </w:r>
      <w:r>
        <w:rPr>
          <w:rFonts w:ascii="宋体" w:hAnsi="宋体" w:eastAsia="宋体" w:cs="宋体"/>
          <w:color w:val="000000" w:themeColor="text1"/>
          <w:spacing w:val="-1"/>
          <w:sz w:val="24"/>
          <w:szCs w:val="24"/>
          <w14:textFill>
            <w14:solidFill>
              <w14:schemeClr w14:val="tx1"/>
            </w14:solidFill>
          </w14:textFill>
        </w:rPr>
        <w:t>理局、戒毒管理局的企业。</w:t>
      </w:r>
    </w:p>
    <w:p w14:paraId="4EA51BE6">
      <w:pPr>
        <w:keepNext w:val="0"/>
        <w:keepLines w:val="0"/>
        <w:pageBreakBefore w:val="0"/>
        <w:widowControl w:val="0"/>
        <w:kinsoku/>
        <w:wordWrap/>
        <w:overflowPunct/>
        <w:topLinePunct w:val="0"/>
        <w:autoSpaceDE/>
        <w:autoSpaceDN/>
        <w:bidi w:val="0"/>
        <w:adjustRightInd/>
        <w:snapToGrid/>
        <w:spacing w:line="480" w:lineRule="exact"/>
        <w:ind w:left="23" w:right="181" w:firstLine="469"/>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.3.6</w:t>
      </w:r>
      <w:r>
        <w:rPr>
          <w:rFonts w:ascii="宋体" w:hAnsi="宋体" w:eastAsia="宋体" w:cs="宋体"/>
          <w:color w:val="000000" w:themeColor="text1"/>
          <w:spacing w:val="-40"/>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残疾人福利单位定义：享受政府采购支持政策的残疾人福利性单位应</w:t>
      </w:r>
      <w:r>
        <w:rPr>
          <w:rFonts w:ascii="宋体" w:hAnsi="宋体" w:eastAsia="宋体" w:cs="宋体"/>
          <w:color w:val="000000" w:themeColor="text1"/>
          <w:spacing w:val="-3"/>
          <w:sz w:val="24"/>
          <w:szCs w:val="24"/>
          <w14:textFill>
            <w14:solidFill>
              <w14:schemeClr w14:val="tx1"/>
            </w14:solidFill>
          </w14:textFill>
        </w:rPr>
        <w:t>当同时满足以下条件：</w:t>
      </w:r>
    </w:p>
    <w:p w14:paraId="4A0A5A25">
      <w:pPr>
        <w:keepNext w:val="0"/>
        <w:keepLines w:val="0"/>
        <w:pageBreakBefore w:val="0"/>
        <w:widowControl w:val="0"/>
        <w:kinsoku/>
        <w:wordWrap/>
        <w:overflowPunct/>
        <w:topLinePunct w:val="0"/>
        <w:autoSpaceDE/>
        <w:autoSpaceDN/>
        <w:bidi w:val="0"/>
        <w:adjustRightInd/>
        <w:snapToGrid/>
        <w:spacing w:line="480" w:lineRule="exact"/>
        <w:ind w:left="14" w:right="119" w:firstLine="479"/>
        <w:textAlignment w:val="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"32.3.6.1"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.3.6.1</w:t>
      </w:r>
      <w:r>
        <w:rPr>
          <w:rFonts w:ascii="宋体" w:hAnsi="宋体" w:eastAsia="宋体" w:cs="宋体"/>
          <w:color w:val="000000" w:themeColor="text1"/>
          <w:spacing w:val="-1"/>
          <w:sz w:val="24"/>
          <w:szCs w:val="24"/>
          <w14:textFill>
            <w14:solidFill>
              <w14:schemeClr w14:val="tx1"/>
            </w14:solidFill>
          </w14:textFill>
        </w:rPr>
        <w:fldChar w:fldCharType="end"/>
      </w:r>
      <w:r>
        <w:rPr>
          <w:rFonts w:ascii="宋体" w:hAnsi="宋体" w:eastAsia="宋体" w:cs="宋体"/>
          <w:color w:val="000000" w:themeColor="text1"/>
          <w:spacing w:val="-4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安置的残疾人占本单位在职职工</w:t>
      </w:r>
      <w:r>
        <w:rPr>
          <w:rFonts w:ascii="宋体" w:hAnsi="宋体" w:eastAsia="宋体" w:cs="宋体"/>
          <w:color w:val="000000" w:themeColor="text1"/>
          <w:spacing w:val="-2"/>
          <w:sz w:val="24"/>
          <w:szCs w:val="24"/>
          <w14:textFill>
            <w14:solidFill>
              <w14:schemeClr w14:val="tx1"/>
            </w14:solidFill>
          </w14:textFill>
        </w:rPr>
        <w:t>人数的比例不低于</w:t>
      </w:r>
      <w:r>
        <w:rPr>
          <w:rFonts w:ascii="宋体" w:hAnsi="宋体" w:eastAsia="宋体" w:cs="宋体"/>
          <w:color w:val="000000" w:themeColor="text1"/>
          <w:spacing w:val="-47"/>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25%（含</w:t>
      </w:r>
      <w:r>
        <w:rPr>
          <w:rFonts w:ascii="宋体" w:hAnsi="宋体" w:eastAsia="宋体" w:cs="宋体"/>
          <w:color w:val="000000" w:themeColor="text1"/>
          <w:spacing w:val="-48"/>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25%</w:t>
      </w:r>
      <w:r>
        <w:rPr>
          <w:rFonts w:ascii="宋体" w:hAnsi="宋体" w:eastAsia="宋体" w:cs="宋体"/>
          <w:color w:val="000000" w:themeColor="text1"/>
          <w:spacing w:val="-30"/>
          <w:sz w:val="24"/>
          <w:szCs w:val="24"/>
          <w14:textFill>
            <w14:solidFill>
              <w14:schemeClr w14:val="tx1"/>
            </w14:solidFill>
          </w14:textFill>
        </w:rPr>
        <w:t>），</w:t>
      </w:r>
      <w:r>
        <w:rPr>
          <w:rFonts w:ascii="宋体" w:hAnsi="宋体" w:eastAsia="宋体" w:cs="宋体"/>
          <w:color w:val="000000" w:themeColor="text1"/>
          <w:spacing w:val="-3"/>
          <w:sz w:val="24"/>
          <w:szCs w:val="24"/>
          <w14:textFill>
            <w14:solidFill>
              <w14:schemeClr w14:val="tx1"/>
            </w14:solidFill>
          </w14:textFill>
        </w:rPr>
        <w:t>并且安置的残疾人人数不少于</w:t>
      </w:r>
      <w:r>
        <w:rPr>
          <w:rFonts w:ascii="宋体" w:hAnsi="宋体" w:eastAsia="宋体" w:cs="宋体"/>
          <w:color w:val="000000" w:themeColor="text1"/>
          <w:spacing w:val="-33"/>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10 人（含</w:t>
      </w:r>
      <w:r>
        <w:rPr>
          <w:rFonts w:ascii="宋体" w:hAnsi="宋体" w:eastAsia="宋体" w:cs="宋体"/>
          <w:color w:val="000000" w:themeColor="text1"/>
          <w:spacing w:val="-33"/>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10</w:t>
      </w:r>
      <w:r>
        <w:rPr>
          <w:rFonts w:ascii="宋体" w:hAnsi="宋体" w:eastAsia="宋体" w:cs="宋体"/>
          <w:color w:val="000000" w:themeColor="text1"/>
          <w:spacing w:val="-4"/>
          <w:sz w:val="24"/>
          <w:szCs w:val="24"/>
          <w14:textFill>
            <w14:solidFill>
              <w14:schemeClr w14:val="tx1"/>
            </w14:solidFill>
          </w14:textFill>
        </w:rPr>
        <w:t xml:space="preserve"> 人</w:t>
      </w:r>
      <w:r>
        <w:rPr>
          <w:rFonts w:ascii="宋体" w:hAnsi="宋体" w:eastAsia="宋体" w:cs="宋体"/>
          <w:color w:val="000000" w:themeColor="text1"/>
          <w:sz w:val="24"/>
          <w:szCs w:val="24"/>
          <w14:textFill>
            <w14:solidFill>
              <w14:schemeClr w14:val="tx1"/>
            </w14:solidFill>
          </w14:textFill>
        </w:rPr>
        <w:t>）；</w:t>
      </w:r>
    </w:p>
    <w:p w14:paraId="42C31306">
      <w:pPr>
        <w:keepNext w:val="0"/>
        <w:keepLines w:val="0"/>
        <w:pageBreakBefore w:val="0"/>
        <w:widowControl w:val="0"/>
        <w:kinsoku/>
        <w:wordWrap/>
        <w:overflowPunct/>
        <w:topLinePunct w:val="0"/>
        <w:autoSpaceDE/>
        <w:autoSpaceDN/>
        <w:bidi w:val="0"/>
        <w:adjustRightInd/>
        <w:snapToGrid/>
        <w:spacing w:line="480" w:lineRule="exact"/>
        <w:ind w:left="8" w:right="181" w:firstLine="484"/>
        <w:textAlignment w:val="auto"/>
        <w:rPr>
          <w:rFonts w:ascii="宋体" w:hAnsi="宋体" w:eastAsia="宋体" w:cs="宋体"/>
          <w:color w:val="000000" w:themeColor="text1"/>
          <w:spacing w:val="-2"/>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"32.3.6.2"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.3.6.2</w:t>
      </w:r>
      <w:r>
        <w:rPr>
          <w:rFonts w:ascii="宋体" w:hAnsi="宋体" w:eastAsia="宋体" w:cs="宋体"/>
          <w:color w:val="000000" w:themeColor="text1"/>
          <w:spacing w:val="-1"/>
          <w:sz w:val="24"/>
          <w:szCs w:val="24"/>
          <w14:textFill>
            <w14:solidFill>
              <w14:schemeClr w14:val="tx1"/>
            </w14:solidFill>
          </w14:textFill>
        </w:rPr>
        <w:fldChar w:fldCharType="end"/>
      </w:r>
      <w:r>
        <w:rPr>
          <w:rFonts w:ascii="宋体" w:hAnsi="宋体" w:eastAsia="宋体" w:cs="宋体"/>
          <w:color w:val="000000" w:themeColor="text1"/>
          <w:spacing w:val="-39"/>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依法与安置的每位残疾人签订了一年以上（含一年）的劳动合同或</w:t>
      </w:r>
      <w:r>
        <w:rPr>
          <w:rFonts w:ascii="宋体" w:hAnsi="宋体" w:eastAsia="宋体" w:cs="宋体"/>
          <w:color w:val="000000" w:themeColor="text1"/>
          <w:spacing w:val="-2"/>
          <w:sz w:val="24"/>
          <w:szCs w:val="24"/>
          <w14:textFill>
            <w14:solidFill>
              <w14:schemeClr w14:val="tx1"/>
            </w14:solidFill>
          </w14:textFill>
        </w:rPr>
        <w:t>服务协议；</w:t>
      </w:r>
    </w:p>
    <w:p w14:paraId="0072D27D">
      <w:pPr>
        <w:keepNext w:val="0"/>
        <w:keepLines w:val="0"/>
        <w:pageBreakBefore w:val="0"/>
        <w:widowControl w:val="0"/>
        <w:kinsoku/>
        <w:wordWrap/>
        <w:overflowPunct/>
        <w:topLinePunct w:val="0"/>
        <w:autoSpaceDE/>
        <w:autoSpaceDN/>
        <w:bidi w:val="0"/>
        <w:adjustRightInd/>
        <w:snapToGrid/>
        <w:spacing w:line="480" w:lineRule="exact"/>
        <w:ind w:left="8" w:right="181" w:firstLine="484"/>
        <w:textAlignment w:val="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"32.3.6.3"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2"/>
          <w:sz w:val="24"/>
          <w:szCs w:val="24"/>
          <w14:textFill>
            <w14:solidFill>
              <w14:schemeClr w14:val="tx1"/>
            </w14:solidFill>
          </w14:textFill>
        </w:rPr>
        <w:t>3</w:t>
      </w:r>
      <w:r>
        <w:rPr>
          <w:rFonts w:hint="eastAsia" w:ascii="宋体" w:hAnsi="宋体" w:eastAsia="宋体" w:cs="宋体"/>
          <w:color w:val="000000" w:themeColor="text1"/>
          <w:spacing w:val="-2"/>
          <w:sz w:val="24"/>
          <w:szCs w:val="24"/>
          <w:lang w:val="en-US" w:eastAsia="zh-CN"/>
          <w14:textFill>
            <w14:solidFill>
              <w14:schemeClr w14:val="tx1"/>
            </w14:solidFill>
          </w14:textFill>
        </w:rPr>
        <w:t>3</w:t>
      </w:r>
      <w:r>
        <w:rPr>
          <w:rFonts w:ascii="宋体" w:hAnsi="宋体" w:eastAsia="宋体" w:cs="宋体"/>
          <w:color w:val="000000" w:themeColor="text1"/>
          <w:spacing w:val="-2"/>
          <w:sz w:val="24"/>
          <w:szCs w:val="24"/>
          <w14:textFill>
            <w14:solidFill>
              <w14:schemeClr w14:val="tx1"/>
            </w14:solidFill>
          </w14:textFill>
        </w:rPr>
        <w:t>.3.6.3</w:t>
      </w:r>
      <w:r>
        <w:rPr>
          <w:rFonts w:ascii="宋体" w:hAnsi="宋体" w:eastAsia="宋体" w:cs="宋体"/>
          <w:color w:val="000000" w:themeColor="text1"/>
          <w:spacing w:val="-2"/>
          <w:sz w:val="24"/>
          <w:szCs w:val="24"/>
          <w14:textFill>
            <w14:solidFill>
              <w14:schemeClr w14:val="tx1"/>
            </w14:solidFill>
          </w14:textFill>
        </w:rPr>
        <w:fldChar w:fldCharType="end"/>
      </w:r>
      <w:r>
        <w:rPr>
          <w:rFonts w:ascii="宋体" w:hAnsi="宋体" w:eastAsia="宋体" w:cs="宋体"/>
          <w:color w:val="000000" w:themeColor="text1"/>
          <w:spacing w:val="-39"/>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为安置的每位残疾人按月足额缴纳了基本养老保险、基本医疗保险、</w:t>
      </w:r>
      <w:r>
        <w:rPr>
          <w:rFonts w:ascii="宋体" w:hAnsi="宋体" w:eastAsia="宋体" w:cs="宋体"/>
          <w:color w:val="000000" w:themeColor="text1"/>
          <w:spacing w:val="-1"/>
          <w:sz w:val="24"/>
          <w:szCs w:val="24"/>
          <w14:textFill>
            <w14:solidFill>
              <w14:schemeClr w14:val="tx1"/>
            </w14:solidFill>
          </w14:textFill>
        </w:rPr>
        <w:t>失业保险、工伤保险和生育保险等社会保险费；</w:t>
      </w:r>
    </w:p>
    <w:p w14:paraId="14906301">
      <w:pPr>
        <w:keepNext w:val="0"/>
        <w:keepLines w:val="0"/>
        <w:pageBreakBefore w:val="0"/>
        <w:widowControl w:val="0"/>
        <w:kinsoku/>
        <w:wordWrap/>
        <w:overflowPunct/>
        <w:topLinePunct w:val="0"/>
        <w:autoSpaceDE/>
        <w:autoSpaceDN/>
        <w:bidi w:val="0"/>
        <w:adjustRightInd/>
        <w:snapToGrid/>
        <w:spacing w:line="480" w:lineRule="exact"/>
        <w:ind w:left="10" w:right="200" w:firstLine="484"/>
        <w:textAlignment w:val="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"32.3.6.4"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.3.6.4</w:t>
      </w:r>
      <w:r>
        <w:rPr>
          <w:rFonts w:ascii="宋体" w:hAnsi="宋体" w:eastAsia="宋体" w:cs="宋体"/>
          <w:color w:val="000000" w:themeColor="text1"/>
          <w:spacing w:val="-1"/>
          <w:sz w:val="24"/>
          <w:szCs w:val="24"/>
          <w14:textFill>
            <w14:solidFill>
              <w14:schemeClr w14:val="tx1"/>
            </w14:solidFill>
          </w14:textFill>
        </w:rPr>
        <w:fldChar w:fldCharType="end"/>
      </w:r>
      <w:r>
        <w:rPr>
          <w:rFonts w:ascii="宋体" w:hAnsi="宋体" w:eastAsia="宋体" w:cs="宋体"/>
          <w:color w:val="000000" w:themeColor="text1"/>
          <w:spacing w:val="-39"/>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通过银行等金融机构向安置的每位残疾人，按月支付了不低于单位所在区县适用的经省级人民政府批准的月最低工资标准的工资；</w:t>
      </w:r>
    </w:p>
    <w:p w14:paraId="634722A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"32.3.6.5"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.3.6.5</w:t>
      </w:r>
      <w:r>
        <w:rPr>
          <w:rFonts w:ascii="宋体" w:hAnsi="宋体" w:eastAsia="宋体" w:cs="宋体"/>
          <w:color w:val="000000" w:themeColor="text1"/>
          <w:spacing w:val="-1"/>
          <w:sz w:val="24"/>
          <w:szCs w:val="24"/>
          <w14:textFill>
            <w14:solidFill>
              <w14:schemeClr w14:val="tx1"/>
            </w14:solidFill>
          </w14:textFill>
        </w:rPr>
        <w:fldChar w:fldCharType="end"/>
      </w:r>
      <w:r>
        <w:rPr>
          <w:rFonts w:ascii="宋体" w:hAnsi="宋体" w:eastAsia="宋体" w:cs="宋体"/>
          <w:color w:val="000000" w:themeColor="text1"/>
          <w:spacing w:val="-49"/>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提供本单位制造的货物、承担的工程或者服务（以下简称产品</w:t>
      </w:r>
      <w:r>
        <w:rPr>
          <w:rFonts w:ascii="宋体" w:hAnsi="宋体" w:eastAsia="宋体" w:cs="宋体"/>
          <w:color w:val="000000" w:themeColor="text1"/>
          <w:spacing w:val="4"/>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或者提供其他残疾人福利性单位制造的货物（不包</w:t>
      </w:r>
      <w:r>
        <w:rPr>
          <w:rFonts w:ascii="宋体" w:hAnsi="宋体" w:eastAsia="宋体" w:cs="宋体"/>
          <w:color w:val="000000" w:themeColor="text1"/>
          <w:spacing w:val="-1"/>
          <w:sz w:val="24"/>
          <w:szCs w:val="24"/>
          <w14:textFill>
            <w14:solidFill>
              <w14:schemeClr w14:val="tx1"/>
            </w14:solidFill>
          </w14:textFill>
        </w:rPr>
        <w:t>括使用非残疾人福利性单位注册</w:t>
      </w:r>
      <w:r>
        <w:rPr>
          <w:rFonts w:ascii="宋体" w:hAnsi="宋体" w:eastAsia="宋体" w:cs="宋体"/>
          <w:color w:val="000000" w:themeColor="text1"/>
          <w:spacing w:val="-3"/>
          <w:sz w:val="24"/>
          <w:szCs w:val="24"/>
          <w14:textFill>
            <w14:solidFill>
              <w14:schemeClr w14:val="tx1"/>
            </w14:solidFill>
          </w14:textFill>
        </w:rPr>
        <w:t>商标的货物</w:t>
      </w:r>
      <w:r>
        <w:rPr>
          <w:rFonts w:ascii="宋体" w:hAnsi="宋体" w:eastAsia="宋体" w:cs="宋体"/>
          <w:color w:val="000000" w:themeColor="text1"/>
          <w:sz w:val="24"/>
          <w:szCs w:val="24"/>
          <w14:textFill>
            <w14:solidFill>
              <w14:schemeClr w14:val="tx1"/>
            </w14:solidFill>
          </w14:textFill>
        </w:rPr>
        <w:t>）；</w:t>
      </w:r>
    </w:p>
    <w:p w14:paraId="2416A638">
      <w:pPr>
        <w:keepNext w:val="0"/>
        <w:keepLines w:val="0"/>
        <w:pageBreakBefore w:val="0"/>
        <w:widowControl w:val="0"/>
        <w:kinsoku/>
        <w:wordWrap/>
        <w:overflowPunct/>
        <w:topLinePunct w:val="0"/>
        <w:autoSpaceDE/>
        <w:autoSpaceDN/>
        <w:bidi w:val="0"/>
        <w:adjustRightInd/>
        <w:snapToGrid/>
        <w:spacing w:line="480" w:lineRule="exact"/>
        <w:ind w:left="11" w:right="20" w:firstLine="483"/>
        <w:textAlignment w:val="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"32.3.6.6"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.3.6.6</w:t>
      </w:r>
      <w:r>
        <w:rPr>
          <w:rFonts w:ascii="宋体" w:hAnsi="宋体" w:eastAsia="宋体" w:cs="宋体"/>
          <w:color w:val="000000" w:themeColor="text1"/>
          <w:spacing w:val="-1"/>
          <w:sz w:val="24"/>
          <w:szCs w:val="24"/>
          <w14:textFill>
            <w14:solidFill>
              <w14:schemeClr w14:val="tx1"/>
            </w14:solidFill>
          </w14:textFill>
        </w:rPr>
        <w:fldChar w:fldCharType="end"/>
      </w:r>
      <w:r>
        <w:rPr>
          <w:rFonts w:ascii="宋体" w:hAnsi="宋体" w:eastAsia="宋体" w:cs="宋体"/>
          <w:color w:val="000000" w:themeColor="text1"/>
          <w:spacing w:val="-39"/>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前款所称残疾人是指法定劳动年龄内，持有《中华人民共和国残疾人证》或者《中华人民共和国残疾军人证（1至</w:t>
      </w:r>
      <w:r>
        <w:rPr>
          <w:rFonts w:ascii="宋体" w:hAnsi="宋体" w:eastAsia="宋体" w:cs="宋体"/>
          <w:color w:val="000000" w:themeColor="text1"/>
          <w:spacing w:val="-3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8级）》的自然人，包括具有劳</w:t>
      </w:r>
      <w:r>
        <w:rPr>
          <w:rFonts w:ascii="宋体" w:hAnsi="宋体" w:eastAsia="宋体" w:cs="宋体"/>
          <w:color w:val="000000" w:themeColor="text1"/>
          <w:sz w:val="24"/>
          <w:szCs w:val="24"/>
          <w14:textFill>
            <w14:solidFill>
              <w14:schemeClr w14:val="tx1"/>
            </w14:solidFill>
          </w14:textFill>
        </w:rPr>
        <w:t>动条件和劳动意愿的精神残疾人。在职职工人数是指与</w:t>
      </w:r>
      <w:r>
        <w:rPr>
          <w:rFonts w:ascii="宋体" w:hAnsi="宋体" w:eastAsia="宋体" w:cs="宋体"/>
          <w:color w:val="000000" w:themeColor="text1"/>
          <w:spacing w:val="-1"/>
          <w:sz w:val="24"/>
          <w:szCs w:val="24"/>
          <w14:textFill>
            <w14:solidFill>
              <w14:schemeClr w14:val="tx1"/>
            </w14:solidFill>
          </w14:textFill>
        </w:rPr>
        <w:t>残疾人福利性单位建立劳动关系并依法签订劳动合同或服务协议的雇员人数。</w:t>
      </w:r>
    </w:p>
    <w:p w14:paraId="0DD76875">
      <w:pPr>
        <w:keepNext w:val="0"/>
        <w:keepLines w:val="0"/>
        <w:pageBreakBefore w:val="0"/>
        <w:widowControl w:val="0"/>
        <w:kinsoku/>
        <w:wordWrap/>
        <w:overflowPunct/>
        <w:topLinePunct w:val="0"/>
        <w:autoSpaceDE/>
        <w:autoSpaceDN/>
        <w:bidi w:val="0"/>
        <w:adjustRightInd/>
        <w:snapToGrid/>
        <w:spacing w:line="480" w:lineRule="exact"/>
        <w:ind w:left="495"/>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.3.7</w:t>
      </w:r>
      <w:r>
        <w:rPr>
          <w:rFonts w:ascii="宋体" w:hAnsi="宋体" w:eastAsia="宋体" w:cs="宋体"/>
          <w:color w:val="000000" w:themeColor="text1"/>
          <w:spacing w:val="-40"/>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本项目是否专门面向中小企业预留采购份额见第一章《招标公告》。</w:t>
      </w:r>
    </w:p>
    <w:p w14:paraId="3D46A2F4">
      <w:pPr>
        <w:keepNext w:val="0"/>
        <w:keepLines w:val="0"/>
        <w:pageBreakBefore w:val="0"/>
        <w:widowControl w:val="0"/>
        <w:kinsoku/>
        <w:wordWrap/>
        <w:overflowPunct/>
        <w:topLinePunct w:val="0"/>
        <w:autoSpaceDE/>
        <w:autoSpaceDN/>
        <w:bidi w:val="0"/>
        <w:adjustRightInd/>
        <w:snapToGrid/>
        <w:spacing w:line="480" w:lineRule="exact"/>
        <w:ind w:left="495"/>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.3.8</w:t>
      </w:r>
      <w:r>
        <w:rPr>
          <w:rFonts w:ascii="宋体" w:hAnsi="宋体" w:eastAsia="宋体" w:cs="宋体"/>
          <w:color w:val="000000" w:themeColor="text1"/>
          <w:spacing w:val="-40"/>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采购标的对应的中小企业划分标准所属行业见第四章《采购需求》。</w:t>
      </w:r>
    </w:p>
    <w:p w14:paraId="2686126B">
      <w:pPr>
        <w:keepNext w:val="0"/>
        <w:keepLines w:val="0"/>
        <w:pageBreakBefore w:val="0"/>
        <w:widowControl w:val="0"/>
        <w:kinsoku/>
        <w:wordWrap/>
        <w:overflowPunct/>
        <w:topLinePunct w:val="0"/>
        <w:autoSpaceDE/>
        <w:autoSpaceDN/>
        <w:bidi w:val="0"/>
        <w:adjustRightInd/>
        <w:snapToGrid/>
        <w:spacing w:line="480" w:lineRule="exact"/>
        <w:ind w:left="10" w:right="181" w:firstLine="476"/>
        <w:jc w:val="both"/>
        <w:textAlignment w:val="auto"/>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.3.9</w:t>
      </w:r>
      <w:r>
        <w:rPr>
          <w:rFonts w:ascii="宋体" w:hAnsi="宋体" w:eastAsia="宋体" w:cs="宋体"/>
          <w:color w:val="000000" w:themeColor="text1"/>
          <w:spacing w:val="-4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小微企业价格评审优惠的政策见第五章《评标方法和评标标准》。</w:t>
      </w:r>
    </w:p>
    <w:p w14:paraId="6A959959">
      <w:pPr>
        <w:pageBreakBefore w:val="0"/>
        <w:widowControl w:val="0"/>
        <w:kinsoku/>
        <w:wordWrap/>
        <w:overflowPunct/>
        <w:topLinePunct w:val="0"/>
        <w:autoSpaceDE/>
        <w:autoSpaceDN/>
        <w:bidi w:val="0"/>
        <w:adjustRightInd/>
        <w:snapToGrid/>
        <w:spacing w:line="480" w:lineRule="exact"/>
        <w:ind w:left="495"/>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w:t>
      </w:r>
      <w:r>
        <w:rPr>
          <w:rFonts w:hint="eastAsia" w:ascii="宋体" w:hAnsi="宋体" w:eastAsia="宋体" w:cs="宋体"/>
          <w:b/>
          <w:bCs/>
          <w:color w:val="000000" w:themeColor="text1"/>
          <w:spacing w:val="-3"/>
          <w:sz w:val="24"/>
          <w:szCs w:val="24"/>
          <w:lang w:val="en-US" w:eastAsia="zh-CN"/>
          <w14:textFill>
            <w14:solidFill>
              <w14:schemeClr w14:val="tx1"/>
            </w14:solidFill>
          </w14:textFill>
        </w:rPr>
        <w:t>3</w:t>
      </w:r>
      <w:r>
        <w:rPr>
          <w:rFonts w:ascii="宋体" w:hAnsi="宋体" w:eastAsia="宋体" w:cs="宋体"/>
          <w:b/>
          <w:bCs/>
          <w:color w:val="000000" w:themeColor="text1"/>
          <w:spacing w:val="-3"/>
          <w:sz w:val="24"/>
          <w:szCs w:val="24"/>
          <w14:textFill>
            <w14:solidFill>
              <w14:schemeClr w14:val="tx1"/>
            </w14:solidFill>
          </w14:textFill>
        </w:rPr>
        <w:t>.4</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b/>
          <w:bCs/>
          <w:color w:val="000000" w:themeColor="text1"/>
          <w:spacing w:val="-3"/>
          <w:sz w:val="24"/>
          <w:szCs w:val="24"/>
          <w14:textFill>
            <w14:solidFill>
              <w14:schemeClr w14:val="tx1"/>
            </w14:solidFill>
          </w14:textFill>
        </w:rPr>
        <w:t>政府采购节能产品、环境标志产品</w:t>
      </w:r>
    </w:p>
    <w:p w14:paraId="2052DFA9">
      <w:pPr>
        <w:pageBreakBefore w:val="0"/>
        <w:widowControl w:val="0"/>
        <w:kinsoku/>
        <w:wordWrap/>
        <w:overflowPunct/>
        <w:topLinePunct w:val="0"/>
        <w:autoSpaceDE/>
        <w:autoSpaceDN/>
        <w:bidi w:val="0"/>
        <w:adjustRightInd/>
        <w:snapToGrid/>
        <w:spacing w:line="480" w:lineRule="exact"/>
        <w:ind w:firstLine="495"/>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w:t>
      </w:r>
      <w:r>
        <w:rPr>
          <w:rFonts w:hint="eastAsia" w:ascii="宋体" w:hAnsi="宋体" w:eastAsia="宋体" w:cs="宋体"/>
          <w:color w:val="000000" w:themeColor="text1"/>
          <w:spacing w:val="-2"/>
          <w:sz w:val="24"/>
          <w:szCs w:val="24"/>
          <w:lang w:val="en-US" w:eastAsia="zh-CN"/>
          <w14:textFill>
            <w14:solidFill>
              <w14:schemeClr w14:val="tx1"/>
            </w14:solidFill>
          </w14:textFill>
        </w:rPr>
        <w:t>3</w:t>
      </w:r>
      <w:r>
        <w:rPr>
          <w:rFonts w:ascii="宋体" w:hAnsi="宋体" w:eastAsia="宋体" w:cs="宋体"/>
          <w:color w:val="000000" w:themeColor="text1"/>
          <w:spacing w:val="-2"/>
          <w:sz w:val="24"/>
          <w:szCs w:val="24"/>
          <w14:textFill>
            <w14:solidFill>
              <w14:schemeClr w14:val="tx1"/>
            </w14:solidFill>
          </w14:textFill>
        </w:rPr>
        <w:t>.4.1</w:t>
      </w:r>
      <w:r>
        <w:rPr>
          <w:rFonts w:ascii="宋体" w:hAnsi="宋体" w:eastAsia="宋体" w:cs="宋体"/>
          <w:color w:val="000000" w:themeColor="text1"/>
          <w:spacing w:val="-4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严格执行政府采购关于支持节能产品、环境标志产品的相关政策规定。</w:t>
      </w:r>
      <w:r>
        <w:rPr>
          <w:rFonts w:ascii="宋体" w:hAnsi="宋体" w:eastAsia="宋体" w:cs="宋体"/>
          <w:color w:val="000000" w:themeColor="text1"/>
          <w:sz w:val="24"/>
          <w:szCs w:val="24"/>
          <w14:textFill>
            <w14:solidFill>
              <w14:schemeClr w14:val="tx1"/>
            </w14:solidFill>
          </w14:textFill>
        </w:rPr>
        <w:t xml:space="preserve"> 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w:t>
      </w:r>
      <w:r>
        <w:rPr>
          <w:rFonts w:ascii="宋体" w:hAnsi="宋体" w:eastAsia="宋体" w:cs="宋体"/>
          <w:color w:val="000000" w:themeColor="text1"/>
          <w:spacing w:val="-2"/>
          <w:sz w:val="24"/>
          <w:szCs w:val="24"/>
          <w14:textFill>
            <w14:solidFill>
              <w14:schemeClr w14:val="tx1"/>
            </w14:solidFill>
          </w14:textFill>
        </w:rPr>
        <w:t>交响应文件截止时已正式公布的最近一期信息为准，</w:t>
      </w:r>
      <w:r>
        <w:rPr>
          <w:rFonts w:ascii="宋体" w:hAnsi="宋体" w:eastAsia="宋体" w:cs="宋体"/>
          <w:b/>
          <w:bCs/>
          <w:i/>
          <w:iCs/>
          <w:color w:val="000000" w:themeColor="text1"/>
          <w:spacing w:val="-2"/>
          <w:sz w:val="25"/>
          <w:szCs w:val="25"/>
          <w14:textFill>
            <w14:solidFill>
              <w14:schemeClr w14:val="tx1"/>
            </w14:solidFill>
          </w14:textFill>
        </w:rPr>
        <w:t>如属政府强制</w:t>
      </w:r>
      <w:r>
        <w:rPr>
          <w:rFonts w:ascii="宋体" w:hAnsi="宋体" w:eastAsia="宋体" w:cs="宋体"/>
          <w:b/>
          <w:bCs/>
          <w:i/>
          <w:iCs/>
          <w:color w:val="000000" w:themeColor="text1"/>
          <w:spacing w:val="-3"/>
          <w:sz w:val="25"/>
          <w:szCs w:val="25"/>
          <w14:textFill>
            <w14:solidFill>
              <w14:schemeClr w14:val="tx1"/>
            </w14:solidFill>
          </w14:textFill>
        </w:rPr>
        <w:t>采购产品未提</w:t>
      </w:r>
      <w:r>
        <w:rPr>
          <w:rFonts w:ascii="宋体" w:hAnsi="宋体" w:eastAsia="宋体" w:cs="宋体"/>
          <w:b/>
          <w:bCs/>
          <w:i/>
          <w:iCs/>
          <w:color w:val="000000" w:themeColor="text1"/>
          <w:spacing w:val="-10"/>
          <w:sz w:val="25"/>
          <w:szCs w:val="25"/>
          <w14:textFill>
            <w14:solidFill>
              <w14:schemeClr w14:val="tx1"/>
            </w14:solidFill>
          </w14:textFill>
        </w:rPr>
        <w:t>供认证证书的或认证证书提供不全的将视为未实质性响应采购要求</w:t>
      </w:r>
      <w:r>
        <w:rPr>
          <w:rFonts w:ascii="宋体" w:hAnsi="宋体" w:eastAsia="宋体" w:cs="宋体"/>
          <w:color w:val="000000" w:themeColor="text1"/>
          <w:spacing w:val="-10"/>
          <w:sz w:val="24"/>
          <w:szCs w:val="24"/>
          <w14:textFill>
            <w14:solidFill>
              <w14:schemeClr w14:val="tx1"/>
            </w14:solidFill>
          </w14:textFill>
        </w:rPr>
        <w:t>。其他条件相</w:t>
      </w:r>
      <w:r>
        <w:rPr>
          <w:rFonts w:ascii="宋体" w:hAnsi="宋体" w:eastAsia="宋体" w:cs="宋体"/>
          <w:color w:val="000000" w:themeColor="text1"/>
          <w:sz w:val="24"/>
          <w:szCs w:val="24"/>
          <w14:textFill>
            <w14:solidFill>
              <w14:schemeClr w14:val="tx1"/>
            </w14:solidFill>
          </w14:textFill>
        </w:rPr>
        <w:t>同情况下，应当优先采购节能产品、环境标志产品。</w:t>
      </w:r>
    </w:p>
    <w:p w14:paraId="52E709A6">
      <w:pPr>
        <w:pStyle w:val="3"/>
        <w:pageBreakBefore w:val="0"/>
        <w:widowControl w:val="0"/>
        <w:kinsoku/>
        <w:wordWrap/>
        <w:overflowPunct/>
        <w:topLinePunct w:val="0"/>
        <w:autoSpaceDE/>
        <w:autoSpaceDN/>
        <w:bidi w:val="0"/>
        <w:adjustRightInd/>
        <w:snapToGrid/>
        <w:spacing w:line="480" w:lineRule="exact"/>
        <w:ind w:firstLine="476" w:firstLineChars="20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.4.2</w:t>
      </w:r>
      <w:r>
        <w:rPr>
          <w:rFonts w:ascii="宋体" w:hAnsi="宋体" w:eastAsia="宋体" w:cs="宋体"/>
          <w:color w:val="000000" w:themeColor="text1"/>
          <w:spacing w:val="-40"/>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节能、环保产品的品目清单按照《关于印发环境标志产品政府采购品</w:t>
      </w:r>
      <w:r>
        <w:rPr>
          <w:rFonts w:ascii="宋体" w:hAnsi="宋体" w:eastAsia="宋体" w:cs="宋体"/>
          <w:color w:val="000000" w:themeColor="text1"/>
          <w:spacing w:val="-2"/>
          <w:sz w:val="24"/>
          <w:szCs w:val="24"/>
          <w14:textFill>
            <w14:solidFill>
              <w14:schemeClr w14:val="tx1"/>
            </w14:solidFill>
          </w14:textFill>
        </w:rPr>
        <w:t>目清单的通知》（财库〔2019〕18</w:t>
      </w:r>
      <w:r>
        <w:rPr>
          <w:rFonts w:ascii="宋体" w:hAnsi="宋体" w:eastAsia="宋体" w:cs="宋体"/>
          <w:color w:val="000000" w:themeColor="text1"/>
          <w:spacing w:val="-4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号）、《关于印发节能产品政府采购品目清单</w:t>
      </w:r>
      <w:r>
        <w:rPr>
          <w:rFonts w:ascii="宋体" w:hAnsi="宋体" w:eastAsia="宋体" w:cs="宋体"/>
          <w:color w:val="000000" w:themeColor="text1"/>
          <w:spacing w:val="-1"/>
          <w:sz w:val="24"/>
          <w:szCs w:val="24"/>
          <w14:textFill>
            <w14:solidFill>
              <w14:schemeClr w14:val="tx1"/>
            </w14:solidFill>
          </w14:textFill>
        </w:rPr>
        <w:t>的通知》（财库〔2019〕19</w:t>
      </w:r>
      <w:r>
        <w:rPr>
          <w:rFonts w:ascii="宋体" w:hAnsi="宋体" w:eastAsia="宋体" w:cs="宋体"/>
          <w:color w:val="000000" w:themeColor="text1"/>
          <w:spacing w:val="-4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号）执行。国家对品目清单进行调</w:t>
      </w:r>
      <w:r>
        <w:rPr>
          <w:rFonts w:ascii="宋体" w:hAnsi="宋体" w:eastAsia="宋体" w:cs="宋体"/>
          <w:color w:val="000000" w:themeColor="text1"/>
          <w:spacing w:val="-2"/>
          <w:sz w:val="24"/>
          <w:szCs w:val="24"/>
          <w14:textFill>
            <w14:solidFill>
              <w14:schemeClr w14:val="tx1"/>
            </w14:solidFill>
          </w14:textFill>
        </w:rPr>
        <w:t>整的，按照最新调整的品目清单执行。</w:t>
      </w:r>
    </w:p>
    <w:p w14:paraId="12A2DEA6">
      <w:pPr>
        <w:pageBreakBefore w:val="0"/>
        <w:widowControl w:val="0"/>
        <w:kinsoku/>
        <w:wordWrap/>
        <w:overflowPunct/>
        <w:topLinePunct w:val="0"/>
        <w:autoSpaceDE/>
        <w:autoSpaceDN/>
        <w:bidi w:val="0"/>
        <w:adjustRightInd/>
        <w:snapToGrid/>
        <w:spacing w:line="480" w:lineRule="exact"/>
        <w:ind w:left="493"/>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3</w:t>
      </w:r>
      <w:r>
        <w:rPr>
          <w:rFonts w:hint="eastAsia" w:ascii="宋体" w:hAnsi="宋体" w:eastAsia="宋体" w:cs="宋体"/>
          <w:b/>
          <w:bCs/>
          <w:color w:val="000000" w:themeColor="text1"/>
          <w:spacing w:val="-5"/>
          <w:sz w:val="24"/>
          <w:szCs w:val="24"/>
          <w:lang w:val="en-US" w:eastAsia="zh-CN"/>
          <w14:textFill>
            <w14:solidFill>
              <w14:schemeClr w14:val="tx1"/>
            </w14:solidFill>
          </w14:textFill>
        </w:rPr>
        <w:t>3</w:t>
      </w:r>
      <w:r>
        <w:rPr>
          <w:rFonts w:ascii="宋体" w:hAnsi="宋体" w:eastAsia="宋体" w:cs="宋体"/>
          <w:b/>
          <w:bCs/>
          <w:color w:val="000000" w:themeColor="text1"/>
          <w:spacing w:val="-5"/>
          <w:sz w:val="24"/>
          <w:szCs w:val="24"/>
          <w14:textFill>
            <w14:solidFill>
              <w14:schemeClr w14:val="tx1"/>
            </w14:solidFill>
          </w14:textFill>
        </w:rPr>
        <w:t>.5</w:t>
      </w:r>
      <w:r>
        <w:rPr>
          <w:rFonts w:ascii="宋体" w:hAnsi="宋体" w:eastAsia="宋体" w:cs="宋体"/>
          <w:color w:val="000000" w:themeColor="text1"/>
          <w:spacing w:val="-49"/>
          <w:sz w:val="24"/>
          <w:szCs w:val="24"/>
          <w14:textFill>
            <w14:solidFill>
              <w14:schemeClr w14:val="tx1"/>
            </w14:solidFill>
          </w14:textFill>
        </w:rPr>
        <w:t xml:space="preserve"> </w:t>
      </w:r>
      <w:r>
        <w:rPr>
          <w:rFonts w:ascii="宋体" w:hAnsi="宋体" w:eastAsia="宋体" w:cs="宋体"/>
          <w:b/>
          <w:bCs/>
          <w:color w:val="000000" w:themeColor="text1"/>
          <w:spacing w:val="-5"/>
          <w:sz w:val="24"/>
          <w:szCs w:val="24"/>
          <w14:textFill>
            <w14:solidFill>
              <w14:schemeClr w14:val="tx1"/>
            </w14:solidFill>
          </w14:textFill>
        </w:rPr>
        <w:t>绿色包装</w:t>
      </w:r>
    </w:p>
    <w:p w14:paraId="390BE055">
      <w:pPr>
        <w:pStyle w:val="3"/>
        <w:pageBreakBefore w:val="0"/>
        <w:widowControl w:val="0"/>
        <w:kinsoku/>
        <w:wordWrap/>
        <w:overflowPunct/>
        <w:topLinePunct w:val="0"/>
        <w:autoSpaceDE/>
        <w:autoSpaceDN/>
        <w:bidi w:val="0"/>
        <w:adjustRightInd/>
        <w:snapToGrid/>
        <w:spacing w:line="480" w:lineRule="exact"/>
        <w:ind w:left="8" w:right="402" w:firstLine="480"/>
        <w:jc w:val="both"/>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本项目中涉及商品的包装应按照</w:t>
      </w:r>
      <w:r>
        <w:rPr>
          <w:color w:val="000000" w:themeColor="text1"/>
          <w:spacing w:val="-1"/>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财办库〔2020〕123</w:t>
      </w:r>
      <w:r>
        <w:rPr>
          <w:rFonts w:ascii="宋体" w:hAnsi="宋体" w:eastAsia="宋体" w:cs="宋体"/>
          <w:color w:val="000000" w:themeColor="text1"/>
          <w:spacing w:val="-36"/>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号《关于印发《商品包</w:t>
      </w:r>
      <w:r>
        <w:rPr>
          <w:rFonts w:ascii="宋体" w:hAnsi="宋体" w:eastAsia="宋体" w:cs="宋体"/>
          <w:color w:val="000000" w:themeColor="text1"/>
          <w:sz w:val="24"/>
          <w:szCs w:val="24"/>
          <w14:textFill>
            <w14:solidFill>
              <w14:schemeClr w14:val="tx1"/>
            </w14:solidFill>
          </w14:textFill>
        </w:rPr>
        <w:t>装政府采购需求标准（试行）》、《快递包装政府采购</w:t>
      </w:r>
      <w:r>
        <w:rPr>
          <w:rFonts w:ascii="宋体" w:hAnsi="宋体" w:eastAsia="宋体" w:cs="宋体"/>
          <w:color w:val="000000" w:themeColor="text1"/>
          <w:spacing w:val="-1"/>
          <w:sz w:val="24"/>
          <w:szCs w:val="24"/>
          <w14:textFill>
            <w14:solidFill>
              <w14:schemeClr w14:val="tx1"/>
            </w14:solidFill>
          </w14:textFill>
        </w:rPr>
        <w:t>需求标准（试行）》的通</w:t>
      </w:r>
      <w:r>
        <w:rPr>
          <w:rFonts w:ascii="宋体" w:hAnsi="宋体" w:eastAsia="宋体" w:cs="宋体"/>
          <w:color w:val="000000" w:themeColor="text1"/>
          <w:sz w:val="24"/>
          <w:szCs w:val="24"/>
          <w14:textFill>
            <w14:solidFill>
              <w14:schemeClr w14:val="tx1"/>
            </w14:solidFill>
          </w14:textFill>
        </w:rPr>
        <w:t>知》</w:t>
      </w:r>
      <w:r>
        <w:rPr>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执行,在供货、安装过程中能做到低碳物流、环</w:t>
      </w:r>
      <w:r>
        <w:rPr>
          <w:rFonts w:ascii="宋体" w:hAnsi="宋体" w:eastAsia="宋体" w:cs="宋体"/>
          <w:color w:val="000000" w:themeColor="text1"/>
          <w:spacing w:val="-1"/>
          <w:sz w:val="24"/>
          <w:szCs w:val="24"/>
          <w14:textFill>
            <w14:solidFill>
              <w14:schemeClr w14:val="tx1"/>
            </w14:solidFill>
          </w14:textFill>
        </w:rPr>
        <w:t>保节约、提高资源利用率。</w:t>
      </w:r>
    </w:p>
    <w:p w14:paraId="6538344F">
      <w:pPr>
        <w:pageBreakBefore w:val="0"/>
        <w:widowControl w:val="0"/>
        <w:kinsoku/>
        <w:wordWrap/>
        <w:overflowPunct/>
        <w:topLinePunct w:val="0"/>
        <w:autoSpaceDE/>
        <w:autoSpaceDN/>
        <w:bidi w:val="0"/>
        <w:adjustRightInd/>
        <w:snapToGrid/>
        <w:spacing w:line="480" w:lineRule="exact"/>
        <w:ind w:left="493"/>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3</w:t>
      </w:r>
      <w:r>
        <w:rPr>
          <w:rFonts w:hint="eastAsia" w:ascii="宋体" w:hAnsi="宋体" w:eastAsia="宋体" w:cs="宋体"/>
          <w:b/>
          <w:bCs/>
          <w:color w:val="000000" w:themeColor="text1"/>
          <w:spacing w:val="-4"/>
          <w:sz w:val="24"/>
          <w:szCs w:val="24"/>
          <w:lang w:val="en-US" w:eastAsia="zh-CN"/>
          <w14:textFill>
            <w14:solidFill>
              <w14:schemeClr w14:val="tx1"/>
            </w14:solidFill>
          </w14:textFill>
        </w:rPr>
        <w:t>3</w:t>
      </w:r>
      <w:r>
        <w:rPr>
          <w:rFonts w:ascii="宋体" w:hAnsi="宋体" w:eastAsia="宋体" w:cs="宋体"/>
          <w:b/>
          <w:bCs/>
          <w:color w:val="000000" w:themeColor="text1"/>
          <w:spacing w:val="-4"/>
          <w:sz w:val="24"/>
          <w:szCs w:val="24"/>
          <w14:textFill>
            <w14:solidFill>
              <w14:schemeClr w14:val="tx1"/>
            </w14:solidFill>
          </w14:textFill>
        </w:rPr>
        <w:t>.6</w:t>
      </w:r>
      <w:r>
        <w:rPr>
          <w:rFonts w:ascii="宋体" w:hAnsi="宋体" w:eastAsia="宋体" w:cs="宋体"/>
          <w:color w:val="000000" w:themeColor="text1"/>
          <w:spacing w:val="-46"/>
          <w:sz w:val="24"/>
          <w:szCs w:val="24"/>
          <w14:textFill>
            <w14:solidFill>
              <w14:schemeClr w14:val="tx1"/>
            </w14:solidFill>
          </w14:textFill>
        </w:rPr>
        <w:t xml:space="preserve"> </w:t>
      </w:r>
      <w:r>
        <w:rPr>
          <w:rFonts w:ascii="宋体" w:hAnsi="宋体" w:eastAsia="宋体" w:cs="宋体"/>
          <w:b/>
          <w:bCs/>
          <w:color w:val="000000" w:themeColor="text1"/>
          <w:spacing w:val="-4"/>
          <w:sz w:val="24"/>
          <w:szCs w:val="24"/>
          <w14:textFill>
            <w14:solidFill>
              <w14:schemeClr w14:val="tx1"/>
            </w14:solidFill>
          </w14:textFill>
        </w:rPr>
        <w:t>政府采购创新产品</w:t>
      </w:r>
    </w:p>
    <w:p w14:paraId="432A248B">
      <w:pPr>
        <w:pageBreakBefore w:val="0"/>
        <w:widowControl w:val="0"/>
        <w:kinsoku/>
        <w:wordWrap/>
        <w:overflowPunct/>
        <w:topLinePunct w:val="0"/>
        <w:autoSpaceDE/>
        <w:autoSpaceDN/>
        <w:bidi w:val="0"/>
        <w:adjustRightInd/>
        <w:snapToGrid/>
        <w:spacing w:line="480" w:lineRule="exact"/>
        <w:ind w:left="27" w:right="181" w:firstLine="46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采购人优先采购各级政府部门公开发布的有效期内的创</w:t>
      </w:r>
      <w:r>
        <w:rPr>
          <w:rFonts w:ascii="宋体" w:hAnsi="宋体" w:eastAsia="宋体" w:cs="宋体"/>
          <w:color w:val="000000" w:themeColor="text1"/>
          <w:spacing w:val="-1"/>
          <w:sz w:val="24"/>
          <w:szCs w:val="24"/>
          <w14:textFill>
            <w14:solidFill>
              <w14:schemeClr w14:val="tx1"/>
            </w14:solidFill>
          </w14:textFill>
        </w:rPr>
        <w:t>新产品、创新服务、首</w:t>
      </w:r>
      <w:r>
        <w:rPr>
          <w:rFonts w:ascii="宋体" w:hAnsi="宋体" w:eastAsia="宋体" w:cs="宋体"/>
          <w:color w:val="000000" w:themeColor="text1"/>
          <w:spacing w:val="-2"/>
          <w:sz w:val="24"/>
          <w:szCs w:val="24"/>
          <w14:textFill>
            <w14:solidFill>
              <w14:schemeClr w14:val="tx1"/>
            </w14:solidFill>
          </w14:textFill>
        </w:rPr>
        <w:t>台套、首购首用等《目录》的创新产品。</w:t>
      </w:r>
    </w:p>
    <w:p w14:paraId="757F189A">
      <w:pPr>
        <w:pageBreakBefore w:val="0"/>
        <w:widowControl w:val="0"/>
        <w:kinsoku/>
        <w:wordWrap/>
        <w:overflowPunct/>
        <w:topLinePunct w:val="0"/>
        <w:autoSpaceDE/>
        <w:autoSpaceDN/>
        <w:bidi w:val="0"/>
        <w:adjustRightInd/>
        <w:snapToGrid/>
        <w:spacing w:line="480" w:lineRule="exact"/>
        <w:ind w:left="493"/>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3</w:t>
      </w:r>
      <w:r>
        <w:rPr>
          <w:rFonts w:hint="eastAsia" w:ascii="宋体" w:hAnsi="宋体" w:eastAsia="宋体" w:cs="宋体"/>
          <w:b/>
          <w:bCs/>
          <w:color w:val="000000" w:themeColor="text1"/>
          <w:spacing w:val="-4"/>
          <w:sz w:val="24"/>
          <w:szCs w:val="24"/>
          <w:lang w:val="en-US" w:eastAsia="zh-CN"/>
          <w14:textFill>
            <w14:solidFill>
              <w14:schemeClr w14:val="tx1"/>
            </w14:solidFill>
          </w14:textFill>
        </w:rPr>
        <w:t>3</w:t>
      </w:r>
      <w:r>
        <w:rPr>
          <w:rFonts w:ascii="宋体" w:hAnsi="宋体" w:eastAsia="宋体" w:cs="宋体"/>
          <w:b/>
          <w:bCs/>
          <w:color w:val="000000" w:themeColor="text1"/>
          <w:spacing w:val="-4"/>
          <w:sz w:val="24"/>
          <w:szCs w:val="24"/>
          <w14:textFill>
            <w14:solidFill>
              <w14:schemeClr w14:val="tx1"/>
            </w14:solidFill>
          </w14:textFill>
        </w:rPr>
        <w:t>.7</w:t>
      </w:r>
      <w:r>
        <w:rPr>
          <w:rFonts w:ascii="宋体" w:hAnsi="宋体" w:eastAsia="宋体" w:cs="宋体"/>
          <w:color w:val="000000" w:themeColor="text1"/>
          <w:spacing w:val="-46"/>
          <w:sz w:val="24"/>
          <w:szCs w:val="24"/>
          <w14:textFill>
            <w14:solidFill>
              <w14:schemeClr w14:val="tx1"/>
            </w14:solidFill>
          </w14:textFill>
        </w:rPr>
        <w:t xml:space="preserve"> </w:t>
      </w:r>
      <w:r>
        <w:rPr>
          <w:rFonts w:ascii="宋体" w:hAnsi="宋体" w:eastAsia="宋体" w:cs="宋体"/>
          <w:b/>
          <w:bCs/>
          <w:color w:val="000000" w:themeColor="text1"/>
          <w:spacing w:val="-4"/>
          <w:sz w:val="24"/>
          <w:szCs w:val="24"/>
          <w14:textFill>
            <w14:solidFill>
              <w14:schemeClr w14:val="tx1"/>
            </w14:solidFill>
          </w14:textFill>
        </w:rPr>
        <w:t>绿色数据中心政策</w:t>
      </w:r>
    </w:p>
    <w:p w14:paraId="7005980C">
      <w:pPr>
        <w:pageBreakBefore w:val="0"/>
        <w:widowControl w:val="0"/>
        <w:kinsoku/>
        <w:wordWrap/>
        <w:overflowPunct/>
        <w:topLinePunct w:val="0"/>
        <w:autoSpaceDE/>
        <w:autoSpaceDN/>
        <w:bidi w:val="0"/>
        <w:adjustRightInd/>
        <w:snapToGrid/>
        <w:spacing w:line="480" w:lineRule="exact"/>
        <w:ind w:left="8" w:firstLine="48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本文件中若涉及到数据中心采购，采购人应依据《</w:t>
      </w:r>
      <w:r>
        <w:rPr>
          <w:rFonts w:ascii="宋体" w:hAnsi="宋体" w:eastAsia="宋体" w:cs="宋体"/>
          <w:color w:val="000000" w:themeColor="text1"/>
          <w:spacing w:val="-1"/>
          <w:sz w:val="24"/>
          <w:szCs w:val="24"/>
          <w14:textFill>
            <w14:solidFill>
              <w14:schemeClr w14:val="tx1"/>
            </w14:solidFill>
          </w14:textFill>
        </w:rPr>
        <w:t>绿色数据中心政府采购需求标准（试行）》（财办库〔2023〕7</w:t>
      </w:r>
      <w:r>
        <w:rPr>
          <w:rFonts w:ascii="宋体" w:hAnsi="宋体" w:eastAsia="宋体" w:cs="宋体"/>
          <w:color w:val="000000" w:themeColor="text1"/>
          <w:spacing w:val="-33"/>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号）文件精神，在采购数据中心相关设备、运</w:t>
      </w:r>
      <w:r>
        <w:rPr>
          <w:rFonts w:ascii="宋体" w:hAnsi="宋体" w:eastAsia="宋体" w:cs="宋体"/>
          <w:color w:val="000000" w:themeColor="text1"/>
          <w:sz w:val="24"/>
          <w:szCs w:val="24"/>
          <w14:textFill>
            <w14:solidFill>
              <w14:schemeClr w14:val="tx1"/>
            </w14:solidFill>
          </w14:textFill>
        </w:rPr>
        <w:t>维服务，应当有利于节约能源、环境保护和资源循环利用</w:t>
      </w:r>
      <w:r>
        <w:rPr>
          <w:rFonts w:ascii="宋体" w:hAnsi="宋体" w:eastAsia="宋体" w:cs="宋体"/>
          <w:color w:val="000000" w:themeColor="text1"/>
          <w:spacing w:val="-1"/>
          <w:sz w:val="24"/>
          <w:szCs w:val="24"/>
          <w14:textFill>
            <w14:solidFill>
              <w14:schemeClr w14:val="tx1"/>
            </w14:solidFill>
          </w14:textFill>
        </w:rPr>
        <w:t>，按照《需求标准》实施</w:t>
      </w:r>
      <w:r>
        <w:rPr>
          <w:rFonts w:ascii="宋体" w:hAnsi="宋体" w:eastAsia="宋体" w:cs="宋体"/>
          <w:color w:val="000000" w:themeColor="text1"/>
          <w:sz w:val="24"/>
          <w:szCs w:val="24"/>
          <w14:textFill>
            <w14:solidFill>
              <w14:schemeClr w14:val="tx1"/>
            </w14:solidFill>
          </w14:textFill>
        </w:rPr>
        <w:t>相关采购活动。采购人应当加强采购需求管理，根据《需</w:t>
      </w:r>
      <w:r>
        <w:rPr>
          <w:rFonts w:ascii="宋体" w:hAnsi="宋体" w:eastAsia="宋体" w:cs="宋体"/>
          <w:color w:val="000000" w:themeColor="text1"/>
          <w:spacing w:val="-1"/>
          <w:sz w:val="24"/>
          <w:szCs w:val="24"/>
          <w14:textFill>
            <w14:solidFill>
              <w14:schemeClr w14:val="tx1"/>
            </w14:solidFill>
          </w14:textFill>
        </w:rPr>
        <w:t>求标准》提出的指标编制</w:t>
      </w:r>
      <w:r>
        <w:rPr>
          <w:rFonts w:ascii="宋体" w:hAnsi="宋体" w:eastAsia="宋体" w:cs="宋体"/>
          <w:color w:val="000000" w:themeColor="text1"/>
          <w:sz w:val="24"/>
          <w:szCs w:val="24"/>
          <w14:textFill>
            <w14:solidFill>
              <w14:schemeClr w14:val="tx1"/>
            </w14:solidFill>
          </w14:textFill>
        </w:rPr>
        <w:t>数据中心相关设备、运维服务政府采购项目的采购文件，</w:t>
      </w:r>
      <w:r>
        <w:rPr>
          <w:rFonts w:ascii="宋体" w:hAnsi="宋体" w:eastAsia="宋体" w:cs="宋体"/>
          <w:color w:val="000000" w:themeColor="text1"/>
          <w:spacing w:val="-1"/>
          <w:sz w:val="24"/>
          <w:szCs w:val="24"/>
          <w14:textFill>
            <w14:solidFill>
              <w14:schemeClr w14:val="tx1"/>
            </w14:solidFill>
          </w14:textFill>
        </w:rPr>
        <w:t>并在合同中明确对相关指</w:t>
      </w:r>
      <w:r>
        <w:rPr>
          <w:rFonts w:ascii="宋体" w:hAnsi="宋体" w:eastAsia="宋体" w:cs="宋体"/>
          <w:color w:val="000000" w:themeColor="text1"/>
          <w:sz w:val="24"/>
          <w:szCs w:val="24"/>
          <w14:textFill>
            <w14:solidFill>
              <w14:schemeClr w14:val="tx1"/>
            </w14:solidFill>
          </w14:textFill>
        </w:rPr>
        <w:t>标的验收方式和违约责任。采购人应当在履约验收中对供</w:t>
      </w:r>
      <w:r>
        <w:rPr>
          <w:rFonts w:ascii="宋体" w:hAnsi="宋体" w:eastAsia="宋体" w:cs="宋体"/>
          <w:color w:val="000000" w:themeColor="text1"/>
          <w:spacing w:val="-1"/>
          <w:sz w:val="24"/>
          <w:szCs w:val="24"/>
          <w14:textFill>
            <w14:solidFill>
              <w14:schemeClr w14:val="tx1"/>
            </w14:solidFill>
          </w14:textFill>
        </w:rPr>
        <w:t>应商提供的产品或服务进</w:t>
      </w:r>
      <w:r>
        <w:rPr>
          <w:rFonts w:ascii="宋体" w:hAnsi="宋体" w:eastAsia="宋体" w:cs="宋体"/>
          <w:color w:val="000000" w:themeColor="text1"/>
          <w:sz w:val="24"/>
          <w:szCs w:val="24"/>
          <w14:textFill>
            <w14:solidFill>
              <w14:schemeClr w14:val="tx1"/>
            </w14:solidFill>
          </w14:textFill>
        </w:rPr>
        <w:t>行抽查检测，必要时可委托取得相关资质的第三方机构对</w:t>
      </w:r>
      <w:r>
        <w:rPr>
          <w:rFonts w:ascii="宋体" w:hAnsi="宋体" w:eastAsia="宋体" w:cs="宋体"/>
          <w:color w:val="000000" w:themeColor="text1"/>
          <w:spacing w:val="-1"/>
          <w:sz w:val="24"/>
          <w:szCs w:val="24"/>
          <w14:textFill>
            <w14:solidFill>
              <w14:schemeClr w14:val="tx1"/>
            </w14:solidFill>
          </w14:textFill>
        </w:rPr>
        <w:t>其进行检测、认证。因检</w:t>
      </w:r>
      <w:r>
        <w:rPr>
          <w:rFonts w:ascii="宋体" w:hAnsi="宋体" w:eastAsia="宋体" w:cs="宋体"/>
          <w:color w:val="000000" w:themeColor="text1"/>
          <w:spacing w:val="-2"/>
          <w:sz w:val="24"/>
          <w:szCs w:val="24"/>
          <w14:textFill>
            <w14:solidFill>
              <w14:schemeClr w14:val="tx1"/>
            </w14:solidFill>
          </w14:textFill>
        </w:rPr>
        <w:t>测、认证涉及生产过程或检测时间长等原因，不能在验收过程中开展检测、认证的，</w:t>
      </w:r>
      <w:r>
        <w:rPr>
          <w:rFonts w:ascii="宋体" w:hAnsi="宋体" w:eastAsia="宋体" w:cs="宋体"/>
          <w:color w:val="000000" w:themeColor="text1"/>
          <w:spacing w:val="-1"/>
          <w:sz w:val="24"/>
          <w:szCs w:val="24"/>
          <w14:textFill>
            <w14:solidFill>
              <w14:schemeClr w14:val="tx1"/>
            </w14:solidFill>
          </w14:textFill>
        </w:rPr>
        <w:t>可要求供应商在验收阶段提供相关检测报告、认证报告。</w:t>
      </w:r>
    </w:p>
    <w:p w14:paraId="200600D2">
      <w:pPr>
        <w:pageBreakBefore w:val="0"/>
        <w:widowControl w:val="0"/>
        <w:kinsoku/>
        <w:wordWrap/>
        <w:overflowPunct/>
        <w:topLinePunct w:val="0"/>
        <w:autoSpaceDE/>
        <w:autoSpaceDN/>
        <w:bidi w:val="0"/>
        <w:adjustRightInd/>
        <w:snapToGrid/>
        <w:spacing w:line="480" w:lineRule="exact"/>
        <w:ind w:left="493"/>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3</w:t>
      </w:r>
      <w:r>
        <w:rPr>
          <w:rFonts w:hint="eastAsia" w:ascii="宋体" w:hAnsi="宋体" w:eastAsia="宋体" w:cs="宋体"/>
          <w:b/>
          <w:bCs/>
          <w:color w:val="000000" w:themeColor="text1"/>
          <w:spacing w:val="-5"/>
          <w:sz w:val="24"/>
          <w:szCs w:val="24"/>
          <w:lang w:val="en-US" w:eastAsia="zh-CN"/>
          <w14:textFill>
            <w14:solidFill>
              <w14:schemeClr w14:val="tx1"/>
            </w14:solidFill>
          </w14:textFill>
        </w:rPr>
        <w:t>3</w:t>
      </w:r>
      <w:r>
        <w:rPr>
          <w:rFonts w:ascii="宋体" w:hAnsi="宋体" w:eastAsia="宋体" w:cs="宋体"/>
          <w:b/>
          <w:bCs/>
          <w:color w:val="000000" w:themeColor="text1"/>
          <w:spacing w:val="-5"/>
          <w:sz w:val="24"/>
          <w:szCs w:val="24"/>
          <w14:textFill>
            <w14:solidFill>
              <w14:schemeClr w14:val="tx1"/>
            </w14:solidFill>
          </w14:textFill>
        </w:rPr>
        <w:t>.8</w:t>
      </w:r>
      <w:r>
        <w:rPr>
          <w:rFonts w:ascii="宋体" w:hAnsi="宋体" w:eastAsia="宋体" w:cs="宋体"/>
          <w:color w:val="000000" w:themeColor="text1"/>
          <w:spacing w:val="-39"/>
          <w:sz w:val="24"/>
          <w:szCs w:val="24"/>
          <w14:textFill>
            <w14:solidFill>
              <w14:schemeClr w14:val="tx1"/>
            </w14:solidFill>
          </w14:textFill>
        </w:rPr>
        <w:t xml:space="preserve"> </w:t>
      </w:r>
      <w:r>
        <w:rPr>
          <w:rFonts w:ascii="宋体" w:hAnsi="宋体" w:eastAsia="宋体" w:cs="宋体"/>
          <w:b/>
          <w:bCs/>
          <w:color w:val="000000" w:themeColor="text1"/>
          <w:spacing w:val="-5"/>
          <w:sz w:val="24"/>
          <w:szCs w:val="24"/>
          <w14:textFill>
            <w14:solidFill>
              <w14:schemeClr w14:val="tx1"/>
            </w14:solidFill>
          </w14:textFill>
        </w:rPr>
        <w:t>履约保证金政策</w:t>
      </w:r>
    </w:p>
    <w:p w14:paraId="693B42F4">
      <w:pPr>
        <w:pageBreakBefore w:val="0"/>
        <w:widowControl w:val="0"/>
        <w:kinsoku/>
        <w:wordWrap/>
        <w:overflowPunct/>
        <w:topLinePunct w:val="0"/>
        <w:autoSpaceDE/>
        <w:autoSpaceDN/>
        <w:bidi w:val="0"/>
        <w:adjustRightInd/>
        <w:snapToGrid/>
        <w:spacing w:line="480" w:lineRule="exact"/>
        <w:ind w:left="488"/>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确需收取履约保证金的，履约保证金的缴纳形式：</w:t>
      </w:r>
    </w:p>
    <w:p w14:paraId="45ED7550">
      <w:pPr>
        <w:pageBreakBefore w:val="0"/>
        <w:widowControl w:val="0"/>
        <w:kinsoku/>
        <w:wordWrap/>
        <w:overflowPunct/>
        <w:topLinePunct w:val="0"/>
        <w:autoSpaceDE/>
        <w:autoSpaceDN/>
        <w:bidi w:val="0"/>
        <w:adjustRightInd/>
        <w:snapToGrid/>
        <w:spacing w:line="480" w:lineRule="exact"/>
        <w:ind w:left="11" w:right="181" w:firstLine="477"/>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供应商应当以支票、汇票、本票或者金融机构、担保</w:t>
      </w:r>
      <w:r>
        <w:rPr>
          <w:rFonts w:ascii="宋体" w:hAnsi="宋体" w:eastAsia="宋体" w:cs="宋体"/>
          <w:color w:val="000000" w:themeColor="text1"/>
          <w:spacing w:val="-1"/>
          <w:sz w:val="24"/>
          <w:szCs w:val="24"/>
          <w14:textFill>
            <w14:solidFill>
              <w14:schemeClr w14:val="tx1"/>
            </w14:solidFill>
          </w14:textFill>
        </w:rPr>
        <w:t>机构出具的保函等非现金形式提交履约保证金。依据《关于在全省政府采购领域推行电子履约保函（保险）</w:t>
      </w:r>
      <w:r>
        <w:rPr>
          <w:rFonts w:ascii="宋体" w:hAnsi="宋体" w:eastAsia="宋体" w:cs="宋体"/>
          <w:color w:val="000000" w:themeColor="text1"/>
          <w:sz w:val="24"/>
          <w:szCs w:val="24"/>
          <w14:textFill>
            <w14:solidFill>
              <w14:schemeClr w14:val="tx1"/>
            </w14:solidFill>
          </w14:textFill>
        </w:rPr>
        <w:t>的通知》，鼓励供应商自愿使用电子履约保函</w:t>
      </w:r>
      <w:r>
        <w:rPr>
          <w:rFonts w:ascii="宋体" w:hAnsi="宋体" w:eastAsia="宋体" w:cs="宋体"/>
          <w:color w:val="000000" w:themeColor="text1"/>
          <w:spacing w:val="-1"/>
          <w:sz w:val="24"/>
          <w:szCs w:val="24"/>
          <w14:textFill>
            <w14:solidFill>
              <w14:schemeClr w14:val="tx1"/>
            </w14:solidFill>
          </w14:textFill>
        </w:rPr>
        <w:t>（保险）代替缴纳履约保证金。</w:t>
      </w:r>
    </w:p>
    <w:p w14:paraId="73A0F84D">
      <w:pPr>
        <w:pageBreakBefore w:val="0"/>
        <w:widowControl w:val="0"/>
        <w:kinsoku/>
        <w:wordWrap/>
        <w:overflowPunct/>
        <w:topLinePunct w:val="0"/>
        <w:autoSpaceDE/>
        <w:autoSpaceDN/>
        <w:bidi w:val="0"/>
        <w:adjustRightInd/>
        <w:snapToGrid/>
        <w:spacing w:line="480" w:lineRule="exact"/>
        <w:ind w:right="301" w:firstLine="476" w:firstLineChars="200"/>
        <w:textAlignment w:val="auto"/>
        <w:rPr>
          <w:color w:val="000000" w:themeColor="text1"/>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如以履约保函（保险）形式缴纳履约保证金，供应商可通过政府采购电子履</w:t>
      </w:r>
      <w:r>
        <w:rPr>
          <w:rFonts w:ascii="宋体" w:hAnsi="宋体" w:eastAsia="宋体" w:cs="宋体"/>
          <w:color w:val="000000" w:themeColor="text1"/>
          <w:sz w:val="24"/>
          <w:szCs w:val="24"/>
          <w14:textFill>
            <w14:solidFill>
              <w14:schemeClr w14:val="tx1"/>
            </w14:solidFill>
          </w14:textFill>
        </w:rPr>
        <w:t>约保函（保险）平台（www.jsdzbh.</w:t>
      </w:r>
      <w:r>
        <w:rPr>
          <w:rFonts w:ascii="宋体" w:hAnsi="宋体" w:eastAsia="宋体" w:cs="宋体"/>
          <w:color w:val="000000" w:themeColor="text1"/>
          <w:spacing w:val="-1"/>
          <w:sz w:val="24"/>
          <w:szCs w:val="24"/>
          <w14:textFill>
            <w14:solidFill>
              <w14:schemeClr w14:val="tx1"/>
            </w14:solidFill>
          </w14:textFill>
        </w:rPr>
        <w:t>com）在线申请履约保函（保险）。</w:t>
      </w:r>
    </w:p>
    <w:p w14:paraId="07D60970">
      <w:pPr>
        <w:pStyle w:val="3"/>
        <w:pageBreakBefore w:val="0"/>
        <w:widowControl w:val="0"/>
        <w:kinsoku/>
        <w:wordWrap/>
        <w:overflowPunct/>
        <w:topLinePunct w:val="0"/>
        <w:autoSpaceDE/>
        <w:autoSpaceDN/>
        <w:bidi w:val="0"/>
        <w:adjustRightInd/>
        <w:snapToGrid/>
        <w:spacing w:line="480" w:lineRule="exact"/>
        <w:ind w:left="9" w:right="1" w:firstLine="482"/>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履约保证金金额不得超过合同金额的</w:t>
      </w:r>
      <w:r>
        <w:rPr>
          <w:rFonts w:ascii="宋体" w:hAnsi="宋体" w:eastAsia="宋体" w:cs="宋体"/>
          <w:color w:val="000000" w:themeColor="text1"/>
          <w:spacing w:val="-33"/>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10%，采购人对第三方信</w:t>
      </w:r>
      <w:r>
        <w:rPr>
          <w:rFonts w:ascii="宋体" w:hAnsi="宋体" w:eastAsia="宋体" w:cs="宋体"/>
          <w:color w:val="000000" w:themeColor="text1"/>
          <w:spacing w:val="-2"/>
          <w:sz w:val="24"/>
          <w:szCs w:val="24"/>
          <w14:textFill>
            <w14:solidFill>
              <w14:schemeClr w14:val="tx1"/>
            </w14:solidFill>
          </w14:textFill>
        </w:rPr>
        <w:t>用服务机构依据</w:t>
      </w:r>
      <w:r>
        <w:rPr>
          <w:rFonts w:ascii="宋体" w:hAnsi="宋体" w:eastAsia="宋体" w:cs="宋体"/>
          <w:color w:val="000000" w:themeColor="text1"/>
          <w:sz w:val="24"/>
          <w:szCs w:val="24"/>
          <w14:textFill>
            <w14:solidFill>
              <w14:schemeClr w14:val="tx1"/>
            </w14:solidFill>
          </w14:textFill>
        </w:rPr>
        <w:t>标准规范评定为 AA 级及以上的政府采购供应商（需在</w:t>
      </w:r>
      <w:r>
        <w:rPr>
          <w:rFonts w:ascii="宋体" w:hAnsi="宋体" w:eastAsia="宋体" w:cs="宋体"/>
          <w:color w:val="000000" w:themeColor="text1"/>
          <w:spacing w:val="-1"/>
          <w:sz w:val="24"/>
          <w:szCs w:val="24"/>
          <w14:textFill>
            <w14:solidFill>
              <w14:schemeClr w14:val="tx1"/>
            </w14:solidFill>
          </w14:textFill>
        </w:rPr>
        <w:t>签订采购合同前提供信用管理部门备案的第三方信用报告，且信用报告通过</w:t>
      </w:r>
      <w:r>
        <w:rPr>
          <w:color w:val="000000" w:themeColor="text1"/>
          <w:spacing w:val="-1"/>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信用盐城网</w:t>
      </w:r>
      <w:r>
        <w:rPr>
          <w:color w:val="000000" w:themeColor="text1"/>
          <w:spacing w:val="-1"/>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可查实</w:t>
      </w:r>
      <w:r>
        <w:rPr>
          <w:rFonts w:ascii="宋体" w:hAnsi="宋体" w:eastAsia="宋体" w:cs="宋体"/>
          <w:color w:val="000000" w:themeColor="text1"/>
          <w:spacing w:val="12"/>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免收履约保证金或降低履约保证金缴纳比例。</w:t>
      </w:r>
    </w:p>
    <w:p w14:paraId="06832ABA">
      <w:pPr>
        <w:pageBreakBefore w:val="0"/>
        <w:widowControl w:val="0"/>
        <w:kinsoku/>
        <w:wordWrap/>
        <w:overflowPunct/>
        <w:topLinePunct w:val="0"/>
        <w:autoSpaceDE/>
        <w:autoSpaceDN/>
        <w:bidi w:val="0"/>
        <w:adjustRightInd/>
        <w:snapToGrid/>
        <w:spacing w:line="480" w:lineRule="exact"/>
        <w:ind w:left="493"/>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3</w:t>
      </w:r>
      <w:r>
        <w:rPr>
          <w:rFonts w:hint="eastAsia" w:ascii="宋体" w:hAnsi="宋体" w:eastAsia="宋体" w:cs="宋体"/>
          <w:b/>
          <w:bCs/>
          <w:color w:val="000000" w:themeColor="text1"/>
          <w:spacing w:val="-4"/>
          <w:sz w:val="24"/>
          <w:szCs w:val="24"/>
          <w:lang w:val="en-US" w:eastAsia="zh-CN"/>
          <w14:textFill>
            <w14:solidFill>
              <w14:schemeClr w14:val="tx1"/>
            </w14:solidFill>
          </w14:textFill>
        </w:rPr>
        <w:t>4</w:t>
      </w:r>
      <w:r>
        <w:rPr>
          <w:rFonts w:ascii="宋体" w:hAnsi="宋体" w:eastAsia="宋体" w:cs="宋体"/>
          <w:b/>
          <w:bCs/>
          <w:color w:val="000000" w:themeColor="text1"/>
          <w:spacing w:val="-4"/>
          <w:sz w:val="24"/>
          <w:szCs w:val="24"/>
          <w14:textFill>
            <w14:solidFill>
              <w14:schemeClr w14:val="tx1"/>
            </w14:solidFill>
          </w14:textFill>
        </w:rPr>
        <w:t>.预付款制度</w:t>
      </w:r>
    </w:p>
    <w:p w14:paraId="081A13F2">
      <w:pPr>
        <w:keepNext w:val="0"/>
        <w:keepLines w:val="0"/>
        <w:pageBreakBefore w:val="0"/>
        <w:widowControl w:val="0"/>
        <w:kinsoku/>
        <w:wordWrap/>
        <w:overflowPunct/>
        <w:topLinePunct w:val="0"/>
        <w:autoSpaceDE/>
        <w:autoSpaceDN/>
        <w:bidi w:val="0"/>
        <w:adjustRightInd/>
        <w:snapToGrid/>
        <w:spacing w:line="480" w:lineRule="exact"/>
        <w:ind w:left="10" w:right="181" w:firstLine="476"/>
        <w:jc w:val="both"/>
        <w:textAlignment w:val="auto"/>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本项目落实预付款制度，预付款比例为</w:t>
      </w:r>
      <w:r>
        <w:rPr>
          <w:rFonts w:ascii="宋体" w:hAnsi="宋体" w:eastAsia="宋体" w:cs="宋体"/>
          <w:color w:val="000000" w:themeColor="text1"/>
          <w:spacing w:val="-37"/>
          <w:sz w:val="24"/>
          <w:szCs w:val="24"/>
          <w14:textFill>
            <w14:solidFill>
              <w14:schemeClr w14:val="tx1"/>
            </w14:solidFill>
          </w14:textFill>
        </w:rPr>
        <w:t xml:space="preserve"> </w:t>
      </w:r>
      <w:r>
        <w:rPr>
          <w:rFonts w:ascii="宋体" w:hAnsi="宋体" w:eastAsia="宋体" w:cs="宋体"/>
          <w:color w:val="000000" w:themeColor="text1"/>
          <w:spacing w:val="-1"/>
          <w:sz w:val="24"/>
          <w:szCs w:val="24"/>
          <w:u w:val="single"/>
          <w14:textFill>
            <w14:solidFill>
              <w14:schemeClr w14:val="tx1"/>
            </w14:solidFill>
          </w14:textFill>
        </w:rPr>
        <w:t>30%</w:t>
      </w:r>
      <w:r>
        <w:rPr>
          <w:rFonts w:ascii="宋体" w:hAnsi="宋体" w:eastAsia="宋体" w:cs="宋体"/>
          <w:color w:val="000000" w:themeColor="text1"/>
          <w:spacing w:val="-1"/>
          <w:sz w:val="24"/>
          <w:szCs w:val="24"/>
          <w14:textFill>
            <w14:solidFill>
              <w14:schemeClr w14:val="tx1"/>
            </w14:solidFill>
          </w14:textFill>
        </w:rPr>
        <w:t>。在签订合同时，中标、成交供应</w:t>
      </w:r>
      <w:r>
        <w:rPr>
          <w:rFonts w:ascii="宋体" w:hAnsi="宋体" w:eastAsia="宋体" w:cs="宋体"/>
          <w:color w:val="000000" w:themeColor="text1"/>
          <w:sz w:val="24"/>
          <w:szCs w:val="24"/>
          <w14:textFill>
            <w14:solidFill>
              <w14:schemeClr w14:val="tx1"/>
            </w14:solidFill>
          </w14:textFill>
        </w:rPr>
        <w:t>商明确书面表示无需预付款或者主动要求降低预付款比例</w:t>
      </w:r>
      <w:r>
        <w:rPr>
          <w:rFonts w:ascii="宋体" w:hAnsi="宋体" w:eastAsia="宋体" w:cs="宋体"/>
          <w:color w:val="000000" w:themeColor="text1"/>
          <w:spacing w:val="-1"/>
          <w:sz w:val="24"/>
          <w:szCs w:val="24"/>
          <w14:textFill>
            <w14:solidFill>
              <w14:schemeClr w14:val="tx1"/>
            </w14:solidFill>
          </w14:textFill>
        </w:rPr>
        <w:t>的，采购人可就预付款比</w:t>
      </w:r>
      <w:r>
        <w:rPr>
          <w:rFonts w:ascii="宋体" w:hAnsi="宋体" w:eastAsia="宋体" w:cs="宋体"/>
          <w:color w:val="000000" w:themeColor="text1"/>
          <w:spacing w:val="-2"/>
          <w:sz w:val="24"/>
          <w:szCs w:val="24"/>
          <w14:textFill>
            <w14:solidFill>
              <w14:schemeClr w14:val="tx1"/>
            </w14:solidFill>
          </w14:textFill>
        </w:rPr>
        <w:t>例作相应调整。</w:t>
      </w:r>
    </w:p>
    <w:p w14:paraId="0930D466">
      <w:pPr>
        <w:pStyle w:val="8"/>
        <w:spacing w:beforeAutospacing="0" w:afterAutospacing="0" w:line="0" w:lineRule="atLeast"/>
        <w:ind w:firstLine="480"/>
        <w:jc w:val="both"/>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w:t>
      </w:r>
    </w:p>
    <w:p w14:paraId="7B6668C0">
      <w:pPr>
        <w:rPr>
          <w:rFonts w:hint="eastAsia" w:ascii="黑体" w:hAnsi="宋体" w:eastAsia="黑体" w:cs="黑体"/>
          <w:color w:val="000000" w:themeColor="text1"/>
          <w:sz w:val="44"/>
          <w:szCs w:val="44"/>
          <w14:textFill>
            <w14:solidFill>
              <w14:schemeClr w14:val="tx1"/>
            </w14:solidFill>
          </w14:textFill>
        </w:rPr>
      </w:pPr>
      <w:r>
        <w:rPr>
          <w:rFonts w:hint="eastAsia" w:ascii="黑体" w:hAnsi="宋体" w:eastAsia="黑体" w:cs="黑体"/>
          <w:color w:val="000000" w:themeColor="text1"/>
          <w:sz w:val="44"/>
          <w:szCs w:val="44"/>
          <w14:textFill>
            <w14:solidFill>
              <w14:schemeClr w14:val="tx1"/>
            </w14:solidFill>
          </w14:textFill>
        </w:rPr>
        <w:br w:type="page"/>
      </w:r>
    </w:p>
    <w:p w14:paraId="635189BA">
      <w:pPr>
        <w:pStyle w:val="8"/>
        <w:keepNext/>
        <w:spacing w:beforeAutospacing="0" w:afterAutospacing="0"/>
        <w:jc w:val="center"/>
        <w:rPr>
          <w:color w:val="000000" w:themeColor="text1"/>
          <w14:textFill>
            <w14:solidFill>
              <w14:schemeClr w14:val="tx1"/>
            </w14:solidFill>
          </w14:textFill>
        </w:rPr>
      </w:pPr>
      <w:r>
        <w:rPr>
          <w:rFonts w:hint="eastAsia" w:ascii="黑体" w:hAnsi="宋体" w:eastAsia="黑体" w:cs="黑体"/>
          <w:color w:val="000000" w:themeColor="text1"/>
          <w:sz w:val="44"/>
          <w:szCs w:val="44"/>
          <w14:textFill>
            <w14:solidFill>
              <w14:schemeClr w14:val="tx1"/>
            </w14:solidFill>
          </w14:textFill>
        </w:rPr>
        <w:t>第三章  合同文本</w:t>
      </w:r>
    </w:p>
    <w:p w14:paraId="1DD18C29">
      <w:pPr>
        <w:pStyle w:val="8"/>
        <w:spacing w:beforeAutospacing="0" w:afterAutospacing="0" w:line="0" w:lineRule="atLeast"/>
        <w:ind w:firstLine="480"/>
        <w:jc w:val="both"/>
        <w:rPr>
          <w:color w:val="000000" w:themeColor="text1"/>
          <w14:textFill>
            <w14:solidFill>
              <w14:schemeClr w14:val="tx1"/>
            </w14:solidFill>
          </w14:textFill>
        </w:rPr>
      </w:pPr>
      <w:bookmarkStart w:id="176" w:name="_Toc513029243"/>
      <w:bookmarkStart w:id="177" w:name="_Toc20823315"/>
      <w:bookmarkStart w:id="178" w:name="_Toc16938559"/>
      <w:r>
        <w:rPr>
          <w:rFonts w:hint="eastAsia" w:ascii="宋体" w:hAnsi="宋体" w:eastAsia="宋体" w:cs="宋体"/>
          <w:color w:val="000000" w:themeColor="text1"/>
          <w14:textFill>
            <w14:solidFill>
              <w14:schemeClr w14:val="tx1"/>
            </w14:solidFill>
          </w14:textFill>
        </w:rPr>
        <w:t>以下为中标后签定本项目合同的通用条款，中标人不得提出实质性的修改。</w:t>
      </w:r>
      <w:bookmarkEnd w:id="176"/>
      <w:bookmarkEnd w:id="177"/>
      <w:bookmarkEnd w:id="178"/>
      <w:r>
        <w:rPr>
          <w:color w:val="000000" w:themeColor="text1"/>
          <w14:textFill>
            <w14:solidFill>
              <w14:schemeClr w14:val="tx1"/>
            </w14:solidFill>
          </w14:textFill>
        </w:rPr>
        <w:t> </w:t>
      </w:r>
    </w:p>
    <w:p w14:paraId="5EC57130">
      <w:pPr>
        <w:pStyle w:val="8"/>
        <w:keepNext w:val="0"/>
        <w:keepLines w:val="0"/>
        <w:pageBreakBefore w:val="0"/>
        <w:kinsoku/>
        <w:wordWrap/>
        <w:overflowPunct/>
        <w:topLinePunct w:val="0"/>
        <w:autoSpaceDE/>
        <w:autoSpaceDN/>
        <w:bidi w:val="0"/>
        <w:adjustRightInd/>
        <w:snapToGrid/>
        <w:spacing w:beforeAutospacing="0" w:afterAutospacing="0" w:line="480" w:lineRule="exact"/>
        <w:jc w:val="center"/>
        <w:textAlignment w:val="auto"/>
        <w:rPr>
          <w:color w:val="000000" w:themeColor="text1"/>
          <w:sz w:val="28"/>
          <w:szCs w:val="28"/>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政府采购合同</w:t>
      </w:r>
    </w:p>
    <w:p w14:paraId="6F591918">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射阳县高级中学物业服务项目 </w:t>
      </w:r>
    </w:p>
    <w:p w14:paraId="55D3B8D3">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09779920">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甲方：（买方）</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ascii="宋体" w:hAnsi="宋体" w:eastAsia="宋体" w:cs="宋体"/>
          <w:color w:val="000000" w:themeColor="text1"/>
          <w:spacing w:val="-16"/>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简称甲方）</w:t>
      </w:r>
    </w:p>
    <w:p w14:paraId="4038CB4E">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hint="eastAsia"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乙方：（卖方）</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简称乙方</w:t>
      </w:r>
      <w:r>
        <w:rPr>
          <w:rFonts w:hint="eastAsia" w:ascii="宋体" w:hAnsi="宋体" w:eastAsia="宋体" w:cs="宋体"/>
          <w:color w:val="000000" w:themeColor="text1"/>
          <w:sz w:val="24"/>
          <w:szCs w:val="24"/>
          <w:lang w:eastAsia="zh-CN"/>
          <w14:textFill>
            <w14:solidFill>
              <w14:schemeClr w14:val="tx1"/>
            </w14:solidFill>
          </w14:textFill>
        </w:rPr>
        <w:t>）</w:t>
      </w:r>
    </w:p>
    <w:p w14:paraId="0BB65F9F">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甲、乙双方根据</w:t>
      </w:r>
      <w:r>
        <w:rPr>
          <w:rFonts w:hint="eastAsia" w:ascii="宋体" w:hAnsi="宋体" w:eastAsia="宋体" w:cs="宋体"/>
          <w:color w:val="000000" w:themeColor="text1"/>
          <w:sz w:val="24"/>
          <w:szCs w:val="24"/>
          <w:u w:val="single"/>
          <w:lang w:val="en-US" w:eastAsia="zh-CN"/>
          <w14:textFill>
            <w14:solidFill>
              <w14:schemeClr w14:val="tx1"/>
            </w14:solidFill>
          </w14:textFill>
        </w:rPr>
        <w:t>射阳县高级中学物业服务</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项目公开招标的结果，签署本合同。</w:t>
      </w:r>
    </w:p>
    <w:p w14:paraId="4757B481">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2" w:firstLineChars="200"/>
        <w:jc w:val="both"/>
        <w:textAlignment w:val="auto"/>
        <w:rPr>
          <w:rFonts w:ascii="宋体" w:hAnsi="宋体" w:eastAsia="宋体" w:cs="宋体"/>
          <w:b/>
          <w:bCs/>
          <w:color w:val="000000" w:themeColor="text1"/>
          <w:spacing w:val="-4"/>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w:t>
      </w:r>
      <w:r>
        <w:rPr>
          <w:rFonts w:ascii="宋体" w:hAnsi="宋体" w:eastAsia="宋体" w:cs="宋体"/>
          <w:b/>
          <w:bCs/>
          <w:color w:val="000000" w:themeColor="text1"/>
          <w:spacing w:val="-4"/>
          <w:sz w:val="24"/>
          <w:szCs w:val="24"/>
          <w14:textFill>
            <w14:solidFill>
              <w14:schemeClr w14:val="tx1"/>
            </w14:solidFill>
          </w14:textFill>
        </w:rPr>
        <w:t>服务范围及内容</w:t>
      </w:r>
    </w:p>
    <w:p w14:paraId="70F6BD13">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项目名称：射阳县高级中学物业服务项目 </w:t>
      </w:r>
    </w:p>
    <w:p w14:paraId="15F0804A">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项目地点：射阳县高级中学</w:t>
      </w:r>
    </w:p>
    <w:p w14:paraId="09165C57">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工作内容：射阳县高级中学物业服务项目服务范围包含学校区域内的卫生保洁、宿舍管理、安保服务以及学校安排的其他有关物业管理事项等。</w:t>
      </w:r>
    </w:p>
    <w:p w14:paraId="77871844">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2" w:firstLineChars="200"/>
        <w:jc w:val="both"/>
        <w:textAlignment w:val="auto"/>
        <w:rPr>
          <w:rFonts w:hint="default" w:eastAsia="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二、合同金额</w:t>
      </w:r>
    </w:p>
    <w:p w14:paraId="16280A91">
      <w:pPr>
        <w:pStyle w:val="3"/>
        <w:keepNext w:val="0"/>
        <w:keepLines w:val="0"/>
        <w:pageBreakBefore w:val="0"/>
        <w:widowControl w:val="0"/>
        <w:kinsoku/>
        <w:wordWrap/>
        <w:overflowPunct/>
        <w:topLinePunct w:val="0"/>
        <w:autoSpaceDE/>
        <w:autoSpaceDN/>
        <w:bidi w:val="0"/>
        <w:adjustRightInd/>
        <w:snapToGrid/>
        <w:spacing w:line="480" w:lineRule="exact"/>
        <w:ind w:firstLine="452"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本合同金额为（大写）：</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default" w:ascii="Arial" w:hAnsi="Arial" w:eastAsia="宋体" w:cs="Arial"/>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w:t>
      </w:r>
    </w:p>
    <w:p w14:paraId="7AECAB65">
      <w:pPr>
        <w:pStyle w:val="3"/>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val="en-US" w:eastAsia="zh-CN"/>
          <w14:textFill>
            <w14:solidFill>
              <w14:schemeClr w14:val="tx1"/>
            </w14:solidFill>
          </w14:textFill>
        </w:rPr>
        <w:t>注：</w:t>
      </w:r>
      <w:r>
        <w:rPr>
          <w:rFonts w:ascii="宋体" w:hAnsi="宋体" w:eastAsia="宋体" w:cs="宋体"/>
          <w:color w:val="000000" w:themeColor="text1"/>
          <w:spacing w:val="-2"/>
          <w:sz w:val="24"/>
          <w:szCs w:val="24"/>
          <w14:textFill>
            <w14:solidFill>
              <w14:schemeClr w14:val="tx1"/>
            </w14:solidFill>
          </w14:textFill>
        </w:rPr>
        <w:t>该合同的服务价格即合同价，主要</w:t>
      </w:r>
      <w:r>
        <w:rPr>
          <w:rFonts w:ascii="宋体" w:hAnsi="宋体" w:eastAsia="宋体" w:cs="宋体"/>
          <w:color w:val="000000" w:themeColor="text1"/>
          <w:spacing w:val="-1"/>
          <w:sz w:val="24"/>
          <w:szCs w:val="24"/>
          <w14:textFill>
            <w14:solidFill>
              <w14:schemeClr w14:val="tx1"/>
            </w14:solidFill>
          </w14:textFill>
        </w:rPr>
        <w:t>包括（但不限于</w:t>
      </w:r>
      <w:r>
        <w:rPr>
          <w:rFonts w:ascii="宋体" w:hAnsi="宋体" w:eastAsia="宋体" w:cs="宋体"/>
          <w:color w:val="000000" w:themeColor="text1"/>
          <w:spacing w:val="11"/>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所有配备人员工资及节假日加班费等补助、社保费、区域清洁</w:t>
      </w:r>
      <w:r>
        <w:rPr>
          <w:rFonts w:ascii="宋体" w:hAnsi="宋体" w:eastAsia="宋体" w:cs="宋体"/>
          <w:color w:val="000000" w:themeColor="text1"/>
          <w:sz w:val="24"/>
          <w:szCs w:val="24"/>
          <w14:textFill>
            <w14:solidFill>
              <w14:schemeClr w14:val="tx1"/>
            </w14:solidFill>
          </w14:textFill>
        </w:rPr>
        <w:t>费、办公费、固定资产折旧费、法定税费及意外伤害险费</w:t>
      </w:r>
      <w:r>
        <w:rPr>
          <w:rFonts w:ascii="宋体" w:hAnsi="宋体" w:eastAsia="宋体" w:cs="宋体"/>
          <w:color w:val="000000" w:themeColor="text1"/>
          <w:spacing w:val="-1"/>
          <w:sz w:val="24"/>
          <w:szCs w:val="24"/>
          <w14:textFill>
            <w14:solidFill>
              <w14:schemeClr w14:val="tx1"/>
            </w14:solidFill>
          </w14:textFill>
        </w:rPr>
        <w:t>和合理利润，还应包括：</w:t>
      </w:r>
      <w:r>
        <w:rPr>
          <w:rFonts w:ascii="宋体" w:hAnsi="宋体" w:eastAsia="宋体" w:cs="宋体"/>
          <w:color w:val="000000" w:themeColor="text1"/>
          <w:sz w:val="24"/>
          <w:szCs w:val="24"/>
          <w14:textFill>
            <w14:solidFill>
              <w14:schemeClr w14:val="tx1"/>
            </w14:solidFill>
          </w14:textFill>
        </w:rPr>
        <w:t>管理、劳务、培训、体检、材料费、设备费、设备折旧费</w:t>
      </w:r>
      <w:r>
        <w:rPr>
          <w:rFonts w:ascii="宋体" w:hAnsi="宋体" w:eastAsia="宋体" w:cs="宋体"/>
          <w:color w:val="000000" w:themeColor="text1"/>
          <w:spacing w:val="-1"/>
          <w:sz w:val="24"/>
          <w:szCs w:val="24"/>
          <w14:textFill>
            <w14:solidFill>
              <w14:schemeClr w14:val="tx1"/>
            </w14:solidFill>
          </w14:textFill>
        </w:rPr>
        <w:t>、国家法定假日加班、高</w:t>
      </w:r>
      <w:r>
        <w:rPr>
          <w:rFonts w:ascii="宋体" w:hAnsi="宋体" w:eastAsia="宋体" w:cs="宋体"/>
          <w:color w:val="000000" w:themeColor="text1"/>
          <w:sz w:val="24"/>
          <w:szCs w:val="24"/>
          <w14:textFill>
            <w14:solidFill>
              <w14:schemeClr w14:val="tx1"/>
            </w14:solidFill>
          </w14:textFill>
        </w:rPr>
        <w:t>温补助、服装、保修、特殊岗位补贴、宣传服务、风险、</w:t>
      </w:r>
      <w:r>
        <w:rPr>
          <w:rFonts w:ascii="宋体" w:hAnsi="宋体" w:eastAsia="宋体" w:cs="宋体"/>
          <w:color w:val="000000" w:themeColor="text1"/>
          <w:spacing w:val="-1"/>
          <w:sz w:val="24"/>
          <w:szCs w:val="24"/>
          <w14:textFill>
            <w14:solidFill>
              <w14:schemeClr w14:val="tx1"/>
            </w14:solidFill>
          </w14:textFill>
        </w:rPr>
        <w:t>福利费、劳保用品费、现</w:t>
      </w:r>
      <w:r>
        <w:rPr>
          <w:rFonts w:ascii="宋体" w:hAnsi="宋体" w:eastAsia="宋体" w:cs="宋体"/>
          <w:color w:val="000000" w:themeColor="text1"/>
          <w:sz w:val="24"/>
          <w:szCs w:val="24"/>
          <w14:textFill>
            <w14:solidFill>
              <w14:schemeClr w14:val="tx1"/>
            </w14:solidFill>
          </w14:textFill>
        </w:rPr>
        <w:t>场管理费、税收、利润、不可预见费及其它一切相关费用等</w:t>
      </w:r>
      <w:r>
        <w:rPr>
          <w:rFonts w:ascii="宋体" w:hAnsi="宋体" w:eastAsia="宋体" w:cs="宋体"/>
          <w:color w:val="000000" w:themeColor="text1"/>
          <w:spacing w:val="-1"/>
          <w:sz w:val="24"/>
          <w:szCs w:val="24"/>
          <w14:textFill>
            <w14:solidFill>
              <w14:schemeClr w14:val="tx1"/>
            </w14:solidFill>
          </w14:textFill>
        </w:rPr>
        <w:t>所需的全部费用的价格</w:t>
      </w:r>
      <w:r>
        <w:rPr>
          <w:rFonts w:ascii="宋体" w:hAnsi="宋体" w:eastAsia="宋体" w:cs="宋体"/>
          <w:color w:val="000000" w:themeColor="text1"/>
          <w:sz w:val="24"/>
          <w:szCs w:val="24"/>
          <w14:textFill>
            <w14:solidFill>
              <w14:schemeClr w14:val="tx1"/>
            </w14:solidFill>
          </w14:textFill>
        </w:rPr>
        <w:t>体现，凡漏项或少计均视为优惠，甲方不另行增加费用。</w:t>
      </w:r>
      <w:r>
        <w:rPr>
          <w:rFonts w:ascii="宋体" w:hAnsi="宋体" w:eastAsia="宋体" w:cs="宋体"/>
          <w:color w:val="000000" w:themeColor="text1"/>
          <w:spacing w:val="-1"/>
          <w:sz w:val="24"/>
          <w:szCs w:val="24"/>
          <w14:textFill>
            <w14:solidFill>
              <w14:schemeClr w14:val="tx1"/>
            </w14:solidFill>
          </w14:textFill>
        </w:rPr>
        <w:t>各类风险（除国家政策性</w:t>
      </w:r>
      <w:r>
        <w:rPr>
          <w:rFonts w:ascii="宋体" w:hAnsi="宋体" w:eastAsia="宋体" w:cs="宋体"/>
          <w:color w:val="000000" w:themeColor="text1"/>
          <w:sz w:val="24"/>
          <w:szCs w:val="24"/>
          <w14:textFill>
            <w14:solidFill>
              <w14:schemeClr w14:val="tx1"/>
            </w14:solidFill>
          </w14:textFill>
        </w:rPr>
        <w:t>调整除外）已包括在投标报价中，最终结算时除合同约定</w:t>
      </w:r>
      <w:r>
        <w:rPr>
          <w:rFonts w:ascii="宋体" w:hAnsi="宋体" w:eastAsia="宋体" w:cs="宋体"/>
          <w:color w:val="000000" w:themeColor="text1"/>
          <w:spacing w:val="-1"/>
          <w:sz w:val="24"/>
          <w:szCs w:val="24"/>
          <w14:textFill>
            <w14:solidFill>
              <w14:schemeClr w14:val="tx1"/>
            </w14:solidFill>
          </w14:textFill>
        </w:rPr>
        <w:t>调整外一律不予结算（当年合同价按中标价执行）。</w:t>
      </w:r>
    </w:p>
    <w:p w14:paraId="1AA27CB4">
      <w:pPr>
        <w:keepNext w:val="0"/>
        <w:keepLines w:val="0"/>
        <w:pageBreakBefore w:val="0"/>
        <w:widowControl w:val="0"/>
        <w:kinsoku/>
        <w:wordWrap/>
        <w:overflowPunct/>
        <w:topLinePunct w:val="0"/>
        <w:autoSpaceDE/>
        <w:autoSpaceDN/>
        <w:bidi w:val="0"/>
        <w:adjustRightInd/>
        <w:snapToGrid/>
        <w:spacing w:line="480" w:lineRule="exact"/>
        <w:ind w:left="481"/>
        <w:textAlignment w:val="auto"/>
        <w:rPr>
          <w:rFonts w:ascii="宋体" w:hAnsi="宋体" w:eastAsia="宋体" w:cs="宋体"/>
          <w:b/>
          <w:bCs/>
          <w:color w:val="000000" w:themeColor="text1"/>
          <w:spacing w:val="-4"/>
          <w:sz w:val="24"/>
          <w:szCs w:val="24"/>
          <w14:textFill>
            <w14:solidFill>
              <w14:schemeClr w14:val="tx1"/>
            </w14:solidFill>
          </w14:textFill>
        </w:rPr>
      </w:pPr>
      <w:r>
        <w:rPr>
          <w:rFonts w:hint="eastAsia" w:ascii="宋体" w:hAnsi="宋体" w:eastAsia="宋体" w:cs="宋体"/>
          <w:b/>
          <w:bCs/>
          <w:color w:val="000000" w:themeColor="text1"/>
          <w:spacing w:val="-4"/>
          <w:sz w:val="24"/>
          <w:szCs w:val="24"/>
          <w:lang w:val="en-US" w:eastAsia="zh-CN"/>
          <w14:textFill>
            <w14:solidFill>
              <w14:schemeClr w14:val="tx1"/>
            </w14:solidFill>
          </w14:textFill>
        </w:rPr>
        <w:t>三</w:t>
      </w:r>
      <w:r>
        <w:rPr>
          <w:rFonts w:hint="eastAsia" w:ascii="宋体" w:hAnsi="宋体" w:eastAsia="宋体" w:cs="宋体"/>
          <w:b/>
          <w:bCs/>
          <w:color w:val="000000" w:themeColor="text1"/>
          <w:spacing w:val="-4"/>
          <w:sz w:val="24"/>
          <w:szCs w:val="24"/>
          <w14:textFill>
            <w14:solidFill>
              <w14:schemeClr w14:val="tx1"/>
            </w14:solidFill>
          </w14:textFill>
        </w:rPr>
        <w:t>、</w:t>
      </w:r>
      <w:r>
        <w:rPr>
          <w:rFonts w:hint="eastAsia" w:ascii="宋体" w:hAnsi="宋体" w:eastAsia="宋体" w:cs="宋体"/>
          <w:b/>
          <w:bCs/>
          <w:color w:val="000000" w:themeColor="text1"/>
          <w:spacing w:val="-4"/>
          <w:sz w:val="24"/>
          <w:szCs w:val="24"/>
          <w:lang w:val="en-US" w:eastAsia="zh-CN"/>
          <w14:textFill>
            <w14:solidFill>
              <w14:schemeClr w14:val="tx1"/>
            </w14:solidFill>
          </w14:textFill>
        </w:rPr>
        <w:t>合同</w:t>
      </w:r>
      <w:r>
        <w:rPr>
          <w:rFonts w:ascii="宋体" w:hAnsi="宋体" w:eastAsia="宋体" w:cs="宋体"/>
          <w:b/>
          <w:bCs/>
          <w:color w:val="000000" w:themeColor="text1"/>
          <w:spacing w:val="-4"/>
          <w:sz w:val="24"/>
          <w:szCs w:val="24"/>
          <w14:textFill>
            <w14:solidFill>
              <w14:schemeClr w14:val="tx1"/>
            </w14:solidFill>
          </w14:textFill>
        </w:rPr>
        <w:t>期限</w:t>
      </w:r>
    </w:p>
    <w:p w14:paraId="40D9D3A9">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firstLine="480" w:firstLineChars="200"/>
        <w:jc w:val="both"/>
        <w:textAlignment w:val="auto"/>
        <w:rPr>
          <w:rStyle w:val="21"/>
          <w:rFonts w:ascii="宋体" w:hAnsi="宋体" w:eastAsia="宋体" w:cs="Times New Roman"/>
          <w:b w:val="0"/>
          <w:i w:val="0"/>
          <w:caps w:val="0"/>
          <w:color w:val="000000" w:themeColor="text1"/>
          <w:spacing w:val="0"/>
          <w:sz w:val="24"/>
          <w:szCs w:val="24"/>
          <w:lang w:val="en-US" w:eastAsia="zh-CN" w:bidi="ar-SA"/>
          <w14:textFill>
            <w14:solidFill>
              <w14:schemeClr w14:val="tx1"/>
            </w14:solidFill>
          </w14:textFill>
        </w:rPr>
      </w:pPr>
      <w:r>
        <w:rPr>
          <w:rFonts w:hint="eastAsia"/>
          <w:color w:val="000000" w:themeColor="text1"/>
          <w:sz w:val="24"/>
          <w:szCs w:val="20"/>
          <w14:textFill>
            <w14:solidFill>
              <w14:schemeClr w14:val="tx1"/>
            </w14:solidFill>
          </w14:textFill>
        </w:rPr>
        <w:t>服务管理时间：</w:t>
      </w:r>
      <w:r>
        <w:rPr>
          <w:rFonts w:hint="eastAsia"/>
          <w:color w:val="000000" w:themeColor="text1"/>
          <w:sz w:val="24"/>
          <w:szCs w:val="20"/>
          <w:lang w:val="en-US" w:eastAsia="zh-CN"/>
          <w14:textFill>
            <w14:solidFill>
              <w14:schemeClr w14:val="tx1"/>
            </w14:solidFill>
          </w14:textFill>
        </w:rPr>
        <w:t>壹</w:t>
      </w:r>
      <w:r>
        <w:rPr>
          <w:rFonts w:hint="eastAsia"/>
          <w:color w:val="000000" w:themeColor="text1"/>
          <w:sz w:val="24"/>
          <w:szCs w:val="20"/>
          <w14:textFill>
            <w14:solidFill>
              <w14:schemeClr w14:val="tx1"/>
            </w14:solidFill>
          </w14:textFill>
        </w:rPr>
        <w:t>年。本合同有效期为自</w:t>
      </w:r>
      <w:r>
        <w:rPr>
          <w:rFonts w:hint="eastAsia"/>
          <w:color w:val="000000" w:themeColor="text1"/>
          <w:sz w:val="24"/>
          <w:szCs w:val="20"/>
          <w:u w:val="single"/>
          <w14:textFill>
            <w14:solidFill>
              <w14:schemeClr w14:val="tx1"/>
            </w14:solidFill>
          </w14:textFill>
        </w:rPr>
        <w:t xml:space="preserve">    </w:t>
      </w:r>
      <w:r>
        <w:rPr>
          <w:rFonts w:hint="eastAsia"/>
          <w:color w:val="000000" w:themeColor="text1"/>
          <w:sz w:val="24"/>
          <w:szCs w:val="20"/>
          <w14:textFill>
            <w14:solidFill>
              <w14:schemeClr w14:val="tx1"/>
            </w14:solidFill>
          </w14:textFill>
        </w:rPr>
        <w:t>年</w:t>
      </w:r>
      <w:r>
        <w:rPr>
          <w:rFonts w:hint="eastAsia"/>
          <w:color w:val="000000" w:themeColor="text1"/>
          <w:sz w:val="24"/>
          <w:szCs w:val="20"/>
          <w:u w:val="single"/>
          <w14:textFill>
            <w14:solidFill>
              <w14:schemeClr w14:val="tx1"/>
            </w14:solidFill>
          </w14:textFill>
        </w:rPr>
        <w:t xml:space="preserve">   </w:t>
      </w:r>
      <w:r>
        <w:rPr>
          <w:rFonts w:hint="eastAsia"/>
          <w:color w:val="000000" w:themeColor="text1"/>
          <w:sz w:val="24"/>
          <w:szCs w:val="20"/>
          <w14:textFill>
            <w14:solidFill>
              <w14:schemeClr w14:val="tx1"/>
            </w14:solidFill>
          </w14:textFill>
        </w:rPr>
        <w:t>月</w:t>
      </w:r>
      <w:r>
        <w:rPr>
          <w:rFonts w:hint="eastAsia"/>
          <w:color w:val="000000" w:themeColor="text1"/>
          <w:sz w:val="24"/>
          <w:szCs w:val="20"/>
          <w:u w:val="single"/>
          <w14:textFill>
            <w14:solidFill>
              <w14:schemeClr w14:val="tx1"/>
            </w14:solidFill>
          </w14:textFill>
        </w:rPr>
        <w:t xml:space="preserve">   </w:t>
      </w:r>
      <w:r>
        <w:rPr>
          <w:rFonts w:hint="eastAsia"/>
          <w:color w:val="000000" w:themeColor="text1"/>
          <w:sz w:val="24"/>
          <w:szCs w:val="20"/>
          <w14:textFill>
            <w14:solidFill>
              <w14:schemeClr w14:val="tx1"/>
            </w14:solidFill>
          </w14:textFill>
        </w:rPr>
        <w:t>日至</w:t>
      </w:r>
      <w:r>
        <w:rPr>
          <w:rFonts w:hint="eastAsia"/>
          <w:color w:val="000000" w:themeColor="text1"/>
          <w:sz w:val="24"/>
          <w:szCs w:val="20"/>
          <w:u w:val="single"/>
          <w14:textFill>
            <w14:solidFill>
              <w14:schemeClr w14:val="tx1"/>
            </w14:solidFill>
          </w14:textFill>
        </w:rPr>
        <w:t xml:space="preserve">    </w:t>
      </w:r>
      <w:r>
        <w:rPr>
          <w:rFonts w:hint="eastAsia"/>
          <w:color w:val="000000" w:themeColor="text1"/>
          <w:sz w:val="24"/>
          <w:szCs w:val="20"/>
          <w14:textFill>
            <w14:solidFill>
              <w14:schemeClr w14:val="tx1"/>
            </w14:solidFill>
          </w14:textFill>
        </w:rPr>
        <w:t>年</w:t>
      </w:r>
      <w:r>
        <w:rPr>
          <w:rFonts w:hint="eastAsia"/>
          <w:color w:val="000000" w:themeColor="text1"/>
          <w:sz w:val="24"/>
          <w:szCs w:val="20"/>
          <w:u w:val="single"/>
          <w14:textFill>
            <w14:solidFill>
              <w14:schemeClr w14:val="tx1"/>
            </w14:solidFill>
          </w14:textFill>
        </w:rPr>
        <w:t xml:space="preserve">   </w:t>
      </w:r>
      <w:r>
        <w:rPr>
          <w:rFonts w:hint="eastAsia"/>
          <w:color w:val="000000" w:themeColor="text1"/>
          <w:sz w:val="24"/>
          <w:szCs w:val="20"/>
          <w14:textFill>
            <w14:solidFill>
              <w14:schemeClr w14:val="tx1"/>
            </w14:solidFill>
          </w14:textFill>
        </w:rPr>
        <w:t>月</w:t>
      </w:r>
      <w:r>
        <w:rPr>
          <w:rFonts w:hint="eastAsia"/>
          <w:color w:val="000000" w:themeColor="text1"/>
          <w:sz w:val="24"/>
          <w:szCs w:val="20"/>
          <w:u w:val="single"/>
          <w14:textFill>
            <w14:solidFill>
              <w14:schemeClr w14:val="tx1"/>
            </w14:solidFill>
          </w14:textFill>
        </w:rPr>
        <w:t xml:space="preserve">   </w:t>
      </w:r>
      <w:r>
        <w:rPr>
          <w:rFonts w:hint="eastAsia"/>
          <w:color w:val="000000" w:themeColor="text1"/>
          <w:sz w:val="24"/>
          <w:szCs w:val="20"/>
          <w14:textFill>
            <w14:solidFill>
              <w14:schemeClr w14:val="tx1"/>
            </w14:solidFill>
          </w14:textFill>
        </w:rPr>
        <w:t>日止。</w:t>
      </w:r>
    </w:p>
    <w:p w14:paraId="13A6C7D0">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left="426" w:leftChars="203" w:firstLine="12" w:firstLineChars="5"/>
        <w:jc w:val="both"/>
        <w:textAlignment w:val="auto"/>
        <w:rPr>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、履约保证金</w:t>
      </w:r>
    </w:p>
    <w:p w14:paraId="7FFED1EE">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left="210" w:leftChars="100" w:firstLine="240" w:firstLineChars="1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本项目履约保证金为合同价的10%，即人民币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）（合同价即为中标价），对AA评级及以上政府采购供应商（需提供信用管理部门备案的第三方信用报告）免收履约保证金或降低履约保证金缴纳比例。（</w:t>
      </w:r>
      <w:r>
        <w:rPr>
          <w:rFonts w:hint="eastAsia" w:ascii="宋体" w:hAnsi="宋体" w:eastAsia="宋体" w:cs="宋体"/>
          <w:b/>
          <w:bCs/>
          <w:color w:val="000000" w:themeColor="text1"/>
          <w:sz w:val="24"/>
          <w:szCs w:val="24"/>
          <w14:textFill>
            <w14:solidFill>
              <w14:schemeClr w14:val="tx1"/>
            </w14:solidFill>
          </w14:textFill>
        </w:rPr>
        <w:t>本项目约定降低履约保证金比例，即为合同金额的5%</w:t>
      </w:r>
      <w:r>
        <w:rPr>
          <w:rFonts w:hint="eastAsia" w:ascii="宋体" w:hAnsi="宋体" w:eastAsia="宋体" w:cs="宋体"/>
          <w:color w:val="000000" w:themeColor="text1"/>
          <w:sz w:val="24"/>
          <w:szCs w:val="24"/>
          <w14:textFill>
            <w14:solidFill>
              <w14:schemeClr w14:val="tx1"/>
            </w14:solidFill>
          </w14:textFill>
        </w:rPr>
        <w:t>））</w:t>
      </w:r>
    </w:p>
    <w:p w14:paraId="4EC84EB1">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2.确需收取履约保证金的，</w:t>
      </w:r>
      <w:r>
        <w:rPr>
          <w:rFonts w:hint="eastAsia" w:ascii="宋体" w:hAnsi="宋体" w:eastAsia="宋体" w:cs="宋体"/>
          <w:color w:val="000000" w:themeColor="text1"/>
          <w:sz w:val="24"/>
          <w:szCs w:val="24"/>
          <w:lang w:eastAsia="zh-CN"/>
          <w14:textFill>
            <w14:solidFill>
              <w14:schemeClr w14:val="tx1"/>
            </w14:solidFill>
          </w14:textFill>
        </w:rPr>
        <w:t>履约保证金的缴纳形式：</w:t>
      </w:r>
    </w:p>
    <w:p w14:paraId="658D43C5">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供应商应当以支票、汇票、本票或者金融机构、担保机构出具的保函等非现金形式提交</w:t>
      </w:r>
      <w:r>
        <w:rPr>
          <w:rFonts w:hint="eastAsia" w:ascii="宋体" w:hAnsi="宋体" w:eastAsia="宋体" w:cs="宋体"/>
          <w:color w:val="000000" w:themeColor="text1"/>
          <w:sz w:val="24"/>
          <w:szCs w:val="24"/>
          <w:lang w:eastAsia="zh-CN"/>
          <w14:textFill>
            <w14:solidFill>
              <w14:schemeClr w14:val="tx1"/>
            </w14:solidFill>
          </w14:textFill>
        </w:rPr>
        <w:t>履约保证金</w:t>
      </w:r>
      <w:r>
        <w:rPr>
          <w:rFonts w:hint="eastAsia" w:ascii="宋体" w:hAnsi="宋体" w:eastAsia="宋体" w:cs="宋体"/>
          <w:color w:val="000000" w:themeColor="text1"/>
          <w:sz w:val="24"/>
          <w:szCs w:val="24"/>
          <w14:textFill>
            <w14:solidFill>
              <w14:schemeClr w14:val="tx1"/>
            </w14:solidFill>
          </w14:textFill>
        </w:rPr>
        <w:t>。依据《关于在全省政府采购领域推行电子履约保函（保险）的通知》，鼓励供应商自愿使用</w:t>
      </w:r>
      <w:r>
        <w:rPr>
          <w:rFonts w:hint="eastAsia" w:ascii="宋体" w:hAnsi="宋体" w:eastAsia="宋体" w:cs="宋体"/>
          <w:color w:val="000000" w:themeColor="text1"/>
          <w:sz w:val="24"/>
          <w:szCs w:val="24"/>
          <w:lang w:eastAsia="zh-CN"/>
          <w14:textFill>
            <w14:solidFill>
              <w14:schemeClr w14:val="tx1"/>
            </w14:solidFill>
          </w14:textFill>
        </w:rPr>
        <w:t>电子</w:t>
      </w:r>
      <w:r>
        <w:rPr>
          <w:rFonts w:hint="eastAsia" w:ascii="宋体" w:hAnsi="宋体" w:eastAsia="宋体" w:cs="宋体"/>
          <w:color w:val="000000" w:themeColor="text1"/>
          <w:sz w:val="24"/>
          <w:szCs w:val="24"/>
          <w14:textFill>
            <w14:solidFill>
              <w14:schemeClr w14:val="tx1"/>
            </w14:solidFill>
          </w14:textFill>
        </w:rPr>
        <w:t>履约保函（保险）代替缴纳履约保证金</w:t>
      </w:r>
      <w:r>
        <w:rPr>
          <w:rFonts w:hint="eastAsia" w:ascii="宋体" w:hAnsi="宋体" w:eastAsia="宋体" w:cs="宋体"/>
          <w:color w:val="000000" w:themeColor="text1"/>
          <w:sz w:val="24"/>
          <w:szCs w:val="24"/>
          <w:lang w:eastAsia="zh-CN"/>
          <w14:textFill>
            <w14:solidFill>
              <w14:schemeClr w14:val="tx1"/>
            </w14:solidFill>
          </w14:textFill>
        </w:rPr>
        <w:t>。</w:t>
      </w:r>
    </w:p>
    <w:p w14:paraId="224FE267">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 如以履约保函（保险）形式缴纳履约保证金，供应商可通过政府采购电子履约保函（保险）平台（www.jsdzbh.com）在线申请履约保函（保险）。</w:t>
      </w:r>
    </w:p>
    <w:p w14:paraId="52A6D2B7">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14:textFill>
            <w14:solidFill>
              <w14:schemeClr w14:val="tx1"/>
            </w14:solidFill>
          </w14:textFill>
        </w:rPr>
        <w:t>合同履行结束后，甲方应及时退还交纳的履约保证金。</w:t>
      </w:r>
    </w:p>
    <w:p w14:paraId="32DDFC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kern w:val="0"/>
          <w:sz w:val="24"/>
          <w:szCs w:val="24"/>
          <w:highlight w:val="none"/>
          <w14:textFill>
            <w14:solidFill>
              <w14:schemeClr w14:val="tx1"/>
            </w14:solidFill>
          </w14:textFill>
        </w:rPr>
        <w:t>履约保证金的退还：</w:t>
      </w:r>
    </w:p>
    <w:p w14:paraId="3B29963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kern w:val="0"/>
          <w:sz w:val="24"/>
          <w:szCs w:val="24"/>
          <w:highlight w:val="none"/>
          <w14:textFill>
            <w14:solidFill>
              <w14:schemeClr w14:val="tx1"/>
            </w14:solidFill>
          </w14:textFill>
        </w:rPr>
        <w:t>.1方式：无息退还至投标人缴纳履约保证金的账户。如为保函，在到期时自行失效。</w:t>
      </w:r>
    </w:p>
    <w:p w14:paraId="66C4965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kern w:val="0"/>
          <w:sz w:val="24"/>
          <w:szCs w:val="24"/>
          <w:highlight w:val="none"/>
          <w14:textFill>
            <w14:solidFill>
              <w14:schemeClr w14:val="tx1"/>
            </w14:solidFill>
          </w14:textFill>
        </w:rPr>
        <w:t>.2时间：验收合格且采购人收到发票后30日内。</w:t>
      </w:r>
    </w:p>
    <w:p w14:paraId="2840CA6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kern w:val="0"/>
          <w:sz w:val="24"/>
          <w:szCs w:val="24"/>
          <w:highlight w:val="none"/>
          <w14:textFill>
            <w14:solidFill>
              <w14:schemeClr w14:val="tx1"/>
            </w14:solidFill>
          </w14:textFill>
        </w:rPr>
        <w:t>.3条件：按合同要求全部履约完成并经采购人验收合格，且采购人收到中标人出具的发票。</w:t>
      </w:r>
    </w:p>
    <w:p w14:paraId="4BD076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kern w:val="0"/>
          <w:sz w:val="24"/>
          <w:szCs w:val="24"/>
          <w:highlight w:val="none"/>
          <w14:textFill>
            <w14:solidFill>
              <w14:schemeClr w14:val="tx1"/>
            </w14:solidFill>
          </w14:textFill>
        </w:rPr>
        <w:t>.4不予退还情形：</w:t>
      </w:r>
    </w:p>
    <w:p w14:paraId="44B30E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除不可抗力情况外，投标人出现下列情形之一的，其履约保证金，招标人将视情节决定不予退还或部分不予退还。</w:t>
      </w:r>
    </w:p>
    <w:p w14:paraId="314251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（1）中标人无正当理由拒绝签订合同的，或者在签订合同时向采购人提出附加条件或者更改合同实质性内容要求的；</w:t>
      </w:r>
    </w:p>
    <w:p w14:paraId="795CF7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（2）中标人不履行与采购人订立的合同的；</w:t>
      </w:r>
    </w:p>
    <w:p w14:paraId="280FB0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（3）中标人所供货物或服务不符合招标文件规定要求的；</w:t>
      </w:r>
    </w:p>
    <w:p w14:paraId="667DAB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（4）中标人采取欺骗、弄虚作假方式投标的或与其它投标人串通投标的；</w:t>
      </w:r>
    </w:p>
    <w:p w14:paraId="5CB24F8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（5）中标人将合同内容转包、违法分包的；</w:t>
      </w:r>
    </w:p>
    <w:p w14:paraId="159D595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（6）中标人故意捏造事实或伪造证明材料，进行虚假恶意投诉或反映的。</w:t>
      </w:r>
    </w:p>
    <w:p w14:paraId="6D0896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kern w:val="0"/>
          <w:sz w:val="24"/>
          <w:szCs w:val="24"/>
          <w:highlight w:val="none"/>
          <w14:textFill>
            <w14:solidFill>
              <w14:schemeClr w14:val="tx1"/>
            </w14:solidFill>
          </w14:textFill>
        </w:rPr>
        <w:t>.5逾期退还的违约责任：采购人逾期无故未退还履约保证金的，按中国人民银行同期贷款基准利率上浮20%后的利率支付超期资金占用费，但因供应商自身原因导致无法及时退还的除外。</w:t>
      </w:r>
    </w:p>
    <w:p w14:paraId="29CD1745">
      <w:pPr>
        <w:keepNext w:val="0"/>
        <w:keepLines w:val="0"/>
        <w:pageBreakBefore w:val="0"/>
        <w:widowControl w:val="0"/>
        <w:kinsoku/>
        <w:wordWrap/>
        <w:overflowPunct/>
        <w:topLinePunct w:val="0"/>
        <w:autoSpaceDE/>
        <w:autoSpaceDN/>
        <w:bidi w:val="0"/>
        <w:adjustRightInd/>
        <w:snapToGrid/>
        <w:spacing w:line="480" w:lineRule="exact"/>
        <w:ind w:left="48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4"/>
          <w:sz w:val="24"/>
          <w:szCs w:val="24"/>
          <w:lang w:val="en-US" w:eastAsia="zh-CN"/>
          <w14:textFill>
            <w14:solidFill>
              <w14:schemeClr w14:val="tx1"/>
            </w14:solidFill>
          </w14:textFill>
        </w:rPr>
        <w:t>五</w:t>
      </w:r>
      <w:r>
        <w:rPr>
          <w:rFonts w:ascii="宋体" w:hAnsi="宋体" w:eastAsia="宋体" w:cs="宋体"/>
          <w:b/>
          <w:bCs/>
          <w:color w:val="000000" w:themeColor="text1"/>
          <w:spacing w:val="-4"/>
          <w:sz w:val="24"/>
          <w:szCs w:val="24"/>
          <w14:textFill>
            <w14:solidFill>
              <w14:schemeClr w14:val="tx1"/>
            </w14:solidFill>
          </w14:textFill>
        </w:rPr>
        <w:t>、权利和义务</w:t>
      </w:r>
    </w:p>
    <w:p w14:paraId="315E557F">
      <w:pPr>
        <w:keepNext w:val="0"/>
        <w:keepLines w:val="0"/>
        <w:pageBreakBefore w:val="0"/>
        <w:widowControl w:val="0"/>
        <w:kinsoku/>
        <w:wordWrap/>
        <w:overflowPunct/>
        <w:topLinePunct w:val="0"/>
        <w:autoSpaceDE/>
        <w:autoSpaceDN/>
        <w:bidi w:val="0"/>
        <w:adjustRightInd/>
        <w:snapToGrid/>
        <w:spacing w:line="480" w:lineRule="exact"/>
        <w:ind w:left="498"/>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一</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甲方权利和义务</w:t>
      </w:r>
    </w:p>
    <w:p w14:paraId="75BD07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甲方权利：</w:t>
      </w:r>
    </w:p>
    <w:p w14:paraId="7AE641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1.1审定乙方拟定的年度物业管理服务计划和方案。</w:t>
      </w:r>
    </w:p>
    <w:p w14:paraId="06F413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1.2对物业设施、设备和共用部分自然损坏的大中修及更新、改造计划、方案、费用的审批，并组织验收。</w:t>
      </w:r>
    </w:p>
    <w:p w14:paraId="144448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甲方有权对乙方的物业管理工作和服务承诺、考核标准、合同履行情况进行监督审查，考核、监督乙方管理工作的实施及相关制度和《投标文件》执行情况，对发现的问题，乙方应及时整改，针对乙方未达标或考核不合格的情况提出整改要求并扣除相应的物业服务费用。甲方下达整改通知后，乙方逾期仍达不到承诺目标，甲方有权视情节对乙方实施处罚，直至终止合同。</w:t>
      </w:r>
    </w:p>
    <w:p w14:paraId="7DFD90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1.4在合同履行期间，如乙方中途无故退出或发生责任事故，给甲方带来不良影响的，或者因乙方工作不力，严重影响甲方正常工作秩序的，甲方有权终止本合同，并要求乙方给予经济赔偿。</w:t>
      </w:r>
    </w:p>
    <w:p w14:paraId="34F6AF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1.5对拒绝、不服从或抵触甲方领导指挥的乙方物业服务人员，甲方有权要求乙方进行调换，否则甲方有权终止本合同，并对乙方进行经济处罚。</w:t>
      </w:r>
    </w:p>
    <w:p w14:paraId="07B8DE5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1.6监督、指导乙方人员在区域内的一切行为和活动；乙方聘用的物业服务人员进场前应征求甲方的意见。如甲方或服务单位对个别物业服务人员不满意，乙方应予以调换。</w:t>
      </w:r>
    </w:p>
    <w:p w14:paraId="198999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1.7依据相关法律、法规规定享有的其他权利。</w:t>
      </w:r>
    </w:p>
    <w:p w14:paraId="033E7F5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2、甲方义务：</w:t>
      </w:r>
    </w:p>
    <w:p w14:paraId="798CE11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2.1甲方应向乙方移交下列资料：</w:t>
      </w:r>
    </w:p>
    <w:p w14:paraId="250593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①设施设备的安装、使用说明书和维护保养等技术资料。</w:t>
      </w:r>
    </w:p>
    <w:p w14:paraId="42E296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②物业管理所必需的其他资料。</w:t>
      </w:r>
    </w:p>
    <w:p w14:paraId="038E4F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2.2按照合同约定按时足额支付物业服务费。</w:t>
      </w:r>
    </w:p>
    <w:p w14:paraId="328B02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2.3协助乙方做好物业管理工作和宣传教育、文化活动。</w:t>
      </w:r>
    </w:p>
    <w:p w14:paraId="74D1EA9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2.4协助乙方规范对区域内人员违反法规、规章的行为。</w:t>
      </w:r>
    </w:p>
    <w:p w14:paraId="7E32E3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2.5协调、配合乙方共同处理本合同生效前发生的相关遗留问题。</w:t>
      </w:r>
    </w:p>
    <w:p w14:paraId="21E72AD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2.6法律、法规规定的其他义务。</w:t>
      </w:r>
    </w:p>
    <w:p w14:paraId="205DB02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乙方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权利和义务</w:t>
      </w:r>
    </w:p>
    <w:p w14:paraId="3E91EDD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1、乙方权利</w:t>
      </w:r>
    </w:p>
    <w:p w14:paraId="2F8A55A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szCs w:val="24"/>
          <w:highlight w:val="none"/>
          <w14:textFill>
            <w14:solidFill>
              <w14:schemeClr w14:val="tx1"/>
            </w14:solidFill>
          </w14:textFill>
        </w:rPr>
        <w:t>按照国家和有关物业管理的技术标准、行业规范以及本服务合同进行管理，提供专业化的服务。</w:t>
      </w:r>
    </w:p>
    <w:p w14:paraId="05A976C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.2按照本合同和有关规定向甲方收取物业服务费用和其他费用。</w:t>
      </w:r>
    </w:p>
    <w:p w14:paraId="42E626B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.3根据甲方授权，制定必要的规章制度，并以有效方式督促辖区内人员遵守。</w:t>
      </w:r>
    </w:p>
    <w:p w14:paraId="714C4E4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.4根据甲方授权，采取规劝、警告等措施制止区域内人员违反公众管理制度的行为。</w:t>
      </w:r>
    </w:p>
    <w:p w14:paraId="047CAF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.5依照法律、法规规定和本合同约定享有的其他权利。</w:t>
      </w:r>
    </w:p>
    <w:p w14:paraId="4CB1AA7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2、乙方义务</w:t>
      </w:r>
    </w:p>
    <w:p w14:paraId="5F3772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2.1全面贯彻执行国家物业管理的法规、政策，全面遵守《招标文件》的要求，执行《投标文件》的承诺，接受甲方的审查、考核和监督，接受物业管理行政主管部门等的监督和指导。</w:t>
      </w:r>
    </w:p>
    <w:p w14:paraId="712601C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2.2及时向甲方通告本区域内有关物业管理服务的重大事项，及时处理投诉，接受甲方的监督管理。</w:t>
      </w:r>
    </w:p>
    <w:p w14:paraId="263AF4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2.3在承接物业时，应当对物业共用部位、共用设施设备进行查验，并做好书面记录和签认工作。</w:t>
      </w:r>
    </w:p>
    <w:p w14:paraId="4892AD2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2.4结合本物业管理区域的实际情况，编制年度管理计划，维修保养计划，经甲方批准后组织实施。</w:t>
      </w:r>
    </w:p>
    <w:p w14:paraId="41B7E8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2.5制止本物业管理区域内违反有关治安、环保、物业装饰装修和使用等方面规章制度的行为，对违反法律法规规定的行为及时向甲方报告。</w:t>
      </w:r>
    </w:p>
    <w:p w14:paraId="043E756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2.6协助做好本物业管理区域内的安全防范工作，发生安全事故时，在采取应急措施的同时，及时向有关行政管理部门报告，保护好现场、协助做好救助工作； 秩序维护员在维护本物业管理区域的公共秩序时，要履行职责，不得侵害公民的合法权益。</w:t>
      </w:r>
    </w:p>
    <w:p w14:paraId="1754FD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2.7非经甲方许可并办理有关手续，不得擅自改变物业管理区域内共用部分、共用设施设备的用途；对本物业的公用设施不得擅自占用和改变使用功能。</w:t>
      </w:r>
    </w:p>
    <w:p w14:paraId="2241FCD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2.8因维修、养护共用部位、共用设施设备需要而暂时停水、停电或停止共用设施设备的使用的（除排危抢险情形以外），乙方应事先通知甲方。</w:t>
      </w:r>
    </w:p>
    <w:p w14:paraId="247C7A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2.9经甲方书面同意，可选聘专业公司承担本物业的个别专项管理业务，但不得将履行本合同的责任转让给第三方。</w:t>
      </w:r>
    </w:p>
    <w:p w14:paraId="2532EBC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2.10本合同终止或出现本合同约定终止情形时，乙方应当在接到通知七日内将物业管理用房和物业管理相关资料、物件、设施及时如数地移交给甲方并撤出前委托管理区域，不得以任何理由拒绝或拖延。</w:t>
      </w:r>
    </w:p>
    <w:p w14:paraId="6FE45B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2.11法律、法规规定的其他义务。</w:t>
      </w:r>
    </w:p>
    <w:p w14:paraId="47D3AED1">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宋体" w:hAnsi="宋体" w:eastAsia="宋体" w:cs="宋体"/>
          <w:b/>
          <w:bCs/>
          <w:color w:val="000000" w:themeColor="text1"/>
          <w:spacing w:val="-4"/>
          <w:sz w:val="24"/>
          <w:szCs w:val="24"/>
          <w:lang w:val="en-US" w:eastAsia="zh-CN"/>
          <w14:textFill>
            <w14:solidFill>
              <w14:schemeClr w14:val="tx1"/>
            </w14:solidFill>
          </w14:textFill>
        </w:rPr>
      </w:pPr>
      <w:r>
        <w:rPr>
          <w:rFonts w:hint="eastAsia" w:ascii="宋体" w:hAnsi="宋体" w:eastAsia="宋体" w:cs="宋体"/>
          <w:b/>
          <w:bCs/>
          <w:color w:val="000000" w:themeColor="text1"/>
          <w:spacing w:val="-4"/>
          <w:sz w:val="24"/>
          <w:szCs w:val="24"/>
          <w:lang w:val="en-US" w:eastAsia="zh-CN"/>
          <w14:textFill>
            <w14:solidFill>
              <w14:schemeClr w14:val="tx1"/>
            </w14:solidFill>
          </w14:textFill>
        </w:rPr>
        <w:t>六、合同款项支付</w:t>
      </w:r>
    </w:p>
    <w:p w14:paraId="145A3235">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1、付款方式：</w:t>
      </w:r>
    </w:p>
    <w:p w14:paraId="1B06CA77">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Theme="majorEastAsia" w:hAnsiTheme="majorEastAsia" w:eastAsiaTheme="majorEastAsia" w:cstheme="majorEastAsia"/>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Theme="majorEastAsia" w:hAnsiTheme="majorEastAsia" w:eastAsiaTheme="majorEastAsia" w:cstheme="majorEastAsia"/>
          <w:color w:val="000000" w:themeColor="text1"/>
          <w:sz w:val="24"/>
          <w:szCs w:val="24"/>
          <w:highlight w:val="none"/>
          <w:lang w:val="zh-CN" w:eastAsia="zh-CN"/>
          <w14:textFill>
            <w14:solidFill>
              <w14:schemeClr w14:val="tx1"/>
            </w14:solidFill>
          </w14:textFill>
        </w:rPr>
        <w:t>合同签订后，甲方支付合同总价的</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30</w:t>
      </w:r>
      <w:r>
        <w:rPr>
          <w:rFonts w:hint="eastAsia" w:asciiTheme="majorEastAsia" w:hAnsiTheme="majorEastAsia" w:eastAsiaTheme="majorEastAsia" w:cstheme="majorEastAsia"/>
          <w:color w:val="000000" w:themeColor="text1"/>
          <w:sz w:val="24"/>
          <w:szCs w:val="24"/>
          <w:highlight w:val="none"/>
          <w:lang w:val="zh-CN" w:eastAsia="zh-CN"/>
          <w14:textFill>
            <w14:solidFill>
              <w14:schemeClr w14:val="tx1"/>
            </w14:solidFill>
          </w14:textFill>
        </w:rPr>
        <w:t>%作为预付款，乙方须提供相应的增值税发票；</w:t>
      </w:r>
    </w:p>
    <w:p w14:paraId="4C6B10A4">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Theme="majorEastAsia" w:hAnsiTheme="majorEastAsia" w:eastAsiaTheme="majorEastAsia" w:cstheme="majorEastAsia"/>
          <w:color w:val="000000" w:themeColor="text1"/>
          <w:sz w:val="24"/>
          <w:szCs w:val="24"/>
          <w:highlight w:val="none"/>
          <w:lang w:val="zh-CN"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1.2.</w:t>
      </w:r>
      <w:r>
        <w:rPr>
          <w:rFonts w:hint="eastAsia" w:asciiTheme="majorEastAsia" w:hAnsiTheme="majorEastAsia" w:eastAsiaTheme="majorEastAsia" w:cstheme="majorEastAsia"/>
          <w:color w:val="000000" w:themeColor="text1"/>
          <w:sz w:val="24"/>
          <w:szCs w:val="24"/>
          <w:highlight w:val="none"/>
          <w:lang w:val="zh-CN" w:eastAsia="zh-CN"/>
          <w14:textFill>
            <w14:solidFill>
              <w14:schemeClr w14:val="tx1"/>
            </w14:solidFill>
          </w14:textFill>
        </w:rPr>
        <w:t>付款方式：剩余</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7</w:t>
      </w:r>
      <w:r>
        <w:rPr>
          <w:rFonts w:hint="eastAsia" w:asciiTheme="majorEastAsia" w:hAnsiTheme="majorEastAsia" w:eastAsiaTheme="majorEastAsia" w:cstheme="majorEastAsia"/>
          <w:color w:val="000000" w:themeColor="text1"/>
          <w:sz w:val="24"/>
          <w:szCs w:val="24"/>
          <w:highlight w:val="none"/>
          <w:lang w:val="zh-CN" w:eastAsia="zh-CN"/>
          <w14:textFill>
            <w14:solidFill>
              <w14:schemeClr w14:val="tx1"/>
            </w14:solidFill>
          </w14:textFill>
        </w:rPr>
        <w:t>0%的物业管理费的支付采用按月支付月月考核的方式，即甲方于次月15日前对上月的物业管理工作进行考核。</w:t>
      </w:r>
    </w:p>
    <w:p w14:paraId="58449026">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Theme="majorEastAsia" w:hAnsiTheme="majorEastAsia" w:eastAsiaTheme="majorEastAsia" w:cstheme="majorEastAsia"/>
          <w:color w:val="000000" w:themeColor="text1"/>
          <w:sz w:val="24"/>
          <w:szCs w:val="24"/>
          <w:highlight w:val="none"/>
          <w:lang w:val="zh-CN"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1.3.</w:t>
      </w:r>
      <w:r>
        <w:rPr>
          <w:rFonts w:hint="eastAsia" w:asciiTheme="majorEastAsia" w:hAnsiTheme="majorEastAsia" w:eastAsiaTheme="majorEastAsia" w:cstheme="majorEastAsia"/>
          <w:color w:val="000000" w:themeColor="text1"/>
          <w:sz w:val="24"/>
          <w:szCs w:val="24"/>
          <w:highlight w:val="none"/>
          <w:lang w:val="zh-CN" w:eastAsia="zh-CN"/>
          <w14:textFill>
            <w14:solidFill>
              <w14:schemeClr w14:val="tx1"/>
            </w14:solidFill>
          </w14:textFill>
        </w:rPr>
        <w:t>付款周期：从次月起凭乙方开具的增值税发票</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支付</w:t>
      </w:r>
      <w:r>
        <w:rPr>
          <w:rFonts w:hint="eastAsia" w:asciiTheme="majorEastAsia" w:hAnsiTheme="majorEastAsia" w:eastAsiaTheme="majorEastAsia" w:cstheme="majorEastAsia"/>
          <w:color w:val="000000" w:themeColor="text1"/>
          <w:sz w:val="24"/>
          <w:szCs w:val="24"/>
          <w:highlight w:val="none"/>
          <w:lang w:val="zh-CN" w:eastAsia="zh-CN"/>
          <w14:textFill>
            <w14:solidFill>
              <w14:schemeClr w14:val="tx1"/>
            </w14:solidFill>
          </w14:textFill>
        </w:rPr>
        <w:t>上月物业管理费。</w:t>
      </w:r>
    </w:p>
    <w:p w14:paraId="31BDCF92">
      <w:pPr>
        <w:keepNext w:val="0"/>
        <w:keepLines w:val="0"/>
        <w:pageBreakBefore w:val="0"/>
        <w:widowControl w:val="0"/>
        <w:kinsoku/>
        <w:wordWrap/>
        <w:overflowPunct/>
        <w:topLinePunct w:val="0"/>
        <w:autoSpaceDE/>
        <w:autoSpaceDN/>
        <w:bidi w:val="0"/>
        <w:adjustRightInd/>
        <w:snapToGrid/>
        <w:spacing w:line="480" w:lineRule="exact"/>
        <w:ind w:left="48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4"/>
          <w:sz w:val="24"/>
          <w:szCs w:val="24"/>
          <w:lang w:val="en-US" w:eastAsia="zh-CN"/>
          <w14:textFill>
            <w14:solidFill>
              <w14:schemeClr w14:val="tx1"/>
            </w14:solidFill>
          </w14:textFill>
        </w:rPr>
        <w:t>七</w:t>
      </w:r>
      <w:r>
        <w:rPr>
          <w:rFonts w:ascii="宋体" w:hAnsi="宋体" w:eastAsia="宋体" w:cs="宋体"/>
          <w:b/>
          <w:bCs/>
          <w:color w:val="000000" w:themeColor="text1"/>
          <w:spacing w:val="-4"/>
          <w:sz w:val="24"/>
          <w:szCs w:val="24"/>
          <w14:textFill>
            <w14:solidFill>
              <w14:schemeClr w14:val="tx1"/>
            </w14:solidFill>
          </w14:textFill>
        </w:rPr>
        <w:t>、违约责任</w:t>
      </w:r>
    </w:p>
    <w:p w14:paraId="4CF05C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1、甲方不履行本合同约定的义务，乙方可要求甲方履行，由此造成乙方损失，甲方应承担相应的责任。</w:t>
      </w:r>
    </w:p>
    <w:p w14:paraId="29E8452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2、甲方违反本合同的约定，未能按时如数交纳物业服务费的，应按每月千分之五的标准向乙方支付违约金，并应于五日内补交拖欠费用。</w:t>
      </w:r>
    </w:p>
    <w:p w14:paraId="6BA4002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3、乙方违反本合同约定，乙方如发生将本物业转包、转让、违规出现违法现象或在履行合同单方中途退出的，甲方将中止本合同，并有权追究乙方其它责任。</w:t>
      </w:r>
    </w:p>
    <w:p w14:paraId="09D2A5C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4、双方约定，在下列条件下所致的损害，可构成对乙方的免责事由：</w:t>
      </w:r>
    </w:p>
    <w:p w14:paraId="1A7245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4.1因不可抗力而导致的中断服务或物业价值的贬损。</w:t>
      </w:r>
    </w:p>
    <w:p w14:paraId="50EB5F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4.2因物业本身固有的瑕疵造成的损害。</w:t>
      </w:r>
    </w:p>
    <w:p w14:paraId="7AE82A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4.3因维修、养护共用部位、共用设施设备需要而暂时停水、停电或停止共用设施设备的使用的（除排危抢险情形以外，乙方应事先通知甲方）。</w:t>
      </w:r>
    </w:p>
    <w:p w14:paraId="09A091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4.4因政府有关部门原因而非乙方责任造成的供水、供电、供热、供冷、通讯、有线电视及其他共用设施设备的故障和损失。</w:t>
      </w:r>
    </w:p>
    <w:p w14:paraId="6D42ECC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5、甲乙双方均应严格履行合同的约定，若任何一方导致合同不能正常履行或无故单方解除合同，则应承担合同价5%违约金和由此造成的后果，给对方造成的损失，应赔偿相应损失。</w:t>
      </w:r>
    </w:p>
    <w:p w14:paraId="66686E4E">
      <w:pPr>
        <w:keepNext w:val="0"/>
        <w:keepLines w:val="0"/>
        <w:pageBreakBefore w:val="0"/>
        <w:widowControl w:val="0"/>
        <w:kinsoku/>
        <w:wordWrap/>
        <w:overflowPunct/>
        <w:topLinePunct w:val="0"/>
        <w:autoSpaceDE/>
        <w:autoSpaceDN/>
        <w:bidi w:val="0"/>
        <w:adjustRightInd/>
        <w:snapToGrid/>
        <w:spacing w:line="480" w:lineRule="exact"/>
        <w:ind w:left="486"/>
        <w:textAlignment w:val="auto"/>
        <w:rPr>
          <w:rFonts w:hint="eastAsia" w:ascii="宋体" w:hAnsi="宋体" w:eastAsia="宋体" w:cs="宋体"/>
          <w:b/>
          <w:bCs/>
          <w:color w:val="000000" w:themeColor="text1"/>
          <w:spacing w:val="-6"/>
          <w:sz w:val="24"/>
          <w:szCs w:val="24"/>
          <w:lang w:val="en-US" w:eastAsia="zh-CN"/>
          <w14:textFill>
            <w14:solidFill>
              <w14:schemeClr w14:val="tx1"/>
            </w14:solidFill>
          </w14:textFill>
        </w:rPr>
      </w:pPr>
      <w:r>
        <w:rPr>
          <w:rFonts w:hint="eastAsia" w:ascii="宋体" w:hAnsi="宋体" w:eastAsia="宋体" w:cs="宋体"/>
          <w:b/>
          <w:bCs/>
          <w:color w:val="000000" w:themeColor="text1"/>
          <w:spacing w:val="-6"/>
          <w:sz w:val="24"/>
          <w:szCs w:val="24"/>
          <w:lang w:val="en-US" w:eastAsia="zh-CN"/>
          <w14:textFill>
            <w14:solidFill>
              <w14:schemeClr w14:val="tx1"/>
            </w14:solidFill>
          </w14:textFill>
        </w:rPr>
        <w:t>八、转包和分包</w:t>
      </w:r>
    </w:p>
    <w:p w14:paraId="317CEC9A">
      <w:pPr>
        <w:keepNext w:val="0"/>
        <w:keepLines w:val="0"/>
        <w:pageBreakBefore w:val="0"/>
        <w:widowControl w:val="0"/>
        <w:kinsoku/>
        <w:wordWrap/>
        <w:overflowPunct/>
        <w:topLinePunct w:val="0"/>
        <w:autoSpaceDE/>
        <w:autoSpaceDN/>
        <w:bidi w:val="0"/>
        <w:adjustRightInd/>
        <w:snapToGrid/>
        <w:spacing w:line="480" w:lineRule="exact"/>
        <w:ind w:left="9" w:right="200" w:firstLine="472"/>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1、甲方不允许乙方将本项目转包给任何第三方，如发现乙方有转包行为，限令改正。否则，甲方有权终止合同。转包造成甲方损失的，乙方应承担相应赔偿责任，从到期的合同款中扣除。</w:t>
      </w:r>
    </w:p>
    <w:p w14:paraId="43F907C0">
      <w:pPr>
        <w:keepNext w:val="0"/>
        <w:keepLines w:val="0"/>
        <w:pageBreakBefore w:val="0"/>
        <w:widowControl w:val="0"/>
        <w:kinsoku/>
        <w:wordWrap/>
        <w:overflowPunct/>
        <w:topLinePunct w:val="0"/>
        <w:autoSpaceDE/>
        <w:autoSpaceDN/>
        <w:bidi w:val="0"/>
        <w:adjustRightInd/>
        <w:snapToGrid/>
        <w:spacing w:line="480" w:lineRule="exact"/>
        <w:ind w:left="9" w:right="200" w:firstLine="472"/>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2、未经甲方同意，乙方也不得采用分包的形式履行合同，否则，甲方有权终止合同，分包造成甲方损失的，乙方应承担相应赔偿责任，从到期的合同款中扣除。</w:t>
      </w:r>
    </w:p>
    <w:p w14:paraId="3D8E8E05">
      <w:pPr>
        <w:keepNext w:val="0"/>
        <w:keepLines w:val="0"/>
        <w:pageBreakBefore w:val="0"/>
        <w:widowControl w:val="0"/>
        <w:kinsoku/>
        <w:wordWrap/>
        <w:overflowPunct/>
        <w:topLinePunct w:val="0"/>
        <w:autoSpaceDE/>
        <w:autoSpaceDN/>
        <w:bidi w:val="0"/>
        <w:adjustRightInd/>
        <w:snapToGrid/>
        <w:spacing w:line="480" w:lineRule="exact"/>
        <w:ind w:left="486"/>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pacing w:val="-6"/>
          <w:sz w:val="24"/>
          <w:szCs w:val="24"/>
          <w:lang w:val="en-US" w:eastAsia="zh-CN"/>
          <w14:textFill>
            <w14:solidFill>
              <w14:schemeClr w14:val="tx1"/>
            </w14:solidFill>
          </w14:textFill>
        </w:rPr>
        <w:t>九</w:t>
      </w:r>
      <w:r>
        <w:rPr>
          <w:rFonts w:ascii="宋体" w:hAnsi="宋体" w:eastAsia="宋体" w:cs="宋体"/>
          <w:b/>
          <w:bCs/>
          <w:color w:val="000000" w:themeColor="text1"/>
          <w:spacing w:val="-6"/>
          <w:sz w:val="24"/>
          <w:szCs w:val="24"/>
          <w14:textFill>
            <w14:solidFill>
              <w14:schemeClr w14:val="tx1"/>
            </w14:solidFill>
          </w14:textFill>
        </w:rPr>
        <w:t>、其他</w:t>
      </w:r>
      <w:r>
        <w:rPr>
          <w:rFonts w:hint="eastAsia" w:ascii="宋体" w:hAnsi="宋体" w:eastAsia="宋体" w:cs="宋体"/>
          <w:b/>
          <w:bCs/>
          <w:color w:val="000000" w:themeColor="text1"/>
          <w:spacing w:val="-6"/>
          <w:sz w:val="24"/>
          <w:szCs w:val="24"/>
          <w:lang w:val="en-US" w:eastAsia="zh-CN"/>
          <w14:textFill>
            <w14:solidFill>
              <w14:schemeClr w14:val="tx1"/>
            </w14:solidFill>
          </w14:textFill>
        </w:rPr>
        <w:t>事项</w:t>
      </w:r>
    </w:p>
    <w:p w14:paraId="7257AB21">
      <w:pPr>
        <w:keepNext w:val="0"/>
        <w:keepLines w:val="0"/>
        <w:pageBreakBefore w:val="0"/>
        <w:widowControl w:val="0"/>
        <w:kinsoku/>
        <w:wordWrap/>
        <w:overflowPunct/>
        <w:topLinePunct w:val="0"/>
        <w:autoSpaceDE/>
        <w:autoSpaceDN/>
        <w:bidi w:val="0"/>
        <w:adjustRightInd/>
        <w:snapToGrid/>
        <w:spacing w:line="480" w:lineRule="exact"/>
        <w:ind w:left="9" w:right="200" w:firstLine="472"/>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1、本项目招标文件和乙方的投标文件中（以及投标时承诺）被甲方认可的部分为本合同的不可分割的组成部分，与本合同具有同样效力。</w:t>
      </w:r>
    </w:p>
    <w:p w14:paraId="14F6CA7E">
      <w:pPr>
        <w:keepNext w:val="0"/>
        <w:keepLines w:val="0"/>
        <w:pageBreakBefore w:val="0"/>
        <w:widowControl w:val="0"/>
        <w:kinsoku/>
        <w:wordWrap/>
        <w:overflowPunct/>
        <w:topLinePunct w:val="0"/>
        <w:autoSpaceDE/>
        <w:autoSpaceDN/>
        <w:bidi w:val="0"/>
        <w:adjustRightInd/>
        <w:snapToGrid/>
        <w:spacing w:line="480" w:lineRule="exact"/>
        <w:ind w:left="9" w:right="200" w:firstLine="472"/>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乙方自行协调解决本项目实施过程中发生的各种矛盾，甲方不承担任何费用和责任，服务期不顺延；乙方已到项目现场踏勘以充分了解本项目的情况，任何因忽视或误解项目情况而导致的索赔或工期延长申请不被批准。</w:t>
      </w:r>
    </w:p>
    <w:p w14:paraId="112D6261">
      <w:pPr>
        <w:keepNext w:val="0"/>
        <w:keepLines w:val="0"/>
        <w:pageBreakBefore w:val="0"/>
        <w:widowControl w:val="0"/>
        <w:kinsoku/>
        <w:wordWrap/>
        <w:overflowPunct/>
        <w:topLinePunct w:val="0"/>
        <w:autoSpaceDE/>
        <w:autoSpaceDN/>
        <w:bidi w:val="0"/>
        <w:adjustRightInd/>
        <w:snapToGrid/>
        <w:spacing w:line="480" w:lineRule="exact"/>
        <w:ind w:left="9" w:right="200" w:firstLine="472"/>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3、乙方在服务过程中必须确保安全，如造成各种人身伤害、财产损失或其他事故，均由乙方负责处理和经济赔偿，甲方不承担任何责任。</w:t>
      </w:r>
    </w:p>
    <w:p w14:paraId="1456D97D">
      <w:pPr>
        <w:keepNext w:val="0"/>
        <w:keepLines w:val="0"/>
        <w:pageBreakBefore w:val="0"/>
        <w:widowControl w:val="0"/>
        <w:kinsoku/>
        <w:wordWrap/>
        <w:overflowPunct/>
        <w:topLinePunct w:val="0"/>
        <w:autoSpaceDE/>
        <w:autoSpaceDN/>
        <w:bidi w:val="0"/>
        <w:adjustRightInd/>
        <w:snapToGrid/>
        <w:spacing w:line="480" w:lineRule="exact"/>
        <w:ind w:left="9" w:right="200" w:firstLine="472"/>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本合同中的未尽事宜，采购文件中有规定的，按采购文件中的规定处理；没有规定的，双方可协商后进行补充，以书面形式签订补充协议，补充协议与本合同具有同等效力。本合同之附件均为本合同不可分割的组成部分，与本合同具有同等的法律效力。</w:t>
      </w:r>
    </w:p>
    <w:p w14:paraId="47420288">
      <w:pPr>
        <w:keepNext w:val="0"/>
        <w:keepLines w:val="0"/>
        <w:pageBreakBefore w:val="0"/>
        <w:widowControl w:val="0"/>
        <w:kinsoku/>
        <w:wordWrap/>
        <w:overflowPunct/>
        <w:topLinePunct w:val="0"/>
        <w:autoSpaceDE/>
        <w:autoSpaceDN/>
        <w:bidi w:val="0"/>
        <w:adjustRightInd/>
        <w:snapToGrid/>
        <w:spacing w:line="480" w:lineRule="exact"/>
        <w:ind w:left="9" w:right="200" w:firstLine="472"/>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5、合同期满本合同自然终止。</w:t>
      </w:r>
    </w:p>
    <w:p w14:paraId="2A4BF1D6">
      <w:pPr>
        <w:keepNext w:val="0"/>
        <w:keepLines w:val="0"/>
        <w:pageBreakBefore w:val="0"/>
        <w:widowControl w:val="0"/>
        <w:kinsoku/>
        <w:wordWrap/>
        <w:overflowPunct/>
        <w:topLinePunct w:val="0"/>
        <w:autoSpaceDE/>
        <w:autoSpaceDN/>
        <w:bidi w:val="0"/>
        <w:adjustRightInd/>
        <w:snapToGrid/>
        <w:spacing w:line="480" w:lineRule="exact"/>
        <w:ind w:left="9" w:right="200" w:firstLine="472"/>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6、双方约定合同份数：壹式 肆 份，甲方 贰 份，乙方 贰 份。</w:t>
      </w:r>
    </w:p>
    <w:p w14:paraId="3708E0DB">
      <w:pPr>
        <w:keepNext w:val="0"/>
        <w:keepLines w:val="0"/>
        <w:pageBreakBefore w:val="0"/>
        <w:widowControl w:val="0"/>
        <w:kinsoku/>
        <w:wordWrap/>
        <w:overflowPunct/>
        <w:topLinePunct w:val="0"/>
        <w:autoSpaceDE/>
        <w:autoSpaceDN/>
        <w:bidi w:val="0"/>
        <w:adjustRightInd/>
        <w:snapToGrid/>
        <w:spacing w:line="480" w:lineRule="exact"/>
        <w:ind w:left="9" w:right="200" w:firstLine="472"/>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7、本合同自双方签订之日起生效。</w:t>
      </w:r>
    </w:p>
    <w:p w14:paraId="1CB3B1D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Noto Sans SC" w:hAnsi="Noto Sans SC" w:eastAsia="Noto Sans SC" w:cs="Noto Sans SC"/>
          <w:i w:val="0"/>
          <w:iCs w:val="0"/>
          <w:caps w:val="0"/>
          <w:color w:val="000000" w:themeColor="text1"/>
          <w:spacing w:val="0"/>
          <w:sz w:val="27"/>
          <w:szCs w:val="27"/>
          <w14:textFill>
            <w14:solidFill>
              <w14:schemeClr w14:val="tx1"/>
            </w14:solidFill>
          </w14:textFill>
        </w:rPr>
      </w:pPr>
    </w:p>
    <w:p w14:paraId="745A3358">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盖章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盖章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p>
    <w:p w14:paraId="304F0076">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p>
    <w:p w14:paraId="1F31B0FB">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法定代表人</w:t>
      </w:r>
    </w:p>
    <w:p w14:paraId="0A0D7DFF">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或授权</w:t>
      </w:r>
      <w:r>
        <w:rPr>
          <w:rFonts w:hint="eastAsia" w:ascii="宋体" w:hAnsi="宋体" w:eastAsia="宋体" w:cs="宋体"/>
          <w:color w:val="000000" w:themeColor="text1"/>
          <w:sz w:val="24"/>
          <w:szCs w:val="24"/>
          <w:lang w:val="en-US" w:eastAsia="zh-CN"/>
          <w14:textFill>
            <w14:solidFill>
              <w14:schemeClr w14:val="tx1"/>
            </w14:solidFill>
          </w14:textFill>
        </w:rPr>
        <w:t>委托人（签字或盖章）</w:t>
      </w: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或授权</w:t>
      </w:r>
      <w:r>
        <w:rPr>
          <w:rFonts w:hint="eastAsia" w:ascii="宋体" w:hAnsi="宋体" w:eastAsia="宋体" w:cs="宋体"/>
          <w:color w:val="000000" w:themeColor="text1"/>
          <w:sz w:val="24"/>
          <w:szCs w:val="24"/>
          <w:lang w:val="en-US" w:eastAsia="zh-CN"/>
          <w14:textFill>
            <w14:solidFill>
              <w14:schemeClr w14:val="tx1"/>
            </w14:solidFill>
          </w14:textFill>
        </w:rPr>
        <w:t>委托人（签字或盖章）</w:t>
      </w: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color w:val="000000" w:themeColor="text1"/>
          <w:sz w:val="28"/>
          <w:szCs w:val="28"/>
          <w14:textFill>
            <w14:solidFill>
              <w14:schemeClr w14:val="tx1"/>
            </w14:solidFill>
          </w14:textFill>
        </w:rPr>
        <w:t> </w:t>
      </w:r>
    </w:p>
    <w:p w14:paraId="044AC280">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2"/>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lang w:val="en-US" w:eastAsia="zh-CN" w:bidi="ar-SA"/>
          <w14:textFill>
            <w14:solidFill>
              <w14:schemeClr w14:val="tx1"/>
            </w14:solidFill>
          </w14:textFill>
        </w:rPr>
        <w:t xml:space="preserve">  </w:t>
      </w:r>
    </w:p>
    <w:p w14:paraId="3A1B7BB9">
      <w:pPr>
        <w:pStyle w:val="3"/>
        <w:jc w:val="center"/>
        <w:rPr>
          <w:color w:val="000000" w:themeColor="text1"/>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日期：  年   月  日</w:t>
      </w:r>
      <w:bookmarkStart w:id="179" w:name="_Toc479757211"/>
      <w:bookmarkStart w:id="180" w:name="_Toc462564139"/>
      <w:bookmarkStart w:id="181" w:name="_Hlt16619350"/>
      <w:bookmarkStart w:id="182" w:name="_Toc16938590"/>
      <w:bookmarkStart w:id="183" w:name="_Toc20823346"/>
      <w:bookmarkStart w:id="184" w:name="_Toc120614244"/>
      <w:bookmarkStart w:id="185" w:name="_Hlt16619369"/>
      <w:r>
        <w:rPr>
          <w:rFonts w:hint="eastAsia" w:ascii="宋体" w:hAnsi="宋体" w:eastAsia="宋体" w:cs="宋体"/>
          <w:color w:val="000000" w:themeColor="text1"/>
          <w:kern w:val="0"/>
          <w:sz w:val="28"/>
          <w:szCs w:val="28"/>
          <w:lang w:val="en-US" w:eastAsia="zh-CN" w:bidi="ar-SA"/>
          <w14:textFill>
            <w14:solidFill>
              <w14:schemeClr w14:val="tx1"/>
            </w14:solidFill>
          </w14:textFill>
        </w:rPr>
        <w:br w:type="page"/>
      </w:r>
    </w:p>
    <w:p w14:paraId="488DB6EA">
      <w:pPr>
        <w:rPr>
          <w:color w:val="000000" w:themeColor="text1"/>
          <w14:textFill>
            <w14:solidFill>
              <w14:schemeClr w14:val="tx1"/>
            </w14:solidFill>
          </w14:textFill>
        </w:rPr>
        <w:sectPr>
          <w:headerReference r:id="rId6" w:type="default"/>
          <w:footerReference r:id="rId7" w:type="default"/>
          <w:pgSz w:w="11906" w:h="16839"/>
          <w:pgMar w:top="1305" w:right="1395" w:bottom="1190" w:left="1453" w:header="962" w:footer="971" w:gutter="0"/>
          <w:pgNumType w:fmt="decimal"/>
          <w:cols w:space="720" w:num="1"/>
          <w:docGrid w:linePitch="360" w:charSpace="0"/>
        </w:sectPr>
      </w:pPr>
    </w:p>
    <w:p w14:paraId="39B214BE">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color w:val="000000" w:themeColor="text1"/>
          <w14:textFill>
            <w14:solidFill>
              <w14:schemeClr w14:val="tx1"/>
            </w14:solidFill>
          </w14:textFill>
        </w:rPr>
      </w:pPr>
      <w:r>
        <w:rPr>
          <w:rFonts w:hint="eastAsia" w:ascii="黑体" w:hAnsi="宋体" w:eastAsia="黑体" w:cs="黑体"/>
          <w:color w:val="000000" w:themeColor="text1"/>
          <w:sz w:val="44"/>
          <w:szCs w:val="44"/>
          <w14:textFill>
            <w14:solidFill>
              <w14:schemeClr w14:val="tx1"/>
            </w14:solidFill>
          </w14:textFill>
        </w:rPr>
        <w:t>第</w:t>
      </w:r>
      <w:bookmarkEnd w:id="179"/>
      <w:r>
        <w:rPr>
          <w:rFonts w:hint="eastAsia" w:ascii="黑体" w:hAnsi="宋体" w:eastAsia="黑体" w:cs="黑体"/>
          <w:color w:val="000000" w:themeColor="text1"/>
          <w:sz w:val="44"/>
          <w:szCs w:val="44"/>
          <w14:textFill>
            <w14:solidFill>
              <w14:schemeClr w14:val="tx1"/>
            </w14:solidFill>
          </w14:textFill>
        </w:rPr>
        <w:t>四章 采购需求</w:t>
      </w:r>
      <w:bookmarkEnd w:id="180"/>
      <w:bookmarkEnd w:id="181"/>
      <w:bookmarkEnd w:id="182"/>
      <w:bookmarkEnd w:id="183"/>
      <w:bookmarkEnd w:id="184"/>
    </w:p>
    <w:p w14:paraId="73E21DD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bookmarkStart w:id="186" w:name="_Toc120614281"/>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项目属性：服务类项目</w:t>
      </w:r>
    </w:p>
    <w:p w14:paraId="26DE4F90">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项目概况</w:t>
      </w:r>
    </w:p>
    <w:p w14:paraId="02B7EAC1">
      <w:pPr>
        <w:pStyle w:val="13"/>
        <w:keepNext w:val="0"/>
        <w:keepLines w:val="0"/>
        <w:pageBreakBefore w:val="0"/>
        <w:widowControl w:val="0"/>
        <w:numPr>
          <w:ilvl w:val="0"/>
          <w:numId w:val="0"/>
        </w:numPr>
        <w:kinsoku/>
        <w:wordWrap/>
        <w:overflowPunct/>
        <w:topLinePunct w:val="0"/>
        <w:bidi w:val="0"/>
        <w:snapToGrid/>
        <w:spacing w:line="440" w:lineRule="exact"/>
        <w:textAlignment w:val="auto"/>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项目名称：射阳县高级中学物业服务项目</w:t>
      </w:r>
    </w:p>
    <w:p w14:paraId="3B2B9B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项目地点：射阳县高级中学</w:t>
      </w:r>
    </w:p>
    <w:p w14:paraId="70F576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物业服务范围：射阳县高级中学物业服务，包含</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内容</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：宿舍管理、</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校园</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卫生保洁、安保服务及学校安排的其他有关物业管理事项等。详细情况请各投标人自行勘察现场。</w:t>
      </w:r>
    </w:p>
    <w:p w14:paraId="2057B36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2、物业服务范围：</w:t>
      </w:r>
    </w:p>
    <w:p w14:paraId="6ED656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宿管服务内容：为四幢宿舍楼二幢男生宿舍楼、二幢女生宿舍楼，学生在校期间必须全部有人值班，负责学生就寝纪律和人员管理、负责卫生检查整改和公物管理、负责宿舍师生财物和人生安全等。</w:t>
      </w:r>
      <w:r>
        <w:rPr>
          <w:rFonts w:hint="eastAsia" w:asciiTheme="minorEastAsia" w:hAnsiTheme="minorEastAsia" w:eastAsiaTheme="minorEastAsia" w:cstheme="minorEastAsia"/>
          <w:b w:val="0"/>
          <w:bCs w:val="0"/>
          <w:i w:val="0"/>
          <w:iCs w:val="0"/>
          <w:color w:val="000000" w:themeColor="text1"/>
          <w:sz w:val="24"/>
          <w:szCs w:val="24"/>
          <w:lang w:val="en-US" w:eastAsia="zh-CN"/>
          <w14:textFill>
            <w14:solidFill>
              <w14:schemeClr w14:val="tx1"/>
            </w14:solidFill>
          </w14:textFill>
        </w:rPr>
        <w:t>女生南楼学校提供一间宿舍作为值班室，女生北楼提供大厅半间和一楼一间宿舍作为值班室，男生南楼学校提供大厅内二小间作为值班室，男生北楼提供大厅半间和一楼一间宿舍作为值班室。</w:t>
      </w:r>
    </w:p>
    <w:p w14:paraId="79016F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保洁服务内容：厕所保洁包含教学楼、办公楼、餐厅楼、体育馆、平房厕所等场所卫生间保洁；校园场馆保洁包含办公楼、科技楼、</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体育馆、</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图书馆、部分宿舍楼等走廊、楼梯、大厅等场所保洁；校园河内保洁和放假期间（含寒暑假）校园道路保洁等；办公楼五楼、七楼等会务保障，会议室准备含材料摆放、茶水准备、会场倒茶等，</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需</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年龄40岁以下女性；教学楼直饮水机打扫、保洁、清理服务。语文课程基地、化学课程基地楼梯、走廊过道保洁；寒暑假期间校园内场馆保洁如科技楼、图书馆、体育馆、语文和化学两个课程基地等室内功能室保洁；中考、合格考、高考等大型考试期间校园包含道路、教学楼走廊楼梯等保洁；</w:t>
      </w:r>
      <w:bookmarkStart w:id="187" w:name="OLE_LINK1"/>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尊师园保洁打扫含东西两个会议室和廊保洁打扫、尊师园内道路含沿河四周的道路等打扫；</w:t>
      </w:r>
      <w:bookmarkEnd w:id="187"/>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体育馆一楼二楼打扫含二楼南侧男女淋浴间打扫，体育馆楼梯间打扫；图书馆一楼二楼大厅、楼梯等打扫；科技楼所有楼梯、走廊打扫，含二个阶梯教室；男生南楼教师宿舍楼梯、走廓保洁打扫等；学生公寓楼前后广场保洁及楼梯、各楼层走廊保洁。</w:t>
      </w:r>
    </w:p>
    <w:p w14:paraId="63268A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保安服务包含东大门、南大门、校园内保等，负责校园内安全保卫、防火防盗防骗等；负责学生上放学期间大门口安保及外来人员登记；负责学校公物进出校门管理，学校公物需要学校有关部门同意才能放行；负责校园内巡查；负责师生车辆及外来车辆管理；负责消控室值班，</w:t>
      </w:r>
      <w:bookmarkStart w:id="188" w:name="OLE_LINK8"/>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学校消控室值班人员需有相关资质且人员数量符合相关规定，24小时有专人值班能及时处置相关情况</w:t>
      </w:r>
      <w:bookmarkEnd w:id="188"/>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；学生公寓楼有专人值班；学校大型考试如合格考、中考、高考等</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各种</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考试期间安全保卫服务含临时增加保安人数满足相关要求。学校集体活动需要搭台放拱门铺地毯等服务：学校召开家长会和作为合格考、中考、高考等考试考点需要搭台、铺地毯、插彩旗等服务；学校在室外进行百日誓师、成人礼、毕业典礼、励志演讲、教育教学安全应急等各种专项活动时搭台放拱门铺地毯插彩旗等服务；学校校园文化艺术节演出需要搭台铺地毯插彩旗等服务。</w:t>
      </w:r>
    </w:p>
    <w:p w14:paraId="7F651F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学校提供现有安保器械外，垃圾车、扫帚、簸箕、拖把、刷子、三轮车等打扫工具拖垃圾用具的购买和维修维护费用、服装费等全部由中标方承担。物业服务人员的食宿都是自理。</w:t>
      </w:r>
    </w:p>
    <w:p w14:paraId="2F322320">
      <w:pPr>
        <w:pStyle w:val="13"/>
        <w:keepNext w:val="0"/>
        <w:keepLines w:val="0"/>
        <w:pageBreakBefore w:val="0"/>
        <w:widowControl w:val="0"/>
        <w:kinsoku/>
        <w:wordWrap/>
        <w:overflowPunct/>
        <w:topLinePunct w:val="0"/>
        <w:bidi w:val="0"/>
        <w:snapToGrid/>
        <w:spacing w:line="440" w:lineRule="exact"/>
        <w:textAlignment w:val="auto"/>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二、项目总体要求</w:t>
      </w:r>
    </w:p>
    <w:p w14:paraId="36B67A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物业管理</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公司</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应从本物业管理实际出发，根据合同约定的管理服务范围和标准，设立专门的项目管理机构，配备符合要求的物业管理人员、工程专业技术人员和各类服务人员，制定完整、有效的内部管理制度和日常服务运行管理制度等相关制度。</w:t>
      </w:r>
    </w:p>
    <w:p w14:paraId="32691A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物业管理</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公司</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对</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校园</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的环境保洁服务，提供整洁、卫生、美观的环境；物业管理</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公司</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应为办公人员提供优美的工作环境；物业管理</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公司</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对自然灾害、事故灾害、公共卫生事件等突发公共事件建立应急预案，并组织培训、演练。有突发事件 按规定程序及时采取相应措施。</w:t>
      </w:r>
    </w:p>
    <w:p w14:paraId="443DE2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三、物业管理范围及具体服务项目</w:t>
      </w:r>
    </w:p>
    <w:p w14:paraId="30A4D2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射阳县高级中学物业服务，包含</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内容</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：宿舍管理、</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校园</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卫生保洁、安保服务及学校安排的其他有关物业管理事项等。</w:t>
      </w:r>
    </w:p>
    <w:p w14:paraId="284D30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1、保安服务</w:t>
      </w:r>
    </w:p>
    <w:p w14:paraId="7238BD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保安服务包含东大门、南大门、校园内保等，负责校园内安全保卫、防火防盗防骗等；负责学生上放学期间大门口安保及外来人员登记；负责学校公物进出校门管理，学校公物需要学校有关部门同意才能放行；负责校园内巡查；负责师生车辆及外来车辆管理；负责消控室值班，学校消控室值班人员需有相关资质且人员数量符合相关规定，24小时有专人值班能及时处置相关情况；学校大型考试如合格考、中考、高考等</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各种</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考试期间安全保卫服务含临时增加保安人数满足相关要求。学校集体活动需要搭台放拱门铺地毯等服务：学校召开家长会和作为合格考、中考、高考等</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各种</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考试考点需要搭台、铺地毯、插彩旗等服务；学校在室外进行百日誓师、成人礼、毕业典礼、励志演讲、教育教学安全应急等各种专项活动时搭台放拱门铺地毯插彩旗等服务；学校校园文化艺术节演出需要搭台铺地毯插彩旗等服务；学生公寓楼有专人值班；</w:t>
      </w:r>
    </w:p>
    <w:p w14:paraId="06384C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(一)安保职责:</w:t>
      </w:r>
    </w:p>
    <w:p w14:paraId="5CD8458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乙方负责甲方校园范围内的安全保卫以及防火、防盗等防范工作，负责甲方有</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关</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建筑物的大门的开、锁工作。</w:t>
      </w:r>
    </w:p>
    <w:p w14:paraId="16F5B7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学生上学、放学期间，每个大门要确保有两名保安站岗，查验学生校牌或校微佩戴情况，并作好记载，无牌者或无校徽者需在和班主任沟通后方可入内。</w:t>
      </w:r>
    </w:p>
    <w:p w14:paraId="189BA74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正常上课期间，如有学生遇特殊情况需要中途离校，须持有班主任签字的学校统一制式请假条为凭。</w:t>
      </w:r>
    </w:p>
    <w:p w14:paraId="76F8CC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外来人员如需进入校园，</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律需与接待人联系确认后才可进入，并做好登记。如发现可疑情况，需立即向学校安</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保</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卫办公室</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报告。</w:t>
      </w:r>
    </w:p>
    <w:p w14:paraId="40CAA2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学校公物出门，需有学校有关部门的书面证明材料或有关部门当场说明放行，并建立相应台帐。对进入校园的物品要实时查看并做好登记。对与甲方无关的物品(如危险品)严禁入内。</w:t>
      </w:r>
    </w:p>
    <w:p w14:paraId="34902A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放学后，对校园内部进行全面巡查，确保无学生逗留，晚班人员在学生晚自习期间做好巡逻工作;夜间进行不定期的巡逻并做好</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监视</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工作，做好详细记录。</w:t>
      </w:r>
    </w:p>
    <w:p w14:paraId="6AA85F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认真做好其它巡查工作，发现问题，及时向公司和学校安</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保</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卫办公室</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或后勤保障</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办公室</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等部门报告。</w:t>
      </w:r>
    </w:p>
    <w:p w14:paraId="305FD8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甲方如有重大活动，应协助甲方做好必要的安保工作和管理工作。</w:t>
      </w:r>
    </w:p>
    <w:p w14:paraId="58F7482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中、高考及其它大型考试期间多抽调的人员</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能满足相关活动要求</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p>
    <w:p w14:paraId="1154278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负责师生及外来人员的车辆管理工作，指导车辆按指定地点有序地停放，并做好安全巡查工作，并负责车辆停放区域内的卫生。</w:t>
      </w:r>
    </w:p>
    <w:p w14:paraId="195604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11.负责消控室值班，学校消控室值班人员需有相关资质且人员数量符合相关规定，24小时有专人值班能及时处置相关情况；</w:t>
      </w:r>
    </w:p>
    <w:p w14:paraId="776D6C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做好校园内河道</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如枯枝、白色垃圾、青苔浮坪</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的保洁工作以及大门附近环境的保洁工作。</w:t>
      </w:r>
    </w:p>
    <w:p w14:paraId="708B9B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13.学校集体活动需要搭台放拱门铺地毯等服务：学校召开家长会和作为合格考、中考、高考等考试考点需要搭台、铺地毯、插彩旗等服务；学校在室外进行百日誓师、成人礼、毕业典礼、励志演讲、教育教学安全应急等各种专项活动时搭台放拱门铺地毯插彩旗等服务；学校校园文化艺术节演出需要搭台铺地毯插彩旗等服务。</w:t>
      </w:r>
    </w:p>
    <w:p w14:paraId="6EA894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宿舍管理工作</w:t>
      </w:r>
    </w:p>
    <w:p w14:paraId="25D2ED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宿管服务内容为四幢宿舍楼二幢男生宿舍楼、二幢女生宿舍楼，学生在校期间必须全部有人值班，负责学生就寝纪律和人员管理、负责卫生检查整改和公物管理、负责宿舍师生财物和人生安全等。</w:t>
      </w:r>
    </w:p>
    <w:p w14:paraId="7EAA02D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（一）宿管</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职责:</w:t>
      </w:r>
    </w:p>
    <w:p w14:paraId="6181FE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严格遵守学校的管理制度和作息时间，忠于职守，不擅自脱岗。</w:t>
      </w:r>
    </w:p>
    <w:p w14:paraId="391D09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按时开关宿舍门，学生不得在上课或自习期间进入宿舍。禁止男生进入女生宿舍或女生进入男生宿舍。进入学生宿舍的家长必需在学生的陪同下进入学生宿舍，遵守宿舍管理规定，服从管理，其他人未经管理员同意不得随意进入学生宿舍。学生不得留宿家长或其他校外人员。</w:t>
      </w:r>
    </w:p>
    <w:p w14:paraId="2BB0E6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做好学生宿舍的走廊、楼梯及卫生间的卫生保洁督查工作，做到无污水、无</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尘土</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无垃圾;定期用清洁剂</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酸</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洗便槽、蹲坑。</w:t>
      </w:r>
    </w:p>
    <w:p w14:paraId="73DE3F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检查和督促学生遵守作息时间，确保学生按时休息，按时起身。检查并督促学生</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不</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得在宿舍使用手机、MP3等电子产品。</w:t>
      </w:r>
    </w:p>
    <w:p w14:paraId="564B97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及时督查宿舍门窗的关锁情况，确保门窗等公物无损坏和学生室内物品和人身的</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安</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全，如发生物品遗失或失窃并查明是管理员的责任的，要作相应的处罚。</w:t>
      </w:r>
    </w:p>
    <w:p w14:paraId="407935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每天学生上课后，及时检查学生宿舍，查看有无学生滞留宿舍等情况、学生宿舍的卫生情况、学生宿舍的水电情况等，并做好记载。</w:t>
      </w:r>
    </w:p>
    <w:p w14:paraId="6BEA71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严禁学生在宿舍吸烟、酗酒、打牌等，严禁学生在宿舍闹事，发现情况应立即制止并向有关部门汇报。如发生情况并查明是管理疏忽所致的，管理员应承担相应的责任。</w:t>
      </w:r>
    </w:p>
    <w:p w14:paraId="00E195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每天学生就寝后，及时检查学生人数，对无正当理由没有及时回宿舍就寝的或彻夜不归的同学应做好记载，及时上报有关部门并通知相关班主任。</w:t>
      </w:r>
    </w:p>
    <w:p w14:paraId="5DA470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严禁校外人员在宿舍闹事，一旦发现有此类事件的苗头，应该先关好大门，保护好学生，再向学校安</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保</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卫办公室</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汇报。</w:t>
      </w:r>
    </w:p>
    <w:p w14:paraId="430401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制止学生破坏公物等行为。对学生破坏公物的，应及时向学校有关部门报告，以便及时处理和修理。</w:t>
      </w:r>
    </w:p>
    <w:p w14:paraId="0A090F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4"/>
          <w:szCs w:val="24"/>
          <w:lang w:val="en-US" w:eastAsia="zh-CN"/>
          <w14:textFill>
            <w14:solidFill>
              <w14:schemeClr w14:val="tx1"/>
            </w14:solidFill>
          </w14:textFill>
        </w:rPr>
        <w:t>11.学生宿舍内不得出现宿管将某间空宿舍作为储物间存放纸箱、瓶子、旧书等杂物。</w:t>
      </w:r>
    </w:p>
    <w:p w14:paraId="47E13A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4"/>
          <w:szCs w:val="24"/>
          <w:lang w:val="en-US" w:eastAsia="zh-CN"/>
          <w14:textFill>
            <w14:solidFill>
              <w14:schemeClr w14:val="tx1"/>
            </w14:solidFill>
          </w14:textFill>
        </w:rPr>
        <w:t>12.晚值班宿管必须在指定大厅值班室值班。</w:t>
      </w:r>
    </w:p>
    <w:p w14:paraId="08A6FD7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卫生保洁工作</w:t>
      </w:r>
    </w:p>
    <w:p w14:paraId="41D11A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保洁服务内容：厕所保洁包含教学楼、办公楼、餐厅楼、体育馆、平房厕所等场所卫生间保洁；校园场馆保洁包含办公楼、科技楼、体育馆、图书馆、部分宿舍楼等走廊、楼梯、大厅等场所保洁；校园河内保洁和放假期间（含寒暑假）校园道路保洁等；办公楼五楼、七楼等会务保障，会议室准备含材料摆放、茶水准备、会场倒茶等，年龄40岁以下女性；教学楼直饮水机打扫、保洁、清理服</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务。语文课程基地、化学课程基地楼梯、走廊过道保洁；寒暑假期间校园内场馆保洁如科技楼、图书馆、体育馆、语文和化学两个课程基地等室内功能室保洁；中考、合格考、高考等大型考试期间校园包含道路、教学楼走廊楼梯等保洁；尊师园保洁打扫含东西两个会议室和廊保洁打扫、尊师园内道路含沿河四周的道路等打扫；体育馆一楼二楼打扫含二楼南侧男女淋浴间打扫，体育馆楼梯间打扫；图书馆一楼二楼大厅、楼梯等打扫；科技楼所有楼梯、走廊打扫，含二个阶梯教室；男生南楼教师宿舍楼梯、走廓保洁打扫等；学生公寓楼前后广场保洁及楼梯、各楼层走廊保洁。每天有专人检查打扫情况和督促打扫不到位整改记录。</w:t>
      </w:r>
    </w:p>
    <w:p w14:paraId="14314F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第一项为厕所保洁：包含三幢教学楼厕所保洁、餐厅楼一楼二楼三楼厕所保洁、办公楼厕所保洁、体育馆厕所和淋浴间保洁、平房厕所保洁、男生北楼一楼公共卫生间保洁。</w:t>
      </w:r>
    </w:p>
    <w:p w14:paraId="37D4D3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第二项为场馆打扫服务：包含办公楼一楼大厅、七楼会议室、二至六层走廊、大厅含电梯、玻璃门、玻璃、东西楼梯等场所打扫；宿舍楼包含男生南楼东侧教师宿舍楼梯、玻璃、走廊等打扫；高三男生宿舍楼一楼西侧走廊等；体育馆一楼、二楼走廊场馆打扫，含楼梯</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、玻璃门</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科技楼包含各楼层走廊和大厅，一楼、二楼阶梯教室；图书馆包含一楼二楼大厅及楼梯打扫；尊师园含东西两个会议室和廊保洁打扫、尊师园内道路包含沿河四周的路等打扫；学生公寓楼各楼层走廊、北窗及楼梯、楼前楼后场地等保洁；语文课程基地、化学课程基地楼梯、走廊过道保洁；寒暑假期间校园环境保洁如校园道路等打扫。寒暑假期间校园内场馆保洁如科技楼、图书馆、体育馆、语文和化学两个课程基地等室内功能室保洁；</w:t>
      </w:r>
    </w:p>
    <w:p w14:paraId="272E83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第三项校园内所有河内保洁及直饮水机保洁。校园内所有河内杂物清理如枯枝、白色垃圾、清苔浮坪等；教学楼直饮水机打扫、保洁、清理服务。</w:t>
      </w:r>
    </w:p>
    <w:p w14:paraId="7503AB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第四项其它服务，学校大型考试如合格考、中考、高考等考试期间校园、教学楼走廊楼梯打扫；办公楼七楼、五楼会务保障，会议室准备含材料摆放、茶水准备、会场倒茶等，年龄40岁以下女性。</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遇到重大活动时乙方必须无偿负责某一具体区域的临时保洁任务。</w:t>
      </w:r>
    </w:p>
    <w:p w14:paraId="3370045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物业服务人员配备及要求:</w:t>
      </w:r>
    </w:p>
    <w:p w14:paraId="3201B6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为保证提供便捷高效的服务，物业服务人员计</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 xml:space="preserve"> 1</w:t>
      </w:r>
      <w:r>
        <w:rPr>
          <w:rFonts w:hint="eastAsia" w:asciiTheme="minorEastAsia" w:hAnsiTheme="minorEastAsia" w:cstheme="minorEastAsia"/>
          <w:b w:val="0"/>
          <w:bCs w:val="0"/>
          <w:color w:val="000000" w:themeColor="text1"/>
          <w:sz w:val="24"/>
          <w:szCs w:val="24"/>
          <w:u w:val="single"/>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人，其中:项目负责人</w:t>
      </w:r>
      <w:r>
        <w:rPr>
          <w:rFonts w:hint="eastAsia" w:asciiTheme="minorEastAsia" w:hAnsiTheme="minorEastAsia" w:eastAsiaTheme="minorEastAsia" w:cstheme="minorEastAsia"/>
          <w:b w:val="0"/>
          <w:bCs w:val="0"/>
          <w:color w:val="000000" w:themeColor="text1"/>
          <w:sz w:val="24"/>
          <w:szCs w:val="24"/>
          <w:u w:val="single"/>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人，身体</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健</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康且不超过55周岁，大专及以上学历，为保证提供便捷高效的服务，项月负责人须常驻项目所在地。宿舍管理员</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 xml:space="preserve"> 4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人</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男、女</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各</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 xml:space="preserve"> 2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人</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身体健康且男</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55</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周岁以下、女50周岁</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初中学历</w:t>
      </w: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工作满5年</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男宿管</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可以放宽至60周岁</w:t>
      </w: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女</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宿管</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55周岁</w:t>
      </w: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。卫生保洁员</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 xml:space="preserve"> 5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人，男女不限，男</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55</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周岁以下、女5</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周岁以下，初中学历</w:t>
      </w: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工作满5年</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男保洁</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可以放宽至60周岁</w:t>
      </w: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女</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保洁</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55周岁</w:t>
      </w: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。安保人员</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 xml:space="preserve"> 6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人(</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女保安最多一人</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 , </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55</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周岁以下，需经过正规的安保业务培训，具有保安证且不超过</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55</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周岁以下，初中学历</w:t>
      </w: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工作满5年可以放宽至60周岁</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女保安55周岁）</w:t>
      </w: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所有人员须身体健康，形象端正，无重大器官残疾或传染疾病，无不良嗜好，能对工作认真负责，上岗后所有人员均要有健康证。本项目包含但不限于安保服务、保洁服务、宿舍管理员等工作。人员调配满足采购人的需求，具体采购范围及所应达到的具体要求。</w:t>
      </w:r>
    </w:p>
    <w:p w14:paraId="16FD89E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服务要求:</w:t>
      </w:r>
    </w:p>
    <w:p w14:paraId="0B1826C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(一)、保安服务要求</w:t>
      </w:r>
    </w:p>
    <w:p w14:paraId="36839A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乙方聘用的专职保安人员应持有保安证且年龄不应超过55周岁</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女保安50周岁）</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。甲方将对乙方保安人员的身份进行审核，不符合学校要求的不予录用。</w:t>
      </w:r>
    </w:p>
    <w:p w14:paraId="0AD3C9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2.甲方辖区内保安人员的管理、绩效考核等，实行甲乙双方共同负</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责</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的原则，甲方派专人负责与乙方工作协调，定人、定岗、定责。</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学生上学、放学时段两名保安必须全部在门口立岗，学生放假返校期间两名保安必须全部在门口立岗，教师上班时段两名保安必须全部在门口立岗。</w:t>
      </w:r>
    </w:p>
    <w:p w14:paraId="4DF37E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乙方负责保安队员的教育、管理、训练和考核，对执勤、值班期间违反合同规定和学校规章制度的，学校将按制定的考核条例对物业公司进行处理，以适应学校安保工作需要。</w:t>
      </w:r>
    </w:p>
    <w:p w14:paraId="63B0A9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乙方保安人员因病或其他原因缺勤的，由乙方负</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责</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及时调配，确保24小时有人在岗在位，有效开展安全防范等工作，对确实不适应甲方保安服务需要的人员，由乙方予以调整。</w:t>
      </w:r>
    </w:p>
    <w:p w14:paraId="46B219C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、保洁服务要求</w:t>
      </w:r>
    </w:p>
    <w:p w14:paraId="10ED39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1.保洁</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总体要求:</w:t>
      </w:r>
    </w:p>
    <w:p w14:paraId="7033AE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(1)全天候保洁，具体要求另附。</w:t>
      </w:r>
    </w:p>
    <w:p w14:paraId="524FEA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(2)所有劳动卫生工具由乙方自备，要爱护负责区域的公用设施，发现损坏公物的要及时报告。</w:t>
      </w:r>
    </w:p>
    <w:p w14:paraId="2835A4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(3)树立全心全意服务教学的思想，尽责尽职，吃苦耐劳，忠于职守。尊敬教师，爱护学生，遵守劳动纪律，不迟到，不早退，工作时间内有事要请假。</w:t>
      </w:r>
    </w:p>
    <w:p w14:paraId="4A6519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 注意节水节电，随手关灯、关水。</w:t>
      </w:r>
    </w:p>
    <w:p w14:paraId="596207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(5)工作中发现和捡拾物品要交公</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p>
    <w:p w14:paraId="24F643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(6)完成保洁责任区工作外，领导交办的其他事项。</w:t>
      </w:r>
    </w:p>
    <w:p w14:paraId="547CA0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教学楼</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办公楼平房厕所餐厅楼</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保洁(2#、4#、5#、办公楼、平房公厕</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餐厅楼</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p>
    <w:p w14:paraId="02B330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每天上下午各打扫一次，项目经理必须做到有检查有记录有整改有反馈。</w:t>
      </w:r>
    </w:p>
    <w:p w14:paraId="7BA587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保持便坑、小便斗、无黄斑、无污垢，地面无积水、无污垢。</w:t>
      </w:r>
    </w:p>
    <w:p w14:paraId="175B5D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便坑、小便斗、台盆、拖把池、地漏等下水畅通。</w:t>
      </w:r>
    </w:p>
    <w:p w14:paraId="3EEE23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台盆、拖把池干净。</w:t>
      </w:r>
    </w:p>
    <w:p w14:paraId="35F2E0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厕所无异味。</w:t>
      </w:r>
    </w:p>
    <w:p w14:paraId="6157D9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门窗做到清洁、卫生。</w:t>
      </w:r>
    </w:p>
    <w:p w14:paraId="4D2851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禁用酸清洗便坑、小便斗地、地面磁砖等。</w:t>
      </w:r>
    </w:p>
    <w:p w14:paraId="714344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8.每天中午及晚间学生放出后检查水龙头、便坑冲水</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阀</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等的关闭及损环</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情况</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，对未关及时关好，有损坏的及时处理或报告后勤保障</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办公室</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p>
    <w:p w14:paraId="43DBAB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9.寒</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暑假、国庆、五一等假期，如果保洁人员所负责的教学楼无学生，则相关人员</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负责</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对校园主要道路进行保洁。</w:t>
      </w:r>
    </w:p>
    <w:p w14:paraId="20E812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卫生间内有公物损坏的，及时上报后勤保障</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办公室</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，并跟踪维修情况。</w:t>
      </w:r>
    </w:p>
    <w:p w14:paraId="594876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11</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因特殊活动，如:上级检查、重大活动等，必须</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无</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条件做好学校临时性安排的任务。</w:t>
      </w:r>
    </w:p>
    <w:p w14:paraId="1155BB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公寓楼保洁:</w:t>
      </w:r>
    </w:p>
    <w:p w14:paraId="4527D1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每天上下午各打扫一次，项目经理有检查有记录有整改有反馈。</w:t>
      </w:r>
    </w:p>
    <w:p w14:paraId="20DDA8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打扫范围及要求:各楼层走廊(门市走廊除外)、楼梯、楼梯踏步下面、北</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窗</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子、围墙内广场、及楼前广场;要求:确保任何时候都清洁、卫生、无杂物，物品、车辆摆放整齐。</w:t>
      </w:r>
    </w:p>
    <w:p w14:paraId="5A0BEA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认真完成学校所布置的各项临时性任务。</w:t>
      </w:r>
    </w:p>
    <w:p w14:paraId="600A82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体育馆保洁:</w:t>
      </w:r>
    </w:p>
    <w:p w14:paraId="5B10F2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每天上下午对一楼、二楼场馆进行打扫，场馆无杂物。</w:t>
      </w:r>
    </w:p>
    <w:p w14:paraId="50367E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每天上下午对体育馆厕所各打扫一次，项目经理有检查有记录有整改有反馈。</w:t>
      </w:r>
    </w:p>
    <w:p w14:paraId="6ACAE0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保持便坑、小偷便斗、无黄斑、无污垢，地面无积水、无污垢。</w:t>
      </w:r>
    </w:p>
    <w:p w14:paraId="518B14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便坑、小便斗、台盆、拖把池、地漏等下水畅通。</w:t>
      </w:r>
    </w:p>
    <w:p w14:paraId="3B4A16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台盆、拖把池干净。</w:t>
      </w:r>
    </w:p>
    <w:p w14:paraId="66EF7E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厕所无异味。</w:t>
      </w:r>
    </w:p>
    <w:p w14:paraId="6A609E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窗子、气窗、门等明窗净几，卫生无蜘蛛网、无浮灰等。</w:t>
      </w:r>
    </w:p>
    <w:p w14:paraId="651C45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严禁用酸清洗便坑、小便斗地、地面磁砖等。</w:t>
      </w:r>
    </w:p>
    <w:p w14:paraId="577BCB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每天中午及晚间学生放出后检查水龙头、便坑冲水阀等的关闭及损坏情况，对未关及时关好，有损坏的及时处理或报告后勤保障</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办公室</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p>
    <w:p w14:paraId="254A6C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寒、暑假、国庆、五一等假期，如果保洁人员所负责的教学楼无学生，则相关人员负责对对校园主要道路进行保洁。</w:t>
      </w:r>
    </w:p>
    <w:p w14:paraId="656DD3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11</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卫生间内有公物损坏的，及时上报后勤保障</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办公室</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，并跟踪维修情况。</w:t>
      </w:r>
    </w:p>
    <w:p w14:paraId="477761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12</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因特殊活动，如上级检查、 重大活动等，必须</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无</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条件做好学校临时性安排的任务。</w:t>
      </w:r>
    </w:p>
    <w:p w14:paraId="06EADB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公寓楼保安:</w:t>
      </w:r>
    </w:p>
    <w:p w14:paraId="20E0AD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每天早5:40-6:40, 中午1</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0-14:10,晚2</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:30-22:</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40</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对公寓楼前后车辆进行管理,严禁走读学生将车辆停放在公寓楼前后。</w:t>
      </w:r>
    </w:p>
    <w:p w14:paraId="00377B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在上述时段对公寓楼周边进行治安巡查，杜绝学生在公寓楼周边出现抽烟、打架、谈恋爱、聚众事件等情况发生。</w:t>
      </w:r>
    </w:p>
    <w:p w14:paraId="7F4597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中午12:00-13:30, 20-22:40 对公寓楼各楼层进行巡查，督促各租户在午休、晚就寝期间不能出现对他人有影响的各种声响。</w:t>
      </w:r>
    </w:p>
    <w:p w14:paraId="7D0670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帮助协调楼上楼下左邻在舍关系，及时将租户合理要求反馈给学校。</w:t>
      </w:r>
    </w:p>
    <w:p w14:paraId="2B35C4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完成学校安排的临时性任务，如宣传材料发放</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安全隐患排查</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等。</w:t>
      </w:r>
    </w:p>
    <w:p w14:paraId="32BDCB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办公楼保洁:</w:t>
      </w:r>
    </w:p>
    <w:p w14:paraId="032FF6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每天上、下午都对办公楼对各楼层走廊、楼梯、楼梯踏步下面进行保洁。</w:t>
      </w:r>
    </w:p>
    <w:p w14:paraId="58CDA7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一楼车库、二楼大厅、七楼会议</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室</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保洁。</w:t>
      </w:r>
    </w:p>
    <w:p w14:paraId="7E13F7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二楼大厅每对玻璃门及磁砖进行擦洗，确保无灰尘。</w:t>
      </w:r>
    </w:p>
    <w:tbl>
      <w:tblPr>
        <w:tblStyle w:val="11"/>
        <w:tblW w:w="950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8"/>
        <w:gridCol w:w="6837"/>
      </w:tblGrid>
      <w:tr w14:paraId="2A47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68" w:type="dxa"/>
          </w:tcPr>
          <w:p w14:paraId="3ADAA3A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#教学楼卫生间</w:t>
            </w:r>
          </w:p>
        </w:tc>
        <w:tc>
          <w:tcPr>
            <w:tcW w:w="6837" w:type="dxa"/>
          </w:tcPr>
          <w:p w14:paraId="06B43FC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包括墙面、天花、门窗、档板、地面、水池、拖把池、台盆、便坑、小便池等。</w:t>
            </w:r>
          </w:p>
        </w:tc>
      </w:tr>
      <w:tr w14:paraId="4A1A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tcPr>
          <w:p w14:paraId="66C7D83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4#教学楼卫生间</w:t>
            </w:r>
          </w:p>
        </w:tc>
        <w:tc>
          <w:tcPr>
            <w:tcW w:w="6837" w:type="dxa"/>
          </w:tcPr>
          <w:p w14:paraId="29676DA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包括墙面、天花、门窗、档板、地面、水池、拖把池、台盆、便坑、小便池等。</w:t>
            </w:r>
          </w:p>
        </w:tc>
      </w:tr>
      <w:tr w14:paraId="1402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tcPr>
          <w:p w14:paraId="7092449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#教学楼卫生间</w:t>
            </w:r>
          </w:p>
        </w:tc>
        <w:tc>
          <w:tcPr>
            <w:tcW w:w="6837" w:type="dxa"/>
          </w:tcPr>
          <w:p w14:paraId="48117D0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包括墙面、天花、门窗、档板、地面、水池、拖把池、台盆、便坑、小便池等。</w:t>
            </w:r>
          </w:p>
        </w:tc>
      </w:tr>
      <w:tr w14:paraId="4130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tcPr>
          <w:p w14:paraId="3FE1551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办公楼卫生间</w:t>
            </w:r>
          </w:p>
        </w:tc>
        <w:tc>
          <w:tcPr>
            <w:tcW w:w="6837" w:type="dxa"/>
          </w:tcPr>
          <w:p w14:paraId="4BDA69C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包括墙面、天花、门窗、档板、地面、水池、拖把池、台盆、便坑、小便池等。</w:t>
            </w:r>
          </w:p>
        </w:tc>
      </w:tr>
      <w:tr w14:paraId="72FE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tcPr>
          <w:p w14:paraId="7903811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办公楼各楼层保洁</w:t>
            </w:r>
          </w:p>
        </w:tc>
        <w:tc>
          <w:tcPr>
            <w:tcW w:w="6837" w:type="dxa"/>
          </w:tcPr>
          <w:p w14:paraId="73E8834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包括2-6楼层走廊、 楼梯，二、七楼大厅、</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楼车库、 七楼会议室。</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五楼、七楼会务保障。</w:t>
            </w:r>
          </w:p>
        </w:tc>
      </w:tr>
      <w:tr w14:paraId="22A9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668" w:type="dxa"/>
          </w:tcPr>
          <w:p w14:paraId="76506CA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平房公厕</w:t>
            </w:r>
          </w:p>
        </w:tc>
        <w:tc>
          <w:tcPr>
            <w:tcW w:w="6837" w:type="dxa"/>
          </w:tcPr>
          <w:p w14:paraId="7040649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东西两平房厕所、餐厅楼1-3层、卫生间。</w:t>
            </w:r>
          </w:p>
        </w:tc>
      </w:tr>
      <w:tr w14:paraId="1333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tcPr>
          <w:p w14:paraId="2822182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体育馆及单身宿舍保洁</w:t>
            </w:r>
          </w:p>
        </w:tc>
        <w:tc>
          <w:tcPr>
            <w:tcW w:w="6837" w:type="dxa"/>
          </w:tcPr>
          <w:p w14:paraId="3D42E04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体育馆二楼厕所、高三男生宿舍一楼厕</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所</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体育馆一楼、二楼大厅，体育馆二楼南侧淋浴间及楼梯等打扫；男生南楼东侧楼梯、走廊打扫保洁。</w:t>
            </w:r>
          </w:p>
        </w:tc>
      </w:tr>
      <w:tr w14:paraId="71A8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tcPr>
          <w:p w14:paraId="3500FE2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p>
          <w:p w14:paraId="0654D0C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学生公寓楼保洁</w:t>
            </w:r>
          </w:p>
        </w:tc>
        <w:tc>
          <w:tcPr>
            <w:tcW w:w="6837" w:type="dxa"/>
          </w:tcPr>
          <w:p w14:paraId="453D340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color w:val="000000" w:themeColor="text1"/>
                <w:sz w:val="24"/>
                <w:szCs w:val="24"/>
                <w:vertAlign w:val="baseli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学生公寓2-6楼层走廊、楼梯及楼梯下面，公寓楼北至北围墙、东至东围墙、西至西围墙，南至非机动车路(不含一楼门市走廊).</w:t>
            </w:r>
          </w:p>
        </w:tc>
      </w:tr>
      <w:tr w14:paraId="49F0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tcPr>
          <w:p w14:paraId="2D77A98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图书馆</w:t>
            </w:r>
          </w:p>
        </w:tc>
        <w:tc>
          <w:tcPr>
            <w:tcW w:w="6837" w:type="dxa"/>
          </w:tcPr>
          <w:p w14:paraId="5C342EC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包括一楼二楼大厅和楼梯打扫。</w:t>
            </w:r>
          </w:p>
        </w:tc>
      </w:tr>
      <w:tr w14:paraId="2364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tcPr>
          <w:p w14:paraId="02C847A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科技楼</w:t>
            </w:r>
          </w:p>
        </w:tc>
        <w:tc>
          <w:tcPr>
            <w:tcW w:w="6837" w:type="dxa"/>
          </w:tcPr>
          <w:p w14:paraId="5135178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科技楼包含各楼层走廊和大厅，含一楼、二楼阶梯教室；</w:t>
            </w:r>
          </w:p>
        </w:tc>
      </w:tr>
      <w:tr w14:paraId="3D07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tcPr>
          <w:p w14:paraId="5D441E9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尊师园</w:t>
            </w:r>
          </w:p>
        </w:tc>
        <w:tc>
          <w:tcPr>
            <w:tcW w:w="6837" w:type="dxa"/>
          </w:tcPr>
          <w:p w14:paraId="205DC19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尊师园含东西两个会议室和廊保洁打扫、尊师园内道路包含沿河四周的路等打扫；</w:t>
            </w:r>
          </w:p>
        </w:tc>
      </w:tr>
      <w:tr w14:paraId="6985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tcPr>
          <w:p w14:paraId="55F33A1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校园河内</w:t>
            </w:r>
          </w:p>
        </w:tc>
        <w:tc>
          <w:tcPr>
            <w:tcW w:w="6837" w:type="dxa"/>
          </w:tcPr>
          <w:p w14:paraId="19FD7D7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校园内所有河内保洁，校园内所有河内杂物清理如枯枝、白色垃圾、清苔浮坪等。</w:t>
            </w:r>
          </w:p>
        </w:tc>
      </w:tr>
      <w:tr w14:paraId="64DE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tcPr>
          <w:p w14:paraId="3EC9A7F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语文课程基地</w:t>
            </w:r>
          </w:p>
        </w:tc>
        <w:tc>
          <w:tcPr>
            <w:tcW w:w="6837" w:type="dxa"/>
          </w:tcPr>
          <w:p w14:paraId="2D1DE42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楼梯、走廊过道保洁；寒暑假期间校园内场馆保洁如科技楼、图书馆、体育馆、语文和化学两个课程基地等室内功能室保洁；</w:t>
            </w:r>
          </w:p>
        </w:tc>
      </w:tr>
      <w:tr w14:paraId="0C81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tcPr>
          <w:p w14:paraId="3D09B25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化学课程基地</w:t>
            </w:r>
          </w:p>
        </w:tc>
        <w:tc>
          <w:tcPr>
            <w:tcW w:w="6837" w:type="dxa"/>
          </w:tcPr>
          <w:p w14:paraId="1F08252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楼梯、走廊过道保洁；寒暑假期间校园内场馆保洁如科技楼、图书馆、体育馆、语文和化学两个课程基地等室内功能室保洁；</w:t>
            </w:r>
          </w:p>
        </w:tc>
      </w:tr>
    </w:tbl>
    <w:p w14:paraId="28D19EC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三）宿舍管理要求</w:t>
      </w:r>
    </w:p>
    <w:p w14:paraId="79A3A8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宿舍管理员:</w:t>
      </w:r>
    </w:p>
    <w:p w14:paraId="32B678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不准宿舍管理员在宿舍使用大功率电器如电磁炉、电热水壶、液化气等。</w:t>
      </w:r>
    </w:p>
    <w:p w14:paraId="6997EE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不准宿舍管理员帮助学生代购、代洗衣服，不准宿舍管理人员为学生代伙。</w:t>
      </w:r>
    </w:p>
    <w:p w14:paraId="285A8C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不准宿舍管理员在宿舍楼内销售一切物品。</w:t>
      </w:r>
    </w:p>
    <w:p w14:paraId="7A6FD2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宿舍服务要求:</w:t>
      </w:r>
    </w:p>
    <w:p w14:paraId="380CCE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每幢宿舍楼要保证有宿舍管员在岗</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其中中午12:00--14:00必须全程检查</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主要检查学生午休情况</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，学生放假返校期间宿管必须在岗</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p>
    <w:p w14:paraId="50A3AC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每幢宿舍楼最多只提供一间值班室和学生宿舍，值班室和提供的学生宿舍只能用于宿管员本人居住，不得用于烧饭，不得提供给他人居住(含家人)。</w:t>
      </w:r>
    </w:p>
    <w:p w14:paraId="2DAC77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宿舍管员要负</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责</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所管辖宿含楼的公共卫生打扫和</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宿舍</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楼附近区域卫生杂草清除等。所管辖宿舍的公共卫生指的是所在宿含楼的卫生间和</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各</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楼</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层</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走廊、楼梯的卫生(含窗户)打扫。宿舍楼附近区域卫生打扫为:①女生南楼、北楼共周负</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责</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大院内(含竹林)卫生及杂草清理，南、北楼各负责一半区域，南楼还负</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责</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南外侧学校区域;</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浴室东侧男生宿舍楼负责区域为大院内的所有区域。(学生只负责宿舍内部环境卫生打扫。)</w:t>
      </w:r>
    </w:p>
    <w:p w14:paraId="71F6A8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学生在宿舍期间，宿舍管员必须在岗负责管理学生安全保障、休息纪律维持和休息秩序检查等。</w:t>
      </w:r>
    </w:p>
    <w:p w14:paraId="3EFC50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宿舍管</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理</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员不得从事于本职工作无关的事情，如果发现将学生宿舍提供给外人(含学生)居住的、在宿舍烧饭、向学生销售学习用品、生活用品等物资的，第一次扣款500元，第二次1000元，第三次2000元。出现三次的要求物业公司更换宿舍管</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理</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员。</w:t>
      </w:r>
    </w:p>
    <w:p w14:paraId="56884FB0">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物业公司没有按照规定安排宿舍管员在岗的，第一次扣款1000元，第二次扣款2000元，第三次扣款4000元，出现三次的，学校有权无条件中止合同。</w:t>
      </w:r>
    </w:p>
    <w:p w14:paraId="35DF040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、价格测算要求:</w:t>
      </w:r>
    </w:p>
    <w:p w14:paraId="63AF9BB5">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本项目最高限价为人民币</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76.00</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万元，超过限价的投标均为无效投标。同时本项目反对不正当竞争(恶意低价或哄抬高价)。报价应包括所有拟投入人员(不少于</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人)费用，含工资(不得低于射阳县最低工资标准</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2010</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元/月)、社保费(最低缴费基数</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4879</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元，单位承担部分:养老16%、医疗8%、失业0.5%、工伤0.</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%、生育0.9%) 以及大病保险、国家法定节假日加班费等补助、办公费、固定资产折旧费、法定税费及公众责任保险费和合理利润外，还应包括:管理、劳务、培训、体检、国家法定假日加班、高温补助、服装、耗材、 风险、税金及政策性文件规定等各项应有费用，以及为完成招标文件规定服务工作所涉及到的一切相关费用。( 上述数据请投标人作参考，如与国家规定有不相符的地方，以相关文件为准)。</w:t>
      </w:r>
    </w:p>
    <w:p w14:paraId="3C84645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、履约时间:</w:t>
      </w:r>
    </w:p>
    <w:p w14:paraId="0BAC87A2">
      <w:pPr>
        <w:pStyle w:val="8"/>
        <w:keepNext w:val="0"/>
        <w:keepLines w:val="0"/>
        <w:pageBreakBefore w:val="0"/>
        <w:kinsoku/>
        <w:wordWrap/>
        <w:overflowPunct/>
        <w:topLinePunct w:val="0"/>
        <w:autoSpaceDE/>
        <w:autoSpaceDN/>
        <w:bidi w:val="0"/>
        <w:adjustRightInd/>
        <w:snapToGrid/>
        <w:spacing w:beforeAutospacing="0" w:afterAutospacing="0" w:line="440" w:lineRule="exact"/>
        <w:ind w:firstLine="48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合同签订后三天内人员安排到位，自合同签订之日起，服务期限一年</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p>
    <w:p w14:paraId="6E39A38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、付款方式:</w:t>
      </w:r>
    </w:p>
    <w:p w14:paraId="681523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val="zh-CN" w:eastAsia="zh-CN"/>
          <w14:textFill>
            <w14:solidFill>
              <w14:schemeClr w14:val="tx1"/>
            </w14:solidFill>
          </w14:textFill>
        </w:rPr>
        <w:t>合同签订后，甲方支付合同总价的</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30</w:t>
      </w:r>
      <w:r>
        <w:rPr>
          <w:rFonts w:hint="eastAsia" w:asciiTheme="minorEastAsia" w:hAnsiTheme="minorEastAsia" w:eastAsiaTheme="minorEastAsia" w:cstheme="minorEastAsia"/>
          <w:b w:val="0"/>
          <w:bCs w:val="0"/>
          <w:color w:val="000000" w:themeColor="text1"/>
          <w:sz w:val="24"/>
          <w:szCs w:val="24"/>
          <w:lang w:val="zh-CN" w:eastAsia="zh-CN"/>
          <w14:textFill>
            <w14:solidFill>
              <w14:schemeClr w14:val="tx1"/>
            </w14:solidFill>
          </w14:textFill>
        </w:rPr>
        <w:t>%作为预付款，乙方须提供相应的增值税发票；</w:t>
      </w:r>
    </w:p>
    <w:p w14:paraId="765E21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lang w:val="zh-CN" w:eastAsia="zh-CN"/>
          <w14:textFill>
            <w14:solidFill>
              <w14:schemeClr w14:val="tx1"/>
            </w14:solidFill>
          </w14:textFill>
        </w:rPr>
        <w:t>付款方式：剩余</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4"/>
          <w:szCs w:val="24"/>
          <w:lang w:val="zh-CN" w:eastAsia="zh-CN"/>
          <w14:textFill>
            <w14:solidFill>
              <w14:schemeClr w14:val="tx1"/>
            </w14:solidFill>
          </w14:textFill>
        </w:rPr>
        <w:t>0%的物业管理费的支付采用按月支付月月考核的方式，即甲方于次月15日前对上月的物业管理工作进行考核。</w:t>
      </w:r>
    </w:p>
    <w:p w14:paraId="0C9C02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lang w:val="zh-CN" w:eastAsia="zh-CN"/>
          <w14:textFill>
            <w14:solidFill>
              <w14:schemeClr w14:val="tx1"/>
            </w14:solidFill>
          </w14:textFill>
        </w:rPr>
        <w:t>付款周期：从次月起凭乙方开具的增值税发票</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支付</w:t>
      </w:r>
      <w:r>
        <w:rPr>
          <w:rFonts w:hint="eastAsia" w:asciiTheme="minorEastAsia" w:hAnsiTheme="minorEastAsia" w:eastAsiaTheme="minorEastAsia" w:cstheme="minorEastAsia"/>
          <w:b w:val="0"/>
          <w:bCs w:val="0"/>
          <w:color w:val="000000" w:themeColor="text1"/>
          <w:sz w:val="24"/>
          <w:szCs w:val="24"/>
          <w:lang w:val="zh-CN" w:eastAsia="zh-CN"/>
          <w14:textFill>
            <w14:solidFill>
              <w14:schemeClr w14:val="tx1"/>
            </w14:solidFill>
          </w14:textFill>
        </w:rPr>
        <w:t>上月物业管理费。</w:t>
      </w:r>
    </w:p>
    <w:p w14:paraId="15EEB41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九、项目管理服务方案</w:t>
      </w:r>
    </w:p>
    <w:p w14:paraId="1A8B3D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投标人应根据采购需求和本项目实际，制订相应的服务方案包括但不限于以下内容：</w:t>
      </w:r>
    </w:p>
    <w:p w14:paraId="140ED1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1.符合政策法规的整体设想及策划：</w:t>
      </w:r>
    </w:p>
    <w:p w14:paraId="32291E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投标人应根据采购需求和本项目实际，提供本项目整体设想及策划，方案应包括但不限于：（1）本项目管理理念；（2）管理工作目标；（3)项目服务定位；（4)服务设想及策划；（5)重点、难点把控等情况的分析应对；（6)制度建设；（7)档案管理；（8)进场交接过渡方案（包括交接时间进度安排、人员培训、具体交接的内容等，要求方案详细、科学合理、可行性高且措施有力，确保平稳有序交接完成）等。要求方案细致完整、针对性强、措施有力，方案的贯彻应能满足本项目各项服务要求。</w:t>
      </w:r>
    </w:p>
    <w:p w14:paraId="6CC788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2.组织机构设置、人员配备、培训与管理：</w:t>
      </w:r>
    </w:p>
    <w:p w14:paraId="7262BB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根据项目需求组织机构设置、人员配备、培训与管理方案。方案内容包括但不限于：（1）投标方应针对本项目实际运行状况及服务要求，拟定配备员工人数,投 标方负责提供岗位人员配备清单及排班表等。（2)项目经理要求具有全面负责物业服务各项事务，为业主提供规范细致、热情周到的物业服务，本项目管理人员一经确定，未经采购人同意不得随意更换。（3)项目经理要求具备良好的沟通和协调能力，团队合作精神和领导能力，能够提供热情的迎宾及会务接待工作，能够带领团队高效完成工作任务，能快速融入新环境。（4)所有员工必须经过岗前培训，培训合格方能入职，物业员工需具有垃圾分类、节能环保等意识。（5)投标人所投服务 所有人员(含管理人员)必须专职为采购人服务，不得兼职。（6）投标人有岗前培训，服务人员100%经过岗前或在岗培训，考试合格才能独立上岗。投标人需为保障服务有序开展设置培训内容，针对普通一线员工培训教程，制定培训计划(包含培训内容、培训时间等内容)。（7）要求每周有班会、每月至少对员工进行一次再培训，投标人的各岗位员工必须参与校方组织的安全生产、消防安全、应急演练等专业培训。</w:t>
      </w:r>
    </w:p>
    <w:p w14:paraId="5D059E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3.制度的建立：</w:t>
      </w:r>
    </w:p>
    <w:p w14:paraId="23ED6F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投标人应根据采购需求和本项目实际，提供本项目制度建立方案，方案应包括但不限于：（1）人员管理制度。（2）服务流程制度。（3）财务管理制度等内容。</w:t>
      </w:r>
    </w:p>
    <w:p w14:paraId="642E97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拟采取的管理服务模式：</w:t>
      </w:r>
    </w:p>
    <w:p w14:paraId="5EB72A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投标人应根据采购需求和本项目实际，提供本项目拟采取的管理服务模式方案，方案应包括但不限于：（1）综合管理模式。（2）设施设备管理模式。（3）安全管理模式。（4）环境卫生管理模式等内容。</w:t>
      </w:r>
    </w:p>
    <w:p w14:paraId="44D15A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适合本项目的各种突发事件的处理预案：</w:t>
      </w:r>
    </w:p>
    <w:p w14:paraId="5213D8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方案包括本物业项目制定的各种突发事件的处理预案（自然灾害中的应急预案、重大节日及大型活动应急预案等)。</w:t>
      </w:r>
    </w:p>
    <w:p w14:paraId="574EDC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 日常管理措施等：</w:t>
      </w:r>
    </w:p>
    <w:p w14:paraId="3E7907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投标人应根据采购需求和本项目实际，制定相应的日常管理措施方案包括但不限于以下内容：（1）公共设备设施管理、宿舍安全管理、清洁保洁管理、会务服务管理等</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（2）岗位设置、分工职责、各类规章制度等。（3）制定具体的实施流程、实施方案及质量标准等内容。（4）安全防范措施等。要求方案细致完整、针对性强、措施有力，方案的贯彻应能满足本项目服务要求。</w:t>
      </w:r>
    </w:p>
    <w:p w14:paraId="190E46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7.业绩</w:t>
      </w:r>
    </w:p>
    <w:p w14:paraId="1C17D2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投标人需要具备丰富的物业服务相关承接经验，确保本项目的顺利实施，投标人具有2021年1月1日以来承接过类似的物业管理项目。</w:t>
      </w:r>
    </w:p>
    <w:p w14:paraId="466FDE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十、采购标的对应的中小企业划分标准所属行业一览表</w:t>
      </w:r>
    </w:p>
    <w:tbl>
      <w:tblPr>
        <w:tblStyle w:val="11"/>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952"/>
        <w:gridCol w:w="4241"/>
      </w:tblGrid>
      <w:tr w14:paraId="13ED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95" w:type="dxa"/>
            <w:vAlign w:val="bottom"/>
          </w:tcPr>
          <w:p w14:paraId="0E9D4C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序号</w:t>
            </w:r>
          </w:p>
        </w:tc>
        <w:tc>
          <w:tcPr>
            <w:tcW w:w="3952" w:type="dxa"/>
            <w:vAlign w:val="bottom"/>
          </w:tcPr>
          <w:p w14:paraId="5C2F68E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采购标的</w:t>
            </w:r>
          </w:p>
        </w:tc>
        <w:tc>
          <w:tcPr>
            <w:tcW w:w="4241" w:type="dxa"/>
            <w:vAlign w:val="bottom"/>
          </w:tcPr>
          <w:p w14:paraId="4D4AAE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对应中小企业划分标准所属行业</w:t>
            </w:r>
          </w:p>
        </w:tc>
      </w:tr>
      <w:tr w14:paraId="17A0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95" w:type="dxa"/>
            <w:vAlign w:val="bottom"/>
          </w:tcPr>
          <w:p w14:paraId="7DC960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3952" w:type="dxa"/>
            <w:vAlign w:val="bottom"/>
          </w:tcPr>
          <w:p w14:paraId="33B3B7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射阳县高级中学物业服务项目</w:t>
            </w:r>
          </w:p>
        </w:tc>
        <w:tc>
          <w:tcPr>
            <w:tcW w:w="4241" w:type="dxa"/>
            <w:vAlign w:val="bottom"/>
          </w:tcPr>
          <w:p w14:paraId="5E3668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物业管理</w:t>
            </w:r>
          </w:p>
        </w:tc>
      </w:tr>
    </w:tbl>
    <w:p w14:paraId="26411B2C">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其他</w:t>
      </w:r>
    </w:p>
    <w:p w14:paraId="00D889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特别说明：中标人（成交供应商）与采购人签订合同前，须向第三方</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咨询公司</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支付</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咨询</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服务</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相关</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费用，</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按[苏招协［2022］002号]（服务类）文按标准执行</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。（本条不单独列表报价，</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与最低人员工资标准测算无关，各投标人</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自行综合考虑，中标后采购人不再另行支付）</w:t>
      </w:r>
    </w:p>
    <w:p w14:paraId="4719514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heme="minorEastAsia" w:hAnsiTheme="minorEastAsia" w:cstheme="minorEastAsia"/>
          <w:b w:val="0"/>
          <w:bCs w:val="0"/>
          <w:color w:val="000000" w:themeColor="text1"/>
          <w:sz w:val="28"/>
          <w:szCs w:val="28"/>
          <w:lang w:val="en-US" w:eastAsia="zh-CN"/>
          <w14:textFill>
            <w14:solidFill>
              <w14:schemeClr w14:val="tx1"/>
            </w14:solidFill>
          </w14:textFill>
        </w:rPr>
      </w:pPr>
    </w:p>
    <w:p w14:paraId="303D66B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w:t>
      </w:r>
    </w:p>
    <w:p w14:paraId="51D2CE6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p>
    <w:p w14:paraId="27FDE0BA">
      <w:pPr>
        <w:ind w:firstLine="560" w:firstLineChars="200"/>
        <w:jc w:val="both"/>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p>
    <w:p w14:paraId="2396E825">
      <w:pPr>
        <w:rPr>
          <w:rFonts w:hint="eastAsia" w:ascii="黑体" w:hAnsi="宋体" w:eastAsia="黑体" w:cs="黑体"/>
          <w:color w:val="000000" w:themeColor="text1"/>
          <w:sz w:val="44"/>
          <w:szCs w:val="44"/>
          <w14:textFill>
            <w14:solidFill>
              <w14:schemeClr w14:val="tx1"/>
            </w14:solidFill>
          </w14:textFill>
        </w:rPr>
      </w:pPr>
      <w:r>
        <w:rPr>
          <w:rFonts w:hint="eastAsia" w:ascii="黑体" w:hAnsi="宋体" w:eastAsia="黑体" w:cs="黑体"/>
          <w:color w:val="000000" w:themeColor="text1"/>
          <w:sz w:val="44"/>
          <w:szCs w:val="44"/>
          <w14:textFill>
            <w14:solidFill>
              <w14:schemeClr w14:val="tx1"/>
            </w14:solidFill>
          </w14:textFill>
        </w:rPr>
        <w:br w:type="page"/>
      </w:r>
    </w:p>
    <w:p w14:paraId="1306C3B3">
      <w:pPr>
        <w:pStyle w:val="8"/>
        <w:keepNext/>
        <w:spacing w:beforeAutospacing="0" w:afterAutospacing="0"/>
        <w:jc w:val="center"/>
        <w:rPr>
          <w:color w:val="000000" w:themeColor="text1"/>
          <w14:textFill>
            <w14:solidFill>
              <w14:schemeClr w14:val="tx1"/>
            </w14:solidFill>
          </w14:textFill>
        </w:rPr>
      </w:pPr>
      <w:r>
        <w:rPr>
          <w:rFonts w:hint="eastAsia" w:ascii="黑体" w:hAnsi="宋体" w:eastAsia="黑体" w:cs="黑体"/>
          <w:color w:val="000000" w:themeColor="text1"/>
          <w:sz w:val="44"/>
          <w:szCs w:val="44"/>
          <w14:textFill>
            <w14:solidFill>
              <w14:schemeClr w14:val="tx1"/>
            </w14:solidFill>
          </w14:textFill>
        </w:rPr>
        <w:t xml:space="preserve">第五章  </w:t>
      </w:r>
      <w:r>
        <w:rPr>
          <w:rFonts w:hint="eastAsia" w:ascii="黑体" w:hAnsi="宋体" w:eastAsia="黑体" w:cs="黑体"/>
          <w:b/>
          <w:color w:val="000000" w:themeColor="text1"/>
          <w:sz w:val="44"/>
          <w:szCs w:val="44"/>
          <w14:textFill>
            <w14:solidFill>
              <w14:schemeClr w14:val="tx1"/>
            </w14:solidFill>
          </w14:textFill>
        </w:rPr>
        <w:t>评标方法与评标标准</w:t>
      </w:r>
    </w:p>
    <w:p w14:paraId="6D6FE27D">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059D9F3E">
      <w:pPr>
        <w:keepNext w:val="0"/>
        <w:keepLines w:val="0"/>
        <w:pageBreakBefore w:val="0"/>
        <w:widowControl w:val="0"/>
        <w:kinsoku/>
        <w:wordWrap/>
        <w:overflowPunct/>
        <w:topLinePunct w:val="0"/>
        <w:autoSpaceDE/>
        <w:autoSpaceDN/>
        <w:bidi w:val="0"/>
        <w:snapToGrid w:val="0"/>
        <w:spacing w:line="480" w:lineRule="exact"/>
        <w:textAlignment w:val="auto"/>
        <w:rPr>
          <w:rFonts w:ascii="宋体" w:hAnsi="宋体" w:cs="Courier New"/>
          <w:b/>
          <w:bCs/>
          <w:color w:val="000000" w:themeColor="text1"/>
          <w:sz w:val="24"/>
          <w:szCs w:val="24"/>
          <w14:textFill>
            <w14:solidFill>
              <w14:schemeClr w14:val="tx1"/>
            </w14:solidFill>
          </w14:textFill>
        </w:rPr>
      </w:pPr>
      <w:r>
        <w:rPr>
          <w:rFonts w:hint="eastAsia" w:ascii="宋体" w:hAnsi="宋体" w:cs="Courier New"/>
          <w:b/>
          <w:bCs/>
          <w:color w:val="000000" w:themeColor="text1"/>
          <w:sz w:val="24"/>
          <w:szCs w:val="24"/>
          <w14:textFill>
            <w14:solidFill>
              <w14:schemeClr w14:val="tx1"/>
            </w14:solidFill>
          </w14:textFill>
        </w:rPr>
        <w:t>一、定标原则</w:t>
      </w:r>
    </w:p>
    <w:p w14:paraId="54DD373D">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ascii="宋体" w:hAnsi="宋体" w:cs="Arial"/>
          <w:color w:val="000000" w:themeColor="text1"/>
          <w:kern w:val="0"/>
          <w:sz w:val="24"/>
          <w:szCs w:val="24"/>
          <w14:textFill>
            <w14:solidFill>
              <w14:schemeClr w14:val="tx1"/>
            </w14:solidFill>
          </w14:textFill>
        </w:rPr>
      </w:pPr>
      <w:r>
        <w:rPr>
          <w:rFonts w:hint="eastAsia" w:ascii="宋体" w:hAnsi="宋体" w:cs="Courier New"/>
          <w:bCs/>
          <w:color w:val="000000" w:themeColor="text1"/>
          <w:sz w:val="24"/>
          <w:szCs w:val="24"/>
          <w14:textFill>
            <w14:solidFill>
              <w14:schemeClr w14:val="tx1"/>
            </w14:solidFill>
          </w14:textFill>
        </w:rPr>
        <w:t>本项目采用</w:t>
      </w:r>
      <w:r>
        <w:rPr>
          <w:rFonts w:hint="eastAsia" w:ascii="宋体" w:hAnsi="宋体" w:cs="Courier New"/>
          <w:bCs/>
          <w:color w:val="000000" w:themeColor="text1"/>
          <w:sz w:val="24"/>
          <w:szCs w:val="24"/>
          <w:u w:val="single"/>
          <w14:textFill>
            <w14:solidFill>
              <w14:schemeClr w14:val="tx1"/>
            </w14:solidFill>
          </w14:textFill>
        </w:rPr>
        <w:t xml:space="preserve"> 综合评分 </w:t>
      </w:r>
      <w:r>
        <w:rPr>
          <w:rFonts w:hint="eastAsia" w:ascii="宋体" w:hAnsi="宋体" w:cs="Courier New"/>
          <w:bCs/>
          <w:color w:val="000000" w:themeColor="text1"/>
          <w:sz w:val="24"/>
          <w:szCs w:val="24"/>
          <w14:textFill>
            <w14:solidFill>
              <w14:schemeClr w14:val="tx1"/>
            </w14:solidFill>
          </w14:textFill>
        </w:rPr>
        <w:t>法。</w:t>
      </w:r>
      <w:r>
        <w:rPr>
          <w:rFonts w:hint="eastAsia" w:ascii="宋体" w:hAnsi="宋体" w:cs="Arial"/>
          <w:color w:val="000000" w:themeColor="text1"/>
          <w:kern w:val="0"/>
          <w:sz w:val="24"/>
          <w:szCs w:val="24"/>
          <w14:textFill>
            <w14:solidFill>
              <w14:schemeClr w14:val="tx1"/>
            </w14:solidFill>
          </w14:textFill>
        </w:rPr>
        <w:t>评标结果按评审后得分由高到低顺序排列。得分相同的，按投标报价由低到高顺序排列。得分且投标报价相同的，由评标委员会组织通过抽签的方式确定中标候选人的排序。投标文件满足招标文件全部实质性要求，且按照评审因素的量化指标评审得分最高的投标人为排名第一的中标候选人，本项目选取1名中标候选人。</w:t>
      </w:r>
    </w:p>
    <w:p w14:paraId="576C3D78">
      <w:pPr>
        <w:pStyle w:val="8"/>
        <w:keepNext w:val="0"/>
        <w:keepLines w:val="0"/>
        <w:pageBreakBefore w:val="0"/>
        <w:widowControl w:val="0"/>
        <w:kinsoku/>
        <w:wordWrap/>
        <w:overflowPunct/>
        <w:topLinePunct w:val="0"/>
        <w:autoSpaceDE/>
        <w:autoSpaceDN/>
        <w:bidi w:val="0"/>
        <w:spacing w:beforeAutospacing="0" w:afterAutospacing="0" w:line="480" w:lineRule="exact"/>
        <w:ind w:firstLine="441"/>
        <w:textAlignment w:val="auto"/>
        <w:rPr>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政府采购政策功能落实</w:t>
      </w:r>
    </w:p>
    <w:p w14:paraId="7ED48A92">
      <w:pPr>
        <w:pStyle w:val="8"/>
        <w:keepNext w:val="0"/>
        <w:keepLines w:val="0"/>
        <w:pageBreakBefore w:val="0"/>
        <w:widowControl w:val="0"/>
        <w:kinsoku/>
        <w:wordWrap/>
        <w:overflowPunct/>
        <w:topLinePunct w:val="0"/>
        <w:autoSpaceDE/>
        <w:autoSpaceDN/>
        <w:bidi w:val="0"/>
        <w:spacing w:beforeAutospacing="0" w:afterAutospacing="0" w:line="480" w:lineRule="exact"/>
        <w:ind w:firstLine="480"/>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1、小微型企业价格扣除</w:t>
      </w:r>
    </w:p>
    <w:p w14:paraId="1503AE11">
      <w:pPr>
        <w:pStyle w:val="18"/>
        <w:keepNext w:val="0"/>
        <w:keepLines w:val="0"/>
        <w:pageBreakBefore w:val="0"/>
        <w:widowControl w:val="0"/>
        <w:kinsoku/>
        <w:wordWrap/>
        <w:overflowPunct/>
        <w:topLinePunct w:val="0"/>
        <w:autoSpaceDE/>
        <w:autoSpaceDN/>
        <w:bidi w:val="0"/>
        <w:spacing w:before="0" w:after="0" w:line="480" w:lineRule="exact"/>
        <w:ind w:firstLine="360" w:firstLineChars="15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s="宋体"/>
          <w:color w:val="000000" w:themeColor="text1"/>
          <w:spacing w:val="-1"/>
          <w:sz w:val="24"/>
          <w:szCs w:val="24"/>
          <w14:textFill>
            <w14:solidFill>
              <w14:schemeClr w14:val="tx1"/>
            </w14:solidFill>
          </w14:textFill>
        </w:rPr>
        <w:t>本项目专门面向中小企业采购，不再对小型和微型企业报价给予价格扣</w:t>
      </w:r>
      <w:r>
        <w:rPr>
          <w:rFonts w:ascii="宋体" w:hAnsi="宋体" w:eastAsia="宋体" w:cs="宋体"/>
          <w:color w:val="000000" w:themeColor="text1"/>
          <w:spacing w:val="-12"/>
          <w:sz w:val="24"/>
          <w:szCs w:val="24"/>
          <w14:textFill>
            <w14:solidFill>
              <w14:schemeClr w14:val="tx1"/>
            </w14:solidFill>
          </w14:textFill>
        </w:rPr>
        <w:t>除</w:t>
      </w:r>
      <w:r>
        <w:rPr>
          <w:rFonts w:hint="eastAsia" w:ascii="宋体" w:hAnsi="宋体" w:eastAsia="宋体"/>
          <w:color w:val="000000" w:themeColor="text1"/>
          <w:sz w:val="24"/>
          <w:szCs w:val="24"/>
          <w14:textFill>
            <w14:solidFill>
              <w14:schemeClr w14:val="tx1"/>
            </w14:solidFill>
          </w14:textFill>
        </w:rPr>
        <w:t>。</w:t>
      </w:r>
    </w:p>
    <w:p w14:paraId="4E614058">
      <w:pPr>
        <w:pStyle w:val="8"/>
        <w:keepNext w:val="0"/>
        <w:keepLines w:val="0"/>
        <w:pageBreakBefore w:val="0"/>
        <w:widowControl w:val="0"/>
        <w:kinsoku/>
        <w:wordWrap/>
        <w:overflowPunct/>
        <w:topLinePunct w:val="0"/>
        <w:autoSpaceDE/>
        <w:autoSpaceDN/>
        <w:bidi w:val="0"/>
        <w:spacing w:beforeAutospacing="0" w:afterAutospacing="0" w:line="480" w:lineRule="exact"/>
        <w:ind w:firstLine="360"/>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（2）供应商需按照采购文件的要求提供相应的《小微企业声明函》。</w:t>
      </w:r>
    </w:p>
    <w:p w14:paraId="697FE9E2">
      <w:pPr>
        <w:pStyle w:val="8"/>
        <w:keepNext w:val="0"/>
        <w:keepLines w:val="0"/>
        <w:pageBreakBefore w:val="0"/>
        <w:widowControl w:val="0"/>
        <w:kinsoku/>
        <w:wordWrap/>
        <w:overflowPunct/>
        <w:topLinePunct w:val="0"/>
        <w:autoSpaceDE/>
        <w:autoSpaceDN/>
        <w:bidi w:val="0"/>
        <w:spacing w:beforeAutospacing="0" w:afterAutospacing="0" w:line="480" w:lineRule="exact"/>
        <w:ind w:firstLine="360"/>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（3）企业标准请参照《关于印发中小企业划型标准规定的通知》（工信部联企业[2011]300号）文件规定自行填写。</w:t>
      </w:r>
    </w:p>
    <w:p w14:paraId="0F6F8936">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2、残疾人福利单位价格扣除</w:t>
      </w:r>
    </w:p>
    <w:p w14:paraId="7B514821">
      <w:pPr>
        <w:keepNext w:val="0"/>
        <w:keepLines w:val="0"/>
        <w:pageBreakBefore w:val="0"/>
        <w:widowControl w:val="0"/>
        <w:kinsoku/>
        <w:wordWrap/>
        <w:overflowPunct/>
        <w:topLinePunct w:val="0"/>
        <w:autoSpaceDE/>
        <w:autoSpaceDN/>
        <w:bidi w:val="0"/>
        <w:adjustRightInd/>
        <w:snapToGrid/>
        <w:spacing w:line="480" w:lineRule="exact"/>
        <w:ind w:left="499"/>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（1）本项目对残疾人福利性单位视同小型、微型企业。</w:t>
      </w:r>
    </w:p>
    <w:p w14:paraId="07E53BA0">
      <w:pPr>
        <w:keepNext w:val="0"/>
        <w:keepLines w:val="0"/>
        <w:pageBreakBefore w:val="0"/>
        <w:widowControl w:val="0"/>
        <w:kinsoku/>
        <w:wordWrap/>
        <w:overflowPunct/>
        <w:topLinePunct w:val="0"/>
        <w:autoSpaceDE/>
        <w:autoSpaceDN/>
        <w:bidi w:val="0"/>
        <w:adjustRightInd/>
        <w:snapToGrid/>
        <w:spacing w:line="480" w:lineRule="exact"/>
        <w:ind w:right="465" w:firstLine="476" w:firstLineChars="20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（2）残疾人福利单位需按照采购文件的要求提供《残疾人福利性单位声明</w:t>
      </w:r>
      <w:r>
        <w:rPr>
          <w:rFonts w:ascii="宋体" w:hAnsi="宋体" w:eastAsia="宋体" w:cs="宋体"/>
          <w:color w:val="000000" w:themeColor="text1"/>
          <w:spacing w:val="-9"/>
          <w:sz w:val="24"/>
          <w:szCs w:val="24"/>
          <w14:textFill>
            <w14:solidFill>
              <w14:schemeClr w14:val="tx1"/>
            </w14:solidFill>
          </w14:textFill>
        </w:rPr>
        <w:t>函》。</w:t>
      </w:r>
    </w:p>
    <w:p w14:paraId="4B5C3258">
      <w:pPr>
        <w:keepNext w:val="0"/>
        <w:keepLines w:val="0"/>
        <w:pageBreakBefore w:val="0"/>
        <w:widowControl w:val="0"/>
        <w:kinsoku/>
        <w:wordWrap/>
        <w:overflowPunct/>
        <w:topLinePunct w:val="0"/>
        <w:autoSpaceDE/>
        <w:autoSpaceDN/>
        <w:bidi w:val="0"/>
        <w:adjustRightInd/>
        <w:snapToGrid/>
        <w:spacing w:line="480" w:lineRule="exact"/>
        <w:ind w:left="19" w:firstLine="48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（3）残疾人福利单位标准请参照《关于促进残疾人就业政府采购政策的通</w:t>
      </w:r>
      <w:r>
        <w:rPr>
          <w:rFonts w:ascii="宋体" w:hAnsi="宋体" w:eastAsia="宋体" w:cs="宋体"/>
          <w:color w:val="000000" w:themeColor="text1"/>
          <w:spacing w:val="-2"/>
          <w:sz w:val="24"/>
          <w:szCs w:val="24"/>
          <w14:textFill>
            <w14:solidFill>
              <w14:schemeClr w14:val="tx1"/>
            </w14:solidFill>
          </w14:textFill>
        </w:rPr>
        <w:t>知》</w:t>
      </w:r>
      <w:r>
        <w:rPr>
          <w:rFonts w:ascii="宋体" w:hAnsi="宋体" w:eastAsia="宋体" w:cs="宋体"/>
          <w:color w:val="000000" w:themeColor="text1"/>
          <w:spacing w:val="-3"/>
          <w:sz w:val="24"/>
          <w:szCs w:val="24"/>
          <w14:textFill>
            <w14:solidFill>
              <w14:schemeClr w14:val="tx1"/>
            </w14:solidFill>
          </w14:textFill>
        </w:rPr>
        <w:t>（财库〔2017〕141</w:t>
      </w:r>
      <w:r>
        <w:rPr>
          <w:rFonts w:ascii="宋体" w:hAnsi="宋体" w:eastAsia="宋体" w:cs="宋体"/>
          <w:color w:val="000000" w:themeColor="text1"/>
          <w:spacing w:val="-37"/>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号）。</w:t>
      </w:r>
    </w:p>
    <w:p w14:paraId="74E6AE3C">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3、监狱和戒毒企业价格扣除</w:t>
      </w:r>
    </w:p>
    <w:p w14:paraId="5E6D8BFC">
      <w:pPr>
        <w:pStyle w:val="3"/>
        <w:keepNext w:val="0"/>
        <w:keepLines w:val="0"/>
        <w:pageBreakBefore w:val="0"/>
        <w:widowControl w:val="0"/>
        <w:kinsoku/>
        <w:wordWrap/>
        <w:overflowPunct/>
        <w:topLinePunct w:val="0"/>
        <w:autoSpaceDE/>
        <w:autoSpaceDN/>
        <w:bidi w:val="0"/>
        <w:adjustRightInd/>
        <w:snapToGrid/>
        <w:spacing w:line="480" w:lineRule="exact"/>
        <w:ind w:firstLine="476" w:firstLineChars="200"/>
        <w:textAlignment w:val="auto"/>
        <w:rPr>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（1）本项目对监狱和戒毒企业（简称监狱企业）视同小型、微型企业。</w:t>
      </w:r>
    </w:p>
    <w:p w14:paraId="782CB860">
      <w:pPr>
        <w:keepNext w:val="0"/>
        <w:keepLines w:val="0"/>
        <w:pageBreakBefore w:val="0"/>
        <w:widowControl w:val="0"/>
        <w:kinsoku/>
        <w:wordWrap/>
        <w:overflowPunct/>
        <w:topLinePunct w:val="0"/>
        <w:autoSpaceDE/>
        <w:autoSpaceDN/>
        <w:bidi w:val="0"/>
        <w:adjustRightInd/>
        <w:snapToGrid/>
        <w:spacing w:line="480" w:lineRule="exact"/>
        <w:ind w:right="178" w:firstLine="476" w:firstLineChars="20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（2）监狱企业参加政府采购活动时，需提供由省级以上监狱管理局、戒</w:t>
      </w:r>
      <w:r>
        <w:rPr>
          <w:rFonts w:ascii="宋体" w:hAnsi="宋体" w:eastAsia="宋体" w:cs="宋体"/>
          <w:color w:val="000000" w:themeColor="text1"/>
          <w:spacing w:val="-2"/>
          <w:sz w:val="24"/>
          <w:szCs w:val="24"/>
          <w14:textFill>
            <w14:solidFill>
              <w14:schemeClr w14:val="tx1"/>
            </w14:solidFill>
          </w14:textFill>
        </w:rPr>
        <w:t>毒管</w:t>
      </w:r>
      <w:r>
        <w:rPr>
          <w:rFonts w:ascii="宋体" w:hAnsi="宋体" w:eastAsia="宋体" w:cs="宋体"/>
          <w:color w:val="000000" w:themeColor="text1"/>
          <w:spacing w:val="-1"/>
          <w:sz w:val="24"/>
          <w:szCs w:val="24"/>
          <w14:textFill>
            <w14:solidFill>
              <w14:schemeClr w14:val="tx1"/>
            </w14:solidFill>
          </w14:textFill>
        </w:rPr>
        <w:t>理局(含新疆生产建设兵团)出具的属于监狱企业的证明文件。</w:t>
      </w:r>
    </w:p>
    <w:p w14:paraId="1265754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（3）监狱企业标准请参照《关于政府采购支持监狱企业发展有关问题的通</w:t>
      </w:r>
      <w:r>
        <w:rPr>
          <w:rFonts w:ascii="宋体" w:hAnsi="宋体" w:eastAsia="宋体" w:cs="宋体"/>
          <w:color w:val="000000" w:themeColor="text1"/>
          <w:spacing w:val="-2"/>
          <w:sz w:val="24"/>
          <w:szCs w:val="24"/>
          <w14:textFill>
            <w14:solidFill>
              <w14:schemeClr w14:val="tx1"/>
            </w14:solidFill>
          </w14:textFill>
        </w:rPr>
        <w:t>知》</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（财库[2014]68</w:t>
      </w:r>
      <w:r>
        <w:rPr>
          <w:rFonts w:ascii="宋体" w:hAnsi="宋体" w:eastAsia="宋体" w:cs="宋体"/>
          <w:color w:val="000000" w:themeColor="text1"/>
          <w:spacing w:val="-40"/>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号）。</w:t>
      </w:r>
    </w:p>
    <w:p w14:paraId="7FD174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4、残疾人福利单位、监狱企业属于小型、微型企业</w:t>
      </w:r>
      <w:r>
        <w:rPr>
          <w:rFonts w:ascii="宋体" w:hAnsi="宋体" w:eastAsia="宋体" w:cs="宋体"/>
          <w:color w:val="000000" w:themeColor="text1"/>
          <w:spacing w:val="-1"/>
          <w:sz w:val="24"/>
          <w:szCs w:val="24"/>
          <w14:textFill>
            <w14:solidFill>
              <w14:schemeClr w14:val="tx1"/>
            </w14:solidFill>
          </w14:textFill>
        </w:rPr>
        <w:t>的，不重复享受政策。</w:t>
      </w:r>
    </w:p>
    <w:p w14:paraId="3CE0768C">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2"/>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5、严格执行政府采购关于支持节能产品、环境标志产品的相关政策规定。如</w:t>
      </w:r>
      <w:r>
        <w:rPr>
          <w:rFonts w:ascii="宋体" w:hAnsi="宋体" w:eastAsia="宋体" w:cs="宋体"/>
          <w:color w:val="000000" w:themeColor="text1"/>
          <w:sz w:val="24"/>
          <w:szCs w:val="24"/>
          <w14:textFill>
            <w14:solidFill>
              <w14:schemeClr w14:val="tx1"/>
            </w14:solidFill>
          </w14:textFill>
        </w:rPr>
        <w:t>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w:t>
      </w:r>
      <w:r>
        <w:rPr>
          <w:rFonts w:ascii="宋体" w:hAnsi="宋体" w:eastAsia="宋体" w:cs="宋体"/>
          <w:color w:val="000000" w:themeColor="text1"/>
          <w:spacing w:val="-2"/>
          <w:sz w:val="24"/>
          <w:szCs w:val="24"/>
          <w14:textFill>
            <w14:solidFill>
              <w14:schemeClr w14:val="tx1"/>
            </w14:solidFill>
          </w14:textFill>
        </w:rPr>
        <w:t>响应文件截止时已正式公布的最近一期信息</w:t>
      </w:r>
      <w:r>
        <w:rPr>
          <w:rFonts w:ascii="宋体" w:hAnsi="宋体" w:eastAsia="宋体" w:cs="宋体"/>
          <w:color w:val="000000" w:themeColor="text1"/>
          <w:spacing w:val="-3"/>
          <w:sz w:val="24"/>
          <w:szCs w:val="24"/>
          <w14:textFill>
            <w14:solidFill>
              <w14:schemeClr w14:val="tx1"/>
            </w14:solidFill>
          </w14:textFill>
        </w:rPr>
        <w:t>为准，</w:t>
      </w:r>
      <w:r>
        <w:rPr>
          <w:rFonts w:ascii="宋体" w:hAnsi="宋体" w:eastAsia="宋体" w:cs="宋体"/>
          <w:b/>
          <w:bCs/>
          <w:i/>
          <w:iCs/>
          <w:color w:val="000000" w:themeColor="text1"/>
          <w:spacing w:val="-3"/>
          <w:sz w:val="24"/>
          <w:szCs w:val="24"/>
          <w14:textFill>
            <w14:solidFill>
              <w14:schemeClr w14:val="tx1"/>
            </w14:solidFill>
          </w14:textFill>
        </w:rPr>
        <w:t>如属政府强制采购产品未提供</w:t>
      </w:r>
      <w:r>
        <w:rPr>
          <w:rFonts w:ascii="宋体" w:hAnsi="宋体" w:eastAsia="宋体" w:cs="宋体"/>
          <w:b/>
          <w:bCs/>
          <w:i/>
          <w:iCs/>
          <w:color w:val="000000" w:themeColor="text1"/>
          <w:spacing w:val="-10"/>
          <w:sz w:val="24"/>
          <w:szCs w:val="24"/>
          <w14:textFill>
            <w14:solidFill>
              <w14:schemeClr w14:val="tx1"/>
            </w14:solidFill>
          </w14:textFill>
        </w:rPr>
        <w:t>认证证书的或认证证书提供不全的将视为未实质性响应采购要求。</w:t>
      </w:r>
      <w:r>
        <w:rPr>
          <w:rFonts w:ascii="宋体" w:hAnsi="宋体" w:eastAsia="宋体" w:cs="宋体"/>
          <w:color w:val="000000" w:themeColor="text1"/>
          <w:spacing w:val="-10"/>
          <w:sz w:val="24"/>
          <w:szCs w:val="24"/>
          <w14:textFill>
            <w14:solidFill>
              <w14:schemeClr w14:val="tx1"/>
            </w14:solidFill>
          </w14:textFill>
        </w:rPr>
        <w:t>其他条件相同</w:t>
      </w:r>
      <w:r>
        <w:rPr>
          <w:rFonts w:ascii="宋体" w:hAnsi="宋体" w:eastAsia="宋体" w:cs="宋体"/>
          <w:color w:val="000000" w:themeColor="text1"/>
          <w:sz w:val="24"/>
          <w:szCs w:val="24"/>
          <w14:textFill>
            <w14:solidFill>
              <w14:schemeClr w14:val="tx1"/>
            </w14:solidFill>
          </w14:textFill>
        </w:rPr>
        <w:t>情况下，应当优先采购节能产品、环境标志产品。</w:t>
      </w:r>
    </w:p>
    <w:p w14:paraId="4028369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Courier New"/>
          <w:b/>
          <w:bCs/>
          <w:color w:val="000000" w:themeColor="text1"/>
          <w:sz w:val="24"/>
          <w:szCs w:val="24"/>
          <w14:textFill>
            <w14:solidFill>
              <w14:schemeClr w14:val="tx1"/>
            </w14:solidFill>
          </w14:textFill>
        </w:rPr>
      </w:pPr>
      <w:r>
        <w:rPr>
          <w:rFonts w:hint="eastAsia" w:ascii="宋体" w:hAnsi="宋体" w:cs="Courier New"/>
          <w:b/>
          <w:bCs/>
          <w:color w:val="000000" w:themeColor="text1"/>
          <w:sz w:val="24"/>
          <w:szCs w:val="24"/>
          <w14:textFill>
            <w14:solidFill>
              <w14:schemeClr w14:val="tx1"/>
            </w14:solidFill>
          </w14:textFill>
        </w:rPr>
        <w:t>二、评标方法与评标标准</w:t>
      </w:r>
    </w:p>
    <w:p w14:paraId="0EB5E84C">
      <w:pPr>
        <w:keepNext w:val="0"/>
        <w:keepLines w:val="0"/>
        <w:pageBreakBefore w:val="0"/>
        <w:widowControl w:val="0"/>
        <w:kinsoku/>
        <w:wordWrap/>
        <w:overflowPunct/>
        <w:topLinePunct w:val="0"/>
        <w:autoSpaceDE/>
        <w:autoSpaceDN/>
        <w:bidi w:val="0"/>
        <w:adjustRightInd/>
        <w:spacing w:line="480" w:lineRule="exact"/>
        <w:ind w:left="529"/>
        <w:textAlignment w:val="auto"/>
        <w:rPr>
          <w:rFonts w:ascii="宋体" w:hAnsi="宋体" w:eastAsia="宋体" w:cs="宋体"/>
          <w:color w:val="000000" w:themeColor="text1"/>
          <w:spacing w:val="-4"/>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本项目评分总分值为</w:t>
      </w:r>
      <w:r>
        <w:rPr>
          <w:rFonts w:ascii="宋体" w:hAnsi="宋体" w:eastAsia="宋体" w:cs="宋体"/>
          <w:color w:val="000000" w:themeColor="text1"/>
          <w:spacing w:val="-28"/>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100</w:t>
      </w:r>
      <w:r>
        <w:rPr>
          <w:rFonts w:ascii="宋体" w:hAnsi="宋体" w:eastAsia="宋体" w:cs="宋体"/>
          <w:color w:val="000000" w:themeColor="text1"/>
          <w:spacing w:val="-48"/>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分。</w:t>
      </w:r>
    </w:p>
    <w:tbl>
      <w:tblPr>
        <w:tblStyle w:val="19"/>
        <w:tblW w:w="8625"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282"/>
        <w:gridCol w:w="1016"/>
        <w:gridCol w:w="5553"/>
      </w:tblGrid>
      <w:tr w14:paraId="46729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74" w:type="dxa"/>
            <w:noWrap w:val="0"/>
            <w:vAlign w:val="top"/>
          </w:tcPr>
          <w:p w14:paraId="0179EEF0">
            <w:pPr>
              <w:pStyle w:val="20"/>
              <w:spacing w:before="240" w:line="221" w:lineRule="auto"/>
              <w:ind w:left="144"/>
              <w:rPr>
                <w:color w:val="000000" w:themeColor="text1"/>
                <w:sz w:val="24"/>
                <w:szCs w:val="24"/>
                <w14:textFill>
                  <w14:solidFill>
                    <w14:schemeClr w14:val="tx1"/>
                  </w14:solidFill>
                </w14:textFill>
              </w:rPr>
            </w:pPr>
            <w:r>
              <w:rPr>
                <w:b/>
                <w:bCs/>
                <w:color w:val="000000" w:themeColor="text1"/>
                <w:spacing w:val="-7"/>
                <w:sz w:val="24"/>
                <w:szCs w:val="24"/>
                <w14:textFill>
                  <w14:solidFill>
                    <w14:schemeClr w14:val="tx1"/>
                  </w14:solidFill>
                </w14:textFill>
              </w:rPr>
              <w:t>序号</w:t>
            </w:r>
          </w:p>
        </w:tc>
        <w:tc>
          <w:tcPr>
            <w:tcW w:w="1282" w:type="dxa"/>
            <w:noWrap w:val="0"/>
            <w:vAlign w:val="top"/>
          </w:tcPr>
          <w:p w14:paraId="557A499E">
            <w:pPr>
              <w:pStyle w:val="20"/>
              <w:spacing w:before="241" w:line="220" w:lineRule="auto"/>
              <w:ind w:left="155"/>
              <w:rPr>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评分项目</w:t>
            </w:r>
          </w:p>
        </w:tc>
        <w:tc>
          <w:tcPr>
            <w:tcW w:w="1016" w:type="dxa"/>
            <w:noWrap w:val="0"/>
            <w:vAlign w:val="top"/>
          </w:tcPr>
          <w:p w14:paraId="2D4FE337">
            <w:pPr>
              <w:pStyle w:val="20"/>
              <w:spacing w:before="241" w:line="219" w:lineRule="auto"/>
              <w:ind w:left="189"/>
              <w:rPr>
                <w:color w:val="000000" w:themeColor="text1"/>
                <w:sz w:val="24"/>
                <w:szCs w:val="24"/>
                <w14:textFill>
                  <w14:solidFill>
                    <w14:schemeClr w14:val="tx1"/>
                  </w14:solidFill>
                </w14:textFill>
              </w:rPr>
            </w:pPr>
            <w:r>
              <w:rPr>
                <w:b/>
                <w:bCs/>
                <w:color w:val="000000" w:themeColor="text1"/>
                <w:spacing w:val="-9"/>
                <w:sz w:val="24"/>
                <w:szCs w:val="24"/>
                <w14:textFill>
                  <w14:solidFill>
                    <w14:schemeClr w14:val="tx1"/>
                  </w14:solidFill>
                </w14:textFill>
              </w:rPr>
              <w:t>分值</w:t>
            </w:r>
          </w:p>
        </w:tc>
        <w:tc>
          <w:tcPr>
            <w:tcW w:w="5553" w:type="dxa"/>
            <w:noWrap w:val="0"/>
            <w:vAlign w:val="top"/>
          </w:tcPr>
          <w:p w14:paraId="25241247">
            <w:pPr>
              <w:pStyle w:val="20"/>
              <w:spacing w:before="241" w:line="220" w:lineRule="auto"/>
              <w:ind w:left="2439"/>
              <w:rPr>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评分标准</w:t>
            </w:r>
          </w:p>
        </w:tc>
      </w:tr>
      <w:tr w14:paraId="57CFC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774" w:type="dxa"/>
            <w:noWrap w:val="0"/>
            <w:vAlign w:val="top"/>
          </w:tcPr>
          <w:p w14:paraId="1E03846E">
            <w:pPr>
              <w:spacing w:line="265" w:lineRule="auto"/>
              <w:jc w:val="center"/>
              <w:rPr>
                <w:rFonts w:ascii="Arial"/>
                <w:color w:val="000000" w:themeColor="text1"/>
                <w:sz w:val="24"/>
                <w:szCs w:val="24"/>
                <w14:textFill>
                  <w14:solidFill>
                    <w14:schemeClr w14:val="tx1"/>
                  </w14:solidFill>
                </w14:textFill>
              </w:rPr>
            </w:pPr>
          </w:p>
          <w:p w14:paraId="4042B24F">
            <w:pPr>
              <w:spacing w:line="265" w:lineRule="auto"/>
              <w:jc w:val="center"/>
              <w:rPr>
                <w:rFonts w:ascii="Arial"/>
                <w:color w:val="000000" w:themeColor="text1"/>
                <w:sz w:val="24"/>
                <w:szCs w:val="24"/>
                <w14:textFill>
                  <w14:solidFill>
                    <w14:schemeClr w14:val="tx1"/>
                  </w14:solidFill>
                </w14:textFill>
              </w:rPr>
            </w:pPr>
          </w:p>
          <w:p w14:paraId="6D8196A0">
            <w:pPr>
              <w:pStyle w:val="20"/>
              <w:spacing w:before="78" w:line="184"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1282" w:type="dxa"/>
            <w:noWrap w:val="0"/>
            <w:vAlign w:val="top"/>
          </w:tcPr>
          <w:p w14:paraId="62004587">
            <w:pPr>
              <w:spacing w:line="258" w:lineRule="auto"/>
              <w:jc w:val="center"/>
              <w:rPr>
                <w:rFonts w:ascii="Arial"/>
                <w:color w:val="000000" w:themeColor="text1"/>
                <w:sz w:val="24"/>
                <w:szCs w:val="24"/>
                <w14:textFill>
                  <w14:solidFill>
                    <w14:schemeClr w14:val="tx1"/>
                  </w14:solidFill>
                </w14:textFill>
              </w:rPr>
            </w:pPr>
          </w:p>
          <w:p w14:paraId="7910A3D0">
            <w:pPr>
              <w:spacing w:line="258" w:lineRule="auto"/>
              <w:jc w:val="center"/>
              <w:rPr>
                <w:rFonts w:ascii="Arial"/>
                <w:color w:val="000000" w:themeColor="text1"/>
                <w:sz w:val="24"/>
                <w:szCs w:val="24"/>
                <w14:textFill>
                  <w14:solidFill>
                    <w14:schemeClr w14:val="tx1"/>
                  </w14:solidFill>
                </w14:textFill>
              </w:rPr>
            </w:pPr>
          </w:p>
          <w:p w14:paraId="0BC24209">
            <w:pPr>
              <w:pStyle w:val="20"/>
              <w:spacing w:before="78" w:line="218" w:lineRule="auto"/>
              <w:jc w:val="center"/>
              <w:rPr>
                <w:rFonts w:hint="eastAsia" w:eastAsia="宋体"/>
                <w:color w:val="000000" w:themeColor="text1"/>
                <w:sz w:val="24"/>
                <w:szCs w:val="24"/>
                <w:lang w:eastAsia="zh-CN"/>
                <w14:textFill>
                  <w14:solidFill>
                    <w14:schemeClr w14:val="tx1"/>
                  </w14:solidFill>
                </w14:textFill>
              </w:rPr>
            </w:pPr>
            <w:r>
              <w:rPr>
                <w:color w:val="000000" w:themeColor="text1"/>
                <w:spacing w:val="-4"/>
                <w:sz w:val="24"/>
                <w:szCs w:val="24"/>
                <w14:textFill>
                  <w14:solidFill>
                    <w14:schemeClr w14:val="tx1"/>
                  </w14:solidFill>
                </w14:textFill>
              </w:rPr>
              <w:t>投标报价</w:t>
            </w:r>
            <w:r>
              <w:rPr>
                <w:rFonts w:hint="eastAsia"/>
                <w:color w:val="000000" w:themeColor="text1"/>
                <w:spacing w:val="-4"/>
                <w:sz w:val="24"/>
                <w:szCs w:val="24"/>
                <w:lang w:val="en-US" w:eastAsia="zh-CN"/>
                <w14:textFill>
                  <w14:solidFill>
                    <w14:schemeClr w14:val="tx1"/>
                  </w14:solidFill>
                </w14:textFill>
              </w:rPr>
              <w:t xml:space="preserve"> </w:t>
            </w:r>
            <w:r>
              <w:rPr>
                <w:rFonts w:hint="eastAsia"/>
                <w:color w:val="000000" w:themeColor="text1"/>
                <w:spacing w:val="-4"/>
                <w:sz w:val="24"/>
                <w:szCs w:val="24"/>
                <w:lang w:eastAsia="zh-CN"/>
                <w14:textFill>
                  <w14:solidFill>
                    <w14:schemeClr w14:val="tx1"/>
                  </w14:solidFill>
                </w14:textFill>
              </w:rPr>
              <w:t>（</w:t>
            </w:r>
            <w:r>
              <w:rPr>
                <w:rFonts w:hint="eastAsia"/>
                <w:color w:val="000000" w:themeColor="text1"/>
                <w:spacing w:val="-4"/>
                <w:sz w:val="24"/>
                <w:szCs w:val="24"/>
                <w:lang w:val="en-US" w:eastAsia="zh-CN"/>
                <w14:textFill>
                  <w14:solidFill>
                    <w14:schemeClr w14:val="tx1"/>
                  </w14:solidFill>
                </w14:textFill>
              </w:rPr>
              <w:t>30分</w:t>
            </w:r>
            <w:r>
              <w:rPr>
                <w:rFonts w:hint="eastAsia"/>
                <w:color w:val="000000" w:themeColor="text1"/>
                <w:spacing w:val="-4"/>
                <w:sz w:val="24"/>
                <w:szCs w:val="24"/>
                <w:lang w:eastAsia="zh-CN"/>
                <w14:textFill>
                  <w14:solidFill>
                    <w14:schemeClr w14:val="tx1"/>
                  </w14:solidFill>
                </w14:textFill>
              </w:rPr>
              <w:t>）</w:t>
            </w:r>
          </w:p>
        </w:tc>
        <w:tc>
          <w:tcPr>
            <w:tcW w:w="1016" w:type="dxa"/>
            <w:noWrap w:val="0"/>
            <w:vAlign w:val="top"/>
          </w:tcPr>
          <w:p w14:paraId="025B1243">
            <w:pPr>
              <w:spacing w:line="258" w:lineRule="auto"/>
              <w:jc w:val="center"/>
              <w:rPr>
                <w:rFonts w:ascii="Arial"/>
                <w:color w:val="000000" w:themeColor="text1"/>
                <w:sz w:val="24"/>
                <w:szCs w:val="24"/>
                <w14:textFill>
                  <w14:solidFill>
                    <w14:schemeClr w14:val="tx1"/>
                  </w14:solidFill>
                </w14:textFill>
              </w:rPr>
            </w:pPr>
          </w:p>
          <w:p w14:paraId="659880C2">
            <w:pPr>
              <w:spacing w:line="258" w:lineRule="auto"/>
              <w:jc w:val="center"/>
              <w:rPr>
                <w:rFonts w:ascii="Arial"/>
                <w:color w:val="000000" w:themeColor="text1"/>
                <w:sz w:val="24"/>
                <w:szCs w:val="24"/>
                <w14:textFill>
                  <w14:solidFill>
                    <w14:schemeClr w14:val="tx1"/>
                  </w14:solidFill>
                </w14:textFill>
              </w:rPr>
            </w:pPr>
          </w:p>
          <w:p w14:paraId="3FE1525A">
            <w:pPr>
              <w:pStyle w:val="20"/>
              <w:spacing w:before="78" w:line="220" w:lineRule="auto"/>
              <w:jc w:val="center"/>
              <w:rPr>
                <w:color w:val="000000" w:themeColor="text1"/>
                <w:sz w:val="24"/>
                <w:szCs w:val="24"/>
                <w14:textFill>
                  <w14:solidFill>
                    <w14:schemeClr w14:val="tx1"/>
                  </w14:solidFill>
                </w14:textFill>
              </w:rPr>
            </w:pPr>
            <w:r>
              <w:rPr>
                <w:rFonts w:hint="eastAsia"/>
                <w:color w:val="000000" w:themeColor="text1"/>
                <w:spacing w:val="-5"/>
                <w:sz w:val="24"/>
                <w:szCs w:val="24"/>
                <w:lang w:val="en-US" w:eastAsia="zh-CN"/>
                <w14:textFill>
                  <w14:solidFill>
                    <w14:schemeClr w14:val="tx1"/>
                  </w14:solidFill>
                </w14:textFill>
              </w:rPr>
              <w:t>3</w:t>
            </w:r>
            <w:r>
              <w:rPr>
                <w:color w:val="000000" w:themeColor="text1"/>
                <w:spacing w:val="-5"/>
                <w:sz w:val="24"/>
                <w:szCs w:val="24"/>
                <w14:textFill>
                  <w14:solidFill>
                    <w14:schemeClr w14:val="tx1"/>
                  </w14:solidFill>
                </w14:textFill>
              </w:rPr>
              <w:t>0</w:t>
            </w:r>
            <w:r>
              <w:rPr>
                <w:color w:val="000000" w:themeColor="text1"/>
                <w:spacing w:val="-48"/>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分</w:t>
            </w:r>
          </w:p>
        </w:tc>
        <w:tc>
          <w:tcPr>
            <w:tcW w:w="5553" w:type="dxa"/>
            <w:noWrap w:val="0"/>
            <w:vAlign w:val="top"/>
          </w:tcPr>
          <w:p w14:paraId="55570846">
            <w:pPr>
              <w:pStyle w:val="20"/>
              <w:keepNext w:val="0"/>
              <w:keepLines w:val="0"/>
              <w:pageBreakBefore w:val="0"/>
              <w:widowControl w:val="0"/>
              <w:kinsoku/>
              <w:wordWrap/>
              <w:overflowPunct/>
              <w:topLinePunct w:val="0"/>
              <w:autoSpaceDE/>
              <w:autoSpaceDN/>
              <w:bidi w:val="0"/>
              <w:adjustRightInd/>
              <w:snapToGrid/>
              <w:spacing w:line="240" w:lineRule="auto"/>
              <w:ind w:left="113" w:right="204" w:firstLine="482"/>
              <w:textAlignment w:val="auto"/>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投标报价分采用低价优先法计算，即满足招标文件要求且报价最低的投标人报价为评标基准价，其报</w:t>
            </w:r>
            <w:r>
              <w:rPr>
                <w:color w:val="000000" w:themeColor="text1"/>
                <w:spacing w:val="-2"/>
                <w:sz w:val="24"/>
                <w:szCs w:val="24"/>
                <w14:textFill>
                  <w14:solidFill>
                    <w14:schemeClr w14:val="tx1"/>
                  </w14:solidFill>
                </w14:textFill>
              </w:rPr>
              <w:t>价分为满分</w:t>
            </w:r>
            <w:r>
              <w:rPr>
                <w:color w:val="000000" w:themeColor="text1"/>
                <w:spacing w:val="-36"/>
                <w:sz w:val="24"/>
                <w:szCs w:val="24"/>
                <w14:textFill>
                  <w14:solidFill>
                    <w14:schemeClr w14:val="tx1"/>
                  </w14:solidFill>
                </w14:textFill>
              </w:rPr>
              <w:t xml:space="preserve"> </w:t>
            </w:r>
            <w:r>
              <w:rPr>
                <w:rFonts w:hint="eastAsia"/>
                <w:color w:val="000000" w:themeColor="text1"/>
                <w:spacing w:val="-2"/>
                <w:sz w:val="24"/>
                <w:szCs w:val="24"/>
                <w:lang w:val="en-US" w:eastAsia="zh-CN"/>
                <w14:textFill>
                  <w14:solidFill>
                    <w14:schemeClr w14:val="tx1"/>
                  </w14:solidFill>
                </w14:textFill>
              </w:rPr>
              <w:t>3</w:t>
            </w:r>
            <w:r>
              <w:rPr>
                <w:color w:val="000000" w:themeColor="text1"/>
                <w:spacing w:val="-2"/>
                <w:sz w:val="24"/>
                <w:szCs w:val="24"/>
                <w14:textFill>
                  <w14:solidFill>
                    <w14:schemeClr w14:val="tx1"/>
                  </w14:solidFill>
                </w14:textFill>
              </w:rPr>
              <w:t>0</w:t>
            </w:r>
            <w:r>
              <w:rPr>
                <w:color w:val="000000" w:themeColor="text1"/>
                <w:spacing w:val="-48"/>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分。其他投标人的报价分统一按照以</w:t>
            </w:r>
            <w:r>
              <w:rPr>
                <w:color w:val="000000" w:themeColor="text1"/>
                <w:spacing w:val="-1"/>
                <w:sz w:val="24"/>
                <w:szCs w:val="24"/>
                <w14:textFill>
                  <w14:solidFill>
                    <w14:schemeClr w14:val="tx1"/>
                  </w14:solidFill>
                </w14:textFill>
              </w:rPr>
              <w:t>下公式计算：投标报价得分=(评标基准价/投标报价)</w:t>
            </w:r>
            <w:r>
              <w:rPr>
                <w:color w:val="000000" w:themeColor="text1"/>
                <w:spacing w:val="15"/>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w:t>
            </w:r>
            <w:r>
              <w:rPr>
                <w:rFonts w:hint="eastAsia"/>
                <w:color w:val="000000" w:themeColor="text1"/>
                <w:spacing w:val="-2"/>
                <w:sz w:val="24"/>
                <w:szCs w:val="24"/>
                <w:lang w:val="en-US" w:eastAsia="zh-CN"/>
                <w14:textFill>
                  <w14:solidFill>
                    <w14:schemeClr w14:val="tx1"/>
                  </w14:solidFill>
                </w14:textFill>
              </w:rPr>
              <w:t>3</w:t>
            </w:r>
            <w:r>
              <w:rPr>
                <w:color w:val="000000" w:themeColor="text1"/>
                <w:spacing w:val="-2"/>
                <w:sz w:val="24"/>
                <w:szCs w:val="24"/>
                <w14:textFill>
                  <w14:solidFill>
                    <w14:schemeClr w14:val="tx1"/>
                  </w14:solidFill>
                </w14:textFill>
              </w:rPr>
              <w:t>0</w:t>
            </w:r>
            <w:r>
              <w:rPr>
                <w:color w:val="000000" w:themeColor="text1"/>
                <w:spacing w:val="-30"/>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分（四舍五入后保留小数点后两位）。</w:t>
            </w:r>
          </w:p>
        </w:tc>
      </w:tr>
      <w:tr w14:paraId="07026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774" w:type="dxa"/>
            <w:noWrap w:val="0"/>
            <w:vAlign w:val="top"/>
          </w:tcPr>
          <w:p w14:paraId="79762D91">
            <w:pPr>
              <w:spacing w:line="259" w:lineRule="auto"/>
              <w:jc w:val="center"/>
              <w:rPr>
                <w:rFonts w:ascii="Arial"/>
                <w:color w:val="000000" w:themeColor="text1"/>
                <w:sz w:val="24"/>
                <w:szCs w:val="24"/>
                <w14:textFill>
                  <w14:solidFill>
                    <w14:schemeClr w14:val="tx1"/>
                  </w14:solidFill>
                </w14:textFill>
              </w:rPr>
            </w:pPr>
          </w:p>
          <w:p w14:paraId="20A127B5">
            <w:pPr>
              <w:spacing w:line="259" w:lineRule="auto"/>
              <w:jc w:val="center"/>
              <w:rPr>
                <w:rFonts w:ascii="Arial"/>
                <w:color w:val="000000" w:themeColor="text1"/>
                <w:sz w:val="24"/>
                <w:szCs w:val="24"/>
                <w14:textFill>
                  <w14:solidFill>
                    <w14:schemeClr w14:val="tx1"/>
                  </w14:solidFill>
                </w14:textFill>
              </w:rPr>
            </w:pPr>
          </w:p>
          <w:p w14:paraId="27D81B51">
            <w:pPr>
              <w:pStyle w:val="20"/>
              <w:spacing w:before="78" w:line="183" w:lineRule="auto"/>
              <w:jc w:val="center"/>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p>
        </w:tc>
        <w:tc>
          <w:tcPr>
            <w:tcW w:w="1282" w:type="dxa"/>
            <w:noWrap w:val="0"/>
            <w:vAlign w:val="top"/>
          </w:tcPr>
          <w:p w14:paraId="72F3319F">
            <w:pPr>
              <w:spacing w:line="252" w:lineRule="auto"/>
              <w:jc w:val="center"/>
              <w:rPr>
                <w:rFonts w:ascii="Arial"/>
                <w:color w:val="000000" w:themeColor="text1"/>
                <w:sz w:val="24"/>
                <w:szCs w:val="24"/>
                <w14:textFill>
                  <w14:solidFill>
                    <w14:schemeClr w14:val="tx1"/>
                  </w14:solidFill>
                </w14:textFill>
              </w:rPr>
            </w:pPr>
          </w:p>
          <w:p w14:paraId="109FAD94">
            <w:pPr>
              <w:spacing w:line="252" w:lineRule="auto"/>
              <w:jc w:val="center"/>
              <w:rPr>
                <w:rFonts w:ascii="Arial"/>
                <w:color w:val="000000" w:themeColor="text1"/>
                <w:sz w:val="24"/>
                <w:szCs w:val="24"/>
                <w14:textFill>
                  <w14:solidFill>
                    <w14:schemeClr w14:val="tx1"/>
                  </w14:solidFill>
                </w14:textFill>
              </w:rPr>
            </w:pPr>
          </w:p>
          <w:p w14:paraId="5E23203A">
            <w:pPr>
              <w:pStyle w:val="20"/>
              <w:spacing w:before="78" w:line="220" w:lineRule="auto"/>
              <w:jc w:val="center"/>
              <w:rPr>
                <w:rFonts w:hint="eastAsia" w:eastAsia="宋体"/>
                <w:color w:val="000000" w:themeColor="text1"/>
                <w:sz w:val="24"/>
                <w:szCs w:val="24"/>
                <w:lang w:eastAsia="zh-CN"/>
                <w14:textFill>
                  <w14:solidFill>
                    <w14:schemeClr w14:val="tx1"/>
                  </w14:solidFill>
                </w14:textFill>
              </w:rPr>
            </w:pPr>
            <w:r>
              <w:rPr>
                <w:color w:val="000000" w:themeColor="text1"/>
                <w:spacing w:val="-5"/>
                <w:sz w:val="24"/>
                <w:szCs w:val="24"/>
                <w14:textFill>
                  <w14:solidFill>
                    <w14:schemeClr w14:val="tx1"/>
                  </w14:solidFill>
                </w14:textFill>
              </w:rPr>
              <w:t>业绩</w:t>
            </w:r>
            <w:r>
              <w:rPr>
                <w:rFonts w:hint="eastAsia"/>
                <w:color w:val="000000" w:themeColor="text1"/>
                <w:spacing w:val="-5"/>
                <w:sz w:val="24"/>
                <w:szCs w:val="24"/>
                <w:lang w:val="en-US" w:eastAsia="zh-CN"/>
                <w14:textFill>
                  <w14:solidFill>
                    <w14:schemeClr w14:val="tx1"/>
                  </w14:solidFill>
                </w14:textFill>
              </w:rPr>
              <w:t xml:space="preserve">     </w:t>
            </w:r>
            <w:r>
              <w:rPr>
                <w:rFonts w:hint="eastAsia"/>
                <w:color w:val="000000" w:themeColor="text1"/>
                <w:spacing w:val="-5"/>
                <w:sz w:val="24"/>
                <w:szCs w:val="24"/>
                <w:lang w:eastAsia="zh-CN"/>
                <w14:textFill>
                  <w14:solidFill>
                    <w14:schemeClr w14:val="tx1"/>
                  </w14:solidFill>
                </w14:textFill>
              </w:rPr>
              <w:t>（</w:t>
            </w:r>
            <w:r>
              <w:rPr>
                <w:rFonts w:hint="eastAsia"/>
                <w:color w:val="000000" w:themeColor="text1"/>
                <w:spacing w:val="-5"/>
                <w:sz w:val="24"/>
                <w:szCs w:val="24"/>
                <w:lang w:val="en-US" w:eastAsia="zh-CN"/>
                <w14:textFill>
                  <w14:solidFill>
                    <w14:schemeClr w14:val="tx1"/>
                  </w14:solidFill>
                </w14:textFill>
              </w:rPr>
              <w:t>12分</w:t>
            </w:r>
            <w:r>
              <w:rPr>
                <w:rFonts w:hint="eastAsia"/>
                <w:color w:val="000000" w:themeColor="text1"/>
                <w:spacing w:val="-5"/>
                <w:sz w:val="24"/>
                <w:szCs w:val="24"/>
                <w:lang w:eastAsia="zh-CN"/>
                <w14:textFill>
                  <w14:solidFill>
                    <w14:schemeClr w14:val="tx1"/>
                  </w14:solidFill>
                </w14:textFill>
              </w:rPr>
              <w:t>）</w:t>
            </w:r>
          </w:p>
        </w:tc>
        <w:tc>
          <w:tcPr>
            <w:tcW w:w="1016" w:type="dxa"/>
            <w:noWrap w:val="0"/>
            <w:vAlign w:val="top"/>
          </w:tcPr>
          <w:p w14:paraId="4B25B67C">
            <w:pPr>
              <w:spacing w:line="252" w:lineRule="auto"/>
              <w:jc w:val="center"/>
              <w:rPr>
                <w:rFonts w:ascii="Arial"/>
                <w:color w:val="000000" w:themeColor="text1"/>
                <w:sz w:val="24"/>
                <w:szCs w:val="24"/>
                <w14:textFill>
                  <w14:solidFill>
                    <w14:schemeClr w14:val="tx1"/>
                  </w14:solidFill>
                </w14:textFill>
              </w:rPr>
            </w:pPr>
          </w:p>
          <w:p w14:paraId="0F6A8DFB">
            <w:pPr>
              <w:spacing w:line="252" w:lineRule="auto"/>
              <w:jc w:val="center"/>
              <w:rPr>
                <w:rFonts w:ascii="Arial"/>
                <w:color w:val="000000" w:themeColor="text1"/>
                <w:sz w:val="24"/>
                <w:szCs w:val="24"/>
                <w14:textFill>
                  <w14:solidFill>
                    <w14:schemeClr w14:val="tx1"/>
                  </w14:solidFill>
                </w14:textFill>
              </w:rPr>
            </w:pPr>
          </w:p>
          <w:p w14:paraId="5E87CEE4">
            <w:pPr>
              <w:pStyle w:val="20"/>
              <w:spacing w:before="78" w:line="220" w:lineRule="auto"/>
              <w:jc w:val="center"/>
              <w:rPr>
                <w:color w:val="000000" w:themeColor="text1"/>
                <w:sz w:val="24"/>
                <w:szCs w:val="24"/>
                <w14:textFill>
                  <w14:solidFill>
                    <w14:schemeClr w14:val="tx1"/>
                  </w14:solidFill>
                </w14:textFill>
              </w:rPr>
            </w:pPr>
            <w:r>
              <w:rPr>
                <w:color w:val="000000" w:themeColor="text1"/>
                <w:spacing w:val="-10"/>
                <w:sz w:val="24"/>
                <w:szCs w:val="24"/>
                <w14:textFill>
                  <w14:solidFill>
                    <w14:schemeClr w14:val="tx1"/>
                  </w14:solidFill>
                </w14:textFill>
              </w:rPr>
              <w:t>1</w:t>
            </w:r>
            <w:r>
              <w:rPr>
                <w:rFonts w:hint="eastAsia"/>
                <w:color w:val="000000" w:themeColor="text1"/>
                <w:spacing w:val="-10"/>
                <w:sz w:val="24"/>
                <w:szCs w:val="24"/>
                <w:lang w:val="en-US" w:eastAsia="zh-CN"/>
                <w14:textFill>
                  <w14:solidFill>
                    <w14:schemeClr w14:val="tx1"/>
                  </w14:solidFill>
                </w14:textFill>
              </w:rPr>
              <w:t>2</w:t>
            </w:r>
            <w:r>
              <w:rPr>
                <w:color w:val="000000" w:themeColor="text1"/>
                <w:spacing w:val="-46"/>
                <w:sz w:val="24"/>
                <w:szCs w:val="24"/>
                <w14:textFill>
                  <w14:solidFill>
                    <w14:schemeClr w14:val="tx1"/>
                  </w14:solidFill>
                </w14:textFill>
              </w:rPr>
              <w:t xml:space="preserve"> </w:t>
            </w:r>
            <w:r>
              <w:rPr>
                <w:color w:val="000000" w:themeColor="text1"/>
                <w:spacing w:val="-10"/>
                <w:sz w:val="24"/>
                <w:szCs w:val="24"/>
                <w14:textFill>
                  <w14:solidFill>
                    <w14:schemeClr w14:val="tx1"/>
                  </w14:solidFill>
                </w14:textFill>
              </w:rPr>
              <w:t>分</w:t>
            </w:r>
          </w:p>
        </w:tc>
        <w:tc>
          <w:tcPr>
            <w:tcW w:w="5553" w:type="dxa"/>
            <w:noWrap w:val="0"/>
            <w:vAlign w:val="top"/>
          </w:tcPr>
          <w:p w14:paraId="49A3A74F">
            <w:pPr>
              <w:pStyle w:val="20"/>
              <w:keepNext w:val="0"/>
              <w:keepLines w:val="0"/>
              <w:pageBreakBefore w:val="0"/>
              <w:widowControl w:val="0"/>
              <w:kinsoku/>
              <w:wordWrap/>
              <w:overflowPunct/>
              <w:topLinePunct w:val="0"/>
              <w:autoSpaceDE/>
              <w:autoSpaceDN/>
              <w:bidi w:val="0"/>
              <w:adjustRightInd/>
              <w:snapToGrid/>
              <w:spacing w:line="240" w:lineRule="auto"/>
              <w:ind w:left="113" w:right="204" w:firstLine="482"/>
              <w:textAlignment w:val="auto"/>
              <w:rPr>
                <w:rFonts w:hint="eastAsia"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投标人自2021年1月1日（以合同签订时间为准）以来具有类似的物业管理服务业绩的每提供一个得</w:t>
            </w:r>
            <w:r>
              <w:rPr>
                <w:rFonts w:hint="eastAsia" w:cs="宋体"/>
                <w:color w:val="000000" w:themeColor="text1"/>
                <w:spacing w:val="-1"/>
                <w:sz w:val="24"/>
                <w:szCs w:val="24"/>
                <w:lang w:val="en-US" w:eastAsia="zh-CN"/>
                <w14:textFill>
                  <w14:solidFill>
                    <w14:schemeClr w14:val="tx1"/>
                  </w14:solidFill>
                </w14:textFill>
              </w:rPr>
              <w:t>4</w:t>
            </w:r>
            <w:r>
              <w:rPr>
                <w:rFonts w:hint="eastAsia" w:ascii="宋体" w:hAnsi="宋体" w:eastAsia="宋体" w:cs="宋体"/>
                <w:color w:val="000000" w:themeColor="text1"/>
                <w:spacing w:val="-1"/>
                <w:sz w:val="24"/>
                <w:szCs w:val="24"/>
                <w14:textFill>
                  <w14:solidFill>
                    <w14:schemeClr w14:val="tx1"/>
                  </w14:solidFill>
                </w14:textFill>
              </w:rPr>
              <w:t>分，本项最高得1</w:t>
            </w:r>
            <w:r>
              <w:rPr>
                <w:rFonts w:hint="eastAsia" w:cs="宋体"/>
                <w:color w:val="000000" w:themeColor="text1"/>
                <w:spacing w:val="-1"/>
                <w:sz w:val="24"/>
                <w:szCs w:val="24"/>
                <w:lang w:val="en-US" w:eastAsia="zh-CN"/>
                <w14:textFill>
                  <w14:solidFill>
                    <w14:schemeClr w14:val="tx1"/>
                  </w14:solidFill>
                </w14:textFill>
              </w:rPr>
              <w:t>2</w:t>
            </w:r>
            <w:r>
              <w:rPr>
                <w:rFonts w:hint="eastAsia" w:ascii="宋体" w:hAnsi="宋体" w:eastAsia="宋体" w:cs="宋体"/>
                <w:color w:val="000000" w:themeColor="text1"/>
                <w:spacing w:val="-1"/>
                <w:sz w:val="24"/>
                <w:szCs w:val="24"/>
                <w14:textFill>
                  <w14:solidFill>
                    <w14:schemeClr w14:val="tx1"/>
                  </w14:solidFill>
                </w14:textFill>
              </w:rPr>
              <w:t>分。投标时需提供合同彩色扫描件并加盖CA电子公章，未提供不得分。（如合同为一年一签的同一项目年度合同，只认同为一项合同）</w:t>
            </w:r>
            <w:r>
              <w:rPr>
                <w:rFonts w:hint="eastAsia" w:ascii="宋体" w:hAnsi="宋体" w:eastAsia="宋体" w:cs="宋体"/>
                <w:color w:val="000000" w:themeColor="text1"/>
                <w:spacing w:val="-1"/>
                <w:sz w:val="24"/>
                <w:szCs w:val="24"/>
                <w:lang w:eastAsia="zh-CN"/>
                <w14:textFill>
                  <w14:solidFill>
                    <w14:schemeClr w14:val="tx1"/>
                  </w14:solidFill>
                </w14:textFill>
              </w:rPr>
              <w:t>。</w:t>
            </w:r>
          </w:p>
        </w:tc>
      </w:tr>
      <w:tr w14:paraId="23338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774" w:type="dxa"/>
            <w:vMerge w:val="restart"/>
            <w:noWrap w:val="0"/>
            <w:vAlign w:val="top"/>
          </w:tcPr>
          <w:p w14:paraId="4F849B59">
            <w:pPr>
              <w:pStyle w:val="20"/>
              <w:spacing w:before="78" w:line="183" w:lineRule="auto"/>
              <w:ind w:left="329"/>
              <w:rPr>
                <w:rFonts w:hint="eastAsia"/>
                <w:color w:val="000000" w:themeColor="text1"/>
                <w:sz w:val="24"/>
                <w:szCs w:val="24"/>
                <w:lang w:val="en-US" w:eastAsia="zh-CN"/>
                <w14:textFill>
                  <w14:solidFill>
                    <w14:schemeClr w14:val="tx1"/>
                  </w14:solidFill>
                </w14:textFill>
              </w:rPr>
            </w:pPr>
          </w:p>
          <w:p w14:paraId="6040E2BD">
            <w:pPr>
              <w:pStyle w:val="20"/>
              <w:spacing w:before="78" w:line="183" w:lineRule="auto"/>
              <w:ind w:left="329"/>
              <w:rPr>
                <w:rFonts w:hint="eastAsia"/>
                <w:color w:val="000000" w:themeColor="text1"/>
                <w:sz w:val="24"/>
                <w:szCs w:val="24"/>
                <w:lang w:val="en-US" w:eastAsia="zh-CN"/>
                <w14:textFill>
                  <w14:solidFill>
                    <w14:schemeClr w14:val="tx1"/>
                  </w14:solidFill>
                </w14:textFill>
              </w:rPr>
            </w:pPr>
          </w:p>
          <w:p w14:paraId="6ECCD6AD">
            <w:pPr>
              <w:pStyle w:val="20"/>
              <w:spacing w:before="78" w:line="183" w:lineRule="auto"/>
              <w:ind w:left="329"/>
              <w:rPr>
                <w:rFonts w:hint="eastAsia"/>
                <w:color w:val="000000" w:themeColor="text1"/>
                <w:sz w:val="24"/>
                <w:szCs w:val="24"/>
                <w:lang w:val="en-US" w:eastAsia="zh-CN"/>
                <w14:textFill>
                  <w14:solidFill>
                    <w14:schemeClr w14:val="tx1"/>
                  </w14:solidFill>
                </w14:textFill>
              </w:rPr>
            </w:pPr>
          </w:p>
          <w:p w14:paraId="5EB56B25">
            <w:pPr>
              <w:pStyle w:val="20"/>
              <w:spacing w:before="78" w:line="183" w:lineRule="auto"/>
              <w:ind w:left="329"/>
              <w:rPr>
                <w:rFonts w:hint="eastAsia"/>
                <w:color w:val="000000" w:themeColor="text1"/>
                <w:sz w:val="24"/>
                <w:szCs w:val="24"/>
                <w:lang w:val="en-US" w:eastAsia="zh-CN"/>
                <w14:textFill>
                  <w14:solidFill>
                    <w14:schemeClr w14:val="tx1"/>
                  </w14:solidFill>
                </w14:textFill>
              </w:rPr>
            </w:pPr>
          </w:p>
          <w:p w14:paraId="355F72E2">
            <w:pPr>
              <w:pStyle w:val="20"/>
              <w:spacing w:before="78" w:line="183" w:lineRule="auto"/>
              <w:ind w:left="329"/>
              <w:rPr>
                <w:rFonts w:hint="eastAsia"/>
                <w:color w:val="000000" w:themeColor="text1"/>
                <w:sz w:val="24"/>
                <w:szCs w:val="24"/>
                <w:lang w:val="en-US" w:eastAsia="zh-CN"/>
                <w14:textFill>
                  <w14:solidFill>
                    <w14:schemeClr w14:val="tx1"/>
                  </w14:solidFill>
                </w14:textFill>
              </w:rPr>
            </w:pPr>
          </w:p>
          <w:p w14:paraId="6517E9CB">
            <w:pPr>
              <w:pStyle w:val="20"/>
              <w:spacing w:before="78" w:line="183" w:lineRule="auto"/>
              <w:ind w:left="329"/>
              <w:rPr>
                <w:rFonts w:hint="eastAsia"/>
                <w:color w:val="000000" w:themeColor="text1"/>
                <w:sz w:val="24"/>
                <w:szCs w:val="24"/>
                <w:lang w:val="en-US" w:eastAsia="zh-CN"/>
                <w14:textFill>
                  <w14:solidFill>
                    <w14:schemeClr w14:val="tx1"/>
                  </w14:solidFill>
                </w14:textFill>
              </w:rPr>
            </w:pPr>
          </w:p>
          <w:p w14:paraId="242CF3A0">
            <w:pPr>
              <w:pStyle w:val="20"/>
              <w:spacing w:before="78" w:line="183" w:lineRule="auto"/>
              <w:ind w:left="329"/>
              <w:rPr>
                <w:rFonts w:hint="eastAsia"/>
                <w:color w:val="000000" w:themeColor="text1"/>
                <w:sz w:val="24"/>
                <w:szCs w:val="24"/>
                <w:lang w:val="en-US" w:eastAsia="zh-CN"/>
                <w14:textFill>
                  <w14:solidFill>
                    <w14:schemeClr w14:val="tx1"/>
                  </w14:solidFill>
                </w14:textFill>
              </w:rPr>
            </w:pPr>
          </w:p>
          <w:p w14:paraId="0F929191">
            <w:pPr>
              <w:pStyle w:val="20"/>
              <w:spacing w:before="78" w:line="183"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p>
        </w:tc>
        <w:tc>
          <w:tcPr>
            <w:tcW w:w="1282" w:type="dxa"/>
            <w:vMerge w:val="restart"/>
            <w:noWrap w:val="0"/>
            <w:vAlign w:val="top"/>
          </w:tcPr>
          <w:p w14:paraId="5AF36DEB">
            <w:pPr>
              <w:pStyle w:val="20"/>
              <w:spacing w:before="78" w:line="220" w:lineRule="auto"/>
              <w:ind w:left="397"/>
              <w:rPr>
                <w:rFonts w:hint="eastAsia"/>
                <w:color w:val="000000" w:themeColor="text1"/>
                <w:spacing w:val="-5"/>
                <w:sz w:val="24"/>
                <w:szCs w:val="24"/>
                <w:lang w:val="en-US" w:eastAsia="zh-CN"/>
                <w14:textFill>
                  <w14:solidFill>
                    <w14:schemeClr w14:val="tx1"/>
                  </w14:solidFill>
                </w14:textFill>
              </w:rPr>
            </w:pPr>
          </w:p>
          <w:p w14:paraId="6628314B">
            <w:pPr>
              <w:pStyle w:val="20"/>
              <w:spacing w:before="78" w:line="220" w:lineRule="auto"/>
              <w:ind w:left="397"/>
              <w:rPr>
                <w:rFonts w:hint="eastAsia"/>
                <w:color w:val="000000" w:themeColor="text1"/>
                <w:spacing w:val="-5"/>
                <w:sz w:val="24"/>
                <w:szCs w:val="24"/>
                <w:lang w:val="en-US" w:eastAsia="zh-CN"/>
                <w14:textFill>
                  <w14:solidFill>
                    <w14:schemeClr w14:val="tx1"/>
                  </w14:solidFill>
                </w14:textFill>
              </w:rPr>
            </w:pPr>
          </w:p>
          <w:p w14:paraId="3FB2355E">
            <w:pPr>
              <w:pStyle w:val="20"/>
              <w:spacing w:before="78" w:line="220" w:lineRule="auto"/>
              <w:ind w:left="397"/>
              <w:rPr>
                <w:rFonts w:hint="eastAsia"/>
                <w:color w:val="000000" w:themeColor="text1"/>
                <w:spacing w:val="-5"/>
                <w:sz w:val="24"/>
                <w:szCs w:val="24"/>
                <w:lang w:val="en-US" w:eastAsia="zh-CN"/>
                <w14:textFill>
                  <w14:solidFill>
                    <w14:schemeClr w14:val="tx1"/>
                  </w14:solidFill>
                </w14:textFill>
              </w:rPr>
            </w:pPr>
          </w:p>
          <w:p w14:paraId="66F7C207">
            <w:pPr>
              <w:pStyle w:val="20"/>
              <w:spacing w:before="78" w:line="220" w:lineRule="auto"/>
              <w:ind w:left="397"/>
              <w:rPr>
                <w:rFonts w:hint="eastAsia"/>
                <w:color w:val="000000" w:themeColor="text1"/>
                <w:spacing w:val="-5"/>
                <w:sz w:val="24"/>
                <w:szCs w:val="24"/>
                <w:lang w:val="en-US" w:eastAsia="zh-CN"/>
                <w14:textFill>
                  <w14:solidFill>
                    <w14:schemeClr w14:val="tx1"/>
                  </w14:solidFill>
                </w14:textFill>
              </w:rPr>
            </w:pPr>
          </w:p>
          <w:p w14:paraId="1C7C1A91">
            <w:pPr>
              <w:pStyle w:val="20"/>
              <w:spacing w:before="78" w:line="220" w:lineRule="auto"/>
              <w:ind w:left="397"/>
              <w:rPr>
                <w:rFonts w:hint="eastAsia"/>
                <w:color w:val="000000" w:themeColor="text1"/>
                <w:spacing w:val="-5"/>
                <w:sz w:val="24"/>
                <w:szCs w:val="24"/>
                <w:lang w:val="en-US" w:eastAsia="zh-CN"/>
                <w14:textFill>
                  <w14:solidFill>
                    <w14:schemeClr w14:val="tx1"/>
                  </w14:solidFill>
                </w14:textFill>
              </w:rPr>
            </w:pPr>
          </w:p>
          <w:p w14:paraId="54DC4965">
            <w:pPr>
              <w:pStyle w:val="20"/>
              <w:spacing w:before="78" w:line="220" w:lineRule="auto"/>
              <w:ind w:left="397"/>
              <w:rPr>
                <w:rFonts w:hint="eastAsia"/>
                <w:color w:val="000000" w:themeColor="text1"/>
                <w:spacing w:val="-5"/>
                <w:sz w:val="24"/>
                <w:szCs w:val="24"/>
                <w:lang w:val="en-US" w:eastAsia="zh-CN"/>
                <w14:textFill>
                  <w14:solidFill>
                    <w14:schemeClr w14:val="tx1"/>
                  </w14:solidFill>
                </w14:textFill>
              </w:rPr>
            </w:pPr>
          </w:p>
          <w:p w14:paraId="46A285B7">
            <w:pPr>
              <w:pStyle w:val="20"/>
              <w:spacing w:before="78" w:line="220" w:lineRule="auto"/>
              <w:jc w:val="center"/>
              <w:rPr>
                <w:rFonts w:hint="default" w:eastAsia="宋体"/>
                <w:color w:val="000000" w:themeColor="text1"/>
                <w:spacing w:val="-5"/>
                <w:sz w:val="24"/>
                <w:szCs w:val="24"/>
                <w:lang w:val="en-US" w:eastAsia="zh-CN"/>
                <w14:textFill>
                  <w14:solidFill>
                    <w14:schemeClr w14:val="tx1"/>
                  </w14:solidFill>
                </w14:textFill>
              </w:rPr>
            </w:pPr>
            <w:r>
              <w:rPr>
                <w:rFonts w:hint="eastAsia"/>
                <w:color w:val="000000" w:themeColor="text1"/>
                <w:spacing w:val="-5"/>
                <w:sz w:val="24"/>
                <w:szCs w:val="24"/>
                <w:lang w:val="en-US" w:eastAsia="zh-CN"/>
                <w14:textFill>
                  <w14:solidFill>
                    <w14:schemeClr w14:val="tx1"/>
                  </w14:solidFill>
                </w14:textFill>
              </w:rPr>
              <w:t>服务人员  配备       （20分）</w:t>
            </w:r>
          </w:p>
        </w:tc>
        <w:tc>
          <w:tcPr>
            <w:tcW w:w="1016" w:type="dxa"/>
            <w:noWrap w:val="0"/>
            <w:vAlign w:val="top"/>
          </w:tcPr>
          <w:p w14:paraId="15C2AF1E">
            <w:pPr>
              <w:pStyle w:val="20"/>
              <w:spacing w:before="78" w:line="220" w:lineRule="auto"/>
              <w:ind w:left="175"/>
              <w:rPr>
                <w:rFonts w:hint="eastAsia"/>
                <w:color w:val="000000" w:themeColor="text1"/>
                <w:spacing w:val="-10"/>
                <w:sz w:val="24"/>
                <w:szCs w:val="24"/>
                <w:lang w:val="en-US" w:eastAsia="zh-CN"/>
                <w14:textFill>
                  <w14:solidFill>
                    <w14:schemeClr w14:val="tx1"/>
                  </w14:solidFill>
                </w14:textFill>
              </w:rPr>
            </w:pPr>
          </w:p>
          <w:p w14:paraId="1A7E90A5">
            <w:pPr>
              <w:pStyle w:val="20"/>
              <w:spacing w:before="78" w:line="220" w:lineRule="auto"/>
              <w:ind w:left="175"/>
              <w:rPr>
                <w:rFonts w:hint="eastAsia"/>
                <w:color w:val="000000" w:themeColor="text1"/>
                <w:spacing w:val="-10"/>
                <w:sz w:val="24"/>
                <w:szCs w:val="24"/>
                <w:lang w:val="en-US" w:eastAsia="zh-CN"/>
                <w14:textFill>
                  <w14:solidFill>
                    <w14:schemeClr w14:val="tx1"/>
                  </w14:solidFill>
                </w14:textFill>
              </w:rPr>
            </w:pPr>
          </w:p>
          <w:p w14:paraId="6523C0DC">
            <w:pPr>
              <w:pStyle w:val="20"/>
              <w:spacing w:before="78" w:line="220" w:lineRule="auto"/>
              <w:jc w:val="center"/>
              <w:rPr>
                <w:rFonts w:hint="default" w:eastAsia="宋体"/>
                <w:color w:val="000000" w:themeColor="text1"/>
                <w:spacing w:val="-10"/>
                <w:sz w:val="24"/>
                <w:szCs w:val="24"/>
                <w:lang w:val="en-US" w:eastAsia="zh-CN"/>
                <w14:textFill>
                  <w14:solidFill>
                    <w14:schemeClr w14:val="tx1"/>
                  </w14:solidFill>
                </w14:textFill>
              </w:rPr>
            </w:pPr>
            <w:r>
              <w:rPr>
                <w:rFonts w:hint="eastAsia"/>
                <w:color w:val="000000" w:themeColor="text1"/>
                <w:spacing w:val="-10"/>
                <w:sz w:val="24"/>
                <w:szCs w:val="24"/>
                <w:lang w:val="en-US" w:eastAsia="zh-CN"/>
                <w14:textFill>
                  <w14:solidFill>
                    <w14:schemeClr w14:val="tx1"/>
                  </w14:solidFill>
                </w14:textFill>
              </w:rPr>
              <w:t>4分</w:t>
            </w:r>
          </w:p>
        </w:tc>
        <w:tc>
          <w:tcPr>
            <w:tcW w:w="5553" w:type="dxa"/>
            <w:noWrap w:val="0"/>
            <w:vAlign w:val="top"/>
          </w:tcPr>
          <w:p w14:paraId="442076E1">
            <w:pPr>
              <w:pStyle w:val="20"/>
              <w:keepNext w:val="0"/>
              <w:keepLines w:val="0"/>
              <w:pageBreakBefore w:val="0"/>
              <w:widowControl w:val="0"/>
              <w:kinsoku/>
              <w:wordWrap/>
              <w:overflowPunct/>
              <w:topLinePunct w:val="0"/>
              <w:autoSpaceDE/>
              <w:autoSpaceDN/>
              <w:bidi w:val="0"/>
              <w:adjustRightInd/>
              <w:snapToGrid/>
              <w:spacing w:line="240" w:lineRule="auto"/>
              <w:ind w:right="204"/>
              <w:textAlignment w:val="auto"/>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（1）项目负责人</w:t>
            </w:r>
          </w:p>
          <w:p w14:paraId="493FCF2F">
            <w:pPr>
              <w:pStyle w:val="20"/>
              <w:keepNext w:val="0"/>
              <w:keepLines w:val="0"/>
              <w:pageBreakBefore w:val="0"/>
              <w:widowControl w:val="0"/>
              <w:kinsoku/>
              <w:wordWrap/>
              <w:overflowPunct/>
              <w:topLinePunct w:val="0"/>
              <w:autoSpaceDE/>
              <w:autoSpaceDN/>
              <w:bidi w:val="0"/>
              <w:adjustRightInd/>
              <w:snapToGrid/>
              <w:spacing w:line="240" w:lineRule="auto"/>
              <w:ind w:right="204" w:firstLine="476" w:firstLineChars="200"/>
              <w:textAlignment w:val="auto"/>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项目负责人具有有效《全国物业管理企业经理岗位证书》或《项目经理岗位证书》，项目负责人具备大专及以上学历（提供证书），每提供一样得2分，最高4分</w:t>
            </w:r>
            <w:r>
              <w:rPr>
                <w:rFonts w:hint="eastAsia" w:ascii="宋体" w:hAnsi="宋体" w:eastAsia="宋体" w:cs="宋体"/>
                <w:color w:val="000000" w:themeColor="text1"/>
                <w:spacing w:val="-1"/>
                <w:sz w:val="24"/>
                <w:szCs w:val="24"/>
                <w14:textFill>
                  <w14:solidFill>
                    <w14:schemeClr w14:val="tx1"/>
                  </w14:solidFill>
                </w14:textFill>
              </w:rPr>
              <w:t>；</w:t>
            </w:r>
          </w:p>
          <w:p w14:paraId="10D53350">
            <w:pPr>
              <w:pStyle w:val="20"/>
              <w:keepNext w:val="0"/>
              <w:keepLines w:val="0"/>
              <w:pageBreakBefore w:val="0"/>
              <w:widowControl w:val="0"/>
              <w:kinsoku/>
              <w:wordWrap/>
              <w:overflowPunct/>
              <w:topLinePunct w:val="0"/>
              <w:autoSpaceDE/>
              <w:autoSpaceDN/>
              <w:bidi w:val="0"/>
              <w:adjustRightInd/>
              <w:snapToGrid/>
              <w:spacing w:line="240" w:lineRule="auto"/>
              <w:ind w:right="204" w:firstLine="476" w:firstLineChars="200"/>
              <w:textAlignment w:val="auto"/>
              <w:rPr>
                <w:rFonts w:hint="eastAsia" w:ascii="宋体" w:hAnsi="宋体" w:eastAsia="宋体" w:cs="宋体"/>
                <w:color w:val="000000" w:themeColor="text1"/>
                <w:spacing w:val="-1"/>
                <w:sz w:val="24"/>
                <w:szCs w:val="24"/>
                <w14:textFill>
                  <w14:solidFill>
                    <w14:schemeClr w14:val="tx1"/>
                  </w14:solidFill>
                </w14:textFill>
              </w:rPr>
            </w:pPr>
            <w:r>
              <w:rPr>
                <w:rFonts w:hint="eastAsia" w:cs="宋体"/>
                <w:color w:val="000000" w:themeColor="text1"/>
                <w:spacing w:val="-1"/>
                <w:sz w:val="24"/>
                <w:szCs w:val="24"/>
                <w:lang w:val="en-US" w:eastAsia="zh-CN"/>
                <w14:textFill>
                  <w14:solidFill>
                    <w14:schemeClr w14:val="tx1"/>
                  </w14:solidFill>
                </w14:textFill>
              </w:rPr>
              <w:t>注：投标文件提供上述人员相关证书</w:t>
            </w:r>
            <w:r>
              <w:rPr>
                <w:rFonts w:hint="eastAsia" w:ascii="宋体" w:hAnsi="宋体" w:eastAsia="宋体" w:cs="宋体"/>
                <w:color w:val="000000" w:themeColor="text1"/>
                <w:spacing w:val="-1"/>
                <w:sz w:val="24"/>
                <w:szCs w:val="24"/>
                <w14:textFill>
                  <w14:solidFill>
                    <w14:schemeClr w14:val="tx1"/>
                  </w14:solidFill>
                </w14:textFill>
              </w:rPr>
              <w:t>（</w:t>
            </w:r>
            <w:r>
              <w:rPr>
                <w:rFonts w:hint="eastAsia" w:cs="宋体"/>
                <w:color w:val="000000" w:themeColor="text1"/>
                <w:spacing w:val="-1"/>
                <w:sz w:val="24"/>
                <w:szCs w:val="24"/>
                <w:lang w:val="en-US" w:eastAsia="zh-CN"/>
                <w14:textFill>
                  <w14:solidFill>
                    <w14:schemeClr w14:val="tx1"/>
                  </w14:solidFill>
                </w14:textFill>
              </w:rPr>
              <w:t>须</w:t>
            </w:r>
            <w:r>
              <w:rPr>
                <w:rFonts w:hint="eastAsia" w:ascii="宋体" w:hAnsi="宋体" w:eastAsia="宋体" w:cs="宋体"/>
                <w:color w:val="000000" w:themeColor="text1"/>
                <w:spacing w:val="-1"/>
                <w:sz w:val="24"/>
                <w:szCs w:val="24"/>
                <w14:textFill>
                  <w14:solidFill>
                    <w14:schemeClr w14:val="tx1"/>
                  </w14:solidFill>
                </w14:textFill>
              </w:rPr>
              <w:t>提供有效证书</w:t>
            </w:r>
            <w:r>
              <w:rPr>
                <w:rFonts w:hint="eastAsia" w:cs="宋体"/>
                <w:color w:val="000000" w:themeColor="text1"/>
                <w:spacing w:val="-1"/>
                <w:sz w:val="24"/>
                <w:szCs w:val="24"/>
                <w:lang w:val="en-US" w:eastAsia="zh-CN"/>
                <w14:textFill>
                  <w14:solidFill>
                    <w14:schemeClr w14:val="tx1"/>
                  </w14:solidFill>
                </w14:textFill>
              </w:rPr>
              <w:t>彩色</w:t>
            </w:r>
            <w:r>
              <w:rPr>
                <w:rFonts w:hint="eastAsia" w:ascii="宋体" w:hAnsi="宋体" w:eastAsia="宋体" w:cs="宋体"/>
                <w:color w:val="000000" w:themeColor="text1"/>
                <w:spacing w:val="-1"/>
                <w:sz w:val="24"/>
                <w:szCs w:val="24"/>
                <w14:textFill>
                  <w14:solidFill>
                    <w14:schemeClr w14:val="tx1"/>
                  </w14:solidFill>
                </w14:textFill>
              </w:rPr>
              <w:t>扫描件</w:t>
            </w:r>
            <w:r>
              <w:rPr>
                <w:rFonts w:hint="eastAsia" w:cs="宋体"/>
                <w:color w:val="000000" w:themeColor="text1"/>
                <w:spacing w:val="-1"/>
                <w:sz w:val="24"/>
                <w:szCs w:val="24"/>
                <w:lang w:val="en-US" w:eastAsia="zh-CN"/>
                <w14:textFill>
                  <w14:solidFill>
                    <w14:schemeClr w14:val="tx1"/>
                  </w14:solidFill>
                </w14:textFill>
              </w:rPr>
              <w:t>和聘用合同彩色扫描件并</w:t>
            </w:r>
            <w:r>
              <w:rPr>
                <w:rFonts w:hint="eastAsia" w:ascii="宋体" w:hAnsi="宋体" w:eastAsia="宋体" w:cs="宋体"/>
                <w:color w:val="000000" w:themeColor="text1"/>
                <w:spacing w:val="-1"/>
                <w:sz w:val="24"/>
                <w:szCs w:val="24"/>
                <w14:textFill>
                  <w14:solidFill>
                    <w14:schemeClr w14:val="tx1"/>
                  </w14:solidFill>
                </w14:textFill>
              </w:rPr>
              <w:t>加盖CA电子公章，</w:t>
            </w:r>
            <w:r>
              <w:rPr>
                <w:rFonts w:hint="eastAsia" w:cs="宋体"/>
                <w:color w:val="000000" w:themeColor="text1"/>
                <w:spacing w:val="-1"/>
                <w:sz w:val="24"/>
                <w:szCs w:val="24"/>
                <w:lang w:val="en-US" w:eastAsia="zh-CN"/>
                <w14:textFill>
                  <w14:solidFill>
                    <w14:schemeClr w14:val="tx1"/>
                  </w14:solidFill>
                </w14:textFill>
              </w:rPr>
              <w:t>未</w:t>
            </w:r>
            <w:r>
              <w:rPr>
                <w:rFonts w:hint="eastAsia" w:ascii="宋体" w:hAnsi="宋体" w:eastAsia="宋体" w:cs="宋体"/>
                <w:color w:val="000000" w:themeColor="text1"/>
                <w:spacing w:val="-1"/>
                <w:sz w:val="24"/>
                <w:szCs w:val="24"/>
                <w14:textFill>
                  <w14:solidFill>
                    <w14:schemeClr w14:val="tx1"/>
                  </w14:solidFill>
                </w14:textFill>
              </w:rPr>
              <w:t>提供不得分。）</w:t>
            </w:r>
          </w:p>
        </w:tc>
      </w:tr>
      <w:tr w14:paraId="4C0A4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74" w:type="dxa"/>
            <w:vMerge w:val="continue"/>
            <w:noWrap w:val="0"/>
            <w:vAlign w:val="top"/>
          </w:tcPr>
          <w:p w14:paraId="358EF22A">
            <w:pPr>
              <w:pStyle w:val="20"/>
              <w:spacing w:before="78" w:line="183" w:lineRule="auto"/>
              <w:ind w:left="329"/>
              <w:rPr>
                <w:rFonts w:hint="eastAsia"/>
                <w:color w:val="000000" w:themeColor="text1"/>
                <w:sz w:val="28"/>
                <w:szCs w:val="28"/>
                <w:lang w:val="en-US" w:eastAsia="zh-CN"/>
                <w14:textFill>
                  <w14:solidFill>
                    <w14:schemeClr w14:val="tx1"/>
                  </w14:solidFill>
                </w14:textFill>
              </w:rPr>
            </w:pPr>
          </w:p>
        </w:tc>
        <w:tc>
          <w:tcPr>
            <w:tcW w:w="1282" w:type="dxa"/>
            <w:vMerge w:val="continue"/>
            <w:noWrap w:val="0"/>
            <w:vAlign w:val="top"/>
          </w:tcPr>
          <w:p w14:paraId="6D0FC927">
            <w:pPr>
              <w:pStyle w:val="20"/>
              <w:spacing w:before="78" w:line="220" w:lineRule="auto"/>
              <w:ind w:left="397"/>
              <w:rPr>
                <w:rFonts w:hint="eastAsia"/>
                <w:color w:val="000000" w:themeColor="text1"/>
                <w:spacing w:val="-5"/>
                <w:sz w:val="28"/>
                <w:szCs w:val="28"/>
                <w:lang w:val="en-US" w:eastAsia="zh-CN"/>
                <w14:textFill>
                  <w14:solidFill>
                    <w14:schemeClr w14:val="tx1"/>
                  </w14:solidFill>
                </w14:textFill>
              </w:rPr>
            </w:pPr>
          </w:p>
        </w:tc>
        <w:tc>
          <w:tcPr>
            <w:tcW w:w="1016" w:type="dxa"/>
            <w:noWrap w:val="0"/>
            <w:vAlign w:val="top"/>
          </w:tcPr>
          <w:p w14:paraId="41CD7C38">
            <w:pPr>
              <w:pStyle w:val="20"/>
              <w:spacing w:before="78" w:line="220" w:lineRule="auto"/>
              <w:ind w:left="175"/>
              <w:rPr>
                <w:rFonts w:hint="eastAsia"/>
                <w:color w:val="000000" w:themeColor="text1"/>
                <w:spacing w:val="-10"/>
                <w:sz w:val="24"/>
                <w:szCs w:val="24"/>
                <w:lang w:val="en-US" w:eastAsia="zh-CN"/>
                <w14:textFill>
                  <w14:solidFill>
                    <w14:schemeClr w14:val="tx1"/>
                  </w14:solidFill>
                </w14:textFill>
              </w:rPr>
            </w:pPr>
          </w:p>
          <w:p w14:paraId="376E26D9">
            <w:pPr>
              <w:pStyle w:val="20"/>
              <w:spacing w:before="78" w:line="220" w:lineRule="auto"/>
              <w:jc w:val="center"/>
              <w:rPr>
                <w:rFonts w:hint="default" w:eastAsia="宋体"/>
                <w:color w:val="000000" w:themeColor="text1"/>
                <w:spacing w:val="-10"/>
                <w:sz w:val="24"/>
                <w:szCs w:val="24"/>
                <w:lang w:val="en-US" w:eastAsia="zh-CN"/>
                <w14:textFill>
                  <w14:solidFill>
                    <w14:schemeClr w14:val="tx1"/>
                  </w14:solidFill>
                </w14:textFill>
              </w:rPr>
            </w:pPr>
            <w:r>
              <w:rPr>
                <w:rFonts w:hint="eastAsia"/>
                <w:color w:val="000000" w:themeColor="text1"/>
                <w:spacing w:val="-10"/>
                <w:sz w:val="24"/>
                <w:szCs w:val="24"/>
                <w:lang w:val="en-US" w:eastAsia="zh-CN"/>
                <w14:textFill>
                  <w14:solidFill>
                    <w14:schemeClr w14:val="tx1"/>
                  </w14:solidFill>
                </w14:textFill>
              </w:rPr>
              <w:t>6分</w:t>
            </w:r>
          </w:p>
        </w:tc>
        <w:tc>
          <w:tcPr>
            <w:tcW w:w="5553" w:type="dxa"/>
            <w:noWrap w:val="0"/>
            <w:vAlign w:val="top"/>
          </w:tcPr>
          <w:p w14:paraId="140FBE18">
            <w:pPr>
              <w:pStyle w:val="20"/>
              <w:keepNext w:val="0"/>
              <w:keepLines w:val="0"/>
              <w:pageBreakBefore w:val="0"/>
              <w:widowControl w:val="0"/>
              <w:kinsoku/>
              <w:wordWrap/>
              <w:overflowPunct/>
              <w:topLinePunct w:val="0"/>
              <w:autoSpaceDE/>
              <w:autoSpaceDN/>
              <w:bidi w:val="0"/>
              <w:adjustRightInd/>
              <w:snapToGrid/>
              <w:spacing w:line="240" w:lineRule="auto"/>
              <w:ind w:right="204"/>
              <w:textAlignment w:val="auto"/>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pacing w:val="-1"/>
                <w:sz w:val="24"/>
                <w:szCs w:val="24"/>
                <w:lang w:val="en-US" w:eastAsia="zh-CN"/>
                <w14:textFill>
                  <w14:solidFill>
                    <w14:schemeClr w14:val="tx1"/>
                  </w14:solidFill>
                </w14:textFill>
              </w:rPr>
              <w:t>2）保安</w:t>
            </w:r>
          </w:p>
          <w:p w14:paraId="67F4FF0E">
            <w:pPr>
              <w:pStyle w:val="20"/>
              <w:keepNext w:val="0"/>
              <w:keepLines w:val="0"/>
              <w:pageBreakBefore w:val="0"/>
              <w:widowControl w:val="0"/>
              <w:kinsoku/>
              <w:wordWrap/>
              <w:overflowPunct/>
              <w:topLinePunct w:val="0"/>
              <w:autoSpaceDE/>
              <w:autoSpaceDN/>
              <w:bidi w:val="0"/>
              <w:adjustRightInd/>
              <w:snapToGrid/>
              <w:spacing w:line="240" w:lineRule="auto"/>
              <w:ind w:right="204" w:firstLine="476" w:firstLineChars="200"/>
              <w:textAlignment w:val="auto"/>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保安人员（持有《保安员证》证书），每提供一人得</w:t>
            </w:r>
            <w:r>
              <w:rPr>
                <w:rFonts w:hint="eastAsia" w:cs="宋体"/>
                <w:color w:val="000000" w:themeColor="text1"/>
                <w:spacing w:val="-1"/>
                <w:sz w:val="24"/>
                <w:szCs w:val="24"/>
                <w:lang w:val="en-US" w:eastAsia="zh-CN"/>
                <w14:textFill>
                  <w14:solidFill>
                    <w14:schemeClr w14:val="tx1"/>
                  </w14:solidFill>
                </w14:textFill>
              </w:rPr>
              <w:t>1</w:t>
            </w:r>
            <w:r>
              <w:rPr>
                <w:rFonts w:hint="eastAsia" w:ascii="宋体" w:hAnsi="宋体" w:eastAsia="宋体" w:cs="宋体"/>
                <w:color w:val="000000" w:themeColor="text1"/>
                <w:spacing w:val="-1"/>
                <w:sz w:val="24"/>
                <w:szCs w:val="24"/>
                <w:lang w:val="en-US" w:eastAsia="zh-CN"/>
                <w14:textFill>
                  <w14:solidFill>
                    <w14:schemeClr w14:val="tx1"/>
                  </w14:solidFill>
                </w14:textFill>
              </w:rPr>
              <w:t>分，最高得</w:t>
            </w:r>
            <w:r>
              <w:rPr>
                <w:rFonts w:hint="eastAsia" w:cs="宋体"/>
                <w:color w:val="000000" w:themeColor="text1"/>
                <w:spacing w:val="-1"/>
                <w:sz w:val="24"/>
                <w:szCs w:val="24"/>
                <w:lang w:val="en-US" w:eastAsia="zh-CN"/>
                <w14:textFill>
                  <w14:solidFill>
                    <w14:schemeClr w14:val="tx1"/>
                  </w14:solidFill>
                </w14:textFill>
              </w:rPr>
              <w:t>6</w:t>
            </w:r>
            <w:r>
              <w:rPr>
                <w:rFonts w:hint="eastAsia" w:ascii="宋体" w:hAnsi="宋体" w:eastAsia="宋体" w:cs="宋体"/>
                <w:color w:val="000000" w:themeColor="text1"/>
                <w:spacing w:val="-1"/>
                <w:sz w:val="24"/>
                <w:szCs w:val="24"/>
                <w:lang w:val="en-US" w:eastAsia="zh-CN"/>
                <w14:textFill>
                  <w14:solidFill>
                    <w14:schemeClr w14:val="tx1"/>
                  </w14:solidFill>
                </w14:textFill>
              </w:rPr>
              <w:t>分；</w:t>
            </w:r>
          </w:p>
          <w:p w14:paraId="0106EA5A">
            <w:pPr>
              <w:pStyle w:val="20"/>
              <w:keepNext w:val="0"/>
              <w:keepLines w:val="0"/>
              <w:pageBreakBefore w:val="0"/>
              <w:widowControl w:val="0"/>
              <w:kinsoku/>
              <w:wordWrap/>
              <w:overflowPunct/>
              <w:topLinePunct w:val="0"/>
              <w:autoSpaceDE/>
              <w:autoSpaceDN/>
              <w:bidi w:val="0"/>
              <w:adjustRightInd/>
              <w:snapToGrid/>
              <w:spacing w:line="240" w:lineRule="auto"/>
              <w:ind w:right="204" w:firstLine="476" w:firstLineChars="200"/>
              <w:textAlignment w:val="auto"/>
              <w:rPr>
                <w:rFonts w:hint="default" w:ascii="宋体" w:hAnsi="宋体" w:eastAsia="宋体" w:cs="宋体"/>
                <w:color w:val="000000" w:themeColor="text1"/>
                <w:spacing w:val="-1"/>
                <w:sz w:val="24"/>
                <w:szCs w:val="24"/>
                <w:lang w:val="en-US" w:eastAsia="zh-CN"/>
                <w14:textFill>
                  <w14:solidFill>
                    <w14:schemeClr w14:val="tx1"/>
                  </w14:solidFill>
                </w14:textFill>
              </w:rPr>
            </w:pPr>
            <w:r>
              <w:rPr>
                <w:rFonts w:hint="eastAsia" w:cs="宋体"/>
                <w:color w:val="000000" w:themeColor="text1"/>
                <w:spacing w:val="-1"/>
                <w:sz w:val="24"/>
                <w:szCs w:val="24"/>
                <w:lang w:val="en-US" w:eastAsia="zh-CN"/>
                <w14:textFill>
                  <w14:solidFill>
                    <w14:schemeClr w14:val="tx1"/>
                  </w14:solidFill>
                </w14:textFill>
              </w:rPr>
              <w:t>注：投标文件提供上述人员相关证书</w:t>
            </w:r>
            <w:r>
              <w:rPr>
                <w:rFonts w:hint="eastAsia" w:ascii="宋体" w:hAnsi="宋体" w:eastAsia="宋体" w:cs="宋体"/>
                <w:color w:val="000000" w:themeColor="text1"/>
                <w:spacing w:val="-1"/>
                <w:sz w:val="24"/>
                <w:szCs w:val="24"/>
                <w:lang w:val="en-US" w:eastAsia="zh-CN"/>
                <w14:textFill>
                  <w14:solidFill>
                    <w14:schemeClr w14:val="tx1"/>
                  </w14:solidFill>
                </w14:textFill>
              </w:rPr>
              <w:t>（</w:t>
            </w:r>
            <w:r>
              <w:rPr>
                <w:rFonts w:hint="eastAsia" w:cs="宋体"/>
                <w:color w:val="000000" w:themeColor="text1"/>
                <w:spacing w:val="-1"/>
                <w:sz w:val="24"/>
                <w:szCs w:val="24"/>
                <w:lang w:val="en-US" w:eastAsia="zh-CN"/>
                <w14:textFill>
                  <w14:solidFill>
                    <w14:schemeClr w14:val="tx1"/>
                  </w14:solidFill>
                </w14:textFill>
              </w:rPr>
              <w:t>须</w:t>
            </w:r>
            <w:r>
              <w:rPr>
                <w:rFonts w:hint="eastAsia" w:ascii="宋体" w:hAnsi="宋体" w:eastAsia="宋体" w:cs="宋体"/>
                <w:color w:val="000000" w:themeColor="text1"/>
                <w:spacing w:val="-1"/>
                <w:sz w:val="24"/>
                <w:szCs w:val="24"/>
                <w14:textFill>
                  <w14:solidFill>
                    <w14:schemeClr w14:val="tx1"/>
                  </w14:solidFill>
                </w14:textFill>
              </w:rPr>
              <w:t>提供有效证书</w:t>
            </w:r>
            <w:r>
              <w:rPr>
                <w:rFonts w:hint="eastAsia" w:cs="宋体"/>
                <w:color w:val="000000" w:themeColor="text1"/>
                <w:spacing w:val="-1"/>
                <w:sz w:val="24"/>
                <w:szCs w:val="24"/>
                <w:lang w:val="en-US" w:eastAsia="zh-CN"/>
                <w14:textFill>
                  <w14:solidFill>
                    <w14:schemeClr w14:val="tx1"/>
                  </w14:solidFill>
                </w14:textFill>
              </w:rPr>
              <w:t>彩色</w:t>
            </w:r>
            <w:r>
              <w:rPr>
                <w:rFonts w:hint="eastAsia" w:ascii="宋体" w:hAnsi="宋体" w:eastAsia="宋体" w:cs="宋体"/>
                <w:color w:val="000000" w:themeColor="text1"/>
                <w:spacing w:val="-1"/>
                <w:sz w:val="24"/>
                <w:szCs w:val="24"/>
                <w14:textFill>
                  <w14:solidFill>
                    <w14:schemeClr w14:val="tx1"/>
                  </w14:solidFill>
                </w14:textFill>
              </w:rPr>
              <w:t>扫描件</w:t>
            </w:r>
            <w:r>
              <w:rPr>
                <w:rFonts w:hint="eastAsia" w:cs="宋体"/>
                <w:color w:val="000000" w:themeColor="text1"/>
                <w:spacing w:val="-1"/>
                <w:sz w:val="24"/>
                <w:szCs w:val="24"/>
                <w:lang w:val="en-US" w:eastAsia="zh-CN"/>
                <w14:textFill>
                  <w14:solidFill>
                    <w14:schemeClr w14:val="tx1"/>
                  </w14:solidFill>
                </w14:textFill>
              </w:rPr>
              <w:t>和聘用合同彩色扫描件并</w:t>
            </w:r>
            <w:r>
              <w:rPr>
                <w:rFonts w:hint="eastAsia" w:ascii="宋体" w:hAnsi="宋体" w:eastAsia="宋体" w:cs="宋体"/>
                <w:color w:val="000000" w:themeColor="text1"/>
                <w:spacing w:val="-1"/>
                <w:sz w:val="24"/>
                <w:szCs w:val="24"/>
                <w14:textFill>
                  <w14:solidFill>
                    <w14:schemeClr w14:val="tx1"/>
                  </w14:solidFill>
                </w14:textFill>
              </w:rPr>
              <w:t>加盖CA电子公章，</w:t>
            </w:r>
            <w:r>
              <w:rPr>
                <w:rFonts w:hint="eastAsia" w:cs="宋体"/>
                <w:color w:val="000000" w:themeColor="text1"/>
                <w:spacing w:val="-1"/>
                <w:sz w:val="24"/>
                <w:szCs w:val="24"/>
                <w:lang w:val="en-US" w:eastAsia="zh-CN"/>
                <w14:textFill>
                  <w14:solidFill>
                    <w14:schemeClr w14:val="tx1"/>
                  </w14:solidFill>
                </w14:textFill>
              </w:rPr>
              <w:t>未</w:t>
            </w:r>
            <w:r>
              <w:rPr>
                <w:rFonts w:hint="eastAsia" w:ascii="宋体" w:hAnsi="宋体" w:eastAsia="宋体" w:cs="宋体"/>
                <w:color w:val="000000" w:themeColor="text1"/>
                <w:spacing w:val="-1"/>
                <w:sz w:val="24"/>
                <w:szCs w:val="24"/>
                <w14:textFill>
                  <w14:solidFill>
                    <w14:schemeClr w14:val="tx1"/>
                  </w14:solidFill>
                </w14:textFill>
              </w:rPr>
              <w:t>提供不得分。</w:t>
            </w:r>
            <w:r>
              <w:rPr>
                <w:rFonts w:hint="eastAsia" w:ascii="宋体" w:hAnsi="宋体" w:eastAsia="宋体" w:cs="宋体"/>
                <w:color w:val="000000" w:themeColor="text1"/>
                <w:spacing w:val="-1"/>
                <w:sz w:val="24"/>
                <w:szCs w:val="24"/>
                <w:lang w:val="en-US" w:eastAsia="zh-CN"/>
                <w14:textFill>
                  <w14:solidFill>
                    <w14:schemeClr w14:val="tx1"/>
                  </w14:solidFill>
                </w14:textFill>
              </w:rPr>
              <w:t>）</w:t>
            </w:r>
          </w:p>
        </w:tc>
      </w:tr>
      <w:tr w14:paraId="3988F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774" w:type="dxa"/>
            <w:vMerge w:val="continue"/>
            <w:noWrap w:val="0"/>
            <w:vAlign w:val="top"/>
          </w:tcPr>
          <w:p w14:paraId="5C02A770">
            <w:pPr>
              <w:pStyle w:val="20"/>
              <w:spacing w:before="78" w:line="183" w:lineRule="auto"/>
              <w:ind w:left="329"/>
              <w:rPr>
                <w:rFonts w:hint="eastAsia"/>
                <w:color w:val="000000" w:themeColor="text1"/>
                <w:sz w:val="28"/>
                <w:szCs w:val="28"/>
                <w:lang w:val="en-US" w:eastAsia="zh-CN"/>
                <w14:textFill>
                  <w14:solidFill>
                    <w14:schemeClr w14:val="tx1"/>
                  </w14:solidFill>
                </w14:textFill>
              </w:rPr>
            </w:pPr>
          </w:p>
        </w:tc>
        <w:tc>
          <w:tcPr>
            <w:tcW w:w="1282" w:type="dxa"/>
            <w:vMerge w:val="continue"/>
            <w:noWrap w:val="0"/>
            <w:vAlign w:val="top"/>
          </w:tcPr>
          <w:p w14:paraId="20DBB208">
            <w:pPr>
              <w:pStyle w:val="20"/>
              <w:spacing w:before="78" w:line="220" w:lineRule="auto"/>
              <w:ind w:left="397"/>
              <w:rPr>
                <w:rFonts w:hint="eastAsia"/>
                <w:color w:val="000000" w:themeColor="text1"/>
                <w:spacing w:val="-5"/>
                <w:sz w:val="28"/>
                <w:szCs w:val="28"/>
                <w:lang w:val="en-US" w:eastAsia="zh-CN"/>
                <w14:textFill>
                  <w14:solidFill>
                    <w14:schemeClr w14:val="tx1"/>
                  </w14:solidFill>
                </w14:textFill>
              </w:rPr>
            </w:pPr>
          </w:p>
        </w:tc>
        <w:tc>
          <w:tcPr>
            <w:tcW w:w="1016" w:type="dxa"/>
            <w:noWrap w:val="0"/>
            <w:vAlign w:val="top"/>
          </w:tcPr>
          <w:p w14:paraId="005A869E">
            <w:pPr>
              <w:pStyle w:val="20"/>
              <w:spacing w:before="78" w:line="220" w:lineRule="auto"/>
              <w:ind w:left="175"/>
              <w:rPr>
                <w:rFonts w:hint="eastAsia"/>
                <w:color w:val="000000" w:themeColor="text1"/>
                <w:spacing w:val="-10"/>
                <w:sz w:val="24"/>
                <w:szCs w:val="24"/>
                <w:lang w:val="en-US" w:eastAsia="zh-CN"/>
                <w14:textFill>
                  <w14:solidFill>
                    <w14:schemeClr w14:val="tx1"/>
                  </w14:solidFill>
                </w14:textFill>
              </w:rPr>
            </w:pPr>
          </w:p>
          <w:p w14:paraId="4D0E025C">
            <w:pPr>
              <w:pStyle w:val="20"/>
              <w:spacing w:before="78" w:line="220" w:lineRule="auto"/>
              <w:ind w:left="175"/>
              <w:rPr>
                <w:rFonts w:hint="eastAsia"/>
                <w:color w:val="000000" w:themeColor="text1"/>
                <w:spacing w:val="-10"/>
                <w:sz w:val="24"/>
                <w:szCs w:val="24"/>
                <w:lang w:val="en-US" w:eastAsia="zh-CN"/>
                <w14:textFill>
                  <w14:solidFill>
                    <w14:schemeClr w14:val="tx1"/>
                  </w14:solidFill>
                </w14:textFill>
              </w:rPr>
            </w:pPr>
          </w:p>
          <w:p w14:paraId="62AFA07E">
            <w:pPr>
              <w:pStyle w:val="20"/>
              <w:spacing w:before="78" w:line="220" w:lineRule="auto"/>
              <w:jc w:val="center"/>
              <w:rPr>
                <w:rFonts w:hint="default" w:eastAsia="宋体"/>
                <w:color w:val="000000" w:themeColor="text1"/>
                <w:spacing w:val="-10"/>
                <w:sz w:val="24"/>
                <w:szCs w:val="24"/>
                <w:lang w:val="en-US" w:eastAsia="zh-CN"/>
                <w14:textFill>
                  <w14:solidFill>
                    <w14:schemeClr w14:val="tx1"/>
                  </w14:solidFill>
                </w14:textFill>
              </w:rPr>
            </w:pPr>
            <w:r>
              <w:rPr>
                <w:rFonts w:hint="eastAsia"/>
                <w:color w:val="000000" w:themeColor="text1"/>
                <w:spacing w:val="-10"/>
                <w:sz w:val="24"/>
                <w:szCs w:val="24"/>
                <w:lang w:val="en-US" w:eastAsia="zh-CN"/>
                <w14:textFill>
                  <w14:solidFill>
                    <w14:schemeClr w14:val="tx1"/>
                  </w14:solidFill>
                </w14:textFill>
              </w:rPr>
              <w:t>10分</w:t>
            </w:r>
          </w:p>
        </w:tc>
        <w:tc>
          <w:tcPr>
            <w:tcW w:w="5553" w:type="dxa"/>
            <w:noWrap w:val="0"/>
            <w:vAlign w:val="top"/>
          </w:tcPr>
          <w:p w14:paraId="21B392E5">
            <w:pPr>
              <w:pStyle w:val="20"/>
              <w:keepNext w:val="0"/>
              <w:keepLines w:val="0"/>
              <w:pageBreakBefore w:val="0"/>
              <w:widowControl w:val="0"/>
              <w:kinsoku/>
              <w:wordWrap/>
              <w:overflowPunct/>
              <w:topLinePunct w:val="0"/>
              <w:autoSpaceDE/>
              <w:autoSpaceDN/>
              <w:bidi w:val="0"/>
              <w:adjustRightInd/>
              <w:snapToGrid/>
              <w:spacing w:line="240" w:lineRule="auto"/>
              <w:ind w:right="204"/>
              <w:textAlignment w:val="auto"/>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（3）消防监控室人员</w:t>
            </w:r>
          </w:p>
          <w:p w14:paraId="559BC1B7">
            <w:pPr>
              <w:pStyle w:val="20"/>
              <w:keepNext w:val="0"/>
              <w:keepLines w:val="0"/>
              <w:pageBreakBefore w:val="0"/>
              <w:widowControl w:val="0"/>
              <w:kinsoku/>
              <w:wordWrap/>
              <w:overflowPunct/>
              <w:topLinePunct w:val="0"/>
              <w:autoSpaceDE/>
              <w:autoSpaceDN/>
              <w:bidi w:val="0"/>
              <w:adjustRightInd/>
              <w:snapToGrid/>
              <w:spacing w:line="240" w:lineRule="auto"/>
              <w:ind w:right="204" w:firstLine="476" w:firstLineChars="200"/>
              <w:textAlignment w:val="auto"/>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消防监控室人员（持有《消防设施操作员》证书），每提供一人得2</w:t>
            </w:r>
            <w:r>
              <w:rPr>
                <w:rFonts w:hint="eastAsia" w:cs="宋体"/>
                <w:color w:val="000000" w:themeColor="text1"/>
                <w:spacing w:val="-1"/>
                <w:sz w:val="24"/>
                <w:szCs w:val="24"/>
                <w:lang w:val="en-US" w:eastAsia="zh-CN"/>
                <w14:textFill>
                  <w14:solidFill>
                    <w14:schemeClr w14:val="tx1"/>
                  </w14:solidFill>
                </w14:textFill>
              </w:rPr>
              <w:t>.5</w:t>
            </w:r>
            <w:r>
              <w:rPr>
                <w:rFonts w:hint="eastAsia" w:ascii="宋体" w:hAnsi="宋体" w:eastAsia="宋体" w:cs="宋体"/>
                <w:color w:val="000000" w:themeColor="text1"/>
                <w:spacing w:val="-1"/>
                <w:sz w:val="24"/>
                <w:szCs w:val="24"/>
                <w:lang w:val="en-US" w:eastAsia="zh-CN"/>
                <w14:textFill>
                  <w14:solidFill>
                    <w14:schemeClr w14:val="tx1"/>
                  </w14:solidFill>
                </w14:textFill>
              </w:rPr>
              <w:t>分，最高得</w:t>
            </w:r>
            <w:r>
              <w:rPr>
                <w:rFonts w:hint="eastAsia" w:cs="宋体"/>
                <w:color w:val="000000" w:themeColor="text1"/>
                <w:spacing w:val="-1"/>
                <w:sz w:val="24"/>
                <w:szCs w:val="24"/>
                <w:lang w:val="en-US" w:eastAsia="zh-CN"/>
                <w14:textFill>
                  <w14:solidFill>
                    <w14:schemeClr w14:val="tx1"/>
                  </w14:solidFill>
                </w14:textFill>
              </w:rPr>
              <w:t>10</w:t>
            </w:r>
            <w:r>
              <w:rPr>
                <w:rFonts w:hint="eastAsia" w:ascii="宋体" w:hAnsi="宋体" w:eastAsia="宋体" w:cs="宋体"/>
                <w:color w:val="000000" w:themeColor="text1"/>
                <w:spacing w:val="-1"/>
                <w:sz w:val="24"/>
                <w:szCs w:val="24"/>
                <w:lang w:val="en-US" w:eastAsia="zh-CN"/>
                <w14:textFill>
                  <w14:solidFill>
                    <w14:schemeClr w14:val="tx1"/>
                  </w14:solidFill>
                </w14:textFill>
              </w:rPr>
              <w:t>分；</w:t>
            </w:r>
          </w:p>
          <w:p w14:paraId="6EE90334">
            <w:pPr>
              <w:pStyle w:val="20"/>
              <w:keepNext w:val="0"/>
              <w:keepLines w:val="0"/>
              <w:pageBreakBefore w:val="0"/>
              <w:widowControl w:val="0"/>
              <w:kinsoku/>
              <w:wordWrap/>
              <w:overflowPunct/>
              <w:topLinePunct w:val="0"/>
              <w:autoSpaceDE/>
              <w:autoSpaceDN/>
              <w:bidi w:val="0"/>
              <w:adjustRightInd/>
              <w:snapToGrid/>
              <w:spacing w:line="240" w:lineRule="auto"/>
              <w:ind w:right="204" w:firstLine="476" w:firstLineChars="200"/>
              <w:textAlignment w:val="auto"/>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cs="宋体"/>
                <w:color w:val="000000" w:themeColor="text1"/>
                <w:spacing w:val="-1"/>
                <w:sz w:val="24"/>
                <w:szCs w:val="24"/>
                <w:lang w:val="en-US" w:eastAsia="zh-CN"/>
                <w14:textFill>
                  <w14:solidFill>
                    <w14:schemeClr w14:val="tx1"/>
                  </w14:solidFill>
                </w14:textFill>
              </w:rPr>
              <w:t>注：投标文件提供上述人员相关证书</w:t>
            </w:r>
            <w:r>
              <w:rPr>
                <w:rFonts w:hint="eastAsia" w:ascii="宋体" w:hAnsi="宋体" w:eastAsia="宋体" w:cs="宋体"/>
                <w:color w:val="000000" w:themeColor="text1"/>
                <w:spacing w:val="-1"/>
                <w:sz w:val="24"/>
                <w:szCs w:val="24"/>
                <w:lang w:val="en-US" w:eastAsia="zh-CN"/>
                <w14:textFill>
                  <w14:solidFill>
                    <w14:schemeClr w14:val="tx1"/>
                  </w14:solidFill>
                </w14:textFill>
              </w:rPr>
              <w:t>（</w:t>
            </w:r>
            <w:r>
              <w:rPr>
                <w:rFonts w:hint="eastAsia" w:cs="宋体"/>
                <w:color w:val="000000" w:themeColor="text1"/>
                <w:spacing w:val="-1"/>
                <w:sz w:val="24"/>
                <w:szCs w:val="24"/>
                <w:lang w:val="en-US" w:eastAsia="zh-CN"/>
                <w14:textFill>
                  <w14:solidFill>
                    <w14:schemeClr w14:val="tx1"/>
                  </w14:solidFill>
                </w14:textFill>
              </w:rPr>
              <w:t>须</w:t>
            </w:r>
            <w:r>
              <w:rPr>
                <w:rFonts w:hint="eastAsia" w:ascii="宋体" w:hAnsi="宋体" w:eastAsia="宋体" w:cs="宋体"/>
                <w:color w:val="000000" w:themeColor="text1"/>
                <w:spacing w:val="-1"/>
                <w:sz w:val="24"/>
                <w:szCs w:val="24"/>
                <w14:textFill>
                  <w14:solidFill>
                    <w14:schemeClr w14:val="tx1"/>
                  </w14:solidFill>
                </w14:textFill>
              </w:rPr>
              <w:t>提供有效证书</w:t>
            </w:r>
            <w:r>
              <w:rPr>
                <w:rFonts w:hint="eastAsia" w:cs="宋体"/>
                <w:color w:val="000000" w:themeColor="text1"/>
                <w:spacing w:val="-1"/>
                <w:sz w:val="24"/>
                <w:szCs w:val="24"/>
                <w:lang w:val="en-US" w:eastAsia="zh-CN"/>
                <w14:textFill>
                  <w14:solidFill>
                    <w14:schemeClr w14:val="tx1"/>
                  </w14:solidFill>
                </w14:textFill>
              </w:rPr>
              <w:t>彩色</w:t>
            </w:r>
            <w:r>
              <w:rPr>
                <w:rFonts w:hint="eastAsia" w:ascii="宋体" w:hAnsi="宋体" w:eastAsia="宋体" w:cs="宋体"/>
                <w:color w:val="000000" w:themeColor="text1"/>
                <w:spacing w:val="-1"/>
                <w:sz w:val="24"/>
                <w:szCs w:val="24"/>
                <w14:textFill>
                  <w14:solidFill>
                    <w14:schemeClr w14:val="tx1"/>
                  </w14:solidFill>
                </w14:textFill>
              </w:rPr>
              <w:t>扫描件</w:t>
            </w:r>
            <w:r>
              <w:rPr>
                <w:rFonts w:hint="eastAsia" w:cs="宋体"/>
                <w:color w:val="000000" w:themeColor="text1"/>
                <w:spacing w:val="-1"/>
                <w:sz w:val="24"/>
                <w:szCs w:val="24"/>
                <w:lang w:val="en-US" w:eastAsia="zh-CN"/>
                <w14:textFill>
                  <w14:solidFill>
                    <w14:schemeClr w14:val="tx1"/>
                  </w14:solidFill>
                </w14:textFill>
              </w:rPr>
              <w:t>和聘用合同彩色扫描件并</w:t>
            </w:r>
            <w:r>
              <w:rPr>
                <w:rFonts w:hint="eastAsia" w:ascii="宋体" w:hAnsi="宋体" w:eastAsia="宋体" w:cs="宋体"/>
                <w:color w:val="000000" w:themeColor="text1"/>
                <w:spacing w:val="-1"/>
                <w:sz w:val="24"/>
                <w:szCs w:val="24"/>
                <w14:textFill>
                  <w14:solidFill>
                    <w14:schemeClr w14:val="tx1"/>
                  </w14:solidFill>
                </w14:textFill>
              </w:rPr>
              <w:t>加盖CA电子公章，</w:t>
            </w:r>
            <w:r>
              <w:rPr>
                <w:rFonts w:hint="eastAsia" w:cs="宋体"/>
                <w:color w:val="000000" w:themeColor="text1"/>
                <w:spacing w:val="-1"/>
                <w:sz w:val="24"/>
                <w:szCs w:val="24"/>
                <w:lang w:val="en-US" w:eastAsia="zh-CN"/>
                <w14:textFill>
                  <w14:solidFill>
                    <w14:schemeClr w14:val="tx1"/>
                  </w14:solidFill>
                </w14:textFill>
              </w:rPr>
              <w:t>未</w:t>
            </w:r>
            <w:r>
              <w:rPr>
                <w:rFonts w:hint="eastAsia" w:ascii="宋体" w:hAnsi="宋体" w:eastAsia="宋体" w:cs="宋体"/>
                <w:color w:val="000000" w:themeColor="text1"/>
                <w:spacing w:val="-1"/>
                <w:sz w:val="24"/>
                <w:szCs w:val="24"/>
                <w14:textFill>
                  <w14:solidFill>
                    <w14:schemeClr w14:val="tx1"/>
                  </w14:solidFill>
                </w14:textFill>
              </w:rPr>
              <w:t>提供不得分。</w:t>
            </w:r>
            <w:r>
              <w:rPr>
                <w:rFonts w:hint="eastAsia" w:ascii="宋体" w:hAnsi="宋体" w:eastAsia="宋体" w:cs="宋体"/>
                <w:color w:val="000000" w:themeColor="text1"/>
                <w:spacing w:val="-1"/>
                <w:sz w:val="24"/>
                <w:szCs w:val="24"/>
                <w:lang w:val="en-US" w:eastAsia="zh-CN"/>
                <w14:textFill>
                  <w14:solidFill>
                    <w14:schemeClr w14:val="tx1"/>
                  </w14:solidFill>
                </w14:textFill>
              </w:rPr>
              <w:t>）</w:t>
            </w:r>
          </w:p>
        </w:tc>
      </w:tr>
      <w:tr w14:paraId="23C06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774" w:type="dxa"/>
            <w:vMerge w:val="restart"/>
            <w:noWrap w:val="0"/>
            <w:vAlign w:val="top"/>
          </w:tcPr>
          <w:p w14:paraId="1E15A332">
            <w:pPr>
              <w:spacing w:line="243" w:lineRule="auto"/>
              <w:rPr>
                <w:rFonts w:ascii="Arial"/>
                <w:color w:val="000000" w:themeColor="text1"/>
                <w:sz w:val="24"/>
                <w:szCs w:val="24"/>
                <w14:textFill>
                  <w14:solidFill>
                    <w14:schemeClr w14:val="tx1"/>
                  </w14:solidFill>
                </w14:textFill>
              </w:rPr>
            </w:pPr>
          </w:p>
          <w:p w14:paraId="40C903F1">
            <w:pPr>
              <w:spacing w:line="243" w:lineRule="auto"/>
              <w:rPr>
                <w:rFonts w:ascii="Arial"/>
                <w:color w:val="000000" w:themeColor="text1"/>
                <w:sz w:val="24"/>
                <w:szCs w:val="24"/>
                <w14:textFill>
                  <w14:solidFill>
                    <w14:schemeClr w14:val="tx1"/>
                  </w14:solidFill>
                </w14:textFill>
              </w:rPr>
            </w:pPr>
          </w:p>
          <w:p w14:paraId="725CB9F0">
            <w:pPr>
              <w:spacing w:line="243" w:lineRule="auto"/>
              <w:rPr>
                <w:rFonts w:ascii="Arial"/>
                <w:color w:val="000000" w:themeColor="text1"/>
                <w:sz w:val="24"/>
                <w:szCs w:val="24"/>
                <w14:textFill>
                  <w14:solidFill>
                    <w14:schemeClr w14:val="tx1"/>
                  </w14:solidFill>
                </w14:textFill>
              </w:rPr>
            </w:pPr>
          </w:p>
          <w:p w14:paraId="3C971DDF">
            <w:pPr>
              <w:spacing w:line="243" w:lineRule="auto"/>
              <w:rPr>
                <w:rFonts w:ascii="Arial"/>
                <w:color w:val="000000" w:themeColor="text1"/>
                <w:sz w:val="24"/>
                <w:szCs w:val="24"/>
                <w14:textFill>
                  <w14:solidFill>
                    <w14:schemeClr w14:val="tx1"/>
                  </w14:solidFill>
                </w14:textFill>
              </w:rPr>
            </w:pPr>
          </w:p>
          <w:p w14:paraId="0197007F">
            <w:pPr>
              <w:spacing w:line="243" w:lineRule="auto"/>
              <w:rPr>
                <w:rFonts w:ascii="Arial"/>
                <w:color w:val="000000" w:themeColor="text1"/>
                <w:sz w:val="24"/>
                <w:szCs w:val="24"/>
                <w14:textFill>
                  <w14:solidFill>
                    <w14:schemeClr w14:val="tx1"/>
                  </w14:solidFill>
                </w14:textFill>
              </w:rPr>
            </w:pPr>
          </w:p>
          <w:p w14:paraId="0243437A">
            <w:pPr>
              <w:spacing w:line="243" w:lineRule="auto"/>
              <w:rPr>
                <w:rFonts w:ascii="Arial"/>
                <w:color w:val="000000" w:themeColor="text1"/>
                <w:sz w:val="24"/>
                <w:szCs w:val="24"/>
                <w14:textFill>
                  <w14:solidFill>
                    <w14:schemeClr w14:val="tx1"/>
                  </w14:solidFill>
                </w14:textFill>
              </w:rPr>
            </w:pPr>
          </w:p>
          <w:p w14:paraId="287606ED">
            <w:pPr>
              <w:spacing w:line="244" w:lineRule="auto"/>
              <w:rPr>
                <w:rFonts w:ascii="Arial"/>
                <w:color w:val="000000" w:themeColor="text1"/>
                <w:sz w:val="24"/>
                <w:szCs w:val="24"/>
                <w14:textFill>
                  <w14:solidFill>
                    <w14:schemeClr w14:val="tx1"/>
                  </w14:solidFill>
                </w14:textFill>
              </w:rPr>
            </w:pPr>
          </w:p>
          <w:p w14:paraId="6A1740AC">
            <w:pPr>
              <w:spacing w:line="244" w:lineRule="auto"/>
              <w:rPr>
                <w:rFonts w:ascii="Arial"/>
                <w:color w:val="000000" w:themeColor="text1"/>
                <w:sz w:val="24"/>
                <w:szCs w:val="24"/>
                <w14:textFill>
                  <w14:solidFill>
                    <w14:schemeClr w14:val="tx1"/>
                  </w14:solidFill>
                </w14:textFill>
              </w:rPr>
            </w:pPr>
          </w:p>
          <w:p w14:paraId="59BCE8BF">
            <w:pPr>
              <w:spacing w:line="244" w:lineRule="auto"/>
              <w:rPr>
                <w:rFonts w:ascii="Arial"/>
                <w:color w:val="000000" w:themeColor="text1"/>
                <w:sz w:val="24"/>
                <w:szCs w:val="24"/>
                <w14:textFill>
                  <w14:solidFill>
                    <w14:schemeClr w14:val="tx1"/>
                  </w14:solidFill>
                </w14:textFill>
              </w:rPr>
            </w:pPr>
          </w:p>
          <w:p w14:paraId="70B78B70">
            <w:pPr>
              <w:spacing w:line="244" w:lineRule="auto"/>
              <w:rPr>
                <w:rFonts w:ascii="Arial"/>
                <w:color w:val="000000" w:themeColor="text1"/>
                <w:sz w:val="24"/>
                <w:szCs w:val="24"/>
                <w14:textFill>
                  <w14:solidFill>
                    <w14:schemeClr w14:val="tx1"/>
                  </w14:solidFill>
                </w14:textFill>
              </w:rPr>
            </w:pPr>
          </w:p>
          <w:p w14:paraId="7A5C4176">
            <w:pPr>
              <w:pStyle w:val="20"/>
              <w:spacing w:before="78" w:line="182" w:lineRule="auto"/>
              <w:ind w:left="330"/>
              <w:rPr>
                <w:rFonts w:hint="eastAsia"/>
                <w:color w:val="000000" w:themeColor="text1"/>
                <w:sz w:val="24"/>
                <w:szCs w:val="24"/>
                <w:lang w:val="en-US" w:eastAsia="zh-CN"/>
                <w14:textFill>
                  <w14:solidFill>
                    <w14:schemeClr w14:val="tx1"/>
                  </w14:solidFill>
                </w14:textFill>
              </w:rPr>
            </w:pPr>
          </w:p>
          <w:p w14:paraId="6470B296">
            <w:pPr>
              <w:pStyle w:val="20"/>
              <w:spacing w:before="78" w:line="182" w:lineRule="auto"/>
              <w:ind w:left="330"/>
              <w:rPr>
                <w:rFonts w:hint="eastAsia"/>
                <w:color w:val="000000" w:themeColor="text1"/>
                <w:sz w:val="24"/>
                <w:szCs w:val="24"/>
                <w:lang w:val="en-US" w:eastAsia="zh-CN"/>
                <w14:textFill>
                  <w14:solidFill>
                    <w14:schemeClr w14:val="tx1"/>
                  </w14:solidFill>
                </w14:textFill>
              </w:rPr>
            </w:pPr>
          </w:p>
          <w:p w14:paraId="595FAC2C">
            <w:pPr>
              <w:pStyle w:val="20"/>
              <w:spacing w:before="78" w:line="182" w:lineRule="auto"/>
              <w:ind w:left="330"/>
              <w:rPr>
                <w:rFonts w:hint="eastAsia"/>
                <w:color w:val="000000" w:themeColor="text1"/>
                <w:sz w:val="24"/>
                <w:szCs w:val="24"/>
                <w:lang w:val="en-US" w:eastAsia="zh-CN"/>
                <w14:textFill>
                  <w14:solidFill>
                    <w14:schemeClr w14:val="tx1"/>
                  </w14:solidFill>
                </w14:textFill>
              </w:rPr>
            </w:pPr>
          </w:p>
          <w:p w14:paraId="7B317055">
            <w:pPr>
              <w:pStyle w:val="20"/>
              <w:spacing w:before="78" w:line="182" w:lineRule="auto"/>
              <w:ind w:left="330"/>
              <w:rPr>
                <w:rFonts w:hint="eastAsia"/>
                <w:color w:val="000000" w:themeColor="text1"/>
                <w:sz w:val="24"/>
                <w:szCs w:val="24"/>
                <w:lang w:val="en-US" w:eastAsia="zh-CN"/>
                <w14:textFill>
                  <w14:solidFill>
                    <w14:schemeClr w14:val="tx1"/>
                  </w14:solidFill>
                </w14:textFill>
              </w:rPr>
            </w:pPr>
          </w:p>
          <w:p w14:paraId="6ECBFA97">
            <w:pPr>
              <w:pStyle w:val="20"/>
              <w:spacing w:before="78" w:line="182" w:lineRule="auto"/>
              <w:ind w:left="330"/>
              <w:rPr>
                <w:rFonts w:hint="eastAsia"/>
                <w:color w:val="000000" w:themeColor="text1"/>
                <w:sz w:val="24"/>
                <w:szCs w:val="24"/>
                <w:lang w:val="en-US" w:eastAsia="zh-CN"/>
                <w14:textFill>
                  <w14:solidFill>
                    <w14:schemeClr w14:val="tx1"/>
                  </w14:solidFill>
                </w14:textFill>
              </w:rPr>
            </w:pPr>
          </w:p>
          <w:p w14:paraId="41B05542">
            <w:pPr>
              <w:pStyle w:val="20"/>
              <w:spacing w:before="78" w:line="182" w:lineRule="auto"/>
              <w:ind w:left="330"/>
              <w:rPr>
                <w:rFonts w:hint="eastAsia"/>
                <w:color w:val="000000" w:themeColor="text1"/>
                <w:sz w:val="24"/>
                <w:szCs w:val="24"/>
                <w:lang w:val="en-US" w:eastAsia="zh-CN"/>
                <w14:textFill>
                  <w14:solidFill>
                    <w14:schemeClr w14:val="tx1"/>
                  </w14:solidFill>
                </w14:textFill>
              </w:rPr>
            </w:pPr>
          </w:p>
          <w:p w14:paraId="6B1F11AA">
            <w:pPr>
              <w:pStyle w:val="20"/>
              <w:spacing w:before="78" w:line="182" w:lineRule="auto"/>
              <w:ind w:left="330"/>
              <w:rPr>
                <w:rFonts w:hint="eastAsia"/>
                <w:color w:val="000000" w:themeColor="text1"/>
                <w:sz w:val="24"/>
                <w:szCs w:val="24"/>
                <w:lang w:val="en-US" w:eastAsia="zh-CN"/>
                <w14:textFill>
                  <w14:solidFill>
                    <w14:schemeClr w14:val="tx1"/>
                  </w14:solidFill>
                </w14:textFill>
              </w:rPr>
            </w:pPr>
          </w:p>
          <w:p w14:paraId="102C6C44">
            <w:pPr>
              <w:pStyle w:val="20"/>
              <w:spacing w:before="78" w:line="182" w:lineRule="auto"/>
              <w:ind w:left="330"/>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w:t>
            </w:r>
          </w:p>
        </w:tc>
        <w:tc>
          <w:tcPr>
            <w:tcW w:w="1282" w:type="dxa"/>
            <w:vMerge w:val="restart"/>
            <w:noWrap w:val="0"/>
            <w:vAlign w:val="top"/>
          </w:tcPr>
          <w:p w14:paraId="4557B582">
            <w:pPr>
              <w:spacing w:line="266" w:lineRule="auto"/>
              <w:rPr>
                <w:rFonts w:ascii="Arial"/>
                <w:color w:val="000000" w:themeColor="text1"/>
                <w:sz w:val="24"/>
                <w:szCs w:val="24"/>
                <w14:textFill>
                  <w14:solidFill>
                    <w14:schemeClr w14:val="tx1"/>
                  </w14:solidFill>
                </w14:textFill>
              </w:rPr>
            </w:pPr>
          </w:p>
          <w:p w14:paraId="0305813A">
            <w:pPr>
              <w:spacing w:line="266" w:lineRule="auto"/>
              <w:rPr>
                <w:rFonts w:ascii="Arial"/>
                <w:color w:val="000000" w:themeColor="text1"/>
                <w:sz w:val="24"/>
                <w:szCs w:val="24"/>
                <w14:textFill>
                  <w14:solidFill>
                    <w14:schemeClr w14:val="tx1"/>
                  </w14:solidFill>
                </w14:textFill>
              </w:rPr>
            </w:pPr>
          </w:p>
          <w:p w14:paraId="3F8E5DA3">
            <w:pPr>
              <w:spacing w:line="266" w:lineRule="auto"/>
              <w:rPr>
                <w:rFonts w:ascii="Arial"/>
                <w:color w:val="000000" w:themeColor="text1"/>
                <w:sz w:val="24"/>
                <w:szCs w:val="24"/>
                <w14:textFill>
                  <w14:solidFill>
                    <w14:schemeClr w14:val="tx1"/>
                  </w14:solidFill>
                </w14:textFill>
              </w:rPr>
            </w:pPr>
          </w:p>
          <w:p w14:paraId="390A4193">
            <w:pPr>
              <w:spacing w:line="266" w:lineRule="auto"/>
              <w:rPr>
                <w:rFonts w:ascii="Arial"/>
                <w:color w:val="000000" w:themeColor="text1"/>
                <w:sz w:val="24"/>
                <w:szCs w:val="24"/>
                <w14:textFill>
                  <w14:solidFill>
                    <w14:schemeClr w14:val="tx1"/>
                  </w14:solidFill>
                </w14:textFill>
              </w:rPr>
            </w:pPr>
          </w:p>
          <w:p w14:paraId="1EB6A245">
            <w:pPr>
              <w:spacing w:line="266" w:lineRule="auto"/>
              <w:rPr>
                <w:rFonts w:ascii="Arial"/>
                <w:color w:val="000000" w:themeColor="text1"/>
                <w:sz w:val="24"/>
                <w:szCs w:val="24"/>
                <w14:textFill>
                  <w14:solidFill>
                    <w14:schemeClr w14:val="tx1"/>
                  </w14:solidFill>
                </w14:textFill>
              </w:rPr>
            </w:pPr>
          </w:p>
          <w:p w14:paraId="285986F8">
            <w:pPr>
              <w:spacing w:line="266" w:lineRule="auto"/>
              <w:rPr>
                <w:rFonts w:ascii="Arial"/>
                <w:color w:val="000000" w:themeColor="text1"/>
                <w:sz w:val="24"/>
                <w:szCs w:val="24"/>
                <w14:textFill>
                  <w14:solidFill>
                    <w14:schemeClr w14:val="tx1"/>
                  </w14:solidFill>
                </w14:textFill>
              </w:rPr>
            </w:pPr>
          </w:p>
          <w:p w14:paraId="04143DAA">
            <w:pPr>
              <w:spacing w:line="266" w:lineRule="auto"/>
              <w:rPr>
                <w:rFonts w:ascii="Arial"/>
                <w:color w:val="000000" w:themeColor="text1"/>
                <w:sz w:val="24"/>
                <w:szCs w:val="24"/>
                <w14:textFill>
                  <w14:solidFill>
                    <w14:schemeClr w14:val="tx1"/>
                  </w14:solidFill>
                </w14:textFill>
              </w:rPr>
            </w:pPr>
          </w:p>
          <w:p w14:paraId="48B2C90C">
            <w:pPr>
              <w:spacing w:line="266" w:lineRule="auto"/>
              <w:rPr>
                <w:rFonts w:ascii="Arial"/>
                <w:color w:val="000000" w:themeColor="text1"/>
                <w:sz w:val="24"/>
                <w:szCs w:val="24"/>
                <w14:textFill>
                  <w14:solidFill>
                    <w14:schemeClr w14:val="tx1"/>
                  </w14:solidFill>
                </w14:textFill>
              </w:rPr>
            </w:pPr>
          </w:p>
          <w:p w14:paraId="0F737C50">
            <w:pPr>
              <w:spacing w:line="267" w:lineRule="auto"/>
              <w:rPr>
                <w:rFonts w:ascii="Arial"/>
                <w:color w:val="000000" w:themeColor="text1"/>
                <w:sz w:val="24"/>
                <w:szCs w:val="24"/>
                <w14:textFill>
                  <w14:solidFill>
                    <w14:schemeClr w14:val="tx1"/>
                  </w14:solidFill>
                </w14:textFill>
              </w:rPr>
            </w:pPr>
          </w:p>
          <w:p w14:paraId="5258DE7C">
            <w:pPr>
              <w:pStyle w:val="20"/>
              <w:spacing w:before="78" w:line="219" w:lineRule="auto"/>
              <w:ind w:left="158"/>
              <w:rPr>
                <w:color w:val="000000" w:themeColor="text1"/>
                <w:spacing w:val="-3"/>
                <w:sz w:val="24"/>
                <w:szCs w:val="24"/>
                <w14:textFill>
                  <w14:solidFill>
                    <w14:schemeClr w14:val="tx1"/>
                  </w14:solidFill>
                </w14:textFill>
              </w:rPr>
            </w:pPr>
          </w:p>
          <w:p w14:paraId="3985551B">
            <w:pPr>
              <w:pStyle w:val="20"/>
              <w:spacing w:before="78" w:line="219" w:lineRule="auto"/>
              <w:ind w:left="158"/>
              <w:rPr>
                <w:color w:val="000000" w:themeColor="text1"/>
                <w:spacing w:val="-3"/>
                <w:sz w:val="24"/>
                <w:szCs w:val="24"/>
                <w14:textFill>
                  <w14:solidFill>
                    <w14:schemeClr w14:val="tx1"/>
                  </w14:solidFill>
                </w14:textFill>
              </w:rPr>
            </w:pPr>
          </w:p>
          <w:p w14:paraId="26E5C5AA">
            <w:pPr>
              <w:pStyle w:val="20"/>
              <w:spacing w:before="78" w:line="219" w:lineRule="auto"/>
              <w:ind w:left="158"/>
              <w:rPr>
                <w:color w:val="000000" w:themeColor="text1"/>
                <w:spacing w:val="-3"/>
                <w:sz w:val="24"/>
                <w:szCs w:val="24"/>
                <w14:textFill>
                  <w14:solidFill>
                    <w14:schemeClr w14:val="tx1"/>
                  </w14:solidFill>
                </w14:textFill>
              </w:rPr>
            </w:pPr>
          </w:p>
          <w:p w14:paraId="4FF1BE79">
            <w:pPr>
              <w:pStyle w:val="20"/>
              <w:spacing w:before="78" w:line="219" w:lineRule="auto"/>
              <w:ind w:left="158"/>
              <w:rPr>
                <w:color w:val="000000" w:themeColor="text1"/>
                <w:spacing w:val="-3"/>
                <w:sz w:val="24"/>
                <w:szCs w:val="24"/>
                <w14:textFill>
                  <w14:solidFill>
                    <w14:schemeClr w14:val="tx1"/>
                  </w14:solidFill>
                </w14:textFill>
              </w:rPr>
            </w:pPr>
          </w:p>
          <w:p w14:paraId="4BB12E29">
            <w:pPr>
              <w:pStyle w:val="20"/>
              <w:spacing w:before="78" w:line="219" w:lineRule="auto"/>
              <w:ind w:left="158"/>
              <w:rPr>
                <w:color w:val="000000" w:themeColor="text1"/>
                <w:spacing w:val="-3"/>
                <w:sz w:val="24"/>
                <w:szCs w:val="24"/>
                <w14:textFill>
                  <w14:solidFill>
                    <w14:schemeClr w14:val="tx1"/>
                  </w14:solidFill>
                </w14:textFill>
              </w:rPr>
            </w:pPr>
          </w:p>
          <w:p w14:paraId="12CD556A">
            <w:pPr>
              <w:pStyle w:val="20"/>
              <w:spacing w:before="78" w:line="219" w:lineRule="auto"/>
              <w:ind w:left="158"/>
              <w:rPr>
                <w:color w:val="000000" w:themeColor="text1"/>
                <w:spacing w:val="-3"/>
                <w:sz w:val="24"/>
                <w:szCs w:val="24"/>
                <w14:textFill>
                  <w14:solidFill>
                    <w14:schemeClr w14:val="tx1"/>
                  </w14:solidFill>
                </w14:textFill>
              </w:rPr>
            </w:pPr>
          </w:p>
          <w:p w14:paraId="77D84851">
            <w:pPr>
              <w:pStyle w:val="20"/>
              <w:spacing w:before="78" w:line="219" w:lineRule="auto"/>
              <w:ind w:left="158"/>
              <w:rPr>
                <w:rFonts w:hint="eastAsia" w:eastAsia="宋体"/>
                <w:color w:val="000000" w:themeColor="text1"/>
                <w:sz w:val="24"/>
                <w:szCs w:val="24"/>
                <w:lang w:eastAsia="zh-CN"/>
                <w14:textFill>
                  <w14:solidFill>
                    <w14:schemeClr w14:val="tx1"/>
                  </w14:solidFill>
                </w14:textFill>
              </w:rPr>
            </w:pPr>
            <w:r>
              <w:rPr>
                <w:color w:val="000000" w:themeColor="text1"/>
                <w:spacing w:val="-3"/>
                <w:sz w:val="24"/>
                <w:szCs w:val="24"/>
                <w14:textFill>
                  <w14:solidFill>
                    <w14:schemeClr w14:val="tx1"/>
                  </w14:solidFill>
                </w14:textFill>
              </w:rPr>
              <w:t>服务方案</w:t>
            </w:r>
            <w:r>
              <w:rPr>
                <w:rFonts w:hint="eastAsia"/>
                <w:color w:val="000000" w:themeColor="text1"/>
                <w:spacing w:val="-3"/>
                <w:sz w:val="24"/>
                <w:szCs w:val="24"/>
                <w:lang w:eastAsia="zh-CN"/>
                <w14:textFill>
                  <w14:solidFill>
                    <w14:schemeClr w14:val="tx1"/>
                  </w14:solidFill>
                </w14:textFill>
              </w:rPr>
              <w:t>（</w:t>
            </w:r>
            <w:r>
              <w:rPr>
                <w:rFonts w:hint="eastAsia"/>
                <w:color w:val="000000" w:themeColor="text1"/>
                <w:spacing w:val="-3"/>
                <w:sz w:val="24"/>
                <w:szCs w:val="24"/>
                <w:lang w:val="en-US" w:eastAsia="zh-CN"/>
                <w14:textFill>
                  <w14:solidFill>
                    <w14:schemeClr w14:val="tx1"/>
                  </w14:solidFill>
                </w14:textFill>
              </w:rPr>
              <w:t>36分</w:t>
            </w:r>
            <w:r>
              <w:rPr>
                <w:rFonts w:hint="eastAsia"/>
                <w:color w:val="000000" w:themeColor="text1"/>
                <w:spacing w:val="-3"/>
                <w:sz w:val="24"/>
                <w:szCs w:val="24"/>
                <w:lang w:eastAsia="zh-CN"/>
                <w14:textFill>
                  <w14:solidFill>
                    <w14:schemeClr w14:val="tx1"/>
                  </w14:solidFill>
                </w14:textFill>
              </w:rPr>
              <w:t>）</w:t>
            </w:r>
          </w:p>
        </w:tc>
        <w:tc>
          <w:tcPr>
            <w:tcW w:w="1016" w:type="dxa"/>
            <w:noWrap w:val="0"/>
            <w:vAlign w:val="top"/>
          </w:tcPr>
          <w:p w14:paraId="6A781E7E">
            <w:pPr>
              <w:spacing w:line="277" w:lineRule="auto"/>
              <w:rPr>
                <w:rFonts w:ascii="Arial"/>
                <w:color w:val="000000" w:themeColor="text1"/>
                <w:sz w:val="24"/>
                <w:szCs w:val="24"/>
                <w14:textFill>
                  <w14:solidFill>
                    <w14:schemeClr w14:val="tx1"/>
                  </w14:solidFill>
                </w14:textFill>
              </w:rPr>
            </w:pPr>
          </w:p>
          <w:p w14:paraId="4EEBFB47">
            <w:pPr>
              <w:spacing w:line="278" w:lineRule="auto"/>
              <w:rPr>
                <w:rFonts w:ascii="Arial"/>
                <w:color w:val="000000" w:themeColor="text1"/>
                <w:sz w:val="24"/>
                <w:szCs w:val="24"/>
                <w14:textFill>
                  <w14:solidFill>
                    <w14:schemeClr w14:val="tx1"/>
                  </w14:solidFill>
                </w14:textFill>
              </w:rPr>
            </w:pPr>
          </w:p>
          <w:p w14:paraId="75F1BD19">
            <w:pPr>
              <w:pStyle w:val="20"/>
              <w:spacing w:before="78" w:line="220" w:lineRule="auto"/>
              <w:jc w:val="center"/>
              <w:rPr>
                <w:color w:val="000000" w:themeColor="text1"/>
                <w:sz w:val="24"/>
                <w:szCs w:val="24"/>
                <w14:textFill>
                  <w14:solidFill>
                    <w14:schemeClr w14:val="tx1"/>
                  </w14:solidFill>
                </w14:textFill>
              </w:rPr>
            </w:pPr>
            <w:r>
              <w:rPr>
                <w:rFonts w:hint="eastAsia"/>
                <w:color w:val="000000" w:themeColor="text1"/>
                <w:spacing w:val="-6"/>
                <w:sz w:val="24"/>
                <w:szCs w:val="24"/>
                <w:lang w:val="en-US" w:eastAsia="zh-CN"/>
                <w14:textFill>
                  <w14:solidFill>
                    <w14:schemeClr w14:val="tx1"/>
                  </w14:solidFill>
                </w14:textFill>
              </w:rPr>
              <w:t>6</w:t>
            </w:r>
            <w:r>
              <w:rPr>
                <w:color w:val="000000" w:themeColor="text1"/>
                <w:spacing w:val="-48"/>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分</w:t>
            </w:r>
          </w:p>
        </w:tc>
        <w:tc>
          <w:tcPr>
            <w:tcW w:w="5553" w:type="dxa"/>
            <w:noWrap w:val="0"/>
            <w:vAlign w:val="top"/>
          </w:tcPr>
          <w:p w14:paraId="6B61A1A6">
            <w:pPr>
              <w:pStyle w:val="20"/>
              <w:keepNext w:val="0"/>
              <w:keepLines w:val="0"/>
              <w:pageBreakBefore w:val="0"/>
              <w:widowControl w:val="0"/>
              <w:kinsoku/>
              <w:wordWrap/>
              <w:overflowPunct/>
              <w:topLinePunct w:val="0"/>
              <w:autoSpaceDE/>
              <w:autoSpaceDN/>
              <w:bidi w:val="0"/>
              <w:adjustRightInd/>
              <w:snapToGrid/>
              <w:spacing w:line="240" w:lineRule="auto"/>
              <w:ind w:left="125"/>
              <w:textAlignment w:val="auto"/>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（1）整体设想及策划</w:t>
            </w:r>
          </w:p>
          <w:p w14:paraId="7C82110C">
            <w:pPr>
              <w:pStyle w:val="20"/>
              <w:keepNext w:val="0"/>
              <w:keepLines w:val="0"/>
              <w:pageBreakBefore w:val="0"/>
              <w:widowControl w:val="0"/>
              <w:kinsoku/>
              <w:wordWrap/>
              <w:overflowPunct/>
              <w:topLinePunct w:val="0"/>
              <w:autoSpaceDE/>
              <w:autoSpaceDN/>
              <w:bidi w:val="0"/>
              <w:adjustRightInd/>
              <w:snapToGrid/>
              <w:spacing w:line="240" w:lineRule="auto"/>
              <w:ind w:left="113" w:right="202" w:firstLine="480"/>
              <w:textAlignment w:val="auto"/>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评委根据投标人对本物业项目认知、服务定位、</w:t>
            </w:r>
            <w:r>
              <w:rPr>
                <w:color w:val="000000" w:themeColor="text1"/>
                <w:spacing w:val="1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管理理念、整体方案设想的合理性、完整性、针对性</w:t>
            </w:r>
            <w:r>
              <w:rPr>
                <w:color w:val="000000" w:themeColor="text1"/>
                <w:spacing w:val="-2"/>
                <w:sz w:val="24"/>
                <w:szCs w:val="24"/>
                <w14:textFill>
                  <w14:solidFill>
                    <w14:schemeClr w14:val="tx1"/>
                  </w14:solidFill>
                </w14:textFill>
              </w:rPr>
              <w:t>及可操作性等进行评审。优于项目需求得</w:t>
            </w:r>
            <w:r>
              <w:rPr>
                <w:color w:val="000000" w:themeColor="text1"/>
                <w:spacing w:val="-36"/>
                <w:sz w:val="24"/>
                <w:szCs w:val="24"/>
                <w14:textFill>
                  <w14:solidFill>
                    <w14:schemeClr w14:val="tx1"/>
                  </w14:solidFill>
                </w14:textFill>
              </w:rPr>
              <w:t xml:space="preserve"> </w:t>
            </w:r>
            <w:r>
              <w:rPr>
                <w:rFonts w:hint="eastAsia"/>
                <w:color w:val="000000" w:themeColor="text1"/>
                <w:spacing w:val="-2"/>
                <w:sz w:val="24"/>
                <w:szCs w:val="24"/>
                <w:lang w:val="en-US" w:eastAsia="zh-CN"/>
                <w14:textFill>
                  <w14:solidFill>
                    <w14:schemeClr w14:val="tx1"/>
                  </w14:solidFill>
                </w14:textFill>
              </w:rPr>
              <w:t>6</w:t>
            </w:r>
            <w:r>
              <w:rPr>
                <w:color w:val="000000" w:themeColor="text1"/>
                <w:spacing w:val="-2"/>
                <w:sz w:val="24"/>
                <w:szCs w:val="24"/>
                <w14:textFill>
                  <w14:solidFill>
                    <w14:schemeClr w14:val="tx1"/>
                  </w14:solidFill>
                </w14:textFill>
              </w:rPr>
              <w:t>分，满足</w:t>
            </w:r>
            <w:r>
              <w:rPr>
                <w:color w:val="000000" w:themeColor="text1"/>
                <w:spacing w:val="-4"/>
                <w:sz w:val="24"/>
                <w:szCs w:val="24"/>
                <w14:textFill>
                  <w14:solidFill>
                    <w14:schemeClr w14:val="tx1"/>
                  </w14:solidFill>
                </w14:textFill>
              </w:rPr>
              <w:t>项目需求得</w:t>
            </w:r>
            <w:r>
              <w:rPr>
                <w:color w:val="000000" w:themeColor="text1"/>
                <w:spacing w:val="-30"/>
                <w:sz w:val="24"/>
                <w:szCs w:val="24"/>
                <w14:textFill>
                  <w14:solidFill>
                    <w14:schemeClr w14:val="tx1"/>
                  </w14:solidFill>
                </w14:textFill>
              </w:rPr>
              <w:t xml:space="preserve"> </w:t>
            </w:r>
            <w:r>
              <w:rPr>
                <w:rFonts w:hint="eastAsia"/>
                <w:color w:val="000000" w:themeColor="text1"/>
                <w:spacing w:val="-4"/>
                <w:sz w:val="24"/>
                <w:szCs w:val="24"/>
                <w:lang w:val="en-US" w:eastAsia="zh-CN"/>
                <w14:textFill>
                  <w14:solidFill>
                    <w14:schemeClr w14:val="tx1"/>
                  </w14:solidFill>
                </w14:textFill>
              </w:rPr>
              <w:t>4</w:t>
            </w:r>
            <w:r>
              <w:rPr>
                <w:color w:val="000000" w:themeColor="text1"/>
                <w:spacing w:val="-4"/>
                <w:sz w:val="24"/>
                <w:szCs w:val="24"/>
                <w14:textFill>
                  <w14:solidFill>
                    <w14:schemeClr w14:val="tx1"/>
                  </w14:solidFill>
                </w14:textFill>
              </w:rPr>
              <w:t>分，</w:t>
            </w:r>
            <w:r>
              <w:rPr>
                <w:rFonts w:hint="eastAsia"/>
                <w:color w:val="000000" w:themeColor="text1"/>
                <w:spacing w:val="-3"/>
                <w:sz w:val="24"/>
                <w:szCs w:val="24"/>
                <w:lang w:val="en-US" w:eastAsia="zh-CN"/>
                <w14:textFill>
                  <w14:solidFill>
                    <w14:schemeClr w14:val="tx1"/>
                  </w14:solidFill>
                </w14:textFill>
              </w:rPr>
              <w:t>不完善或不健全得2分，</w:t>
            </w:r>
            <w:r>
              <w:rPr>
                <w:color w:val="000000" w:themeColor="text1"/>
                <w:spacing w:val="-4"/>
                <w:sz w:val="24"/>
                <w:szCs w:val="24"/>
                <w14:textFill>
                  <w14:solidFill>
                    <w14:schemeClr w14:val="tx1"/>
                  </w14:solidFill>
                </w14:textFill>
              </w:rPr>
              <w:t>不提供得</w:t>
            </w:r>
            <w:r>
              <w:rPr>
                <w:color w:val="000000" w:themeColor="text1"/>
                <w:spacing w:val="-49"/>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0</w:t>
            </w:r>
            <w:r>
              <w:rPr>
                <w:color w:val="000000" w:themeColor="text1"/>
                <w:spacing w:val="-48"/>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分。</w:t>
            </w:r>
          </w:p>
        </w:tc>
      </w:tr>
      <w:tr w14:paraId="2BB5B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5" w:hRule="atLeast"/>
        </w:trPr>
        <w:tc>
          <w:tcPr>
            <w:tcW w:w="774" w:type="dxa"/>
            <w:vMerge w:val="continue"/>
            <w:noWrap w:val="0"/>
            <w:vAlign w:val="top"/>
          </w:tcPr>
          <w:p w14:paraId="77EB0919">
            <w:pPr>
              <w:rPr>
                <w:rFonts w:ascii="Arial"/>
                <w:color w:val="000000" w:themeColor="text1"/>
                <w:sz w:val="28"/>
                <w:szCs w:val="28"/>
                <w14:textFill>
                  <w14:solidFill>
                    <w14:schemeClr w14:val="tx1"/>
                  </w14:solidFill>
                </w14:textFill>
              </w:rPr>
            </w:pPr>
          </w:p>
        </w:tc>
        <w:tc>
          <w:tcPr>
            <w:tcW w:w="1282" w:type="dxa"/>
            <w:vMerge w:val="continue"/>
            <w:noWrap w:val="0"/>
            <w:vAlign w:val="top"/>
          </w:tcPr>
          <w:p w14:paraId="6740C0BC">
            <w:pPr>
              <w:rPr>
                <w:rFonts w:ascii="Arial"/>
                <w:color w:val="000000" w:themeColor="text1"/>
                <w:sz w:val="28"/>
                <w:szCs w:val="28"/>
                <w14:textFill>
                  <w14:solidFill>
                    <w14:schemeClr w14:val="tx1"/>
                  </w14:solidFill>
                </w14:textFill>
              </w:rPr>
            </w:pPr>
          </w:p>
        </w:tc>
        <w:tc>
          <w:tcPr>
            <w:tcW w:w="1016" w:type="dxa"/>
            <w:noWrap w:val="0"/>
            <w:vAlign w:val="top"/>
          </w:tcPr>
          <w:p w14:paraId="14F05770">
            <w:pPr>
              <w:spacing w:line="286" w:lineRule="auto"/>
              <w:rPr>
                <w:rFonts w:ascii="Arial"/>
                <w:color w:val="000000" w:themeColor="text1"/>
                <w:sz w:val="24"/>
                <w:szCs w:val="24"/>
                <w14:textFill>
                  <w14:solidFill>
                    <w14:schemeClr w14:val="tx1"/>
                  </w14:solidFill>
                </w14:textFill>
              </w:rPr>
            </w:pPr>
          </w:p>
          <w:p w14:paraId="6A856A3A">
            <w:pPr>
              <w:pStyle w:val="20"/>
              <w:spacing w:before="78" w:line="220" w:lineRule="auto"/>
              <w:rPr>
                <w:color w:val="000000" w:themeColor="text1"/>
                <w:spacing w:val="-6"/>
                <w:sz w:val="24"/>
                <w:szCs w:val="24"/>
                <w14:textFill>
                  <w14:solidFill>
                    <w14:schemeClr w14:val="tx1"/>
                  </w14:solidFill>
                </w14:textFill>
              </w:rPr>
            </w:pPr>
          </w:p>
          <w:p w14:paraId="0A63BFC6">
            <w:pPr>
              <w:pStyle w:val="20"/>
              <w:spacing w:before="78" w:line="220" w:lineRule="auto"/>
              <w:jc w:val="center"/>
              <w:rPr>
                <w:color w:val="000000" w:themeColor="text1"/>
                <w:sz w:val="24"/>
                <w:szCs w:val="24"/>
                <w14:textFill>
                  <w14:solidFill>
                    <w14:schemeClr w14:val="tx1"/>
                  </w14:solidFill>
                </w14:textFill>
              </w:rPr>
            </w:pPr>
            <w:r>
              <w:rPr>
                <w:rFonts w:hint="eastAsia"/>
                <w:color w:val="000000" w:themeColor="text1"/>
                <w:spacing w:val="-6"/>
                <w:sz w:val="24"/>
                <w:szCs w:val="24"/>
                <w:lang w:val="en-US" w:eastAsia="zh-CN"/>
                <w14:textFill>
                  <w14:solidFill>
                    <w14:schemeClr w14:val="tx1"/>
                  </w14:solidFill>
                </w14:textFill>
              </w:rPr>
              <w:t>6</w:t>
            </w:r>
            <w:r>
              <w:rPr>
                <w:color w:val="000000" w:themeColor="text1"/>
                <w:spacing w:val="-6"/>
                <w:sz w:val="24"/>
                <w:szCs w:val="24"/>
                <w14:textFill>
                  <w14:solidFill>
                    <w14:schemeClr w14:val="tx1"/>
                  </w14:solidFill>
                </w14:textFill>
              </w:rPr>
              <w:t>分</w:t>
            </w:r>
          </w:p>
        </w:tc>
        <w:tc>
          <w:tcPr>
            <w:tcW w:w="5553" w:type="dxa"/>
            <w:noWrap w:val="0"/>
            <w:vAlign w:val="top"/>
          </w:tcPr>
          <w:p w14:paraId="57508431">
            <w:pPr>
              <w:pStyle w:val="20"/>
              <w:keepNext w:val="0"/>
              <w:keepLines w:val="0"/>
              <w:pageBreakBefore w:val="0"/>
              <w:widowControl w:val="0"/>
              <w:kinsoku/>
              <w:wordWrap/>
              <w:overflowPunct/>
              <w:topLinePunct w:val="0"/>
              <w:autoSpaceDE/>
              <w:autoSpaceDN/>
              <w:bidi w:val="0"/>
              <w:adjustRightInd/>
              <w:snapToGrid/>
              <w:spacing w:line="240" w:lineRule="auto"/>
              <w:ind w:left="125"/>
              <w:textAlignment w:val="auto"/>
              <w:rPr>
                <w:color w:val="000000" w:themeColor="text1"/>
                <w:spacing w:val="-3"/>
                <w:sz w:val="24"/>
                <w:szCs w:val="24"/>
                <w14:textFill>
                  <w14:solidFill>
                    <w14:schemeClr w14:val="tx1"/>
                  </w14:solidFill>
                </w14:textFill>
              </w:rPr>
            </w:pPr>
            <w:r>
              <w:rPr>
                <w:color w:val="000000" w:themeColor="text1"/>
                <w:spacing w:val="-3"/>
                <w:sz w:val="24"/>
                <w:szCs w:val="24"/>
                <w14:textFill>
                  <w14:solidFill>
                    <w14:schemeClr w14:val="tx1"/>
                  </w14:solidFill>
                </w14:textFill>
              </w:rPr>
              <w:t>（2）组织机构设置、人员配备、培训与管理</w:t>
            </w:r>
          </w:p>
          <w:p w14:paraId="325111C4">
            <w:pPr>
              <w:pStyle w:val="20"/>
              <w:keepNext w:val="0"/>
              <w:keepLines w:val="0"/>
              <w:pageBreakBefore w:val="0"/>
              <w:widowControl w:val="0"/>
              <w:kinsoku/>
              <w:wordWrap/>
              <w:overflowPunct/>
              <w:topLinePunct w:val="0"/>
              <w:autoSpaceDE/>
              <w:autoSpaceDN/>
              <w:bidi w:val="0"/>
              <w:adjustRightInd/>
              <w:snapToGrid/>
              <w:spacing w:line="240" w:lineRule="auto"/>
              <w:ind w:left="125" w:firstLine="468" w:firstLineChars="200"/>
              <w:textAlignment w:val="auto"/>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评委根据投标人对本物业中组织机构设置、人员 配备、培训与管理方面的科学性、完整性、针对性及可操作性等进行评审。优于项目需求得</w:t>
            </w:r>
            <w:r>
              <w:rPr>
                <w:rFonts w:hint="eastAsia"/>
                <w:color w:val="000000" w:themeColor="text1"/>
                <w:spacing w:val="-3"/>
                <w:sz w:val="24"/>
                <w:szCs w:val="24"/>
                <w:lang w:val="en-US" w:eastAsia="zh-CN"/>
                <w14:textFill>
                  <w14:solidFill>
                    <w14:schemeClr w14:val="tx1"/>
                  </w14:solidFill>
                </w14:textFill>
              </w:rPr>
              <w:t>6</w:t>
            </w:r>
            <w:r>
              <w:rPr>
                <w:color w:val="000000" w:themeColor="text1"/>
                <w:spacing w:val="-3"/>
                <w:sz w:val="24"/>
                <w:szCs w:val="24"/>
                <w14:textFill>
                  <w14:solidFill>
                    <w14:schemeClr w14:val="tx1"/>
                  </w14:solidFill>
                </w14:textFill>
              </w:rPr>
              <w:t>分，满足项目需求得</w:t>
            </w:r>
            <w:r>
              <w:rPr>
                <w:rFonts w:hint="eastAsia"/>
                <w:color w:val="000000" w:themeColor="text1"/>
                <w:spacing w:val="-3"/>
                <w:sz w:val="24"/>
                <w:szCs w:val="24"/>
                <w:lang w:val="en-US" w:eastAsia="zh-CN"/>
                <w14:textFill>
                  <w14:solidFill>
                    <w14:schemeClr w14:val="tx1"/>
                  </w14:solidFill>
                </w14:textFill>
              </w:rPr>
              <w:t>4</w:t>
            </w:r>
            <w:r>
              <w:rPr>
                <w:color w:val="000000" w:themeColor="text1"/>
                <w:spacing w:val="-3"/>
                <w:sz w:val="24"/>
                <w:szCs w:val="24"/>
                <w14:textFill>
                  <w14:solidFill>
                    <w14:schemeClr w14:val="tx1"/>
                  </w14:solidFill>
                </w14:textFill>
              </w:rPr>
              <w:t>分，</w:t>
            </w:r>
            <w:r>
              <w:rPr>
                <w:rFonts w:hint="eastAsia"/>
                <w:color w:val="000000" w:themeColor="text1"/>
                <w:spacing w:val="-3"/>
                <w:sz w:val="24"/>
                <w:szCs w:val="24"/>
                <w:lang w:val="en-US" w:eastAsia="zh-CN"/>
                <w14:textFill>
                  <w14:solidFill>
                    <w14:schemeClr w14:val="tx1"/>
                  </w14:solidFill>
                </w14:textFill>
              </w:rPr>
              <w:t>不完善或不健全得2分，</w:t>
            </w:r>
            <w:r>
              <w:rPr>
                <w:color w:val="000000" w:themeColor="text1"/>
                <w:spacing w:val="-3"/>
                <w:sz w:val="24"/>
                <w:szCs w:val="24"/>
                <w14:textFill>
                  <w14:solidFill>
                    <w14:schemeClr w14:val="tx1"/>
                  </w14:solidFill>
                </w14:textFill>
              </w:rPr>
              <w:t>不提供得0 分。</w:t>
            </w:r>
          </w:p>
        </w:tc>
      </w:tr>
      <w:tr w14:paraId="1DFD8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4" w:type="dxa"/>
            <w:vMerge w:val="continue"/>
            <w:noWrap w:val="0"/>
            <w:vAlign w:val="top"/>
          </w:tcPr>
          <w:p w14:paraId="1D9700F1">
            <w:pPr>
              <w:rPr>
                <w:rFonts w:ascii="Arial"/>
                <w:color w:val="000000" w:themeColor="text1"/>
                <w:sz w:val="28"/>
                <w:szCs w:val="28"/>
                <w14:textFill>
                  <w14:solidFill>
                    <w14:schemeClr w14:val="tx1"/>
                  </w14:solidFill>
                </w14:textFill>
              </w:rPr>
            </w:pPr>
          </w:p>
        </w:tc>
        <w:tc>
          <w:tcPr>
            <w:tcW w:w="1282" w:type="dxa"/>
            <w:vMerge w:val="continue"/>
            <w:noWrap w:val="0"/>
            <w:vAlign w:val="top"/>
          </w:tcPr>
          <w:p w14:paraId="28173DAD">
            <w:pPr>
              <w:rPr>
                <w:rFonts w:ascii="Arial"/>
                <w:color w:val="000000" w:themeColor="text1"/>
                <w:sz w:val="28"/>
                <w:szCs w:val="28"/>
                <w14:textFill>
                  <w14:solidFill>
                    <w14:schemeClr w14:val="tx1"/>
                  </w14:solidFill>
                </w14:textFill>
              </w:rPr>
            </w:pPr>
          </w:p>
        </w:tc>
        <w:tc>
          <w:tcPr>
            <w:tcW w:w="1016" w:type="dxa"/>
            <w:noWrap w:val="0"/>
            <w:vAlign w:val="top"/>
          </w:tcPr>
          <w:p w14:paraId="63B87C46">
            <w:pPr>
              <w:spacing w:line="272" w:lineRule="auto"/>
              <w:rPr>
                <w:rFonts w:ascii="Arial"/>
                <w:color w:val="000000" w:themeColor="text1"/>
                <w:sz w:val="24"/>
                <w:szCs w:val="24"/>
                <w14:textFill>
                  <w14:solidFill>
                    <w14:schemeClr w14:val="tx1"/>
                  </w14:solidFill>
                </w14:textFill>
              </w:rPr>
            </w:pPr>
          </w:p>
          <w:p w14:paraId="57C2694E">
            <w:pPr>
              <w:spacing w:line="273" w:lineRule="auto"/>
              <w:rPr>
                <w:rFonts w:ascii="Arial"/>
                <w:color w:val="000000" w:themeColor="text1"/>
                <w:sz w:val="24"/>
                <w:szCs w:val="24"/>
                <w14:textFill>
                  <w14:solidFill>
                    <w14:schemeClr w14:val="tx1"/>
                  </w14:solidFill>
                </w14:textFill>
              </w:rPr>
            </w:pPr>
          </w:p>
          <w:p w14:paraId="182E3E9A">
            <w:pPr>
              <w:pStyle w:val="20"/>
              <w:spacing w:before="78" w:line="220" w:lineRule="auto"/>
              <w:jc w:val="center"/>
              <w:rPr>
                <w:color w:val="000000" w:themeColor="text1"/>
                <w:sz w:val="24"/>
                <w:szCs w:val="24"/>
                <w14:textFill>
                  <w14:solidFill>
                    <w14:schemeClr w14:val="tx1"/>
                  </w14:solidFill>
                </w14:textFill>
              </w:rPr>
            </w:pPr>
            <w:r>
              <w:rPr>
                <w:rFonts w:hint="eastAsia"/>
                <w:color w:val="000000" w:themeColor="text1"/>
                <w:spacing w:val="-8"/>
                <w:sz w:val="24"/>
                <w:szCs w:val="24"/>
                <w:lang w:val="en-US" w:eastAsia="zh-CN"/>
                <w14:textFill>
                  <w14:solidFill>
                    <w14:schemeClr w14:val="tx1"/>
                  </w14:solidFill>
                </w14:textFill>
              </w:rPr>
              <w:t>6</w:t>
            </w:r>
            <w:r>
              <w:rPr>
                <w:color w:val="000000" w:themeColor="text1"/>
                <w:spacing w:val="-47"/>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分</w:t>
            </w:r>
          </w:p>
        </w:tc>
        <w:tc>
          <w:tcPr>
            <w:tcW w:w="5553" w:type="dxa"/>
            <w:noWrap w:val="0"/>
            <w:vAlign w:val="top"/>
          </w:tcPr>
          <w:p w14:paraId="1CE0F5C8">
            <w:pPr>
              <w:pStyle w:val="20"/>
              <w:keepNext w:val="0"/>
              <w:keepLines w:val="0"/>
              <w:pageBreakBefore w:val="0"/>
              <w:widowControl w:val="0"/>
              <w:kinsoku/>
              <w:wordWrap/>
              <w:overflowPunct/>
              <w:topLinePunct w:val="0"/>
              <w:autoSpaceDE/>
              <w:autoSpaceDN/>
              <w:bidi w:val="0"/>
              <w:adjustRightInd/>
              <w:snapToGrid/>
              <w:spacing w:line="240" w:lineRule="auto"/>
              <w:ind w:left="125"/>
              <w:textAlignment w:val="auto"/>
              <w:rPr>
                <w:color w:val="000000" w:themeColor="text1"/>
                <w:spacing w:val="-3"/>
                <w:sz w:val="24"/>
                <w:szCs w:val="24"/>
                <w14:textFill>
                  <w14:solidFill>
                    <w14:schemeClr w14:val="tx1"/>
                  </w14:solidFill>
                </w14:textFill>
              </w:rPr>
            </w:pPr>
            <w:r>
              <w:rPr>
                <w:color w:val="000000" w:themeColor="text1"/>
                <w:spacing w:val="-3"/>
                <w:sz w:val="24"/>
                <w:szCs w:val="24"/>
                <w14:textFill>
                  <w14:solidFill>
                    <w14:schemeClr w14:val="tx1"/>
                  </w14:solidFill>
                </w14:textFill>
              </w:rPr>
              <w:t>（3）制度的建立</w:t>
            </w:r>
          </w:p>
          <w:p w14:paraId="7A7577F9">
            <w:pPr>
              <w:pStyle w:val="20"/>
              <w:keepNext w:val="0"/>
              <w:keepLines w:val="0"/>
              <w:pageBreakBefore w:val="0"/>
              <w:widowControl w:val="0"/>
              <w:kinsoku/>
              <w:wordWrap/>
              <w:overflowPunct/>
              <w:topLinePunct w:val="0"/>
              <w:autoSpaceDE/>
              <w:autoSpaceDN/>
              <w:bidi w:val="0"/>
              <w:adjustRightInd/>
              <w:snapToGrid/>
              <w:spacing w:line="240" w:lineRule="auto"/>
              <w:ind w:left="125" w:firstLine="468" w:firstLineChars="200"/>
              <w:textAlignment w:val="auto"/>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评标委员会根据投标人针对本项目中制度的建立 方面（含管理制度、岗位职责等）阐述内容的合理性、全面性、针对性及可操作性等进行评审。优于项目需求得</w:t>
            </w:r>
            <w:r>
              <w:rPr>
                <w:rFonts w:hint="eastAsia"/>
                <w:color w:val="000000" w:themeColor="text1"/>
                <w:spacing w:val="-3"/>
                <w:sz w:val="24"/>
                <w:szCs w:val="24"/>
                <w:lang w:val="en-US" w:eastAsia="zh-CN"/>
                <w14:textFill>
                  <w14:solidFill>
                    <w14:schemeClr w14:val="tx1"/>
                  </w14:solidFill>
                </w14:textFill>
              </w:rPr>
              <w:t>6</w:t>
            </w:r>
            <w:r>
              <w:rPr>
                <w:color w:val="000000" w:themeColor="text1"/>
                <w:spacing w:val="-3"/>
                <w:sz w:val="24"/>
                <w:szCs w:val="24"/>
                <w14:textFill>
                  <w14:solidFill>
                    <w14:schemeClr w14:val="tx1"/>
                  </w14:solidFill>
                </w14:textFill>
              </w:rPr>
              <w:t>分，满足项目需求得</w:t>
            </w:r>
            <w:r>
              <w:rPr>
                <w:rFonts w:hint="eastAsia"/>
                <w:color w:val="000000" w:themeColor="text1"/>
                <w:spacing w:val="-3"/>
                <w:sz w:val="24"/>
                <w:szCs w:val="24"/>
                <w:lang w:val="en-US" w:eastAsia="zh-CN"/>
                <w14:textFill>
                  <w14:solidFill>
                    <w14:schemeClr w14:val="tx1"/>
                  </w14:solidFill>
                </w14:textFill>
              </w:rPr>
              <w:t>4</w:t>
            </w:r>
            <w:r>
              <w:rPr>
                <w:color w:val="000000" w:themeColor="text1"/>
                <w:spacing w:val="-3"/>
                <w:sz w:val="24"/>
                <w:szCs w:val="24"/>
                <w14:textFill>
                  <w14:solidFill>
                    <w14:schemeClr w14:val="tx1"/>
                  </w14:solidFill>
                </w14:textFill>
              </w:rPr>
              <w:t>分，</w:t>
            </w:r>
            <w:r>
              <w:rPr>
                <w:rFonts w:hint="eastAsia"/>
                <w:color w:val="000000" w:themeColor="text1"/>
                <w:spacing w:val="-3"/>
                <w:sz w:val="24"/>
                <w:szCs w:val="24"/>
                <w:lang w:val="en-US" w:eastAsia="zh-CN"/>
                <w14:textFill>
                  <w14:solidFill>
                    <w14:schemeClr w14:val="tx1"/>
                  </w14:solidFill>
                </w14:textFill>
              </w:rPr>
              <w:t>不完善或不健全得2分，</w:t>
            </w:r>
            <w:r>
              <w:rPr>
                <w:color w:val="000000" w:themeColor="text1"/>
                <w:spacing w:val="-3"/>
                <w:sz w:val="24"/>
                <w:szCs w:val="24"/>
                <w14:textFill>
                  <w14:solidFill>
                    <w14:schemeClr w14:val="tx1"/>
                  </w14:solidFill>
                </w14:textFill>
              </w:rPr>
              <w:t>不提供得 0 分。</w:t>
            </w:r>
          </w:p>
        </w:tc>
      </w:tr>
      <w:tr w14:paraId="64149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774" w:type="dxa"/>
            <w:vMerge w:val="continue"/>
            <w:noWrap w:val="0"/>
            <w:vAlign w:val="top"/>
          </w:tcPr>
          <w:p w14:paraId="5CDA98F1">
            <w:pPr>
              <w:rPr>
                <w:rFonts w:ascii="Arial"/>
                <w:color w:val="000000" w:themeColor="text1"/>
                <w:sz w:val="28"/>
                <w:szCs w:val="28"/>
                <w14:textFill>
                  <w14:solidFill>
                    <w14:schemeClr w14:val="tx1"/>
                  </w14:solidFill>
                </w14:textFill>
              </w:rPr>
            </w:pPr>
          </w:p>
        </w:tc>
        <w:tc>
          <w:tcPr>
            <w:tcW w:w="1282" w:type="dxa"/>
            <w:vMerge w:val="continue"/>
            <w:noWrap w:val="0"/>
            <w:vAlign w:val="top"/>
          </w:tcPr>
          <w:p w14:paraId="6F390247">
            <w:pPr>
              <w:rPr>
                <w:rFonts w:ascii="Arial"/>
                <w:color w:val="000000" w:themeColor="text1"/>
                <w:sz w:val="28"/>
                <w:szCs w:val="28"/>
                <w14:textFill>
                  <w14:solidFill>
                    <w14:schemeClr w14:val="tx1"/>
                  </w14:solidFill>
                </w14:textFill>
              </w:rPr>
            </w:pPr>
          </w:p>
        </w:tc>
        <w:tc>
          <w:tcPr>
            <w:tcW w:w="1016" w:type="dxa"/>
            <w:noWrap w:val="0"/>
            <w:vAlign w:val="top"/>
          </w:tcPr>
          <w:p w14:paraId="03188CDE">
            <w:pPr>
              <w:spacing w:line="271" w:lineRule="auto"/>
              <w:rPr>
                <w:rFonts w:ascii="Arial"/>
                <w:color w:val="000000" w:themeColor="text1"/>
                <w:sz w:val="24"/>
                <w:szCs w:val="24"/>
                <w14:textFill>
                  <w14:solidFill>
                    <w14:schemeClr w14:val="tx1"/>
                  </w14:solidFill>
                </w14:textFill>
              </w:rPr>
            </w:pPr>
          </w:p>
          <w:p w14:paraId="7BDEB3D2">
            <w:pPr>
              <w:spacing w:line="272" w:lineRule="auto"/>
              <w:rPr>
                <w:rFonts w:ascii="Arial"/>
                <w:color w:val="000000" w:themeColor="text1"/>
                <w:sz w:val="24"/>
                <w:szCs w:val="24"/>
                <w14:textFill>
                  <w14:solidFill>
                    <w14:schemeClr w14:val="tx1"/>
                  </w14:solidFill>
                </w14:textFill>
              </w:rPr>
            </w:pPr>
          </w:p>
          <w:p w14:paraId="0E3AEB6A">
            <w:pPr>
              <w:pStyle w:val="20"/>
              <w:spacing w:before="78" w:line="220" w:lineRule="auto"/>
              <w:jc w:val="center"/>
              <w:rPr>
                <w:color w:val="000000" w:themeColor="text1"/>
                <w:sz w:val="24"/>
                <w:szCs w:val="24"/>
                <w14:textFill>
                  <w14:solidFill>
                    <w14:schemeClr w14:val="tx1"/>
                  </w14:solidFill>
                </w14:textFill>
              </w:rPr>
            </w:pPr>
            <w:r>
              <w:rPr>
                <w:rFonts w:hint="eastAsia"/>
                <w:color w:val="000000" w:themeColor="text1"/>
                <w:spacing w:val="-8"/>
                <w:sz w:val="24"/>
                <w:szCs w:val="24"/>
                <w:lang w:val="en-US" w:eastAsia="zh-CN"/>
                <w14:textFill>
                  <w14:solidFill>
                    <w14:schemeClr w14:val="tx1"/>
                  </w14:solidFill>
                </w14:textFill>
              </w:rPr>
              <w:t>6</w:t>
            </w:r>
            <w:r>
              <w:rPr>
                <w:color w:val="000000" w:themeColor="text1"/>
                <w:spacing w:val="-8"/>
                <w:sz w:val="24"/>
                <w:szCs w:val="24"/>
                <w14:textFill>
                  <w14:solidFill>
                    <w14:schemeClr w14:val="tx1"/>
                  </w14:solidFill>
                </w14:textFill>
              </w:rPr>
              <w:t>分</w:t>
            </w:r>
          </w:p>
        </w:tc>
        <w:tc>
          <w:tcPr>
            <w:tcW w:w="5553" w:type="dxa"/>
            <w:noWrap w:val="0"/>
            <w:vAlign w:val="top"/>
          </w:tcPr>
          <w:p w14:paraId="4F388527">
            <w:pPr>
              <w:pStyle w:val="20"/>
              <w:keepNext w:val="0"/>
              <w:keepLines w:val="0"/>
              <w:pageBreakBefore w:val="0"/>
              <w:widowControl w:val="0"/>
              <w:kinsoku/>
              <w:wordWrap/>
              <w:overflowPunct/>
              <w:topLinePunct w:val="0"/>
              <w:autoSpaceDE/>
              <w:autoSpaceDN/>
              <w:bidi w:val="0"/>
              <w:adjustRightInd/>
              <w:snapToGrid/>
              <w:spacing w:line="240" w:lineRule="auto"/>
              <w:ind w:left="125"/>
              <w:textAlignment w:val="auto"/>
              <w:rPr>
                <w:color w:val="000000" w:themeColor="text1"/>
                <w:spacing w:val="-3"/>
                <w:sz w:val="24"/>
                <w:szCs w:val="24"/>
                <w14:textFill>
                  <w14:solidFill>
                    <w14:schemeClr w14:val="tx1"/>
                  </w14:solidFill>
                </w14:textFill>
              </w:rPr>
            </w:pPr>
            <w:r>
              <w:rPr>
                <w:color w:val="000000" w:themeColor="text1"/>
                <w:spacing w:val="-3"/>
                <w:sz w:val="24"/>
                <w:szCs w:val="24"/>
                <w14:textFill>
                  <w14:solidFill>
                    <w14:schemeClr w14:val="tx1"/>
                  </w14:solidFill>
                </w14:textFill>
              </w:rPr>
              <w:t>（4）拟采取的管理服务模式</w:t>
            </w:r>
          </w:p>
          <w:p w14:paraId="3188FB7A">
            <w:pPr>
              <w:pStyle w:val="20"/>
              <w:keepNext w:val="0"/>
              <w:keepLines w:val="0"/>
              <w:pageBreakBefore w:val="0"/>
              <w:widowControl w:val="0"/>
              <w:kinsoku/>
              <w:wordWrap/>
              <w:overflowPunct/>
              <w:topLinePunct w:val="0"/>
              <w:autoSpaceDE/>
              <w:autoSpaceDN/>
              <w:bidi w:val="0"/>
              <w:adjustRightInd/>
              <w:snapToGrid/>
              <w:spacing w:line="240" w:lineRule="auto"/>
              <w:ind w:left="125" w:firstLine="468" w:firstLineChars="200"/>
              <w:textAlignment w:val="auto"/>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评标委员会根据投标人针对本项目中适合本项目 的管理服务模式方面（含服务模式、质量标准承诺、 争优方案等）阐述内容的合理性、科学性、全面性及可操作性进行评审。优于项目需求得</w:t>
            </w:r>
            <w:r>
              <w:rPr>
                <w:rFonts w:hint="eastAsia"/>
                <w:color w:val="000000" w:themeColor="text1"/>
                <w:spacing w:val="-3"/>
                <w:sz w:val="24"/>
                <w:szCs w:val="24"/>
                <w:lang w:val="en-US" w:eastAsia="zh-CN"/>
                <w14:textFill>
                  <w14:solidFill>
                    <w14:schemeClr w14:val="tx1"/>
                  </w14:solidFill>
                </w14:textFill>
              </w:rPr>
              <w:t>6</w:t>
            </w:r>
            <w:r>
              <w:rPr>
                <w:color w:val="000000" w:themeColor="text1"/>
                <w:spacing w:val="-3"/>
                <w:sz w:val="24"/>
                <w:szCs w:val="24"/>
                <w14:textFill>
                  <w14:solidFill>
                    <w14:schemeClr w14:val="tx1"/>
                  </w14:solidFill>
                </w14:textFill>
              </w:rPr>
              <w:t>分，满足项目需求得</w:t>
            </w:r>
            <w:r>
              <w:rPr>
                <w:rFonts w:hint="eastAsia"/>
                <w:color w:val="000000" w:themeColor="text1"/>
                <w:spacing w:val="-3"/>
                <w:sz w:val="24"/>
                <w:szCs w:val="24"/>
                <w:lang w:val="en-US" w:eastAsia="zh-CN"/>
                <w14:textFill>
                  <w14:solidFill>
                    <w14:schemeClr w14:val="tx1"/>
                  </w14:solidFill>
                </w14:textFill>
              </w:rPr>
              <w:t>4</w:t>
            </w:r>
            <w:r>
              <w:rPr>
                <w:color w:val="000000" w:themeColor="text1"/>
                <w:spacing w:val="-3"/>
                <w:sz w:val="24"/>
                <w:szCs w:val="24"/>
                <w14:textFill>
                  <w14:solidFill>
                    <w14:schemeClr w14:val="tx1"/>
                  </w14:solidFill>
                </w14:textFill>
              </w:rPr>
              <w:t>分，</w:t>
            </w:r>
            <w:r>
              <w:rPr>
                <w:rFonts w:hint="eastAsia"/>
                <w:color w:val="000000" w:themeColor="text1"/>
                <w:spacing w:val="-3"/>
                <w:sz w:val="24"/>
                <w:szCs w:val="24"/>
                <w:lang w:val="en-US" w:eastAsia="zh-CN"/>
                <w14:textFill>
                  <w14:solidFill>
                    <w14:schemeClr w14:val="tx1"/>
                  </w14:solidFill>
                </w14:textFill>
              </w:rPr>
              <w:t>不完善或不健全得2分，</w:t>
            </w:r>
            <w:r>
              <w:rPr>
                <w:color w:val="000000" w:themeColor="text1"/>
                <w:spacing w:val="-3"/>
                <w:sz w:val="24"/>
                <w:szCs w:val="24"/>
                <w14:textFill>
                  <w14:solidFill>
                    <w14:schemeClr w14:val="tx1"/>
                  </w14:solidFill>
                </w14:textFill>
              </w:rPr>
              <w:t>不提供得0分。</w:t>
            </w:r>
          </w:p>
        </w:tc>
      </w:tr>
      <w:tr w14:paraId="63380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1" w:hRule="atLeast"/>
        </w:trPr>
        <w:tc>
          <w:tcPr>
            <w:tcW w:w="774" w:type="dxa"/>
            <w:vMerge w:val="continue"/>
            <w:noWrap w:val="0"/>
            <w:vAlign w:val="top"/>
          </w:tcPr>
          <w:p w14:paraId="3A19F768">
            <w:pPr>
              <w:rPr>
                <w:rFonts w:ascii="Arial"/>
                <w:color w:val="000000" w:themeColor="text1"/>
                <w:sz w:val="28"/>
                <w:szCs w:val="28"/>
                <w14:textFill>
                  <w14:solidFill>
                    <w14:schemeClr w14:val="tx1"/>
                  </w14:solidFill>
                </w14:textFill>
              </w:rPr>
            </w:pPr>
          </w:p>
        </w:tc>
        <w:tc>
          <w:tcPr>
            <w:tcW w:w="1282" w:type="dxa"/>
            <w:vMerge w:val="continue"/>
            <w:noWrap w:val="0"/>
            <w:vAlign w:val="top"/>
          </w:tcPr>
          <w:p w14:paraId="6909D944">
            <w:pPr>
              <w:rPr>
                <w:rFonts w:ascii="Arial"/>
                <w:color w:val="000000" w:themeColor="text1"/>
                <w:sz w:val="28"/>
                <w:szCs w:val="28"/>
                <w14:textFill>
                  <w14:solidFill>
                    <w14:schemeClr w14:val="tx1"/>
                  </w14:solidFill>
                </w14:textFill>
              </w:rPr>
            </w:pPr>
          </w:p>
        </w:tc>
        <w:tc>
          <w:tcPr>
            <w:tcW w:w="1016" w:type="dxa"/>
            <w:noWrap w:val="0"/>
            <w:vAlign w:val="top"/>
          </w:tcPr>
          <w:p w14:paraId="7CA4BC4C">
            <w:pPr>
              <w:spacing w:line="260" w:lineRule="auto"/>
              <w:rPr>
                <w:rFonts w:ascii="Arial"/>
                <w:color w:val="000000" w:themeColor="text1"/>
                <w:sz w:val="24"/>
                <w:szCs w:val="24"/>
                <w14:textFill>
                  <w14:solidFill>
                    <w14:schemeClr w14:val="tx1"/>
                  </w14:solidFill>
                </w14:textFill>
              </w:rPr>
            </w:pPr>
          </w:p>
          <w:p w14:paraId="0689BFAB">
            <w:pPr>
              <w:spacing w:line="260" w:lineRule="auto"/>
              <w:rPr>
                <w:rFonts w:ascii="Arial"/>
                <w:color w:val="000000" w:themeColor="text1"/>
                <w:sz w:val="24"/>
                <w:szCs w:val="24"/>
                <w14:textFill>
                  <w14:solidFill>
                    <w14:schemeClr w14:val="tx1"/>
                  </w14:solidFill>
                </w14:textFill>
              </w:rPr>
            </w:pPr>
          </w:p>
          <w:p w14:paraId="541CED4E">
            <w:pPr>
              <w:spacing w:line="261" w:lineRule="auto"/>
              <w:rPr>
                <w:rFonts w:ascii="Arial"/>
                <w:color w:val="000000" w:themeColor="text1"/>
                <w:sz w:val="24"/>
                <w:szCs w:val="24"/>
                <w14:textFill>
                  <w14:solidFill>
                    <w14:schemeClr w14:val="tx1"/>
                  </w14:solidFill>
                </w14:textFill>
              </w:rPr>
            </w:pPr>
          </w:p>
          <w:p w14:paraId="540500B2">
            <w:pPr>
              <w:pStyle w:val="20"/>
              <w:spacing w:before="78" w:line="220" w:lineRule="auto"/>
              <w:jc w:val="center"/>
              <w:rPr>
                <w:color w:val="000000" w:themeColor="text1"/>
                <w:sz w:val="24"/>
                <w:szCs w:val="24"/>
                <w14:textFill>
                  <w14:solidFill>
                    <w14:schemeClr w14:val="tx1"/>
                  </w14:solidFill>
                </w14:textFill>
              </w:rPr>
            </w:pPr>
            <w:r>
              <w:rPr>
                <w:rFonts w:hint="eastAsia"/>
                <w:color w:val="000000" w:themeColor="text1"/>
                <w:spacing w:val="-8"/>
                <w:sz w:val="24"/>
                <w:szCs w:val="24"/>
                <w:lang w:val="en-US" w:eastAsia="zh-CN"/>
                <w14:textFill>
                  <w14:solidFill>
                    <w14:schemeClr w14:val="tx1"/>
                  </w14:solidFill>
                </w14:textFill>
              </w:rPr>
              <w:t>6</w:t>
            </w:r>
            <w:r>
              <w:rPr>
                <w:color w:val="000000" w:themeColor="text1"/>
                <w:spacing w:val="-47"/>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分</w:t>
            </w:r>
          </w:p>
        </w:tc>
        <w:tc>
          <w:tcPr>
            <w:tcW w:w="5553" w:type="dxa"/>
            <w:noWrap w:val="0"/>
            <w:vAlign w:val="top"/>
          </w:tcPr>
          <w:p w14:paraId="7B8D8D29">
            <w:pPr>
              <w:pStyle w:val="20"/>
              <w:keepNext w:val="0"/>
              <w:keepLines w:val="0"/>
              <w:pageBreakBefore w:val="0"/>
              <w:widowControl w:val="0"/>
              <w:kinsoku/>
              <w:wordWrap/>
              <w:overflowPunct/>
              <w:topLinePunct w:val="0"/>
              <w:autoSpaceDE/>
              <w:autoSpaceDN/>
              <w:bidi w:val="0"/>
              <w:adjustRightInd/>
              <w:snapToGrid/>
              <w:spacing w:line="240" w:lineRule="auto"/>
              <w:ind w:left="125"/>
              <w:textAlignment w:val="auto"/>
              <w:rPr>
                <w:color w:val="000000" w:themeColor="text1"/>
                <w:spacing w:val="-3"/>
                <w:sz w:val="24"/>
                <w:szCs w:val="24"/>
                <w14:textFill>
                  <w14:solidFill>
                    <w14:schemeClr w14:val="tx1"/>
                  </w14:solidFill>
                </w14:textFill>
              </w:rPr>
            </w:pPr>
            <w:r>
              <w:rPr>
                <w:color w:val="000000" w:themeColor="text1"/>
                <w:spacing w:val="-3"/>
                <w:sz w:val="24"/>
                <w:szCs w:val="24"/>
                <w14:textFill>
                  <w14:solidFill>
                    <w14:schemeClr w14:val="tx1"/>
                  </w14:solidFill>
                </w14:textFill>
              </w:rPr>
              <w:t>（5）适合本项目的各种突发事件的处理预案</w:t>
            </w:r>
          </w:p>
          <w:p w14:paraId="32E76E62">
            <w:pPr>
              <w:pStyle w:val="20"/>
              <w:keepNext w:val="0"/>
              <w:keepLines w:val="0"/>
              <w:pageBreakBefore w:val="0"/>
              <w:widowControl w:val="0"/>
              <w:kinsoku/>
              <w:wordWrap/>
              <w:overflowPunct/>
              <w:topLinePunct w:val="0"/>
              <w:autoSpaceDE/>
              <w:autoSpaceDN/>
              <w:bidi w:val="0"/>
              <w:adjustRightInd/>
              <w:snapToGrid/>
              <w:spacing w:line="240" w:lineRule="auto"/>
              <w:ind w:left="125" w:firstLine="468" w:firstLineChars="200"/>
              <w:textAlignment w:val="auto"/>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评标委员会根据投标人针对本项目中适合本项目 的各种突发事件的处理预案方面（自然灾害中的应急 预案、重大节日及大型活动应急预案等)阐述内容的  合理性、科学性、全面性及可操作性进行评审。优于项目需求得</w:t>
            </w:r>
            <w:r>
              <w:rPr>
                <w:rFonts w:hint="eastAsia"/>
                <w:color w:val="000000" w:themeColor="text1"/>
                <w:spacing w:val="-3"/>
                <w:sz w:val="24"/>
                <w:szCs w:val="24"/>
                <w:lang w:val="en-US" w:eastAsia="zh-CN"/>
                <w14:textFill>
                  <w14:solidFill>
                    <w14:schemeClr w14:val="tx1"/>
                  </w14:solidFill>
                </w14:textFill>
              </w:rPr>
              <w:t>6</w:t>
            </w:r>
            <w:r>
              <w:rPr>
                <w:color w:val="000000" w:themeColor="text1"/>
                <w:spacing w:val="-3"/>
                <w:sz w:val="24"/>
                <w:szCs w:val="24"/>
                <w14:textFill>
                  <w14:solidFill>
                    <w14:schemeClr w14:val="tx1"/>
                  </w14:solidFill>
                </w14:textFill>
              </w:rPr>
              <w:t>分，满足项目需求得</w:t>
            </w:r>
            <w:r>
              <w:rPr>
                <w:rFonts w:hint="eastAsia"/>
                <w:color w:val="000000" w:themeColor="text1"/>
                <w:spacing w:val="-3"/>
                <w:sz w:val="24"/>
                <w:szCs w:val="24"/>
                <w:lang w:val="en-US" w:eastAsia="zh-CN"/>
                <w14:textFill>
                  <w14:solidFill>
                    <w14:schemeClr w14:val="tx1"/>
                  </w14:solidFill>
                </w14:textFill>
              </w:rPr>
              <w:t>4</w:t>
            </w:r>
            <w:r>
              <w:rPr>
                <w:color w:val="000000" w:themeColor="text1"/>
                <w:spacing w:val="-3"/>
                <w:sz w:val="24"/>
                <w:szCs w:val="24"/>
                <w14:textFill>
                  <w14:solidFill>
                    <w14:schemeClr w14:val="tx1"/>
                  </w14:solidFill>
                </w14:textFill>
              </w:rPr>
              <w:t>分，</w:t>
            </w:r>
            <w:r>
              <w:rPr>
                <w:rFonts w:hint="eastAsia"/>
                <w:color w:val="000000" w:themeColor="text1"/>
                <w:spacing w:val="-3"/>
                <w:sz w:val="24"/>
                <w:szCs w:val="24"/>
                <w:lang w:val="en-US" w:eastAsia="zh-CN"/>
                <w14:textFill>
                  <w14:solidFill>
                    <w14:schemeClr w14:val="tx1"/>
                  </w14:solidFill>
                </w14:textFill>
              </w:rPr>
              <w:t>不完善或不健全得2分，</w:t>
            </w:r>
            <w:r>
              <w:rPr>
                <w:color w:val="000000" w:themeColor="text1"/>
                <w:spacing w:val="-3"/>
                <w:sz w:val="24"/>
                <w:szCs w:val="24"/>
                <w14:textFill>
                  <w14:solidFill>
                    <w14:schemeClr w14:val="tx1"/>
                  </w14:solidFill>
                </w14:textFill>
              </w:rPr>
              <w:t>不提供得0分。</w:t>
            </w:r>
          </w:p>
        </w:tc>
      </w:tr>
      <w:tr w14:paraId="1B614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9" w:hRule="atLeast"/>
        </w:trPr>
        <w:tc>
          <w:tcPr>
            <w:tcW w:w="774" w:type="dxa"/>
            <w:vMerge w:val="continue"/>
            <w:noWrap w:val="0"/>
            <w:vAlign w:val="top"/>
          </w:tcPr>
          <w:p w14:paraId="2314A738">
            <w:pPr>
              <w:rPr>
                <w:rFonts w:ascii="Arial"/>
                <w:color w:val="000000" w:themeColor="text1"/>
                <w:sz w:val="28"/>
                <w:szCs w:val="28"/>
                <w14:textFill>
                  <w14:solidFill>
                    <w14:schemeClr w14:val="tx1"/>
                  </w14:solidFill>
                </w14:textFill>
              </w:rPr>
            </w:pPr>
          </w:p>
        </w:tc>
        <w:tc>
          <w:tcPr>
            <w:tcW w:w="1282" w:type="dxa"/>
            <w:vMerge w:val="continue"/>
            <w:noWrap w:val="0"/>
            <w:vAlign w:val="top"/>
          </w:tcPr>
          <w:p w14:paraId="7E486A74">
            <w:pPr>
              <w:rPr>
                <w:rFonts w:ascii="Arial"/>
                <w:color w:val="000000" w:themeColor="text1"/>
                <w:sz w:val="28"/>
                <w:szCs w:val="28"/>
                <w14:textFill>
                  <w14:solidFill>
                    <w14:schemeClr w14:val="tx1"/>
                  </w14:solidFill>
                </w14:textFill>
              </w:rPr>
            </w:pPr>
          </w:p>
        </w:tc>
        <w:tc>
          <w:tcPr>
            <w:tcW w:w="1016" w:type="dxa"/>
            <w:noWrap w:val="0"/>
            <w:vAlign w:val="top"/>
          </w:tcPr>
          <w:p w14:paraId="345CF3CF">
            <w:pPr>
              <w:spacing w:line="268" w:lineRule="auto"/>
              <w:rPr>
                <w:rFonts w:ascii="Arial"/>
                <w:color w:val="000000" w:themeColor="text1"/>
                <w:sz w:val="24"/>
                <w:szCs w:val="24"/>
                <w14:textFill>
                  <w14:solidFill>
                    <w14:schemeClr w14:val="tx1"/>
                  </w14:solidFill>
                </w14:textFill>
              </w:rPr>
            </w:pPr>
          </w:p>
          <w:p w14:paraId="34946B72">
            <w:pPr>
              <w:spacing w:line="268" w:lineRule="auto"/>
              <w:rPr>
                <w:rFonts w:ascii="Arial"/>
                <w:color w:val="000000" w:themeColor="text1"/>
                <w:sz w:val="24"/>
                <w:szCs w:val="24"/>
                <w14:textFill>
                  <w14:solidFill>
                    <w14:schemeClr w14:val="tx1"/>
                  </w14:solidFill>
                </w14:textFill>
              </w:rPr>
            </w:pPr>
          </w:p>
          <w:p w14:paraId="3C4E9D7F">
            <w:pPr>
              <w:pStyle w:val="20"/>
              <w:spacing w:before="78" w:line="220" w:lineRule="auto"/>
              <w:jc w:val="center"/>
              <w:rPr>
                <w:color w:val="000000" w:themeColor="text1"/>
                <w:sz w:val="24"/>
                <w:szCs w:val="24"/>
                <w14:textFill>
                  <w14:solidFill>
                    <w14:schemeClr w14:val="tx1"/>
                  </w14:solidFill>
                </w14:textFill>
              </w:rPr>
            </w:pPr>
            <w:r>
              <w:rPr>
                <w:rFonts w:hint="eastAsia"/>
                <w:color w:val="000000" w:themeColor="text1"/>
                <w:spacing w:val="-8"/>
                <w:sz w:val="24"/>
                <w:szCs w:val="24"/>
                <w:lang w:val="en-US" w:eastAsia="zh-CN"/>
                <w14:textFill>
                  <w14:solidFill>
                    <w14:schemeClr w14:val="tx1"/>
                  </w14:solidFill>
                </w14:textFill>
              </w:rPr>
              <w:t>6</w:t>
            </w:r>
            <w:r>
              <w:rPr>
                <w:color w:val="000000" w:themeColor="text1"/>
                <w:spacing w:val="-47"/>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分</w:t>
            </w:r>
          </w:p>
        </w:tc>
        <w:tc>
          <w:tcPr>
            <w:tcW w:w="5553" w:type="dxa"/>
            <w:noWrap w:val="0"/>
            <w:vAlign w:val="top"/>
          </w:tcPr>
          <w:p w14:paraId="07729EAB">
            <w:pPr>
              <w:pStyle w:val="20"/>
              <w:keepNext w:val="0"/>
              <w:keepLines w:val="0"/>
              <w:pageBreakBefore w:val="0"/>
              <w:widowControl w:val="0"/>
              <w:kinsoku/>
              <w:wordWrap/>
              <w:overflowPunct/>
              <w:topLinePunct w:val="0"/>
              <w:autoSpaceDE/>
              <w:autoSpaceDN/>
              <w:bidi w:val="0"/>
              <w:adjustRightInd/>
              <w:snapToGrid/>
              <w:spacing w:line="240" w:lineRule="auto"/>
              <w:ind w:left="125"/>
              <w:textAlignment w:val="auto"/>
              <w:rPr>
                <w:color w:val="000000" w:themeColor="text1"/>
                <w:spacing w:val="-3"/>
                <w:sz w:val="24"/>
                <w:szCs w:val="24"/>
                <w14:textFill>
                  <w14:solidFill>
                    <w14:schemeClr w14:val="tx1"/>
                  </w14:solidFill>
                </w14:textFill>
              </w:rPr>
            </w:pPr>
            <w:r>
              <w:rPr>
                <w:color w:val="000000" w:themeColor="text1"/>
                <w:spacing w:val="-3"/>
                <w:sz w:val="24"/>
                <w:szCs w:val="24"/>
                <w14:textFill>
                  <w14:solidFill>
                    <w14:schemeClr w14:val="tx1"/>
                  </w14:solidFill>
                </w14:textFill>
              </w:rPr>
              <w:t>（6）日常管理措施</w:t>
            </w:r>
          </w:p>
          <w:p w14:paraId="209962DF">
            <w:pPr>
              <w:pStyle w:val="20"/>
              <w:keepNext w:val="0"/>
              <w:keepLines w:val="0"/>
              <w:pageBreakBefore w:val="0"/>
              <w:widowControl w:val="0"/>
              <w:kinsoku/>
              <w:wordWrap/>
              <w:overflowPunct/>
              <w:topLinePunct w:val="0"/>
              <w:autoSpaceDE/>
              <w:autoSpaceDN/>
              <w:bidi w:val="0"/>
              <w:adjustRightInd/>
              <w:snapToGrid/>
              <w:spacing w:line="240" w:lineRule="auto"/>
              <w:ind w:left="125" w:firstLine="468" w:firstLineChars="200"/>
              <w:textAlignment w:val="auto"/>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评标委员会根据投标人针对本项目中日常管理措 施方面（含公共设备设施管理、宿舍安全管理、清洁保洁管理、会务服务管理等）阐述内容的合理性、科学性、全面性及可操作性进行评审。优于项目需求得</w:t>
            </w:r>
            <w:r>
              <w:rPr>
                <w:rFonts w:hint="eastAsia"/>
                <w:color w:val="000000" w:themeColor="text1"/>
                <w:spacing w:val="-3"/>
                <w:sz w:val="24"/>
                <w:szCs w:val="24"/>
                <w:lang w:val="en-US" w:eastAsia="zh-CN"/>
                <w14:textFill>
                  <w14:solidFill>
                    <w14:schemeClr w14:val="tx1"/>
                  </w14:solidFill>
                </w14:textFill>
              </w:rPr>
              <w:t>6</w:t>
            </w:r>
            <w:r>
              <w:rPr>
                <w:color w:val="000000" w:themeColor="text1"/>
                <w:spacing w:val="-3"/>
                <w:sz w:val="24"/>
                <w:szCs w:val="24"/>
                <w14:textFill>
                  <w14:solidFill>
                    <w14:schemeClr w14:val="tx1"/>
                  </w14:solidFill>
                </w14:textFill>
              </w:rPr>
              <w:t>分，满足项目需求得</w:t>
            </w:r>
            <w:r>
              <w:rPr>
                <w:rFonts w:hint="eastAsia"/>
                <w:color w:val="000000" w:themeColor="text1"/>
                <w:spacing w:val="-3"/>
                <w:sz w:val="24"/>
                <w:szCs w:val="24"/>
                <w:lang w:val="en-US" w:eastAsia="zh-CN"/>
                <w14:textFill>
                  <w14:solidFill>
                    <w14:schemeClr w14:val="tx1"/>
                  </w14:solidFill>
                </w14:textFill>
              </w:rPr>
              <w:t>4</w:t>
            </w:r>
            <w:r>
              <w:rPr>
                <w:color w:val="000000" w:themeColor="text1"/>
                <w:spacing w:val="-3"/>
                <w:sz w:val="24"/>
                <w:szCs w:val="24"/>
                <w14:textFill>
                  <w14:solidFill>
                    <w14:schemeClr w14:val="tx1"/>
                  </w14:solidFill>
                </w14:textFill>
              </w:rPr>
              <w:t>分，</w:t>
            </w:r>
            <w:r>
              <w:rPr>
                <w:rFonts w:hint="eastAsia"/>
                <w:color w:val="000000" w:themeColor="text1"/>
                <w:spacing w:val="-3"/>
                <w:sz w:val="24"/>
                <w:szCs w:val="24"/>
                <w:lang w:val="en-US" w:eastAsia="zh-CN"/>
                <w14:textFill>
                  <w14:solidFill>
                    <w14:schemeClr w14:val="tx1"/>
                  </w14:solidFill>
                </w14:textFill>
              </w:rPr>
              <w:t>不完善或不健全得2分，</w:t>
            </w:r>
            <w:r>
              <w:rPr>
                <w:color w:val="000000" w:themeColor="text1"/>
                <w:spacing w:val="-3"/>
                <w:sz w:val="24"/>
                <w:szCs w:val="24"/>
                <w14:textFill>
                  <w14:solidFill>
                    <w14:schemeClr w14:val="tx1"/>
                  </w14:solidFill>
                </w14:textFill>
              </w:rPr>
              <w:t>不提供得 0分。</w:t>
            </w:r>
          </w:p>
        </w:tc>
      </w:tr>
      <w:tr w14:paraId="257B9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774" w:type="dxa"/>
            <w:shd w:val="clear" w:color="auto" w:fill="auto"/>
            <w:noWrap w:val="0"/>
            <w:vAlign w:val="top"/>
          </w:tcPr>
          <w:p w14:paraId="57BD9087">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Arial"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Arial"/>
                <w:color w:val="000000" w:themeColor="text1"/>
                <w:sz w:val="24"/>
                <w:szCs w:val="24"/>
                <w:lang w:val="en-US" w:eastAsia="zh-CN"/>
                <w14:textFill>
                  <w14:solidFill>
                    <w14:schemeClr w14:val="tx1"/>
                  </w14:solidFill>
                </w14:textFill>
              </w:rPr>
              <w:t>5</w:t>
            </w:r>
          </w:p>
        </w:tc>
        <w:tc>
          <w:tcPr>
            <w:tcW w:w="1282" w:type="dxa"/>
            <w:shd w:val="clear" w:color="auto" w:fill="auto"/>
            <w:noWrap w:val="0"/>
            <w:vAlign w:val="top"/>
          </w:tcPr>
          <w:p w14:paraId="65474B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color w:val="000000" w:themeColor="text1"/>
                <w:sz w:val="24"/>
                <w:szCs w:val="24"/>
                <w:lang w:val="en-US" w:eastAsia="zh-CN"/>
                <w14:textFill>
                  <w14:solidFill>
                    <w14:schemeClr w14:val="tx1"/>
                  </w14:solidFill>
                </w14:textFill>
              </w:rPr>
            </w:pPr>
          </w:p>
          <w:p w14:paraId="27A8C9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Arial"/>
                <w:color w:val="000000" w:themeColor="text1"/>
                <w:sz w:val="24"/>
                <w:szCs w:val="24"/>
                <w:lang w:val="en-US" w:eastAsia="zh-CN"/>
                <w14:textFill>
                  <w14:solidFill>
                    <w14:schemeClr w14:val="tx1"/>
                  </w14:solidFill>
                </w14:textFill>
              </w:rPr>
              <w:t>承诺     （2分）</w:t>
            </w:r>
          </w:p>
        </w:tc>
        <w:tc>
          <w:tcPr>
            <w:tcW w:w="1016" w:type="dxa"/>
            <w:shd w:val="clear" w:color="auto" w:fill="auto"/>
            <w:noWrap w:val="0"/>
            <w:vAlign w:val="top"/>
          </w:tcPr>
          <w:p w14:paraId="1FBB82F2">
            <w:pPr>
              <w:pStyle w:val="20"/>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cs="宋体"/>
                <w:color w:val="000000" w:themeColor="text1"/>
                <w:spacing w:val="-8"/>
                <w:kern w:val="2"/>
                <w:sz w:val="24"/>
                <w:szCs w:val="24"/>
                <w:lang w:val="en-US" w:eastAsia="zh-CN" w:bidi="ar-SA"/>
                <w14:textFill>
                  <w14:solidFill>
                    <w14:schemeClr w14:val="tx1"/>
                  </w14:solidFill>
                </w14:textFill>
              </w:rPr>
            </w:pPr>
            <w:r>
              <w:rPr>
                <w:rFonts w:hint="eastAsia"/>
                <w:color w:val="000000" w:themeColor="text1"/>
                <w:spacing w:val="-8"/>
                <w:sz w:val="24"/>
                <w:szCs w:val="24"/>
                <w:lang w:val="en-US" w:eastAsia="zh-CN"/>
                <w14:textFill>
                  <w14:solidFill>
                    <w14:schemeClr w14:val="tx1"/>
                  </w14:solidFill>
                </w14:textFill>
              </w:rPr>
              <w:t>2分</w:t>
            </w:r>
          </w:p>
        </w:tc>
        <w:tc>
          <w:tcPr>
            <w:tcW w:w="5553" w:type="dxa"/>
            <w:shd w:val="clear" w:color="auto" w:fill="auto"/>
            <w:noWrap w:val="0"/>
            <w:vAlign w:val="top"/>
          </w:tcPr>
          <w:p w14:paraId="7B7E4B87">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468" w:firstLineChars="200"/>
              <w:textAlignment w:val="auto"/>
              <w:rPr>
                <w:rFonts w:hint="default" w:ascii="宋体" w:hAnsi="宋体" w:eastAsia="宋体" w:cs="宋体"/>
                <w:color w:val="000000" w:themeColor="text1"/>
                <w:spacing w:val="-3"/>
                <w:kern w:val="2"/>
                <w:sz w:val="24"/>
                <w:szCs w:val="24"/>
                <w:lang w:val="en-US" w:eastAsia="zh-CN" w:bidi="ar-SA"/>
                <w14:textFill>
                  <w14:solidFill>
                    <w14:schemeClr w14:val="tx1"/>
                  </w14:solidFill>
                </w14:textFill>
              </w:rPr>
            </w:pPr>
            <w:r>
              <w:rPr>
                <w:rFonts w:hint="eastAsia"/>
                <w:color w:val="000000" w:themeColor="text1"/>
                <w:spacing w:val="-3"/>
                <w:sz w:val="24"/>
                <w:szCs w:val="24"/>
                <w:lang w:val="en-US" w:eastAsia="zh-CN"/>
                <w14:textFill>
                  <w14:solidFill>
                    <w14:schemeClr w14:val="tx1"/>
                  </w14:solidFill>
                </w14:textFill>
              </w:rPr>
              <w:t>投标人承诺中午12:00-14:00每幢宿舍楼保证有两名工作人员值班。按要求提供承诺函并加盖CA电子公章得2分，未按要求提供不得分。</w:t>
            </w:r>
          </w:p>
        </w:tc>
      </w:tr>
    </w:tbl>
    <w:p w14:paraId="030B4338">
      <w:pPr>
        <w:keepNext w:val="0"/>
        <w:keepLines w:val="0"/>
        <w:pageBreakBefore w:val="0"/>
        <w:widowControl w:val="0"/>
        <w:kinsoku/>
        <w:wordWrap/>
        <w:overflowPunct/>
        <w:topLinePunct w:val="0"/>
        <w:autoSpaceDE/>
        <w:autoSpaceDN/>
        <w:bidi w:val="0"/>
        <w:adjustRightInd/>
        <w:spacing w:line="480" w:lineRule="exact"/>
        <w:textAlignment w:val="auto"/>
        <w:rPr>
          <w:rFonts w:ascii="宋体" w:hAnsi="宋体" w:eastAsia="宋体" w:cs="宋体"/>
          <w:color w:val="000000" w:themeColor="text1"/>
          <w:spacing w:val="-4"/>
          <w:sz w:val="28"/>
          <w:szCs w:val="28"/>
          <w14:textFill>
            <w14:solidFill>
              <w14:schemeClr w14:val="tx1"/>
            </w14:solidFill>
          </w14:textFill>
        </w:rPr>
      </w:pPr>
    </w:p>
    <w:p w14:paraId="4B379C1E">
      <w:pPr>
        <w:pBdr>
          <w:top w:val="none" w:color="000000" w:sz="0" w:space="0"/>
          <w:left w:val="none" w:color="000000" w:sz="0" w:space="0"/>
          <w:bottom w:val="none" w:color="000000" w:sz="0" w:space="0"/>
          <w:right w:val="none" w:color="000000" w:sz="0" w:space="0"/>
        </w:pBdr>
        <w:spacing w:line="559" w:lineRule="atLeast"/>
        <w:rPr>
          <w:color w:val="000000" w:themeColor="text1"/>
          <w14:textFill>
            <w14:solidFill>
              <w14:schemeClr w14:val="tx1"/>
            </w14:solidFill>
          </w14:textFill>
        </w:rPr>
      </w:pPr>
    </w:p>
    <w:p w14:paraId="13BFAD25">
      <w:pPr>
        <w:pStyle w:val="8"/>
        <w:keepNext/>
        <w:spacing w:beforeAutospacing="0" w:afterAutospacing="0"/>
        <w:jc w:val="center"/>
        <w:rPr>
          <w:color w:val="000000" w:themeColor="text1"/>
          <w14:textFill>
            <w14:solidFill>
              <w14:schemeClr w14:val="tx1"/>
            </w14:solidFill>
          </w14:textFill>
        </w:rPr>
      </w:pPr>
      <w:r>
        <w:rPr>
          <w:rFonts w:hint="eastAsia" w:ascii="黑体" w:hAnsi="宋体" w:eastAsia="黑体" w:cs="黑体"/>
          <w:color w:val="000000" w:themeColor="text1"/>
          <w:sz w:val="44"/>
          <w:szCs w:val="44"/>
          <w14:textFill>
            <w14:solidFill>
              <w14:schemeClr w14:val="tx1"/>
            </w14:solidFill>
          </w14:textFill>
        </w:rPr>
        <w:t xml:space="preserve">第六章  投标文件格式 </w:t>
      </w:r>
    </w:p>
    <w:p w14:paraId="767037CA">
      <w:pPr>
        <w:pStyle w:val="8"/>
        <w:spacing w:beforeAutospacing="0" w:afterAutospacing="0"/>
        <w:jc w:val="center"/>
        <w:rPr>
          <w:rFonts w:hint="eastAsia" w:ascii="宋体" w:hAnsi="宋体" w:eastAsia="宋体" w:cs="宋体"/>
          <w:b/>
          <w:color w:val="000000" w:themeColor="text1"/>
          <w:sz w:val="72"/>
          <w:szCs w:val="72"/>
          <w14:textFill>
            <w14:solidFill>
              <w14:schemeClr w14:val="tx1"/>
            </w14:solidFill>
          </w14:textFill>
        </w:rPr>
      </w:pPr>
      <w:bookmarkStart w:id="189" w:name="_Toc26554094"/>
      <w:bookmarkEnd w:id="189"/>
      <w:bookmarkStart w:id="190" w:name="_Hlt26671244"/>
      <w:bookmarkEnd w:id="190"/>
      <w:bookmarkStart w:id="191" w:name="_Hlt26955039"/>
      <w:bookmarkEnd w:id="191"/>
      <w:bookmarkStart w:id="192" w:name="_Toc120614282"/>
      <w:bookmarkStart w:id="193" w:name="_Toc49090576"/>
    </w:p>
    <w:p w14:paraId="50A50A89">
      <w:pPr>
        <w:pStyle w:val="8"/>
        <w:spacing w:beforeAutospacing="0" w:afterAutospacing="0"/>
        <w:jc w:val="center"/>
        <w:rPr>
          <w:rFonts w:hint="eastAsia" w:ascii="宋体" w:hAnsi="宋体" w:eastAsia="宋体" w:cs="宋体"/>
          <w:b/>
          <w:color w:val="000000" w:themeColor="text1"/>
          <w:sz w:val="72"/>
          <w:szCs w:val="72"/>
          <w14:textFill>
            <w14:solidFill>
              <w14:schemeClr w14:val="tx1"/>
            </w14:solidFill>
          </w14:textFill>
        </w:rPr>
      </w:pPr>
    </w:p>
    <w:p w14:paraId="1EE8E9AD">
      <w:pPr>
        <w:pStyle w:val="8"/>
        <w:spacing w:beforeAutospacing="0" w:afterAutospacing="0"/>
        <w:jc w:val="center"/>
        <w:rPr>
          <w:rFonts w:hint="eastAsia" w:ascii="宋体" w:hAnsi="宋体" w:eastAsia="宋体" w:cs="宋体"/>
          <w:b/>
          <w:color w:val="000000" w:themeColor="text1"/>
          <w:sz w:val="72"/>
          <w:szCs w:val="72"/>
          <w14:textFill>
            <w14:solidFill>
              <w14:schemeClr w14:val="tx1"/>
            </w14:solidFill>
          </w14:textFill>
        </w:rPr>
      </w:pPr>
    </w:p>
    <w:p w14:paraId="16869730">
      <w:pPr>
        <w:pStyle w:val="8"/>
        <w:spacing w:beforeAutospacing="0" w:afterAutospacing="0"/>
        <w:jc w:val="center"/>
        <w:rPr>
          <w:rFonts w:hint="eastAsia" w:ascii="宋体" w:hAnsi="宋体" w:eastAsia="宋体" w:cs="宋体"/>
          <w:b/>
          <w:color w:val="000000" w:themeColor="text1"/>
          <w:sz w:val="72"/>
          <w:szCs w:val="72"/>
          <w14:textFill>
            <w14:solidFill>
              <w14:schemeClr w14:val="tx1"/>
            </w14:solidFill>
          </w14:textFill>
        </w:rPr>
      </w:pPr>
    </w:p>
    <w:p w14:paraId="6FC0C921">
      <w:pPr>
        <w:pStyle w:val="8"/>
        <w:spacing w:beforeAutospacing="0" w:afterAutospacing="0"/>
        <w:jc w:val="center"/>
        <w:rPr>
          <w:color w:val="000000" w:themeColor="text1"/>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投  标  文  件</w:t>
      </w:r>
    </w:p>
    <w:p w14:paraId="2EF7B925">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26EA474D">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4076400D">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08725A3F">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40C528CA">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110E342E">
      <w:pPr>
        <w:pStyle w:val="8"/>
        <w:spacing w:beforeAutospacing="0" w:afterAutospacing="0"/>
        <w:ind w:firstLine="1084"/>
        <w:jc w:val="both"/>
        <w:rPr>
          <w:color w:val="000000" w:themeColor="text1"/>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项目 名 称：</w:t>
      </w:r>
      <w:r>
        <w:rPr>
          <w:rFonts w:hint="eastAsia" w:ascii="宋体" w:hAnsi="宋体" w:eastAsia="宋体" w:cs="宋体"/>
          <w:b/>
          <w:color w:val="000000" w:themeColor="text1"/>
          <w:sz w:val="36"/>
          <w:szCs w:val="36"/>
          <w:u w:val="single"/>
          <w14:textFill>
            <w14:solidFill>
              <w14:schemeClr w14:val="tx1"/>
            </w14:solidFill>
          </w14:textFill>
        </w:rPr>
        <w:t xml:space="preserve">               </w:t>
      </w:r>
    </w:p>
    <w:p w14:paraId="3A0F4282">
      <w:pPr>
        <w:pStyle w:val="8"/>
        <w:spacing w:beforeAutospacing="0" w:afterAutospacing="0"/>
        <w:ind w:firstLine="1084"/>
        <w:jc w:val="both"/>
        <w:rPr>
          <w:color w:val="000000" w:themeColor="text1"/>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项目 编 号：</w:t>
      </w:r>
      <w:r>
        <w:rPr>
          <w:rFonts w:hint="eastAsia" w:ascii="宋体" w:hAnsi="宋体" w:eastAsia="宋体" w:cs="宋体"/>
          <w:b/>
          <w:color w:val="000000" w:themeColor="text1"/>
          <w:sz w:val="36"/>
          <w:szCs w:val="36"/>
          <w:u w:val="single"/>
          <w14:textFill>
            <w14:solidFill>
              <w14:schemeClr w14:val="tx1"/>
            </w14:solidFill>
          </w14:textFill>
        </w:rPr>
        <w:t xml:space="preserve">               </w:t>
      </w:r>
    </w:p>
    <w:p w14:paraId="1D488683">
      <w:pPr>
        <w:pStyle w:val="8"/>
        <w:spacing w:beforeAutospacing="0" w:afterAutospacing="0"/>
        <w:jc w:val="both"/>
        <w:rPr>
          <w:color w:val="000000" w:themeColor="text1"/>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   投标人名称 ：</w:t>
      </w:r>
      <w:r>
        <w:rPr>
          <w:rFonts w:hint="eastAsia" w:ascii="宋体" w:hAnsi="宋体" w:eastAsia="宋体" w:cs="宋体"/>
          <w:b/>
          <w:color w:val="000000" w:themeColor="text1"/>
          <w:sz w:val="36"/>
          <w:szCs w:val="36"/>
          <w:u w:val="single"/>
          <w14:textFill>
            <w14:solidFill>
              <w14:schemeClr w14:val="tx1"/>
            </w14:solidFill>
          </w14:textFill>
        </w:rPr>
        <w:t xml:space="preserve">（加盖CA电子公章）        </w:t>
      </w:r>
    </w:p>
    <w:p w14:paraId="3B8044F7">
      <w:pPr>
        <w:pStyle w:val="8"/>
        <w:spacing w:beforeAutospacing="0" w:afterAutospacing="0"/>
        <w:jc w:val="both"/>
        <w:rPr>
          <w:color w:val="000000" w:themeColor="text1"/>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   日   期 ：</w:t>
      </w:r>
      <w:r>
        <w:rPr>
          <w:rFonts w:hint="eastAsia" w:ascii="宋体" w:hAnsi="宋体" w:eastAsia="宋体" w:cs="宋体"/>
          <w:b/>
          <w:color w:val="000000" w:themeColor="text1"/>
          <w:sz w:val="36"/>
          <w:szCs w:val="36"/>
          <w:u w:val="single"/>
          <w14:textFill>
            <w14:solidFill>
              <w14:schemeClr w14:val="tx1"/>
            </w14:solidFill>
          </w14:textFill>
        </w:rPr>
        <w:t>                     </w:t>
      </w:r>
    </w:p>
    <w:p w14:paraId="3003087A">
      <w:pPr>
        <w:pStyle w:val="8"/>
        <w:spacing w:beforeAutospacing="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48C65EDC">
      <w:pPr>
        <w:pStyle w:val="8"/>
        <w:spacing w:beforeAutospacing="0" w:afterAutospacing="0" w:line="0" w:lineRule="atLeast"/>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59093001">
      <w:pPr>
        <w:pStyle w:val="8"/>
        <w:spacing w:beforeAutospacing="0" w:afterAutospacing="0" w:line="0" w:lineRule="atLeast"/>
        <w:jc w:val="center"/>
        <w:rPr>
          <w:rFonts w:ascii="宋体" w:hAnsi="宋体" w:eastAsia="宋体" w:cs="宋体"/>
          <w:b/>
          <w:color w:val="000000" w:themeColor="text1"/>
          <w:sz w:val="36"/>
          <w:szCs w:val="36"/>
          <w:u w:val="single"/>
          <w14:textFill>
            <w14:solidFill>
              <w14:schemeClr w14:val="tx1"/>
            </w14:solidFill>
          </w14:textFill>
        </w:rPr>
      </w:pPr>
    </w:p>
    <w:p w14:paraId="37FEF0FC">
      <w:pPr>
        <w:pStyle w:val="8"/>
        <w:spacing w:beforeAutospacing="0" w:afterAutospacing="0" w:line="0" w:lineRule="atLeast"/>
        <w:jc w:val="center"/>
        <w:rPr>
          <w:rFonts w:ascii="宋体" w:hAnsi="宋体" w:eastAsia="宋体" w:cs="宋体"/>
          <w:b/>
          <w:color w:val="000000" w:themeColor="text1"/>
          <w:sz w:val="36"/>
          <w:szCs w:val="36"/>
          <w:u w:val="single"/>
          <w14:textFill>
            <w14:solidFill>
              <w14:schemeClr w14:val="tx1"/>
            </w14:solidFill>
          </w14:textFill>
        </w:rPr>
      </w:pPr>
    </w:p>
    <w:p w14:paraId="0B28990F">
      <w:pPr>
        <w:pStyle w:val="8"/>
        <w:spacing w:beforeAutospacing="0" w:afterAutospacing="0" w:line="0" w:lineRule="atLeast"/>
        <w:jc w:val="center"/>
        <w:rPr>
          <w:rFonts w:ascii="宋体" w:hAnsi="宋体" w:eastAsia="宋体" w:cs="宋体"/>
          <w:b/>
          <w:color w:val="000000" w:themeColor="text1"/>
          <w:sz w:val="36"/>
          <w:szCs w:val="36"/>
          <w:u w:val="single"/>
          <w14:textFill>
            <w14:solidFill>
              <w14:schemeClr w14:val="tx1"/>
            </w14:solidFill>
          </w14:textFill>
        </w:rPr>
      </w:pPr>
    </w:p>
    <w:p w14:paraId="7AFEEF39">
      <w:pPr>
        <w:pStyle w:val="8"/>
        <w:spacing w:beforeAutospacing="0" w:afterAutospacing="0" w:line="0" w:lineRule="atLeast"/>
        <w:jc w:val="center"/>
        <w:rPr>
          <w:rFonts w:ascii="宋体" w:hAnsi="宋体" w:eastAsia="宋体" w:cs="宋体"/>
          <w:b/>
          <w:color w:val="000000" w:themeColor="text1"/>
          <w:sz w:val="36"/>
          <w:szCs w:val="36"/>
          <w:u w:val="single"/>
          <w14:textFill>
            <w14:solidFill>
              <w14:schemeClr w14:val="tx1"/>
            </w14:solidFill>
          </w14:textFill>
        </w:rPr>
      </w:pPr>
    </w:p>
    <w:p w14:paraId="1BD66560">
      <w:pP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p>
    <w:p w14:paraId="4218E22B">
      <w:pPr>
        <w:pStyle w:val="8"/>
        <w:spacing w:beforeAutospacing="0" w:afterAutospacing="0" w:line="0" w:lineRule="atLeast"/>
        <w:jc w:val="center"/>
        <w:rPr>
          <w:color w:val="000000" w:themeColor="text1"/>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投标文件目录</w:t>
      </w:r>
    </w:p>
    <w:p w14:paraId="35F46D1E">
      <w:pPr>
        <w:pStyle w:val="8"/>
        <w:spacing w:beforeAutospacing="0" w:afterAutospacing="0" w:line="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w:t>
      </w:r>
    </w:p>
    <w:p w14:paraId="6BF4DB6A">
      <w:pPr>
        <w:pStyle w:val="8"/>
        <w:keepNext w:val="0"/>
        <w:keepLines w:val="0"/>
        <w:pageBreakBefore w:val="0"/>
        <w:kinsoku/>
        <w:wordWrap/>
        <w:overflowPunct/>
        <w:topLinePunct w:val="0"/>
        <w:autoSpaceDE/>
        <w:autoSpaceDN/>
        <w:bidi w:val="0"/>
        <w:adjustRightInd/>
        <w:snapToGrid/>
        <w:spacing w:beforeAutospacing="0" w:afterAutospacing="0" w:line="480" w:lineRule="exact"/>
        <w:ind w:left="480"/>
        <w:jc w:val="both"/>
        <w:textAlignment w:val="auto"/>
        <w:rPr>
          <w:rFonts w:ascii="宋体" w:hAnsi="宋体" w:eastAsia="宋体" w:cs="宋体"/>
          <w:i/>
          <w:color w:val="000000" w:themeColor="text1"/>
          <w:highlight w:val="none"/>
          <w:u w:val="single"/>
          <w14:textFill>
            <w14:solidFill>
              <w14:schemeClr w14:val="tx1"/>
            </w14:solidFill>
          </w14:textFill>
        </w:rPr>
      </w:pPr>
      <w:r>
        <w:rPr>
          <w:rFonts w:hint="eastAsia" w:ascii="宋体" w:hAnsi="宋体" w:eastAsia="宋体" w:cs="宋体"/>
          <w:i/>
          <w:color w:val="000000" w:themeColor="text1"/>
          <w:highlight w:val="none"/>
          <w:u w:val="single"/>
          <w14:textFill>
            <w14:solidFill>
              <w14:schemeClr w14:val="tx1"/>
            </w14:solidFill>
          </w14:textFill>
        </w:rPr>
        <w:t>一、法人或者其他组织的营业执照等证明文件，自然人的身份证明</w:t>
      </w:r>
    </w:p>
    <w:p w14:paraId="4CBC32CA">
      <w:pPr>
        <w:pStyle w:val="8"/>
        <w:keepNext w:val="0"/>
        <w:keepLines w:val="0"/>
        <w:pageBreakBefore w:val="0"/>
        <w:kinsoku/>
        <w:wordWrap/>
        <w:overflowPunct/>
        <w:topLinePunct w:val="0"/>
        <w:autoSpaceDE/>
        <w:autoSpaceDN/>
        <w:bidi w:val="0"/>
        <w:adjustRightInd/>
        <w:snapToGrid/>
        <w:spacing w:beforeAutospacing="0" w:afterAutospacing="0" w:line="480" w:lineRule="exact"/>
        <w:ind w:left="480"/>
        <w:jc w:val="both"/>
        <w:textAlignment w:val="auto"/>
        <w:rPr>
          <w:rFonts w:hint="eastAsia" w:ascii="宋体" w:hAnsi="宋体" w:eastAsia="宋体" w:cs="宋体"/>
          <w:i/>
          <w:color w:val="000000" w:themeColor="text1"/>
          <w:highlight w:val="none"/>
          <w:u w:val="single"/>
          <w14:textFill>
            <w14:solidFill>
              <w14:schemeClr w14:val="tx1"/>
            </w14:solidFill>
          </w14:textFill>
        </w:rPr>
      </w:pPr>
      <w:r>
        <w:rPr>
          <w:rFonts w:hint="eastAsia" w:ascii="宋体" w:hAnsi="宋体" w:eastAsia="宋体" w:cs="宋体"/>
          <w:i/>
          <w:color w:val="000000" w:themeColor="text1"/>
          <w:kern w:val="0"/>
          <w:sz w:val="24"/>
          <w:szCs w:val="24"/>
          <w:highlight w:val="none"/>
          <w:u w:val="single"/>
          <w:lang w:val="en-US" w:eastAsia="zh-CN" w:bidi="ar-SA"/>
          <w14:textFill>
            <w14:solidFill>
              <w14:schemeClr w14:val="tx1"/>
            </w14:solidFill>
          </w14:textFill>
        </w:rPr>
        <w:t>二、上一年度的财务状况报表</w:t>
      </w:r>
      <w:r>
        <w:rPr>
          <w:rFonts w:hint="eastAsia" w:ascii="宋体" w:hAnsi="宋体" w:eastAsia="宋体" w:cs="宋体"/>
          <w:i/>
          <w:color w:val="000000" w:themeColor="text1"/>
          <w:highlight w:val="none"/>
          <w:u w:val="single"/>
          <w:lang w:val="en-US" w:eastAsia="zh-CN"/>
          <w14:textFill>
            <w14:solidFill>
              <w14:schemeClr w14:val="tx1"/>
            </w14:solidFill>
          </w14:textFill>
        </w:rPr>
        <w:t>（</w:t>
      </w:r>
      <w:r>
        <w:rPr>
          <w:rFonts w:hint="eastAsia" w:ascii="宋体" w:hAnsi="宋体" w:eastAsia="宋体" w:cs="宋体"/>
          <w:i/>
          <w:color w:val="000000" w:themeColor="text1"/>
          <w:highlight w:val="none"/>
          <w:u w:val="single"/>
          <w14:textFill>
            <w14:solidFill>
              <w14:schemeClr w14:val="tx1"/>
            </w14:solidFill>
          </w14:textFill>
        </w:rPr>
        <w:t>至少提供资产负债表、利润表、现金流量表，</w:t>
      </w:r>
    </w:p>
    <w:p w14:paraId="502DE79D">
      <w:pPr>
        <w:pStyle w:val="8"/>
        <w:keepNext w:val="0"/>
        <w:keepLines w:val="0"/>
        <w:pageBreakBefore w:val="0"/>
        <w:kinsoku/>
        <w:wordWrap/>
        <w:overflowPunct/>
        <w:topLinePunct w:val="0"/>
        <w:autoSpaceDE/>
        <w:autoSpaceDN/>
        <w:bidi w:val="0"/>
        <w:adjustRightInd/>
        <w:snapToGrid/>
        <w:spacing w:beforeAutospacing="0" w:afterAutospacing="0" w:line="480" w:lineRule="exact"/>
        <w:ind w:left="480"/>
        <w:jc w:val="both"/>
        <w:textAlignment w:val="auto"/>
        <w:rPr>
          <w:rFonts w:hint="eastAsia" w:ascii="宋体" w:hAnsi="宋体" w:eastAsia="宋体" w:cs="宋体"/>
          <w:i/>
          <w:color w:val="000000" w:themeColor="text1"/>
          <w:highlight w:val="none"/>
          <w:u w:val="single"/>
          <w14:textFill>
            <w14:solidFill>
              <w14:schemeClr w14:val="tx1"/>
            </w14:solidFill>
          </w14:textFill>
        </w:rPr>
      </w:pPr>
      <w:r>
        <w:rPr>
          <w:rFonts w:hint="eastAsia" w:ascii="宋体" w:hAnsi="宋体" w:eastAsia="宋体" w:cs="宋体"/>
          <w:i/>
          <w:color w:val="000000" w:themeColor="text1"/>
          <w:highlight w:val="none"/>
          <w:u w:val="single"/>
          <w14:textFill>
            <w14:solidFill>
              <w14:schemeClr w14:val="tx1"/>
            </w14:solidFill>
          </w14:textFill>
        </w:rPr>
        <w:t>投标人成立不满一年无需提供）</w:t>
      </w:r>
    </w:p>
    <w:p w14:paraId="611A828C">
      <w:pPr>
        <w:pStyle w:val="8"/>
        <w:keepNext w:val="0"/>
        <w:keepLines w:val="0"/>
        <w:pageBreakBefore w:val="0"/>
        <w:kinsoku/>
        <w:wordWrap/>
        <w:overflowPunct/>
        <w:topLinePunct w:val="0"/>
        <w:autoSpaceDE/>
        <w:autoSpaceDN/>
        <w:bidi w:val="0"/>
        <w:adjustRightInd/>
        <w:snapToGrid/>
        <w:spacing w:beforeAutospacing="0" w:afterAutospacing="0" w:line="480" w:lineRule="exact"/>
        <w:ind w:left="480"/>
        <w:jc w:val="both"/>
        <w:textAlignment w:val="auto"/>
        <w:rPr>
          <w:rFonts w:hint="eastAsia" w:ascii="宋体" w:hAnsi="宋体" w:eastAsia="宋体" w:cs="宋体"/>
          <w:i/>
          <w:color w:val="000000" w:themeColor="text1"/>
          <w:highlight w:val="none"/>
          <w:u w:val="single"/>
          <w14:textFill>
            <w14:solidFill>
              <w14:schemeClr w14:val="tx1"/>
            </w14:solidFill>
          </w14:textFill>
        </w:rPr>
      </w:pPr>
      <w:r>
        <w:rPr>
          <w:rFonts w:hint="eastAsia" w:ascii="宋体" w:hAnsi="宋体" w:eastAsia="宋体" w:cs="宋体"/>
          <w:i/>
          <w:color w:val="000000" w:themeColor="text1"/>
          <w:highlight w:val="none"/>
          <w:u w:val="single"/>
          <w:lang w:val="en-US" w:eastAsia="zh-CN"/>
          <w14:textFill>
            <w14:solidFill>
              <w14:schemeClr w14:val="tx1"/>
            </w14:solidFill>
          </w14:textFill>
        </w:rPr>
        <w:t>三</w:t>
      </w:r>
      <w:r>
        <w:rPr>
          <w:rFonts w:hint="eastAsia" w:ascii="宋体" w:hAnsi="宋体" w:eastAsia="宋体" w:cs="宋体"/>
          <w:i/>
          <w:color w:val="000000" w:themeColor="text1"/>
          <w:highlight w:val="none"/>
          <w:u w:val="single"/>
          <w14:textFill>
            <w14:solidFill>
              <w14:schemeClr w14:val="tx1"/>
            </w14:solidFill>
          </w14:textFill>
        </w:rPr>
        <w:t>、具备履行合同所必需的设备和专业技术能力的书面声明</w:t>
      </w:r>
    </w:p>
    <w:p w14:paraId="27EC879D">
      <w:pPr>
        <w:pStyle w:val="8"/>
        <w:keepNext w:val="0"/>
        <w:keepLines w:val="0"/>
        <w:pageBreakBefore w:val="0"/>
        <w:kinsoku/>
        <w:wordWrap/>
        <w:overflowPunct/>
        <w:topLinePunct w:val="0"/>
        <w:autoSpaceDE/>
        <w:autoSpaceDN/>
        <w:bidi w:val="0"/>
        <w:adjustRightInd/>
        <w:snapToGrid/>
        <w:spacing w:beforeAutospacing="0" w:afterAutospacing="0" w:line="480" w:lineRule="exact"/>
        <w:ind w:left="480"/>
        <w:jc w:val="both"/>
        <w:textAlignment w:val="auto"/>
        <w:rPr>
          <w:rFonts w:ascii="宋体" w:hAnsi="宋体" w:eastAsia="宋体" w:cs="宋体"/>
          <w:i/>
          <w:color w:val="000000" w:themeColor="text1"/>
          <w:highlight w:val="none"/>
          <w:u w:val="single"/>
          <w14:textFill>
            <w14:solidFill>
              <w14:schemeClr w14:val="tx1"/>
            </w14:solidFill>
          </w14:textFill>
        </w:rPr>
      </w:pPr>
      <w:r>
        <w:rPr>
          <w:rFonts w:hint="eastAsia" w:ascii="宋体" w:hAnsi="宋体" w:eastAsia="宋体" w:cs="宋体"/>
          <w:i/>
          <w:color w:val="000000" w:themeColor="text1"/>
          <w:highlight w:val="none"/>
          <w:u w:val="single"/>
          <w:lang w:val="en-US" w:eastAsia="zh-CN"/>
          <w14:textFill>
            <w14:solidFill>
              <w14:schemeClr w14:val="tx1"/>
            </w14:solidFill>
          </w14:textFill>
        </w:rPr>
        <w:t>四</w:t>
      </w:r>
      <w:r>
        <w:rPr>
          <w:rFonts w:hint="eastAsia" w:ascii="宋体" w:hAnsi="宋体" w:eastAsia="宋体" w:cs="宋体"/>
          <w:i/>
          <w:color w:val="000000" w:themeColor="text1"/>
          <w:highlight w:val="none"/>
          <w:u w:val="single"/>
          <w14:textFill>
            <w14:solidFill>
              <w14:schemeClr w14:val="tx1"/>
            </w14:solidFill>
          </w14:textFill>
        </w:rPr>
        <w:t>、依法缴纳税收和社会保障资金的相关材料（提供提交投标文件截止时间前一年内至少一个月依法缴纳税收及缴纳社会保障资金的证明材料。投标人依法享受缓缴、免缴税收、社会保障资金的提供证明材料）</w:t>
      </w:r>
    </w:p>
    <w:p w14:paraId="618593BE">
      <w:pPr>
        <w:pStyle w:val="8"/>
        <w:keepNext w:val="0"/>
        <w:keepLines w:val="0"/>
        <w:pageBreakBefore w:val="0"/>
        <w:kinsoku/>
        <w:wordWrap/>
        <w:overflowPunct/>
        <w:topLinePunct w:val="0"/>
        <w:autoSpaceDE/>
        <w:autoSpaceDN/>
        <w:bidi w:val="0"/>
        <w:adjustRightInd/>
        <w:snapToGrid/>
        <w:spacing w:beforeAutospacing="0" w:afterAutospacing="0" w:line="480" w:lineRule="exact"/>
        <w:ind w:left="480"/>
        <w:jc w:val="both"/>
        <w:textAlignment w:val="auto"/>
        <w:rPr>
          <w:rFonts w:ascii="宋体" w:hAnsi="宋体" w:eastAsia="宋体" w:cs="宋体"/>
          <w:i/>
          <w:color w:val="000000" w:themeColor="text1"/>
          <w:highlight w:val="none"/>
          <w:u w:val="single"/>
          <w14:textFill>
            <w14:solidFill>
              <w14:schemeClr w14:val="tx1"/>
            </w14:solidFill>
          </w14:textFill>
        </w:rPr>
      </w:pPr>
      <w:r>
        <w:rPr>
          <w:rFonts w:hint="eastAsia" w:ascii="宋体" w:hAnsi="宋体" w:eastAsia="宋体" w:cs="宋体"/>
          <w:i/>
          <w:color w:val="000000" w:themeColor="text1"/>
          <w:highlight w:val="none"/>
          <w:u w:val="single"/>
          <w14:textFill>
            <w14:solidFill>
              <w14:schemeClr w14:val="tx1"/>
            </w14:solidFill>
          </w14:textFill>
        </w:rPr>
        <w:t>五、参加政府采购活动前 3 年内在经营活动中没有重大违法记录的书面声明</w:t>
      </w:r>
    </w:p>
    <w:p w14:paraId="438B1922">
      <w:pPr>
        <w:pStyle w:val="8"/>
        <w:keepNext w:val="0"/>
        <w:keepLines w:val="0"/>
        <w:pageBreakBefore w:val="0"/>
        <w:kinsoku/>
        <w:wordWrap/>
        <w:overflowPunct/>
        <w:topLinePunct w:val="0"/>
        <w:autoSpaceDE/>
        <w:autoSpaceDN/>
        <w:bidi w:val="0"/>
        <w:adjustRightInd/>
        <w:snapToGrid/>
        <w:spacing w:beforeAutospacing="0" w:afterAutospacing="0" w:line="480" w:lineRule="exact"/>
        <w:ind w:left="480"/>
        <w:jc w:val="both"/>
        <w:textAlignment w:val="auto"/>
        <w:rPr>
          <w:rFonts w:ascii="宋体" w:hAnsi="宋体" w:eastAsia="宋体" w:cs="宋体"/>
          <w:i/>
          <w:color w:val="000000" w:themeColor="text1"/>
          <w:highlight w:val="none"/>
          <w:u w:val="single"/>
          <w14:textFill>
            <w14:solidFill>
              <w14:schemeClr w14:val="tx1"/>
            </w14:solidFill>
          </w14:textFill>
        </w:rPr>
      </w:pPr>
      <w:r>
        <w:rPr>
          <w:rFonts w:hint="eastAsia" w:ascii="宋体" w:hAnsi="宋体" w:eastAsia="宋体" w:cs="宋体"/>
          <w:i/>
          <w:color w:val="000000" w:themeColor="text1"/>
          <w:highlight w:val="none"/>
          <w:u w:val="single"/>
          <w14:textFill>
            <w14:solidFill>
              <w14:schemeClr w14:val="tx1"/>
            </w14:solidFill>
          </w14:textFill>
        </w:rPr>
        <w:t>六、特定资格要求的证明文件（如果本项目设置特定资格要求，则需要提供）</w:t>
      </w:r>
    </w:p>
    <w:p w14:paraId="33C1FC32">
      <w:pPr>
        <w:pStyle w:val="8"/>
        <w:keepNext w:val="0"/>
        <w:keepLines w:val="0"/>
        <w:pageBreakBefore w:val="0"/>
        <w:kinsoku/>
        <w:wordWrap/>
        <w:overflowPunct/>
        <w:topLinePunct w:val="0"/>
        <w:autoSpaceDE/>
        <w:autoSpaceDN/>
        <w:bidi w:val="0"/>
        <w:adjustRightInd/>
        <w:snapToGrid/>
        <w:spacing w:beforeAutospacing="0" w:afterAutospacing="0" w:line="480" w:lineRule="exact"/>
        <w:ind w:left="480"/>
        <w:jc w:val="both"/>
        <w:textAlignment w:val="auto"/>
        <w:rPr>
          <w:rFonts w:ascii="宋体" w:hAnsi="宋体" w:eastAsia="宋体" w:cs="宋体"/>
          <w:i/>
          <w:color w:val="000000" w:themeColor="text1"/>
          <w:highlight w:val="none"/>
          <w:u w:val="single"/>
          <w14:textFill>
            <w14:solidFill>
              <w14:schemeClr w14:val="tx1"/>
            </w14:solidFill>
          </w14:textFill>
        </w:rPr>
      </w:pPr>
      <w:r>
        <w:rPr>
          <w:rFonts w:hint="eastAsia" w:ascii="宋体" w:hAnsi="宋体" w:eastAsia="宋体" w:cs="宋体"/>
          <w:i/>
          <w:color w:val="000000" w:themeColor="text1"/>
          <w:highlight w:val="none"/>
          <w:u w:val="single"/>
          <w14:textFill>
            <w14:solidFill>
              <w14:schemeClr w14:val="tx1"/>
            </w14:solidFill>
          </w14:textFill>
        </w:rPr>
        <w:t>七、法人授权书</w:t>
      </w:r>
    </w:p>
    <w:p w14:paraId="1E8B2853">
      <w:pPr>
        <w:pStyle w:val="8"/>
        <w:keepNext w:val="0"/>
        <w:keepLines w:val="0"/>
        <w:pageBreakBefore w:val="0"/>
        <w:kinsoku/>
        <w:wordWrap/>
        <w:overflowPunct/>
        <w:topLinePunct w:val="0"/>
        <w:autoSpaceDE/>
        <w:autoSpaceDN/>
        <w:bidi w:val="0"/>
        <w:adjustRightInd/>
        <w:snapToGrid/>
        <w:spacing w:beforeAutospacing="0" w:afterAutospacing="0" w:line="480" w:lineRule="exact"/>
        <w:ind w:left="480"/>
        <w:jc w:val="both"/>
        <w:textAlignment w:val="auto"/>
        <w:rPr>
          <w:rFonts w:ascii="宋体" w:hAnsi="宋体" w:eastAsia="宋体" w:cs="宋体"/>
          <w:i/>
          <w:color w:val="000000" w:themeColor="text1"/>
          <w:highlight w:val="none"/>
          <w:u w:val="single"/>
          <w14:textFill>
            <w14:solidFill>
              <w14:schemeClr w14:val="tx1"/>
            </w14:solidFill>
          </w14:textFill>
        </w:rPr>
      </w:pPr>
      <w:r>
        <w:rPr>
          <w:rFonts w:hint="eastAsia" w:ascii="宋体" w:hAnsi="宋体" w:eastAsia="宋体" w:cs="宋体"/>
          <w:i/>
          <w:color w:val="000000" w:themeColor="text1"/>
          <w:highlight w:val="none"/>
          <w:u w:val="single"/>
          <w14:textFill>
            <w14:solidFill>
              <w14:schemeClr w14:val="tx1"/>
            </w14:solidFill>
          </w14:textFill>
        </w:rPr>
        <w:t>八、投标函</w:t>
      </w:r>
    </w:p>
    <w:p w14:paraId="42020347">
      <w:pPr>
        <w:pStyle w:val="8"/>
        <w:keepNext w:val="0"/>
        <w:keepLines w:val="0"/>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i/>
          <w:iCs/>
          <w:color w:val="000000" w:themeColor="text1"/>
          <w:highlight w:val="none"/>
          <w:u w:val="single"/>
          <w14:textFill>
            <w14:solidFill>
              <w14:schemeClr w14:val="tx1"/>
            </w14:solidFill>
          </w14:textFill>
        </w:rPr>
        <w:t>九、</w:t>
      </w:r>
      <w:r>
        <w:rPr>
          <w:rFonts w:ascii="宋体" w:hAnsi="宋体" w:eastAsia="宋体" w:cs="宋体"/>
          <w:i/>
          <w:iCs/>
          <w:color w:val="000000" w:themeColor="text1"/>
          <w:spacing w:val="-2"/>
          <w:sz w:val="24"/>
          <w:szCs w:val="24"/>
          <w:u w:val="single"/>
          <w14:textFill>
            <w14:solidFill>
              <w14:schemeClr w14:val="tx1"/>
            </w14:solidFill>
          </w14:textFill>
        </w:rPr>
        <w:t>中小企业声明函</w:t>
      </w:r>
    </w:p>
    <w:p w14:paraId="66AF5D5F">
      <w:pPr>
        <w:pStyle w:val="8"/>
        <w:keepNext w:val="0"/>
        <w:keepLines w:val="0"/>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十、残疾人福利性单位声明函</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如有</w:t>
      </w:r>
      <w:r>
        <w:rPr>
          <w:rFonts w:hint="eastAsia" w:ascii="宋体" w:hAnsi="宋体" w:eastAsia="宋体" w:cs="宋体"/>
          <w:color w:val="000000" w:themeColor="text1"/>
          <w:highlight w:val="none"/>
          <w:lang w:eastAsia="zh-CN"/>
          <w14:textFill>
            <w14:solidFill>
              <w14:schemeClr w14:val="tx1"/>
            </w14:solidFill>
          </w14:textFill>
        </w:rPr>
        <w:t>）</w:t>
      </w:r>
    </w:p>
    <w:p w14:paraId="7BC63301">
      <w:pPr>
        <w:pStyle w:val="8"/>
        <w:keepNext w:val="0"/>
        <w:keepLines w:val="0"/>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十一、投标分项报价表</w:t>
      </w:r>
    </w:p>
    <w:p w14:paraId="678C663D">
      <w:pPr>
        <w:pStyle w:val="8"/>
        <w:keepNext w:val="0"/>
        <w:keepLines w:val="0"/>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十二、技术要求响应及偏离表</w:t>
      </w:r>
    </w:p>
    <w:p w14:paraId="58D353C1">
      <w:pPr>
        <w:pStyle w:val="8"/>
        <w:keepNext w:val="0"/>
        <w:keepLines w:val="0"/>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十三、商务要求响应及偏离表</w:t>
      </w:r>
    </w:p>
    <w:p w14:paraId="7FFFD6BF">
      <w:pPr>
        <w:pStyle w:val="8"/>
        <w:keepNext w:val="0"/>
        <w:keepLines w:val="0"/>
        <w:pageBreakBefore w:val="0"/>
        <w:kinsoku/>
        <w:wordWrap/>
        <w:overflowPunct/>
        <w:topLinePunct w:val="0"/>
        <w:autoSpaceDE/>
        <w:autoSpaceDN/>
        <w:bidi w:val="0"/>
        <w:adjustRightInd/>
        <w:snapToGrid/>
        <w:spacing w:beforeAutospacing="0" w:afterAutospacing="0" w:line="480" w:lineRule="exact"/>
        <w:ind w:firstLine="480"/>
        <w:jc w:val="both"/>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i/>
          <w:iCs/>
          <w:color w:val="000000" w:themeColor="text1"/>
          <w:highlight w:val="none"/>
          <w:u w:val="single"/>
          <w14:textFill>
            <w14:solidFill>
              <w14:schemeClr w14:val="tx1"/>
            </w14:solidFill>
          </w14:textFill>
        </w:rPr>
        <w:t>十四、</w:t>
      </w:r>
      <w:r>
        <w:rPr>
          <w:rFonts w:hint="eastAsia" w:ascii="宋体" w:hAnsi="宋体" w:eastAsia="宋体" w:cs="宋体"/>
          <w:i/>
          <w:color w:val="000000" w:themeColor="text1"/>
          <w:highlight w:val="none"/>
          <w:u w:val="single"/>
          <w14:textFill>
            <w14:solidFill>
              <w14:schemeClr w14:val="tx1"/>
            </w14:solidFill>
          </w14:textFill>
        </w:rPr>
        <w:t>开标一览表</w:t>
      </w:r>
    </w:p>
    <w:p w14:paraId="73B00659">
      <w:pPr>
        <w:pStyle w:val="8"/>
        <w:keepNext w:val="0"/>
        <w:keepLines w:val="0"/>
        <w:pageBreakBefore w:val="0"/>
        <w:kinsoku/>
        <w:wordWrap/>
        <w:overflowPunct/>
        <w:topLinePunct w:val="0"/>
        <w:autoSpaceDE/>
        <w:autoSpaceDN/>
        <w:bidi w:val="0"/>
        <w:adjustRightInd/>
        <w:snapToGrid/>
        <w:spacing w:beforeAutospacing="0" w:afterAutospacing="0" w:line="480" w:lineRule="exact"/>
        <w:ind w:left="480"/>
        <w:jc w:val="both"/>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i w:val="0"/>
          <w:iCs/>
          <w:color w:val="000000" w:themeColor="text1"/>
          <w:highlight w:val="none"/>
          <w:u w:val="none"/>
          <w14:textFill>
            <w14:solidFill>
              <w14:schemeClr w14:val="tx1"/>
            </w14:solidFill>
          </w14:textFill>
        </w:rPr>
        <w:t>十五、</w:t>
      </w:r>
      <w:r>
        <w:rPr>
          <w:rFonts w:hint="eastAsia" w:ascii="宋体" w:hAnsi="宋体" w:eastAsia="宋体" w:cs="宋体"/>
          <w:color w:val="000000" w:themeColor="text1"/>
          <w:kern w:val="0"/>
          <w:sz w:val="24"/>
          <w:highlight w:val="none"/>
          <w:lang w:val="en-US" w:eastAsia="zh-CN"/>
          <w14:textFill>
            <w14:solidFill>
              <w14:schemeClr w14:val="tx1"/>
            </w14:solidFill>
          </w14:textFill>
        </w:rPr>
        <w:t>服务方案、服务人员配备等</w:t>
      </w:r>
    </w:p>
    <w:p w14:paraId="4A2B1507">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十六、</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盐城市政府采购事前信用承诺书</w:t>
      </w:r>
    </w:p>
    <w:p w14:paraId="39B8FD4D">
      <w:pPr>
        <w:pStyle w:val="8"/>
        <w:spacing w:beforeAutospacing="0" w:afterAutospacing="0" w:line="0" w:lineRule="atLeast"/>
        <w:ind w:firstLine="48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注：招标文件中规定要求提供的证明材料和投标人认为需要提供的其他材料。</w:t>
      </w:r>
    </w:p>
    <w:p w14:paraId="265600DE">
      <w:pPr>
        <w:pStyle w:val="8"/>
        <w:spacing w:beforeAutospacing="0" w:afterAutospacing="0" w:line="0" w:lineRule="atLeast"/>
        <w:ind w:firstLine="480"/>
        <w:jc w:val="both"/>
        <w:rPr>
          <w:rFonts w:ascii="宋体" w:hAnsi="宋体" w:eastAsia="宋体" w:cs="宋体"/>
          <w:color w:val="000000" w:themeColor="text1"/>
          <w:highlight w:val="none"/>
          <w14:textFill>
            <w14:solidFill>
              <w14:schemeClr w14:val="tx1"/>
            </w14:solidFill>
          </w14:textFill>
        </w:rPr>
      </w:pPr>
    </w:p>
    <w:p w14:paraId="0832F115">
      <w:pPr>
        <w:pStyle w:val="8"/>
        <w:spacing w:beforeAutospacing="0" w:afterAutospacing="0" w:line="0" w:lineRule="atLeast"/>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w:t>
      </w:r>
    </w:p>
    <w:p w14:paraId="598C77C9">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EB53788">
      <w:pPr>
        <w:pStyle w:val="8"/>
        <w:spacing w:beforeAutospacing="0" w:afterAutospacing="0" w:line="0" w:lineRule="atLeast"/>
        <w:ind w:firstLine="480"/>
        <w:jc w:val="both"/>
        <w:rPr>
          <w:color w:val="000000" w:themeColor="text1"/>
          <w:highlight w:val="none"/>
          <w14:textFill>
            <w14:solidFill>
              <w14:schemeClr w14:val="tx1"/>
            </w14:solidFill>
          </w14:textFill>
        </w:rPr>
      </w:pPr>
    </w:p>
    <w:p w14:paraId="6B007471">
      <w:pPr>
        <w:pStyle w:val="8"/>
        <w:spacing w:beforeAutospacing="0" w:afterAutospacing="0" w:line="0" w:lineRule="atLeast"/>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w:t>
      </w:r>
    </w:p>
    <w:p w14:paraId="66CC621F">
      <w:pPr>
        <w:pStyle w:val="8"/>
        <w:spacing w:beforeAutospacing="0" w:afterAutospacing="0" w:line="0" w:lineRule="atLeast"/>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w:t>
      </w:r>
    </w:p>
    <w:p w14:paraId="39DF77BA">
      <w:pPr>
        <w:pStyle w:val="8"/>
        <w:spacing w:beforeAutospacing="0" w:afterAutospacing="0"/>
        <w:jc w:val="both"/>
        <w:rPr>
          <w:color w:val="000000" w:themeColor="text1"/>
          <w:highlight w:val="none"/>
          <w14:textFill>
            <w14:solidFill>
              <w14:schemeClr w14:val="tx1"/>
            </w14:solidFill>
          </w14:textFill>
        </w:rPr>
      </w:pPr>
      <w:r>
        <w:rPr>
          <w:rFonts w:hint="eastAsia" w:ascii="黑体" w:hAnsi="宋体" w:eastAsia="黑体" w:cs="黑体"/>
          <w:i/>
          <w:color w:val="000000" w:themeColor="text1"/>
          <w:sz w:val="32"/>
          <w:szCs w:val="32"/>
          <w:highlight w:val="none"/>
          <w:u w:val="single"/>
          <w14:textFill>
            <w14:solidFill>
              <w14:schemeClr w14:val="tx1"/>
            </w14:solidFill>
          </w14:textFill>
        </w:rPr>
        <w:t>一、法人或者其他组织的营业执照等证明文件，自然人的身份证明</w:t>
      </w:r>
    </w:p>
    <w:p w14:paraId="1260F028">
      <w:pPr>
        <w:pStyle w:val="8"/>
        <w:spacing w:beforeAutospacing="0" w:afterAutospacing="0" w:line="0" w:lineRule="atLeast"/>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w:t>
      </w:r>
    </w:p>
    <w:p w14:paraId="44D6F2EE">
      <w:pPr>
        <w:pStyle w:val="8"/>
        <w:spacing w:beforeAutospacing="0" w:afterAutospacing="0"/>
        <w:jc w:val="both"/>
        <w:rPr>
          <w:rFonts w:eastAsia="黑体"/>
          <w:color w:val="000000" w:themeColor="text1"/>
          <w:highlight w:val="none"/>
          <w14:textFill>
            <w14:solidFill>
              <w14:schemeClr w14:val="tx1"/>
            </w14:solidFill>
          </w14:textFill>
        </w:rPr>
      </w:pPr>
      <w:r>
        <w:rPr>
          <w:rFonts w:hint="eastAsia" w:ascii="黑体" w:hAnsi="宋体" w:eastAsia="黑体" w:cs="黑体"/>
          <w:i/>
          <w:color w:val="000000" w:themeColor="text1"/>
          <w:sz w:val="32"/>
          <w:szCs w:val="32"/>
          <w:highlight w:val="none"/>
          <w:u w:val="single"/>
          <w14:textFill>
            <w14:solidFill>
              <w14:schemeClr w14:val="tx1"/>
            </w14:solidFill>
          </w14:textFill>
        </w:rPr>
        <w:t>二、上一年度的财务状况报表</w:t>
      </w:r>
    </w:p>
    <w:p w14:paraId="6F82C115">
      <w:pPr>
        <w:pStyle w:val="8"/>
        <w:spacing w:beforeAutospacing="0" w:afterAutospacing="0" w:line="0" w:lineRule="atLeast"/>
        <w:ind w:firstLine="480"/>
        <w:jc w:val="both"/>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成立不满一年不需提供</w:t>
      </w:r>
    </w:p>
    <w:p w14:paraId="2047614B">
      <w:pPr>
        <w:pStyle w:val="8"/>
        <w:spacing w:beforeAutospacing="0" w:afterAutospacing="0"/>
        <w:jc w:val="both"/>
        <w:rPr>
          <w:color w:val="000000" w:themeColor="text1"/>
          <w:highlight w:val="none"/>
          <w14:textFill>
            <w14:solidFill>
              <w14:schemeClr w14:val="tx1"/>
            </w14:solidFill>
          </w14:textFill>
        </w:rPr>
      </w:pPr>
    </w:p>
    <w:p w14:paraId="3DE2DCA2">
      <w:pPr>
        <w:pStyle w:val="8"/>
        <w:spacing w:beforeAutospacing="0" w:afterAutospacing="0"/>
        <w:jc w:val="both"/>
        <w:rPr>
          <w:color w:val="000000" w:themeColor="text1"/>
          <w:highlight w:val="none"/>
          <w14:textFill>
            <w14:solidFill>
              <w14:schemeClr w14:val="tx1"/>
            </w14:solidFill>
          </w14:textFill>
        </w:rPr>
      </w:pPr>
      <w:r>
        <w:rPr>
          <w:rFonts w:hint="eastAsia" w:ascii="黑体" w:hAnsi="宋体" w:eastAsia="黑体" w:cs="黑体"/>
          <w:i/>
          <w:color w:val="000000" w:themeColor="text1"/>
          <w:sz w:val="32"/>
          <w:szCs w:val="32"/>
          <w:highlight w:val="none"/>
          <w:u w:val="single"/>
          <w:lang w:val="en-US" w:eastAsia="zh-CN"/>
          <w14:textFill>
            <w14:solidFill>
              <w14:schemeClr w14:val="tx1"/>
            </w14:solidFill>
          </w14:textFill>
        </w:rPr>
        <w:t>三</w:t>
      </w:r>
      <w:r>
        <w:rPr>
          <w:rFonts w:hint="eastAsia" w:ascii="黑体" w:hAnsi="宋体" w:eastAsia="黑体" w:cs="黑体"/>
          <w:i/>
          <w:color w:val="000000" w:themeColor="text1"/>
          <w:sz w:val="32"/>
          <w:szCs w:val="32"/>
          <w:highlight w:val="none"/>
          <w:u w:val="single"/>
          <w14:textFill>
            <w14:solidFill>
              <w14:schemeClr w14:val="tx1"/>
            </w14:solidFill>
          </w14:textFill>
        </w:rPr>
        <w:t>、具备履行合同所必需的设备和专业技术能力的书面声明</w:t>
      </w:r>
    </w:p>
    <w:p w14:paraId="3F120F07">
      <w:pPr>
        <w:pStyle w:val="8"/>
        <w:spacing w:beforeAutospacing="0" w:afterAutospacing="0" w:line="0" w:lineRule="atLeast"/>
        <w:ind w:firstLine="492"/>
        <w:jc w:val="both"/>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我单位郑重声明：我单位具备履行本项采购合同所必需的设备和专业技术能力，为履行本项采购合同我公司具备如下主要设备和主要专业技术能力：</w:t>
      </w:r>
    </w:p>
    <w:p w14:paraId="5E7EB051">
      <w:pPr>
        <w:pStyle w:val="8"/>
        <w:spacing w:beforeAutospacing="0" w:afterAutospacing="0" w:line="0" w:lineRule="atLeast"/>
        <w:ind w:firstLine="492"/>
        <w:jc w:val="both"/>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主要设备有：</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327F056B">
      <w:pPr>
        <w:pStyle w:val="8"/>
        <w:spacing w:beforeAutospacing="0" w:afterAutospacing="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主要专业技术能力有：</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3711424B">
      <w:pPr>
        <w:pStyle w:val="8"/>
        <w:spacing w:beforeAutospacing="0" w:afterAutospacing="0"/>
        <w:jc w:val="both"/>
        <w:rPr>
          <w:color w:val="000000" w:themeColor="text1"/>
          <w:highlight w:val="none"/>
          <w14:textFill>
            <w14:solidFill>
              <w14:schemeClr w14:val="tx1"/>
            </w14:solidFill>
          </w14:textFill>
        </w:rPr>
      </w:pPr>
      <w:r>
        <w:rPr>
          <w:rFonts w:hint="eastAsia" w:ascii="黑体" w:hAnsi="宋体" w:eastAsia="黑体" w:cs="黑体"/>
          <w:i/>
          <w:color w:val="000000" w:themeColor="text1"/>
          <w:sz w:val="32"/>
          <w:szCs w:val="32"/>
          <w:highlight w:val="none"/>
          <w:u w:val="single"/>
          <w:lang w:val="en-US" w:eastAsia="zh-CN"/>
          <w14:textFill>
            <w14:solidFill>
              <w14:schemeClr w14:val="tx1"/>
            </w14:solidFill>
          </w14:textFill>
        </w:rPr>
        <w:t>四</w:t>
      </w:r>
      <w:r>
        <w:rPr>
          <w:rFonts w:hint="eastAsia" w:ascii="黑体" w:hAnsi="宋体" w:eastAsia="黑体" w:cs="黑体"/>
          <w:i/>
          <w:color w:val="000000" w:themeColor="text1"/>
          <w:sz w:val="32"/>
          <w:szCs w:val="32"/>
          <w:highlight w:val="none"/>
          <w:u w:val="single"/>
          <w14:textFill>
            <w14:solidFill>
              <w14:schemeClr w14:val="tx1"/>
            </w14:solidFill>
          </w14:textFill>
        </w:rPr>
        <w:t>、依法缴纳税收和社会保障资金的相关材料</w:t>
      </w:r>
    </w:p>
    <w:p w14:paraId="78620386">
      <w:pPr>
        <w:pStyle w:val="8"/>
        <w:spacing w:beforeAutospacing="0" w:afterAutospacing="0"/>
        <w:ind w:firstLine="480"/>
        <w:jc w:val="both"/>
        <w:rPr>
          <w:color w:val="000000" w:themeColor="text1"/>
          <w:highlight w:val="none"/>
          <w14:textFill>
            <w14:solidFill>
              <w14:schemeClr w14:val="tx1"/>
            </w14:solidFill>
          </w14:textFill>
        </w:rPr>
      </w:pPr>
      <w:bookmarkStart w:id="194" w:name="_Toc120614284"/>
      <w:r>
        <w:rPr>
          <w:rFonts w:hint="eastAsia" w:ascii="宋体" w:hAnsi="宋体" w:eastAsia="宋体" w:cs="宋体"/>
          <w:color w:val="000000" w:themeColor="text1"/>
          <w:highlight w:val="none"/>
          <w14:textFill>
            <w14:solidFill>
              <w14:schemeClr w14:val="tx1"/>
            </w14:solidFill>
          </w14:textFill>
        </w:rPr>
        <w:t>提供提交投标文件截止时间前一年内至少一个月依法缴纳税收及缴纳社会保障资金的证明材料。投标人依法享受缓缴、免缴税收、社会保障资金的提供证明材料。</w:t>
      </w:r>
      <w:bookmarkEnd w:id="194"/>
    </w:p>
    <w:p w14:paraId="498319EF">
      <w:pPr>
        <w:pStyle w:val="8"/>
        <w:spacing w:beforeAutospacing="0" w:afterAutospacing="0"/>
        <w:jc w:val="both"/>
        <w:rPr>
          <w:color w:val="000000" w:themeColor="text1"/>
          <w:highlight w:val="none"/>
          <w14:textFill>
            <w14:solidFill>
              <w14:schemeClr w14:val="tx1"/>
            </w14:solidFill>
          </w14:textFill>
        </w:rPr>
      </w:pPr>
      <w:r>
        <w:rPr>
          <w:rFonts w:hint="eastAsia" w:ascii="黑体" w:hAnsi="宋体" w:eastAsia="黑体" w:cs="黑体"/>
          <w:i/>
          <w:color w:val="000000" w:themeColor="text1"/>
          <w:sz w:val="32"/>
          <w:szCs w:val="32"/>
          <w:highlight w:val="none"/>
          <w:u w:val="single"/>
          <w14:textFill>
            <w14:solidFill>
              <w14:schemeClr w14:val="tx1"/>
            </w14:solidFill>
          </w14:textFill>
        </w:rPr>
        <w:t>五、参加政府采购活动前 3 年内在经营活动中没有重大违法记录的书面声明</w:t>
      </w:r>
    </w:p>
    <w:p w14:paraId="2648E379">
      <w:pPr>
        <w:pStyle w:val="8"/>
        <w:spacing w:beforeAutospacing="0" w:afterAutospacing="0" w:line="0" w:lineRule="atLeast"/>
        <w:jc w:val="both"/>
        <w:rPr>
          <w:color w:val="000000" w:themeColor="text1"/>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声  明</w:t>
      </w:r>
    </w:p>
    <w:p w14:paraId="25477364">
      <w:pPr>
        <w:pStyle w:val="8"/>
        <w:spacing w:beforeAutospacing="0" w:afterAutospacing="0" w:line="0" w:lineRule="atLeast"/>
        <w:jc w:val="both"/>
        <w:rPr>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我单位郑重声明：参加本次政府采购活动前 3 年内，我单位在经营活动中没有因违法经营受到刑事处罚或者责令停产停业、吊销许可证或者执照、较大数额罚款等行政处罚。</w:t>
      </w:r>
    </w:p>
    <w:p w14:paraId="6DBD5345">
      <w:pPr>
        <w:pStyle w:val="8"/>
        <w:spacing w:beforeAutospacing="0" w:afterAutospacing="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w:t>
      </w:r>
    </w:p>
    <w:p w14:paraId="55798B14">
      <w:pPr>
        <w:pStyle w:val="8"/>
        <w:spacing w:beforeAutospacing="0" w:afterAutospacing="0"/>
        <w:jc w:val="both"/>
        <w:rPr>
          <w:color w:val="000000" w:themeColor="text1"/>
          <w:highlight w:val="none"/>
          <w14:textFill>
            <w14:solidFill>
              <w14:schemeClr w14:val="tx1"/>
            </w14:solidFill>
          </w14:textFill>
        </w:rPr>
      </w:pPr>
      <w:r>
        <w:rPr>
          <w:rFonts w:hint="eastAsia" w:ascii="黑体" w:hAnsi="宋体" w:eastAsia="黑体" w:cs="黑体"/>
          <w:i/>
          <w:color w:val="000000" w:themeColor="text1"/>
          <w:sz w:val="32"/>
          <w:szCs w:val="32"/>
          <w:highlight w:val="none"/>
          <w:u w:val="single"/>
          <w14:textFill>
            <w14:solidFill>
              <w14:schemeClr w14:val="tx1"/>
            </w14:solidFill>
          </w14:textFill>
        </w:rPr>
        <w:t>六、特定资格要求的证明文件</w:t>
      </w:r>
    </w:p>
    <w:p w14:paraId="1E2CC196">
      <w:pPr>
        <w:pStyle w:val="8"/>
        <w:spacing w:beforeAutospacing="0" w:afterAutospacing="0" w:line="0" w:lineRule="atLeast"/>
        <w:jc w:val="both"/>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如果本项目申请人的特定资格要求中要求提供的，必须提供。</w:t>
      </w:r>
    </w:p>
    <w:p w14:paraId="6228CE0D">
      <w:pPr>
        <w:pStyle w:val="8"/>
        <w:spacing w:beforeAutospacing="0" w:afterAutospacing="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w:t>
      </w:r>
    </w:p>
    <w:p w14:paraId="3092E34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4BC24C7">
      <w:pPr>
        <w:pStyle w:val="8"/>
        <w:spacing w:beforeAutospacing="0" w:afterAutospacing="0"/>
        <w:jc w:val="center"/>
        <w:rPr>
          <w:color w:val="000000" w:themeColor="text1"/>
          <w14:textFill>
            <w14:solidFill>
              <w14:schemeClr w14:val="tx1"/>
            </w14:solidFill>
          </w14:textFill>
        </w:rPr>
      </w:pPr>
      <w:r>
        <w:rPr>
          <w:rFonts w:hint="eastAsia" w:ascii="黑体" w:hAnsi="宋体" w:eastAsia="黑体" w:cs="黑体"/>
          <w:i/>
          <w:color w:val="000000" w:themeColor="text1"/>
          <w:sz w:val="32"/>
          <w:szCs w:val="32"/>
          <w:u w:val="single"/>
          <w14:textFill>
            <w14:solidFill>
              <w14:schemeClr w14:val="tx1"/>
            </w14:solidFill>
          </w14:textFill>
        </w:rPr>
        <w:t>七、法人授权书</w:t>
      </w:r>
    </w:p>
    <w:p w14:paraId="524C42A8">
      <w:pPr>
        <w:pStyle w:val="8"/>
        <w:keepNext w:val="0"/>
        <w:keepLines w:val="0"/>
        <w:pageBreakBefore w:val="0"/>
        <w:widowControl w:val="0"/>
        <w:tabs>
          <w:tab w:val="left" w:pos="360"/>
        </w:tabs>
        <w:kinsoku/>
        <w:wordWrap/>
        <w:overflowPunct/>
        <w:topLinePunct w:val="0"/>
        <w:autoSpaceDE/>
        <w:autoSpaceDN/>
        <w:bidi w:val="0"/>
        <w:adjustRightInd/>
        <w:snapToGrid/>
        <w:spacing w:beforeAutospacing="0" w:afterAutospacing="0" w:line="600" w:lineRule="exact"/>
        <w:ind w:firstLine="480"/>
        <w:jc w:val="both"/>
        <w:textAlignment w:val="auto"/>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本授权书声明：____________（投标人名称）授权________________（被授权人的姓名）为我方就JSZC-</w:t>
      </w:r>
      <w:r>
        <w:rPr>
          <w:rFonts w:ascii="Times New Roman" w:hAnsi="Times New Roman"/>
          <w:color w:val="000000" w:themeColor="text1"/>
          <w:u w:val="single"/>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号</w:t>
      </w:r>
      <w:r>
        <w:rPr>
          <w:rFonts w:hint="eastAsia" w:ascii="Times New Roman" w:hAnsi="Times New Roman"/>
          <w:color w:val="000000" w:themeColor="text1"/>
          <w:u w:val="single"/>
          <w:lang w:val="en-US" w:eastAsia="zh-CN"/>
          <w14:textFill>
            <w14:solidFill>
              <w14:schemeClr w14:val="tx1"/>
            </w14:solidFill>
          </w14:textFill>
        </w:rPr>
        <w:t>射阳县高级中学物业服务</w:t>
      </w:r>
      <w:r>
        <w:rPr>
          <w:rFonts w:ascii="Times New Roman" w:hAnsi="Times New Roman"/>
          <w:color w:val="000000" w:themeColor="text1"/>
          <w:u w:val="single"/>
          <w14:textFill>
            <w14:solidFill>
              <w14:schemeClr w14:val="tx1"/>
            </w14:solidFill>
          </w14:textFill>
        </w:rPr>
        <w:t>项目</w:t>
      </w:r>
      <w:r>
        <w:rPr>
          <w:rFonts w:ascii="Times New Roman" w:hAnsi="Times New Roman"/>
          <w:color w:val="000000" w:themeColor="text1"/>
          <w14:textFill>
            <w14:solidFill>
              <w14:schemeClr w14:val="tx1"/>
            </w14:solidFill>
          </w14:textFill>
        </w:rPr>
        <w:t>采购活动的合法代理人，以本单位名义全权处理一切与该项目采购有关的事务。</w:t>
      </w:r>
    </w:p>
    <w:p w14:paraId="7F416FA9">
      <w:pPr>
        <w:pStyle w:val="8"/>
        <w:keepNext w:val="0"/>
        <w:keepLines w:val="0"/>
        <w:pageBreakBefore w:val="0"/>
        <w:widowControl w:val="0"/>
        <w:tabs>
          <w:tab w:val="left" w:pos="360"/>
        </w:tabs>
        <w:kinsoku/>
        <w:wordWrap/>
        <w:overflowPunct/>
        <w:topLinePunct w:val="0"/>
        <w:autoSpaceDE/>
        <w:autoSpaceDN/>
        <w:bidi w:val="0"/>
        <w:adjustRightInd/>
        <w:snapToGrid/>
        <w:spacing w:beforeAutospacing="0" w:afterAutospacing="0" w:line="600" w:lineRule="exact"/>
        <w:ind w:firstLine="480"/>
        <w:jc w:val="both"/>
        <w:textAlignment w:val="auto"/>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本授权书于______年____月____日起生效，特此声明。</w:t>
      </w:r>
    </w:p>
    <w:p w14:paraId="1B99A7A5">
      <w:pPr>
        <w:pStyle w:val="8"/>
        <w:keepNext w:val="0"/>
        <w:keepLines w:val="0"/>
        <w:pageBreakBefore w:val="0"/>
        <w:widowControl w:val="0"/>
        <w:tabs>
          <w:tab w:val="left" w:pos="360"/>
        </w:tabs>
        <w:kinsoku/>
        <w:wordWrap/>
        <w:overflowPunct/>
        <w:topLinePunct w:val="0"/>
        <w:autoSpaceDE/>
        <w:autoSpaceDN/>
        <w:bidi w:val="0"/>
        <w:adjustRightInd/>
        <w:snapToGrid/>
        <w:spacing w:beforeAutospacing="0" w:afterAutospacing="0" w:line="600" w:lineRule="exact"/>
        <w:jc w:val="both"/>
        <w:textAlignment w:val="auto"/>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被授权人身份证号码：</w:t>
      </w:r>
      <w:r>
        <w:rPr>
          <w:rFonts w:ascii="Times New Roman" w:hAnsi="Times New Roman"/>
          <w:color w:val="000000" w:themeColor="text1"/>
          <w:u w:val="single"/>
          <w14:textFill>
            <w14:solidFill>
              <w14:schemeClr w14:val="tx1"/>
            </w14:solidFill>
          </w14:textFill>
        </w:rPr>
        <w:t xml:space="preserve">                              </w:t>
      </w:r>
    </w:p>
    <w:p w14:paraId="196498DE">
      <w:pPr>
        <w:pStyle w:val="8"/>
        <w:keepNext w:val="0"/>
        <w:keepLines w:val="0"/>
        <w:pageBreakBefore w:val="0"/>
        <w:widowControl w:val="0"/>
        <w:tabs>
          <w:tab w:val="left" w:pos="360"/>
        </w:tabs>
        <w:kinsoku/>
        <w:wordWrap/>
        <w:overflowPunct/>
        <w:topLinePunct w:val="0"/>
        <w:autoSpaceDE/>
        <w:autoSpaceDN/>
        <w:bidi w:val="0"/>
        <w:adjustRightInd/>
        <w:snapToGrid/>
        <w:spacing w:beforeAutospacing="0" w:afterAutospacing="0" w:line="600" w:lineRule="exact"/>
        <w:jc w:val="both"/>
        <w:textAlignment w:val="auto"/>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被授权人联系电话：（手机）</w:t>
      </w:r>
      <w:r>
        <w:rPr>
          <w:rFonts w:ascii="Times New Roman" w:hAnsi="Times New Roman"/>
          <w:color w:val="000000" w:themeColor="text1"/>
          <w:u w:val="single"/>
          <w14:textFill>
            <w14:solidFill>
              <w14:schemeClr w14:val="tx1"/>
            </w14:solidFill>
          </w14:textFill>
        </w:rPr>
        <w:t xml:space="preserve">                          </w:t>
      </w:r>
    </w:p>
    <w:p w14:paraId="3D55C987">
      <w:pPr>
        <w:pStyle w:val="8"/>
        <w:keepNext w:val="0"/>
        <w:keepLines w:val="0"/>
        <w:pageBreakBefore w:val="0"/>
        <w:widowControl w:val="0"/>
        <w:tabs>
          <w:tab w:val="left" w:pos="360"/>
        </w:tabs>
        <w:kinsoku/>
        <w:wordWrap/>
        <w:overflowPunct/>
        <w:topLinePunct w:val="0"/>
        <w:autoSpaceDE/>
        <w:autoSpaceDN/>
        <w:bidi w:val="0"/>
        <w:adjustRightInd/>
        <w:snapToGrid/>
        <w:spacing w:beforeAutospacing="0" w:afterAutospacing="0" w:line="600" w:lineRule="exact"/>
        <w:ind w:firstLine="1200"/>
        <w:jc w:val="both"/>
        <w:textAlignment w:val="auto"/>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授权单位名称：</w:t>
      </w:r>
      <w:r>
        <w:rPr>
          <w:rFonts w:ascii="Times New Roman" w:hAnsi="Times New Roman"/>
          <w:color w:val="000000" w:themeColor="text1"/>
          <w:u w:val="single"/>
          <w14:textFill>
            <w14:solidFill>
              <w14:schemeClr w14:val="tx1"/>
            </w14:solidFill>
          </w14:textFill>
        </w:rPr>
        <w:t>（加盖CA电子公章）</w:t>
      </w:r>
    </w:p>
    <w:p w14:paraId="27BCCC61">
      <w:pPr>
        <w:pStyle w:val="8"/>
        <w:keepNext w:val="0"/>
        <w:keepLines w:val="0"/>
        <w:pageBreakBefore w:val="0"/>
        <w:widowControl w:val="0"/>
        <w:tabs>
          <w:tab w:val="left" w:pos="360"/>
        </w:tabs>
        <w:kinsoku/>
        <w:wordWrap/>
        <w:overflowPunct/>
        <w:topLinePunct w:val="0"/>
        <w:autoSpaceDE/>
        <w:autoSpaceDN/>
        <w:bidi w:val="0"/>
        <w:adjustRightInd/>
        <w:snapToGrid/>
        <w:spacing w:beforeAutospacing="0" w:afterAutospacing="0" w:line="600" w:lineRule="exact"/>
        <w:ind w:firstLine="480"/>
        <w:jc w:val="both"/>
        <w:textAlignment w:val="auto"/>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单位地址：</w:t>
      </w:r>
      <w:r>
        <w:rPr>
          <w:rFonts w:ascii="Times New Roman" w:hAnsi="Times New Roman"/>
          <w:color w:val="000000" w:themeColor="text1"/>
          <w:u w:val="single"/>
          <w14:textFill>
            <w14:solidFill>
              <w14:schemeClr w14:val="tx1"/>
            </w14:solidFill>
          </w14:textFill>
        </w:rPr>
        <w:t xml:space="preserve">                                         </w:t>
      </w:r>
    </w:p>
    <w:p w14:paraId="466DE94C">
      <w:pPr>
        <w:pStyle w:val="8"/>
        <w:keepNext w:val="0"/>
        <w:keepLines w:val="0"/>
        <w:pageBreakBefore w:val="0"/>
        <w:widowControl w:val="0"/>
        <w:tabs>
          <w:tab w:val="left" w:pos="360"/>
        </w:tabs>
        <w:kinsoku/>
        <w:wordWrap/>
        <w:overflowPunct/>
        <w:topLinePunct w:val="0"/>
        <w:autoSpaceDE/>
        <w:autoSpaceDN/>
        <w:bidi w:val="0"/>
        <w:adjustRightInd/>
        <w:snapToGrid/>
        <w:spacing w:beforeAutospacing="0" w:afterAutospacing="0" w:line="600" w:lineRule="exact"/>
        <w:ind w:firstLine="480"/>
        <w:jc w:val="both"/>
        <w:textAlignment w:val="auto"/>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日期：</w:t>
      </w:r>
      <w:bookmarkStart w:id="195" w:name="_Hlt26955070"/>
      <w:bookmarkStart w:id="196" w:name="_格式3__银行出具的资信证明"/>
      <w:bookmarkStart w:id="197" w:name="_Hlt26671380"/>
      <w:r>
        <w:rPr>
          <w:rFonts w:ascii="Times New Roman" w:hAnsi="Times New Roman"/>
          <w:color w:val="000000" w:themeColor="text1"/>
          <w:u w:val="single"/>
          <w14:textFill>
            <w14:solidFill>
              <w14:schemeClr w14:val="tx1"/>
            </w14:solidFill>
          </w14:textFill>
        </w:rPr>
        <w:t xml:space="preserve">                                         </w:t>
      </w:r>
    </w:p>
    <w:p w14:paraId="1BABF620">
      <w:pPr>
        <w:pStyle w:val="8"/>
        <w:spacing w:beforeAutospacing="0" w:afterAutospacing="0"/>
        <w:ind w:firstLine="42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2B0FE529">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2E19B58E">
      <w:pPr>
        <w:pStyle w:val="8"/>
        <w:spacing w:beforeAutospacing="0" w:afterAutospacing="0" w:line="0" w:lineRule="atLeast"/>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1CBB02CD">
      <w:pPr>
        <w:pStyle w:val="8"/>
        <w:spacing w:beforeAutospacing="0" w:afterAutospacing="0" w:line="0" w:lineRule="atLeast"/>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71D32C8A">
      <w:pPr>
        <w:pStyle w:val="8"/>
        <w:keepNext/>
        <w:keepLines/>
        <w:spacing w:before="260" w:beforeAutospacing="0" w:after="260" w:afterAutospacing="0" w:line="415" w:lineRule="auto"/>
        <w:ind w:firstLine="3390"/>
        <w:jc w:val="both"/>
        <w:rPr>
          <w:rFonts w:ascii="黑体" w:hAnsi="宋体" w:eastAsia="黑体" w:cs="黑体"/>
          <w:b/>
          <w:color w:val="000000" w:themeColor="text1"/>
          <w:sz w:val="32"/>
          <w:szCs w:val="32"/>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br w:type="page"/>
      </w:r>
      <w:r>
        <w:rPr>
          <w:rFonts w:hint="eastAsia" w:ascii="宋体" w:hAnsi="宋体" w:eastAsia="宋体" w:cs="宋体"/>
          <w:b/>
          <w:color w:val="000000" w:themeColor="text1"/>
          <w14:textFill>
            <w14:solidFill>
              <w14:schemeClr w14:val="tx1"/>
            </w14:solidFill>
          </w14:textFill>
        </w:rPr>
        <w:t> </w:t>
      </w:r>
      <w:r>
        <w:rPr>
          <w:rFonts w:hint="eastAsia" w:ascii="黑体" w:hAnsi="宋体" w:eastAsia="黑体" w:cs="黑体"/>
          <w:b/>
          <w:color w:val="000000" w:themeColor="text1"/>
          <w:sz w:val="32"/>
          <w:szCs w:val="32"/>
          <w14:textFill>
            <w14:solidFill>
              <w14:schemeClr w14:val="tx1"/>
            </w14:solidFill>
          </w14:textFill>
        </w:rPr>
        <w:t>八、投标函</w:t>
      </w:r>
    </w:p>
    <w:p w14:paraId="6F923116">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default" w:eastAsia="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lang w:val="en-US" w:eastAsia="zh-CN"/>
          <w14:textFill>
            <w14:solidFill>
              <w14:schemeClr w14:val="tx1"/>
            </w14:solidFill>
          </w14:textFill>
        </w:rPr>
        <w:t xml:space="preserve">             </w:t>
      </w:r>
    </w:p>
    <w:p w14:paraId="6C7CB666">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根据贵方的JSZC-</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号招标文件，正式授权下述签字人______(姓名)代表我方______________（投标人的名称），全权处理本次项目投标的有关事宜。</w:t>
      </w:r>
    </w:p>
    <w:p w14:paraId="08684AF0">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据此函，__________签字人兹宣布同意如下：</w:t>
      </w:r>
    </w:p>
    <w:p w14:paraId="4754CEB7">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1.按招标文件规定的各项要求，向买方提供所需服务（包含与服务相关的货物）。</w:t>
      </w:r>
    </w:p>
    <w:p w14:paraId="5D511140">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2.我们完全理解贵方不一定将合同授予最低报价的投标人。</w:t>
      </w:r>
    </w:p>
    <w:p w14:paraId="211B22F2">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3.我们已详细审核全部招标文件及其有效补充文件，我们知道必须放弃提出含糊不清或误解问题的权利。</w:t>
      </w:r>
    </w:p>
    <w:p w14:paraId="51502FFB">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4.我们同意从规定的开标日期起遵循本投标文件，并在规定的投标有效期期满之前均具有约束力。</w:t>
      </w:r>
    </w:p>
    <w:p w14:paraId="545B8396">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5.同意向贵方提供贵方可能另外要求的与投标有关的任何证据或资料，并保证我方已提供和将要提供的文件是真实的、准确的。</w:t>
      </w:r>
    </w:p>
    <w:p w14:paraId="76385B47">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6.一旦我方中标,我方将根据招标文件的规定，严格履行合同的责任和义务,并保证在招标文件规定的时间完成项目，交付买方验收、使用。</w:t>
      </w:r>
    </w:p>
    <w:p w14:paraId="634A3189">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7.与本投标有关的正式通讯地址为：</w:t>
      </w:r>
    </w:p>
    <w:p w14:paraId="34DD9A82">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left="420"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w:t>
      </w:r>
    </w:p>
    <w:p w14:paraId="77C3EC1B">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left="420"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邮          编：</w:t>
      </w:r>
    </w:p>
    <w:p w14:paraId="45045978">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left="420"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          话：</w:t>
      </w:r>
    </w:p>
    <w:p w14:paraId="3FBC2D56">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left="420"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传          真：</w:t>
      </w:r>
    </w:p>
    <w:p w14:paraId="3FF5618F">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left="420"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投标人开户行：</w:t>
      </w:r>
    </w:p>
    <w:p w14:paraId="279C4152">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left="420"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账          号： </w:t>
      </w:r>
    </w:p>
    <w:p w14:paraId="0CDD40E6">
      <w:pPr>
        <w:pStyle w:val="8"/>
        <w:keepNext w:val="0"/>
        <w:keepLines w:val="0"/>
        <w:pageBreakBefore w:val="0"/>
        <w:widowControl w:val="0"/>
        <w:kinsoku/>
        <w:wordWrap/>
        <w:overflowPunct/>
        <w:topLinePunct w:val="0"/>
        <w:autoSpaceDE/>
        <w:autoSpaceDN/>
        <w:bidi w:val="0"/>
        <w:adjustRightInd/>
        <w:snapToGrid/>
        <w:spacing w:beforeAutospacing="0" w:afterAutospacing="0" w:line="520" w:lineRule="exact"/>
        <w:ind w:left="420" w:firstLine="48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期：________年____月____日</w:t>
      </w:r>
    </w:p>
    <w:p w14:paraId="6267F7C0">
      <w:pPr>
        <w:pStyle w:val="8"/>
        <w:spacing w:beforeAutospacing="0" w:afterAutospacing="0" w:line="0" w:lineRule="atLeast"/>
        <w:ind w:firstLine="24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741EC7B5">
      <w:pPr>
        <w:pStyle w:val="8"/>
        <w:spacing w:beforeAutospacing="0" w:afterAutospacing="0" w:line="0" w:lineRule="atLeast"/>
        <w:ind w:firstLine="24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79DABFE9">
      <w:pPr>
        <w:pStyle w:val="8"/>
        <w:spacing w:beforeAutospacing="0" w:afterAutospacing="0" w:line="0" w:lineRule="atLeast"/>
        <w:ind w:firstLine="24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26BF49BD">
      <w:pPr>
        <w:pStyle w:val="8"/>
        <w:spacing w:beforeAutospacing="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382FF86C">
      <w:pPr>
        <w:spacing w:before="182" w:line="215" w:lineRule="auto"/>
        <w:ind w:left="2523"/>
        <w:rPr>
          <w:rFonts w:ascii="黑体" w:hAnsi="黑体" w:eastAsia="黑体" w:cs="黑体"/>
          <w:color w:val="000000" w:themeColor="text1"/>
          <w:sz w:val="33"/>
          <w:szCs w:val="33"/>
          <w14:textFill>
            <w14:solidFill>
              <w14:schemeClr w14:val="tx1"/>
            </w14:solidFill>
          </w14:textFill>
        </w:rPr>
      </w:pPr>
      <w:r>
        <w:rPr>
          <w:rFonts w:ascii="黑体" w:hAnsi="黑体" w:eastAsia="黑体" w:cs="黑体"/>
          <w:i/>
          <w:iCs/>
          <w:color w:val="000000" w:themeColor="text1"/>
          <w:spacing w:val="-3"/>
          <w:sz w:val="33"/>
          <w:szCs w:val="33"/>
          <w:u w:val="single"/>
          <w14:textFill>
            <w14:solidFill>
              <w14:schemeClr w14:val="tx1"/>
            </w14:solidFill>
          </w14:textFill>
        </w:rPr>
        <w:t>九、中小企业声明函（服务）</w:t>
      </w:r>
    </w:p>
    <w:p w14:paraId="4D9B8E69">
      <w:pPr>
        <w:pStyle w:val="3"/>
        <w:spacing w:line="306" w:lineRule="auto"/>
        <w:rPr>
          <w:color w:val="000000" w:themeColor="text1"/>
          <w14:textFill>
            <w14:solidFill>
              <w14:schemeClr w14:val="tx1"/>
            </w14:solidFill>
          </w14:textFill>
        </w:rPr>
      </w:pPr>
    </w:p>
    <w:p w14:paraId="3B367B2D">
      <w:pPr>
        <w:spacing w:before="78" w:line="379" w:lineRule="auto"/>
        <w:ind w:left="14" w:firstLine="475"/>
        <w:rPr>
          <w:rFonts w:ascii="宋体" w:hAnsi="宋体" w:eastAsia="宋体" w:cs="宋体"/>
          <w:color w:val="000000" w:themeColor="text1"/>
          <w:spacing w:val="6"/>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本公司（联合体）郑重声明，根据《政府采购</w:t>
      </w:r>
      <w:r>
        <w:rPr>
          <w:rFonts w:ascii="宋体" w:hAnsi="宋体" w:eastAsia="宋体" w:cs="宋体"/>
          <w:color w:val="000000" w:themeColor="text1"/>
          <w:spacing w:val="6"/>
          <w:sz w:val="24"/>
          <w:szCs w:val="24"/>
          <w14:textFill>
            <w14:solidFill>
              <w14:schemeClr w14:val="tx1"/>
            </w14:solidFill>
          </w14:textFill>
        </w:rPr>
        <w:t>促进中小企业发展管理办法》</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（财库﹝2020﹞46 号）的规定，本公司（联合体</w:t>
      </w:r>
      <w:r>
        <w:rPr>
          <w:rFonts w:ascii="宋体" w:hAnsi="宋体" w:eastAsia="宋体" w:cs="宋体"/>
          <w:color w:val="000000" w:themeColor="text1"/>
          <w:spacing w:val="2"/>
          <w:sz w:val="24"/>
          <w:szCs w:val="24"/>
          <w14:textFill>
            <w14:solidFill>
              <w14:schemeClr w14:val="tx1"/>
            </w14:solidFill>
          </w14:textFill>
        </w:rPr>
        <w:t>）参加</w:t>
      </w:r>
      <w:r>
        <w:rPr>
          <w:rFonts w:hint="eastAsia" w:ascii="宋体" w:hAnsi="宋体" w:eastAsia="宋体" w:cs="宋体"/>
          <w:color w:val="000000" w:themeColor="text1"/>
          <w:spacing w:val="2"/>
          <w:sz w:val="24"/>
          <w:szCs w:val="24"/>
          <w:lang w:val="en-US" w:eastAsia="zh-CN"/>
          <w14:textFill>
            <w14:solidFill>
              <w14:schemeClr w14:val="tx1"/>
            </w14:solidFill>
          </w14:textFill>
        </w:rPr>
        <w:t>射阳县行政服务</w:t>
      </w:r>
      <w:r>
        <w:rPr>
          <w:rFonts w:ascii="宋体" w:hAnsi="宋体" w:eastAsia="宋体" w:cs="宋体"/>
          <w:color w:val="000000" w:themeColor="text1"/>
          <w:spacing w:val="2"/>
          <w:sz w:val="24"/>
          <w:szCs w:val="24"/>
          <w14:textFill>
            <w14:solidFill>
              <w14:schemeClr w14:val="tx1"/>
            </w14:solidFill>
          </w14:textFill>
        </w:rPr>
        <w:t>中心组织</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的采购编号为</w:t>
      </w:r>
      <w:r>
        <w:rPr>
          <w:rFonts w:hint="eastAsia" w:ascii="宋体" w:hAnsi="宋体" w:eastAsia="宋体" w:cs="宋体"/>
          <w:color w:val="000000" w:themeColor="text1"/>
          <w:spacing w:val="6"/>
          <w:sz w:val="24"/>
          <w:szCs w:val="24"/>
          <w:u w:val="single"/>
          <w:lang w:val="en-US" w:eastAsia="zh-CN"/>
          <w14:textFill>
            <w14:solidFill>
              <w14:schemeClr w14:val="tx1"/>
            </w14:solidFill>
          </w14:textFill>
        </w:rPr>
        <w:t>JSZC-320924-JZCG-G2025-0012</w:t>
      </w:r>
      <w:r>
        <w:rPr>
          <w:rFonts w:ascii="宋体" w:hAnsi="宋体" w:eastAsia="宋体" w:cs="宋体"/>
          <w:color w:val="000000" w:themeColor="text1"/>
          <w:spacing w:val="1"/>
          <w:sz w:val="24"/>
          <w:szCs w:val="24"/>
          <w14:textFill>
            <w14:solidFill>
              <w14:schemeClr w14:val="tx1"/>
            </w14:solidFill>
          </w14:textFill>
        </w:rPr>
        <w:t>的</w:t>
      </w:r>
      <w:r>
        <w:rPr>
          <w:rFonts w:hint="eastAsia" w:ascii="宋体" w:hAnsi="宋体" w:eastAsia="宋体" w:cs="宋体"/>
          <w:color w:val="000000" w:themeColor="text1"/>
          <w:spacing w:val="6"/>
          <w:sz w:val="24"/>
          <w:szCs w:val="24"/>
          <w:u w:val="single"/>
          <w:lang w:val="en-US" w:eastAsia="zh-CN"/>
          <w14:textFill>
            <w14:solidFill>
              <w14:schemeClr w14:val="tx1"/>
            </w14:solidFill>
          </w14:textFill>
        </w:rPr>
        <w:t xml:space="preserve"> 射阳县高级中学物业服务项目 </w:t>
      </w:r>
      <w:r>
        <w:rPr>
          <w:rFonts w:ascii="宋体" w:hAnsi="宋体" w:eastAsia="宋体" w:cs="宋体"/>
          <w:color w:val="000000" w:themeColor="text1"/>
          <w:spacing w:val="6"/>
          <w:sz w:val="24"/>
          <w:szCs w:val="24"/>
          <w14:textFill>
            <w14:solidFill>
              <w14:schemeClr w14:val="tx1"/>
            </w14:solidFill>
          </w14:textFill>
        </w:rPr>
        <w:t>的采购活动，服务全部由符合政策要求的中小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58062CD1">
      <w:pPr>
        <w:spacing w:before="35" w:line="361" w:lineRule="auto"/>
        <w:ind w:left="10" w:right="2" w:firstLine="49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 xml:space="preserve">1. </w:t>
      </w:r>
      <w:r>
        <w:rPr>
          <w:rFonts w:ascii="宋体" w:hAnsi="宋体" w:eastAsia="宋体" w:cs="宋体"/>
          <w:color w:val="000000" w:themeColor="text1"/>
          <w:spacing w:val="-103"/>
          <w:sz w:val="25"/>
          <w:szCs w:val="25"/>
          <w:u w:val="single"/>
          <w14:textFill>
            <w14:solidFill>
              <w14:schemeClr w14:val="tx1"/>
            </w14:solidFill>
          </w14:textFill>
        </w:rPr>
        <w:t xml:space="preserve"> </w:t>
      </w:r>
      <w:r>
        <w:rPr>
          <w:rFonts w:ascii="宋体" w:hAnsi="宋体" w:eastAsia="宋体" w:cs="宋体"/>
          <w:i/>
          <w:iCs/>
          <w:color w:val="000000" w:themeColor="text1"/>
          <w:spacing w:val="-4"/>
          <w:sz w:val="25"/>
          <w:szCs w:val="25"/>
          <w:u w:val="single"/>
          <w14:textFill>
            <w14:solidFill>
              <w14:schemeClr w14:val="tx1"/>
            </w14:solidFill>
          </w14:textFill>
        </w:rPr>
        <w:t>（标的名称</w:t>
      </w:r>
      <w:r>
        <w:rPr>
          <w:rFonts w:ascii="宋体" w:hAnsi="宋体" w:eastAsia="宋体" w:cs="宋体"/>
          <w:i/>
          <w:iCs/>
          <w:color w:val="000000" w:themeColor="text1"/>
          <w:spacing w:val="-39"/>
          <w:sz w:val="25"/>
          <w:szCs w:val="25"/>
          <w:u w:val="single"/>
          <w14:textFill>
            <w14:solidFill>
              <w14:schemeClr w14:val="tx1"/>
            </w14:solidFill>
          </w14:textFill>
        </w:rPr>
        <w:t>）</w:t>
      </w:r>
      <w:r>
        <w:rPr>
          <w:rFonts w:ascii="宋体" w:hAnsi="宋体" w:eastAsia="宋体" w:cs="宋体"/>
          <w:color w:val="000000" w:themeColor="text1"/>
          <w:spacing w:val="24"/>
          <w:sz w:val="25"/>
          <w:szCs w:val="25"/>
          <w14:textFill>
            <w14:solidFill>
              <w14:schemeClr w14:val="tx1"/>
            </w14:solidFill>
          </w14:textFill>
        </w:rPr>
        <w:t xml:space="preserve"> </w:t>
      </w:r>
      <w:r>
        <w:rPr>
          <w:rFonts w:ascii="宋体" w:hAnsi="宋体" w:eastAsia="宋体" w:cs="宋体"/>
          <w:color w:val="000000" w:themeColor="text1"/>
          <w:spacing w:val="-39"/>
          <w:sz w:val="24"/>
          <w:szCs w:val="24"/>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属于</w:t>
      </w:r>
      <w:r>
        <w:rPr>
          <w:rFonts w:ascii="宋体" w:hAnsi="宋体" w:eastAsia="宋体" w:cs="宋体"/>
          <w:i/>
          <w:iCs/>
          <w:color w:val="000000" w:themeColor="text1"/>
          <w:spacing w:val="-4"/>
          <w:sz w:val="25"/>
          <w:szCs w:val="25"/>
          <w:u w:val="single"/>
          <w14:textFill>
            <w14:solidFill>
              <w14:schemeClr w14:val="tx1"/>
            </w14:solidFill>
          </w14:textFill>
        </w:rPr>
        <w:t>（采购文件中明确的所属行业</w:t>
      </w:r>
      <w:r>
        <w:rPr>
          <w:rFonts w:ascii="宋体" w:hAnsi="宋体" w:eastAsia="宋体" w:cs="宋体"/>
          <w:i/>
          <w:iCs/>
          <w:color w:val="000000" w:themeColor="text1"/>
          <w:spacing w:val="-39"/>
          <w:sz w:val="25"/>
          <w:szCs w:val="25"/>
          <w:u w:val="single"/>
          <w14:textFill>
            <w14:solidFill>
              <w14:schemeClr w14:val="tx1"/>
            </w14:solidFill>
          </w14:textFill>
        </w:rPr>
        <w:t>）</w:t>
      </w:r>
      <w:r>
        <w:rPr>
          <w:rFonts w:ascii="宋体" w:hAnsi="宋体" w:eastAsia="宋体" w:cs="宋体"/>
          <w:color w:val="000000" w:themeColor="text1"/>
          <w:spacing w:val="-39"/>
          <w:sz w:val="24"/>
          <w:szCs w:val="24"/>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承建（承接）企业</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为</w:t>
      </w:r>
      <w:r>
        <w:rPr>
          <w:rFonts w:ascii="宋体" w:hAnsi="宋体" w:eastAsia="宋体" w:cs="宋体"/>
          <w:i/>
          <w:iCs/>
          <w:color w:val="000000" w:themeColor="text1"/>
          <w:spacing w:val="-1"/>
          <w:sz w:val="25"/>
          <w:szCs w:val="25"/>
          <w:u w:val="single"/>
          <w14:textFill>
            <w14:solidFill>
              <w14:schemeClr w14:val="tx1"/>
            </w14:solidFill>
          </w14:textFill>
        </w:rPr>
        <w:t>（企业名称</w:t>
      </w:r>
      <w:r>
        <w:rPr>
          <w:rFonts w:ascii="宋体" w:hAnsi="宋体" w:eastAsia="宋体" w:cs="宋体"/>
          <w:i/>
          <w:iCs/>
          <w:color w:val="000000" w:themeColor="text1"/>
          <w:spacing w:val="-32"/>
          <w:sz w:val="25"/>
          <w:szCs w:val="25"/>
          <w:u w:val="single"/>
          <w14:textFill>
            <w14:solidFill>
              <w14:schemeClr w14:val="tx1"/>
            </w14:solidFill>
          </w14:textFill>
        </w:rPr>
        <w:t>）</w:t>
      </w:r>
      <w:r>
        <w:rPr>
          <w:rFonts w:ascii="宋体" w:hAnsi="宋体" w:eastAsia="宋体" w:cs="宋体"/>
          <w:color w:val="000000" w:themeColor="text1"/>
          <w:spacing w:val="-32"/>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从业人员</w:t>
      </w:r>
      <w:r>
        <w:rPr>
          <w:rFonts w:ascii="宋体" w:hAnsi="宋体" w:eastAsia="宋体" w:cs="宋体"/>
          <w:color w:val="000000" w:themeColor="text1"/>
          <w:spacing w:val="-1"/>
          <w:sz w:val="24"/>
          <w:szCs w:val="24"/>
          <w:u w:val="single"/>
          <w14:textFill>
            <w14:solidFill>
              <w14:schemeClr w14:val="tx1"/>
            </w14:solidFill>
          </w14:textFill>
        </w:rPr>
        <w:t xml:space="preserve">    </w:t>
      </w:r>
      <w:r>
        <w:rPr>
          <w:rFonts w:ascii="宋体" w:hAnsi="宋体" w:eastAsia="宋体" w:cs="宋体"/>
          <w:color w:val="000000" w:themeColor="text1"/>
          <w:spacing w:val="-108"/>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人，营业收入为</w:t>
      </w:r>
      <w:r>
        <w:rPr>
          <w:rFonts w:ascii="宋体" w:hAnsi="宋体" w:eastAsia="宋体" w:cs="宋体"/>
          <w:color w:val="000000" w:themeColor="text1"/>
          <w:spacing w:val="-1"/>
          <w:sz w:val="24"/>
          <w:szCs w:val="24"/>
          <w:u w:val="single"/>
          <w14:textFill>
            <w14:solidFill>
              <w14:schemeClr w14:val="tx1"/>
            </w14:solidFill>
          </w14:textFill>
        </w:rPr>
        <w:t xml:space="preserve">    </w:t>
      </w:r>
      <w:r>
        <w:rPr>
          <w:rFonts w:ascii="宋体" w:hAnsi="宋体" w:eastAsia="宋体" w:cs="宋体"/>
          <w:color w:val="000000" w:themeColor="text1"/>
          <w:spacing w:val="-10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万元，资</w:t>
      </w:r>
      <w:r>
        <w:rPr>
          <w:rFonts w:ascii="宋体" w:hAnsi="宋体" w:eastAsia="宋体" w:cs="宋体"/>
          <w:color w:val="000000" w:themeColor="text1"/>
          <w:spacing w:val="-2"/>
          <w:sz w:val="24"/>
          <w:szCs w:val="24"/>
          <w14:textFill>
            <w14:solidFill>
              <w14:schemeClr w14:val="tx1"/>
            </w14:solidFill>
          </w14:textFill>
        </w:rPr>
        <w:t>产总额为</w:t>
      </w:r>
      <w:r>
        <w:rPr>
          <w:rFonts w:ascii="宋体" w:hAnsi="宋体" w:eastAsia="宋体" w:cs="宋体"/>
          <w:color w:val="000000" w:themeColor="text1"/>
          <w:spacing w:val="-2"/>
          <w:sz w:val="24"/>
          <w:szCs w:val="24"/>
          <w:u w:val="single"/>
          <w14:textFill>
            <w14:solidFill>
              <w14:schemeClr w14:val="tx1"/>
            </w14:solidFill>
          </w14:textFill>
        </w:rPr>
        <w:t xml:space="preserve">    </w:t>
      </w:r>
      <w:r>
        <w:rPr>
          <w:rFonts w:ascii="宋体" w:hAnsi="宋体" w:eastAsia="宋体" w:cs="宋体"/>
          <w:color w:val="000000" w:themeColor="text1"/>
          <w:spacing w:val="-105"/>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万元，</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9"/>
          <w:sz w:val="24"/>
          <w:szCs w:val="24"/>
          <w14:textFill>
            <w14:solidFill>
              <w14:schemeClr w14:val="tx1"/>
            </w14:solidFill>
          </w14:textFill>
        </w:rPr>
        <w:t>属于（</w:t>
      </w:r>
      <w:r>
        <w:rPr>
          <w:rFonts w:ascii="宋体" w:hAnsi="宋体" w:eastAsia="宋体" w:cs="宋体"/>
          <w:color w:val="000000" w:themeColor="text1"/>
          <w:spacing w:val="-85"/>
          <w:sz w:val="24"/>
          <w:szCs w:val="24"/>
          <w14:textFill>
            <w14:solidFill>
              <w14:schemeClr w14:val="tx1"/>
            </w14:solidFill>
          </w14:textFill>
        </w:rPr>
        <w:t xml:space="preserve"> </w:t>
      </w:r>
      <w:r>
        <w:rPr>
          <w:rFonts w:ascii="宋体" w:hAnsi="宋体" w:eastAsia="宋体" w:cs="宋体"/>
          <w:color w:val="000000" w:themeColor="text1"/>
          <w:spacing w:val="-104"/>
          <w:sz w:val="25"/>
          <w:szCs w:val="25"/>
          <w:u w:val="single"/>
          <w14:textFill>
            <w14:solidFill>
              <w14:schemeClr w14:val="tx1"/>
            </w14:solidFill>
          </w14:textFill>
        </w:rPr>
        <w:t xml:space="preserve"> </w:t>
      </w:r>
      <w:r>
        <w:rPr>
          <w:rFonts w:ascii="宋体" w:hAnsi="宋体" w:eastAsia="宋体" w:cs="宋体"/>
          <w:i/>
          <w:iCs/>
          <w:color w:val="000000" w:themeColor="text1"/>
          <w:spacing w:val="-9"/>
          <w:sz w:val="25"/>
          <w:szCs w:val="25"/>
          <w:u w:val="single"/>
          <w14:textFill>
            <w14:solidFill>
              <w14:schemeClr w14:val="tx1"/>
            </w14:solidFill>
          </w14:textFill>
        </w:rPr>
        <w:t>中型企业、小型企业、微型企</w:t>
      </w:r>
      <w:r>
        <w:rPr>
          <w:rFonts w:ascii="宋体" w:hAnsi="宋体" w:eastAsia="宋体" w:cs="宋体"/>
          <w:i/>
          <w:iCs/>
          <w:color w:val="000000" w:themeColor="text1"/>
          <w:spacing w:val="-9"/>
          <w:sz w:val="25"/>
          <w:szCs w:val="25"/>
          <w14:textFill>
            <w14:solidFill>
              <w14:schemeClr w14:val="tx1"/>
            </w14:solidFill>
          </w14:textFill>
        </w:rPr>
        <w:t>业</w:t>
      </w:r>
      <w:r>
        <w:rPr>
          <w:rFonts w:ascii="宋体" w:hAnsi="宋体" w:eastAsia="宋体" w:cs="宋体"/>
          <w:color w:val="000000" w:themeColor="text1"/>
          <w:spacing w:val="-28"/>
          <w:sz w:val="24"/>
          <w:szCs w:val="24"/>
          <w14:textFill>
            <w14:solidFill>
              <w14:schemeClr w14:val="tx1"/>
            </w14:solidFill>
          </w14:textFill>
        </w:rPr>
        <w:t>）；</w:t>
      </w:r>
    </w:p>
    <w:p w14:paraId="3E596C75">
      <w:pPr>
        <w:spacing w:before="33" w:line="361" w:lineRule="auto"/>
        <w:ind w:left="10" w:right="2"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 xml:space="preserve">2. </w:t>
      </w:r>
      <w:r>
        <w:rPr>
          <w:rFonts w:ascii="宋体" w:hAnsi="宋体" w:eastAsia="宋体" w:cs="宋体"/>
          <w:color w:val="000000" w:themeColor="text1"/>
          <w:spacing w:val="-104"/>
          <w:sz w:val="25"/>
          <w:szCs w:val="25"/>
          <w:u w:val="single"/>
          <w14:textFill>
            <w14:solidFill>
              <w14:schemeClr w14:val="tx1"/>
            </w14:solidFill>
          </w14:textFill>
        </w:rPr>
        <w:t xml:space="preserve"> </w:t>
      </w:r>
      <w:r>
        <w:rPr>
          <w:rFonts w:ascii="宋体" w:hAnsi="宋体" w:eastAsia="宋体" w:cs="宋体"/>
          <w:i/>
          <w:iCs/>
          <w:color w:val="000000" w:themeColor="text1"/>
          <w:spacing w:val="-3"/>
          <w:sz w:val="25"/>
          <w:szCs w:val="25"/>
          <w:u w:val="single"/>
          <w14:textFill>
            <w14:solidFill>
              <w14:schemeClr w14:val="tx1"/>
            </w14:solidFill>
          </w14:textFill>
        </w:rPr>
        <w:t>（标的名称</w:t>
      </w:r>
      <w:r>
        <w:rPr>
          <w:rFonts w:ascii="宋体" w:hAnsi="宋体" w:eastAsia="宋体" w:cs="宋体"/>
          <w:i/>
          <w:iCs/>
          <w:color w:val="000000" w:themeColor="text1"/>
          <w:spacing w:val="-40"/>
          <w:sz w:val="25"/>
          <w:szCs w:val="25"/>
          <w:u w:val="single"/>
          <w14:textFill>
            <w14:solidFill>
              <w14:schemeClr w14:val="tx1"/>
            </w14:solidFill>
          </w14:textFill>
        </w:rPr>
        <w:t>）</w:t>
      </w:r>
      <w:r>
        <w:rPr>
          <w:rFonts w:ascii="宋体" w:hAnsi="宋体" w:eastAsia="宋体" w:cs="宋体"/>
          <w:color w:val="000000" w:themeColor="text1"/>
          <w:spacing w:val="24"/>
          <w:sz w:val="25"/>
          <w:szCs w:val="25"/>
          <w14:textFill>
            <w14:solidFill>
              <w14:schemeClr w14:val="tx1"/>
            </w14:solidFill>
          </w14:textFill>
        </w:rPr>
        <w:t xml:space="preserve"> </w:t>
      </w:r>
      <w:r>
        <w:rPr>
          <w:rFonts w:ascii="宋体" w:hAnsi="宋体" w:eastAsia="宋体" w:cs="宋体"/>
          <w:color w:val="000000" w:themeColor="text1"/>
          <w:spacing w:val="-40"/>
          <w:sz w:val="24"/>
          <w:szCs w:val="24"/>
          <w14:textFill>
            <w14:solidFill>
              <w14:schemeClr w14:val="tx1"/>
            </w14:solidFill>
          </w14:textFill>
        </w:rPr>
        <w:t>，</w:t>
      </w:r>
      <w:r>
        <w:rPr>
          <w:rFonts w:ascii="宋体" w:hAnsi="宋体" w:eastAsia="宋体" w:cs="宋体"/>
          <w:color w:val="000000" w:themeColor="text1"/>
          <w:spacing w:val="-3"/>
          <w:sz w:val="24"/>
          <w:szCs w:val="24"/>
          <w14:textFill>
            <w14:solidFill>
              <w14:schemeClr w14:val="tx1"/>
            </w14:solidFill>
          </w14:textFill>
        </w:rPr>
        <w:t>属于</w:t>
      </w:r>
      <w:r>
        <w:rPr>
          <w:rFonts w:ascii="宋体" w:hAnsi="宋体" w:eastAsia="宋体" w:cs="宋体"/>
          <w:i/>
          <w:iCs/>
          <w:color w:val="000000" w:themeColor="text1"/>
          <w:spacing w:val="-3"/>
          <w:sz w:val="25"/>
          <w:szCs w:val="25"/>
          <w:u w:val="single"/>
          <w14:textFill>
            <w14:solidFill>
              <w14:schemeClr w14:val="tx1"/>
            </w14:solidFill>
          </w14:textFill>
        </w:rPr>
        <w:t>（采购文件中明确的所</w:t>
      </w:r>
      <w:r>
        <w:rPr>
          <w:rFonts w:ascii="宋体" w:hAnsi="宋体" w:eastAsia="宋体" w:cs="宋体"/>
          <w:i/>
          <w:iCs/>
          <w:color w:val="000000" w:themeColor="text1"/>
          <w:spacing w:val="-4"/>
          <w:sz w:val="25"/>
          <w:szCs w:val="25"/>
          <w:u w:val="single"/>
          <w14:textFill>
            <w14:solidFill>
              <w14:schemeClr w14:val="tx1"/>
            </w14:solidFill>
          </w14:textFill>
        </w:rPr>
        <w:t>属行业</w:t>
      </w:r>
      <w:r>
        <w:rPr>
          <w:rFonts w:ascii="宋体" w:hAnsi="宋体" w:eastAsia="宋体" w:cs="宋体"/>
          <w:i/>
          <w:iCs/>
          <w:color w:val="000000" w:themeColor="text1"/>
          <w:spacing w:val="-40"/>
          <w:sz w:val="25"/>
          <w:szCs w:val="25"/>
          <w:u w:val="single"/>
          <w14:textFill>
            <w14:solidFill>
              <w14:schemeClr w14:val="tx1"/>
            </w14:solidFill>
          </w14:textFill>
        </w:rPr>
        <w:t>）</w:t>
      </w:r>
      <w:r>
        <w:rPr>
          <w:rFonts w:ascii="宋体" w:hAnsi="宋体" w:eastAsia="宋体" w:cs="宋体"/>
          <w:color w:val="000000" w:themeColor="text1"/>
          <w:spacing w:val="-40"/>
          <w:sz w:val="24"/>
          <w:szCs w:val="24"/>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承建（承接）企业</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为</w:t>
      </w:r>
      <w:r>
        <w:rPr>
          <w:rFonts w:ascii="宋体" w:hAnsi="宋体" w:eastAsia="宋体" w:cs="宋体"/>
          <w:i/>
          <w:iCs/>
          <w:color w:val="000000" w:themeColor="text1"/>
          <w:spacing w:val="-1"/>
          <w:sz w:val="25"/>
          <w:szCs w:val="25"/>
          <w:u w:val="single"/>
          <w14:textFill>
            <w14:solidFill>
              <w14:schemeClr w14:val="tx1"/>
            </w14:solidFill>
          </w14:textFill>
        </w:rPr>
        <w:t>（企业名称</w:t>
      </w:r>
      <w:r>
        <w:rPr>
          <w:rFonts w:ascii="宋体" w:hAnsi="宋体" w:eastAsia="宋体" w:cs="宋体"/>
          <w:i/>
          <w:iCs/>
          <w:color w:val="000000" w:themeColor="text1"/>
          <w:spacing w:val="-32"/>
          <w:sz w:val="25"/>
          <w:szCs w:val="25"/>
          <w:u w:val="single"/>
          <w14:textFill>
            <w14:solidFill>
              <w14:schemeClr w14:val="tx1"/>
            </w14:solidFill>
          </w14:textFill>
        </w:rPr>
        <w:t>）</w:t>
      </w:r>
      <w:r>
        <w:rPr>
          <w:rFonts w:ascii="宋体" w:hAnsi="宋体" w:eastAsia="宋体" w:cs="宋体"/>
          <w:color w:val="000000" w:themeColor="text1"/>
          <w:spacing w:val="-32"/>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从业人员</w:t>
      </w:r>
      <w:r>
        <w:rPr>
          <w:rFonts w:ascii="宋体" w:hAnsi="宋体" w:eastAsia="宋体" w:cs="宋体"/>
          <w:color w:val="000000" w:themeColor="text1"/>
          <w:spacing w:val="-1"/>
          <w:sz w:val="24"/>
          <w:szCs w:val="24"/>
          <w:u w:val="single"/>
          <w14:textFill>
            <w14:solidFill>
              <w14:schemeClr w14:val="tx1"/>
            </w14:solidFill>
          </w14:textFill>
        </w:rPr>
        <w:t xml:space="preserve">    </w:t>
      </w:r>
      <w:r>
        <w:rPr>
          <w:rFonts w:ascii="宋体" w:hAnsi="宋体" w:eastAsia="宋体" w:cs="宋体"/>
          <w:color w:val="000000" w:themeColor="text1"/>
          <w:spacing w:val="-108"/>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人，营业收入为</w:t>
      </w:r>
      <w:r>
        <w:rPr>
          <w:rFonts w:ascii="宋体" w:hAnsi="宋体" w:eastAsia="宋体" w:cs="宋体"/>
          <w:color w:val="000000" w:themeColor="text1"/>
          <w:spacing w:val="-1"/>
          <w:sz w:val="24"/>
          <w:szCs w:val="24"/>
          <w:u w:val="single"/>
          <w14:textFill>
            <w14:solidFill>
              <w14:schemeClr w14:val="tx1"/>
            </w14:solidFill>
          </w14:textFill>
        </w:rPr>
        <w:t xml:space="preserve">    </w:t>
      </w:r>
      <w:r>
        <w:rPr>
          <w:rFonts w:ascii="宋体" w:hAnsi="宋体" w:eastAsia="宋体" w:cs="宋体"/>
          <w:color w:val="000000" w:themeColor="text1"/>
          <w:spacing w:val="-10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万元，资</w:t>
      </w:r>
      <w:r>
        <w:rPr>
          <w:rFonts w:ascii="宋体" w:hAnsi="宋体" w:eastAsia="宋体" w:cs="宋体"/>
          <w:color w:val="000000" w:themeColor="text1"/>
          <w:spacing w:val="-2"/>
          <w:sz w:val="24"/>
          <w:szCs w:val="24"/>
          <w14:textFill>
            <w14:solidFill>
              <w14:schemeClr w14:val="tx1"/>
            </w14:solidFill>
          </w14:textFill>
        </w:rPr>
        <w:t>产总额为</w:t>
      </w:r>
      <w:r>
        <w:rPr>
          <w:rFonts w:ascii="宋体" w:hAnsi="宋体" w:eastAsia="宋体" w:cs="宋体"/>
          <w:color w:val="000000" w:themeColor="text1"/>
          <w:spacing w:val="-2"/>
          <w:sz w:val="24"/>
          <w:szCs w:val="24"/>
          <w:u w:val="single"/>
          <w14:textFill>
            <w14:solidFill>
              <w14:schemeClr w14:val="tx1"/>
            </w14:solidFill>
          </w14:textFill>
        </w:rPr>
        <w:t xml:space="preserve">    </w:t>
      </w:r>
      <w:r>
        <w:rPr>
          <w:rFonts w:ascii="宋体" w:hAnsi="宋体" w:eastAsia="宋体" w:cs="宋体"/>
          <w:color w:val="000000" w:themeColor="text1"/>
          <w:spacing w:val="-105"/>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万元，</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6"/>
          <w:sz w:val="24"/>
          <w:szCs w:val="24"/>
          <w14:textFill>
            <w14:solidFill>
              <w14:schemeClr w14:val="tx1"/>
            </w14:solidFill>
          </w14:textFill>
        </w:rPr>
        <w:t>属于</w:t>
      </w:r>
      <w:r>
        <w:rPr>
          <w:rFonts w:ascii="宋体" w:hAnsi="宋体" w:eastAsia="宋体" w:cs="宋体"/>
          <w:i/>
          <w:iCs/>
          <w:color w:val="000000" w:themeColor="text1"/>
          <w:spacing w:val="-6"/>
          <w:sz w:val="25"/>
          <w:szCs w:val="25"/>
          <w:u w:val="single"/>
          <w14:textFill>
            <w14:solidFill>
              <w14:schemeClr w14:val="tx1"/>
            </w14:solidFill>
          </w14:textFill>
        </w:rPr>
        <w:t>（中型企业、小型企业、微型企业</w:t>
      </w:r>
      <w:r>
        <w:rPr>
          <w:rFonts w:ascii="宋体" w:hAnsi="宋体" w:eastAsia="宋体" w:cs="宋体"/>
          <w:i/>
          <w:iCs/>
          <w:color w:val="000000" w:themeColor="text1"/>
          <w:spacing w:val="-36"/>
          <w:sz w:val="25"/>
          <w:szCs w:val="25"/>
          <w:u w:val="single"/>
          <w14:textFill>
            <w14:solidFill>
              <w14:schemeClr w14:val="tx1"/>
            </w14:solidFill>
          </w14:textFill>
        </w:rPr>
        <w:t>）</w:t>
      </w:r>
      <w:r>
        <w:rPr>
          <w:rFonts w:ascii="宋体" w:hAnsi="宋体" w:eastAsia="宋体" w:cs="宋体"/>
          <w:color w:val="000000" w:themeColor="text1"/>
          <w:spacing w:val="-36"/>
          <w:sz w:val="24"/>
          <w:szCs w:val="24"/>
          <w14:textFill>
            <w14:solidFill>
              <w14:schemeClr w14:val="tx1"/>
            </w14:solidFill>
          </w14:textFill>
        </w:rPr>
        <w:t>；</w:t>
      </w:r>
    </w:p>
    <w:p w14:paraId="2B261255">
      <w:pPr>
        <w:spacing w:before="31" w:line="378" w:lineRule="exact"/>
        <w:ind w:left="50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3"/>
          <w:position w:val="3"/>
          <w:sz w:val="24"/>
          <w:szCs w:val="24"/>
          <w14:textFill>
            <w14:solidFill>
              <w14:schemeClr w14:val="tx1"/>
            </w14:solidFill>
          </w14:textFill>
        </w:rPr>
        <w:t>……</w:t>
      </w:r>
    </w:p>
    <w:p w14:paraId="206C2A8C">
      <w:pPr>
        <w:spacing w:before="123" w:line="371" w:lineRule="auto"/>
        <w:ind w:left="7" w:right="2" w:firstLine="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以上企业，不属于大企业的分支机构，不存在控股股东为大企业的情</w:t>
      </w:r>
      <w:r>
        <w:rPr>
          <w:rFonts w:ascii="宋体" w:hAnsi="宋体" w:eastAsia="宋体" w:cs="宋体"/>
          <w:color w:val="000000" w:themeColor="text1"/>
          <w:spacing w:val="-2"/>
          <w:sz w:val="24"/>
          <w:szCs w:val="24"/>
          <w14:textFill>
            <w14:solidFill>
              <w14:schemeClr w14:val="tx1"/>
            </w14:solidFill>
          </w14:textFill>
        </w:rPr>
        <w:t>形，也不</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存在与大企业的负责人为同一人的情形。</w:t>
      </w:r>
    </w:p>
    <w:p w14:paraId="5B05300E">
      <w:pPr>
        <w:spacing w:before="34" w:line="219" w:lineRule="auto"/>
        <w:ind w:left="48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本企业对上述声明内容的真实性负责。如有虚</w:t>
      </w:r>
      <w:r>
        <w:rPr>
          <w:rFonts w:ascii="宋体" w:hAnsi="宋体" w:eastAsia="宋体" w:cs="宋体"/>
          <w:color w:val="000000" w:themeColor="text1"/>
          <w:spacing w:val="-1"/>
          <w:sz w:val="24"/>
          <w:szCs w:val="24"/>
          <w14:textFill>
            <w14:solidFill>
              <w14:schemeClr w14:val="tx1"/>
            </w14:solidFill>
          </w14:textFill>
        </w:rPr>
        <w:t>假，将依法承担相应责任。</w:t>
      </w:r>
    </w:p>
    <w:p w14:paraId="6BAA7D70">
      <w:pPr>
        <w:pStyle w:val="3"/>
        <w:spacing w:line="317" w:lineRule="auto"/>
        <w:rPr>
          <w:color w:val="000000" w:themeColor="text1"/>
          <w14:textFill>
            <w14:solidFill>
              <w14:schemeClr w14:val="tx1"/>
            </w14:solidFill>
          </w14:textFill>
        </w:rPr>
      </w:pPr>
    </w:p>
    <w:p w14:paraId="06BE3C57">
      <w:pPr>
        <w:spacing w:before="79" w:line="371" w:lineRule="auto"/>
        <w:ind w:right="62" w:firstLine="3648" w:firstLineChars="160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企业名称（加盖</w:t>
      </w:r>
      <w:r>
        <w:rPr>
          <w:rFonts w:ascii="宋体" w:hAnsi="宋体" w:eastAsia="宋体" w:cs="宋体"/>
          <w:color w:val="000000" w:themeColor="text1"/>
          <w:spacing w:val="-53"/>
          <w:sz w:val="24"/>
          <w:szCs w:val="24"/>
          <w14:textFill>
            <w14:solidFill>
              <w14:schemeClr w14:val="tx1"/>
            </w14:solidFill>
          </w14:textFill>
        </w:rPr>
        <w:t xml:space="preserve"> </w:t>
      </w:r>
      <w:r>
        <w:rPr>
          <w:rFonts w:ascii="宋体" w:hAnsi="宋体" w:eastAsia="宋体" w:cs="宋体"/>
          <w:color w:val="000000" w:themeColor="text1"/>
          <w:spacing w:val="-6"/>
          <w:sz w:val="24"/>
          <w:szCs w:val="24"/>
          <w14:textFill>
            <w14:solidFill>
              <w14:schemeClr w14:val="tx1"/>
            </w14:solidFill>
          </w14:textFill>
        </w:rPr>
        <w:t>CA 电子公章</w:t>
      </w:r>
      <w:r>
        <w:rPr>
          <w:rFonts w:ascii="宋体" w:hAnsi="宋体" w:eastAsia="宋体" w:cs="宋体"/>
          <w:color w:val="000000" w:themeColor="text1"/>
          <w:spacing w:val="-29"/>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 </w:t>
      </w:r>
    </w:p>
    <w:p w14:paraId="6ED104F7">
      <w:pPr>
        <w:spacing w:before="79" w:line="371" w:lineRule="auto"/>
        <w:ind w:left="5172" w:right="62"/>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1"/>
          <w:sz w:val="24"/>
          <w:szCs w:val="24"/>
          <w14:textFill>
            <w14:solidFill>
              <w14:schemeClr w14:val="tx1"/>
            </w14:solidFill>
          </w14:textFill>
        </w:rPr>
        <w:t>日</w:t>
      </w:r>
      <w:r>
        <w:rPr>
          <w:rFonts w:ascii="宋体" w:hAnsi="宋体" w:eastAsia="宋体" w:cs="宋体"/>
          <w:color w:val="000000" w:themeColor="text1"/>
          <w:spacing w:val="4"/>
          <w:sz w:val="24"/>
          <w:szCs w:val="24"/>
          <w14:textFill>
            <w14:solidFill>
              <w14:schemeClr w14:val="tx1"/>
            </w14:solidFill>
          </w14:textFill>
        </w:rPr>
        <w:t xml:space="preserve">   </w:t>
      </w:r>
      <w:r>
        <w:rPr>
          <w:rFonts w:ascii="宋体" w:hAnsi="宋体" w:eastAsia="宋体" w:cs="宋体"/>
          <w:color w:val="000000" w:themeColor="text1"/>
          <w:spacing w:val="-21"/>
          <w:sz w:val="24"/>
          <w:szCs w:val="24"/>
          <w14:textFill>
            <w14:solidFill>
              <w14:schemeClr w14:val="tx1"/>
            </w14:solidFill>
          </w14:textFill>
        </w:rPr>
        <w:t>期：</w:t>
      </w:r>
    </w:p>
    <w:p w14:paraId="4F88A6DE">
      <w:pPr>
        <w:pStyle w:val="3"/>
        <w:spacing w:line="453" w:lineRule="auto"/>
        <w:rPr>
          <w:color w:val="000000" w:themeColor="text1"/>
          <w14:textFill>
            <w14:solidFill>
              <w14:schemeClr w14:val="tx1"/>
            </w14:solidFill>
          </w14:textFill>
        </w:rPr>
      </w:pPr>
    </w:p>
    <w:p w14:paraId="581F5912">
      <w:pPr>
        <w:spacing w:before="78" w:line="371" w:lineRule="auto"/>
        <w:ind w:left="28" w:right="62" w:firstLine="46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备注</w:t>
      </w:r>
      <w:r>
        <w:rPr>
          <w:rFonts w:ascii="宋体" w:hAnsi="宋体" w:eastAsia="宋体" w:cs="宋体"/>
          <w:color w:val="000000" w:themeColor="text1"/>
          <w:spacing w:val="-33"/>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1：从业人员、营业收入、资产总额填报上一年度数据，</w:t>
      </w:r>
      <w:r>
        <w:rPr>
          <w:rFonts w:ascii="宋体" w:hAnsi="宋体" w:eastAsia="宋体" w:cs="宋体"/>
          <w:color w:val="000000" w:themeColor="text1"/>
          <w:spacing w:val="-2"/>
          <w:sz w:val="24"/>
          <w:szCs w:val="24"/>
          <w14:textFill>
            <w14:solidFill>
              <w14:schemeClr w14:val="tx1"/>
            </w14:solidFill>
          </w14:textFill>
        </w:rPr>
        <w:t>无上一年度数据</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的新成立企业可不填报。</w:t>
      </w:r>
    </w:p>
    <w:p w14:paraId="2F97B008">
      <w:pPr>
        <w:spacing w:before="37" w:line="371" w:lineRule="auto"/>
        <w:ind w:left="14" w:right="62" w:firstLine="47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备注</w:t>
      </w:r>
      <w:r>
        <w:rPr>
          <w:rFonts w:ascii="宋体" w:hAnsi="宋体" w:eastAsia="宋体" w:cs="宋体"/>
          <w:color w:val="000000" w:themeColor="text1"/>
          <w:spacing w:val="-40"/>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2：供应商如不提供此声明函，价格将不做相应扣除（如项目全面面向中</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小企业，则资格审查不通过）。</w:t>
      </w:r>
    </w:p>
    <w:p w14:paraId="0CCC4E2E">
      <w:pPr>
        <w:spacing w:line="371" w:lineRule="auto"/>
        <w:rPr>
          <w:rFonts w:ascii="宋体" w:hAnsi="宋体" w:eastAsia="宋体" w:cs="宋体"/>
          <w:color w:val="000000" w:themeColor="text1"/>
          <w:sz w:val="24"/>
          <w:szCs w:val="24"/>
          <w14:textFill>
            <w14:solidFill>
              <w14:schemeClr w14:val="tx1"/>
            </w14:solidFill>
          </w14:textFill>
        </w:rPr>
        <w:sectPr>
          <w:headerReference r:id="rId8" w:type="default"/>
          <w:footerReference r:id="rId9" w:type="default"/>
          <w:pgSz w:w="11906" w:h="16839"/>
          <w:pgMar w:top="1305" w:right="1631" w:bottom="1190" w:left="1633" w:header="962" w:footer="971" w:gutter="0"/>
          <w:pgNumType w:fmt="decimal"/>
          <w:cols w:space="720" w:num="1"/>
          <w:docGrid w:linePitch="360" w:charSpace="0"/>
        </w:sectPr>
      </w:pPr>
    </w:p>
    <w:p w14:paraId="3F8799D2">
      <w:pPr>
        <w:pStyle w:val="8"/>
        <w:spacing w:beforeAutospacing="0" w:afterAutospacing="0" w:line="0" w:lineRule="atLeast"/>
        <w:jc w:val="center"/>
        <w:rPr>
          <w:color w:val="000000" w:themeColor="text1"/>
          <w14:textFill>
            <w14:solidFill>
              <w14:schemeClr w14:val="tx1"/>
            </w14:solidFill>
          </w14:textFill>
        </w:rPr>
      </w:pPr>
      <w:r>
        <w:rPr>
          <w:rFonts w:hint="eastAsia" w:ascii="黑体" w:hAnsi="宋体" w:eastAsia="黑体" w:cs="黑体"/>
          <w:b/>
          <w:color w:val="000000" w:themeColor="text1"/>
          <w:sz w:val="32"/>
          <w:szCs w:val="32"/>
          <w14:textFill>
            <w14:solidFill>
              <w14:schemeClr w14:val="tx1"/>
            </w14:solidFill>
          </w14:textFill>
        </w:rPr>
        <w:t> 十、残疾人福利性单位声明函（</w:t>
      </w:r>
      <w:r>
        <w:rPr>
          <w:rFonts w:hint="eastAsia" w:ascii="黑体" w:hAnsi="宋体" w:eastAsia="黑体" w:cs="黑体"/>
          <w:b/>
          <w:color w:val="000000" w:themeColor="text1"/>
          <w:sz w:val="32"/>
          <w:szCs w:val="32"/>
          <w:lang w:val="en-US" w:eastAsia="zh-CN"/>
          <w14:textFill>
            <w14:solidFill>
              <w14:schemeClr w14:val="tx1"/>
            </w14:solidFill>
          </w14:textFill>
        </w:rPr>
        <w:t>如有</w:t>
      </w:r>
      <w:r>
        <w:rPr>
          <w:rFonts w:hint="eastAsia" w:ascii="黑体" w:hAnsi="宋体" w:eastAsia="黑体" w:cs="黑体"/>
          <w:b/>
          <w:color w:val="000000" w:themeColor="text1"/>
          <w:sz w:val="32"/>
          <w:szCs w:val="32"/>
          <w14:textFill>
            <w14:solidFill>
              <w14:schemeClr w14:val="tx1"/>
            </w14:solidFill>
          </w14:textFill>
        </w:rPr>
        <w:t>）</w:t>
      </w:r>
    </w:p>
    <w:p w14:paraId="225466B2">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单位的采购文件编号为______的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项目采购活动由本单位提供服务。</w:t>
      </w:r>
    </w:p>
    <w:p w14:paraId="1965E605">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本单位对上述声明的真实性负责。如有虚假，将依法承担相应责任。</w:t>
      </w:r>
    </w:p>
    <w:p w14:paraId="538C8FA8">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p w14:paraId="677B4CE1">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备注：1、供应商如不提供此声明函，价格将不做相应扣除</w:t>
      </w:r>
      <w:r>
        <w:rPr>
          <w:rFonts w:hint="eastAsia" w:ascii="宋体" w:hAnsi="宋体" w:eastAsia="宋体" w:cs="宋体"/>
          <w:color w:val="000000" w:themeColor="text1"/>
          <w:lang w:eastAsia="zh-CN"/>
          <w14:textFill>
            <w14:solidFill>
              <w14:schemeClr w14:val="tx1"/>
            </w14:solidFill>
          </w14:textFill>
        </w:rPr>
        <w:t>（如项目全面面向中小企业，则资格审查不通过）</w:t>
      </w:r>
      <w:r>
        <w:rPr>
          <w:rFonts w:hint="eastAsia" w:ascii="宋体" w:hAnsi="宋体" w:eastAsia="宋体" w:cs="宋体"/>
          <w:color w:val="000000" w:themeColor="text1"/>
          <w14:textFill>
            <w14:solidFill>
              <w14:schemeClr w14:val="tx1"/>
            </w14:solidFill>
          </w14:textFill>
        </w:rPr>
        <w:t>。2、中标人为残疾人福利单位的，此声明函将随中标结果同时公告，接受社会监督</w:t>
      </w:r>
    </w:p>
    <w:p w14:paraId="4EDDD11C">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24"/>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 </w:t>
      </w:r>
    </w:p>
    <w:p w14:paraId="1A3A45D5">
      <w:pPr>
        <w:pStyle w:val="8"/>
        <w:keepNext w:val="0"/>
        <w:keepLines w:val="0"/>
        <w:pageBreakBefore w:val="0"/>
        <w:widowControl w:val="0"/>
        <w:tabs>
          <w:tab w:val="left" w:pos="4864"/>
        </w:tabs>
        <w:kinsoku/>
        <w:wordWrap/>
        <w:overflowPunct/>
        <w:topLinePunct w:val="0"/>
        <w:autoSpaceDE/>
        <w:autoSpaceDN/>
        <w:bidi w:val="0"/>
        <w:adjustRightInd/>
        <w:snapToGrid/>
        <w:spacing w:beforeAutospacing="0" w:afterAutospacing="0" w:line="480" w:lineRule="exact"/>
        <w:ind w:right="1560" w:firstLine="624"/>
        <w:jc w:val="center"/>
        <w:textAlignment w:val="auto"/>
        <w:rPr>
          <w:color w:val="000000" w:themeColor="text1"/>
          <w14:textFill>
            <w14:solidFill>
              <w14:schemeClr w14:val="tx1"/>
            </w14:solidFill>
          </w14:textFill>
        </w:rPr>
      </w:pPr>
      <w:r>
        <w:rPr>
          <w:rFonts w:ascii="仿宋_GB2312" w:eastAsia="仿宋_GB2312" w:cs="仿宋_GB2312"/>
          <w:color w:val="000000" w:themeColor="text1"/>
          <w:sz w:val="30"/>
          <w:szCs w:val="30"/>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供应商全称（加盖CA电子公章）：</w:t>
      </w:r>
    </w:p>
    <w:p w14:paraId="0C13E459">
      <w:pPr>
        <w:pStyle w:val="8"/>
        <w:keepNext w:val="0"/>
        <w:keepLines w:val="0"/>
        <w:pageBreakBefore w:val="0"/>
        <w:widowControl w:val="0"/>
        <w:tabs>
          <w:tab w:val="left" w:pos="4864"/>
        </w:tabs>
        <w:kinsoku/>
        <w:wordWrap/>
        <w:overflowPunct/>
        <w:topLinePunct w:val="0"/>
        <w:autoSpaceDE/>
        <w:autoSpaceDN/>
        <w:bidi w:val="0"/>
        <w:adjustRightInd/>
        <w:snapToGrid/>
        <w:spacing w:beforeAutospacing="0" w:afterAutospacing="0" w:line="480" w:lineRule="exact"/>
        <w:ind w:right="1560" w:firstLine="48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日  期：</w:t>
      </w:r>
    </w:p>
    <w:p w14:paraId="2558FE5C">
      <w:pPr>
        <w:pStyle w:val="8"/>
        <w:spacing w:beforeAutospacing="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7AF4E054">
      <w:pPr>
        <w:pStyle w:val="8"/>
        <w:spacing w:beforeAutospacing="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4D09E43E">
      <w:pPr>
        <w:pStyle w:val="8"/>
        <w:spacing w:beforeAutospacing="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35593296">
      <w:pPr>
        <w:pStyle w:val="8"/>
        <w:spacing w:beforeAutospacing="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486D1F3B">
      <w:pPr>
        <w:pStyle w:val="8"/>
        <w:spacing w:beforeAutospacing="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4B3E7812">
      <w:pPr>
        <w:pStyle w:val="8"/>
        <w:spacing w:beforeAutospacing="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0AB445E5">
      <w:pPr>
        <w:pStyle w:val="8"/>
        <w:spacing w:beforeAutospacing="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5218B316">
      <w:pPr>
        <w:pStyle w:val="8"/>
        <w:spacing w:beforeAutospacing="0" w:afterAutospacing="0" w:line="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408E6C2F">
      <w:pPr>
        <w:pStyle w:val="8"/>
        <w:spacing w:beforeAutospacing="0" w:afterAutospacing="0" w:line="0" w:lineRule="atLeast"/>
        <w:jc w:val="center"/>
        <w:rPr>
          <w:color w:val="000000" w:themeColor="text1"/>
          <w14:textFill>
            <w14:solidFill>
              <w14:schemeClr w14:val="tx1"/>
            </w14:solidFill>
          </w14:textFill>
        </w:rPr>
      </w:pPr>
    </w:p>
    <w:p w14:paraId="74267169">
      <w:pPr>
        <w:pStyle w:val="8"/>
        <w:spacing w:beforeAutospacing="0" w:afterAutospacing="0" w:line="0" w:lineRule="atLeast"/>
        <w:jc w:val="center"/>
        <w:rPr>
          <w:color w:val="000000" w:themeColor="text1"/>
          <w14:textFill>
            <w14:solidFill>
              <w14:schemeClr w14:val="tx1"/>
            </w14:solidFill>
          </w14:textFill>
        </w:rPr>
      </w:pPr>
    </w:p>
    <w:p w14:paraId="15458B11">
      <w:pPr>
        <w:pStyle w:val="8"/>
        <w:spacing w:beforeAutospacing="0" w:afterAutospacing="0" w:line="0" w:lineRule="atLeast"/>
        <w:jc w:val="center"/>
        <w:rPr>
          <w:color w:val="000000" w:themeColor="text1"/>
          <w14:textFill>
            <w14:solidFill>
              <w14:schemeClr w14:val="tx1"/>
            </w14:solidFill>
          </w14:textFill>
        </w:rPr>
      </w:pPr>
    </w:p>
    <w:p w14:paraId="7B89AD18">
      <w:pPr>
        <w:pStyle w:val="8"/>
        <w:spacing w:beforeAutospacing="0" w:afterAutospacing="0" w:line="0" w:lineRule="atLeast"/>
        <w:jc w:val="center"/>
        <w:rPr>
          <w:color w:val="000000" w:themeColor="text1"/>
          <w14:textFill>
            <w14:solidFill>
              <w14:schemeClr w14:val="tx1"/>
            </w14:solidFill>
          </w14:textFill>
        </w:rPr>
      </w:pPr>
    </w:p>
    <w:p w14:paraId="44647809">
      <w:pPr>
        <w:pStyle w:val="8"/>
        <w:spacing w:beforeAutospacing="0" w:afterAutospacing="0" w:line="0" w:lineRule="atLeast"/>
        <w:jc w:val="center"/>
        <w:rPr>
          <w:color w:val="000000" w:themeColor="text1"/>
          <w14:textFill>
            <w14:solidFill>
              <w14:schemeClr w14:val="tx1"/>
            </w14:solidFill>
          </w14:textFill>
        </w:rPr>
      </w:pPr>
    </w:p>
    <w:p w14:paraId="32452F29">
      <w:pPr>
        <w:pStyle w:val="8"/>
        <w:spacing w:beforeAutospacing="0" w:afterAutospacing="0" w:line="0" w:lineRule="atLeast"/>
        <w:jc w:val="center"/>
        <w:rPr>
          <w:color w:val="000000" w:themeColor="text1"/>
          <w14:textFill>
            <w14:solidFill>
              <w14:schemeClr w14:val="tx1"/>
            </w14:solidFill>
          </w14:textFill>
        </w:rPr>
      </w:pPr>
    </w:p>
    <w:p w14:paraId="60748C32">
      <w:pPr>
        <w:pStyle w:val="8"/>
        <w:spacing w:beforeAutospacing="0" w:afterAutospacing="0" w:line="0" w:lineRule="atLeast"/>
        <w:jc w:val="center"/>
        <w:rPr>
          <w:color w:val="000000" w:themeColor="text1"/>
          <w14:textFill>
            <w14:solidFill>
              <w14:schemeClr w14:val="tx1"/>
            </w14:solidFill>
          </w14:textFill>
        </w:rPr>
      </w:pPr>
    </w:p>
    <w:p w14:paraId="7AC87866">
      <w:pPr>
        <w:pStyle w:val="8"/>
        <w:spacing w:beforeAutospacing="0" w:afterAutospacing="0" w:line="0" w:lineRule="atLeast"/>
        <w:jc w:val="center"/>
        <w:rPr>
          <w:color w:val="000000" w:themeColor="text1"/>
          <w14:textFill>
            <w14:solidFill>
              <w14:schemeClr w14:val="tx1"/>
            </w14:solidFill>
          </w14:textFill>
        </w:rPr>
      </w:pPr>
    </w:p>
    <w:p w14:paraId="107F1326">
      <w:pPr>
        <w:pStyle w:val="8"/>
        <w:spacing w:beforeAutospacing="0" w:afterAutospacing="0" w:line="0" w:lineRule="atLeast"/>
        <w:jc w:val="center"/>
        <w:rPr>
          <w:color w:val="000000" w:themeColor="text1"/>
          <w14:textFill>
            <w14:solidFill>
              <w14:schemeClr w14:val="tx1"/>
            </w14:solidFill>
          </w14:textFill>
        </w:rPr>
      </w:pPr>
    </w:p>
    <w:p w14:paraId="30706564">
      <w:pPr>
        <w:pStyle w:val="8"/>
        <w:spacing w:beforeAutospacing="0" w:afterAutospacing="0" w:line="0" w:lineRule="atLeast"/>
        <w:jc w:val="center"/>
        <w:rPr>
          <w:color w:val="000000" w:themeColor="text1"/>
          <w14:textFill>
            <w14:solidFill>
              <w14:schemeClr w14:val="tx1"/>
            </w14:solidFill>
          </w14:textFill>
        </w:rPr>
      </w:pPr>
    </w:p>
    <w:p w14:paraId="2A02845E">
      <w:pPr>
        <w:pStyle w:val="8"/>
        <w:spacing w:beforeAutospacing="0" w:afterAutospacing="0" w:line="0" w:lineRule="atLeast"/>
        <w:jc w:val="center"/>
        <w:rPr>
          <w:color w:val="000000" w:themeColor="text1"/>
          <w14:textFill>
            <w14:solidFill>
              <w14:schemeClr w14:val="tx1"/>
            </w14:solidFill>
          </w14:textFill>
        </w:rPr>
      </w:pPr>
    </w:p>
    <w:p w14:paraId="50867EB7">
      <w:pPr>
        <w:pStyle w:val="8"/>
        <w:spacing w:beforeAutospacing="0" w:afterAutospacing="0" w:line="0" w:lineRule="atLeast"/>
        <w:jc w:val="center"/>
        <w:rPr>
          <w:color w:val="000000" w:themeColor="text1"/>
          <w14:textFill>
            <w14:solidFill>
              <w14:schemeClr w14:val="tx1"/>
            </w14:solidFill>
          </w14:textFill>
        </w:rPr>
      </w:pPr>
    </w:p>
    <w:p w14:paraId="342A87DB">
      <w:pPr>
        <w:pStyle w:val="8"/>
        <w:spacing w:beforeAutospacing="0" w:afterAutospacing="0" w:line="0" w:lineRule="atLeast"/>
        <w:jc w:val="center"/>
        <w:rPr>
          <w:color w:val="000000" w:themeColor="text1"/>
          <w14:textFill>
            <w14:solidFill>
              <w14:schemeClr w14:val="tx1"/>
            </w14:solidFill>
          </w14:textFill>
        </w:rPr>
      </w:pPr>
    </w:p>
    <w:p w14:paraId="683CF0DC">
      <w:pPr>
        <w:pStyle w:val="8"/>
        <w:spacing w:beforeAutospacing="0" w:afterAutospacing="0" w:line="0" w:lineRule="atLeast"/>
        <w:jc w:val="center"/>
        <w:rPr>
          <w:color w:val="000000" w:themeColor="text1"/>
          <w14:textFill>
            <w14:solidFill>
              <w14:schemeClr w14:val="tx1"/>
            </w14:solidFill>
          </w14:textFill>
        </w:rPr>
      </w:pPr>
    </w:p>
    <w:p w14:paraId="7A72B9D8">
      <w:pPr>
        <w:pStyle w:val="8"/>
        <w:spacing w:beforeAutospacing="0" w:afterAutospacing="0" w:line="0" w:lineRule="atLeast"/>
        <w:jc w:val="center"/>
        <w:rPr>
          <w:color w:val="000000" w:themeColor="text1"/>
          <w14:textFill>
            <w14:solidFill>
              <w14:schemeClr w14:val="tx1"/>
            </w14:solidFill>
          </w14:textFill>
        </w:rPr>
      </w:pPr>
    </w:p>
    <w:p w14:paraId="4A9A9B42">
      <w:pPr>
        <w:pStyle w:val="8"/>
        <w:spacing w:beforeAutospacing="0" w:afterAutospacing="0" w:line="0" w:lineRule="atLeast"/>
        <w:jc w:val="center"/>
        <w:rPr>
          <w:color w:val="000000" w:themeColor="text1"/>
          <w14:textFill>
            <w14:solidFill>
              <w14:schemeClr w14:val="tx1"/>
            </w14:solidFill>
          </w14:textFill>
        </w:rPr>
      </w:pPr>
    </w:p>
    <w:p w14:paraId="45A8CE2D">
      <w:pPr>
        <w:pStyle w:val="8"/>
        <w:spacing w:beforeAutospacing="0" w:afterAutospacing="0" w:line="0" w:lineRule="atLeast"/>
        <w:jc w:val="center"/>
        <w:rPr>
          <w:color w:val="000000" w:themeColor="text1"/>
          <w14:textFill>
            <w14:solidFill>
              <w14:schemeClr w14:val="tx1"/>
            </w14:solidFill>
          </w14:textFill>
        </w:rPr>
      </w:pPr>
    </w:p>
    <w:p w14:paraId="0F345CE9">
      <w:pPr>
        <w:pStyle w:val="8"/>
        <w:spacing w:beforeAutospacing="0" w:afterAutospacing="0" w:line="0" w:lineRule="atLeast"/>
        <w:jc w:val="center"/>
        <w:rPr>
          <w:color w:val="000000" w:themeColor="text1"/>
          <w14:textFill>
            <w14:solidFill>
              <w14:schemeClr w14:val="tx1"/>
            </w14:solidFill>
          </w14:textFill>
        </w:rPr>
      </w:pPr>
    </w:p>
    <w:p w14:paraId="2BDD5647">
      <w:pPr>
        <w:pStyle w:val="15"/>
        <w:numPr>
          <w:ilvl w:val="0"/>
          <w:numId w:val="4"/>
        </w:numPr>
        <w:spacing w:line="360" w:lineRule="auto"/>
        <w:jc w:val="center"/>
        <w:rPr>
          <w:rFonts w:ascii="黑体" w:hAnsi="宋体" w:eastAsia="黑体" w:cs="黑体"/>
          <w:b/>
          <w:color w:val="000000" w:themeColor="text1"/>
          <w:sz w:val="32"/>
          <w:szCs w:val="32"/>
          <w:highlight w:val="none"/>
          <w14:textFill>
            <w14:solidFill>
              <w14:schemeClr w14:val="tx1"/>
            </w14:solidFill>
          </w14:textFill>
        </w:rPr>
      </w:pPr>
      <w:r>
        <w:rPr>
          <w:rFonts w:hint="eastAsia" w:ascii="黑体" w:hAnsi="宋体" w:eastAsia="黑体" w:cs="黑体"/>
          <w:b/>
          <w:color w:val="000000" w:themeColor="text1"/>
          <w:sz w:val="32"/>
          <w:szCs w:val="32"/>
          <w:highlight w:val="none"/>
          <w14:textFill>
            <w14:solidFill>
              <w14:schemeClr w14:val="tx1"/>
            </w14:solidFill>
          </w14:textFill>
        </w:rPr>
        <w:t>投标分项报价表</w:t>
      </w:r>
    </w:p>
    <w:p w14:paraId="3005881A">
      <w:pPr>
        <w:pStyle w:val="15"/>
        <w:spacing w:line="360" w:lineRule="auto"/>
        <w:rPr>
          <w:rFonts w:ascii="Times New Roman" w:hAnsi="Times New Roman" w:eastAsia="宋体"/>
          <w:color w:val="000000" w:themeColor="text1"/>
          <w:sz w:val="21"/>
          <w:highlight w:val="none"/>
          <w14:textFill>
            <w14:solidFill>
              <w14:schemeClr w14:val="tx1"/>
            </w14:solidFill>
          </w14:textFill>
        </w:rPr>
      </w:pPr>
      <w:r>
        <w:rPr>
          <w:rFonts w:hint="eastAsia" w:ascii="Times New Roman" w:hAnsi="宋体" w:eastAsia="宋体"/>
          <w:color w:val="000000" w:themeColor="text1"/>
          <w:sz w:val="21"/>
          <w:highlight w:val="none"/>
          <w14:textFill>
            <w14:solidFill>
              <w14:schemeClr w14:val="tx1"/>
            </w14:solidFill>
          </w14:textFill>
        </w:rPr>
        <w:t>项目名称：</w:t>
      </w:r>
    </w:p>
    <w:p w14:paraId="4F37190A">
      <w:pPr>
        <w:pStyle w:val="15"/>
        <w:spacing w:line="360" w:lineRule="auto"/>
        <w:rPr>
          <w:rFonts w:hAnsi="宋体" w:eastAsia="宋体"/>
          <w:color w:val="000000" w:themeColor="text1"/>
          <w:sz w:val="21"/>
          <w:highlight w:val="none"/>
          <w14:textFill>
            <w14:solidFill>
              <w14:schemeClr w14:val="tx1"/>
            </w14:solidFill>
          </w14:textFill>
        </w:rPr>
      </w:pPr>
      <w:r>
        <w:rPr>
          <w:rFonts w:hint="eastAsia" w:hAnsi="宋体" w:eastAsia="宋体"/>
          <w:color w:val="000000" w:themeColor="text1"/>
          <w:sz w:val="21"/>
          <w:highlight w:val="none"/>
          <w14:textFill>
            <w14:solidFill>
              <w14:schemeClr w14:val="tx1"/>
            </w14:solidFill>
          </w14:textFill>
        </w:rPr>
        <w:t>投标人名称（公章）：</w:t>
      </w:r>
      <w:r>
        <w:rPr>
          <w:rFonts w:hAnsi="宋体" w:eastAsia="宋体"/>
          <w:color w:val="000000" w:themeColor="text1"/>
          <w:sz w:val="21"/>
          <w:highlight w:val="none"/>
          <w14:textFill>
            <w14:solidFill>
              <w14:schemeClr w14:val="tx1"/>
            </w14:solidFill>
          </w14:textFill>
        </w:rPr>
        <w:t xml:space="preserve">  </w:t>
      </w:r>
    </w:p>
    <w:tbl>
      <w:tblPr>
        <w:tblStyle w:val="10"/>
        <w:tblW w:w="10228" w:type="dxa"/>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06"/>
        <w:gridCol w:w="850"/>
        <w:gridCol w:w="779"/>
        <w:gridCol w:w="1169"/>
        <w:gridCol w:w="1283"/>
        <w:gridCol w:w="3464"/>
      </w:tblGrid>
      <w:tr w14:paraId="5D97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77" w:type="dxa"/>
            <w:vAlign w:val="center"/>
          </w:tcPr>
          <w:p w14:paraId="1592ED59">
            <w:pPr>
              <w:widowControl/>
              <w:spacing w:line="360" w:lineRule="auto"/>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序号</w:t>
            </w:r>
          </w:p>
        </w:tc>
        <w:tc>
          <w:tcPr>
            <w:tcW w:w="2106" w:type="dxa"/>
            <w:vAlign w:val="center"/>
          </w:tcPr>
          <w:p w14:paraId="02EAE8F2">
            <w:pPr>
              <w:widowControl/>
              <w:spacing w:line="360" w:lineRule="auto"/>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标的物名称</w:t>
            </w:r>
          </w:p>
        </w:tc>
        <w:tc>
          <w:tcPr>
            <w:tcW w:w="850" w:type="dxa"/>
            <w:vAlign w:val="center"/>
          </w:tcPr>
          <w:p w14:paraId="785D723D">
            <w:pPr>
              <w:widowControl/>
              <w:spacing w:line="360" w:lineRule="auto"/>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单位</w:t>
            </w:r>
          </w:p>
        </w:tc>
        <w:tc>
          <w:tcPr>
            <w:tcW w:w="779" w:type="dxa"/>
            <w:vAlign w:val="center"/>
          </w:tcPr>
          <w:p w14:paraId="0C800143">
            <w:pPr>
              <w:widowControl/>
              <w:spacing w:line="360" w:lineRule="auto"/>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数量</w:t>
            </w:r>
          </w:p>
        </w:tc>
        <w:tc>
          <w:tcPr>
            <w:tcW w:w="1169" w:type="dxa"/>
            <w:vAlign w:val="center"/>
          </w:tcPr>
          <w:p w14:paraId="2619010C">
            <w:pPr>
              <w:widowControl/>
              <w:spacing w:line="360" w:lineRule="auto"/>
              <w:jc w:val="center"/>
              <w:rPr>
                <w:rFonts w:hint="eastAsia" w:ascii="宋体" w:hAnsi="宋体" w:eastAsiaTheme="minorEastAsia"/>
                <w:color w:val="000000" w:themeColor="text1"/>
                <w:kern w:val="0"/>
                <w:highlight w:val="none"/>
                <w:lang w:eastAsia="zh-CN"/>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单价</w:t>
            </w:r>
            <w:r>
              <w:rPr>
                <w:rFonts w:hint="eastAsia" w:ascii="宋体" w:hAnsi="宋体"/>
                <w:color w:val="000000" w:themeColor="text1"/>
                <w:kern w:val="0"/>
                <w:highlight w:val="none"/>
                <w:lang w:eastAsia="zh-CN"/>
                <w14:textFill>
                  <w14:solidFill>
                    <w14:schemeClr w14:val="tx1"/>
                  </w14:solidFill>
                </w14:textFill>
              </w:rPr>
              <w:t>（</w:t>
            </w:r>
            <w:r>
              <w:rPr>
                <w:rFonts w:hint="eastAsia" w:ascii="宋体" w:hAnsi="宋体"/>
                <w:color w:val="000000" w:themeColor="text1"/>
                <w:kern w:val="0"/>
                <w:highlight w:val="none"/>
                <w:lang w:val="en-US" w:eastAsia="zh-CN"/>
                <w14:textFill>
                  <w14:solidFill>
                    <w14:schemeClr w14:val="tx1"/>
                  </w14:solidFill>
                </w14:textFill>
              </w:rPr>
              <w:t>元</w:t>
            </w:r>
            <w:r>
              <w:rPr>
                <w:rFonts w:hint="eastAsia" w:ascii="宋体" w:hAnsi="宋体"/>
                <w:color w:val="000000" w:themeColor="text1"/>
                <w:kern w:val="0"/>
                <w:highlight w:val="none"/>
                <w:lang w:eastAsia="zh-CN"/>
                <w14:textFill>
                  <w14:solidFill>
                    <w14:schemeClr w14:val="tx1"/>
                  </w14:solidFill>
                </w14:textFill>
              </w:rPr>
              <w:t>）</w:t>
            </w:r>
          </w:p>
        </w:tc>
        <w:tc>
          <w:tcPr>
            <w:tcW w:w="1283" w:type="dxa"/>
            <w:vAlign w:val="center"/>
          </w:tcPr>
          <w:p w14:paraId="1F028D54">
            <w:pPr>
              <w:widowControl/>
              <w:spacing w:line="360" w:lineRule="auto"/>
              <w:jc w:val="center"/>
              <w:rPr>
                <w:rFonts w:hint="eastAsia" w:ascii="宋体" w:hAnsi="宋体" w:eastAsiaTheme="minorEastAsia"/>
                <w:color w:val="000000" w:themeColor="text1"/>
                <w:kern w:val="0"/>
                <w:highlight w:val="none"/>
                <w:lang w:eastAsia="zh-CN"/>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 xml:space="preserve"> 总价 </w:t>
            </w:r>
            <w:r>
              <w:rPr>
                <w:rFonts w:hint="eastAsia" w:ascii="宋体" w:hAnsi="宋体"/>
                <w:color w:val="000000" w:themeColor="text1"/>
                <w:kern w:val="0"/>
                <w:highlight w:val="none"/>
                <w:lang w:eastAsia="zh-CN"/>
                <w14:textFill>
                  <w14:solidFill>
                    <w14:schemeClr w14:val="tx1"/>
                  </w14:solidFill>
                </w14:textFill>
              </w:rPr>
              <w:t>（</w:t>
            </w:r>
            <w:r>
              <w:rPr>
                <w:rFonts w:hint="eastAsia" w:ascii="宋体" w:hAnsi="宋体"/>
                <w:color w:val="000000" w:themeColor="text1"/>
                <w:kern w:val="0"/>
                <w:highlight w:val="none"/>
                <w:lang w:val="en-US" w:eastAsia="zh-CN"/>
                <w14:textFill>
                  <w14:solidFill>
                    <w14:schemeClr w14:val="tx1"/>
                  </w14:solidFill>
                </w14:textFill>
              </w:rPr>
              <w:t>元</w:t>
            </w:r>
            <w:r>
              <w:rPr>
                <w:rFonts w:hint="eastAsia" w:ascii="宋体" w:hAnsi="宋体"/>
                <w:color w:val="000000" w:themeColor="text1"/>
                <w:kern w:val="0"/>
                <w:highlight w:val="none"/>
                <w:lang w:eastAsia="zh-CN"/>
                <w14:textFill>
                  <w14:solidFill>
                    <w14:schemeClr w14:val="tx1"/>
                  </w14:solidFill>
                </w14:textFill>
              </w:rPr>
              <w:t>）</w:t>
            </w:r>
          </w:p>
        </w:tc>
        <w:tc>
          <w:tcPr>
            <w:tcW w:w="3464" w:type="dxa"/>
            <w:vAlign w:val="center"/>
          </w:tcPr>
          <w:p w14:paraId="3D3DE927">
            <w:pPr>
              <w:widowControl/>
              <w:spacing w:line="360" w:lineRule="auto"/>
              <w:jc w:val="center"/>
              <w:rPr>
                <w:rFonts w:hint="eastAsia" w:ascii="宋体" w:hAnsi="宋体" w:eastAsiaTheme="minorEastAsia"/>
                <w:color w:val="000000" w:themeColor="text1"/>
                <w:kern w:val="0"/>
                <w:highlight w:val="none"/>
                <w:lang w:val="en-US" w:eastAsia="zh-CN"/>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备注</w:t>
            </w:r>
          </w:p>
        </w:tc>
      </w:tr>
      <w:tr w14:paraId="31AC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77" w:type="dxa"/>
            <w:vAlign w:val="center"/>
          </w:tcPr>
          <w:p w14:paraId="7964AADB">
            <w:pPr>
              <w:widowControl/>
              <w:spacing w:line="360" w:lineRule="auto"/>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1</w:t>
            </w:r>
          </w:p>
        </w:tc>
        <w:tc>
          <w:tcPr>
            <w:tcW w:w="2106" w:type="dxa"/>
            <w:vAlign w:val="center"/>
          </w:tcPr>
          <w:p w14:paraId="092F842F">
            <w:pPr>
              <w:widowControl/>
              <w:spacing w:line="360" w:lineRule="auto"/>
              <w:jc w:val="left"/>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人员工资、加班费、社保、住房公积金</w:t>
            </w:r>
          </w:p>
        </w:tc>
        <w:tc>
          <w:tcPr>
            <w:tcW w:w="2798" w:type="dxa"/>
            <w:gridSpan w:val="3"/>
            <w:vAlign w:val="center"/>
          </w:tcPr>
          <w:p w14:paraId="66ED906E">
            <w:pPr>
              <w:widowControl/>
              <w:spacing w:line="360" w:lineRule="auto"/>
              <w:jc w:val="center"/>
              <w:rPr>
                <w:rFonts w:ascii="宋体" w:hAnsi="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（以下</w:t>
            </w:r>
            <w:r>
              <w:rPr>
                <w:rFonts w:hint="eastAsia" w:ascii="宋体" w:hAnsi="宋体" w:eastAsia="宋体" w:cs="宋体"/>
                <w:b/>
                <w:color w:val="000000" w:themeColor="text1"/>
                <w:sz w:val="24"/>
                <w:szCs w:val="24"/>
                <w:lang w:val="en-US" w:eastAsia="zh-CN"/>
                <w14:textFill>
                  <w14:solidFill>
                    <w14:schemeClr w14:val="tx1"/>
                  </w14:solidFill>
                </w14:textFill>
              </w:rPr>
              <w:t>各</w:t>
            </w:r>
            <w:r>
              <w:rPr>
                <w:rFonts w:hint="eastAsia" w:ascii="宋体" w:hAnsi="宋体" w:eastAsia="宋体" w:cs="宋体"/>
                <w:b/>
                <w:color w:val="000000" w:themeColor="text1"/>
                <w:sz w:val="24"/>
                <w:szCs w:val="24"/>
                <w14:textFill>
                  <w14:solidFill>
                    <w14:schemeClr w14:val="tx1"/>
                  </w14:solidFill>
                </w14:textFill>
              </w:rPr>
              <w:t>项合计）</w:t>
            </w:r>
          </w:p>
        </w:tc>
        <w:tc>
          <w:tcPr>
            <w:tcW w:w="1283" w:type="dxa"/>
            <w:vAlign w:val="center"/>
          </w:tcPr>
          <w:p w14:paraId="5018C6B2">
            <w:pPr>
              <w:widowControl/>
              <w:spacing w:line="360" w:lineRule="auto"/>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 xml:space="preserve"> </w:t>
            </w:r>
          </w:p>
        </w:tc>
        <w:tc>
          <w:tcPr>
            <w:tcW w:w="3464" w:type="dxa"/>
            <w:vAlign w:val="center"/>
          </w:tcPr>
          <w:p w14:paraId="2ADE0E60">
            <w:pPr>
              <w:widowControl/>
              <w:spacing w:line="360" w:lineRule="auto"/>
              <w:jc w:val="center"/>
              <w:rPr>
                <w:rFonts w:hint="eastAsia" w:ascii="宋体" w:hAnsi="宋体"/>
                <w:b/>
                <w:color w:val="000000" w:themeColor="text1"/>
                <w:kern w:val="0"/>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备注栏内要求必须完全响应否则作无效标书处理。</w:t>
            </w:r>
          </w:p>
        </w:tc>
      </w:tr>
      <w:tr w14:paraId="007A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77" w:type="dxa"/>
            <w:vAlign w:val="center"/>
          </w:tcPr>
          <w:p w14:paraId="40F0D010">
            <w:pPr>
              <w:widowControl/>
              <w:spacing w:line="360" w:lineRule="auto"/>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1.1</w:t>
            </w:r>
            <w:r>
              <w:rPr>
                <w:rFonts w:hint="eastAsia" w:ascii="宋体" w:hAnsi="宋体"/>
                <w:color w:val="000000" w:themeColor="text1"/>
                <w:kern w:val="0"/>
                <w:highlight w:val="none"/>
                <w14:textFill>
                  <w14:solidFill>
                    <w14:schemeClr w14:val="tx1"/>
                  </w14:solidFill>
                </w14:textFill>
              </w:rPr>
              <w:t>　</w:t>
            </w:r>
          </w:p>
        </w:tc>
        <w:tc>
          <w:tcPr>
            <w:tcW w:w="2106" w:type="dxa"/>
            <w:vAlign w:val="center"/>
          </w:tcPr>
          <w:p w14:paraId="3ED3FE75">
            <w:pPr>
              <w:widowControl/>
              <w:spacing w:line="360" w:lineRule="auto"/>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基本工资</w:t>
            </w:r>
          </w:p>
        </w:tc>
        <w:tc>
          <w:tcPr>
            <w:tcW w:w="850" w:type="dxa"/>
            <w:vAlign w:val="center"/>
          </w:tcPr>
          <w:p w14:paraId="659CF706">
            <w:pPr>
              <w:widowControl/>
              <w:spacing w:line="360" w:lineRule="auto"/>
              <w:jc w:val="center"/>
              <w:rPr>
                <w:rFonts w:hint="default" w:ascii="宋体" w:hAnsi="宋体" w:eastAsiaTheme="minorEastAsia"/>
                <w:color w:val="000000" w:themeColor="text1"/>
                <w:kern w:val="0"/>
                <w:highlight w:val="none"/>
                <w:lang w:val="en-US" w:eastAsia="zh-CN"/>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人*年</w:t>
            </w:r>
          </w:p>
        </w:tc>
        <w:tc>
          <w:tcPr>
            <w:tcW w:w="779" w:type="dxa"/>
            <w:vAlign w:val="center"/>
          </w:tcPr>
          <w:p w14:paraId="08165BC3">
            <w:pPr>
              <w:widowControl/>
              <w:spacing w:line="360" w:lineRule="auto"/>
              <w:jc w:val="center"/>
              <w:rPr>
                <w:rFonts w:hint="default" w:ascii="宋体" w:hAnsi="宋体" w:eastAsiaTheme="minorEastAsia"/>
                <w:color w:val="000000" w:themeColor="text1"/>
                <w:kern w:val="0"/>
                <w:highlight w:val="none"/>
                <w:lang w:val="en-US" w:eastAsia="zh-CN"/>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16</w:t>
            </w:r>
          </w:p>
        </w:tc>
        <w:tc>
          <w:tcPr>
            <w:tcW w:w="1169" w:type="dxa"/>
            <w:vAlign w:val="center"/>
          </w:tcPr>
          <w:p w14:paraId="72AF2F95">
            <w:pPr>
              <w:widowControl/>
              <w:spacing w:line="360" w:lineRule="auto"/>
              <w:jc w:val="center"/>
              <w:rPr>
                <w:rFonts w:ascii="宋体" w:hAnsi="宋体"/>
                <w:color w:val="000000" w:themeColor="text1"/>
                <w:kern w:val="0"/>
                <w:highlight w:val="none"/>
                <w14:textFill>
                  <w14:solidFill>
                    <w14:schemeClr w14:val="tx1"/>
                  </w14:solidFill>
                </w14:textFill>
              </w:rPr>
            </w:pPr>
          </w:p>
        </w:tc>
        <w:tc>
          <w:tcPr>
            <w:tcW w:w="1283" w:type="dxa"/>
            <w:vAlign w:val="center"/>
          </w:tcPr>
          <w:p w14:paraId="74C318F1">
            <w:pPr>
              <w:widowControl/>
              <w:spacing w:line="360" w:lineRule="auto"/>
              <w:jc w:val="center"/>
              <w:rPr>
                <w:rFonts w:ascii="宋体" w:hAnsi="宋体"/>
                <w:color w:val="000000" w:themeColor="text1"/>
                <w:kern w:val="0"/>
                <w:highlight w:val="none"/>
                <w14:textFill>
                  <w14:solidFill>
                    <w14:schemeClr w14:val="tx1"/>
                  </w14:solidFill>
                </w14:textFill>
              </w:rPr>
            </w:pPr>
          </w:p>
        </w:tc>
        <w:tc>
          <w:tcPr>
            <w:tcW w:w="3464" w:type="dxa"/>
            <w:vAlign w:val="center"/>
          </w:tcPr>
          <w:p w14:paraId="7BD2DB82">
            <w:pPr>
              <w:pStyle w:val="20"/>
              <w:spacing w:before="99" w:line="240" w:lineRule="auto"/>
              <w:ind w:left="114" w:right="210"/>
              <w:rPr>
                <w:rFonts w:ascii="宋体" w:hAnsi="宋体"/>
                <w:color w:val="000000" w:themeColor="text1"/>
                <w:kern w:val="0"/>
                <w:highlight w:val="none"/>
                <w14:textFill>
                  <w14:solidFill>
                    <w14:schemeClr w14:val="tx1"/>
                  </w14:solidFill>
                </w14:textFill>
              </w:rPr>
            </w:pPr>
            <w:r>
              <w:rPr>
                <w:color w:val="000000" w:themeColor="text1"/>
                <w:spacing w:val="-1"/>
                <w:sz w:val="21"/>
                <w:szCs w:val="21"/>
                <w:lang w:val="en-US" w:eastAsia="zh-CN"/>
                <w14:textFill>
                  <w14:solidFill>
                    <w14:schemeClr w14:val="tx1"/>
                  </w14:solidFill>
                </w14:textFill>
              </w:rPr>
              <w:t>所有工作人员工资不低于</w:t>
            </w:r>
            <w:r>
              <w:rPr>
                <w:rFonts w:hint="eastAsia"/>
                <w:color w:val="000000" w:themeColor="text1"/>
                <w:spacing w:val="-1"/>
                <w:sz w:val="21"/>
                <w:szCs w:val="21"/>
                <w:lang w:val="en-US" w:eastAsia="zh-CN"/>
                <w14:textFill>
                  <w14:solidFill>
                    <w14:schemeClr w14:val="tx1"/>
                  </w14:solidFill>
                </w14:textFill>
              </w:rPr>
              <w:t>本县</w:t>
            </w:r>
            <w:r>
              <w:rPr>
                <w:color w:val="000000" w:themeColor="text1"/>
                <w:spacing w:val="-1"/>
                <w:sz w:val="21"/>
                <w:szCs w:val="21"/>
                <w:lang w:val="en-US" w:eastAsia="zh-CN"/>
                <w14:textFill>
                  <w14:solidFill>
                    <w14:schemeClr w14:val="tx1"/>
                  </w14:solidFill>
                </w14:textFill>
              </w:rPr>
              <w:t>最 新公布的最低工资标准（</w:t>
            </w:r>
            <w:r>
              <w:rPr>
                <w:rFonts w:hint="eastAsia"/>
                <w:color w:val="000000" w:themeColor="text1"/>
                <w:spacing w:val="-1"/>
                <w:sz w:val="21"/>
                <w:szCs w:val="21"/>
                <w:lang w:val="en-US" w:eastAsia="zh-CN"/>
                <w14:textFill>
                  <w14:solidFill>
                    <w14:schemeClr w14:val="tx1"/>
                  </w14:solidFill>
                </w14:textFill>
              </w:rPr>
              <w:t>201</w:t>
            </w:r>
            <w:r>
              <w:rPr>
                <w:color w:val="000000" w:themeColor="text1"/>
                <w:spacing w:val="-1"/>
                <w:sz w:val="21"/>
                <w:szCs w:val="21"/>
                <w:lang w:val="en-US" w:eastAsia="zh-CN"/>
                <w14:textFill>
                  <w14:solidFill>
                    <w14:schemeClr w14:val="tx1"/>
                  </w14:solidFill>
                </w14:textFill>
              </w:rPr>
              <w:t>0 元 /人每月），人员实发工资标准  按12 个月测算。</w:t>
            </w:r>
          </w:p>
        </w:tc>
      </w:tr>
      <w:tr w14:paraId="71D8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77" w:type="dxa"/>
            <w:vAlign w:val="center"/>
          </w:tcPr>
          <w:p w14:paraId="7FC55805">
            <w:pPr>
              <w:widowControl/>
              <w:spacing w:line="360" w:lineRule="auto"/>
              <w:jc w:val="center"/>
              <w:rPr>
                <w:rFonts w:hint="default" w:ascii="宋体" w:hAnsi="宋体" w:eastAsiaTheme="minorEastAsia"/>
                <w:color w:val="000000" w:themeColor="text1"/>
                <w:kern w:val="0"/>
                <w:highlight w:val="none"/>
                <w:lang w:val="en-US" w:eastAsia="zh-CN"/>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1.2</w:t>
            </w:r>
          </w:p>
        </w:tc>
        <w:tc>
          <w:tcPr>
            <w:tcW w:w="2106" w:type="dxa"/>
            <w:vAlign w:val="center"/>
          </w:tcPr>
          <w:p w14:paraId="1B59F16F">
            <w:pPr>
              <w:spacing w:line="360" w:lineRule="auto"/>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国家法定假日加班费（不低于</w:t>
            </w:r>
            <w:r>
              <w:rPr>
                <w:rFonts w:hint="eastAsia" w:ascii="宋体" w:hAnsi="宋体"/>
                <w:color w:val="000000" w:themeColor="text1"/>
                <w:kern w:val="0"/>
                <w:highlight w:val="none"/>
                <w:lang w:val="en-US" w:eastAsia="zh-CN"/>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人）</w:t>
            </w:r>
          </w:p>
        </w:tc>
        <w:tc>
          <w:tcPr>
            <w:tcW w:w="850" w:type="dxa"/>
            <w:vAlign w:val="center"/>
          </w:tcPr>
          <w:p w14:paraId="240CE441">
            <w:pPr>
              <w:widowControl/>
              <w:spacing w:line="360" w:lineRule="auto"/>
              <w:jc w:val="center"/>
              <w:rPr>
                <w:rFonts w:ascii="宋体" w:hAnsi="宋体"/>
                <w:color w:val="000000" w:themeColor="text1"/>
                <w:kern w:val="0"/>
                <w:highlight w:val="none"/>
                <w14:textFill>
                  <w14:solidFill>
                    <w14:schemeClr w14:val="tx1"/>
                  </w14:solidFill>
                </w14:textFill>
              </w:rPr>
            </w:pPr>
            <w:r>
              <w:rPr>
                <w:color w:val="000000" w:themeColor="text1"/>
                <w:spacing w:val="-4"/>
                <w:sz w:val="22"/>
                <w:szCs w:val="22"/>
                <w14:textFill>
                  <w14:solidFill>
                    <w14:schemeClr w14:val="tx1"/>
                  </w14:solidFill>
                </w14:textFill>
              </w:rPr>
              <w:t>人*年</w:t>
            </w:r>
          </w:p>
        </w:tc>
        <w:tc>
          <w:tcPr>
            <w:tcW w:w="779" w:type="dxa"/>
            <w:vAlign w:val="center"/>
          </w:tcPr>
          <w:p w14:paraId="5B485A54">
            <w:pPr>
              <w:widowControl/>
              <w:spacing w:line="360" w:lineRule="auto"/>
              <w:jc w:val="center"/>
              <w:rPr>
                <w:rFonts w:hint="eastAsia" w:ascii="宋体" w:hAnsi="宋体" w:eastAsiaTheme="minorEastAsia"/>
                <w:color w:val="000000" w:themeColor="text1"/>
                <w:kern w:val="0"/>
                <w:highlight w:val="none"/>
                <w:lang w:val="en-US" w:eastAsia="zh-CN"/>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2</w:t>
            </w:r>
          </w:p>
        </w:tc>
        <w:tc>
          <w:tcPr>
            <w:tcW w:w="1169" w:type="dxa"/>
            <w:vAlign w:val="center"/>
          </w:tcPr>
          <w:p w14:paraId="4A2AF463">
            <w:pPr>
              <w:widowControl/>
              <w:spacing w:line="360" w:lineRule="auto"/>
              <w:jc w:val="center"/>
              <w:rPr>
                <w:rFonts w:ascii="宋体" w:hAnsi="宋体"/>
                <w:color w:val="000000" w:themeColor="text1"/>
                <w:kern w:val="0"/>
                <w:highlight w:val="none"/>
                <w14:textFill>
                  <w14:solidFill>
                    <w14:schemeClr w14:val="tx1"/>
                  </w14:solidFill>
                </w14:textFill>
              </w:rPr>
            </w:pPr>
          </w:p>
        </w:tc>
        <w:tc>
          <w:tcPr>
            <w:tcW w:w="1283" w:type="dxa"/>
            <w:vAlign w:val="center"/>
          </w:tcPr>
          <w:p w14:paraId="35F6FC70">
            <w:pPr>
              <w:widowControl/>
              <w:spacing w:line="360" w:lineRule="auto"/>
              <w:jc w:val="center"/>
              <w:rPr>
                <w:rFonts w:ascii="宋体" w:hAnsi="宋体"/>
                <w:color w:val="000000" w:themeColor="text1"/>
                <w:kern w:val="0"/>
                <w:highlight w:val="none"/>
                <w14:textFill>
                  <w14:solidFill>
                    <w14:schemeClr w14:val="tx1"/>
                  </w14:solidFill>
                </w14:textFill>
              </w:rPr>
            </w:pPr>
          </w:p>
        </w:tc>
        <w:tc>
          <w:tcPr>
            <w:tcW w:w="3464" w:type="dxa"/>
            <w:vAlign w:val="center"/>
          </w:tcPr>
          <w:p w14:paraId="0ECEE763">
            <w:pPr>
              <w:pStyle w:val="20"/>
              <w:spacing w:before="99" w:line="240" w:lineRule="auto"/>
              <w:ind w:left="114" w:right="210"/>
              <w:rPr>
                <w:color w:val="000000" w:themeColor="text1"/>
                <w:spacing w:val="-1"/>
                <w:sz w:val="21"/>
                <w:szCs w:val="21"/>
                <w:lang w:val="en-US" w:eastAsia="zh-CN"/>
                <w14:textFill>
                  <w14:solidFill>
                    <w14:schemeClr w14:val="tx1"/>
                  </w14:solidFill>
                </w14:textFill>
              </w:rPr>
            </w:pPr>
            <w:r>
              <w:rPr>
                <w:color w:val="000000" w:themeColor="text1"/>
                <w:spacing w:val="-1"/>
                <w:sz w:val="21"/>
                <w:szCs w:val="21"/>
                <w:lang w:val="en-US" w:eastAsia="zh-CN"/>
                <w14:textFill>
                  <w14:solidFill>
                    <w14:schemeClr w14:val="tx1"/>
                  </w14:solidFill>
                </w14:textFill>
              </w:rPr>
              <w:t>目前国家法定节假日全年为13 天，法定加班工资不低于</w:t>
            </w:r>
            <w:r>
              <w:rPr>
                <w:rFonts w:hint="eastAsia"/>
                <w:color w:val="000000" w:themeColor="text1"/>
                <w:spacing w:val="-1"/>
                <w:sz w:val="21"/>
                <w:szCs w:val="21"/>
                <w:lang w:val="en-US" w:eastAsia="zh-CN"/>
                <w14:textFill>
                  <w14:solidFill>
                    <w14:schemeClr w14:val="tx1"/>
                  </w14:solidFill>
                </w14:textFill>
              </w:rPr>
              <w:t>3604.14</w:t>
            </w:r>
            <w:r>
              <w:rPr>
                <w:color w:val="000000" w:themeColor="text1"/>
                <w:spacing w:val="-1"/>
                <w:sz w:val="21"/>
                <w:szCs w:val="21"/>
                <w:lang w:val="en-US" w:eastAsia="zh-CN"/>
                <w14:textFill>
                  <w14:solidFill>
                    <w14:schemeClr w14:val="tx1"/>
                  </w14:solidFill>
                </w14:textFill>
              </w:rPr>
              <w:t>元/人每年，国假加班人数不少于</w:t>
            </w:r>
            <w:r>
              <w:rPr>
                <w:rFonts w:hint="eastAsia"/>
                <w:color w:val="000000" w:themeColor="text1"/>
                <w:spacing w:val="-1"/>
                <w:sz w:val="21"/>
                <w:szCs w:val="21"/>
                <w:lang w:val="en-US" w:eastAsia="zh-CN"/>
                <w14:textFill>
                  <w14:solidFill>
                    <w14:schemeClr w14:val="tx1"/>
                  </w14:solidFill>
                </w14:textFill>
              </w:rPr>
              <w:t>2</w:t>
            </w:r>
            <w:r>
              <w:rPr>
                <w:color w:val="000000" w:themeColor="text1"/>
                <w:spacing w:val="-1"/>
                <w:sz w:val="21"/>
                <w:szCs w:val="21"/>
                <w:lang w:val="en-US" w:eastAsia="zh-CN"/>
                <w14:textFill>
                  <w14:solidFill>
                    <w14:schemeClr w14:val="tx1"/>
                  </w14:solidFill>
                </w14:textFill>
              </w:rPr>
              <w:t>人。</w:t>
            </w:r>
          </w:p>
          <w:p w14:paraId="7F278BE1">
            <w:pPr>
              <w:pStyle w:val="20"/>
              <w:spacing w:before="99" w:line="240" w:lineRule="auto"/>
              <w:ind w:left="114" w:right="210"/>
              <w:rPr>
                <w:rFonts w:ascii="宋体" w:hAnsi="宋体"/>
                <w:color w:val="000000" w:themeColor="text1"/>
                <w:kern w:val="0"/>
                <w:highlight w:val="none"/>
                <w14:textFill>
                  <w14:solidFill>
                    <w14:schemeClr w14:val="tx1"/>
                  </w14:solidFill>
                </w14:textFill>
              </w:rPr>
            </w:pPr>
            <w:r>
              <w:rPr>
                <w:rFonts w:hint="eastAsia"/>
                <w:color w:val="000000" w:themeColor="text1"/>
                <w:spacing w:val="-1"/>
                <w:sz w:val="21"/>
                <w:szCs w:val="21"/>
                <w:lang w:val="en-US" w:eastAsia="zh-CN"/>
                <w14:textFill>
                  <w14:solidFill>
                    <w14:schemeClr w14:val="tx1"/>
                  </w14:solidFill>
                </w14:textFill>
              </w:rPr>
              <w:t>2010</w:t>
            </w:r>
            <w:r>
              <w:rPr>
                <w:color w:val="000000" w:themeColor="text1"/>
                <w:spacing w:val="-1"/>
                <w:sz w:val="21"/>
                <w:szCs w:val="21"/>
                <w:lang w:val="en-US" w:eastAsia="zh-CN"/>
                <w14:textFill>
                  <w14:solidFill>
                    <w14:schemeClr w14:val="tx1"/>
                  </w14:solidFill>
                </w14:textFill>
              </w:rPr>
              <w:t>/21.75*3*13=</w:t>
            </w:r>
            <w:r>
              <w:rPr>
                <w:rFonts w:hint="eastAsia"/>
                <w:color w:val="000000" w:themeColor="text1"/>
                <w:spacing w:val="-1"/>
                <w:sz w:val="21"/>
                <w:szCs w:val="21"/>
                <w:lang w:val="en-US" w:eastAsia="zh-CN"/>
                <w14:textFill>
                  <w14:solidFill>
                    <w14:schemeClr w14:val="tx1"/>
                  </w14:solidFill>
                </w14:textFill>
              </w:rPr>
              <w:t>3604.14</w:t>
            </w:r>
            <w:r>
              <w:rPr>
                <w:color w:val="000000" w:themeColor="text1"/>
                <w:spacing w:val="-1"/>
                <w:sz w:val="21"/>
                <w:szCs w:val="21"/>
                <w:lang w:val="en-US" w:eastAsia="zh-CN"/>
                <w14:textFill>
                  <w14:solidFill>
                    <w14:schemeClr w14:val="tx1"/>
                  </w14:solidFill>
                </w14:textFill>
              </w:rPr>
              <w:t>元/人每年。</w:t>
            </w:r>
          </w:p>
        </w:tc>
      </w:tr>
      <w:tr w14:paraId="5974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77" w:type="dxa"/>
            <w:vAlign w:val="center"/>
          </w:tcPr>
          <w:p w14:paraId="676D30C5">
            <w:pPr>
              <w:widowControl/>
              <w:spacing w:line="360" w:lineRule="auto"/>
              <w:jc w:val="center"/>
              <w:rPr>
                <w:rFonts w:hint="default" w:ascii="宋体" w:hAnsi="宋体" w:eastAsiaTheme="minorEastAsia"/>
                <w:color w:val="000000" w:themeColor="text1"/>
                <w:kern w:val="0"/>
                <w:highlight w:val="none"/>
                <w:lang w:val="en-US" w:eastAsia="zh-CN"/>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1.3</w:t>
            </w:r>
          </w:p>
        </w:tc>
        <w:tc>
          <w:tcPr>
            <w:tcW w:w="2106" w:type="dxa"/>
            <w:vAlign w:val="center"/>
          </w:tcPr>
          <w:p w14:paraId="23880200">
            <w:pPr>
              <w:widowControl/>
              <w:spacing w:line="360" w:lineRule="auto"/>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社保</w:t>
            </w:r>
          </w:p>
        </w:tc>
        <w:tc>
          <w:tcPr>
            <w:tcW w:w="850" w:type="dxa"/>
            <w:vAlign w:val="center"/>
          </w:tcPr>
          <w:p w14:paraId="595B0B3A">
            <w:pPr>
              <w:widowControl/>
              <w:spacing w:line="360" w:lineRule="auto"/>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人*年</w:t>
            </w:r>
          </w:p>
        </w:tc>
        <w:tc>
          <w:tcPr>
            <w:tcW w:w="779" w:type="dxa"/>
            <w:vAlign w:val="center"/>
          </w:tcPr>
          <w:p w14:paraId="41DD523A">
            <w:pPr>
              <w:widowControl/>
              <w:spacing w:line="360" w:lineRule="auto"/>
              <w:jc w:val="center"/>
              <w:rPr>
                <w:rFonts w:hint="default" w:ascii="宋体" w:hAnsi="宋体" w:eastAsiaTheme="minorEastAsia"/>
                <w:color w:val="000000" w:themeColor="text1"/>
                <w:kern w:val="0"/>
                <w:highlight w:val="none"/>
                <w:lang w:val="en-US" w:eastAsia="zh-CN"/>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16</w:t>
            </w:r>
          </w:p>
        </w:tc>
        <w:tc>
          <w:tcPr>
            <w:tcW w:w="1169" w:type="dxa"/>
            <w:vAlign w:val="center"/>
          </w:tcPr>
          <w:p w14:paraId="5ADEC494">
            <w:pPr>
              <w:widowControl/>
              <w:spacing w:line="360" w:lineRule="auto"/>
              <w:jc w:val="center"/>
              <w:rPr>
                <w:rFonts w:ascii="宋体" w:hAnsi="宋体"/>
                <w:color w:val="000000" w:themeColor="text1"/>
                <w:kern w:val="0"/>
                <w:highlight w:val="none"/>
                <w14:textFill>
                  <w14:solidFill>
                    <w14:schemeClr w14:val="tx1"/>
                  </w14:solidFill>
                </w14:textFill>
              </w:rPr>
            </w:pPr>
          </w:p>
        </w:tc>
        <w:tc>
          <w:tcPr>
            <w:tcW w:w="1283" w:type="dxa"/>
            <w:vAlign w:val="center"/>
          </w:tcPr>
          <w:p w14:paraId="688CC709">
            <w:pPr>
              <w:widowControl/>
              <w:spacing w:line="360" w:lineRule="auto"/>
              <w:jc w:val="center"/>
              <w:rPr>
                <w:rFonts w:ascii="宋体" w:hAnsi="宋体"/>
                <w:color w:val="000000" w:themeColor="text1"/>
                <w:kern w:val="0"/>
                <w:highlight w:val="none"/>
                <w14:textFill>
                  <w14:solidFill>
                    <w14:schemeClr w14:val="tx1"/>
                  </w14:solidFill>
                </w14:textFill>
              </w:rPr>
            </w:pPr>
          </w:p>
        </w:tc>
        <w:tc>
          <w:tcPr>
            <w:tcW w:w="3464" w:type="dxa"/>
            <w:vAlign w:val="center"/>
          </w:tcPr>
          <w:p w14:paraId="56BF4084">
            <w:pPr>
              <w:pStyle w:val="20"/>
              <w:spacing w:before="99" w:line="240" w:lineRule="auto"/>
              <w:ind w:left="114" w:right="210"/>
              <w:rPr>
                <w:rFonts w:ascii="宋体" w:hAnsi="宋体"/>
                <w:color w:val="000000" w:themeColor="text1"/>
                <w:kern w:val="0"/>
                <w:highlight w:val="none"/>
                <w14:textFill>
                  <w14:solidFill>
                    <w14:schemeClr w14:val="tx1"/>
                  </w14:solidFill>
                </w14:textFill>
              </w:rPr>
            </w:pPr>
            <w:r>
              <w:rPr>
                <w:color w:val="000000" w:themeColor="text1"/>
                <w:spacing w:val="-1"/>
                <w:sz w:val="21"/>
                <w:szCs w:val="21"/>
                <w14:textFill>
                  <w14:solidFill>
                    <w14:schemeClr w14:val="tx1"/>
                  </w14:solidFill>
                </w14:textFill>
              </w:rPr>
              <w:t>所有人员必须足额缴纳保险费</w:t>
            </w:r>
            <w:r>
              <w:rPr>
                <w:color w:val="000000" w:themeColor="text1"/>
                <w:spacing w:val="4"/>
                <w:sz w:val="21"/>
                <w:szCs w:val="21"/>
                <w14:textFill>
                  <w14:solidFill>
                    <w14:schemeClr w14:val="tx1"/>
                  </w14:solidFill>
                </w14:textFill>
              </w:rPr>
              <w:t xml:space="preserve"> </w:t>
            </w:r>
            <w:r>
              <w:rPr>
                <w:color w:val="000000" w:themeColor="text1"/>
                <w:spacing w:val="-1"/>
                <w:sz w:val="21"/>
                <w:szCs w:val="21"/>
                <w14:textFill>
                  <w14:solidFill>
                    <w14:schemeClr w14:val="tx1"/>
                  </w14:solidFill>
                </w14:textFill>
              </w:rPr>
              <w:t>用，保险费用应满足执行苏人</w:t>
            </w:r>
            <w:r>
              <w:rPr>
                <w:color w:val="000000" w:themeColor="text1"/>
                <w:spacing w:val="4"/>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社发〔2024〕38</w:t>
            </w:r>
            <w:r>
              <w:rPr>
                <w:color w:val="000000" w:themeColor="text1"/>
                <w:spacing w:val="-3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号&lt;&lt;关于发布</w:t>
            </w:r>
            <w:r>
              <w:rPr>
                <w:color w:val="000000" w:themeColor="text1"/>
                <w:sz w:val="21"/>
                <w:szCs w:val="21"/>
                <w14:textFill>
                  <w14:solidFill>
                    <w14:schemeClr w14:val="tx1"/>
                  </w14:solidFill>
                </w14:textFill>
              </w:rPr>
              <w:t xml:space="preserve"> </w:t>
            </w:r>
            <w:r>
              <w:rPr>
                <w:color w:val="000000" w:themeColor="text1"/>
                <w:spacing w:val="-1"/>
                <w:sz w:val="21"/>
                <w:szCs w:val="21"/>
                <w14:textFill>
                  <w14:solidFill>
                    <w14:schemeClr w14:val="tx1"/>
                  </w14:solidFill>
                </w14:textFill>
              </w:rPr>
              <w:t>2024</w:t>
            </w:r>
            <w:r>
              <w:rPr>
                <w:color w:val="000000" w:themeColor="text1"/>
                <w:spacing w:val="-46"/>
                <w:sz w:val="21"/>
                <w:szCs w:val="21"/>
                <w14:textFill>
                  <w14:solidFill>
                    <w14:schemeClr w14:val="tx1"/>
                  </w14:solidFill>
                </w14:textFill>
              </w:rPr>
              <w:t xml:space="preserve"> </w:t>
            </w:r>
            <w:r>
              <w:rPr>
                <w:color w:val="000000" w:themeColor="text1"/>
                <w:spacing w:val="-1"/>
                <w:sz w:val="21"/>
                <w:szCs w:val="21"/>
                <w14:textFill>
                  <w14:solidFill>
                    <w14:schemeClr w14:val="tx1"/>
                  </w14:solidFill>
                </w14:textFill>
              </w:rPr>
              <w:t>年度社会保险有关基数的通知&gt;&gt;，调整后的最低基数</w:t>
            </w:r>
            <w:r>
              <w:rPr>
                <w:color w:val="000000" w:themeColor="text1"/>
                <w:spacing w:val="-2"/>
                <w:sz w:val="21"/>
                <w:szCs w:val="21"/>
                <w14:textFill>
                  <w14:solidFill>
                    <w14:schemeClr w14:val="tx1"/>
                  </w14:solidFill>
                </w14:textFill>
              </w:rPr>
              <w:t>4879.00</w:t>
            </w:r>
            <w:r>
              <w:rPr>
                <w:color w:val="000000" w:themeColor="text1"/>
                <w:spacing w:val="-32"/>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元。社保（企业部</w:t>
            </w:r>
            <w:r>
              <w:rPr>
                <w:color w:val="000000" w:themeColor="text1"/>
                <w:spacing w:val="-1"/>
                <w:sz w:val="21"/>
                <w:szCs w:val="21"/>
                <w14:textFill>
                  <w14:solidFill>
                    <w14:schemeClr w14:val="tx1"/>
                  </w14:solidFill>
                </w14:textFill>
              </w:rPr>
              <w:t>分）不得低于上述文件标准及规定险种测算（规定险种为</w:t>
            </w:r>
            <w:r>
              <w:rPr>
                <w:color w:val="000000" w:themeColor="text1"/>
                <w:spacing w:val="-2"/>
                <w:sz w:val="21"/>
                <w:szCs w:val="21"/>
                <w14:textFill>
                  <w14:solidFill>
                    <w14:schemeClr w14:val="tx1"/>
                  </w14:solidFill>
                </w14:textFill>
              </w:rPr>
              <w:t>“五险”，指养老保险金</w:t>
            </w:r>
            <w:r>
              <w:rPr>
                <w:color w:val="000000" w:themeColor="text1"/>
                <w:spacing w:val="-19"/>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16%</w:t>
            </w:r>
            <w:r>
              <w:rPr>
                <w:color w:val="000000" w:themeColor="text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（780.64</w:t>
            </w:r>
            <w:r>
              <w:rPr>
                <w:color w:val="000000" w:themeColor="text1"/>
                <w:spacing w:val="-4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元）、医疗保险金</w:t>
            </w:r>
            <w:r>
              <w:rPr>
                <w:color w:val="000000" w:themeColor="text1"/>
                <w:spacing w:val="-48"/>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8%</w:t>
            </w:r>
            <w:r>
              <w:rPr>
                <w:color w:val="000000" w:themeColor="text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（390.32</w:t>
            </w:r>
            <w:r>
              <w:rPr>
                <w:color w:val="000000" w:themeColor="text1"/>
                <w:spacing w:val="-39"/>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元）、工伤保险金0.7%（34.15</w:t>
            </w:r>
            <w:r>
              <w:rPr>
                <w:color w:val="000000" w:themeColor="text1"/>
                <w:spacing w:val="-32"/>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元）、生育保险金</w:t>
            </w:r>
            <w:r>
              <w:rPr>
                <w:color w:val="000000" w:themeColor="text1"/>
                <w:spacing w:val="-4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0.9%（43.91</w:t>
            </w:r>
            <w:r>
              <w:rPr>
                <w:color w:val="000000" w:themeColor="text1"/>
                <w:spacing w:val="-47"/>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元）、失业保</w:t>
            </w:r>
            <w:r>
              <w:rPr>
                <w:color w:val="000000" w:themeColor="text1"/>
                <w:sz w:val="21"/>
                <w:szCs w:val="21"/>
                <w14:textFill>
                  <w14:solidFill>
                    <w14:schemeClr w14:val="tx1"/>
                  </w14:solidFill>
                </w14:textFill>
              </w:rPr>
              <w:t xml:space="preserve"> </w:t>
            </w:r>
            <w:r>
              <w:rPr>
                <w:color w:val="000000" w:themeColor="text1"/>
                <w:spacing w:val="-4"/>
                <w:sz w:val="21"/>
                <w:szCs w:val="21"/>
                <w14:textFill>
                  <w14:solidFill>
                    <w14:schemeClr w14:val="tx1"/>
                  </w14:solidFill>
                </w14:textFill>
              </w:rPr>
              <w:t>险金</w:t>
            </w:r>
            <w:r>
              <w:rPr>
                <w:color w:val="000000" w:themeColor="text1"/>
                <w:spacing w:val="-45"/>
                <w:sz w:val="21"/>
                <w:szCs w:val="21"/>
                <w14:textFill>
                  <w14:solidFill>
                    <w14:schemeClr w14:val="tx1"/>
                  </w14:solidFill>
                </w14:textFill>
              </w:rPr>
              <w:t xml:space="preserve"> </w:t>
            </w:r>
            <w:r>
              <w:rPr>
                <w:color w:val="000000" w:themeColor="text1"/>
                <w:spacing w:val="-4"/>
                <w:sz w:val="21"/>
                <w:szCs w:val="21"/>
                <w14:textFill>
                  <w14:solidFill>
                    <w14:schemeClr w14:val="tx1"/>
                  </w14:solidFill>
                </w14:textFill>
              </w:rPr>
              <w:t>0.5%（24.40</w:t>
            </w:r>
            <w:r>
              <w:rPr>
                <w:color w:val="000000" w:themeColor="text1"/>
                <w:spacing w:val="-44"/>
                <w:sz w:val="21"/>
                <w:szCs w:val="21"/>
                <w14:textFill>
                  <w14:solidFill>
                    <w14:schemeClr w14:val="tx1"/>
                  </w14:solidFill>
                </w14:textFill>
              </w:rPr>
              <w:t xml:space="preserve"> </w:t>
            </w:r>
            <w:r>
              <w:rPr>
                <w:color w:val="000000" w:themeColor="text1"/>
                <w:spacing w:val="-4"/>
                <w:sz w:val="21"/>
                <w:szCs w:val="21"/>
                <w14:textFill>
                  <w14:solidFill>
                    <w14:schemeClr w14:val="tx1"/>
                  </w14:solidFill>
                </w14:textFill>
              </w:rPr>
              <w:t>元</w:t>
            </w:r>
            <w:r>
              <w:rPr>
                <w:color w:val="000000" w:themeColor="text1"/>
                <w:spacing w:val="9"/>
                <w:sz w:val="21"/>
                <w:szCs w:val="21"/>
                <w14:textFill>
                  <w14:solidFill>
                    <w14:schemeClr w14:val="tx1"/>
                  </w14:solidFill>
                </w14:textFill>
              </w:rPr>
              <w:t>）），</w:t>
            </w:r>
            <w:r>
              <w:rPr>
                <w:color w:val="000000" w:themeColor="text1"/>
                <w:spacing w:val="-4"/>
                <w:sz w:val="21"/>
                <w:szCs w:val="21"/>
                <w14:textFill>
                  <w14:solidFill>
                    <w14:schemeClr w14:val="tx1"/>
                  </w14:solidFill>
                </w14:textFill>
              </w:rPr>
              <w:t>即</w:t>
            </w:r>
            <w:r>
              <w:rPr>
                <w:color w:val="000000" w:themeColor="text1"/>
                <w:spacing w:val="-5"/>
                <w:sz w:val="21"/>
                <w:szCs w:val="21"/>
                <w14:textFill>
                  <w14:solidFill>
                    <w14:schemeClr w14:val="tx1"/>
                  </w14:solidFill>
                </w14:textFill>
              </w:rPr>
              <w:t>不得低于</w:t>
            </w:r>
            <w:r>
              <w:rPr>
                <w:color w:val="000000" w:themeColor="text1"/>
                <w:spacing w:val="-24"/>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1273.42</w:t>
            </w:r>
            <w:r>
              <w:rPr>
                <w:color w:val="000000" w:themeColor="text1"/>
                <w:spacing w:val="-44"/>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元/人每月。</w:t>
            </w:r>
            <w:r>
              <w:rPr>
                <w:color w:val="000000" w:themeColor="text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否则按无效标书处理。</w:t>
            </w:r>
          </w:p>
        </w:tc>
      </w:tr>
      <w:tr w14:paraId="398C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77" w:type="dxa"/>
            <w:vAlign w:val="center"/>
          </w:tcPr>
          <w:p w14:paraId="41D20FE2">
            <w:pPr>
              <w:widowControl/>
              <w:spacing w:line="360" w:lineRule="auto"/>
              <w:jc w:val="center"/>
              <w:rPr>
                <w:rFonts w:hint="default" w:ascii="宋体" w:hAnsi="宋体" w:eastAsiaTheme="minorEastAsia"/>
                <w:color w:val="000000" w:themeColor="text1"/>
                <w:kern w:val="0"/>
                <w:highlight w:val="none"/>
                <w:lang w:val="en-US" w:eastAsia="zh-CN"/>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1.4</w:t>
            </w:r>
          </w:p>
        </w:tc>
        <w:tc>
          <w:tcPr>
            <w:tcW w:w="2106" w:type="dxa"/>
            <w:vAlign w:val="center"/>
          </w:tcPr>
          <w:p w14:paraId="6966E4B3">
            <w:pPr>
              <w:widowControl/>
              <w:spacing w:line="360" w:lineRule="auto"/>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住房公积金</w:t>
            </w:r>
          </w:p>
        </w:tc>
        <w:tc>
          <w:tcPr>
            <w:tcW w:w="850" w:type="dxa"/>
            <w:vAlign w:val="center"/>
          </w:tcPr>
          <w:p w14:paraId="3296F009">
            <w:pPr>
              <w:widowControl/>
              <w:spacing w:line="360" w:lineRule="auto"/>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人*年</w:t>
            </w:r>
          </w:p>
        </w:tc>
        <w:tc>
          <w:tcPr>
            <w:tcW w:w="779" w:type="dxa"/>
            <w:vAlign w:val="center"/>
          </w:tcPr>
          <w:p w14:paraId="54A59F8F">
            <w:pPr>
              <w:widowControl/>
              <w:spacing w:line="360" w:lineRule="auto"/>
              <w:jc w:val="center"/>
              <w:rPr>
                <w:rFonts w:hint="default" w:ascii="宋体" w:hAnsi="宋体" w:eastAsiaTheme="minorEastAsia"/>
                <w:color w:val="000000" w:themeColor="text1"/>
                <w:kern w:val="0"/>
                <w:highlight w:val="none"/>
                <w:lang w:val="en-US" w:eastAsia="zh-CN"/>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16</w:t>
            </w:r>
          </w:p>
        </w:tc>
        <w:tc>
          <w:tcPr>
            <w:tcW w:w="1169" w:type="dxa"/>
            <w:vAlign w:val="center"/>
          </w:tcPr>
          <w:p w14:paraId="1F0141A7">
            <w:pPr>
              <w:widowControl/>
              <w:spacing w:line="360" w:lineRule="auto"/>
              <w:jc w:val="center"/>
              <w:rPr>
                <w:rFonts w:ascii="宋体" w:hAnsi="宋体"/>
                <w:color w:val="000000" w:themeColor="text1"/>
                <w:kern w:val="0"/>
                <w:highlight w:val="none"/>
                <w14:textFill>
                  <w14:solidFill>
                    <w14:schemeClr w14:val="tx1"/>
                  </w14:solidFill>
                </w14:textFill>
              </w:rPr>
            </w:pPr>
          </w:p>
        </w:tc>
        <w:tc>
          <w:tcPr>
            <w:tcW w:w="1283" w:type="dxa"/>
            <w:vAlign w:val="center"/>
          </w:tcPr>
          <w:p w14:paraId="7A988AF1">
            <w:pPr>
              <w:widowControl/>
              <w:spacing w:line="360" w:lineRule="auto"/>
              <w:jc w:val="center"/>
              <w:rPr>
                <w:rFonts w:ascii="宋体" w:hAnsi="宋体"/>
                <w:color w:val="000000" w:themeColor="text1"/>
                <w:kern w:val="0"/>
                <w:highlight w:val="none"/>
                <w14:textFill>
                  <w14:solidFill>
                    <w14:schemeClr w14:val="tx1"/>
                  </w14:solidFill>
                </w14:textFill>
              </w:rPr>
            </w:pPr>
          </w:p>
        </w:tc>
        <w:tc>
          <w:tcPr>
            <w:tcW w:w="3464" w:type="dxa"/>
            <w:vAlign w:val="center"/>
          </w:tcPr>
          <w:p w14:paraId="648BA4F3">
            <w:pPr>
              <w:pStyle w:val="20"/>
              <w:spacing w:before="102" w:line="240" w:lineRule="auto"/>
              <w:ind w:left="114"/>
              <w:rPr>
                <w:rFonts w:ascii="宋体" w:hAnsi="宋体"/>
                <w:color w:val="000000" w:themeColor="text1"/>
                <w:kern w:val="0"/>
                <w:highlight w:val="none"/>
                <w14:textFill>
                  <w14:solidFill>
                    <w14:schemeClr w14:val="tx1"/>
                  </w14:solidFill>
                </w14:textFill>
              </w:rPr>
            </w:pPr>
            <w:r>
              <w:rPr>
                <w:color w:val="000000" w:themeColor="text1"/>
                <w:spacing w:val="-2"/>
                <w:sz w:val="21"/>
                <w:szCs w:val="21"/>
                <w14:textFill>
                  <w14:solidFill>
                    <w14:schemeClr w14:val="tx1"/>
                  </w14:solidFill>
                </w14:textFill>
              </w:rPr>
              <w:t>根据《住房公积金管理条例》（国务院令 350 号）企业单位应当按时、足额缴存住房公积金，在成本中列支各供应商住房公积金须按不低于</w:t>
            </w:r>
            <w:r>
              <w:rPr>
                <w:rFonts w:hint="eastAsia"/>
                <w:color w:val="000000" w:themeColor="text1"/>
                <w:spacing w:val="-2"/>
                <w:sz w:val="21"/>
                <w:szCs w:val="21"/>
                <w:lang w:val="en-US" w:eastAsia="zh-CN"/>
                <w14:textFill>
                  <w14:solidFill>
                    <w14:schemeClr w14:val="tx1"/>
                  </w14:solidFill>
                </w14:textFill>
              </w:rPr>
              <w:t>92</w:t>
            </w:r>
            <w:r>
              <w:rPr>
                <w:color w:val="000000" w:themeColor="text1"/>
                <w:spacing w:val="-2"/>
                <w:sz w:val="21"/>
                <w:szCs w:val="21"/>
                <w14:textFill>
                  <w14:solidFill>
                    <w14:schemeClr w14:val="tx1"/>
                  </w14:solidFill>
                </w14:textFill>
              </w:rPr>
              <w:t>元/人/每月。否则按无效标书处理。</w:t>
            </w:r>
          </w:p>
        </w:tc>
      </w:tr>
      <w:tr w14:paraId="0C30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77" w:type="dxa"/>
            <w:vAlign w:val="center"/>
          </w:tcPr>
          <w:p w14:paraId="2A49A854">
            <w:pPr>
              <w:spacing w:line="360" w:lineRule="auto"/>
              <w:jc w:val="center"/>
              <w:rPr>
                <w:rFonts w:hint="eastAsia" w:ascii="宋体" w:hAnsi="宋体" w:eastAsiaTheme="minorEastAsia"/>
                <w:b/>
                <w:color w:val="000000" w:themeColor="text1"/>
                <w:kern w:val="0"/>
                <w:highlight w:val="none"/>
                <w:lang w:val="en-US" w:eastAsia="zh-CN"/>
                <w14:textFill>
                  <w14:solidFill>
                    <w14:schemeClr w14:val="tx1"/>
                  </w14:solidFill>
                </w14:textFill>
              </w:rPr>
            </w:pPr>
            <w:r>
              <w:rPr>
                <w:rFonts w:hint="eastAsia" w:ascii="宋体" w:hAnsi="宋体"/>
                <w:b/>
                <w:color w:val="000000" w:themeColor="text1"/>
                <w:kern w:val="0"/>
                <w:highlight w:val="none"/>
                <w:lang w:val="en-US" w:eastAsia="zh-CN"/>
                <w14:textFill>
                  <w14:solidFill>
                    <w14:schemeClr w14:val="tx1"/>
                  </w14:solidFill>
                </w14:textFill>
              </w:rPr>
              <w:t>2</w:t>
            </w:r>
          </w:p>
        </w:tc>
        <w:tc>
          <w:tcPr>
            <w:tcW w:w="2106" w:type="dxa"/>
            <w:vAlign w:val="center"/>
          </w:tcPr>
          <w:p w14:paraId="2C9EE209">
            <w:pPr>
              <w:spacing w:line="360" w:lineRule="auto"/>
              <w:jc w:val="left"/>
              <w:rPr>
                <w:rFonts w:hint="default" w:ascii="宋体" w:hAnsi="宋体" w:eastAsiaTheme="minorEastAsia"/>
                <w:b/>
                <w:color w:val="000000" w:themeColor="text1"/>
                <w:kern w:val="0"/>
                <w:highlight w:val="none"/>
                <w:lang w:val="en-US" w:eastAsia="zh-CN"/>
                <w14:textFill>
                  <w14:solidFill>
                    <w14:schemeClr w14:val="tx1"/>
                  </w14:solidFill>
                </w14:textFill>
              </w:rPr>
            </w:pPr>
            <w:r>
              <w:rPr>
                <w:rFonts w:hint="eastAsia" w:ascii="宋体" w:hAnsi="宋体"/>
                <w:b/>
                <w:color w:val="000000" w:themeColor="text1"/>
                <w:kern w:val="0"/>
                <w:highlight w:val="none"/>
                <w:lang w:val="en-US" w:eastAsia="zh-CN"/>
                <w14:textFill>
                  <w14:solidFill>
                    <w14:schemeClr w14:val="tx1"/>
                  </w14:solidFill>
                </w14:textFill>
              </w:rPr>
              <w:t>其他综合管理杂费</w:t>
            </w:r>
          </w:p>
        </w:tc>
        <w:tc>
          <w:tcPr>
            <w:tcW w:w="850" w:type="dxa"/>
            <w:vAlign w:val="center"/>
          </w:tcPr>
          <w:p w14:paraId="5EC89190">
            <w:pPr>
              <w:spacing w:line="360" w:lineRule="auto"/>
              <w:jc w:val="center"/>
              <w:rPr>
                <w:rFonts w:hint="eastAsia" w:ascii="宋体" w:hAnsi="宋体" w:eastAsiaTheme="minorEastAsia"/>
                <w:b/>
                <w:color w:val="000000" w:themeColor="text1"/>
                <w:kern w:val="0"/>
                <w:highlight w:val="none"/>
                <w:lang w:val="en-US" w:eastAsia="zh-CN"/>
                <w14:textFill>
                  <w14:solidFill>
                    <w14:schemeClr w14:val="tx1"/>
                  </w14:solidFill>
                </w14:textFill>
              </w:rPr>
            </w:pPr>
            <w:r>
              <w:rPr>
                <w:rFonts w:hint="eastAsia" w:ascii="宋体" w:hAnsi="宋体"/>
                <w:b/>
                <w:color w:val="000000" w:themeColor="text1"/>
                <w:kern w:val="0"/>
                <w:highlight w:val="none"/>
                <w:lang w:val="en-US" w:eastAsia="zh-CN"/>
                <w14:textFill>
                  <w14:solidFill>
                    <w14:schemeClr w14:val="tx1"/>
                  </w14:solidFill>
                </w14:textFill>
              </w:rPr>
              <w:t>年</w:t>
            </w:r>
          </w:p>
        </w:tc>
        <w:tc>
          <w:tcPr>
            <w:tcW w:w="779" w:type="dxa"/>
            <w:vAlign w:val="center"/>
          </w:tcPr>
          <w:p w14:paraId="13FF4F79">
            <w:pPr>
              <w:spacing w:line="360" w:lineRule="auto"/>
              <w:jc w:val="center"/>
              <w:rPr>
                <w:rFonts w:hint="eastAsia" w:ascii="宋体" w:hAnsi="宋体" w:eastAsiaTheme="minorEastAsia"/>
                <w:b/>
                <w:color w:val="000000" w:themeColor="text1"/>
                <w:kern w:val="0"/>
                <w:highlight w:val="none"/>
                <w:lang w:val="en-US" w:eastAsia="zh-CN"/>
                <w14:textFill>
                  <w14:solidFill>
                    <w14:schemeClr w14:val="tx1"/>
                  </w14:solidFill>
                </w14:textFill>
              </w:rPr>
            </w:pPr>
            <w:r>
              <w:rPr>
                <w:rFonts w:hint="eastAsia" w:ascii="宋体" w:hAnsi="宋体"/>
                <w:b/>
                <w:color w:val="000000" w:themeColor="text1"/>
                <w:kern w:val="0"/>
                <w:highlight w:val="none"/>
                <w:lang w:val="en-US" w:eastAsia="zh-CN"/>
                <w14:textFill>
                  <w14:solidFill>
                    <w14:schemeClr w14:val="tx1"/>
                  </w14:solidFill>
                </w14:textFill>
              </w:rPr>
              <w:t>1</w:t>
            </w:r>
          </w:p>
        </w:tc>
        <w:tc>
          <w:tcPr>
            <w:tcW w:w="1169" w:type="dxa"/>
            <w:vAlign w:val="center"/>
          </w:tcPr>
          <w:p w14:paraId="20902E5E">
            <w:pPr>
              <w:spacing w:line="360" w:lineRule="auto"/>
              <w:jc w:val="left"/>
              <w:rPr>
                <w:rFonts w:ascii="宋体" w:hAnsi="宋体"/>
                <w:b/>
                <w:color w:val="000000" w:themeColor="text1"/>
                <w:kern w:val="0"/>
                <w:highlight w:val="none"/>
                <w14:textFill>
                  <w14:solidFill>
                    <w14:schemeClr w14:val="tx1"/>
                  </w14:solidFill>
                </w14:textFill>
              </w:rPr>
            </w:pPr>
          </w:p>
        </w:tc>
        <w:tc>
          <w:tcPr>
            <w:tcW w:w="1283" w:type="dxa"/>
            <w:vAlign w:val="center"/>
          </w:tcPr>
          <w:p w14:paraId="5E152BF3">
            <w:pPr>
              <w:spacing w:line="360" w:lineRule="auto"/>
              <w:jc w:val="left"/>
              <w:rPr>
                <w:rFonts w:ascii="宋体" w:hAnsi="宋体"/>
                <w:b/>
                <w:color w:val="000000" w:themeColor="text1"/>
                <w:kern w:val="0"/>
                <w:highlight w:val="none"/>
                <w14:textFill>
                  <w14:solidFill>
                    <w14:schemeClr w14:val="tx1"/>
                  </w14:solidFill>
                </w14:textFill>
              </w:rPr>
            </w:pPr>
          </w:p>
        </w:tc>
        <w:tc>
          <w:tcPr>
            <w:tcW w:w="3464" w:type="dxa"/>
            <w:vAlign w:val="center"/>
          </w:tcPr>
          <w:p w14:paraId="02FF2C61">
            <w:pPr>
              <w:spacing w:line="360" w:lineRule="auto"/>
              <w:jc w:val="left"/>
              <w:rPr>
                <w:rFonts w:ascii="宋体" w:hAnsi="宋体"/>
                <w:b/>
                <w:color w:val="000000" w:themeColor="text1"/>
                <w:kern w:val="0"/>
                <w:highlight w:val="none"/>
                <w14:textFill>
                  <w14:solidFill>
                    <w14:schemeClr w14:val="tx1"/>
                  </w14:solidFill>
                </w14:textFill>
              </w:rPr>
            </w:pPr>
            <w:r>
              <w:rPr>
                <w:rFonts w:ascii="宋体" w:hAnsi="宋体" w:eastAsia="宋体" w:cs="宋体"/>
                <w:color w:val="000000" w:themeColor="text1"/>
                <w:spacing w:val="-2"/>
                <w:kern w:val="2"/>
                <w:sz w:val="21"/>
                <w:szCs w:val="21"/>
                <w:lang w:val="en-US" w:eastAsia="en-US" w:bidi="ar-SA"/>
                <w14:textFill>
                  <w14:solidFill>
                    <w14:schemeClr w14:val="tx1"/>
                  </w14:solidFill>
                </w14:textFill>
              </w:rPr>
              <w:t>包括意外伤害保险费</w:t>
            </w:r>
            <w:r>
              <w:rPr>
                <w:rFonts w:hint="eastAsia" w:ascii="宋体" w:hAnsi="宋体" w:eastAsia="宋体" w:cs="宋体"/>
                <w:color w:val="000000" w:themeColor="text1"/>
                <w:spacing w:val="-2"/>
                <w:kern w:val="2"/>
                <w:sz w:val="21"/>
                <w:szCs w:val="21"/>
                <w:lang w:val="en-US" w:eastAsia="zh-CN" w:bidi="ar-SA"/>
                <w14:textFill>
                  <w14:solidFill>
                    <w14:schemeClr w14:val="tx1"/>
                  </w14:solidFill>
                </w14:textFill>
              </w:rPr>
              <w:t>等保险</w:t>
            </w:r>
            <w:r>
              <w:rPr>
                <w:rFonts w:ascii="宋体" w:hAnsi="宋体" w:eastAsia="宋体" w:cs="宋体"/>
                <w:color w:val="000000" w:themeColor="text1"/>
                <w:spacing w:val="-2"/>
                <w:kern w:val="2"/>
                <w:sz w:val="21"/>
                <w:szCs w:val="21"/>
                <w:lang w:val="en-US" w:eastAsia="en-US" w:bidi="ar-SA"/>
                <w14:textFill>
                  <w14:solidFill>
                    <w14:schemeClr w14:val="tx1"/>
                  </w14:solidFill>
                </w14:textFill>
              </w:rPr>
              <w:t>、高温补助费、福利费、体检费、服装费、保洁设备、工具及耗材费、管理费、劳务费、培训费、风险费、税金、合理利润及政策性文件规定等各项应有费用，以及为完成招标文件规定的物业服务工作所涉及到的一切相关费用（即招标文件中要求报价时考虑的一切费用）</w:t>
            </w:r>
            <w:r>
              <w:rPr>
                <w:color w:val="000000" w:themeColor="text1"/>
                <w:spacing w:val="-2"/>
                <w:sz w:val="22"/>
                <w:szCs w:val="22"/>
                <w14:textFill>
                  <w14:solidFill>
                    <w14:schemeClr w14:val="tx1"/>
                  </w14:solidFill>
                </w14:textFill>
              </w:rPr>
              <w:t>投标人自行报价</w:t>
            </w:r>
          </w:p>
        </w:tc>
      </w:tr>
      <w:tr w14:paraId="6805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77" w:type="dxa"/>
            <w:vAlign w:val="center"/>
          </w:tcPr>
          <w:p w14:paraId="2B7FED42">
            <w:pPr>
              <w:widowControl/>
              <w:spacing w:line="360" w:lineRule="auto"/>
              <w:jc w:val="center"/>
              <w:rPr>
                <w:rFonts w:hint="eastAsia" w:ascii="宋体" w:hAnsi="宋体" w:eastAsiaTheme="minorEastAsia"/>
                <w:b/>
                <w:color w:val="000000" w:themeColor="text1"/>
                <w:kern w:val="0"/>
                <w:highlight w:val="none"/>
                <w:lang w:eastAsia="zh-CN"/>
                <w14:textFill>
                  <w14:solidFill>
                    <w14:schemeClr w14:val="tx1"/>
                  </w14:solidFill>
                </w14:textFill>
              </w:rPr>
            </w:pPr>
            <w:r>
              <w:rPr>
                <w:rFonts w:hint="eastAsia" w:ascii="宋体" w:hAnsi="宋体"/>
                <w:b/>
                <w:color w:val="000000" w:themeColor="text1"/>
                <w:kern w:val="0"/>
                <w:highlight w:val="none"/>
                <w:lang w:val="en-US" w:eastAsia="zh-CN"/>
                <w14:textFill>
                  <w14:solidFill>
                    <w14:schemeClr w14:val="tx1"/>
                  </w14:solidFill>
                </w14:textFill>
              </w:rPr>
              <w:t>3</w:t>
            </w:r>
          </w:p>
        </w:tc>
        <w:tc>
          <w:tcPr>
            <w:tcW w:w="2106" w:type="dxa"/>
            <w:vAlign w:val="center"/>
          </w:tcPr>
          <w:p w14:paraId="14C3CBB1">
            <w:pPr>
              <w:widowControl/>
              <w:spacing w:line="360" w:lineRule="auto"/>
              <w:jc w:val="left"/>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法定税费</w:t>
            </w:r>
          </w:p>
        </w:tc>
        <w:tc>
          <w:tcPr>
            <w:tcW w:w="850" w:type="dxa"/>
            <w:vAlign w:val="center"/>
          </w:tcPr>
          <w:p w14:paraId="0B513542">
            <w:pPr>
              <w:widowControl/>
              <w:spacing w:line="360" w:lineRule="auto"/>
              <w:jc w:val="center"/>
              <w:rPr>
                <w:rFonts w:hint="eastAsia" w:ascii="宋体" w:hAnsi="宋体" w:eastAsiaTheme="minorEastAsia"/>
                <w:b/>
                <w:color w:val="000000" w:themeColor="text1"/>
                <w:kern w:val="0"/>
                <w:highlight w:val="none"/>
                <w:lang w:val="en-US" w:eastAsia="zh-CN"/>
                <w14:textFill>
                  <w14:solidFill>
                    <w14:schemeClr w14:val="tx1"/>
                  </w14:solidFill>
                </w14:textFill>
              </w:rPr>
            </w:pPr>
            <w:r>
              <w:rPr>
                <w:rFonts w:hint="eastAsia" w:ascii="宋体" w:hAnsi="宋体"/>
                <w:b/>
                <w:color w:val="000000" w:themeColor="text1"/>
                <w:kern w:val="0"/>
                <w:highlight w:val="none"/>
                <w:lang w:val="en-US" w:eastAsia="zh-CN"/>
                <w14:textFill>
                  <w14:solidFill>
                    <w14:schemeClr w14:val="tx1"/>
                  </w14:solidFill>
                </w14:textFill>
              </w:rPr>
              <w:t>年</w:t>
            </w:r>
          </w:p>
        </w:tc>
        <w:tc>
          <w:tcPr>
            <w:tcW w:w="779" w:type="dxa"/>
            <w:vAlign w:val="center"/>
          </w:tcPr>
          <w:p w14:paraId="0B8BCBDC">
            <w:pPr>
              <w:widowControl/>
              <w:spacing w:line="360" w:lineRule="auto"/>
              <w:jc w:val="center"/>
              <w:rPr>
                <w:rFonts w:hint="eastAsia" w:ascii="宋体" w:hAnsi="宋体" w:eastAsiaTheme="minorEastAsia"/>
                <w:b/>
                <w:color w:val="000000" w:themeColor="text1"/>
                <w:kern w:val="0"/>
                <w:highlight w:val="none"/>
                <w:lang w:val="en-US" w:eastAsia="zh-CN"/>
                <w14:textFill>
                  <w14:solidFill>
                    <w14:schemeClr w14:val="tx1"/>
                  </w14:solidFill>
                </w14:textFill>
              </w:rPr>
            </w:pPr>
            <w:r>
              <w:rPr>
                <w:rFonts w:hint="eastAsia" w:ascii="宋体" w:hAnsi="宋体"/>
                <w:b/>
                <w:color w:val="000000" w:themeColor="text1"/>
                <w:kern w:val="0"/>
                <w:highlight w:val="none"/>
                <w:lang w:val="en-US" w:eastAsia="zh-CN"/>
                <w14:textFill>
                  <w14:solidFill>
                    <w14:schemeClr w14:val="tx1"/>
                  </w14:solidFill>
                </w14:textFill>
              </w:rPr>
              <w:t>1</w:t>
            </w:r>
          </w:p>
        </w:tc>
        <w:tc>
          <w:tcPr>
            <w:tcW w:w="1169" w:type="dxa"/>
            <w:vAlign w:val="center"/>
          </w:tcPr>
          <w:p w14:paraId="4BECC16F">
            <w:pPr>
              <w:spacing w:line="360" w:lineRule="auto"/>
              <w:jc w:val="center"/>
              <w:rPr>
                <w:rFonts w:ascii="宋体" w:hAnsi="宋体"/>
                <w:b/>
                <w:color w:val="000000" w:themeColor="text1"/>
                <w:kern w:val="0"/>
                <w:highlight w:val="none"/>
                <w14:textFill>
                  <w14:solidFill>
                    <w14:schemeClr w14:val="tx1"/>
                  </w14:solidFill>
                </w14:textFill>
              </w:rPr>
            </w:pPr>
          </w:p>
        </w:tc>
        <w:tc>
          <w:tcPr>
            <w:tcW w:w="1283" w:type="dxa"/>
            <w:vAlign w:val="center"/>
          </w:tcPr>
          <w:p w14:paraId="16F773A0">
            <w:pPr>
              <w:spacing w:line="360" w:lineRule="auto"/>
              <w:jc w:val="left"/>
              <w:rPr>
                <w:rFonts w:ascii="宋体" w:hAnsi="宋体"/>
                <w:b/>
                <w:color w:val="000000" w:themeColor="text1"/>
                <w:kern w:val="0"/>
                <w:highlight w:val="none"/>
                <w14:textFill>
                  <w14:solidFill>
                    <w14:schemeClr w14:val="tx1"/>
                  </w14:solidFill>
                </w14:textFill>
              </w:rPr>
            </w:pPr>
          </w:p>
        </w:tc>
        <w:tc>
          <w:tcPr>
            <w:tcW w:w="3464" w:type="dxa"/>
            <w:vAlign w:val="center"/>
          </w:tcPr>
          <w:p w14:paraId="1B3144D3">
            <w:pPr>
              <w:spacing w:line="240" w:lineRule="auto"/>
              <w:jc w:val="left"/>
              <w:rPr>
                <w:rFonts w:ascii="宋体" w:hAnsi="宋体"/>
                <w:b/>
                <w:color w:val="000000" w:themeColor="text1"/>
                <w:kern w:val="0"/>
                <w:highlight w:val="none"/>
                <w14:textFill>
                  <w14:solidFill>
                    <w14:schemeClr w14:val="tx1"/>
                  </w14:solidFill>
                </w14:textFill>
              </w:rPr>
            </w:pPr>
            <w:r>
              <w:rPr>
                <w:color w:val="000000" w:themeColor="text1"/>
                <w:spacing w:val="-2"/>
                <w:sz w:val="22"/>
                <w:szCs w:val="22"/>
                <w14:textFill>
                  <w14:solidFill>
                    <w14:schemeClr w14:val="tx1"/>
                  </w14:solidFill>
                </w14:textFill>
              </w:rPr>
              <w:t>各供应商统一按照</w:t>
            </w:r>
            <w:r>
              <w:rPr>
                <w:color w:val="000000" w:themeColor="text1"/>
                <w:spacing w:val="-35"/>
                <w:sz w:val="22"/>
                <w:szCs w:val="22"/>
                <w14:textFill>
                  <w14:solidFill>
                    <w14:schemeClr w14:val="tx1"/>
                  </w14:solidFill>
                </w14:textFill>
              </w:rPr>
              <w:t xml:space="preserve"> </w:t>
            </w:r>
            <w:r>
              <w:rPr>
                <w:color w:val="000000" w:themeColor="text1"/>
                <w:spacing w:val="-2"/>
                <w:sz w:val="22"/>
                <w:szCs w:val="22"/>
                <w14:textFill>
                  <w14:solidFill>
                    <w14:schemeClr w14:val="tx1"/>
                  </w14:solidFill>
                </w14:textFill>
              </w:rPr>
              <w:t>6.72%缴纳</w:t>
            </w:r>
            <w:r>
              <w:rPr>
                <w:color w:val="000000" w:themeColor="text1"/>
                <w:sz w:val="22"/>
                <w:szCs w:val="22"/>
                <w14:textFill>
                  <w14:solidFill>
                    <w14:schemeClr w14:val="tx1"/>
                  </w14:solidFill>
                </w14:textFill>
              </w:rPr>
              <w:t xml:space="preserve">  </w:t>
            </w:r>
            <w:r>
              <w:rPr>
                <w:color w:val="000000" w:themeColor="text1"/>
                <w:spacing w:val="3"/>
                <w:sz w:val="22"/>
                <w:szCs w:val="22"/>
                <w14:textFill>
                  <w14:solidFill>
                    <w14:schemeClr w14:val="tx1"/>
                  </w14:solidFill>
                </w14:textFill>
              </w:rPr>
              <w:t>法定税费。增值税6%，附加税</w:t>
            </w:r>
            <w:r>
              <w:rPr>
                <w:color w:val="000000" w:themeColor="text1"/>
                <w:spacing w:val="-1"/>
                <w:sz w:val="22"/>
                <w:szCs w:val="22"/>
                <w14:textFill>
                  <w14:solidFill>
                    <w14:schemeClr w14:val="tx1"/>
                  </w14:solidFill>
                </w14:textFill>
              </w:rPr>
              <w:t>12%，6%*（1+12%）=6.72%</w:t>
            </w:r>
          </w:p>
        </w:tc>
      </w:tr>
      <w:tr w14:paraId="68A2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683" w:type="dxa"/>
            <w:gridSpan w:val="2"/>
            <w:vAlign w:val="center"/>
          </w:tcPr>
          <w:p w14:paraId="561306FA">
            <w:pPr>
              <w:widowControl/>
              <w:spacing w:line="360" w:lineRule="auto"/>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投标总报价（1+2+3+4）</w:t>
            </w:r>
          </w:p>
        </w:tc>
        <w:tc>
          <w:tcPr>
            <w:tcW w:w="850" w:type="dxa"/>
          </w:tcPr>
          <w:p w14:paraId="281A9E36">
            <w:pPr>
              <w:widowControl/>
              <w:spacing w:line="360" w:lineRule="auto"/>
              <w:jc w:val="center"/>
              <w:rPr>
                <w:rFonts w:ascii="宋体" w:hAnsi="宋体"/>
                <w:color w:val="000000" w:themeColor="text1"/>
                <w:kern w:val="0"/>
                <w:highlight w:val="none"/>
                <w14:textFill>
                  <w14:solidFill>
                    <w14:schemeClr w14:val="tx1"/>
                  </w14:solidFill>
                </w14:textFill>
              </w:rPr>
            </w:pPr>
          </w:p>
        </w:tc>
        <w:tc>
          <w:tcPr>
            <w:tcW w:w="779" w:type="dxa"/>
            <w:vAlign w:val="center"/>
          </w:tcPr>
          <w:p w14:paraId="457FD054">
            <w:pPr>
              <w:widowControl/>
              <w:spacing w:line="360" w:lineRule="auto"/>
              <w:jc w:val="center"/>
              <w:rPr>
                <w:rFonts w:ascii="宋体" w:hAnsi="宋体"/>
                <w:color w:val="000000" w:themeColor="text1"/>
                <w:kern w:val="0"/>
                <w:highlight w:val="none"/>
                <w14:textFill>
                  <w14:solidFill>
                    <w14:schemeClr w14:val="tx1"/>
                  </w14:solidFill>
                </w14:textFill>
              </w:rPr>
            </w:pPr>
          </w:p>
        </w:tc>
        <w:tc>
          <w:tcPr>
            <w:tcW w:w="1169" w:type="dxa"/>
            <w:vAlign w:val="center"/>
          </w:tcPr>
          <w:p w14:paraId="5C8035B7">
            <w:pPr>
              <w:widowControl/>
              <w:spacing w:line="360" w:lineRule="auto"/>
              <w:jc w:val="center"/>
              <w:rPr>
                <w:rFonts w:ascii="宋体" w:hAnsi="宋体"/>
                <w:b/>
                <w:color w:val="000000" w:themeColor="text1"/>
                <w:kern w:val="0"/>
                <w:highlight w:val="none"/>
                <w14:textFill>
                  <w14:solidFill>
                    <w14:schemeClr w14:val="tx1"/>
                  </w14:solidFill>
                </w14:textFill>
              </w:rPr>
            </w:pPr>
          </w:p>
        </w:tc>
        <w:tc>
          <w:tcPr>
            <w:tcW w:w="1283" w:type="dxa"/>
            <w:vAlign w:val="center"/>
          </w:tcPr>
          <w:p w14:paraId="7DC63E6F">
            <w:pPr>
              <w:widowControl/>
              <w:spacing w:line="360" w:lineRule="auto"/>
              <w:jc w:val="center"/>
              <w:rPr>
                <w:rFonts w:ascii="宋体" w:hAnsi="宋体"/>
                <w:color w:val="000000" w:themeColor="text1"/>
                <w:kern w:val="0"/>
                <w:highlight w:val="none"/>
                <w14:textFill>
                  <w14:solidFill>
                    <w14:schemeClr w14:val="tx1"/>
                  </w14:solidFill>
                </w14:textFill>
              </w:rPr>
            </w:pPr>
          </w:p>
        </w:tc>
        <w:tc>
          <w:tcPr>
            <w:tcW w:w="3464" w:type="dxa"/>
            <w:vAlign w:val="center"/>
          </w:tcPr>
          <w:p w14:paraId="6BAD050E">
            <w:pPr>
              <w:pStyle w:val="20"/>
              <w:spacing w:before="72" w:line="240" w:lineRule="auto"/>
              <w:rPr>
                <w:rFonts w:ascii="宋体" w:hAnsi="宋体"/>
                <w:color w:val="000000" w:themeColor="text1"/>
                <w:kern w:val="0"/>
                <w:highlight w:val="none"/>
                <w14:textFill>
                  <w14:solidFill>
                    <w14:schemeClr w14:val="tx1"/>
                  </w14:solidFill>
                </w14:textFill>
              </w:rPr>
            </w:pPr>
          </w:p>
        </w:tc>
      </w:tr>
    </w:tbl>
    <w:p w14:paraId="4DC07BB0">
      <w:pPr>
        <w:pStyle w:val="8"/>
        <w:spacing w:beforeAutospacing="0" w:afterAutospacing="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w:t>
      </w:r>
    </w:p>
    <w:p w14:paraId="2FE0A3B6">
      <w:pPr>
        <w:spacing w:line="360" w:lineRule="auto"/>
        <w:ind w:firstLine="470"/>
        <w:rPr>
          <w:rFonts w:ascii="宋体" w:hAnsi="宋体"/>
          <w:b/>
          <w:color w:val="000000" w:themeColor="text1"/>
          <w:sz w:val="28"/>
          <w:szCs w:val="28"/>
          <w:highlight w:val="none"/>
          <w14:textFill>
            <w14:solidFill>
              <w14:schemeClr w14:val="tx1"/>
            </w14:solidFill>
          </w14:textFill>
        </w:rPr>
      </w:pPr>
      <w:r>
        <w:rPr>
          <w:rFonts w:hint="eastAsia" w:ascii="宋体" w:hAnsi="宋体"/>
          <w:b/>
          <w:i/>
          <w:iCs/>
          <w:color w:val="000000" w:themeColor="text1"/>
          <w:sz w:val="28"/>
          <w:szCs w:val="28"/>
          <w:highlight w:val="none"/>
          <w:u w:val="single"/>
          <w14:textFill>
            <w14:solidFill>
              <w14:schemeClr w14:val="tx1"/>
            </w14:solidFill>
          </w14:textFill>
        </w:rPr>
        <w:t>投标人</w:t>
      </w:r>
      <w:r>
        <w:rPr>
          <w:rFonts w:hint="eastAsia" w:ascii="宋体" w:hAnsi="Arial" w:cs="宋体"/>
          <w:b/>
          <w:bCs/>
          <w:i/>
          <w:iCs/>
          <w:color w:val="000000" w:themeColor="text1"/>
          <w:sz w:val="28"/>
          <w:szCs w:val="28"/>
          <w:highlight w:val="none"/>
          <w:u w:val="single"/>
          <w:lang w:val="zh-CN"/>
          <w14:textFill>
            <w14:solidFill>
              <w14:schemeClr w14:val="tx1"/>
            </w14:solidFill>
          </w14:textFill>
        </w:rPr>
        <w:t>所提供人员的费用不得低于上述标准进行测算，</w:t>
      </w:r>
      <w:r>
        <w:rPr>
          <w:rFonts w:hint="eastAsia" w:ascii="宋体" w:hAnsi="宋体"/>
          <w:b/>
          <w:i/>
          <w:iCs/>
          <w:color w:val="000000" w:themeColor="text1"/>
          <w:sz w:val="28"/>
          <w:szCs w:val="28"/>
          <w:highlight w:val="none"/>
          <w:u w:val="single"/>
          <w14:textFill>
            <w14:solidFill>
              <w14:schemeClr w14:val="tx1"/>
            </w14:solidFill>
          </w14:textFill>
        </w:rPr>
        <w:t>否则</w:t>
      </w:r>
      <w:r>
        <w:rPr>
          <w:rFonts w:hint="eastAsia" w:ascii="宋体" w:hAnsi="Arial" w:cs="宋体"/>
          <w:b/>
          <w:bCs/>
          <w:i/>
          <w:iCs/>
          <w:color w:val="000000" w:themeColor="text1"/>
          <w:sz w:val="28"/>
          <w:szCs w:val="28"/>
          <w:highlight w:val="none"/>
          <w:u w:val="single"/>
          <w:lang w:val="zh-CN"/>
          <w14:textFill>
            <w14:solidFill>
              <w14:schemeClr w14:val="tx1"/>
            </w14:solidFill>
          </w14:textFill>
        </w:rPr>
        <w:t>视为未实质性响应招标文件要求</w:t>
      </w:r>
      <w:r>
        <w:rPr>
          <w:rFonts w:hint="eastAsia" w:ascii="宋体" w:hAnsi="宋体"/>
          <w:b/>
          <w:color w:val="000000" w:themeColor="text1"/>
          <w:sz w:val="28"/>
          <w:szCs w:val="28"/>
          <w:highlight w:val="none"/>
          <w14:textFill>
            <w14:solidFill>
              <w14:schemeClr w14:val="tx1"/>
            </w14:solidFill>
          </w14:textFill>
        </w:rPr>
        <w:t>。如果招标公告发布之后</w:t>
      </w:r>
      <w:r>
        <w:rPr>
          <w:rFonts w:hint="eastAsia" w:ascii="宋体" w:hAnsi="宋体"/>
          <w:b/>
          <w:color w:val="000000" w:themeColor="text1"/>
          <w:sz w:val="28"/>
          <w:szCs w:val="28"/>
          <w:highlight w:val="none"/>
          <w:lang w:val="en-US" w:eastAsia="zh-CN"/>
          <w14:textFill>
            <w14:solidFill>
              <w14:schemeClr w14:val="tx1"/>
            </w14:solidFill>
          </w14:textFill>
        </w:rPr>
        <w:t>开标前</w:t>
      </w:r>
      <w:r>
        <w:rPr>
          <w:rFonts w:hint="eastAsia" w:ascii="宋体" w:hAnsi="宋体"/>
          <w:b/>
          <w:color w:val="000000" w:themeColor="text1"/>
          <w:sz w:val="28"/>
          <w:szCs w:val="28"/>
          <w:highlight w:val="none"/>
          <w14:textFill>
            <w14:solidFill>
              <w14:schemeClr w14:val="tx1"/>
            </w14:solidFill>
          </w14:textFill>
        </w:rPr>
        <w:t>遇政府调整职工最低工资标准或社会保险缴纳基数，</w:t>
      </w:r>
      <w:r>
        <w:rPr>
          <w:rFonts w:hint="eastAsia" w:ascii="宋体" w:hAnsi="宋体"/>
          <w:b/>
          <w:color w:val="000000" w:themeColor="text1"/>
          <w:sz w:val="28"/>
          <w:szCs w:val="28"/>
          <w:highlight w:val="none"/>
          <w:lang w:val="en-US" w:eastAsia="zh-CN"/>
          <w14:textFill>
            <w14:solidFill>
              <w14:schemeClr w14:val="tx1"/>
            </w14:solidFill>
          </w14:textFill>
        </w:rPr>
        <w:t>评标委员会进行符合性审查时</w:t>
      </w:r>
      <w:r>
        <w:rPr>
          <w:rFonts w:hint="eastAsia" w:ascii="宋体" w:hAnsi="宋体"/>
          <w:b/>
          <w:color w:val="000000" w:themeColor="text1"/>
          <w:sz w:val="28"/>
          <w:szCs w:val="28"/>
          <w:highlight w:val="none"/>
          <w14:textFill>
            <w14:solidFill>
              <w14:schemeClr w14:val="tx1"/>
            </w14:solidFill>
          </w14:textFill>
        </w:rPr>
        <w:t>可仍按上述标准</w:t>
      </w:r>
      <w:r>
        <w:rPr>
          <w:rFonts w:hint="eastAsia" w:ascii="宋体" w:hAnsi="宋体"/>
          <w:b/>
          <w:color w:val="000000" w:themeColor="text1"/>
          <w:sz w:val="28"/>
          <w:szCs w:val="28"/>
          <w:highlight w:val="none"/>
          <w:lang w:val="en-US" w:eastAsia="zh-CN"/>
          <w14:textFill>
            <w14:solidFill>
              <w14:schemeClr w14:val="tx1"/>
            </w14:solidFill>
          </w14:textFill>
        </w:rPr>
        <w:t>审查</w:t>
      </w:r>
      <w:r>
        <w:rPr>
          <w:rFonts w:hint="eastAsia" w:ascii="宋体" w:hAnsi="宋体"/>
          <w:b/>
          <w:color w:val="000000" w:themeColor="text1"/>
          <w:sz w:val="28"/>
          <w:szCs w:val="28"/>
          <w:highlight w:val="none"/>
          <w14:textFill>
            <w14:solidFill>
              <w14:schemeClr w14:val="tx1"/>
            </w14:solidFill>
          </w14:textFill>
        </w:rPr>
        <w:t>，中标后，</w:t>
      </w:r>
      <w:r>
        <w:rPr>
          <w:rFonts w:hint="eastAsia" w:ascii="宋体" w:hAnsi="宋体"/>
          <w:b/>
          <w:color w:val="000000" w:themeColor="text1"/>
          <w:sz w:val="28"/>
          <w:szCs w:val="28"/>
          <w:highlight w:val="none"/>
          <w:lang w:val="en-US" w:eastAsia="zh-CN"/>
          <w14:textFill>
            <w14:solidFill>
              <w14:schemeClr w14:val="tx1"/>
            </w14:solidFill>
          </w14:textFill>
        </w:rPr>
        <w:t>中标人应按照最新政策文件规定执行</w:t>
      </w:r>
      <w:r>
        <w:rPr>
          <w:rFonts w:hint="eastAsia" w:ascii="宋体" w:hAnsi="宋体"/>
          <w:b/>
          <w:color w:val="000000" w:themeColor="text1"/>
          <w:sz w:val="28"/>
          <w:szCs w:val="28"/>
          <w:highlight w:val="none"/>
          <w14:textFill>
            <w14:solidFill>
              <w14:schemeClr w14:val="tx1"/>
            </w14:solidFill>
          </w14:textFill>
        </w:rPr>
        <w:t>。</w:t>
      </w:r>
    </w:p>
    <w:p w14:paraId="4E1F2DC3">
      <w:pPr>
        <w:spacing w:before="196" w:line="373" w:lineRule="auto"/>
        <w:ind w:left="118" w:right="54" w:firstLine="487"/>
        <w:jc w:val="both"/>
        <w:rPr>
          <w:rFonts w:ascii="宋体" w:hAnsi="宋体" w:eastAsia="宋体" w:cs="宋体"/>
          <w:color w:val="000000" w:themeColor="text1"/>
          <w:sz w:val="24"/>
          <w:szCs w:val="24"/>
          <w14:textFill>
            <w14:solidFill>
              <w14:schemeClr w14:val="tx1"/>
            </w14:solidFill>
          </w14:textFill>
        </w:rPr>
      </w:pPr>
    </w:p>
    <w:p w14:paraId="01AB5FEE">
      <w:pPr>
        <w:pStyle w:val="8"/>
        <w:spacing w:beforeAutospacing="0" w:afterAutospacing="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w:t>
      </w:r>
    </w:p>
    <w:p w14:paraId="067667DB">
      <w:pPr>
        <w:pStyle w:val="8"/>
        <w:spacing w:beforeAutospacing="0" w:afterAutospacing="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w:t>
      </w:r>
    </w:p>
    <w:p w14:paraId="1B52F26E">
      <w:pPr>
        <w:pStyle w:val="8"/>
        <w:spacing w:beforeAutospacing="0" w:afterAutospacing="0"/>
        <w:jc w:val="right"/>
        <w:rPr>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 </w:t>
      </w:r>
      <w:r>
        <w:rPr>
          <w:rFonts w:hint="eastAsia"/>
          <w:b/>
          <w:bCs/>
          <w:color w:val="000000" w:themeColor="text1"/>
          <w:sz w:val="28"/>
          <w:szCs w:val="28"/>
          <w:lang w:bidi="ar"/>
          <w14:textFill>
            <w14:solidFill>
              <w14:schemeClr w14:val="tx1"/>
            </w14:solidFill>
          </w14:textFill>
        </w:rPr>
        <w:t xml:space="preserve"> 日期： 年  月  日</w:t>
      </w:r>
    </w:p>
    <w:p w14:paraId="0631A245">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1EF24FAB">
      <w:pPr>
        <w:pStyle w:val="8"/>
        <w:spacing w:beforeAutospacing="0" w:afterAutospacing="0"/>
        <w:jc w:val="center"/>
        <w:rPr>
          <w:color w:val="000000" w:themeColor="text1"/>
          <w14:textFill>
            <w14:solidFill>
              <w14:schemeClr w14:val="tx1"/>
            </w14:solidFill>
          </w14:textFill>
        </w:rPr>
      </w:pPr>
    </w:p>
    <w:p w14:paraId="4F7C976B">
      <w:pPr>
        <w:pStyle w:val="8"/>
        <w:spacing w:beforeAutospacing="0" w:afterAutospacing="0"/>
        <w:jc w:val="center"/>
        <w:rPr>
          <w:color w:val="000000" w:themeColor="text1"/>
          <w14:textFill>
            <w14:solidFill>
              <w14:schemeClr w14:val="tx1"/>
            </w14:solidFill>
          </w14:textFill>
        </w:rPr>
      </w:pPr>
    </w:p>
    <w:p w14:paraId="15CD697F">
      <w:pPr>
        <w:pStyle w:val="8"/>
        <w:spacing w:beforeAutospacing="0" w:afterAutospacing="0"/>
        <w:jc w:val="center"/>
        <w:rPr>
          <w:color w:val="000000" w:themeColor="text1"/>
          <w14:textFill>
            <w14:solidFill>
              <w14:schemeClr w14:val="tx1"/>
            </w14:solidFill>
          </w14:textFill>
        </w:rPr>
      </w:pPr>
    </w:p>
    <w:p w14:paraId="45F9E7FC">
      <w:pPr>
        <w:pStyle w:val="8"/>
        <w:spacing w:beforeAutospacing="0" w:afterAutospacing="0"/>
        <w:jc w:val="center"/>
        <w:rPr>
          <w:color w:val="000000" w:themeColor="text1"/>
          <w14:textFill>
            <w14:solidFill>
              <w14:schemeClr w14:val="tx1"/>
            </w14:solidFill>
          </w14:textFill>
        </w:rPr>
      </w:pPr>
    </w:p>
    <w:p w14:paraId="732C363C">
      <w:pPr>
        <w:pStyle w:val="8"/>
        <w:spacing w:beforeAutospacing="0" w:afterAutospacing="0"/>
        <w:jc w:val="center"/>
        <w:rPr>
          <w:color w:val="000000" w:themeColor="text1"/>
          <w14:textFill>
            <w14:solidFill>
              <w14:schemeClr w14:val="tx1"/>
            </w14:solidFill>
          </w14:textFill>
        </w:rPr>
      </w:pPr>
    </w:p>
    <w:p w14:paraId="0A5D9B3A">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402FD015">
      <w:pPr>
        <w:pStyle w:val="8"/>
        <w:spacing w:beforeAutospacing="0" w:afterAutospacing="0"/>
        <w:jc w:val="center"/>
        <w:rPr>
          <w:color w:val="000000" w:themeColor="text1"/>
          <w14:textFill>
            <w14:solidFill>
              <w14:schemeClr w14:val="tx1"/>
            </w14:solidFill>
          </w14:textFill>
        </w:rPr>
      </w:pPr>
    </w:p>
    <w:p w14:paraId="7CA88AAF">
      <w:pPr>
        <w:rPr>
          <w:rFonts w:hint="eastAsia" w:ascii="黑体" w:hAnsi="宋体" w:eastAsia="黑体" w:cs="黑体"/>
          <w:b/>
          <w:color w:val="000000" w:themeColor="text1"/>
          <w:sz w:val="32"/>
          <w:szCs w:val="32"/>
          <w14:textFill>
            <w14:solidFill>
              <w14:schemeClr w14:val="tx1"/>
            </w14:solidFill>
          </w14:textFill>
        </w:rPr>
      </w:pPr>
      <w:r>
        <w:rPr>
          <w:rFonts w:hint="eastAsia" w:ascii="黑体" w:hAnsi="宋体" w:eastAsia="黑体" w:cs="黑体"/>
          <w:b/>
          <w:color w:val="000000" w:themeColor="text1"/>
          <w:sz w:val="32"/>
          <w:szCs w:val="32"/>
          <w14:textFill>
            <w14:solidFill>
              <w14:schemeClr w14:val="tx1"/>
            </w14:solidFill>
          </w14:textFill>
        </w:rPr>
        <w:br w:type="page"/>
      </w:r>
    </w:p>
    <w:p w14:paraId="2D5BBECF">
      <w:pPr>
        <w:pStyle w:val="8"/>
        <w:spacing w:beforeAutospacing="0" w:afterAutospacing="0"/>
        <w:jc w:val="center"/>
        <w:rPr>
          <w:color w:val="000000" w:themeColor="text1"/>
          <w14:textFill>
            <w14:solidFill>
              <w14:schemeClr w14:val="tx1"/>
            </w14:solidFill>
          </w14:textFill>
        </w:rPr>
      </w:pPr>
      <w:r>
        <w:rPr>
          <w:rFonts w:hint="eastAsia" w:ascii="黑体" w:hAnsi="宋体" w:eastAsia="黑体" w:cs="黑体"/>
          <w:b/>
          <w:color w:val="000000" w:themeColor="text1"/>
          <w:sz w:val="32"/>
          <w:szCs w:val="32"/>
          <w14:textFill>
            <w14:solidFill>
              <w14:schemeClr w14:val="tx1"/>
            </w14:solidFill>
          </w14:textFill>
        </w:rPr>
        <w:t>十</w:t>
      </w:r>
      <w:r>
        <w:rPr>
          <w:rFonts w:hint="eastAsia" w:ascii="黑体" w:hAnsi="宋体" w:eastAsia="黑体" w:cs="黑体"/>
          <w:b/>
          <w:color w:val="000000" w:themeColor="text1"/>
          <w:sz w:val="32"/>
          <w:szCs w:val="32"/>
          <w:lang w:val="en-US" w:eastAsia="zh-CN"/>
          <w14:textFill>
            <w14:solidFill>
              <w14:schemeClr w14:val="tx1"/>
            </w14:solidFill>
          </w14:textFill>
        </w:rPr>
        <w:t>二</w:t>
      </w:r>
      <w:r>
        <w:rPr>
          <w:rFonts w:hint="eastAsia" w:ascii="黑体" w:hAnsi="宋体" w:eastAsia="黑体" w:cs="黑体"/>
          <w:b/>
          <w:color w:val="000000" w:themeColor="text1"/>
          <w:sz w:val="32"/>
          <w:szCs w:val="32"/>
          <w14:textFill>
            <w14:solidFill>
              <w14:schemeClr w14:val="tx1"/>
            </w14:solidFill>
          </w14:textFill>
        </w:rPr>
        <w:t>、技术要求响应及偏离表</w:t>
      </w:r>
    </w:p>
    <w:tbl>
      <w:tblPr>
        <w:tblStyle w:val="10"/>
        <w:tblW w:w="8520" w:type="dxa"/>
        <w:tblCellSpacing w:w="0" w:type="dxa"/>
        <w:tblInd w:w="10" w:type="dxa"/>
        <w:tblLayout w:type="fixed"/>
        <w:tblCellMar>
          <w:top w:w="0" w:type="dxa"/>
          <w:left w:w="108" w:type="dxa"/>
          <w:bottom w:w="0" w:type="dxa"/>
          <w:right w:w="108" w:type="dxa"/>
        </w:tblCellMar>
      </w:tblPr>
      <w:tblGrid>
        <w:gridCol w:w="538"/>
        <w:gridCol w:w="3026"/>
        <w:gridCol w:w="2608"/>
        <w:gridCol w:w="1247"/>
        <w:gridCol w:w="1101"/>
      </w:tblGrid>
      <w:tr w14:paraId="08548B1C">
        <w:tblPrEx>
          <w:tblCellMar>
            <w:top w:w="0" w:type="dxa"/>
            <w:left w:w="108" w:type="dxa"/>
            <w:bottom w:w="0" w:type="dxa"/>
            <w:right w:w="108" w:type="dxa"/>
          </w:tblCellMar>
        </w:tblPrEx>
        <w:trPr>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080F">
            <w:pPr>
              <w:pStyle w:val="8"/>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103C">
            <w:pPr>
              <w:pStyle w:val="8"/>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招标文件要求</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7355">
            <w:pPr>
              <w:pStyle w:val="8"/>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投标响应情况</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4078">
            <w:pPr>
              <w:pStyle w:val="8"/>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超出、符合或偏离</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070B">
            <w:pPr>
              <w:pStyle w:val="8"/>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证明</w:t>
            </w:r>
          </w:p>
          <w:p w14:paraId="62581210">
            <w:pPr>
              <w:pStyle w:val="8"/>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材料</w:t>
            </w:r>
          </w:p>
        </w:tc>
      </w:tr>
      <w:tr w14:paraId="19A44EB8">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4A7D">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E85E">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9806">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7ED7">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79D5">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21FE1052">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0DE5">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8434">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7A6D">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8FA1">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B492">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3F55A390">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1AB7">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C7D8">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48FF">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5FA0">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BA7D">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583825EF">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0720">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5112">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9F23">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DE9D">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2436">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0532FACF">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A2EE">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A1B3">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CFEB">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A5FF">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3D14">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79E1931A">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6FDA">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79C7">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50CA">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5F7F">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FAB8">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5BC7E938">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188D">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B681">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20ED">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56C7">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8D7A">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73022DDA">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AE25">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14CD">
            <w:pPr>
              <w:pStyle w:val="8"/>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BEA5">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0544">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4884">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bl>
    <w:p w14:paraId="18F41E73">
      <w:pPr>
        <w:pStyle w:val="8"/>
        <w:spacing w:beforeAutospacing="0" w:afterAutospacing="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 行数不够，可自行添加。</w:t>
      </w:r>
    </w:p>
    <w:p w14:paraId="5AADDE5B">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2C7CB066">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7781CE52">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6398D67F">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p w14:paraId="3B1C06EB">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5E844CFC">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155BA97E">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4F672947">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2EA5AA54">
      <w:pPr>
        <w:pStyle w:val="8"/>
        <w:spacing w:beforeAutospacing="0" w:afterAutospacing="0"/>
        <w:jc w:val="both"/>
        <w:rPr>
          <w:color w:val="000000" w:themeColor="text1"/>
          <w14:textFill>
            <w14:solidFill>
              <w14:schemeClr w14:val="tx1"/>
            </w14:solidFill>
          </w14:textFill>
        </w:rPr>
      </w:pPr>
    </w:p>
    <w:p w14:paraId="0DE011D4">
      <w:pPr>
        <w:pStyle w:val="8"/>
        <w:spacing w:beforeAutospacing="0" w:afterAutospacing="0"/>
        <w:jc w:val="both"/>
        <w:rPr>
          <w:color w:val="000000" w:themeColor="text1"/>
          <w14:textFill>
            <w14:solidFill>
              <w14:schemeClr w14:val="tx1"/>
            </w14:solidFill>
          </w14:textFill>
        </w:rPr>
      </w:pPr>
    </w:p>
    <w:p w14:paraId="48F390E7">
      <w:pPr>
        <w:pStyle w:val="8"/>
        <w:spacing w:beforeAutospacing="0" w:afterAutospacing="0"/>
        <w:jc w:val="both"/>
        <w:rPr>
          <w:color w:val="000000" w:themeColor="text1"/>
          <w14:textFill>
            <w14:solidFill>
              <w14:schemeClr w14:val="tx1"/>
            </w14:solidFill>
          </w14:textFill>
        </w:rPr>
      </w:pPr>
    </w:p>
    <w:p w14:paraId="74297EF8">
      <w:pPr>
        <w:pStyle w:val="8"/>
        <w:spacing w:beforeAutospacing="0" w:afterAutospacing="0"/>
        <w:jc w:val="both"/>
        <w:rPr>
          <w:color w:val="000000" w:themeColor="text1"/>
          <w14:textFill>
            <w14:solidFill>
              <w14:schemeClr w14:val="tx1"/>
            </w14:solidFill>
          </w14:textFill>
        </w:rPr>
      </w:pPr>
    </w:p>
    <w:p w14:paraId="47035C6B">
      <w:pPr>
        <w:pStyle w:val="8"/>
        <w:spacing w:beforeAutospacing="0" w:afterAutospacing="0"/>
        <w:jc w:val="both"/>
        <w:rPr>
          <w:color w:val="000000" w:themeColor="text1"/>
          <w14:textFill>
            <w14:solidFill>
              <w14:schemeClr w14:val="tx1"/>
            </w14:solidFill>
          </w14:textFill>
        </w:rPr>
      </w:pPr>
    </w:p>
    <w:p w14:paraId="4FB5D2D3">
      <w:pPr>
        <w:pStyle w:val="8"/>
        <w:spacing w:beforeAutospacing="0" w:afterAutospacing="0"/>
        <w:jc w:val="both"/>
        <w:rPr>
          <w:color w:val="000000" w:themeColor="text1"/>
          <w14:textFill>
            <w14:solidFill>
              <w14:schemeClr w14:val="tx1"/>
            </w14:solidFill>
          </w14:textFill>
        </w:rPr>
      </w:pPr>
    </w:p>
    <w:p w14:paraId="48DB42B0">
      <w:pPr>
        <w:pStyle w:val="8"/>
        <w:spacing w:beforeAutospacing="0" w:afterAutospacing="0"/>
        <w:jc w:val="both"/>
        <w:rPr>
          <w:color w:val="000000" w:themeColor="text1"/>
          <w14:textFill>
            <w14:solidFill>
              <w14:schemeClr w14:val="tx1"/>
            </w14:solidFill>
          </w14:textFill>
        </w:rPr>
      </w:pPr>
    </w:p>
    <w:p w14:paraId="5B03A258">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3D881FCC">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75F66D05">
      <w:pPr>
        <w:pStyle w:val="8"/>
        <w:spacing w:beforeAutospacing="0" w:afterAutospacing="0"/>
        <w:jc w:val="both"/>
        <w:rPr>
          <w:color w:val="000000" w:themeColor="text1"/>
          <w14:textFill>
            <w14:solidFill>
              <w14:schemeClr w14:val="tx1"/>
            </w14:solidFill>
          </w14:textFill>
        </w:rPr>
      </w:pPr>
    </w:p>
    <w:p w14:paraId="244127CD">
      <w:pPr>
        <w:pStyle w:val="8"/>
        <w:spacing w:beforeAutospacing="0" w:afterAutospacing="0"/>
        <w:jc w:val="both"/>
        <w:rPr>
          <w:color w:val="000000" w:themeColor="text1"/>
          <w14:textFill>
            <w14:solidFill>
              <w14:schemeClr w14:val="tx1"/>
            </w14:solidFill>
          </w14:textFill>
        </w:rPr>
      </w:pPr>
    </w:p>
    <w:p w14:paraId="4A1D5D0C">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537A99D8">
      <w:pPr>
        <w:pStyle w:val="8"/>
        <w:spacing w:beforeAutospacing="0" w:afterAutospacing="0"/>
        <w:jc w:val="center"/>
        <w:rPr>
          <w:rFonts w:hint="eastAsia" w:ascii="黑体" w:hAnsi="宋体" w:eastAsia="黑体" w:cs="黑体"/>
          <w:b/>
          <w:color w:val="000000" w:themeColor="text1"/>
          <w:sz w:val="32"/>
          <w:szCs w:val="32"/>
          <w14:textFill>
            <w14:solidFill>
              <w14:schemeClr w14:val="tx1"/>
            </w14:solidFill>
          </w14:textFill>
        </w:rPr>
      </w:pPr>
      <w:bookmarkStart w:id="198" w:name="_Hlt26955054"/>
    </w:p>
    <w:p w14:paraId="0F00C140">
      <w:pPr>
        <w:pStyle w:val="8"/>
        <w:spacing w:beforeAutospacing="0" w:afterAutospacing="0"/>
        <w:jc w:val="center"/>
        <w:rPr>
          <w:color w:val="000000" w:themeColor="text1"/>
          <w14:textFill>
            <w14:solidFill>
              <w14:schemeClr w14:val="tx1"/>
            </w14:solidFill>
          </w14:textFill>
        </w:rPr>
      </w:pPr>
      <w:r>
        <w:rPr>
          <w:rFonts w:hint="eastAsia" w:ascii="黑体" w:hAnsi="宋体" w:eastAsia="黑体" w:cs="黑体"/>
          <w:b/>
          <w:color w:val="000000" w:themeColor="text1"/>
          <w:sz w:val="32"/>
          <w:szCs w:val="32"/>
          <w14:textFill>
            <w14:solidFill>
              <w14:schemeClr w14:val="tx1"/>
            </w14:solidFill>
          </w14:textFill>
        </w:rPr>
        <w:t>十</w:t>
      </w:r>
      <w:r>
        <w:rPr>
          <w:rFonts w:hint="eastAsia" w:ascii="黑体" w:hAnsi="宋体" w:eastAsia="黑体" w:cs="黑体"/>
          <w:b/>
          <w:color w:val="000000" w:themeColor="text1"/>
          <w:sz w:val="32"/>
          <w:szCs w:val="32"/>
          <w:lang w:val="en-US" w:eastAsia="zh-CN"/>
          <w14:textFill>
            <w14:solidFill>
              <w14:schemeClr w14:val="tx1"/>
            </w14:solidFill>
          </w14:textFill>
        </w:rPr>
        <w:t>三</w:t>
      </w:r>
      <w:r>
        <w:rPr>
          <w:rFonts w:hint="eastAsia" w:ascii="黑体" w:hAnsi="宋体" w:eastAsia="黑体" w:cs="黑体"/>
          <w:b/>
          <w:color w:val="000000" w:themeColor="text1"/>
          <w:sz w:val="32"/>
          <w:szCs w:val="32"/>
          <w14:textFill>
            <w14:solidFill>
              <w14:schemeClr w14:val="tx1"/>
            </w14:solidFill>
          </w14:textFill>
        </w:rPr>
        <w:t>、商务要求响应及偏离表</w:t>
      </w:r>
    </w:p>
    <w:tbl>
      <w:tblPr>
        <w:tblStyle w:val="10"/>
        <w:tblW w:w="8520" w:type="dxa"/>
        <w:tblCellSpacing w:w="0" w:type="dxa"/>
        <w:tblInd w:w="10" w:type="dxa"/>
        <w:tblLayout w:type="fixed"/>
        <w:tblCellMar>
          <w:top w:w="0" w:type="dxa"/>
          <w:left w:w="108" w:type="dxa"/>
          <w:bottom w:w="0" w:type="dxa"/>
          <w:right w:w="108" w:type="dxa"/>
        </w:tblCellMar>
      </w:tblPr>
      <w:tblGrid>
        <w:gridCol w:w="661"/>
        <w:gridCol w:w="2469"/>
        <w:gridCol w:w="2645"/>
        <w:gridCol w:w="1244"/>
        <w:gridCol w:w="1501"/>
      </w:tblGrid>
      <w:tr w14:paraId="56ACC58C">
        <w:tblPrEx>
          <w:tblCellMar>
            <w:top w:w="0" w:type="dxa"/>
            <w:left w:w="108" w:type="dxa"/>
            <w:bottom w:w="0" w:type="dxa"/>
            <w:right w:w="108" w:type="dxa"/>
          </w:tblCellMar>
        </w:tblPrEx>
        <w:trPr>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390B">
            <w:pPr>
              <w:pStyle w:val="8"/>
              <w:spacing w:beforeAutospacing="0" w:afterAutospacing="0"/>
              <w:jc w:val="center"/>
              <w:rPr>
                <w:color w:val="000000" w:themeColor="text1"/>
                <w14:textFill>
                  <w14:solidFill>
                    <w14:schemeClr w14:val="tx1"/>
                  </w14:solidFill>
                </w14:textFill>
              </w:rPr>
            </w:pPr>
            <w:bookmarkStart w:id="199" w:name="_Hlt26580838"/>
            <w:bookmarkStart w:id="200" w:name="_Hlt26955056"/>
            <w:bookmarkStart w:id="201" w:name="_Hlt26671372"/>
            <w:bookmarkStart w:id="202" w:name="_Hlt26955064"/>
            <w:bookmarkStart w:id="203" w:name="_Hlt24879081"/>
            <w:bookmarkStart w:id="204" w:name="_Hlt26609391"/>
            <w:bookmarkStart w:id="205" w:name="_Hlt26782999"/>
            <w:bookmarkStart w:id="206" w:name="_Hlt26671343"/>
            <w:r>
              <w:rPr>
                <w:rFonts w:hint="eastAsia" w:ascii="宋体" w:hAnsi="宋体" w:eastAsia="宋体" w:cs="宋体"/>
                <w:color w:val="000000" w:themeColor="text1"/>
                <w14:textFill>
                  <w14:solidFill>
                    <w14:schemeClr w14:val="tx1"/>
                  </w14:solidFill>
                </w14:textFill>
              </w:rPr>
              <w:t>序号</w:t>
            </w:r>
          </w:p>
          <w:bookmarkEnd w:id="199"/>
          <w:bookmarkEnd w:id="200"/>
          <w:bookmarkEnd w:id="201"/>
          <w:bookmarkEnd w:id="202"/>
          <w:bookmarkEnd w:id="203"/>
          <w:bookmarkEnd w:id="204"/>
          <w:bookmarkEnd w:id="205"/>
          <w:bookmarkEnd w:id="206"/>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9A18">
            <w:pPr>
              <w:pStyle w:val="8"/>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招标文件要求</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2ED0">
            <w:pPr>
              <w:pStyle w:val="8"/>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投标响应情况</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2A09">
            <w:pPr>
              <w:pStyle w:val="8"/>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超出、符合或偏离</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45B0">
            <w:pPr>
              <w:pStyle w:val="8"/>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证明</w:t>
            </w:r>
          </w:p>
          <w:p w14:paraId="41A92E93">
            <w:pPr>
              <w:pStyle w:val="8"/>
              <w:spacing w:beforeAutospacing="0" w:afterAutospacing="0"/>
              <w:jc w:val="cente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材料</w:t>
            </w:r>
          </w:p>
        </w:tc>
      </w:tr>
      <w:tr w14:paraId="398E4D4B">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75DE">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FA6C">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B9F5">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391E">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3F50">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120CA06C">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0797">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5FF2">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44D4">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43F5">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29EC">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4B304098">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15F3">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19C8">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F460">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FBCF">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C888">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1BF794BE">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8741">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2309">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2EEB">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D591">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4D98">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2A23162F">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E040">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091E">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DCBC">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F81E">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3C4F">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09C83E67">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E97E">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5CA7">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14DA">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2C3A">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68B0">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7BC4ECF4">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7A45">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AA96">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F318">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7D45">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CC4A">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r w14:paraId="7A2D164D">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160B">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F696">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EFE9">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6EEC">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D92C">
            <w:pPr>
              <w:pStyle w:val="8"/>
              <w:spacing w:beforeAutospacing="0" w:afterAutospacing="0"/>
              <w:jc w:val="center"/>
              <w:rPr>
                <w:color w:val="000000" w:themeColor="text1"/>
                <w14:textFill>
                  <w14:solidFill>
                    <w14:schemeClr w14:val="tx1"/>
                  </w14:solidFill>
                </w14:textFill>
              </w:rPr>
            </w:pPr>
            <w:r>
              <w:rPr>
                <w:color w:val="000000" w:themeColor="text1"/>
                <w14:textFill>
                  <w14:solidFill>
                    <w14:schemeClr w14:val="tx1"/>
                  </w14:solidFill>
                </w14:textFill>
              </w:rPr>
              <w:t> </w:t>
            </w:r>
          </w:p>
        </w:tc>
      </w:tr>
    </w:tbl>
    <w:p w14:paraId="77CF94CB">
      <w:pPr>
        <w:pStyle w:val="8"/>
        <w:spacing w:beforeAutospacing="0" w:afterAutospacing="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 行数不够，可自行添加。</w:t>
      </w:r>
    </w:p>
    <w:p w14:paraId="1F92DA11">
      <w:pPr>
        <w:pStyle w:val="8"/>
        <w:spacing w:beforeAutospacing="0" w:afterAutospacing="0"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4A44A4DB">
      <w:pPr>
        <w:pStyle w:val="8"/>
        <w:spacing w:beforeAutospacing="0" w:afterAutospacing="0"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75B9E8B6">
      <w:pPr>
        <w:pStyle w:val="8"/>
        <w:spacing w:beforeAutospacing="0" w:afterAutospacing="0"/>
        <w:jc w:val="center"/>
        <w:rPr>
          <w:color w:val="000000" w:themeColor="text1"/>
          <w14:textFill>
            <w14:solidFill>
              <w14:schemeClr w14:val="tx1"/>
            </w14:solidFill>
          </w14:textFill>
        </w:rPr>
      </w:pPr>
      <w:bookmarkStart w:id="207" w:name="_Hlt26609389"/>
      <w:bookmarkStart w:id="208" w:name="_Hlt26955066"/>
      <w:bookmarkStart w:id="209" w:name="_Toc462564146"/>
      <w:bookmarkStart w:id="210" w:name="_格式2__法定代表人授权书"/>
      <w:bookmarkStart w:id="211" w:name="_Hlt26671374"/>
      <w:r>
        <w:rPr>
          <w:color w:val="000000" w:themeColor="text1"/>
          <w14:textFill>
            <w14:solidFill>
              <w14:schemeClr w14:val="tx1"/>
            </w14:solidFill>
          </w14:textFill>
        </w:rPr>
        <w:t> </w:t>
      </w:r>
    </w:p>
    <w:p w14:paraId="0D3F3F92">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578EE012">
      <w:pPr>
        <w:pStyle w:val="8"/>
        <w:spacing w:beforeAutospacing="0" w:afterAutospacing="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012F56A9">
      <w:pPr>
        <w:pStyle w:val="8"/>
        <w:spacing w:beforeAutospacing="0" w:afterAutospacing="0"/>
        <w:jc w:val="both"/>
        <w:rPr>
          <w:color w:val="000000" w:themeColor="text1"/>
          <w14:textFill>
            <w14:solidFill>
              <w14:schemeClr w14:val="tx1"/>
            </w14:solidFill>
          </w14:textFill>
        </w:rPr>
      </w:pPr>
    </w:p>
    <w:p w14:paraId="72D6EB5E">
      <w:pPr>
        <w:pStyle w:val="8"/>
        <w:spacing w:beforeAutospacing="0" w:afterAutospacing="0"/>
        <w:jc w:val="both"/>
        <w:rPr>
          <w:color w:val="000000" w:themeColor="text1"/>
          <w14:textFill>
            <w14:solidFill>
              <w14:schemeClr w14:val="tx1"/>
            </w14:solidFill>
          </w14:textFill>
        </w:rPr>
      </w:pPr>
    </w:p>
    <w:p w14:paraId="640EE8D9">
      <w:pPr>
        <w:pStyle w:val="8"/>
        <w:spacing w:beforeAutospacing="0" w:afterAutospacing="0"/>
        <w:jc w:val="both"/>
        <w:rPr>
          <w:color w:val="000000" w:themeColor="text1"/>
          <w14:textFill>
            <w14:solidFill>
              <w14:schemeClr w14:val="tx1"/>
            </w14:solidFill>
          </w14:textFill>
        </w:rPr>
      </w:pPr>
    </w:p>
    <w:p w14:paraId="0653AFDE">
      <w:pPr>
        <w:pStyle w:val="8"/>
        <w:spacing w:beforeAutospacing="0" w:afterAutospacing="0"/>
        <w:jc w:val="both"/>
        <w:rPr>
          <w:color w:val="000000" w:themeColor="text1"/>
          <w14:textFill>
            <w14:solidFill>
              <w14:schemeClr w14:val="tx1"/>
            </w14:solidFill>
          </w14:textFill>
        </w:rPr>
      </w:pPr>
    </w:p>
    <w:p w14:paraId="3B546D0A">
      <w:pPr>
        <w:pStyle w:val="8"/>
        <w:spacing w:beforeAutospacing="0" w:afterAutospacing="0"/>
        <w:jc w:val="both"/>
        <w:rPr>
          <w:color w:val="000000" w:themeColor="text1"/>
          <w14:textFill>
            <w14:solidFill>
              <w14:schemeClr w14:val="tx1"/>
            </w14:solidFill>
          </w14:textFill>
        </w:rPr>
      </w:pPr>
    </w:p>
    <w:p w14:paraId="799616AE">
      <w:pPr>
        <w:pStyle w:val="8"/>
        <w:spacing w:beforeAutospacing="0" w:afterAutospacing="0"/>
        <w:jc w:val="both"/>
        <w:rPr>
          <w:color w:val="000000" w:themeColor="text1"/>
          <w14:textFill>
            <w14:solidFill>
              <w14:schemeClr w14:val="tx1"/>
            </w14:solidFill>
          </w14:textFill>
        </w:rPr>
      </w:pPr>
    </w:p>
    <w:p w14:paraId="2BCCB42F">
      <w:pPr>
        <w:pStyle w:val="8"/>
        <w:spacing w:beforeAutospacing="0" w:afterAutospacing="0"/>
        <w:jc w:val="both"/>
        <w:rPr>
          <w:color w:val="000000" w:themeColor="text1"/>
          <w14:textFill>
            <w14:solidFill>
              <w14:schemeClr w14:val="tx1"/>
            </w14:solidFill>
          </w14:textFill>
        </w:rPr>
      </w:pPr>
    </w:p>
    <w:p w14:paraId="42C47464">
      <w:pPr>
        <w:pStyle w:val="8"/>
        <w:spacing w:beforeAutospacing="0" w:afterAutospacing="0"/>
        <w:jc w:val="both"/>
        <w:rPr>
          <w:color w:val="000000" w:themeColor="text1"/>
          <w14:textFill>
            <w14:solidFill>
              <w14:schemeClr w14:val="tx1"/>
            </w14:solidFill>
          </w14:textFill>
        </w:rPr>
      </w:pPr>
    </w:p>
    <w:p w14:paraId="4C95EF82">
      <w:pPr>
        <w:pStyle w:val="8"/>
        <w:spacing w:beforeAutospacing="0" w:afterAutospacing="0"/>
        <w:jc w:val="both"/>
        <w:rPr>
          <w:color w:val="000000" w:themeColor="text1"/>
          <w14:textFill>
            <w14:solidFill>
              <w14:schemeClr w14:val="tx1"/>
            </w14:solidFill>
          </w14:textFill>
        </w:rPr>
      </w:pPr>
    </w:p>
    <w:p w14:paraId="1ED9B9DD">
      <w:pPr>
        <w:pStyle w:val="8"/>
        <w:spacing w:beforeAutospacing="0" w:afterAutospacing="0"/>
        <w:jc w:val="both"/>
        <w:rPr>
          <w:color w:val="000000" w:themeColor="text1"/>
          <w14:textFill>
            <w14:solidFill>
              <w14:schemeClr w14:val="tx1"/>
            </w14:solidFill>
          </w14:textFill>
        </w:rPr>
      </w:pPr>
    </w:p>
    <w:p w14:paraId="390C4EF6">
      <w:pPr>
        <w:pStyle w:val="8"/>
        <w:spacing w:beforeAutospacing="0" w:afterAutospacing="0"/>
        <w:jc w:val="both"/>
        <w:rPr>
          <w:color w:val="000000" w:themeColor="text1"/>
          <w14:textFill>
            <w14:solidFill>
              <w14:schemeClr w14:val="tx1"/>
            </w14:solidFill>
          </w14:textFill>
        </w:rPr>
      </w:pPr>
    </w:p>
    <w:p w14:paraId="74DBEEB6">
      <w:pPr>
        <w:pStyle w:val="8"/>
        <w:spacing w:beforeAutospacing="0" w:afterAutospacing="0"/>
        <w:jc w:val="both"/>
        <w:rPr>
          <w:color w:val="000000" w:themeColor="text1"/>
          <w14:textFill>
            <w14:solidFill>
              <w14:schemeClr w14:val="tx1"/>
            </w14:solidFill>
          </w14:textFill>
        </w:rPr>
      </w:pPr>
    </w:p>
    <w:p w14:paraId="53D1F153">
      <w:pPr>
        <w:pStyle w:val="8"/>
        <w:spacing w:beforeAutospacing="0" w:afterAutospacing="0"/>
        <w:jc w:val="both"/>
        <w:rPr>
          <w:color w:val="000000" w:themeColor="text1"/>
          <w14:textFill>
            <w14:solidFill>
              <w14:schemeClr w14:val="tx1"/>
            </w14:solidFill>
          </w14:textFill>
        </w:rPr>
      </w:pPr>
    </w:p>
    <w:p w14:paraId="3FEBE424">
      <w:pPr>
        <w:pStyle w:val="8"/>
        <w:spacing w:beforeAutospacing="0" w:afterAutospacing="0"/>
        <w:jc w:val="both"/>
        <w:rPr>
          <w:color w:val="000000" w:themeColor="text1"/>
          <w14:textFill>
            <w14:solidFill>
              <w14:schemeClr w14:val="tx1"/>
            </w14:solidFill>
          </w14:textFill>
        </w:rPr>
      </w:pPr>
    </w:p>
    <w:p w14:paraId="38576BFB">
      <w:pPr>
        <w:pStyle w:val="8"/>
        <w:spacing w:beforeAutospacing="0" w:afterAutospacing="0"/>
        <w:jc w:val="both"/>
        <w:rPr>
          <w:color w:val="000000" w:themeColor="text1"/>
          <w14:textFill>
            <w14:solidFill>
              <w14:schemeClr w14:val="tx1"/>
            </w14:solidFill>
          </w14:textFill>
        </w:rPr>
      </w:pPr>
    </w:p>
    <w:p w14:paraId="23763A75">
      <w:pPr>
        <w:pStyle w:val="8"/>
        <w:spacing w:beforeAutospacing="0" w:afterAutospacing="0"/>
        <w:ind w:firstLine="2891" w:firstLineChars="900"/>
        <w:jc w:val="both"/>
        <w:rPr>
          <w:color w:val="000000" w:themeColor="text1"/>
          <w14:textFill>
            <w14:solidFill>
              <w14:schemeClr w14:val="tx1"/>
            </w14:solidFill>
          </w14:textFill>
        </w:rPr>
      </w:pPr>
      <w:r>
        <w:rPr>
          <w:rFonts w:hint="eastAsia" w:ascii="黑体" w:hAnsi="宋体" w:eastAsia="黑体" w:cs="黑体"/>
          <w:b/>
          <w:i/>
          <w:color w:val="000000" w:themeColor="text1"/>
          <w:sz w:val="32"/>
          <w:szCs w:val="32"/>
          <w:u w:val="single"/>
          <w14:textFill>
            <w14:solidFill>
              <w14:schemeClr w14:val="tx1"/>
            </w14:solidFill>
          </w14:textFill>
        </w:rPr>
        <w:t>十</w:t>
      </w:r>
      <w:r>
        <w:rPr>
          <w:rFonts w:hint="eastAsia" w:ascii="黑体" w:hAnsi="宋体" w:eastAsia="黑体" w:cs="黑体"/>
          <w:b/>
          <w:i/>
          <w:color w:val="000000" w:themeColor="text1"/>
          <w:sz w:val="32"/>
          <w:szCs w:val="32"/>
          <w:u w:val="single"/>
          <w:lang w:val="en-US" w:eastAsia="zh-CN"/>
          <w14:textFill>
            <w14:solidFill>
              <w14:schemeClr w14:val="tx1"/>
            </w14:solidFill>
          </w14:textFill>
        </w:rPr>
        <w:t>四</w:t>
      </w:r>
      <w:r>
        <w:rPr>
          <w:rFonts w:hint="eastAsia" w:ascii="黑体" w:hAnsi="宋体" w:eastAsia="黑体" w:cs="黑体"/>
          <w:b/>
          <w:i/>
          <w:color w:val="000000" w:themeColor="text1"/>
          <w:sz w:val="32"/>
          <w:szCs w:val="32"/>
          <w:u w:val="single"/>
          <w14:textFill>
            <w14:solidFill>
              <w14:schemeClr w14:val="tx1"/>
            </w14:solidFill>
          </w14:textFill>
        </w:rPr>
        <w:t>、开标一览表</w:t>
      </w:r>
    </w:p>
    <w:p w14:paraId="58217DE9">
      <w:pPr>
        <w:pStyle w:val="8"/>
        <w:keepNext w:val="0"/>
        <w:keepLines w:val="0"/>
        <w:pageBreakBefore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投标人全称（加盖CA电子签章）：</w:t>
      </w:r>
    </w:p>
    <w:p w14:paraId="3C6BED51">
      <w:pPr>
        <w:pStyle w:val="8"/>
        <w:keepNext w:val="0"/>
        <w:keepLines w:val="0"/>
        <w:pageBreakBefore w:val="0"/>
        <w:kinsoku/>
        <w:wordWrap/>
        <w:overflowPunct/>
        <w:topLinePunct w:val="0"/>
        <w:autoSpaceDE/>
        <w:autoSpaceDN/>
        <w:bidi w:val="0"/>
        <w:adjustRightInd/>
        <w:snapToGrid/>
        <w:spacing w:beforeAutospacing="0" w:afterAutospacing="0" w:line="480" w:lineRule="exact"/>
        <w:ind w:firstLine="480"/>
        <w:jc w:val="both"/>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p>
    <w:p w14:paraId="5708E0F6">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项目编号：</w:t>
      </w:r>
    </w:p>
    <w:tbl>
      <w:tblPr>
        <w:tblStyle w:val="10"/>
        <w:tblW w:w="8510" w:type="dxa"/>
        <w:tblCellSpacing w:w="0" w:type="dxa"/>
        <w:tblInd w:w="118" w:type="dxa"/>
        <w:tblLayout w:type="fixed"/>
        <w:tblCellMar>
          <w:top w:w="0" w:type="dxa"/>
          <w:left w:w="108" w:type="dxa"/>
          <w:bottom w:w="0" w:type="dxa"/>
          <w:right w:w="108" w:type="dxa"/>
        </w:tblCellMar>
      </w:tblPr>
      <w:tblGrid>
        <w:gridCol w:w="8510"/>
      </w:tblGrid>
      <w:tr w14:paraId="3A840159">
        <w:tblPrEx>
          <w:tblCellMar>
            <w:top w:w="0" w:type="dxa"/>
            <w:left w:w="108" w:type="dxa"/>
            <w:bottom w:w="0" w:type="dxa"/>
            <w:right w:w="108" w:type="dxa"/>
          </w:tblCellMar>
        </w:tblPrEx>
        <w:trPr>
          <w:trHeight w:val="725" w:hRule="atLeast"/>
          <w:tblCellSpacing w:w="0" w:type="dxa"/>
        </w:trPr>
        <w:tc>
          <w:tcPr>
            <w:tcW w:w="8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DD27">
            <w:pPr>
              <w:pStyle w:val="8"/>
              <w:spacing w:beforeAutospacing="0" w:afterAutospacing="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投标总报价</w:t>
            </w:r>
          </w:p>
        </w:tc>
      </w:tr>
      <w:tr w14:paraId="3D54ECAF">
        <w:tblPrEx>
          <w:tblCellMar>
            <w:top w:w="0" w:type="dxa"/>
            <w:left w:w="108" w:type="dxa"/>
            <w:bottom w:w="0" w:type="dxa"/>
            <w:right w:w="108" w:type="dxa"/>
          </w:tblCellMar>
        </w:tblPrEx>
        <w:trPr>
          <w:trHeight w:val="612" w:hRule="atLeast"/>
          <w:tblCellSpacing w:w="0" w:type="dxa"/>
        </w:trPr>
        <w:tc>
          <w:tcPr>
            <w:tcW w:w="8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7F1C">
            <w:pPr>
              <w:pStyle w:val="8"/>
              <w:spacing w:beforeAutospacing="0" w:afterAutospacing="0" w:line="0" w:lineRule="atLeas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小写：                       （人民币：元）</w:t>
            </w:r>
          </w:p>
        </w:tc>
      </w:tr>
      <w:tr w14:paraId="4B61244A">
        <w:tblPrEx>
          <w:tblCellMar>
            <w:top w:w="0" w:type="dxa"/>
            <w:left w:w="108" w:type="dxa"/>
            <w:bottom w:w="0" w:type="dxa"/>
            <w:right w:w="108" w:type="dxa"/>
          </w:tblCellMar>
        </w:tblPrEx>
        <w:trPr>
          <w:trHeight w:val="612" w:hRule="atLeast"/>
          <w:tblCellSpacing w:w="0" w:type="dxa"/>
        </w:trPr>
        <w:tc>
          <w:tcPr>
            <w:tcW w:w="8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98F5">
            <w:pPr>
              <w:pStyle w:val="8"/>
              <w:spacing w:beforeAutospacing="0" w:afterAutospacing="0" w:line="0" w:lineRule="atLeast"/>
              <w:rPr>
                <w:rFonts w:hint="eastAsia" w:ascii="宋体" w:hAnsi="宋体" w:eastAsia="宋体" w:cs="宋体"/>
                <w:color w:val="000000" w:themeColor="text1"/>
                <w14:textFill>
                  <w14:solidFill>
                    <w14:schemeClr w14:val="tx1"/>
                  </w14:solidFill>
                </w14:textFill>
              </w:rPr>
            </w:pPr>
            <w:r>
              <w:rPr>
                <w:color w:val="000000" w:themeColor="text1"/>
                <w:spacing w:val="-5"/>
                <w14:textFill>
                  <w14:solidFill>
                    <w14:schemeClr w14:val="tx1"/>
                  </w14:solidFill>
                </w14:textFill>
              </w:rPr>
              <w:t>报价（大写）：</w:t>
            </w:r>
          </w:p>
        </w:tc>
      </w:tr>
    </w:tbl>
    <w:p w14:paraId="55F02F3F">
      <w:pPr>
        <w:spacing w:line="360" w:lineRule="auto"/>
        <w:rPr>
          <w:rFonts w:ascii="宋体" w:hAnsi="宋体" w:cs="宋体"/>
          <w:color w:val="000000" w:themeColor="text1"/>
          <w:szCs w:val="28"/>
          <w14:textFill>
            <w14:solidFill>
              <w14:schemeClr w14:val="tx1"/>
            </w14:solidFill>
          </w14:textFill>
        </w:rPr>
      </w:pPr>
      <w:r>
        <w:rPr>
          <w:color w:val="000000" w:themeColor="text1"/>
          <w14:textFill>
            <w14:solidFill>
              <w14:schemeClr w14:val="tx1"/>
            </w14:solidFill>
          </w14:textFill>
        </w:rPr>
        <w:t> </w:t>
      </w:r>
      <w:r>
        <w:rPr>
          <w:rFonts w:hint="eastAsia" w:ascii="宋体" w:hAnsi="宋体" w:cs="宋体"/>
          <w:color w:val="000000" w:themeColor="text1"/>
          <w:szCs w:val="28"/>
          <w14:textFill>
            <w14:solidFill>
              <w14:schemeClr w14:val="tx1"/>
            </w14:solidFill>
          </w14:textFill>
        </w:rPr>
        <w:t>填写说明：</w:t>
      </w:r>
    </w:p>
    <w:p w14:paraId="5A1749CD">
      <w:pPr>
        <w:numPr>
          <w:ilvl w:val="0"/>
          <w:numId w:val="5"/>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开标一览表不得填报选择性报价，否则将作为无效投标；</w:t>
      </w:r>
    </w:p>
    <w:p w14:paraId="369C3A42">
      <w:pPr>
        <w:numPr>
          <w:ilvl w:val="0"/>
          <w:numId w:val="5"/>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开标一览表中报价与投标分项明细报价表中不符时时，以开标一览表为准；</w:t>
      </w:r>
    </w:p>
    <w:p w14:paraId="04F3AD35">
      <w:pPr>
        <w:pStyle w:val="8"/>
        <w:spacing w:beforeAutospacing="0" w:afterAutospacing="0"/>
        <w:jc w:val="both"/>
        <w:rPr>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★如服务类项目采购人可根据采购需求特点自行制作。</w:t>
      </w:r>
    </w:p>
    <w:p w14:paraId="656574EB">
      <w:pPr>
        <w:pStyle w:val="8"/>
        <w:spacing w:beforeAutospacing="0" w:afterAutospacing="0"/>
        <w:ind w:firstLine="480"/>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日期：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p w14:paraId="291CD5A3">
      <w:pPr>
        <w:pStyle w:val="8"/>
        <w:spacing w:beforeAutospacing="0" w:afterAutospacing="0"/>
        <w:ind w:firstLine="480"/>
        <w:jc w:val="both"/>
        <w:rPr>
          <w:color w:val="000000" w:themeColor="text1"/>
          <w14:textFill>
            <w14:solidFill>
              <w14:schemeClr w14:val="tx1"/>
            </w14:solidFill>
          </w14:textFill>
        </w:rPr>
      </w:pPr>
      <w:r>
        <w:rPr>
          <w:color w:val="000000" w:themeColor="text1"/>
          <w14:textFill>
            <w14:solidFill>
              <w14:schemeClr w14:val="tx1"/>
            </w14:solidFill>
          </w14:textFill>
        </w:rPr>
        <w:t> </w:t>
      </w:r>
    </w:p>
    <w:p w14:paraId="61B4F33E">
      <w:pPr>
        <w:widowControl/>
        <w:spacing w:before="50" w:after="50"/>
        <w:jc w:val="center"/>
        <w:rPr>
          <w:color w:val="000000" w:themeColor="text1"/>
          <w14:textFill>
            <w14:solidFill>
              <w14:schemeClr w14:val="tx1"/>
            </w14:solidFill>
          </w14:textFill>
        </w:rPr>
      </w:pPr>
      <w:r>
        <w:rPr>
          <w:color w:val="000000" w:themeColor="text1"/>
          <w14:textFill>
            <w14:solidFill>
              <w14:schemeClr w14:val="tx1"/>
            </w14:solidFill>
          </w14:textFill>
        </w:rPr>
        <w:tab/>
      </w:r>
    </w:p>
    <w:p w14:paraId="02BB158F">
      <w:pPr>
        <w:widowControl/>
        <w:spacing w:before="50" w:after="50"/>
        <w:jc w:val="center"/>
        <w:rPr>
          <w:color w:val="000000" w:themeColor="text1"/>
          <w14:textFill>
            <w14:solidFill>
              <w14:schemeClr w14:val="tx1"/>
            </w14:solidFill>
          </w14:textFill>
        </w:rPr>
      </w:pPr>
    </w:p>
    <w:p w14:paraId="03C9AF11">
      <w:pPr>
        <w:widowControl/>
        <w:spacing w:before="50" w:after="50"/>
        <w:jc w:val="center"/>
        <w:rPr>
          <w:color w:val="000000" w:themeColor="text1"/>
          <w14:textFill>
            <w14:solidFill>
              <w14:schemeClr w14:val="tx1"/>
            </w14:solidFill>
          </w14:textFill>
        </w:rPr>
      </w:pPr>
    </w:p>
    <w:p w14:paraId="3F6FEA7B">
      <w:pPr>
        <w:widowControl/>
        <w:spacing w:before="50" w:after="50"/>
        <w:jc w:val="center"/>
        <w:rPr>
          <w:color w:val="000000" w:themeColor="text1"/>
          <w14:textFill>
            <w14:solidFill>
              <w14:schemeClr w14:val="tx1"/>
            </w14:solidFill>
          </w14:textFill>
        </w:rPr>
      </w:pPr>
    </w:p>
    <w:p w14:paraId="0FF19471">
      <w:pPr>
        <w:widowControl/>
        <w:spacing w:before="50" w:after="50"/>
        <w:jc w:val="center"/>
        <w:rPr>
          <w:color w:val="000000" w:themeColor="text1"/>
          <w14:textFill>
            <w14:solidFill>
              <w14:schemeClr w14:val="tx1"/>
            </w14:solidFill>
          </w14:textFill>
        </w:rPr>
      </w:pPr>
    </w:p>
    <w:p w14:paraId="2DBE003B">
      <w:pPr>
        <w:widowControl/>
        <w:spacing w:before="50" w:after="50"/>
        <w:jc w:val="center"/>
        <w:rPr>
          <w:color w:val="000000" w:themeColor="text1"/>
          <w14:textFill>
            <w14:solidFill>
              <w14:schemeClr w14:val="tx1"/>
            </w14:solidFill>
          </w14:textFill>
        </w:rPr>
      </w:pPr>
    </w:p>
    <w:p w14:paraId="0114BD3A">
      <w:pPr>
        <w:widowControl/>
        <w:spacing w:before="50" w:after="50"/>
        <w:jc w:val="center"/>
        <w:rPr>
          <w:color w:val="000000" w:themeColor="text1"/>
          <w14:textFill>
            <w14:solidFill>
              <w14:schemeClr w14:val="tx1"/>
            </w14:solidFill>
          </w14:textFill>
        </w:rPr>
      </w:pPr>
    </w:p>
    <w:p w14:paraId="2A868C11">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5DEE0544">
      <w:pPr>
        <w:widowControl/>
        <w:spacing w:before="50" w:after="5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十</w:t>
      </w:r>
      <w:r>
        <w:rPr>
          <w:rFonts w:hint="eastAsia" w:ascii="宋体" w:hAnsi="宋体" w:eastAsia="宋体" w:cs="宋体"/>
          <w:color w:val="000000" w:themeColor="text1"/>
          <w:sz w:val="32"/>
          <w:szCs w:val="32"/>
          <w:lang w:val="en-US" w:eastAsia="zh-CN"/>
          <w14:textFill>
            <w14:solidFill>
              <w14:schemeClr w14:val="tx1"/>
            </w14:solidFill>
          </w14:textFill>
        </w:rPr>
        <w:t>五</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服务方案、服务人员配备</w:t>
      </w:r>
      <w:r>
        <w:rPr>
          <w:rFonts w:hint="eastAsia" w:ascii="宋体" w:hAnsi="宋体" w:eastAsia="宋体" w:cs="宋体"/>
          <w:color w:val="000000" w:themeColor="text1"/>
          <w:sz w:val="32"/>
          <w:szCs w:val="32"/>
          <w14:textFill>
            <w14:solidFill>
              <w14:schemeClr w14:val="tx1"/>
            </w14:solidFill>
          </w14:textFill>
        </w:rPr>
        <w:t>等</w:t>
      </w:r>
    </w:p>
    <w:p w14:paraId="370A0744">
      <w:pPr>
        <w:pStyle w:val="8"/>
        <w:tabs>
          <w:tab w:val="left" w:pos="2160"/>
        </w:tabs>
        <w:spacing w:beforeAutospacing="0" w:afterAutospacing="0"/>
        <w:jc w:val="both"/>
        <w:rPr>
          <w:color w:val="000000" w:themeColor="text1"/>
          <w14:textFill>
            <w14:solidFill>
              <w14:schemeClr w14:val="tx1"/>
            </w14:solidFill>
          </w14:textFill>
        </w:rPr>
      </w:pPr>
    </w:p>
    <w:p w14:paraId="732874CB">
      <w:pPr>
        <w:widowControl/>
        <w:spacing w:line="499" w:lineRule="atLeast"/>
        <w:ind w:firstLine="1600"/>
        <w:rPr>
          <w:rFonts w:ascii="宋体" w:hAnsi="宋体" w:eastAsia="宋体" w:cs="宋体"/>
          <w:color w:val="000000" w:themeColor="text1"/>
          <w:sz w:val="32"/>
          <w:szCs w:val="32"/>
          <w14:textFill>
            <w14:solidFill>
              <w14:schemeClr w14:val="tx1"/>
            </w14:solidFill>
          </w14:textFill>
        </w:rPr>
      </w:pPr>
    </w:p>
    <w:p w14:paraId="79A413A6">
      <w:pPr>
        <w:widowControl/>
        <w:spacing w:line="499" w:lineRule="atLeast"/>
        <w:ind w:firstLine="1600"/>
        <w:rPr>
          <w:rFonts w:ascii="宋体" w:hAnsi="宋体" w:eastAsia="宋体" w:cs="宋体"/>
          <w:color w:val="000000" w:themeColor="text1"/>
          <w:sz w:val="32"/>
          <w:szCs w:val="32"/>
          <w14:textFill>
            <w14:solidFill>
              <w14:schemeClr w14:val="tx1"/>
            </w14:solidFill>
          </w14:textFill>
        </w:rPr>
      </w:pPr>
    </w:p>
    <w:p w14:paraId="6BBB8F32">
      <w:pPr>
        <w:widowControl/>
        <w:spacing w:line="499" w:lineRule="atLeast"/>
        <w:ind w:firstLine="1600"/>
        <w:rPr>
          <w:rFonts w:ascii="宋体" w:hAnsi="宋体" w:eastAsia="宋体" w:cs="宋体"/>
          <w:color w:val="000000" w:themeColor="text1"/>
          <w:sz w:val="32"/>
          <w:szCs w:val="32"/>
          <w14:textFill>
            <w14:solidFill>
              <w14:schemeClr w14:val="tx1"/>
            </w14:solidFill>
          </w14:textFill>
        </w:rPr>
      </w:pPr>
    </w:p>
    <w:p w14:paraId="66590C48">
      <w:pPr>
        <w:widowControl/>
        <w:spacing w:line="499" w:lineRule="atLeast"/>
        <w:ind w:firstLine="1600"/>
        <w:rPr>
          <w:rFonts w:ascii="宋体" w:hAnsi="宋体" w:eastAsia="宋体" w:cs="宋体"/>
          <w:color w:val="000000" w:themeColor="text1"/>
          <w:sz w:val="32"/>
          <w:szCs w:val="32"/>
          <w14:textFill>
            <w14:solidFill>
              <w14:schemeClr w14:val="tx1"/>
            </w14:solidFill>
          </w14:textFill>
        </w:rPr>
      </w:pPr>
    </w:p>
    <w:p w14:paraId="4FAD2767">
      <w:pPr>
        <w:widowControl/>
        <w:spacing w:line="499" w:lineRule="atLeast"/>
        <w:ind w:firstLine="1600"/>
        <w:rPr>
          <w:rFonts w:ascii="宋体" w:hAnsi="宋体" w:eastAsia="宋体" w:cs="宋体"/>
          <w:color w:val="000000" w:themeColor="text1"/>
          <w:sz w:val="32"/>
          <w:szCs w:val="32"/>
          <w14:textFill>
            <w14:solidFill>
              <w14:schemeClr w14:val="tx1"/>
            </w14:solidFill>
          </w14:textFill>
        </w:rPr>
      </w:pPr>
    </w:p>
    <w:p w14:paraId="67682101">
      <w:pPr>
        <w:widowControl/>
        <w:spacing w:line="499" w:lineRule="atLeast"/>
        <w:ind w:firstLine="1600"/>
        <w:rPr>
          <w:rFonts w:ascii="宋体" w:hAnsi="宋体" w:eastAsia="宋体" w:cs="宋体"/>
          <w:color w:val="000000" w:themeColor="text1"/>
          <w:sz w:val="32"/>
          <w:szCs w:val="32"/>
          <w14:textFill>
            <w14:solidFill>
              <w14:schemeClr w14:val="tx1"/>
            </w14:solidFill>
          </w14:textFill>
        </w:rPr>
      </w:pPr>
    </w:p>
    <w:p w14:paraId="65C4924B">
      <w:pPr>
        <w:widowControl/>
        <w:spacing w:line="499" w:lineRule="atLeast"/>
        <w:ind w:firstLine="1600"/>
        <w:rPr>
          <w:rFonts w:ascii="宋体" w:hAnsi="宋体" w:eastAsia="宋体" w:cs="宋体"/>
          <w:color w:val="000000" w:themeColor="text1"/>
          <w:sz w:val="32"/>
          <w:szCs w:val="32"/>
          <w14:textFill>
            <w14:solidFill>
              <w14:schemeClr w14:val="tx1"/>
            </w14:solidFill>
          </w14:textFill>
        </w:rPr>
      </w:pPr>
    </w:p>
    <w:p w14:paraId="252E67E6">
      <w:pPr>
        <w:widowControl/>
        <w:spacing w:line="499" w:lineRule="atLeast"/>
        <w:ind w:firstLine="1600"/>
        <w:rPr>
          <w:rFonts w:ascii="宋体" w:hAnsi="宋体" w:eastAsia="宋体" w:cs="宋体"/>
          <w:color w:val="000000" w:themeColor="text1"/>
          <w:sz w:val="32"/>
          <w:szCs w:val="32"/>
          <w14:textFill>
            <w14:solidFill>
              <w14:schemeClr w14:val="tx1"/>
            </w14:solidFill>
          </w14:textFill>
        </w:rPr>
      </w:pPr>
    </w:p>
    <w:p w14:paraId="33266A3E">
      <w:pPr>
        <w:widowControl/>
        <w:spacing w:line="499" w:lineRule="atLeast"/>
        <w:ind w:firstLine="1600"/>
        <w:rPr>
          <w:rFonts w:ascii="宋体" w:hAnsi="宋体" w:eastAsia="宋体" w:cs="宋体"/>
          <w:color w:val="000000" w:themeColor="text1"/>
          <w:sz w:val="32"/>
          <w:szCs w:val="32"/>
          <w14:textFill>
            <w14:solidFill>
              <w14:schemeClr w14:val="tx1"/>
            </w14:solidFill>
          </w14:textFill>
        </w:rPr>
      </w:pPr>
    </w:p>
    <w:p w14:paraId="67E772B6">
      <w:pPr>
        <w:widowControl/>
        <w:spacing w:line="499" w:lineRule="atLeast"/>
        <w:ind w:firstLine="1600"/>
        <w:rPr>
          <w:rFonts w:ascii="宋体" w:hAnsi="宋体" w:eastAsia="宋体" w:cs="宋体"/>
          <w:color w:val="000000" w:themeColor="text1"/>
          <w:sz w:val="32"/>
          <w:szCs w:val="32"/>
          <w14:textFill>
            <w14:solidFill>
              <w14:schemeClr w14:val="tx1"/>
            </w14:solidFill>
          </w14:textFill>
        </w:rPr>
      </w:pPr>
    </w:p>
    <w:p w14:paraId="6E6329E2">
      <w:pPr>
        <w:widowControl/>
        <w:spacing w:line="499" w:lineRule="atLeast"/>
        <w:ind w:firstLine="1600"/>
        <w:rPr>
          <w:rFonts w:ascii="宋体" w:hAnsi="宋体" w:eastAsia="宋体" w:cs="宋体"/>
          <w:color w:val="000000" w:themeColor="text1"/>
          <w:sz w:val="32"/>
          <w:szCs w:val="32"/>
          <w14:textFill>
            <w14:solidFill>
              <w14:schemeClr w14:val="tx1"/>
            </w14:solidFill>
          </w14:textFill>
        </w:rPr>
      </w:pPr>
    </w:p>
    <w:p w14:paraId="0903E965">
      <w:pPr>
        <w:widowControl/>
        <w:spacing w:line="499" w:lineRule="atLeast"/>
        <w:ind w:firstLine="1600"/>
        <w:rPr>
          <w:rFonts w:ascii="宋体" w:hAnsi="宋体" w:eastAsia="宋体" w:cs="宋体"/>
          <w:color w:val="000000" w:themeColor="text1"/>
          <w:sz w:val="32"/>
          <w:szCs w:val="32"/>
          <w14:textFill>
            <w14:solidFill>
              <w14:schemeClr w14:val="tx1"/>
            </w14:solidFill>
          </w14:textFill>
        </w:rPr>
      </w:pPr>
    </w:p>
    <w:p w14:paraId="4FE4753A">
      <w:pPr>
        <w:widowControl/>
        <w:spacing w:line="499" w:lineRule="atLeast"/>
        <w:ind w:firstLine="1600"/>
        <w:rPr>
          <w:rFonts w:ascii="宋体" w:hAnsi="宋体" w:eastAsia="宋体" w:cs="宋体"/>
          <w:color w:val="000000" w:themeColor="text1"/>
          <w:sz w:val="32"/>
          <w:szCs w:val="32"/>
          <w14:textFill>
            <w14:solidFill>
              <w14:schemeClr w14:val="tx1"/>
            </w14:solidFill>
          </w14:textFill>
        </w:rPr>
      </w:pPr>
    </w:p>
    <w:p w14:paraId="670B7A95">
      <w:pPr>
        <w:widowControl/>
        <w:spacing w:line="499" w:lineRule="atLeast"/>
        <w:ind w:firstLine="1600"/>
        <w:rPr>
          <w:rFonts w:ascii="宋体" w:hAnsi="宋体" w:eastAsia="宋体" w:cs="宋体"/>
          <w:color w:val="000000" w:themeColor="text1"/>
          <w:sz w:val="32"/>
          <w:szCs w:val="32"/>
          <w14:textFill>
            <w14:solidFill>
              <w14:schemeClr w14:val="tx1"/>
            </w14:solidFill>
          </w14:textFill>
        </w:rPr>
      </w:pPr>
    </w:p>
    <w:p w14:paraId="66FF7937">
      <w:pPr>
        <w:widowControl/>
        <w:spacing w:line="499" w:lineRule="atLeast"/>
        <w:ind w:firstLine="1600"/>
        <w:rPr>
          <w:rFonts w:ascii="宋体" w:hAnsi="宋体" w:eastAsia="宋体" w:cs="宋体"/>
          <w:color w:val="000000" w:themeColor="text1"/>
          <w:sz w:val="32"/>
          <w:szCs w:val="32"/>
          <w14:textFill>
            <w14:solidFill>
              <w14:schemeClr w14:val="tx1"/>
            </w14:solidFill>
          </w14:textFill>
        </w:rPr>
      </w:pPr>
    </w:p>
    <w:p w14:paraId="24AF0BAA">
      <w:pPr>
        <w:widowControl/>
        <w:spacing w:line="499" w:lineRule="atLeast"/>
        <w:rPr>
          <w:rFonts w:ascii="宋体" w:hAnsi="宋体" w:eastAsia="宋体" w:cs="宋体"/>
          <w:color w:val="000000" w:themeColor="text1"/>
          <w:sz w:val="32"/>
          <w:szCs w:val="32"/>
          <w14:textFill>
            <w14:solidFill>
              <w14:schemeClr w14:val="tx1"/>
            </w14:solidFill>
          </w14:textFill>
        </w:rPr>
      </w:pPr>
    </w:p>
    <w:p w14:paraId="133846FF">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119CBE7B">
      <w:pPr>
        <w:widowControl/>
        <w:spacing w:line="499" w:lineRule="atLeast"/>
        <w:ind w:firstLine="16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十</w:t>
      </w:r>
      <w:r>
        <w:rPr>
          <w:rFonts w:hint="eastAsia" w:ascii="宋体" w:hAnsi="宋体" w:eastAsia="宋体" w:cs="宋体"/>
          <w:color w:val="000000" w:themeColor="text1"/>
          <w:sz w:val="32"/>
          <w:szCs w:val="32"/>
          <w:lang w:val="en-US" w:eastAsia="zh-CN"/>
          <w14:textFill>
            <w14:solidFill>
              <w14:schemeClr w14:val="tx1"/>
            </w14:solidFill>
          </w14:textFill>
        </w:rPr>
        <w:t>六</w:t>
      </w:r>
      <w:r>
        <w:rPr>
          <w:rFonts w:hint="eastAsia" w:ascii="宋体" w:hAnsi="宋体" w:eastAsia="宋体" w:cs="宋体"/>
          <w:color w:val="000000" w:themeColor="text1"/>
          <w:sz w:val="32"/>
          <w:szCs w:val="32"/>
          <w14:textFill>
            <w14:solidFill>
              <w14:schemeClr w14:val="tx1"/>
            </w14:solidFill>
          </w14:textFill>
        </w:rPr>
        <w:t>、盐城市政府采购事前信用承诺书</w:t>
      </w:r>
    </w:p>
    <w:p w14:paraId="78C10757">
      <w:pPr>
        <w:widowControl/>
        <w:spacing w:line="499" w:lineRule="atLeas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为营造我市公开、公平、公正、诚实守信的政府采购交易环境，树立诚信守法的投标人形象，本人代表本单位作出以下承诺：</w:t>
      </w:r>
    </w:p>
    <w:p w14:paraId="04D199FA">
      <w:pPr>
        <w:widowControl/>
        <w:spacing w:line="499" w:lineRule="atLeas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0B30A27D">
      <w:pPr>
        <w:widowControl/>
        <w:spacing w:line="499" w:lineRule="atLeas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078DD7C2">
      <w:pPr>
        <w:widowControl/>
        <w:spacing w:line="499" w:lineRule="atLeas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（三）严格依照国家和省、市关于政府采购的法律、法规、规章、规范性文件，参加政府采购投标活动；积极履行社会责任，促进廉政建设； </w:t>
      </w:r>
    </w:p>
    <w:p w14:paraId="385B9416">
      <w:pPr>
        <w:widowControl/>
        <w:spacing w:line="499" w:lineRule="atLeas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（四）严格遵守即时信息公示规定，及时维护和更新维护和更新盐城市政府采购网中与本单位相关的信息；</w:t>
      </w:r>
    </w:p>
    <w:p w14:paraId="7DCF67BE">
      <w:pPr>
        <w:widowControl/>
        <w:spacing w:line="499" w:lineRule="atLeas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五）自我约束、自我管理，守合同、重信用，自觉维护政府采购交易的良好秩序，与参与本次政府采购活动的其他供应商不存在直接控股或管理关系，不参与围标串标、弄虚作假、骗取中标、干扰评标、违约毁约等行为；</w:t>
      </w:r>
    </w:p>
    <w:p w14:paraId="04A95ECE">
      <w:pPr>
        <w:widowControl/>
        <w:spacing w:line="499" w:lineRule="atLeas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（六）自觉接受政府、行业组织、社会公众、新闻舆论的监督；</w:t>
      </w:r>
    </w:p>
    <w:p w14:paraId="56947C1F">
      <w:pPr>
        <w:widowControl/>
        <w:spacing w:line="499" w:lineRule="atLeas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5C9D2205">
      <w:pPr>
        <w:widowControl/>
        <w:spacing w:line="499" w:lineRule="atLeas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（八）本人已认真阅读了上述承诺，并向本单位员工作了宣传教育。</w:t>
      </w:r>
    </w:p>
    <w:p w14:paraId="3D3B4D8B">
      <w:pPr>
        <w:widowControl/>
        <w:spacing w:line="499" w:lineRule="atLeas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法定代表人签名：</w:t>
      </w:r>
    </w:p>
    <w:p w14:paraId="25AD2B21">
      <w:pPr>
        <w:widowControl/>
        <w:spacing w:line="499" w:lineRule="atLeas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单位名称（盖章）：</w:t>
      </w:r>
    </w:p>
    <w:p w14:paraId="00C5396E">
      <w:pPr>
        <w:widowControl/>
        <w:spacing w:line="499" w:lineRule="atLeas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年</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4452A61C">
      <w:pPr>
        <w:pStyle w:val="8"/>
        <w:spacing w:beforeAutospacing="0" w:afterAutospacing="0"/>
        <w:jc w:val="center"/>
        <w:rPr>
          <w:color w:val="000000" w:themeColor="text1"/>
          <w14:textFill>
            <w14:solidFill>
              <w14:schemeClr w14:val="tx1"/>
            </w14:solidFill>
          </w14:textFill>
        </w:rPr>
      </w:pPr>
    </w:p>
    <w:bookmarkEnd w:id="6"/>
    <w:bookmarkEnd w:id="48"/>
    <w:bookmarkEnd w:id="93"/>
    <w:bookmarkEnd w:id="94"/>
    <w:bookmarkEnd w:id="95"/>
    <w:bookmarkEnd w:id="98"/>
    <w:bookmarkEnd w:id="99"/>
    <w:bookmarkEnd w:id="100"/>
    <w:bookmarkEnd w:id="101"/>
    <w:bookmarkEnd w:id="102"/>
    <w:bookmarkEnd w:id="103"/>
    <w:bookmarkEnd w:id="104"/>
    <w:bookmarkEnd w:id="105"/>
    <w:bookmarkEnd w:id="106"/>
    <w:bookmarkEnd w:id="107"/>
    <w:bookmarkEnd w:id="108"/>
    <w:bookmarkEnd w:id="109"/>
    <w:bookmarkEnd w:id="110"/>
    <w:bookmarkEnd w:id="115"/>
    <w:bookmarkEnd w:id="116"/>
    <w:bookmarkEnd w:id="117"/>
    <w:bookmarkEnd w:id="122"/>
    <w:bookmarkEnd w:id="123"/>
    <w:bookmarkEnd w:id="130"/>
    <w:bookmarkEnd w:id="185"/>
    <w:bookmarkEnd w:id="186"/>
    <w:bookmarkEnd w:id="192"/>
    <w:bookmarkEnd w:id="193"/>
    <w:bookmarkEnd w:id="195"/>
    <w:bookmarkEnd w:id="196"/>
    <w:bookmarkEnd w:id="197"/>
    <w:bookmarkEnd w:id="198"/>
    <w:bookmarkEnd w:id="207"/>
    <w:bookmarkEnd w:id="208"/>
    <w:bookmarkEnd w:id="209"/>
    <w:bookmarkEnd w:id="210"/>
    <w:bookmarkEnd w:id="211"/>
    <w:p w14:paraId="4244AB07">
      <w:pPr>
        <w:rPr>
          <w:color w:val="000000" w:themeColor="text1"/>
          <w14:textFill>
            <w14:solidFill>
              <w14:schemeClr w14:val="tx1"/>
            </w14:solidFill>
          </w14:textFill>
        </w:rPr>
      </w:pPr>
    </w:p>
    <w:p w14:paraId="2BB2CE8A">
      <w:pPr>
        <w:pStyle w:val="8"/>
        <w:spacing w:beforeAutospacing="0" w:afterAutospacing="0"/>
        <w:jc w:val="center"/>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质疑函范本</w:t>
      </w:r>
    </w:p>
    <w:p w14:paraId="1527AF06">
      <w:pPr>
        <w:pStyle w:val="8"/>
        <w:spacing w:before="290"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一、质疑供应商基本信息</w:t>
      </w:r>
    </w:p>
    <w:p w14:paraId="3944650F">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质疑供应商：</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 xml:space="preserve">       </w:t>
      </w:r>
    </w:p>
    <w:p w14:paraId="2B2E2566">
      <w:pPr>
        <w:pStyle w:val="8"/>
        <w:spacing w:beforeAutospacing="0" w:afterAutospacing="0" w:line="360" w:lineRule="auto"/>
        <w:jc w:val="both"/>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      </w:t>
      </w:r>
    </w:p>
    <w:p w14:paraId="05E237F1">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 xml:space="preserve">        </w:t>
      </w:r>
    </w:p>
    <w:p w14:paraId="50E69B36">
      <w:pPr>
        <w:pStyle w:val="8"/>
        <w:spacing w:beforeAutospacing="0" w:afterAutospacing="0" w:line="360" w:lineRule="auto"/>
        <w:jc w:val="both"/>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 xml:space="preserve">       </w:t>
      </w:r>
    </w:p>
    <w:p w14:paraId="43CC7116">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single"/>
          <w14:textFill>
            <w14:solidFill>
              <w14:schemeClr w14:val="tx1"/>
            </w14:solidFill>
          </w14:textFill>
        </w:rPr>
        <w:t xml:space="preserve">                                           </w:t>
      </w:r>
    </w:p>
    <w:p w14:paraId="74D2D432">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授权代表：</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 xml:space="preserve">        </w:t>
      </w:r>
    </w:p>
    <w:p w14:paraId="05FFB9F5">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 xml:space="preserve">     </w:t>
      </w:r>
    </w:p>
    <w:p w14:paraId="0D53A137">
      <w:pPr>
        <w:pStyle w:val="8"/>
        <w:spacing w:beforeAutospacing="0" w:afterAutospacing="0" w:line="360" w:lineRule="auto"/>
        <w:jc w:val="both"/>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 </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 xml:space="preserve">        </w:t>
      </w:r>
    </w:p>
    <w:p w14:paraId="514B7794">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single"/>
          <w14:textFill>
            <w14:solidFill>
              <w14:schemeClr w14:val="tx1"/>
            </w14:solidFill>
          </w14:textFill>
        </w:rPr>
        <w:t xml:space="preserve">                                </w:t>
      </w:r>
    </w:p>
    <w:p w14:paraId="480489E4">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二、质疑项目基本情况</w:t>
      </w:r>
    </w:p>
    <w:p w14:paraId="063D90D0">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质疑项目的名称：</w:t>
      </w:r>
      <w:r>
        <w:rPr>
          <w:rFonts w:hint="eastAsia" w:ascii="宋体" w:hAnsi="宋体" w:eastAsia="宋体" w:cs="宋体"/>
          <w:color w:val="000000" w:themeColor="text1"/>
          <w:u w:val="single"/>
          <w14:textFill>
            <w14:solidFill>
              <w14:schemeClr w14:val="tx1"/>
            </w14:solidFill>
          </w14:textFill>
        </w:rPr>
        <w:t xml:space="preserve">                            </w:t>
      </w:r>
    </w:p>
    <w:p w14:paraId="4F686B66">
      <w:pPr>
        <w:pStyle w:val="8"/>
        <w:spacing w:beforeAutospacing="0" w:afterAutospacing="0" w:line="360" w:lineRule="auto"/>
        <w:jc w:val="both"/>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质疑项目的编号：</w:t>
      </w:r>
      <w:r>
        <w:rPr>
          <w:rFonts w:hint="eastAsia" w:ascii="宋体" w:hAnsi="宋体" w:eastAsia="宋体" w:cs="宋体"/>
          <w:color w:val="000000" w:themeColor="text1"/>
          <w:u w:val="single"/>
          <w14:textFill>
            <w14:solidFill>
              <w14:schemeClr w14:val="tx1"/>
            </w14:solidFill>
          </w14:textFill>
        </w:rPr>
        <w:t xml:space="preserve">                          </w:t>
      </w:r>
    </w:p>
    <w:p w14:paraId="7CCF4C06">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包号：</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ab/>
      </w:r>
      <w:r>
        <w:rPr>
          <w:rFonts w:hint="eastAsia" w:ascii="宋体" w:hAnsi="宋体" w:eastAsia="宋体" w:cs="宋体"/>
          <w:color w:val="000000" w:themeColor="text1"/>
          <w:u w:val="single"/>
          <w14:textFill>
            <w14:solidFill>
              <w14:schemeClr w14:val="tx1"/>
            </w14:solidFill>
          </w14:textFill>
        </w:rPr>
        <w:t xml:space="preserve">    </w:t>
      </w:r>
    </w:p>
    <w:p w14:paraId="2B3DFF2D">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采购人名称：</w:t>
      </w:r>
      <w:r>
        <w:rPr>
          <w:rFonts w:hint="eastAsia" w:ascii="宋体" w:hAnsi="宋体" w:eastAsia="宋体" w:cs="宋体"/>
          <w:color w:val="000000" w:themeColor="text1"/>
          <w:u w:val="single"/>
          <w14:textFill>
            <w14:solidFill>
              <w14:schemeClr w14:val="tx1"/>
            </w14:solidFill>
          </w14:textFill>
        </w:rPr>
        <w:t xml:space="preserve">                            </w:t>
      </w:r>
    </w:p>
    <w:p w14:paraId="20D7B74C">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采购文件获取日期：</w:t>
      </w:r>
      <w:r>
        <w:rPr>
          <w:rFonts w:hint="eastAsia" w:ascii="宋体" w:hAnsi="宋体" w:eastAsia="宋体" w:cs="宋体"/>
          <w:color w:val="000000" w:themeColor="text1"/>
          <w:u w:val="single"/>
          <w14:textFill>
            <w14:solidFill>
              <w14:schemeClr w14:val="tx1"/>
            </w14:solidFill>
          </w14:textFill>
        </w:rPr>
        <w:t xml:space="preserve">                             </w:t>
      </w:r>
    </w:p>
    <w:p w14:paraId="4385818C">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三、质疑事项具体内容</w:t>
      </w:r>
    </w:p>
    <w:p w14:paraId="1826A7D2">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质疑事项1：</w:t>
      </w:r>
      <w:r>
        <w:rPr>
          <w:rFonts w:hint="eastAsia" w:ascii="宋体" w:hAnsi="宋体" w:eastAsia="宋体" w:cs="宋体"/>
          <w:color w:val="000000" w:themeColor="text1"/>
          <w:u w:val="single"/>
          <w14:textFill>
            <w14:solidFill>
              <w14:schemeClr w14:val="tx1"/>
            </w14:solidFill>
          </w14:textFill>
        </w:rPr>
        <w:t xml:space="preserve">                             </w:t>
      </w:r>
    </w:p>
    <w:p w14:paraId="2CE516D0">
      <w:pPr>
        <w:pStyle w:val="8"/>
        <w:spacing w:beforeAutospacing="0" w:afterAutospacing="0"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事实依据：</w:t>
      </w:r>
      <w:r>
        <w:rPr>
          <w:rFonts w:hint="eastAsia" w:ascii="宋体" w:hAnsi="宋体" w:eastAsia="宋体" w:cs="宋体"/>
          <w:color w:val="000000" w:themeColor="text1"/>
          <w:u w:val="single"/>
          <w14:textFill>
            <w14:solidFill>
              <w14:schemeClr w14:val="tx1"/>
            </w14:solidFill>
          </w14:textFill>
        </w:rPr>
        <w:t xml:space="preserve">                                                   </w:t>
      </w:r>
    </w:p>
    <w:p w14:paraId="35B90D88">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法律依据：</w:t>
      </w:r>
      <w:r>
        <w:rPr>
          <w:rFonts w:hint="eastAsia" w:ascii="宋体" w:hAnsi="宋体" w:eastAsia="宋体" w:cs="宋体"/>
          <w:color w:val="000000" w:themeColor="text1"/>
          <w:u w:val="single"/>
          <w14:textFill>
            <w14:solidFill>
              <w14:schemeClr w14:val="tx1"/>
            </w14:solidFill>
          </w14:textFill>
        </w:rPr>
        <w:t xml:space="preserve">                                                    </w:t>
      </w:r>
    </w:p>
    <w:p w14:paraId="0F680297">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质疑事项2</w:t>
      </w:r>
    </w:p>
    <w:p w14:paraId="306958AF">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14:paraId="13FAF30A">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四、与质疑事项相关的质疑请求</w:t>
      </w:r>
    </w:p>
    <w:p w14:paraId="207F831D">
      <w:pPr>
        <w:pStyle w:val="8"/>
        <w:spacing w:beforeAutospacing="0" w:afterAutospacing="0"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请求：</w:t>
      </w:r>
      <w:r>
        <w:rPr>
          <w:rFonts w:hint="eastAsia" w:ascii="宋体" w:hAnsi="宋体" w:eastAsia="宋体" w:cs="宋体"/>
          <w:color w:val="000000" w:themeColor="text1"/>
          <w:u w:val="single"/>
          <w14:textFill>
            <w14:solidFill>
              <w14:schemeClr w14:val="tx1"/>
            </w14:solidFill>
          </w14:textFill>
        </w:rPr>
        <w:t xml:space="preserve">                                                          </w:t>
      </w:r>
    </w:p>
    <w:p w14:paraId="73D9E72C">
      <w:pPr>
        <w:pStyle w:val="8"/>
        <w:spacing w:beforeAutospacing="0" w:afterAutospacing="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签字(签章)：                 公章：               日期：    </w:t>
      </w:r>
    </w:p>
    <w:p w14:paraId="4CE91FD4">
      <w:pPr>
        <w:pStyle w:val="8"/>
        <w:spacing w:beforeAutospacing="0" w:afterAutospacing="0" w:line="0" w:lineRule="atLeast"/>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质疑函制作说明：</w:t>
      </w:r>
    </w:p>
    <w:p w14:paraId="3BA857F5">
      <w:pPr>
        <w:pStyle w:val="8"/>
        <w:widowControl/>
        <w:spacing w:beforeAutospacing="0" w:afterAutospacing="0" w:line="0" w:lineRule="atLeast"/>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1.供应商提出质疑时，应提交质疑函和必要的证明材料。</w:t>
      </w:r>
    </w:p>
    <w:p w14:paraId="6E7E391B">
      <w:pPr>
        <w:pStyle w:val="8"/>
        <w:widowControl/>
        <w:spacing w:beforeAutospacing="0" w:afterAutospacing="0" w:line="0" w:lineRule="atLeast"/>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4328B5E">
      <w:pPr>
        <w:pStyle w:val="8"/>
        <w:widowControl/>
        <w:spacing w:beforeAutospacing="0" w:afterAutospacing="0" w:line="0" w:lineRule="atLeast"/>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3.质疑供应商若对项目的某一分包进行质疑，质疑函中应列明具体分包号。</w:t>
      </w:r>
    </w:p>
    <w:p w14:paraId="575E9CBF">
      <w:pPr>
        <w:pStyle w:val="8"/>
        <w:widowControl/>
        <w:spacing w:beforeAutospacing="0" w:afterAutospacing="0" w:line="0" w:lineRule="atLeast"/>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4.质疑函的质疑事项应具体、明确，并有必要的事实依据和法律依据。</w:t>
      </w:r>
    </w:p>
    <w:p w14:paraId="3E7E8635">
      <w:pPr>
        <w:pStyle w:val="8"/>
        <w:widowControl/>
        <w:spacing w:beforeAutospacing="0" w:afterAutospacing="0" w:line="0" w:lineRule="atLeast"/>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5.质疑函的质疑请求应与质疑事项相关。</w:t>
      </w:r>
    </w:p>
    <w:p w14:paraId="2C2093D1">
      <w:pPr>
        <w:pStyle w:val="8"/>
        <w:widowControl/>
        <w:spacing w:beforeAutospacing="0" w:afterAutospacing="0" w:line="0" w:lineRule="atLeast"/>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73A9EF2">
      <w:pPr>
        <w:pStyle w:val="8"/>
        <w:spacing w:beforeAutospacing="0" w:afterAutospacing="0"/>
        <w:ind w:firstLine="42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14:paraId="0329D1BA">
      <w:pPr>
        <w:rPr>
          <w:color w:val="000000" w:themeColor="text1"/>
          <w14:textFill>
            <w14:solidFill>
              <w14:schemeClr w14:val="tx1"/>
            </w14:solidFill>
          </w14:textFill>
        </w:rPr>
      </w:pPr>
    </w:p>
    <w:p w14:paraId="652E2B9D">
      <w:pPr>
        <w:rPr>
          <w:color w:val="000000" w:themeColor="text1"/>
          <w14:textFill>
            <w14:solidFill>
              <w14:schemeClr w14:val="tx1"/>
            </w14:solidFill>
          </w14:textFill>
        </w:rPr>
      </w:pPr>
    </w:p>
    <w:sectPr>
      <w:headerReference r:id="rId10" w:type="default"/>
      <w:footerReference r:id="rId11" w:type="default"/>
      <w:pgSz w:w="11906" w:h="16838"/>
      <w:pgMar w:top="1440" w:right="1701" w:bottom="136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Noto Sans SC">
    <w:panose1 w:val="020B0200000000000000"/>
    <w:charset w:val="86"/>
    <w:family w:val="auto"/>
    <w:pitch w:val="default"/>
    <w:sig w:usb0="20000083" w:usb1="2ADF3C10" w:usb2="00000016" w:usb3="00000000" w:csb0="60060107"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9FB5A">
    <w:pPr>
      <w:spacing w:before="1" w:line="173" w:lineRule="auto"/>
      <w:ind w:left="4404"/>
      <w:rPr>
        <w:rFonts w:ascii="宋体" w:hAnsi="宋体" w:eastAsia="宋体" w:cs="宋体"/>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F1655">
    <w:pPr>
      <w:spacing w:before="1" w:line="173" w:lineRule="auto"/>
      <w:ind w:left="4404"/>
      <w:rPr>
        <w:rFonts w:ascii="宋体" w:hAnsi="宋体" w:eastAsia="宋体" w:cs="宋体"/>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72E3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872E3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7195E">
    <w:pPr>
      <w:spacing w:line="175" w:lineRule="auto"/>
      <w:ind w:left="4583"/>
      <w:rPr>
        <w:rFonts w:ascii="宋体" w:hAnsi="宋体" w:eastAsia="宋体" w:cs="宋体"/>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3A051">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53A051">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B2703">
    <w:pPr>
      <w:spacing w:line="175" w:lineRule="auto"/>
      <w:ind w:left="4401"/>
      <w:rPr>
        <w:rFonts w:ascii="宋体" w:hAnsi="宋体" w:eastAsia="宋体" w:cs="宋体"/>
        <w:sz w:val="22"/>
        <w:szCs w:val="22"/>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4AFFC">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34AFFC">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A2DC8">
    <w:pPr>
      <w:spacing w:line="175" w:lineRule="auto"/>
      <w:ind w:left="4402"/>
      <w:rPr>
        <w:rFonts w:ascii="宋体" w:hAnsi="宋体" w:eastAsia="宋体" w:cs="宋体"/>
        <w:sz w:val="22"/>
        <w:szCs w:val="22"/>
      </w:rPr>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5640C">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BB5640C">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85F64">
    <w:pPr>
      <w:pStyle w:val="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08749">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C319B">
    <w:pPr>
      <w:spacing w:before="19" w:line="219" w:lineRule="auto"/>
      <w:ind w:left="1537"/>
      <w:rPr>
        <w:rFonts w:ascii="隶书" w:hAnsi="隶书" w:eastAsia="隶书" w:cs="隶书"/>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21238">
    <w:pPr>
      <w:spacing w:before="19" w:line="219" w:lineRule="auto"/>
      <w:ind w:left="1537"/>
      <w:rPr>
        <w:rFonts w:ascii="隶书" w:hAnsi="隶书" w:eastAsia="隶书" w:cs="隶书"/>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480"/>
        </w:tabs>
        <w:ind w:left="480" w:hanging="48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EB31CF59"/>
    <w:multiLevelType w:val="singleLevel"/>
    <w:tmpl w:val="EB31CF59"/>
    <w:lvl w:ilvl="0" w:tentative="0">
      <w:start w:val="1"/>
      <w:numFmt w:val="chineseCounting"/>
      <w:suff w:val="nothing"/>
      <w:lvlText w:val="%1、"/>
      <w:lvlJc w:val="left"/>
      <w:rPr>
        <w:rFonts w:hint="eastAsia"/>
      </w:rPr>
    </w:lvl>
  </w:abstractNum>
  <w:abstractNum w:abstractNumId="2">
    <w:nsid w:val="1795598D"/>
    <w:multiLevelType w:val="singleLevel"/>
    <w:tmpl w:val="1795598D"/>
    <w:lvl w:ilvl="0" w:tentative="0">
      <w:start w:val="11"/>
      <w:numFmt w:val="chineseCounting"/>
      <w:suff w:val="nothing"/>
      <w:lvlText w:val="%1、"/>
      <w:lvlJc w:val="left"/>
      <w:rPr>
        <w:rFonts w:hint="eastAsia"/>
      </w:rPr>
    </w:lvl>
  </w:abstractNum>
  <w:abstractNum w:abstractNumId="3">
    <w:nsid w:val="1ECE587E"/>
    <w:multiLevelType w:val="singleLevel"/>
    <w:tmpl w:val="1ECE587E"/>
    <w:lvl w:ilvl="0" w:tentative="0">
      <w:start w:val="2"/>
      <w:numFmt w:val="chineseCounting"/>
      <w:suff w:val="nothing"/>
      <w:lvlText w:val="（%1）"/>
      <w:lvlJc w:val="left"/>
      <w:rPr>
        <w:rFonts w:hint="eastAsia"/>
      </w:rPr>
    </w:lvl>
  </w:abstractNum>
  <w:abstractNum w:abstractNumId="4">
    <w:nsid w:val="397A41B4"/>
    <w:multiLevelType w:val="singleLevel"/>
    <w:tmpl w:val="397A41B4"/>
    <w:lvl w:ilvl="0" w:tentative="0">
      <w:start w:val="11"/>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MmM2YzU2OTI3Y2QwZmNlY2I5YjRlZmU5MTg0NjAifQ=="/>
  </w:docVars>
  <w:rsids>
    <w:rsidRoot w:val="004C5600"/>
    <w:rsid w:val="0002561E"/>
    <w:rsid w:val="00066EBC"/>
    <w:rsid w:val="001C5EE0"/>
    <w:rsid w:val="00303F39"/>
    <w:rsid w:val="003F23CE"/>
    <w:rsid w:val="00481283"/>
    <w:rsid w:val="00491EFD"/>
    <w:rsid w:val="004C5600"/>
    <w:rsid w:val="004D5BCE"/>
    <w:rsid w:val="004E0863"/>
    <w:rsid w:val="004E32D1"/>
    <w:rsid w:val="005919D3"/>
    <w:rsid w:val="005A0FB6"/>
    <w:rsid w:val="006B6D1F"/>
    <w:rsid w:val="00755A5A"/>
    <w:rsid w:val="007D0A5A"/>
    <w:rsid w:val="007F6465"/>
    <w:rsid w:val="00884654"/>
    <w:rsid w:val="009A13B3"/>
    <w:rsid w:val="00A34AA1"/>
    <w:rsid w:val="00A80FAB"/>
    <w:rsid w:val="00DC54F3"/>
    <w:rsid w:val="00F3774C"/>
    <w:rsid w:val="00FA44B0"/>
    <w:rsid w:val="01161381"/>
    <w:rsid w:val="011B0EA7"/>
    <w:rsid w:val="01497EB9"/>
    <w:rsid w:val="014B08FF"/>
    <w:rsid w:val="01510DA4"/>
    <w:rsid w:val="01514167"/>
    <w:rsid w:val="016226ED"/>
    <w:rsid w:val="016A5229"/>
    <w:rsid w:val="0178117F"/>
    <w:rsid w:val="01822573"/>
    <w:rsid w:val="01AB198E"/>
    <w:rsid w:val="01AF70E0"/>
    <w:rsid w:val="01B3097E"/>
    <w:rsid w:val="01C13BB4"/>
    <w:rsid w:val="01C43576"/>
    <w:rsid w:val="01C44EC8"/>
    <w:rsid w:val="01C506B1"/>
    <w:rsid w:val="01E74ACC"/>
    <w:rsid w:val="021D691A"/>
    <w:rsid w:val="02443CCC"/>
    <w:rsid w:val="02491979"/>
    <w:rsid w:val="0250441F"/>
    <w:rsid w:val="02523B07"/>
    <w:rsid w:val="025920CC"/>
    <w:rsid w:val="025D6B3C"/>
    <w:rsid w:val="02632FB4"/>
    <w:rsid w:val="02816CCE"/>
    <w:rsid w:val="02897931"/>
    <w:rsid w:val="028A3101"/>
    <w:rsid w:val="028D7421"/>
    <w:rsid w:val="02986DD2"/>
    <w:rsid w:val="02A66735"/>
    <w:rsid w:val="02B40E52"/>
    <w:rsid w:val="02C62933"/>
    <w:rsid w:val="02C7538A"/>
    <w:rsid w:val="02CB7F49"/>
    <w:rsid w:val="02CC4F2C"/>
    <w:rsid w:val="02D36DFE"/>
    <w:rsid w:val="02D52AF4"/>
    <w:rsid w:val="02E7757F"/>
    <w:rsid w:val="02E80AFB"/>
    <w:rsid w:val="02E90A19"/>
    <w:rsid w:val="02EE513F"/>
    <w:rsid w:val="02FA25DD"/>
    <w:rsid w:val="030E5CC5"/>
    <w:rsid w:val="03247659"/>
    <w:rsid w:val="0331105F"/>
    <w:rsid w:val="034B52EB"/>
    <w:rsid w:val="035F1A44"/>
    <w:rsid w:val="03771961"/>
    <w:rsid w:val="038720C2"/>
    <w:rsid w:val="03874A2A"/>
    <w:rsid w:val="038B088A"/>
    <w:rsid w:val="03A8028B"/>
    <w:rsid w:val="03AA5DB1"/>
    <w:rsid w:val="03AD58A1"/>
    <w:rsid w:val="03CA1FAF"/>
    <w:rsid w:val="03D76426"/>
    <w:rsid w:val="03DF5A69"/>
    <w:rsid w:val="03E37F54"/>
    <w:rsid w:val="042F4E2A"/>
    <w:rsid w:val="045C6C41"/>
    <w:rsid w:val="04695C6C"/>
    <w:rsid w:val="046E4929"/>
    <w:rsid w:val="04796D20"/>
    <w:rsid w:val="04812FB5"/>
    <w:rsid w:val="04904FA7"/>
    <w:rsid w:val="04926F71"/>
    <w:rsid w:val="04B073F7"/>
    <w:rsid w:val="04BD1B14"/>
    <w:rsid w:val="04BD7D66"/>
    <w:rsid w:val="04BF588C"/>
    <w:rsid w:val="04C05AF4"/>
    <w:rsid w:val="04D806FC"/>
    <w:rsid w:val="04E43544"/>
    <w:rsid w:val="04E80761"/>
    <w:rsid w:val="04F82B4C"/>
    <w:rsid w:val="051536FE"/>
    <w:rsid w:val="051C4A8C"/>
    <w:rsid w:val="051E25B2"/>
    <w:rsid w:val="057228FE"/>
    <w:rsid w:val="057331F1"/>
    <w:rsid w:val="057B5C57"/>
    <w:rsid w:val="058314C5"/>
    <w:rsid w:val="059053A1"/>
    <w:rsid w:val="05991F64"/>
    <w:rsid w:val="059B0FF6"/>
    <w:rsid w:val="059D432A"/>
    <w:rsid w:val="05A30D0A"/>
    <w:rsid w:val="05C018BB"/>
    <w:rsid w:val="05DE7F94"/>
    <w:rsid w:val="05E51322"/>
    <w:rsid w:val="05F075FA"/>
    <w:rsid w:val="05FC53C3"/>
    <w:rsid w:val="061834A6"/>
    <w:rsid w:val="061C1917"/>
    <w:rsid w:val="063B7194"/>
    <w:rsid w:val="063D2F0C"/>
    <w:rsid w:val="063D464A"/>
    <w:rsid w:val="064504DC"/>
    <w:rsid w:val="065A3ABE"/>
    <w:rsid w:val="065C3B92"/>
    <w:rsid w:val="06716AC5"/>
    <w:rsid w:val="069D68EE"/>
    <w:rsid w:val="06AE7966"/>
    <w:rsid w:val="06C158EB"/>
    <w:rsid w:val="06E67100"/>
    <w:rsid w:val="07024AB1"/>
    <w:rsid w:val="070F49A2"/>
    <w:rsid w:val="07273BEE"/>
    <w:rsid w:val="072E6CF9"/>
    <w:rsid w:val="073E6F3C"/>
    <w:rsid w:val="07996868"/>
    <w:rsid w:val="079B438E"/>
    <w:rsid w:val="079E5C2C"/>
    <w:rsid w:val="07B25FDA"/>
    <w:rsid w:val="07D478A0"/>
    <w:rsid w:val="07FC0BA5"/>
    <w:rsid w:val="08031F33"/>
    <w:rsid w:val="0809228B"/>
    <w:rsid w:val="080E1F64"/>
    <w:rsid w:val="08136986"/>
    <w:rsid w:val="0822060B"/>
    <w:rsid w:val="083206B8"/>
    <w:rsid w:val="08564CB9"/>
    <w:rsid w:val="0858402D"/>
    <w:rsid w:val="08662693"/>
    <w:rsid w:val="086A5B0F"/>
    <w:rsid w:val="086C1887"/>
    <w:rsid w:val="0882554E"/>
    <w:rsid w:val="08836BD0"/>
    <w:rsid w:val="088A677D"/>
    <w:rsid w:val="08D00E36"/>
    <w:rsid w:val="08DA6AC0"/>
    <w:rsid w:val="08E60E2C"/>
    <w:rsid w:val="08F55D20"/>
    <w:rsid w:val="08FF5FF0"/>
    <w:rsid w:val="091F6973"/>
    <w:rsid w:val="09341002"/>
    <w:rsid w:val="0934746B"/>
    <w:rsid w:val="09423B34"/>
    <w:rsid w:val="094D16B8"/>
    <w:rsid w:val="09640E51"/>
    <w:rsid w:val="09684744"/>
    <w:rsid w:val="096E1637"/>
    <w:rsid w:val="0988719D"/>
    <w:rsid w:val="09AC5758"/>
    <w:rsid w:val="09B434E5"/>
    <w:rsid w:val="09C24871"/>
    <w:rsid w:val="09D64C44"/>
    <w:rsid w:val="09FB1114"/>
    <w:rsid w:val="0A033725"/>
    <w:rsid w:val="0A051860"/>
    <w:rsid w:val="0A324A4E"/>
    <w:rsid w:val="0A374116"/>
    <w:rsid w:val="0A4800D1"/>
    <w:rsid w:val="0A575936"/>
    <w:rsid w:val="0A5B7CB7"/>
    <w:rsid w:val="0A6071C9"/>
    <w:rsid w:val="0A6A21BF"/>
    <w:rsid w:val="0A911A78"/>
    <w:rsid w:val="0A9D666F"/>
    <w:rsid w:val="0AA45C68"/>
    <w:rsid w:val="0AB63231"/>
    <w:rsid w:val="0ABE2142"/>
    <w:rsid w:val="0AF0679F"/>
    <w:rsid w:val="0AF444A5"/>
    <w:rsid w:val="0AFA5870"/>
    <w:rsid w:val="0AFF3A0C"/>
    <w:rsid w:val="0B057D70"/>
    <w:rsid w:val="0B34474A"/>
    <w:rsid w:val="0B3973DD"/>
    <w:rsid w:val="0B3A5C6C"/>
    <w:rsid w:val="0B3D750A"/>
    <w:rsid w:val="0B4611F7"/>
    <w:rsid w:val="0B5F3151"/>
    <w:rsid w:val="0B680A2B"/>
    <w:rsid w:val="0B786794"/>
    <w:rsid w:val="0B7D7388"/>
    <w:rsid w:val="0B941820"/>
    <w:rsid w:val="0BAC41E4"/>
    <w:rsid w:val="0BC919C4"/>
    <w:rsid w:val="0BD53BE7"/>
    <w:rsid w:val="0BD7655D"/>
    <w:rsid w:val="0BF91683"/>
    <w:rsid w:val="0C0369A6"/>
    <w:rsid w:val="0C216E2C"/>
    <w:rsid w:val="0C2A7A8F"/>
    <w:rsid w:val="0C3B7AE8"/>
    <w:rsid w:val="0C4F5747"/>
    <w:rsid w:val="0C564D28"/>
    <w:rsid w:val="0C5B58EB"/>
    <w:rsid w:val="0C607954"/>
    <w:rsid w:val="0C6123C2"/>
    <w:rsid w:val="0C6316D6"/>
    <w:rsid w:val="0C632FA1"/>
    <w:rsid w:val="0C7D01A7"/>
    <w:rsid w:val="0C985340"/>
    <w:rsid w:val="0CB101B0"/>
    <w:rsid w:val="0CCA74C4"/>
    <w:rsid w:val="0CD32B4F"/>
    <w:rsid w:val="0CD520F0"/>
    <w:rsid w:val="0CEF2A86"/>
    <w:rsid w:val="0CF34325"/>
    <w:rsid w:val="0D0053A2"/>
    <w:rsid w:val="0D006A41"/>
    <w:rsid w:val="0D0515D6"/>
    <w:rsid w:val="0D112E31"/>
    <w:rsid w:val="0D1D75F3"/>
    <w:rsid w:val="0D257698"/>
    <w:rsid w:val="0D2C7836"/>
    <w:rsid w:val="0D58687D"/>
    <w:rsid w:val="0D6E7E4F"/>
    <w:rsid w:val="0D865199"/>
    <w:rsid w:val="0D8B3E92"/>
    <w:rsid w:val="0D8B6C53"/>
    <w:rsid w:val="0D984ECC"/>
    <w:rsid w:val="0D9D1A98"/>
    <w:rsid w:val="0D9F26FE"/>
    <w:rsid w:val="0DA66D6E"/>
    <w:rsid w:val="0DAD6BC9"/>
    <w:rsid w:val="0DE30BEE"/>
    <w:rsid w:val="0DEE2993"/>
    <w:rsid w:val="0DF742B4"/>
    <w:rsid w:val="0DF76096"/>
    <w:rsid w:val="0DF91E0E"/>
    <w:rsid w:val="0E0407B3"/>
    <w:rsid w:val="0E124C7E"/>
    <w:rsid w:val="0E2304B3"/>
    <w:rsid w:val="0E310D13"/>
    <w:rsid w:val="0E320E7D"/>
    <w:rsid w:val="0E412116"/>
    <w:rsid w:val="0E470A1E"/>
    <w:rsid w:val="0E5B4877"/>
    <w:rsid w:val="0E6059EA"/>
    <w:rsid w:val="0EAF24CD"/>
    <w:rsid w:val="0EB45D35"/>
    <w:rsid w:val="0EC10AE0"/>
    <w:rsid w:val="0EF10D38"/>
    <w:rsid w:val="0EFB3964"/>
    <w:rsid w:val="0F0071CD"/>
    <w:rsid w:val="0F0C3DC3"/>
    <w:rsid w:val="0F0D539F"/>
    <w:rsid w:val="0F292DE5"/>
    <w:rsid w:val="0F3330FE"/>
    <w:rsid w:val="0F4F31E4"/>
    <w:rsid w:val="0F5D63CD"/>
    <w:rsid w:val="0F704352"/>
    <w:rsid w:val="0F73799F"/>
    <w:rsid w:val="0F7756E1"/>
    <w:rsid w:val="0F7F51FE"/>
    <w:rsid w:val="0F9067A2"/>
    <w:rsid w:val="0F953DB9"/>
    <w:rsid w:val="0F955B67"/>
    <w:rsid w:val="0F987405"/>
    <w:rsid w:val="0F9A6451"/>
    <w:rsid w:val="0FA45DAA"/>
    <w:rsid w:val="0FB82A9F"/>
    <w:rsid w:val="0FCE2E27"/>
    <w:rsid w:val="0FE60171"/>
    <w:rsid w:val="10030D22"/>
    <w:rsid w:val="105F7726"/>
    <w:rsid w:val="106519DD"/>
    <w:rsid w:val="1074577C"/>
    <w:rsid w:val="10863702"/>
    <w:rsid w:val="109202F8"/>
    <w:rsid w:val="10961B97"/>
    <w:rsid w:val="10B93AD7"/>
    <w:rsid w:val="10BB05D5"/>
    <w:rsid w:val="10D254AD"/>
    <w:rsid w:val="10E2302E"/>
    <w:rsid w:val="10EC17B7"/>
    <w:rsid w:val="10EE09E1"/>
    <w:rsid w:val="10FD7E68"/>
    <w:rsid w:val="110C0D81"/>
    <w:rsid w:val="111331E7"/>
    <w:rsid w:val="111D4066"/>
    <w:rsid w:val="11434745"/>
    <w:rsid w:val="114535BD"/>
    <w:rsid w:val="114C494B"/>
    <w:rsid w:val="115630D4"/>
    <w:rsid w:val="1182036D"/>
    <w:rsid w:val="11963E18"/>
    <w:rsid w:val="11982F00"/>
    <w:rsid w:val="11A943E1"/>
    <w:rsid w:val="11B76268"/>
    <w:rsid w:val="11C10E95"/>
    <w:rsid w:val="11ED40C5"/>
    <w:rsid w:val="12021AC7"/>
    <w:rsid w:val="12090776"/>
    <w:rsid w:val="120D3222"/>
    <w:rsid w:val="120F3F6D"/>
    <w:rsid w:val="12104913"/>
    <w:rsid w:val="12224241"/>
    <w:rsid w:val="122F22A3"/>
    <w:rsid w:val="124E024F"/>
    <w:rsid w:val="12687563"/>
    <w:rsid w:val="12706417"/>
    <w:rsid w:val="127529C0"/>
    <w:rsid w:val="12771554"/>
    <w:rsid w:val="127777A6"/>
    <w:rsid w:val="127D4F6A"/>
    <w:rsid w:val="12897A26"/>
    <w:rsid w:val="12B0471F"/>
    <w:rsid w:val="12D05539"/>
    <w:rsid w:val="12E14FB0"/>
    <w:rsid w:val="12FC2ECD"/>
    <w:rsid w:val="12FE1C75"/>
    <w:rsid w:val="130367E4"/>
    <w:rsid w:val="131B45D5"/>
    <w:rsid w:val="132A4818"/>
    <w:rsid w:val="134C29E0"/>
    <w:rsid w:val="135B70C7"/>
    <w:rsid w:val="13A10F7E"/>
    <w:rsid w:val="13B567D8"/>
    <w:rsid w:val="13C41560"/>
    <w:rsid w:val="13C6192D"/>
    <w:rsid w:val="13C83228"/>
    <w:rsid w:val="13D12EE6"/>
    <w:rsid w:val="13D33102"/>
    <w:rsid w:val="13EB2D74"/>
    <w:rsid w:val="13F05A62"/>
    <w:rsid w:val="13FF2FDC"/>
    <w:rsid w:val="14013B2D"/>
    <w:rsid w:val="140B289C"/>
    <w:rsid w:val="141F211C"/>
    <w:rsid w:val="14213AC1"/>
    <w:rsid w:val="1426657F"/>
    <w:rsid w:val="143C7B9B"/>
    <w:rsid w:val="145F3718"/>
    <w:rsid w:val="14636234"/>
    <w:rsid w:val="14773A8D"/>
    <w:rsid w:val="14787805"/>
    <w:rsid w:val="147E306D"/>
    <w:rsid w:val="149C1746"/>
    <w:rsid w:val="149E633C"/>
    <w:rsid w:val="14BB20CF"/>
    <w:rsid w:val="14C07A0F"/>
    <w:rsid w:val="14C52A4A"/>
    <w:rsid w:val="14CD7B51"/>
    <w:rsid w:val="14EB1BED"/>
    <w:rsid w:val="14EE7AA7"/>
    <w:rsid w:val="15035321"/>
    <w:rsid w:val="150F1F7D"/>
    <w:rsid w:val="1510670E"/>
    <w:rsid w:val="151C4634"/>
    <w:rsid w:val="155B6F0B"/>
    <w:rsid w:val="15650CEA"/>
    <w:rsid w:val="15774A4E"/>
    <w:rsid w:val="15A22D8C"/>
    <w:rsid w:val="15A50AB1"/>
    <w:rsid w:val="15A9236C"/>
    <w:rsid w:val="15B66837"/>
    <w:rsid w:val="15CA22E2"/>
    <w:rsid w:val="15D13671"/>
    <w:rsid w:val="15DB629E"/>
    <w:rsid w:val="15FB06EE"/>
    <w:rsid w:val="15FB249C"/>
    <w:rsid w:val="15FF3E89"/>
    <w:rsid w:val="15FF5ADB"/>
    <w:rsid w:val="16047249"/>
    <w:rsid w:val="16133C89"/>
    <w:rsid w:val="161D2A1E"/>
    <w:rsid w:val="161D68B6"/>
    <w:rsid w:val="16201F02"/>
    <w:rsid w:val="16225C7A"/>
    <w:rsid w:val="16264531"/>
    <w:rsid w:val="165247B2"/>
    <w:rsid w:val="1663076D"/>
    <w:rsid w:val="166B6340"/>
    <w:rsid w:val="166E0EC0"/>
    <w:rsid w:val="167209B0"/>
    <w:rsid w:val="16775FC6"/>
    <w:rsid w:val="16A50D85"/>
    <w:rsid w:val="16B32805"/>
    <w:rsid w:val="16C831A6"/>
    <w:rsid w:val="16EF3DAF"/>
    <w:rsid w:val="17017F86"/>
    <w:rsid w:val="17043628"/>
    <w:rsid w:val="17471E3D"/>
    <w:rsid w:val="174727ED"/>
    <w:rsid w:val="17602EFE"/>
    <w:rsid w:val="1767603B"/>
    <w:rsid w:val="177E3384"/>
    <w:rsid w:val="17806157"/>
    <w:rsid w:val="17824C23"/>
    <w:rsid w:val="178A6FF2"/>
    <w:rsid w:val="1791130A"/>
    <w:rsid w:val="17920BDE"/>
    <w:rsid w:val="179D7CAF"/>
    <w:rsid w:val="17A45698"/>
    <w:rsid w:val="17B72E97"/>
    <w:rsid w:val="17BE45B6"/>
    <w:rsid w:val="17C90B00"/>
    <w:rsid w:val="17D460F4"/>
    <w:rsid w:val="17DE0AF9"/>
    <w:rsid w:val="17E458DD"/>
    <w:rsid w:val="17EF7DDE"/>
    <w:rsid w:val="17F13B56"/>
    <w:rsid w:val="1800023D"/>
    <w:rsid w:val="18133ACD"/>
    <w:rsid w:val="18202ECE"/>
    <w:rsid w:val="182145DD"/>
    <w:rsid w:val="18375373"/>
    <w:rsid w:val="18383533"/>
    <w:rsid w:val="18424003"/>
    <w:rsid w:val="18443D55"/>
    <w:rsid w:val="18452030"/>
    <w:rsid w:val="187F6ED7"/>
    <w:rsid w:val="18802DD1"/>
    <w:rsid w:val="18884F84"/>
    <w:rsid w:val="189B3AC2"/>
    <w:rsid w:val="18AE37F5"/>
    <w:rsid w:val="18B050E0"/>
    <w:rsid w:val="18C272A1"/>
    <w:rsid w:val="18CD40CC"/>
    <w:rsid w:val="18CE28C0"/>
    <w:rsid w:val="18D45952"/>
    <w:rsid w:val="18E4102B"/>
    <w:rsid w:val="18E442C0"/>
    <w:rsid w:val="18FA6A3B"/>
    <w:rsid w:val="19067AD5"/>
    <w:rsid w:val="198A4263"/>
    <w:rsid w:val="199C5B01"/>
    <w:rsid w:val="19AC5F87"/>
    <w:rsid w:val="19BE3EE6"/>
    <w:rsid w:val="19C73534"/>
    <w:rsid w:val="19E219A9"/>
    <w:rsid w:val="19EC0E2A"/>
    <w:rsid w:val="19F618F8"/>
    <w:rsid w:val="19FB0CBC"/>
    <w:rsid w:val="1A0C1B8B"/>
    <w:rsid w:val="1A0F43FD"/>
    <w:rsid w:val="1A1104E0"/>
    <w:rsid w:val="1A187AC0"/>
    <w:rsid w:val="1A200723"/>
    <w:rsid w:val="1A2C531A"/>
    <w:rsid w:val="1A38665C"/>
    <w:rsid w:val="1A3D7527"/>
    <w:rsid w:val="1A3E1F5E"/>
    <w:rsid w:val="1A40128B"/>
    <w:rsid w:val="1A4F3B08"/>
    <w:rsid w:val="1A7A42D7"/>
    <w:rsid w:val="1A7A5348"/>
    <w:rsid w:val="1A856BB0"/>
    <w:rsid w:val="1A943933"/>
    <w:rsid w:val="1A967D99"/>
    <w:rsid w:val="1AA03612"/>
    <w:rsid w:val="1AA9696A"/>
    <w:rsid w:val="1AC06856"/>
    <w:rsid w:val="1AD70716"/>
    <w:rsid w:val="1ADD6614"/>
    <w:rsid w:val="1ADF413A"/>
    <w:rsid w:val="1AF726B9"/>
    <w:rsid w:val="1B2A7AAB"/>
    <w:rsid w:val="1B302D64"/>
    <w:rsid w:val="1B3A5814"/>
    <w:rsid w:val="1B410951"/>
    <w:rsid w:val="1B6376C3"/>
    <w:rsid w:val="1B6A60FA"/>
    <w:rsid w:val="1B840CAA"/>
    <w:rsid w:val="1BA079B2"/>
    <w:rsid w:val="1BA710FC"/>
    <w:rsid w:val="1BBD75E9"/>
    <w:rsid w:val="1BF400B9"/>
    <w:rsid w:val="1BF43C15"/>
    <w:rsid w:val="1BF46F2B"/>
    <w:rsid w:val="1C17310F"/>
    <w:rsid w:val="1C177904"/>
    <w:rsid w:val="1C273FEB"/>
    <w:rsid w:val="1C2C1048"/>
    <w:rsid w:val="1C2F4C4D"/>
    <w:rsid w:val="1C3404B6"/>
    <w:rsid w:val="1C3F69E4"/>
    <w:rsid w:val="1C4526C3"/>
    <w:rsid w:val="1C465676"/>
    <w:rsid w:val="1C511068"/>
    <w:rsid w:val="1C5172BA"/>
    <w:rsid w:val="1C610C63"/>
    <w:rsid w:val="1C6C5EA1"/>
    <w:rsid w:val="1C6F7740"/>
    <w:rsid w:val="1C7217BC"/>
    <w:rsid w:val="1C743B04"/>
    <w:rsid w:val="1C850D11"/>
    <w:rsid w:val="1C962F1E"/>
    <w:rsid w:val="1CB34905"/>
    <w:rsid w:val="1CCF1649"/>
    <w:rsid w:val="1CD001DE"/>
    <w:rsid w:val="1CFD3B8D"/>
    <w:rsid w:val="1D091942"/>
    <w:rsid w:val="1D1A6E90"/>
    <w:rsid w:val="1D2E13A9"/>
    <w:rsid w:val="1D37025D"/>
    <w:rsid w:val="1D412E8A"/>
    <w:rsid w:val="1D4165D9"/>
    <w:rsid w:val="1D434E54"/>
    <w:rsid w:val="1D4604A0"/>
    <w:rsid w:val="1D59594E"/>
    <w:rsid w:val="1D5D053C"/>
    <w:rsid w:val="1D6B6159"/>
    <w:rsid w:val="1D8D2573"/>
    <w:rsid w:val="1DA94DED"/>
    <w:rsid w:val="1DB573D4"/>
    <w:rsid w:val="1DBC4C07"/>
    <w:rsid w:val="1DD71A40"/>
    <w:rsid w:val="1DD91F40"/>
    <w:rsid w:val="1DFB2EC7"/>
    <w:rsid w:val="1E0F522B"/>
    <w:rsid w:val="1E1D56A5"/>
    <w:rsid w:val="1E206F43"/>
    <w:rsid w:val="1E307726"/>
    <w:rsid w:val="1E48162B"/>
    <w:rsid w:val="1E495E71"/>
    <w:rsid w:val="1E4C1AE7"/>
    <w:rsid w:val="1E6409F6"/>
    <w:rsid w:val="1E6432D4"/>
    <w:rsid w:val="1E7E3C6A"/>
    <w:rsid w:val="1E806EF5"/>
    <w:rsid w:val="1E8C282B"/>
    <w:rsid w:val="1E92030E"/>
    <w:rsid w:val="1E990AA4"/>
    <w:rsid w:val="1E9E60BA"/>
    <w:rsid w:val="1E9F430C"/>
    <w:rsid w:val="1EC8234E"/>
    <w:rsid w:val="1EDA2DC5"/>
    <w:rsid w:val="1EDA5C39"/>
    <w:rsid w:val="1EE3356E"/>
    <w:rsid w:val="1EEB57A3"/>
    <w:rsid w:val="1F063671"/>
    <w:rsid w:val="1F073C5F"/>
    <w:rsid w:val="1F0B09FE"/>
    <w:rsid w:val="1F0B19A2"/>
    <w:rsid w:val="1F215001"/>
    <w:rsid w:val="1F2C0CDC"/>
    <w:rsid w:val="1F330EF8"/>
    <w:rsid w:val="1F7532BF"/>
    <w:rsid w:val="1F7A6B27"/>
    <w:rsid w:val="1F7C289F"/>
    <w:rsid w:val="1FA35CFB"/>
    <w:rsid w:val="1FA83694"/>
    <w:rsid w:val="1FA93AE5"/>
    <w:rsid w:val="1FA94D17"/>
    <w:rsid w:val="1FAA740D"/>
    <w:rsid w:val="1FAF4A23"/>
    <w:rsid w:val="1FBE07C2"/>
    <w:rsid w:val="1FDD07CD"/>
    <w:rsid w:val="1FE7768B"/>
    <w:rsid w:val="1FF133AC"/>
    <w:rsid w:val="1FFA6A70"/>
    <w:rsid w:val="2000527E"/>
    <w:rsid w:val="2000702C"/>
    <w:rsid w:val="201725C8"/>
    <w:rsid w:val="201E1DBC"/>
    <w:rsid w:val="2027280B"/>
    <w:rsid w:val="20280331"/>
    <w:rsid w:val="20294D71"/>
    <w:rsid w:val="202F6387"/>
    <w:rsid w:val="203A282B"/>
    <w:rsid w:val="2040567B"/>
    <w:rsid w:val="20481FEB"/>
    <w:rsid w:val="204F3B10"/>
    <w:rsid w:val="205729C5"/>
    <w:rsid w:val="205D26EE"/>
    <w:rsid w:val="20AD28F4"/>
    <w:rsid w:val="20C20786"/>
    <w:rsid w:val="20C242E2"/>
    <w:rsid w:val="20CF69FF"/>
    <w:rsid w:val="20D12777"/>
    <w:rsid w:val="20D34741"/>
    <w:rsid w:val="20E3074A"/>
    <w:rsid w:val="20EC794F"/>
    <w:rsid w:val="20F466B3"/>
    <w:rsid w:val="20FD17BE"/>
    <w:rsid w:val="210D605F"/>
    <w:rsid w:val="211900FB"/>
    <w:rsid w:val="211D3C0E"/>
    <w:rsid w:val="21244F9D"/>
    <w:rsid w:val="21274C73"/>
    <w:rsid w:val="213F5933"/>
    <w:rsid w:val="215018EE"/>
    <w:rsid w:val="21584C46"/>
    <w:rsid w:val="21740DA2"/>
    <w:rsid w:val="21780E44"/>
    <w:rsid w:val="217C0CE7"/>
    <w:rsid w:val="21883F48"/>
    <w:rsid w:val="21A06A9E"/>
    <w:rsid w:val="21AC6893"/>
    <w:rsid w:val="21B06830"/>
    <w:rsid w:val="21F06B7B"/>
    <w:rsid w:val="21F3172C"/>
    <w:rsid w:val="21F91F85"/>
    <w:rsid w:val="22002BCF"/>
    <w:rsid w:val="22034BB2"/>
    <w:rsid w:val="2217065D"/>
    <w:rsid w:val="2217240B"/>
    <w:rsid w:val="22200DAD"/>
    <w:rsid w:val="2234120F"/>
    <w:rsid w:val="223845F1"/>
    <w:rsid w:val="22437BC1"/>
    <w:rsid w:val="22765384"/>
    <w:rsid w:val="227930C6"/>
    <w:rsid w:val="227C56E4"/>
    <w:rsid w:val="22835549"/>
    <w:rsid w:val="22B440FE"/>
    <w:rsid w:val="22C51B93"/>
    <w:rsid w:val="22D93B65"/>
    <w:rsid w:val="22DE117B"/>
    <w:rsid w:val="22E622E5"/>
    <w:rsid w:val="22E70030"/>
    <w:rsid w:val="22F72A56"/>
    <w:rsid w:val="23056708"/>
    <w:rsid w:val="230E5C4D"/>
    <w:rsid w:val="23272B22"/>
    <w:rsid w:val="23502079"/>
    <w:rsid w:val="23531B69"/>
    <w:rsid w:val="235774D3"/>
    <w:rsid w:val="23582CDC"/>
    <w:rsid w:val="235D02F2"/>
    <w:rsid w:val="2364216F"/>
    <w:rsid w:val="237A70F6"/>
    <w:rsid w:val="23847F75"/>
    <w:rsid w:val="23863CED"/>
    <w:rsid w:val="239F2BE0"/>
    <w:rsid w:val="23A235B1"/>
    <w:rsid w:val="23C15C65"/>
    <w:rsid w:val="23C95987"/>
    <w:rsid w:val="23C97294"/>
    <w:rsid w:val="23F60126"/>
    <w:rsid w:val="24015121"/>
    <w:rsid w:val="240748BC"/>
    <w:rsid w:val="24194B61"/>
    <w:rsid w:val="242D4168"/>
    <w:rsid w:val="24711C3E"/>
    <w:rsid w:val="24731B0D"/>
    <w:rsid w:val="247840E5"/>
    <w:rsid w:val="248E2746"/>
    <w:rsid w:val="249B154A"/>
    <w:rsid w:val="24AC5084"/>
    <w:rsid w:val="24B6415E"/>
    <w:rsid w:val="24B76D91"/>
    <w:rsid w:val="24C86D86"/>
    <w:rsid w:val="24D740D4"/>
    <w:rsid w:val="24DD6C74"/>
    <w:rsid w:val="24F37160"/>
    <w:rsid w:val="25007ACF"/>
    <w:rsid w:val="25092A83"/>
    <w:rsid w:val="250D7AF6"/>
    <w:rsid w:val="25210113"/>
    <w:rsid w:val="2531619F"/>
    <w:rsid w:val="253E2CAA"/>
    <w:rsid w:val="25535E50"/>
    <w:rsid w:val="256E67E6"/>
    <w:rsid w:val="25727F3F"/>
    <w:rsid w:val="258A442B"/>
    <w:rsid w:val="258C1362"/>
    <w:rsid w:val="25943CEA"/>
    <w:rsid w:val="25CB2FB1"/>
    <w:rsid w:val="25CB455E"/>
    <w:rsid w:val="25D7082F"/>
    <w:rsid w:val="25E940BF"/>
    <w:rsid w:val="25F9591A"/>
    <w:rsid w:val="25FF38E2"/>
    <w:rsid w:val="260D24A3"/>
    <w:rsid w:val="26363B4F"/>
    <w:rsid w:val="263B7010"/>
    <w:rsid w:val="264565E4"/>
    <w:rsid w:val="26555E49"/>
    <w:rsid w:val="265575E1"/>
    <w:rsid w:val="26775B6F"/>
    <w:rsid w:val="26A85D28"/>
    <w:rsid w:val="26AD77E2"/>
    <w:rsid w:val="26AE1196"/>
    <w:rsid w:val="26B446CD"/>
    <w:rsid w:val="26C2328E"/>
    <w:rsid w:val="26C568DA"/>
    <w:rsid w:val="26C74089"/>
    <w:rsid w:val="26DE5BEE"/>
    <w:rsid w:val="26E054C2"/>
    <w:rsid w:val="26E53DB6"/>
    <w:rsid w:val="26EF1BA9"/>
    <w:rsid w:val="26EF3957"/>
    <w:rsid w:val="26F251F5"/>
    <w:rsid w:val="270513CC"/>
    <w:rsid w:val="27054F28"/>
    <w:rsid w:val="27147861"/>
    <w:rsid w:val="273B6DDF"/>
    <w:rsid w:val="2748492C"/>
    <w:rsid w:val="27651E6B"/>
    <w:rsid w:val="27806CA5"/>
    <w:rsid w:val="27910EB2"/>
    <w:rsid w:val="27912C60"/>
    <w:rsid w:val="27A40BE5"/>
    <w:rsid w:val="27BF157B"/>
    <w:rsid w:val="27C033F9"/>
    <w:rsid w:val="27E73DE2"/>
    <w:rsid w:val="2805028C"/>
    <w:rsid w:val="280D678A"/>
    <w:rsid w:val="2813585A"/>
    <w:rsid w:val="28201DDD"/>
    <w:rsid w:val="28221B0A"/>
    <w:rsid w:val="28304227"/>
    <w:rsid w:val="283C7070"/>
    <w:rsid w:val="28500425"/>
    <w:rsid w:val="285D2B42"/>
    <w:rsid w:val="288D3427"/>
    <w:rsid w:val="28981947"/>
    <w:rsid w:val="289C7B0E"/>
    <w:rsid w:val="28A569C3"/>
    <w:rsid w:val="28AE5882"/>
    <w:rsid w:val="28B766F6"/>
    <w:rsid w:val="28BE7D18"/>
    <w:rsid w:val="28D56C55"/>
    <w:rsid w:val="28D9041B"/>
    <w:rsid w:val="28D92A62"/>
    <w:rsid w:val="28E05C4D"/>
    <w:rsid w:val="28E82D54"/>
    <w:rsid w:val="28F6721F"/>
    <w:rsid w:val="28FF3BA5"/>
    <w:rsid w:val="290877C9"/>
    <w:rsid w:val="29113EEF"/>
    <w:rsid w:val="29194CBB"/>
    <w:rsid w:val="291E64FD"/>
    <w:rsid w:val="292D69B8"/>
    <w:rsid w:val="293E2974"/>
    <w:rsid w:val="29475562"/>
    <w:rsid w:val="295126A7"/>
    <w:rsid w:val="295201CD"/>
    <w:rsid w:val="295D71B6"/>
    <w:rsid w:val="295E6B72"/>
    <w:rsid w:val="2964062C"/>
    <w:rsid w:val="296E4F1C"/>
    <w:rsid w:val="297A0EB5"/>
    <w:rsid w:val="29842A7C"/>
    <w:rsid w:val="29894487"/>
    <w:rsid w:val="298F4F7D"/>
    <w:rsid w:val="29AD6474"/>
    <w:rsid w:val="29B01DC7"/>
    <w:rsid w:val="29C6459A"/>
    <w:rsid w:val="29D26AAF"/>
    <w:rsid w:val="29DD3332"/>
    <w:rsid w:val="29E8151E"/>
    <w:rsid w:val="29EE6148"/>
    <w:rsid w:val="29FD45DD"/>
    <w:rsid w:val="2A0C585F"/>
    <w:rsid w:val="2A15331C"/>
    <w:rsid w:val="2A1831C5"/>
    <w:rsid w:val="2A1A38E7"/>
    <w:rsid w:val="2A33379A"/>
    <w:rsid w:val="2A3C4787"/>
    <w:rsid w:val="2A61691A"/>
    <w:rsid w:val="2A8E0D5B"/>
    <w:rsid w:val="2AB50491"/>
    <w:rsid w:val="2ABF60CD"/>
    <w:rsid w:val="2AC31382"/>
    <w:rsid w:val="2AC670C5"/>
    <w:rsid w:val="2ACC6A20"/>
    <w:rsid w:val="2ACE1A7A"/>
    <w:rsid w:val="2B0025D7"/>
    <w:rsid w:val="2B18640C"/>
    <w:rsid w:val="2B255B99"/>
    <w:rsid w:val="2B2A1401"/>
    <w:rsid w:val="2B2E5ADA"/>
    <w:rsid w:val="2B5E72FD"/>
    <w:rsid w:val="2B6568DD"/>
    <w:rsid w:val="2B726905"/>
    <w:rsid w:val="2B7E174D"/>
    <w:rsid w:val="2B7F799F"/>
    <w:rsid w:val="2B817C7B"/>
    <w:rsid w:val="2B8723B0"/>
    <w:rsid w:val="2B9D3E9D"/>
    <w:rsid w:val="2BC5112A"/>
    <w:rsid w:val="2BD63C02"/>
    <w:rsid w:val="2BEE242F"/>
    <w:rsid w:val="2BFD4BF7"/>
    <w:rsid w:val="2C1E0536"/>
    <w:rsid w:val="2C2C11A9"/>
    <w:rsid w:val="2C311870"/>
    <w:rsid w:val="2C4556B7"/>
    <w:rsid w:val="2C526E62"/>
    <w:rsid w:val="2C5C383D"/>
    <w:rsid w:val="2C7035C2"/>
    <w:rsid w:val="2C7E6A0F"/>
    <w:rsid w:val="2C8053B1"/>
    <w:rsid w:val="2C844B41"/>
    <w:rsid w:val="2C8576C5"/>
    <w:rsid w:val="2C88409B"/>
    <w:rsid w:val="2C8D1C48"/>
    <w:rsid w:val="2CBC54FB"/>
    <w:rsid w:val="2CCB09C2"/>
    <w:rsid w:val="2CD5539D"/>
    <w:rsid w:val="2CFA3055"/>
    <w:rsid w:val="2D0126B9"/>
    <w:rsid w:val="2D1D5B06"/>
    <w:rsid w:val="2D1F0EAE"/>
    <w:rsid w:val="2D4349FC"/>
    <w:rsid w:val="2D4A5D8B"/>
    <w:rsid w:val="2D796670"/>
    <w:rsid w:val="2DA134D1"/>
    <w:rsid w:val="2DC45F81"/>
    <w:rsid w:val="2DD35D80"/>
    <w:rsid w:val="2DE113C0"/>
    <w:rsid w:val="2DE76DB3"/>
    <w:rsid w:val="2DEC3E01"/>
    <w:rsid w:val="2DF75EB6"/>
    <w:rsid w:val="2E0979F4"/>
    <w:rsid w:val="2E1168A9"/>
    <w:rsid w:val="2E1373D2"/>
    <w:rsid w:val="2E156399"/>
    <w:rsid w:val="2E24482E"/>
    <w:rsid w:val="2E2760CC"/>
    <w:rsid w:val="2E3B3926"/>
    <w:rsid w:val="2E5C3FC8"/>
    <w:rsid w:val="2E61338C"/>
    <w:rsid w:val="2E725599"/>
    <w:rsid w:val="2E755089"/>
    <w:rsid w:val="2E8758AE"/>
    <w:rsid w:val="2E96490B"/>
    <w:rsid w:val="2E9A1EAA"/>
    <w:rsid w:val="2E9E23F9"/>
    <w:rsid w:val="2EA8720D"/>
    <w:rsid w:val="2EC97664"/>
    <w:rsid w:val="2ED55B2F"/>
    <w:rsid w:val="2EF70AC6"/>
    <w:rsid w:val="2EFA10EB"/>
    <w:rsid w:val="2EFF2BA5"/>
    <w:rsid w:val="2F011DC7"/>
    <w:rsid w:val="2F09154A"/>
    <w:rsid w:val="2F0B211E"/>
    <w:rsid w:val="2F1321AD"/>
    <w:rsid w:val="2F234AE5"/>
    <w:rsid w:val="2F2E2242"/>
    <w:rsid w:val="2F307202"/>
    <w:rsid w:val="2F5F53F2"/>
    <w:rsid w:val="2F6B463E"/>
    <w:rsid w:val="2F715E2B"/>
    <w:rsid w:val="2F7E3ACA"/>
    <w:rsid w:val="2F915F4D"/>
    <w:rsid w:val="2F917932"/>
    <w:rsid w:val="2F9B422D"/>
    <w:rsid w:val="2FA01226"/>
    <w:rsid w:val="2FA132E5"/>
    <w:rsid w:val="2FA15A0A"/>
    <w:rsid w:val="2FAB0637"/>
    <w:rsid w:val="2FC11C09"/>
    <w:rsid w:val="2FCB0411"/>
    <w:rsid w:val="2FE222AB"/>
    <w:rsid w:val="2FE36A1D"/>
    <w:rsid w:val="2FEA73B1"/>
    <w:rsid w:val="3010626B"/>
    <w:rsid w:val="30130218"/>
    <w:rsid w:val="301333D5"/>
    <w:rsid w:val="30234671"/>
    <w:rsid w:val="30256996"/>
    <w:rsid w:val="302803A7"/>
    <w:rsid w:val="30330D58"/>
    <w:rsid w:val="30361AEB"/>
    <w:rsid w:val="30395AFD"/>
    <w:rsid w:val="3040525F"/>
    <w:rsid w:val="30450A8C"/>
    <w:rsid w:val="30587A03"/>
    <w:rsid w:val="307C26FF"/>
    <w:rsid w:val="30894E1C"/>
    <w:rsid w:val="308C0468"/>
    <w:rsid w:val="30901857"/>
    <w:rsid w:val="309A0DD7"/>
    <w:rsid w:val="309A2B85"/>
    <w:rsid w:val="30BA3228"/>
    <w:rsid w:val="30C7305D"/>
    <w:rsid w:val="30CB71E3"/>
    <w:rsid w:val="30D065A7"/>
    <w:rsid w:val="30D2231F"/>
    <w:rsid w:val="30E06A1A"/>
    <w:rsid w:val="30EE2ED1"/>
    <w:rsid w:val="30F34149"/>
    <w:rsid w:val="30F8139A"/>
    <w:rsid w:val="31244B45"/>
    <w:rsid w:val="312863E3"/>
    <w:rsid w:val="31295890"/>
    <w:rsid w:val="312B7C81"/>
    <w:rsid w:val="313050A5"/>
    <w:rsid w:val="314D19A6"/>
    <w:rsid w:val="314E571E"/>
    <w:rsid w:val="319121DA"/>
    <w:rsid w:val="31A43590"/>
    <w:rsid w:val="31A812D2"/>
    <w:rsid w:val="31AD7DF1"/>
    <w:rsid w:val="31DB16A7"/>
    <w:rsid w:val="31E247E4"/>
    <w:rsid w:val="31E92CB2"/>
    <w:rsid w:val="31F97D80"/>
    <w:rsid w:val="32145E9C"/>
    <w:rsid w:val="32151691"/>
    <w:rsid w:val="3216448E"/>
    <w:rsid w:val="32180206"/>
    <w:rsid w:val="324F7F4A"/>
    <w:rsid w:val="3253123E"/>
    <w:rsid w:val="32597D28"/>
    <w:rsid w:val="32715B68"/>
    <w:rsid w:val="3273368E"/>
    <w:rsid w:val="32782978"/>
    <w:rsid w:val="32785148"/>
    <w:rsid w:val="32826233"/>
    <w:rsid w:val="328533C1"/>
    <w:rsid w:val="32894C60"/>
    <w:rsid w:val="328E2276"/>
    <w:rsid w:val="32990C1B"/>
    <w:rsid w:val="32CC2D9E"/>
    <w:rsid w:val="32D00AE0"/>
    <w:rsid w:val="32D06D32"/>
    <w:rsid w:val="32E2209E"/>
    <w:rsid w:val="32E313F4"/>
    <w:rsid w:val="3310712F"/>
    <w:rsid w:val="33182487"/>
    <w:rsid w:val="33294694"/>
    <w:rsid w:val="332B21BB"/>
    <w:rsid w:val="3333106F"/>
    <w:rsid w:val="333472C1"/>
    <w:rsid w:val="334563E5"/>
    <w:rsid w:val="33456BEF"/>
    <w:rsid w:val="335E60EC"/>
    <w:rsid w:val="336254B1"/>
    <w:rsid w:val="337C2A16"/>
    <w:rsid w:val="338213DC"/>
    <w:rsid w:val="33977850"/>
    <w:rsid w:val="33AB50A9"/>
    <w:rsid w:val="33BE5F1C"/>
    <w:rsid w:val="33DB773D"/>
    <w:rsid w:val="33E10ACB"/>
    <w:rsid w:val="33E505BB"/>
    <w:rsid w:val="33F94067"/>
    <w:rsid w:val="34086058"/>
    <w:rsid w:val="341443F0"/>
    <w:rsid w:val="341669C7"/>
    <w:rsid w:val="343F5BD1"/>
    <w:rsid w:val="344057F2"/>
    <w:rsid w:val="345319C9"/>
    <w:rsid w:val="34565015"/>
    <w:rsid w:val="345B5069"/>
    <w:rsid w:val="346F4329"/>
    <w:rsid w:val="3474193F"/>
    <w:rsid w:val="348A0309"/>
    <w:rsid w:val="349B511E"/>
    <w:rsid w:val="34A02734"/>
    <w:rsid w:val="34A246FE"/>
    <w:rsid w:val="34B0363E"/>
    <w:rsid w:val="34B41DA9"/>
    <w:rsid w:val="34BD5094"/>
    <w:rsid w:val="34CD601B"/>
    <w:rsid w:val="34CE54F3"/>
    <w:rsid w:val="34D523DE"/>
    <w:rsid w:val="34FD1935"/>
    <w:rsid w:val="350363D8"/>
    <w:rsid w:val="350B4052"/>
    <w:rsid w:val="352B0250"/>
    <w:rsid w:val="353535E0"/>
    <w:rsid w:val="3538385A"/>
    <w:rsid w:val="353B7A46"/>
    <w:rsid w:val="353E674B"/>
    <w:rsid w:val="35613C72"/>
    <w:rsid w:val="357732AA"/>
    <w:rsid w:val="35780945"/>
    <w:rsid w:val="357A2F85"/>
    <w:rsid w:val="358E6A31"/>
    <w:rsid w:val="35B275CB"/>
    <w:rsid w:val="35BC17F0"/>
    <w:rsid w:val="35BF5C0C"/>
    <w:rsid w:val="35C91817"/>
    <w:rsid w:val="35D24B6F"/>
    <w:rsid w:val="35D73F34"/>
    <w:rsid w:val="3608233F"/>
    <w:rsid w:val="360B0539"/>
    <w:rsid w:val="36317AE8"/>
    <w:rsid w:val="36322D6F"/>
    <w:rsid w:val="36366780"/>
    <w:rsid w:val="363D4742"/>
    <w:rsid w:val="36440ACD"/>
    <w:rsid w:val="365466DC"/>
    <w:rsid w:val="36581519"/>
    <w:rsid w:val="365B4B65"/>
    <w:rsid w:val="366003CD"/>
    <w:rsid w:val="366F34CA"/>
    <w:rsid w:val="368D390B"/>
    <w:rsid w:val="36981915"/>
    <w:rsid w:val="36A03A91"/>
    <w:rsid w:val="36B44417"/>
    <w:rsid w:val="36B64491"/>
    <w:rsid w:val="36BA5D2F"/>
    <w:rsid w:val="36BD75CE"/>
    <w:rsid w:val="36CF7301"/>
    <w:rsid w:val="36D861B6"/>
    <w:rsid w:val="36E0150E"/>
    <w:rsid w:val="36E56B24"/>
    <w:rsid w:val="36F453E6"/>
    <w:rsid w:val="36FA5341"/>
    <w:rsid w:val="36FD3E6E"/>
    <w:rsid w:val="370B62F4"/>
    <w:rsid w:val="37117919"/>
    <w:rsid w:val="373515A2"/>
    <w:rsid w:val="373645FE"/>
    <w:rsid w:val="37576CD7"/>
    <w:rsid w:val="375C6DE7"/>
    <w:rsid w:val="37643EED"/>
    <w:rsid w:val="377A54BF"/>
    <w:rsid w:val="379203B2"/>
    <w:rsid w:val="37B3277F"/>
    <w:rsid w:val="37BD0965"/>
    <w:rsid w:val="37C067B3"/>
    <w:rsid w:val="37E90B80"/>
    <w:rsid w:val="37EA29AE"/>
    <w:rsid w:val="380D63FD"/>
    <w:rsid w:val="381E22EE"/>
    <w:rsid w:val="382F1C0E"/>
    <w:rsid w:val="384358B1"/>
    <w:rsid w:val="38561A88"/>
    <w:rsid w:val="38601122"/>
    <w:rsid w:val="386341A5"/>
    <w:rsid w:val="38692B7E"/>
    <w:rsid w:val="3876113B"/>
    <w:rsid w:val="38767A34"/>
    <w:rsid w:val="38785E8E"/>
    <w:rsid w:val="38876E31"/>
    <w:rsid w:val="388E4CAC"/>
    <w:rsid w:val="38A8605B"/>
    <w:rsid w:val="38AC5B9E"/>
    <w:rsid w:val="38B95F3F"/>
    <w:rsid w:val="38C05153"/>
    <w:rsid w:val="38D962CD"/>
    <w:rsid w:val="38EC7CF6"/>
    <w:rsid w:val="3902576C"/>
    <w:rsid w:val="390E2362"/>
    <w:rsid w:val="39137979"/>
    <w:rsid w:val="391C6F31"/>
    <w:rsid w:val="39201F20"/>
    <w:rsid w:val="39204F51"/>
    <w:rsid w:val="392F4087"/>
    <w:rsid w:val="39522A4F"/>
    <w:rsid w:val="39666B96"/>
    <w:rsid w:val="396B1563"/>
    <w:rsid w:val="396C0E37"/>
    <w:rsid w:val="397F31CA"/>
    <w:rsid w:val="39812B34"/>
    <w:rsid w:val="39825CF3"/>
    <w:rsid w:val="398664FD"/>
    <w:rsid w:val="39903CA0"/>
    <w:rsid w:val="399E5685"/>
    <w:rsid w:val="399F120C"/>
    <w:rsid w:val="39A97898"/>
    <w:rsid w:val="39AE31FE"/>
    <w:rsid w:val="39BD0763"/>
    <w:rsid w:val="39BE2CC1"/>
    <w:rsid w:val="39C15626"/>
    <w:rsid w:val="39C40C73"/>
    <w:rsid w:val="39D709A6"/>
    <w:rsid w:val="39F34E1A"/>
    <w:rsid w:val="39FD5F33"/>
    <w:rsid w:val="3A173499"/>
    <w:rsid w:val="3A4B3142"/>
    <w:rsid w:val="3A5169AB"/>
    <w:rsid w:val="3A5A2CC0"/>
    <w:rsid w:val="3A661625"/>
    <w:rsid w:val="3A6C5593"/>
    <w:rsid w:val="3A6C79CA"/>
    <w:rsid w:val="3A810912"/>
    <w:rsid w:val="3A976388"/>
    <w:rsid w:val="3A9E028E"/>
    <w:rsid w:val="3A9E6883"/>
    <w:rsid w:val="3ABD3843"/>
    <w:rsid w:val="3ABF30FE"/>
    <w:rsid w:val="3AC058DE"/>
    <w:rsid w:val="3AD62A0C"/>
    <w:rsid w:val="3AD924FC"/>
    <w:rsid w:val="3ADD023E"/>
    <w:rsid w:val="3AE03A6E"/>
    <w:rsid w:val="3AE312EF"/>
    <w:rsid w:val="3AF86E26"/>
    <w:rsid w:val="3B0563EB"/>
    <w:rsid w:val="3B0623DF"/>
    <w:rsid w:val="3B144E9D"/>
    <w:rsid w:val="3B687CB9"/>
    <w:rsid w:val="3B6D76D3"/>
    <w:rsid w:val="3B746C3E"/>
    <w:rsid w:val="3B780810"/>
    <w:rsid w:val="3B8A37F6"/>
    <w:rsid w:val="3B8E1539"/>
    <w:rsid w:val="3B9F3746"/>
    <w:rsid w:val="3BA6319B"/>
    <w:rsid w:val="3BAD0D83"/>
    <w:rsid w:val="3BBA45CF"/>
    <w:rsid w:val="3BCD5D8D"/>
    <w:rsid w:val="3BD57167"/>
    <w:rsid w:val="3BDC2D88"/>
    <w:rsid w:val="3BF257CA"/>
    <w:rsid w:val="3C155AD8"/>
    <w:rsid w:val="3C261771"/>
    <w:rsid w:val="3C263DBE"/>
    <w:rsid w:val="3C2679C3"/>
    <w:rsid w:val="3C356B06"/>
    <w:rsid w:val="3C37397E"/>
    <w:rsid w:val="3C6A22B2"/>
    <w:rsid w:val="3C6E4D87"/>
    <w:rsid w:val="3C795D45"/>
    <w:rsid w:val="3C926E07"/>
    <w:rsid w:val="3CAB1C76"/>
    <w:rsid w:val="3CB72315"/>
    <w:rsid w:val="3CCA65A0"/>
    <w:rsid w:val="3CDB69FF"/>
    <w:rsid w:val="3CE05DC4"/>
    <w:rsid w:val="3CE15872"/>
    <w:rsid w:val="3CF47AC1"/>
    <w:rsid w:val="3CFC5587"/>
    <w:rsid w:val="3D15159A"/>
    <w:rsid w:val="3D2F28A7"/>
    <w:rsid w:val="3D387194"/>
    <w:rsid w:val="3D3B124C"/>
    <w:rsid w:val="3D485717"/>
    <w:rsid w:val="3D4F4CF8"/>
    <w:rsid w:val="3D515C28"/>
    <w:rsid w:val="3D5440BC"/>
    <w:rsid w:val="3D5F4115"/>
    <w:rsid w:val="3D6D1C73"/>
    <w:rsid w:val="3D6F0F0D"/>
    <w:rsid w:val="3D6F750E"/>
    <w:rsid w:val="3D803103"/>
    <w:rsid w:val="3D842BF3"/>
    <w:rsid w:val="3D8A4BA3"/>
    <w:rsid w:val="3D9820BE"/>
    <w:rsid w:val="3D9A3C75"/>
    <w:rsid w:val="3DA23079"/>
    <w:rsid w:val="3DB4423A"/>
    <w:rsid w:val="3DD57E81"/>
    <w:rsid w:val="3DE360D5"/>
    <w:rsid w:val="3DE944E7"/>
    <w:rsid w:val="3DEC564C"/>
    <w:rsid w:val="3E047890"/>
    <w:rsid w:val="3E070AC7"/>
    <w:rsid w:val="3E0E49F4"/>
    <w:rsid w:val="3E1D4DF6"/>
    <w:rsid w:val="3E2E7639"/>
    <w:rsid w:val="3E4E4FAF"/>
    <w:rsid w:val="3E5720B6"/>
    <w:rsid w:val="3E6B4F1A"/>
    <w:rsid w:val="3E75078E"/>
    <w:rsid w:val="3E7A2248"/>
    <w:rsid w:val="3E7F4A22"/>
    <w:rsid w:val="3E8B6203"/>
    <w:rsid w:val="3E9B43FB"/>
    <w:rsid w:val="3EA1684F"/>
    <w:rsid w:val="3EB218F1"/>
    <w:rsid w:val="3EBA15F9"/>
    <w:rsid w:val="3EBD3CCB"/>
    <w:rsid w:val="3EC279A8"/>
    <w:rsid w:val="3ECA40BD"/>
    <w:rsid w:val="3EED2A1A"/>
    <w:rsid w:val="3F035D9A"/>
    <w:rsid w:val="3F116709"/>
    <w:rsid w:val="3F2D7175"/>
    <w:rsid w:val="3F440076"/>
    <w:rsid w:val="3F4E6465"/>
    <w:rsid w:val="3F544847"/>
    <w:rsid w:val="3F6031EC"/>
    <w:rsid w:val="3F636838"/>
    <w:rsid w:val="3F6A2AD3"/>
    <w:rsid w:val="3F854A01"/>
    <w:rsid w:val="3F8769CB"/>
    <w:rsid w:val="3F8C2233"/>
    <w:rsid w:val="3F93536F"/>
    <w:rsid w:val="3FA3668F"/>
    <w:rsid w:val="3FA96941"/>
    <w:rsid w:val="3FB543FD"/>
    <w:rsid w:val="3FBD419A"/>
    <w:rsid w:val="3FD37E62"/>
    <w:rsid w:val="3FDB0AC5"/>
    <w:rsid w:val="3FE0432D"/>
    <w:rsid w:val="3FE42FEC"/>
    <w:rsid w:val="3FE47979"/>
    <w:rsid w:val="3FE71217"/>
    <w:rsid w:val="3FFB1573"/>
    <w:rsid w:val="3FFB2F15"/>
    <w:rsid w:val="3FFF0C57"/>
    <w:rsid w:val="40095632"/>
    <w:rsid w:val="403C5A07"/>
    <w:rsid w:val="404813CC"/>
    <w:rsid w:val="4055351F"/>
    <w:rsid w:val="40580367"/>
    <w:rsid w:val="406A2D53"/>
    <w:rsid w:val="40752CC7"/>
    <w:rsid w:val="40830F63"/>
    <w:rsid w:val="409018AF"/>
    <w:rsid w:val="409024B1"/>
    <w:rsid w:val="40B437EF"/>
    <w:rsid w:val="40B94AA8"/>
    <w:rsid w:val="40C477AB"/>
    <w:rsid w:val="40C81049"/>
    <w:rsid w:val="40E02836"/>
    <w:rsid w:val="40E045E4"/>
    <w:rsid w:val="40E23BE4"/>
    <w:rsid w:val="40E84C51"/>
    <w:rsid w:val="40FC0EC0"/>
    <w:rsid w:val="40FF0EE5"/>
    <w:rsid w:val="41256FA4"/>
    <w:rsid w:val="412D5350"/>
    <w:rsid w:val="414A7CB0"/>
    <w:rsid w:val="416111A7"/>
    <w:rsid w:val="41676AB4"/>
    <w:rsid w:val="41780CC1"/>
    <w:rsid w:val="417B60BB"/>
    <w:rsid w:val="4182744A"/>
    <w:rsid w:val="418F7DB9"/>
    <w:rsid w:val="419B52B3"/>
    <w:rsid w:val="419D24D5"/>
    <w:rsid w:val="419D4283"/>
    <w:rsid w:val="41B5465B"/>
    <w:rsid w:val="41B617E9"/>
    <w:rsid w:val="41DD0B24"/>
    <w:rsid w:val="41E0516D"/>
    <w:rsid w:val="41F20019"/>
    <w:rsid w:val="41FE5DE6"/>
    <w:rsid w:val="42002A64"/>
    <w:rsid w:val="421D7172"/>
    <w:rsid w:val="4224247C"/>
    <w:rsid w:val="422948D3"/>
    <w:rsid w:val="42322FFC"/>
    <w:rsid w:val="42334364"/>
    <w:rsid w:val="42390D11"/>
    <w:rsid w:val="423C1CEE"/>
    <w:rsid w:val="425828A0"/>
    <w:rsid w:val="42664A0F"/>
    <w:rsid w:val="429078B2"/>
    <w:rsid w:val="429107C7"/>
    <w:rsid w:val="42925DB2"/>
    <w:rsid w:val="429733C9"/>
    <w:rsid w:val="42980EEF"/>
    <w:rsid w:val="429A6A15"/>
    <w:rsid w:val="429C453B"/>
    <w:rsid w:val="42EC3437"/>
    <w:rsid w:val="42F97BDF"/>
    <w:rsid w:val="42FB3D83"/>
    <w:rsid w:val="431052A5"/>
    <w:rsid w:val="43163CC4"/>
    <w:rsid w:val="433A4E85"/>
    <w:rsid w:val="43522B56"/>
    <w:rsid w:val="4355293C"/>
    <w:rsid w:val="435E0DC5"/>
    <w:rsid w:val="43686B13"/>
    <w:rsid w:val="4372414C"/>
    <w:rsid w:val="438321C9"/>
    <w:rsid w:val="43832312"/>
    <w:rsid w:val="4383394D"/>
    <w:rsid w:val="438C45B0"/>
    <w:rsid w:val="4392593E"/>
    <w:rsid w:val="43D20F4F"/>
    <w:rsid w:val="43D61CCF"/>
    <w:rsid w:val="43EF0FE2"/>
    <w:rsid w:val="43F42067"/>
    <w:rsid w:val="43F51A84"/>
    <w:rsid w:val="43FB1735"/>
    <w:rsid w:val="43FE4D82"/>
    <w:rsid w:val="44020D16"/>
    <w:rsid w:val="44110F59"/>
    <w:rsid w:val="44150004"/>
    <w:rsid w:val="44421112"/>
    <w:rsid w:val="44446C38"/>
    <w:rsid w:val="44562E10"/>
    <w:rsid w:val="44797FE6"/>
    <w:rsid w:val="44873BD2"/>
    <w:rsid w:val="44881986"/>
    <w:rsid w:val="448E07FB"/>
    <w:rsid w:val="4492209A"/>
    <w:rsid w:val="449C6A74"/>
    <w:rsid w:val="449F47B6"/>
    <w:rsid w:val="44A43B7B"/>
    <w:rsid w:val="44BC0EC5"/>
    <w:rsid w:val="44C3323C"/>
    <w:rsid w:val="44C36373"/>
    <w:rsid w:val="44C45FCB"/>
    <w:rsid w:val="44C91695"/>
    <w:rsid w:val="44D53D34"/>
    <w:rsid w:val="44F1763A"/>
    <w:rsid w:val="450665E4"/>
    <w:rsid w:val="450828B0"/>
    <w:rsid w:val="45091C30"/>
    <w:rsid w:val="450D1720"/>
    <w:rsid w:val="453F38A4"/>
    <w:rsid w:val="45660E30"/>
    <w:rsid w:val="456D21BF"/>
    <w:rsid w:val="45853180"/>
    <w:rsid w:val="45975D02"/>
    <w:rsid w:val="45B55914"/>
    <w:rsid w:val="45C049E4"/>
    <w:rsid w:val="45D36F1D"/>
    <w:rsid w:val="45E95E81"/>
    <w:rsid w:val="45EE1552"/>
    <w:rsid w:val="46020B59"/>
    <w:rsid w:val="46183104"/>
    <w:rsid w:val="46184820"/>
    <w:rsid w:val="461A2CA8"/>
    <w:rsid w:val="465D0485"/>
    <w:rsid w:val="465F41FD"/>
    <w:rsid w:val="4662784A"/>
    <w:rsid w:val="46902609"/>
    <w:rsid w:val="469B2D5C"/>
    <w:rsid w:val="46A240EA"/>
    <w:rsid w:val="46AB7443"/>
    <w:rsid w:val="46B04006"/>
    <w:rsid w:val="46B53E1D"/>
    <w:rsid w:val="46BB09F6"/>
    <w:rsid w:val="46BB6DF2"/>
    <w:rsid w:val="46BC2587"/>
    <w:rsid w:val="46D83FB0"/>
    <w:rsid w:val="46E12E64"/>
    <w:rsid w:val="46FD1A3E"/>
    <w:rsid w:val="46FF778E"/>
    <w:rsid w:val="47060B1D"/>
    <w:rsid w:val="471548BC"/>
    <w:rsid w:val="471F573B"/>
    <w:rsid w:val="47215957"/>
    <w:rsid w:val="473F5DDD"/>
    <w:rsid w:val="475C0CCE"/>
    <w:rsid w:val="476A45CA"/>
    <w:rsid w:val="4770243A"/>
    <w:rsid w:val="47705F96"/>
    <w:rsid w:val="477C3392"/>
    <w:rsid w:val="477E4DC7"/>
    <w:rsid w:val="47866373"/>
    <w:rsid w:val="47A0155D"/>
    <w:rsid w:val="47BD3387"/>
    <w:rsid w:val="47CD697C"/>
    <w:rsid w:val="47EB386F"/>
    <w:rsid w:val="47ED3A8B"/>
    <w:rsid w:val="480A1F47"/>
    <w:rsid w:val="48130C0B"/>
    <w:rsid w:val="481C5F84"/>
    <w:rsid w:val="48357040"/>
    <w:rsid w:val="48561630"/>
    <w:rsid w:val="485E39B6"/>
    <w:rsid w:val="4863492B"/>
    <w:rsid w:val="486E3C1E"/>
    <w:rsid w:val="48767174"/>
    <w:rsid w:val="488066AD"/>
    <w:rsid w:val="48952158"/>
    <w:rsid w:val="48A55C40"/>
    <w:rsid w:val="48A73802"/>
    <w:rsid w:val="48C8247A"/>
    <w:rsid w:val="48C9234E"/>
    <w:rsid w:val="48D32C81"/>
    <w:rsid w:val="4900334A"/>
    <w:rsid w:val="49044BE8"/>
    <w:rsid w:val="491D5CAA"/>
    <w:rsid w:val="49262B4F"/>
    <w:rsid w:val="493231C8"/>
    <w:rsid w:val="494F6D7C"/>
    <w:rsid w:val="4961203A"/>
    <w:rsid w:val="49663AF5"/>
    <w:rsid w:val="496B2C2B"/>
    <w:rsid w:val="4972249A"/>
    <w:rsid w:val="498B355B"/>
    <w:rsid w:val="49963205"/>
    <w:rsid w:val="49B11C8C"/>
    <w:rsid w:val="49B74350"/>
    <w:rsid w:val="49C00C61"/>
    <w:rsid w:val="49D85D58"/>
    <w:rsid w:val="49E05655"/>
    <w:rsid w:val="49F033BE"/>
    <w:rsid w:val="4A1C3F43"/>
    <w:rsid w:val="4A2F3EE7"/>
    <w:rsid w:val="4A2F4538"/>
    <w:rsid w:val="4A435BE4"/>
    <w:rsid w:val="4A437992"/>
    <w:rsid w:val="4A4D0811"/>
    <w:rsid w:val="4A62250E"/>
    <w:rsid w:val="4A631DE2"/>
    <w:rsid w:val="4A706FB0"/>
    <w:rsid w:val="4A8835F7"/>
    <w:rsid w:val="4A8E592C"/>
    <w:rsid w:val="4A9F162F"/>
    <w:rsid w:val="4AB4263E"/>
    <w:rsid w:val="4ABA7398"/>
    <w:rsid w:val="4AC26B09"/>
    <w:rsid w:val="4AC72371"/>
    <w:rsid w:val="4ACA1E61"/>
    <w:rsid w:val="4AD0206A"/>
    <w:rsid w:val="4ADA7AAC"/>
    <w:rsid w:val="4AEF4D63"/>
    <w:rsid w:val="4AF3760A"/>
    <w:rsid w:val="4B012884"/>
    <w:rsid w:val="4B0B04B0"/>
    <w:rsid w:val="4B1A4B97"/>
    <w:rsid w:val="4B201A81"/>
    <w:rsid w:val="4B2D3281"/>
    <w:rsid w:val="4B3774F7"/>
    <w:rsid w:val="4B557DB4"/>
    <w:rsid w:val="4B606CD6"/>
    <w:rsid w:val="4B63653E"/>
    <w:rsid w:val="4B646826"/>
    <w:rsid w:val="4B661B8A"/>
    <w:rsid w:val="4B6B0077"/>
    <w:rsid w:val="4B6B0F4E"/>
    <w:rsid w:val="4B9A19C9"/>
    <w:rsid w:val="4BA56B1E"/>
    <w:rsid w:val="4BAC2FED"/>
    <w:rsid w:val="4BB328F5"/>
    <w:rsid w:val="4BCD39B7"/>
    <w:rsid w:val="4BD51A25"/>
    <w:rsid w:val="4BD56D10"/>
    <w:rsid w:val="4BEA0FB4"/>
    <w:rsid w:val="4BF25D04"/>
    <w:rsid w:val="4BF4363A"/>
    <w:rsid w:val="4C017B05"/>
    <w:rsid w:val="4C0A0997"/>
    <w:rsid w:val="4C1D7684"/>
    <w:rsid w:val="4C252918"/>
    <w:rsid w:val="4C2C4B82"/>
    <w:rsid w:val="4C383673"/>
    <w:rsid w:val="4C475FD9"/>
    <w:rsid w:val="4C547C35"/>
    <w:rsid w:val="4C5C4D3B"/>
    <w:rsid w:val="4C63256E"/>
    <w:rsid w:val="4C727713"/>
    <w:rsid w:val="4C87625C"/>
    <w:rsid w:val="4CC50B32"/>
    <w:rsid w:val="4CC823D1"/>
    <w:rsid w:val="4CE7364E"/>
    <w:rsid w:val="4D1D096E"/>
    <w:rsid w:val="4D420DA3"/>
    <w:rsid w:val="4D422183"/>
    <w:rsid w:val="4D427417"/>
    <w:rsid w:val="4D5A571F"/>
    <w:rsid w:val="4D61085B"/>
    <w:rsid w:val="4D6B3488"/>
    <w:rsid w:val="4D8602C2"/>
    <w:rsid w:val="4D896004"/>
    <w:rsid w:val="4D8C1650"/>
    <w:rsid w:val="4DB17E43"/>
    <w:rsid w:val="4DDE00FE"/>
    <w:rsid w:val="4E241889"/>
    <w:rsid w:val="4E2B4ECD"/>
    <w:rsid w:val="4E3E401F"/>
    <w:rsid w:val="4E40453B"/>
    <w:rsid w:val="4E4A12EF"/>
    <w:rsid w:val="4E531BF6"/>
    <w:rsid w:val="4E5403C0"/>
    <w:rsid w:val="4E5959D6"/>
    <w:rsid w:val="4E650709"/>
    <w:rsid w:val="4E724CEA"/>
    <w:rsid w:val="4E7B3B9E"/>
    <w:rsid w:val="4E885B75"/>
    <w:rsid w:val="4E9646D8"/>
    <w:rsid w:val="4E9B1B4B"/>
    <w:rsid w:val="4EA66999"/>
    <w:rsid w:val="4EC015B1"/>
    <w:rsid w:val="4EC065E3"/>
    <w:rsid w:val="4EC927B3"/>
    <w:rsid w:val="4ED17C62"/>
    <w:rsid w:val="4ED41501"/>
    <w:rsid w:val="4F032C15"/>
    <w:rsid w:val="4F082B59"/>
    <w:rsid w:val="4F0E733B"/>
    <w:rsid w:val="4F185239"/>
    <w:rsid w:val="4F18763F"/>
    <w:rsid w:val="4F2157BD"/>
    <w:rsid w:val="4F277882"/>
    <w:rsid w:val="4F2A4C4D"/>
    <w:rsid w:val="4F2B6097"/>
    <w:rsid w:val="4F2C2733"/>
    <w:rsid w:val="4F723821"/>
    <w:rsid w:val="4F7866B6"/>
    <w:rsid w:val="4F9111A0"/>
    <w:rsid w:val="4FA964E9"/>
    <w:rsid w:val="4FAA071C"/>
    <w:rsid w:val="4FAB2261"/>
    <w:rsid w:val="4FB01626"/>
    <w:rsid w:val="4FD52EEB"/>
    <w:rsid w:val="4FDC241B"/>
    <w:rsid w:val="4FDF63AF"/>
    <w:rsid w:val="4FE0232F"/>
    <w:rsid w:val="4FF05EC6"/>
    <w:rsid w:val="4FF43C08"/>
    <w:rsid w:val="50011E81"/>
    <w:rsid w:val="500946F5"/>
    <w:rsid w:val="50106568"/>
    <w:rsid w:val="502618E8"/>
    <w:rsid w:val="50283735"/>
    <w:rsid w:val="502D711A"/>
    <w:rsid w:val="506B165C"/>
    <w:rsid w:val="507738EC"/>
    <w:rsid w:val="507D4A6C"/>
    <w:rsid w:val="50BC224C"/>
    <w:rsid w:val="50C23D07"/>
    <w:rsid w:val="50C75208"/>
    <w:rsid w:val="50D21A70"/>
    <w:rsid w:val="50D457E8"/>
    <w:rsid w:val="50DD28EE"/>
    <w:rsid w:val="50FE2865"/>
    <w:rsid w:val="510A120A"/>
    <w:rsid w:val="51167BAE"/>
    <w:rsid w:val="51243181"/>
    <w:rsid w:val="51281690"/>
    <w:rsid w:val="512F0C70"/>
    <w:rsid w:val="514566E6"/>
    <w:rsid w:val="5151508A"/>
    <w:rsid w:val="51580C10"/>
    <w:rsid w:val="515F1555"/>
    <w:rsid w:val="516113D2"/>
    <w:rsid w:val="51836E32"/>
    <w:rsid w:val="518B234A"/>
    <w:rsid w:val="51AE0382"/>
    <w:rsid w:val="51BF3DA2"/>
    <w:rsid w:val="51C168E7"/>
    <w:rsid w:val="51E33AD4"/>
    <w:rsid w:val="51F53C68"/>
    <w:rsid w:val="51F64AEC"/>
    <w:rsid w:val="5218468F"/>
    <w:rsid w:val="521A475C"/>
    <w:rsid w:val="521F6F37"/>
    <w:rsid w:val="52293911"/>
    <w:rsid w:val="52306A4E"/>
    <w:rsid w:val="52350508"/>
    <w:rsid w:val="5235345C"/>
    <w:rsid w:val="52374280"/>
    <w:rsid w:val="52642B9B"/>
    <w:rsid w:val="52691F60"/>
    <w:rsid w:val="52701540"/>
    <w:rsid w:val="52741D54"/>
    <w:rsid w:val="52911BE2"/>
    <w:rsid w:val="529214B7"/>
    <w:rsid w:val="52B40BC7"/>
    <w:rsid w:val="52BE37F1"/>
    <w:rsid w:val="52CF0C4F"/>
    <w:rsid w:val="52D23FA9"/>
    <w:rsid w:val="52DE46FC"/>
    <w:rsid w:val="530F7C6E"/>
    <w:rsid w:val="533267F6"/>
    <w:rsid w:val="533D7674"/>
    <w:rsid w:val="533F163E"/>
    <w:rsid w:val="53453C81"/>
    <w:rsid w:val="534F5EE4"/>
    <w:rsid w:val="53513120"/>
    <w:rsid w:val="535D09F5"/>
    <w:rsid w:val="535E4FF9"/>
    <w:rsid w:val="536746F1"/>
    <w:rsid w:val="537E1A3B"/>
    <w:rsid w:val="53933738"/>
    <w:rsid w:val="53AC65A8"/>
    <w:rsid w:val="53C5766A"/>
    <w:rsid w:val="53CB1124"/>
    <w:rsid w:val="53D63625"/>
    <w:rsid w:val="53EE0073"/>
    <w:rsid w:val="540168F4"/>
    <w:rsid w:val="5402441A"/>
    <w:rsid w:val="540E1011"/>
    <w:rsid w:val="54161C73"/>
    <w:rsid w:val="541A79B6"/>
    <w:rsid w:val="541D1254"/>
    <w:rsid w:val="542E520F"/>
    <w:rsid w:val="543D5452"/>
    <w:rsid w:val="543F11CA"/>
    <w:rsid w:val="54420CBA"/>
    <w:rsid w:val="54463F45"/>
    <w:rsid w:val="544D7D8B"/>
    <w:rsid w:val="545E3D46"/>
    <w:rsid w:val="5469762A"/>
    <w:rsid w:val="54887866"/>
    <w:rsid w:val="54947768"/>
    <w:rsid w:val="54994CF6"/>
    <w:rsid w:val="549D6AED"/>
    <w:rsid w:val="54AA6EBE"/>
    <w:rsid w:val="54B020C8"/>
    <w:rsid w:val="54B716A8"/>
    <w:rsid w:val="54BE2A37"/>
    <w:rsid w:val="54D04518"/>
    <w:rsid w:val="550A5C7C"/>
    <w:rsid w:val="551408A9"/>
    <w:rsid w:val="551663CF"/>
    <w:rsid w:val="55195EBF"/>
    <w:rsid w:val="55284354"/>
    <w:rsid w:val="553C395C"/>
    <w:rsid w:val="553D4BCF"/>
    <w:rsid w:val="55425416"/>
    <w:rsid w:val="554B7041"/>
    <w:rsid w:val="554C696B"/>
    <w:rsid w:val="555451EB"/>
    <w:rsid w:val="55683F6A"/>
    <w:rsid w:val="556A04C9"/>
    <w:rsid w:val="55704ABA"/>
    <w:rsid w:val="55853555"/>
    <w:rsid w:val="558A2919"/>
    <w:rsid w:val="55A97406"/>
    <w:rsid w:val="55AF05D2"/>
    <w:rsid w:val="55B52413"/>
    <w:rsid w:val="55BD2CEE"/>
    <w:rsid w:val="55BF6A67"/>
    <w:rsid w:val="55CE0A58"/>
    <w:rsid w:val="55D213E4"/>
    <w:rsid w:val="55D65B5E"/>
    <w:rsid w:val="55F06C20"/>
    <w:rsid w:val="56251EE4"/>
    <w:rsid w:val="563A373A"/>
    <w:rsid w:val="56503B63"/>
    <w:rsid w:val="56623148"/>
    <w:rsid w:val="566B44F9"/>
    <w:rsid w:val="566D1D18"/>
    <w:rsid w:val="56847368"/>
    <w:rsid w:val="568F468B"/>
    <w:rsid w:val="56C65BD3"/>
    <w:rsid w:val="56E65A54"/>
    <w:rsid w:val="56F95FA8"/>
    <w:rsid w:val="570D3802"/>
    <w:rsid w:val="570F757A"/>
    <w:rsid w:val="57234DD3"/>
    <w:rsid w:val="572D17AE"/>
    <w:rsid w:val="572D6137"/>
    <w:rsid w:val="57340D8E"/>
    <w:rsid w:val="57342B3C"/>
    <w:rsid w:val="57547FCF"/>
    <w:rsid w:val="57552281"/>
    <w:rsid w:val="576F4CEF"/>
    <w:rsid w:val="57844782"/>
    <w:rsid w:val="578F4217"/>
    <w:rsid w:val="57E44562"/>
    <w:rsid w:val="57ED06D1"/>
    <w:rsid w:val="57FE314A"/>
    <w:rsid w:val="58240E03"/>
    <w:rsid w:val="58296419"/>
    <w:rsid w:val="58315248"/>
    <w:rsid w:val="58421289"/>
    <w:rsid w:val="584B45E2"/>
    <w:rsid w:val="585B665C"/>
    <w:rsid w:val="585E35E9"/>
    <w:rsid w:val="586236D9"/>
    <w:rsid w:val="58845D45"/>
    <w:rsid w:val="589046EA"/>
    <w:rsid w:val="589C4E3D"/>
    <w:rsid w:val="58AE60E2"/>
    <w:rsid w:val="58B42C85"/>
    <w:rsid w:val="58BF6D7E"/>
    <w:rsid w:val="58E80082"/>
    <w:rsid w:val="58FC58DC"/>
    <w:rsid w:val="59030FC0"/>
    <w:rsid w:val="59097FF9"/>
    <w:rsid w:val="590F46FD"/>
    <w:rsid w:val="59195066"/>
    <w:rsid w:val="591C5F7E"/>
    <w:rsid w:val="591F781C"/>
    <w:rsid w:val="592B4AE0"/>
    <w:rsid w:val="59303DDA"/>
    <w:rsid w:val="59407EBE"/>
    <w:rsid w:val="595474C6"/>
    <w:rsid w:val="595C45CC"/>
    <w:rsid w:val="595E6422"/>
    <w:rsid w:val="596D67DA"/>
    <w:rsid w:val="597933D0"/>
    <w:rsid w:val="597B47D2"/>
    <w:rsid w:val="597D409E"/>
    <w:rsid w:val="59A46391"/>
    <w:rsid w:val="59AB7C66"/>
    <w:rsid w:val="59B9721F"/>
    <w:rsid w:val="59BB4E31"/>
    <w:rsid w:val="59BD32BD"/>
    <w:rsid w:val="59CC1752"/>
    <w:rsid w:val="5A193114"/>
    <w:rsid w:val="5A3D61AC"/>
    <w:rsid w:val="5A3F13FB"/>
    <w:rsid w:val="5A4C2893"/>
    <w:rsid w:val="5A767910"/>
    <w:rsid w:val="5A79327D"/>
    <w:rsid w:val="5A7A2F5C"/>
    <w:rsid w:val="5A7D2A4C"/>
    <w:rsid w:val="5A9164F8"/>
    <w:rsid w:val="5A92474A"/>
    <w:rsid w:val="5A986A3C"/>
    <w:rsid w:val="5AA80E10"/>
    <w:rsid w:val="5AA93841"/>
    <w:rsid w:val="5AB83A84"/>
    <w:rsid w:val="5ABC74C1"/>
    <w:rsid w:val="5ACF0FC5"/>
    <w:rsid w:val="5AD36B10"/>
    <w:rsid w:val="5AD92379"/>
    <w:rsid w:val="5AF2343A"/>
    <w:rsid w:val="5B067945"/>
    <w:rsid w:val="5B0A04BA"/>
    <w:rsid w:val="5B0A0784"/>
    <w:rsid w:val="5B203B3F"/>
    <w:rsid w:val="5B264E92"/>
    <w:rsid w:val="5B2B4B2A"/>
    <w:rsid w:val="5B3B58D2"/>
    <w:rsid w:val="5B422CFB"/>
    <w:rsid w:val="5B457BE5"/>
    <w:rsid w:val="5B4B77BA"/>
    <w:rsid w:val="5B501F0F"/>
    <w:rsid w:val="5B58257A"/>
    <w:rsid w:val="5B5C347A"/>
    <w:rsid w:val="5B6156E4"/>
    <w:rsid w:val="5B6D2AC1"/>
    <w:rsid w:val="5B6F10AB"/>
    <w:rsid w:val="5B81279C"/>
    <w:rsid w:val="5B8A2641"/>
    <w:rsid w:val="5B9718EC"/>
    <w:rsid w:val="5BA504AD"/>
    <w:rsid w:val="5BB4249E"/>
    <w:rsid w:val="5BB57FC4"/>
    <w:rsid w:val="5BC964DD"/>
    <w:rsid w:val="5BCA7F13"/>
    <w:rsid w:val="5BCD355F"/>
    <w:rsid w:val="5BDF02D7"/>
    <w:rsid w:val="5BE106D2"/>
    <w:rsid w:val="5BE56AFB"/>
    <w:rsid w:val="5C11034E"/>
    <w:rsid w:val="5C190553"/>
    <w:rsid w:val="5C1B076F"/>
    <w:rsid w:val="5C1E3DBB"/>
    <w:rsid w:val="5C272C70"/>
    <w:rsid w:val="5C394E4E"/>
    <w:rsid w:val="5C4E28F2"/>
    <w:rsid w:val="5C621EFA"/>
    <w:rsid w:val="5C826D06"/>
    <w:rsid w:val="5C9B365E"/>
    <w:rsid w:val="5CA6414A"/>
    <w:rsid w:val="5CAE4E65"/>
    <w:rsid w:val="5CD01559"/>
    <w:rsid w:val="5CD64696"/>
    <w:rsid w:val="5CDE7F50"/>
    <w:rsid w:val="5D1458EA"/>
    <w:rsid w:val="5D1A034E"/>
    <w:rsid w:val="5D2D795F"/>
    <w:rsid w:val="5D375134"/>
    <w:rsid w:val="5D3970FE"/>
    <w:rsid w:val="5D445AA3"/>
    <w:rsid w:val="5D447851"/>
    <w:rsid w:val="5D4E18AD"/>
    <w:rsid w:val="5D551A5E"/>
    <w:rsid w:val="5D592370"/>
    <w:rsid w:val="5D5C673E"/>
    <w:rsid w:val="5D6D6DA8"/>
    <w:rsid w:val="5D877076"/>
    <w:rsid w:val="5D8F2E94"/>
    <w:rsid w:val="5D924A61"/>
    <w:rsid w:val="5D9A56C3"/>
    <w:rsid w:val="5D9C0E1E"/>
    <w:rsid w:val="5DAD189A"/>
    <w:rsid w:val="5DB42C29"/>
    <w:rsid w:val="5DCA244C"/>
    <w:rsid w:val="5DD45079"/>
    <w:rsid w:val="5DEF5A0F"/>
    <w:rsid w:val="5E41537B"/>
    <w:rsid w:val="5E8A398A"/>
    <w:rsid w:val="5E987E55"/>
    <w:rsid w:val="5EAC5CC5"/>
    <w:rsid w:val="5EBE5155"/>
    <w:rsid w:val="5EDD61AF"/>
    <w:rsid w:val="5EF656A8"/>
    <w:rsid w:val="5F0C25F1"/>
    <w:rsid w:val="5F0C439F"/>
    <w:rsid w:val="5F10763F"/>
    <w:rsid w:val="5F257D99"/>
    <w:rsid w:val="5F2B0CC9"/>
    <w:rsid w:val="5F48187B"/>
    <w:rsid w:val="5F4916B0"/>
    <w:rsid w:val="5F6146EB"/>
    <w:rsid w:val="5F8C5FA1"/>
    <w:rsid w:val="5F954394"/>
    <w:rsid w:val="5F97635E"/>
    <w:rsid w:val="5FB94EA3"/>
    <w:rsid w:val="5FCD156D"/>
    <w:rsid w:val="5FDA624B"/>
    <w:rsid w:val="5FE377F5"/>
    <w:rsid w:val="5FE529BE"/>
    <w:rsid w:val="5FEA2932"/>
    <w:rsid w:val="5FED41D0"/>
    <w:rsid w:val="5FF217E7"/>
    <w:rsid w:val="5FF24416"/>
    <w:rsid w:val="5FF94923"/>
    <w:rsid w:val="60031C46"/>
    <w:rsid w:val="60047FDC"/>
    <w:rsid w:val="60352B51"/>
    <w:rsid w:val="605E6E7C"/>
    <w:rsid w:val="60673F83"/>
    <w:rsid w:val="60695F4D"/>
    <w:rsid w:val="606B06AF"/>
    <w:rsid w:val="606D70BF"/>
    <w:rsid w:val="606E3563"/>
    <w:rsid w:val="606F4B42"/>
    <w:rsid w:val="60874774"/>
    <w:rsid w:val="609F2776"/>
    <w:rsid w:val="60AC7E65"/>
    <w:rsid w:val="60BB7E2A"/>
    <w:rsid w:val="60CC1039"/>
    <w:rsid w:val="60DB22E9"/>
    <w:rsid w:val="61021EFD"/>
    <w:rsid w:val="610639AE"/>
    <w:rsid w:val="610D1192"/>
    <w:rsid w:val="6110461A"/>
    <w:rsid w:val="612754C0"/>
    <w:rsid w:val="612F0022"/>
    <w:rsid w:val="613A0045"/>
    <w:rsid w:val="615612DF"/>
    <w:rsid w:val="616F1A8B"/>
    <w:rsid w:val="61750921"/>
    <w:rsid w:val="61841DA9"/>
    <w:rsid w:val="61896E97"/>
    <w:rsid w:val="61B17DD9"/>
    <w:rsid w:val="61B20CAD"/>
    <w:rsid w:val="61BF1F6A"/>
    <w:rsid w:val="61D27B22"/>
    <w:rsid w:val="61D92C5E"/>
    <w:rsid w:val="61DD0A2E"/>
    <w:rsid w:val="61EF2D2A"/>
    <w:rsid w:val="61F23D20"/>
    <w:rsid w:val="61FF01EB"/>
    <w:rsid w:val="6200643D"/>
    <w:rsid w:val="62173786"/>
    <w:rsid w:val="6220088D"/>
    <w:rsid w:val="6236783E"/>
    <w:rsid w:val="6243457B"/>
    <w:rsid w:val="62482CEC"/>
    <w:rsid w:val="625D461F"/>
    <w:rsid w:val="626F5370"/>
    <w:rsid w:val="627A3766"/>
    <w:rsid w:val="6287090C"/>
    <w:rsid w:val="628D13F3"/>
    <w:rsid w:val="628D3A49"/>
    <w:rsid w:val="628F156F"/>
    <w:rsid w:val="629628FD"/>
    <w:rsid w:val="6299419B"/>
    <w:rsid w:val="629B13E6"/>
    <w:rsid w:val="629E17B2"/>
    <w:rsid w:val="62A01260"/>
    <w:rsid w:val="62A6057B"/>
    <w:rsid w:val="62B9551B"/>
    <w:rsid w:val="62DB1424"/>
    <w:rsid w:val="62DC2C92"/>
    <w:rsid w:val="62E775FD"/>
    <w:rsid w:val="62FB0709"/>
    <w:rsid w:val="631713C0"/>
    <w:rsid w:val="631F3CE4"/>
    <w:rsid w:val="6324615B"/>
    <w:rsid w:val="632C14B3"/>
    <w:rsid w:val="63367DB4"/>
    <w:rsid w:val="635F2C96"/>
    <w:rsid w:val="63601E1F"/>
    <w:rsid w:val="637D586B"/>
    <w:rsid w:val="638C0197"/>
    <w:rsid w:val="63AC7EFE"/>
    <w:rsid w:val="63DE27AE"/>
    <w:rsid w:val="63E63410"/>
    <w:rsid w:val="63EA73A4"/>
    <w:rsid w:val="63F63778"/>
    <w:rsid w:val="640D40A6"/>
    <w:rsid w:val="641C32D6"/>
    <w:rsid w:val="64281C7B"/>
    <w:rsid w:val="642F125B"/>
    <w:rsid w:val="643C1282"/>
    <w:rsid w:val="64455769"/>
    <w:rsid w:val="644840CB"/>
    <w:rsid w:val="645962D8"/>
    <w:rsid w:val="64654C7D"/>
    <w:rsid w:val="646A4041"/>
    <w:rsid w:val="64724786"/>
    <w:rsid w:val="64753397"/>
    <w:rsid w:val="648050A7"/>
    <w:rsid w:val="648A6492"/>
    <w:rsid w:val="64950FB0"/>
    <w:rsid w:val="649D3FE5"/>
    <w:rsid w:val="64AA4AE5"/>
    <w:rsid w:val="64D63485"/>
    <w:rsid w:val="65012250"/>
    <w:rsid w:val="650224CC"/>
    <w:rsid w:val="65055B18"/>
    <w:rsid w:val="65076700"/>
    <w:rsid w:val="65297A59"/>
    <w:rsid w:val="654A79CF"/>
    <w:rsid w:val="65532D27"/>
    <w:rsid w:val="655B7E2E"/>
    <w:rsid w:val="65613696"/>
    <w:rsid w:val="65652A5B"/>
    <w:rsid w:val="65674A25"/>
    <w:rsid w:val="656C3DE9"/>
    <w:rsid w:val="657333CA"/>
    <w:rsid w:val="657778B2"/>
    <w:rsid w:val="657A6CE5"/>
    <w:rsid w:val="65826E09"/>
    <w:rsid w:val="65956E9C"/>
    <w:rsid w:val="65A13A93"/>
    <w:rsid w:val="65B37C6A"/>
    <w:rsid w:val="65B65064"/>
    <w:rsid w:val="65BA6903"/>
    <w:rsid w:val="65C442BD"/>
    <w:rsid w:val="65D33E68"/>
    <w:rsid w:val="65D73958"/>
    <w:rsid w:val="65E10333"/>
    <w:rsid w:val="65E16585"/>
    <w:rsid w:val="65E47E23"/>
    <w:rsid w:val="65F004D2"/>
    <w:rsid w:val="65FC1F52"/>
    <w:rsid w:val="660A5ADC"/>
    <w:rsid w:val="66207506"/>
    <w:rsid w:val="6630667E"/>
    <w:rsid w:val="66467401"/>
    <w:rsid w:val="66477750"/>
    <w:rsid w:val="66661AB5"/>
    <w:rsid w:val="666A0E45"/>
    <w:rsid w:val="667E6920"/>
    <w:rsid w:val="66850CBE"/>
    <w:rsid w:val="66860EDB"/>
    <w:rsid w:val="668A2779"/>
    <w:rsid w:val="669272D6"/>
    <w:rsid w:val="66931C34"/>
    <w:rsid w:val="66A13BA6"/>
    <w:rsid w:val="66A441AA"/>
    <w:rsid w:val="66A7157D"/>
    <w:rsid w:val="66AE37FB"/>
    <w:rsid w:val="66EC3434"/>
    <w:rsid w:val="66EF407B"/>
    <w:rsid w:val="66FB6F37"/>
    <w:rsid w:val="670A63AF"/>
    <w:rsid w:val="671237ED"/>
    <w:rsid w:val="671604B0"/>
    <w:rsid w:val="671B5305"/>
    <w:rsid w:val="67277FC8"/>
    <w:rsid w:val="67312ABA"/>
    <w:rsid w:val="67317098"/>
    <w:rsid w:val="677610A8"/>
    <w:rsid w:val="67AF4F1A"/>
    <w:rsid w:val="67B51DBF"/>
    <w:rsid w:val="67CC76EA"/>
    <w:rsid w:val="67D5211A"/>
    <w:rsid w:val="680B5B3B"/>
    <w:rsid w:val="680E3FB5"/>
    <w:rsid w:val="68354966"/>
    <w:rsid w:val="68540B79"/>
    <w:rsid w:val="68572B2F"/>
    <w:rsid w:val="68716905"/>
    <w:rsid w:val="68792AA5"/>
    <w:rsid w:val="687E00BB"/>
    <w:rsid w:val="68AC05A2"/>
    <w:rsid w:val="68B03FED"/>
    <w:rsid w:val="68BE3207"/>
    <w:rsid w:val="68CB7079"/>
    <w:rsid w:val="68D128E1"/>
    <w:rsid w:val="68F17A02"/>
    <w:rsid w:val="68FB5BB0"/>
    <w:rsid w:val="69025709"/>
    <w:rsid w:val="691E53FA"/>
    <w:rsid w:val="69357388"/>
    <w:rsid w:val="69431305"/>
    <w:rsid w:val="694C640B"/>
    <w:rsid w:val="69513A22"/>
    <w:rsid w:val="696A1E97"/>
    <w:rsid w:val="697B0A9F"/>
    <w:rsid w:val="69801C11"/>
    <w:rsid w:val="69831701"/>
    <w:rsid w:val="6990454A"/>
    <w:rsid w:val="699C5768"/>
    <w:rsid w:val="699E02E9"/>
    <w:rsid w:val="699F478D"/>
    <w:rsid w:val="69B30239"/>
    <w:rsid w:val="69D34437"/>
    <w:rsid w:val="69D501AF"/>
    <w:rsid w:val="69D64DC7"/>
    <w:rsid w:val="69D837FB"/>
    <w:rsid w:val="69E00902"/>
    <w:rsid w:val="69F27F6F"/>
    <w:rsid w:val="6A050B73"/>
    <w:rsid w:val="6A0D5B9B"/>
    <w:rsid w:val="6A0E546F"/>
    <w:rsid w:val="6A103190"/>
    <w:rsid w:val="6A127BEA"/>
    <w:rsid w:val="6A2133F4"/>
    <w:rsid w:val="6A2B1BF6"/>
    <w:rsid w:val="6A3053E5"/>
    <w:rsid w:val="6A437091"/>
    <w:rsid w:val="6A4E3ABD"/>
    <w:rsid w:val="6A58493C"/>
    <w:rsid w:val="6A6B28C1"/>
    <w:rsid w:val="6A701C86"/>
    <w:rsid w:val="6A792A3B"/>
    <w:rsid w:val="6A812B26"/>
    <w:rsid w:val="6A86769D"/>
    <w:rsid w:val="6A8B4D12"/>
    <w:rsid w:val="6A9C2A7B"/>
    <w:rsid w:val="6AA14535"/>
    <w:rsid w:val="6AA628D4"/>
    <w:rsid w:val="6AAA4E8C"/>
    <w:rsid w:val="6AAD4013"/>
    <w:rsid w:val="6AB75B07"/>
    <w:rsid w:val="6AC63F9C"/>
    <w:rsid w:val="6AC83870"/>
    <w:rsid w:val="6AD93CCF"/>
    <w:rsid w:val="6ADC11CE"/>
    <w:rsid w:val="6AEA5EDC"/>
    <w:rsid w:val="6AED777A"/>
    <w:rsid w:val="6AF97ECD"/>
    <w:rsid w:val="6B006F4B"/>
    <w:rsid w:val="6B1E5B86"/>
    <w:rsid w:val="6B272FFA"/>
    <w:rsid w:val="6B2F7D93"/>
    <w:rsid w:val="6B373586"/>
    <w:rsid w:val="6B3B04E6"/>
    <w:rsid w:val="6B3D425E"/>
    <w:rsid w:val="6B4355EC"/>
    <w:rsid w:val="6B746FC5"/>
    <w:rsid w:val="6B923E7E"/>
    <w:rsid w:val="6B945E48"/>
    <w:rsid w:val="6BA306E0"/>
    <w:rsid w:val="6BB81B36"/>
    <w:rsid w:val="6BBA58AE"/>
    <w:rsid w:val="6BCA61D7"/>
    <w:rsid w:val="6BD821D8"/>
    <w:rsid w:val="6BED3748"/>
    <w:rsid w:val="6C0960AE"/>
    <w:rsid w:val="6C2907B8"/>
    <w:rsid w:val="6C643A6C"/>
    <w:rsid w:val="6C7D68DC"/>
    <w:rsid w:val="6C911353"/>
    <w:rsid w:val="6CA420BB"/>
    <w:rsid w:val="6CAD69DD"/>
    <w:rsid w:val="6CB26586"/>
    <w:rsid w:val="6CCE7137"/>
    <w:rsid w:val="6CD7423E"/>
    <w:rsid w:val="6CD81D64"/>
    <w:rsid w:val="6CE773ED"/>
    <w:rsid w:val="6CFA7642"/>
    <w:rsid w:val="6D486939"/>
    <w:rsid w:val="6D5C4743"/>
    <w:rsid w:val="6D68758C"/>
    <w:rsid w:val="6D716441"/>
    <w:rsid w:val="6DB93944"/>
    <w:rsid w:val="6DE94EC2"/>
    <w:rsid w:val="6DEF7365"/>
    <w:rsid w:val="6E04063A"/>
    <w:rsid w:val="6E1135F1"/>
    <w:rsid w:val="6E1A6997"/>
    <w:rsid w:val="6E26547D"/>
    <w:rsid w:val="6E2B6B6B"/>
    <w:rsid w:val="6E2E4332"/>
    <w:rsid w:val="6E32073B"/>
    <w:rsid w:val="6E3C2A15"/>
    <w:rsid w:val="6E405E13"/>
    <w:rsid w:val="6E5F098F"/>
    <w:rsid w:val="6E6B7334"/>
    <w:rsid w:val="6E7C32EF"/>
    <w:rsid w:val="6EA13C00"/>
    <w:rsid w:val="6EA63EC8"/>
    <w:rsid w:val="6EBC193D"/>
    <w:rsid w:val="6ED50C51"/>
    <w:rsid w:val="6ED8604B"/>
    <w:rsid w:val="6EDC3D8E"/>
    <w:rsid w:val="6F0A08FB"/>
    <w:rsid w:val="6F1218C9"/>
    <w:rsid w:val="6F2922ED"/>
    <w:rsid w:val="6F2B261F"/>
    <w:rsid w:val="6F322195"/>
    <w:rsid w:val="6F40256E"/>
    <w:rsid w:val="6F49587E"/>
    <w:rsid w:val="6F4D4C8B"/>
    <w:rsid w:val="6F563B40"/>
    <w:rsid w:val="6F614293"/>
    <w:rsid w:val="6F7352F1"/>
    <w:rsid w:val="6F796E17"/>
    <w:rsid w:val="6F7E4E45"/>
    <w:rsid w:val="6F87179F"/>
    <w:rsid w:val="6F874B58"/>
    <w:rsid w:val="6F912DCA"/>
    <w:rsid w:val="6F9E7295"/>
    <w:rsid w:val="6FB50626"/>
    <w:rsid w:val="6FB95E7D"/>
    <w:rsid w:val="6FCD5FA5"/>
    <w:rsid w:val="6FE729EA"/>
    <w:rsid w:val="6FEE1FCA"/>
    <w:rsid w:val="6FEF5D43"/>
    <w:rsid w:val="6FF3138F"/>
    <w:rsid w:val="700E61C9"/>
    <w:rsid w:val="700F2EEF"/>
    <w:rsid w:val="701B08E6"/>
    <w:rsid w:val="701C4F92"/>
    <w:rsid w:val="70253512"/>
    <w:rsid w:val="704E4817"/>
    <w:rsid w:val="705160B5"/>
    <w:rsid w:val="706202C3"/>
    <w:rsid w:val="70666005"/>
    <w:rsid w:val="707158DE"/>
    <w:rsid w:val="7080699B"/>
    <w:rsid w:val="708C17E3"/>
    <w:rsid w:val="708E2E66"/>
    <w:rsid w:val="70980188"/>
    <w:rsid w:val="709B5583"/>
    <w:rsid w:val="709C1A26"/>
    <w:rsid w:val="70A17DDC"/>
    <w:rsid w:val="70C90783"/>
    <w:rsid w:val="70E64666"/>
    <w:rsid w:val="70E707C8"/>
    <w:rsid w:val="70FB2246"/>
    <w:rsid w:val="710B095A"/>
    <w:rsid w:val="7117779D"/>
    <w:rsid w:val="711D3F14"/>
    <w:rsid w:val="711E068D"/>
    <w:rsid w:val="713C0B14"/>
    <w:rsid w:val="71493231"/>
    <w:rsid w:val="71564560"/>
    <w:rsid w:val="71603117"/>
    <w:rsid w:val="71754026"/>
    <w:rsid w:val="71810C1C"/>
    <w:rsid w:val="719426FE"/>
    <w:rsid w:val="71A212BE"/>
    <w:rsid w:val="71AD3C93"/>
    <w:rsid w:val="71C07997"/>
    <w:rsid w:val="71C64741"/>
    <w:rsid w:val="71CC00E9"/>
    <w:rsid w:val="71D1659C"/>
    <w:rsid w:val="71DB20DB"/>
    <w:rsid w:val="71DE1BCB"/>
    <w:rsid w:val="71EA67C2"/>
    <w:rsid w:val="72007D93"/>
    <w:rsid w:val="72035AD5"/>
    <w:rsid w:val="722241AD"/>
    <w:rsid w:val="72233A82"/>
    <w:rsid w:val="722C6AF5"/>
    <w:rsid w:val="722E5DD5"/>
    <w:rsid w:val="722F0678"/>
    <w:rsid w:val="723E08BB"/>
    <w:rsid w:val="723F5894"/>
    <w:rsid w:val="72414F83"/>
    <w:rsid w:val="72442376"/>
    <w:rsid w:val="725A3947"/>
    <w:rsid w:val="72750781"/>
    <w:rsid w:val="727D3AE3"/>
    <w:rsid w:val="72802C82"/>
    <w:rsid w:val="729A2E32"/>
    <w:rsid w:val="72A44B62"/>
    <w:rsid w:val="72AB41A3"/>
    <w:rsid w:val="72C65029"/>
    <w:rsid w:val="72D134DE"/>
    <w:rsid w:val="72D27981"/>
    <w:rsid w:val="73046E24"/>
    <w:rsid w:val="732B7C0C"/>
    <w:rsid w:val="73342904"/>
    <w:rsid w:val="73410663"/>
    <w:rsid w:val="73426189"/>
    <w:rsid w:val="734902DF"/>
    <w:rsid w:val="734D525A"/>
    <w:rsid w:val="73537D06"/>
    <w:rsid w:val="735B4F35"/>
    <w:rsid w:val="735F4F8D"/>
    <w:rsid w:val="7366631C"/>
    <w:rsid w:val="73674D66"/>
    <w:rsid w:val="736B56E0"/>
    <w:rsid w:val="737177C6"/>
    <w:rsid w:val="73927111"/>
    <w:rsid w:val="73942E89"/>
    <w:rsid w:val="73944C37"/>
    <w:rsid w:val="73B928EF"/>
    <w:rsid w:val="73C179F6"/>
    <w:rsid w:val="73CD6A9A"/>
    <w:rsid w:val="73D414D7"/>
    <w:rsid w:val="73DA58ED"/>
    <w:rsid w:val="73DC038C"/>
    <w:rsid w:val="73DE4BC6"/>
    <w:rsid w:val="73F73418"/>
    <w:rsid w:val="73F76F74"/>
    <w:rsid w:val="74177616"/>
    <w:rsid w:val="742005B0"/>
    <w:rsid w:val="74214843"/>
    <w:rsid w:val="742F670E"/>
    <w:rsid w:val="7435061E"/>
    <w:rsid w:val="743E1047"/>
    <w:rsid w:val="743F3744"/>
    <w:rsid w:val="744545D5"/>
    <w:rsid w:val="7461643C"/>
    <w:rsid w:val="746E36DA"/>
    <w:rsid w:val="746F1200"/>
    <w:rsid w:val="74864AE5"/>
    <w:rsid w:val="74A013B9"/>
    <w:rsid w:val="74A0760B"/>
    <w:rsid w:val="74A215D5"/>
    <w:rsid w:val="74A22534"/>
    <w:rsid w:val="74BB2697"/>
    <w:rsid w:val="74CC496A"/>
    <w:rsid w:val="74D13C69"/>
    <w:rsid w:val="74E41BEE"/>
    <w:rsid w:val="74F8630F"/>
    <w:rsid w:val="7510109D"/>
    <w:rsid w:val="752F4467"/>
    <w:rsid w:val="753C37D8"/>
    <w:rsid w:val="754B7577"/>
    <w:rsid w:val="75656C30"/>
    <w:rsid w:val="757F6D94"/>
    <w:rsid w:val="758E623F"/>
    <w:rsid w:val="758F7444"/>
    <w:rsid w:val="75AB270C"/>
    <w:rsid w:val="75BB59A9"/>
    <w:rsid w:val="75E77A7B"/>
    <w:rsid w:val="75EB7AF6"/>
    <w:rsid w:val="76124539"/>
    <w:rsid w:val="76172E4D"/>
    <w:rsid w:val="761E4C8C"/>
    <w:rsid w:val="76261D92"/>
    <w:rsid w:val="76390D34"/>
    <w:rsid w:val="763C6E6F"/>
    <w:rsid w:val="763F1AD3"/>
    <w:rsid w:val="76431DF2"/>
    <w:rsid w:val="765353AD"/>
    <w:rsid w:val="76593502"/>
    <w:rsid w:val="76654669"/>
    <w:rsid w:val="76874D1D"/>
    <w:rsid w:val="76962A74"/>
    <w:rsid w:val="769B62DC"/>
    <w:rsid w:val="76AC04E9"/>
    <w:rsid w:val="76CB2DAE"/>
    <w:rsid w:val="76DF3444"/>
    <w:rsid w:val="76E25CB9"/>
    <w:rsid w:val="76E66871"/>
    <w:rsid w:val="76F53C3E"/>
    <w:rsid w:val="76F65C09"/>
    <w:rsid w:val="76FB06B0"/>
    <w:rsid w:val="76FE0619"/>
    <w:rsid w:val="770025E3"/>
    <w:rsid w:val="77057BFA"/>
    <w:rsid w:val="7718792D"/>
    <w:rsid w:val="771F19F8"/>
    <w:rsid w:val="772207AC"/>
    <w:rsid w:val="772558CB"/>
    <w:rsid w:val="77291B3A"/>
    <w:rsid w:val="77336515"/>
    <w:rsid w:val="77444BC6"/>
    <w:rsid w:val="77505319"/>
    <w:rsid w:val="77550B81"/>
    <w:rsid w:val="775A7F45"/>
    <w:rsid w:val="7767567E"/>
    <w:rsid w:val="77723A3F"/>
    <w:rsid w:val="7772528F"/>
    <w:rsid w:val="77750427"/>
    <w:rsid w:val="77774380"/>
    <w:rsid w:val="778E0709"/>
    <w:rsid w:val="778E7227"/>
    <w:rsid w:val="779276DF"/>
    <w:rsid w:val="77AD276B"/>
    <w:rsid w:val="77BF424C"/>
    <w:rsid w:val="77C12A3C"/>
    <w:rsid w:val="77D44FB1"/>
    <w:rsid w:val="77DA2E34"/>
    <w:rsid w:val="77E65C7D"/>
    <w:rsid w:val="77F705AA"/>
    <w:rsid w:val="77F75794"/>
    <w:rsid w:val="78061E7B"/>
    <w:rsid w:val="7806304E"/>
    <w:rsid w:val="780D4FB8"/>
    <w:rsid w:val="780F0D30"/>
    <w:rsid w:val="78267E28"/>
    <w:rsid w:val="782F4F2E"/>
    <w:rsid w:val="7843265A"/>
    <w:rsid w:val="784A2FF2"/>
    <w:rsid w:val="784B5AE0"/>
    <w:rsid w:val="784D730B"/>
    <w:rsid w:val="78563D60"/>
    <w:rsid w:val="786170B2"/>
    <w:rsid w:val="78715547"/>
    <w:rsid w:val="787B1CD3"/>
    <w:rsid w:val="787B63C5"/>
    <w:rsid w:val="787D213D"/>
    <w:rsid w:val="789E20B4"/>
    <w:rsid w:val="78B418D7"/>
    <w:rsid w:val="78DC4E9B"/>
    <w:rsid w:val="78EB6FA2"/>
    <w:rsid w:val="78F06C72"/>
    <w:rsid w:val="78F85C68"/>
    <w:rsid w:val="790747D9"/>
    <w:rsid w:val="791D69FF"/>
    <w:rsid w:val="79312F28"/>
    <w:rsid w:val="7963752C"/>
    <w:rsid w:val="7980669E"/>
    <w:rsid w:val="79884EF0"/>
    <w:rsid w:val="79955265"/>
    <w:rsid w:val="799F4335"/>
    <w:rsid w:val="79A25BD4"/>
    <w:rsid w:val="79AD3AA3"/>
    <w:rsid w:val="79B50415"/>
    <w:rsid w:val="79BA39FE"/>
    <w:rsid w:val="79BA4CCB"/>
    <w:rsid w:val="79BD3506"/>
    <w:rsid w:val="79D31D54"/>
    <w:rsid w:val="79D46647"/>
    <w:rsid w:val="79DA413D"/>
    <w:rsid w:val="79EF706B"/>
    <w:rsid w:val="79FE4645"/>
    <w:rsid w:val="79FF4DD4"/>
    <w:rsid w:val="7A0643B5"/>
    <w:rsid w:val="7A170370"/>
    <w:rsid w:val="7A262361"/>
    <w:rsid w:val="7A3C7DD6"/>
    <w:rsid w:val="7A652B28"/>
    <w:rsid w:val="7AA15E8B"/>
    <w:rsid w:val="7AC73B44"/>
    <w:rsid w:val="7ACA7190"/>
    <w:rsid w:val="7ACC2F08"/>
    <w:rsid w:val="7AD718AD"/>
    <w:rsid w:val="7AEA7832"/>
    <w:rsid w:val="7AFC477A"/>
    <w:rsid w:val="7B073F40"/>
    <w:rsid w:val="7B0A3A31"/>
    <w:rsid w:val="7B2F33A0"/>
    <w:rsid w:val="7B464F63"/>
    <w:rsid w:val="7B6E3FBF"/>
    <w:rsid w:val="7B8A4479"/>
    <w:rsid w:val="7B8A5885"/>
    <w:rsid w:val="7B8A691F"/>
    <w:rsid w:val="7BAE0860"/>
    <w:rsid w:val="7BB57627"/>
    <w:rsid w:val="7BC2430B"/>
    <w:rsid w:val="7BDC22F5"/>
    <w:rsid w:val="7BEB5610"/>
    <w:rsid w:val="7C136FD3"/>
    <w:rsid w:val="7C163879"/>
    <w:rsid w:val="7C1A0688"/>
    <w:rsid w:val="7C2154D6"/>
    <w:rsid w:val="7C2E6411"/>
    <w:rsid w:val="7C3D3992"/>
    <w:rsid w:val="7C3E04C7"/>
    <w:rsid w:val="7C4316D6"/>
    <w:rsid w:val="7C5E4034"/>
    <w:rsid w:val="7C745258"/>
    <w:rsid w:val="7C7A6994"/>
    <w:rsid w:val="7C7C095E"/>
    <w:rsid w:val="7C7E0232"/>
    <w:rsid w:val="7C950E2A"/>
    <w:rsid w:val="7C9944BA"/>
    <w:rsid w:val="7CA441CF"/>
    <w:rsid w:val="7CC061B1"/>
    <w:rsid w:val="7CD80ACA"/>
    <w:rsid w:val="7CF233A3"/>
    <w:rsid w:val="7CF84488"/>
    <w:rsid w:val="7CFB7AD5"/>
    <w:rsid w:val="7D157953"/>
    <w:rsid w:val="7D23174B"/>
    <w:rsid w:val="7D2A660C"/>
    <w:rsid w:val="7D3923AB"/>
    <w:rsid w:val="7D3E3E65"/>
    <w:rsid w:val="7D40198C"/>
    <w:rsid w:val="7D4274B2"/>
    <w:rsid w:val="7D433503"/>
    <w:rsid w:val="7D4D7FF8"/>
    <w:rsid w:val="7D5B1701"/>
    <w:rsid w:val="7D676F18"/>
    <w:rsid w:val="7D777F14"/>
    <w:rsid w:val="7D87580C"/>
    <w:rsid w:val="7D9046C1"/>
    <w:rsid w:val="7D950078"/>
    <w:rsid w:val="7DAC5273"/>
    <w:rsid w:val="7DB44F58"/>
    <w:rsid w:val="7DBB54B6"/>
    <w:rsid w:val="7DC331AA"/>
    <w:rsid w:val="7DC85CED"/>
    <w:rsid w:val="7DD65E4C"/>
    <w:rsid w:val="7DDA593C"/>
    <w:rsid w:val="7DE821BB"/>
    <w:rsid w:val="7DEC11B5"/>
    <w:rsid w:val="7DFD5ACF"/>
    <w:rsid w:val="7E1857BB"/>
    <w:rsid w:val="7E1F073A"/>
    <w:rsid w:val="7E247357"/>
    <w:rsid w:val="7E2E5C88"/>
    <w:rsid w:val="7E33504C"/>
    <w:rsid w:val="7E3A1D07"/>
    <w:rsid w:val="7E3A7A0B"/>
    <w:rsid w:val="7E4159BB"/>
    <w:rsid w:val="7E541ACD"/>
    <w:rsid w:val="7E6873EC"/>
    <w:rsid w:val="7E9D6C77"/>
    <w:rsid w:val="7EB77A2B"/>
    <w:rsid w:val="7EC14D4E"/>
    <w:rsid w:val="7EC5039A"/>
    <w:rsid w:val="7ECC6D7D"/>
    <w:rsid w:val="7ECE2DE8"/>
    <w:rsid w:val="7EF46ED2"/>
    <w:rsid w:val="7F0E027B"/>
    <w:rsid w:val="7F2F3A66"/>
    <w:rsid w:val="7F390D88"/>
    <w:rsid w:val="7F3B254A"/>
    <w:rsid w:val="7F3C6183"/>
    <w:rsid w:val="7F45772D"/>
    <w:rsid w:val="7F496D89"/>
    <w:rsid w:val="7F4C5FA9"/>
    <w:rsid w:val="7F65718E"/>
    <w:rsid w:val="7FA206DC"/>
    <w:rsid w:val="7FA53D28"/>
    <w:rsid w:val="7FAD7948"/>
    <w:rsid w:val="7FB763C3"/>
    <w:rsid w:val="7FE346EA"/>
    <w:rsid w:val="7FF82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autoRedefine/>
    <w:qFormat/>
    <w:uiPriority w:val="0"/>
    <w:pPr>
      <w:ind w:firstLine="645"/>
    </w:pPr>
    <w:rPr>
      <w:rFonts w:ascii="楷体_GB2312" w:eastAsia="楷体_GB2312"/>
      <w:sz w:val="32"/>
      <w:szCs w:val="32"/>
    </w:rPr>
  </w:style>
  <w:style w:type="paragraph" w:styleId="5">
    <w:name w:val="footer"/>
    <w:basedOn w:val="1"/>
    <w:link w:val="17"/>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autoRedefine/>
    <w:qFormat/>
    <w:uiPriority w:val="0"/>
    <w:pPr>
      <w:ind w:left="645" w:firstLine="645"/>
    </w:pPr>
    <w:rPr>
      <w:rFonts w:ascii="Arial" w:hAnsi="Arial" w:eastAsia="仿宋_GB2312" w:cs="Arial"/>
      <w:color w:val="FFFF00"/>
      <w:sz w:val="32"/>
      <w:szCs w:val="32"/>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Body Text First Indent"/>
    <w:basedOn w:val="1"/>
    <w:next w:val="1"/>
    <w:autoRedefine/>
    <w:unhideWhenUsed/>
    <w:qFormat/>
    <w:uiPriority w:val="99"/>
    <w:pPr>
      <w:ind w:firstLine="420"/>
    </w:pPr>
    <w:rPr>
      <w:rFonts w:ascii="Times New Roman" w:hAnsi="Times New Roman" w:eastAsia="宋体" w:cs="Times New Roman"/>
    </w:rPr>
  </w:style>
  <w:style w:type="table" w:styleId="11">
    <w:name w:val="Table Grid"/>
    <w:basedOn w:val="1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Default"/>
    <w:basedOn w:val="1"/>
    <w:autoRedefine/>
    <w:semiHidden/>
    <w:qFormat/>
    <w:uiPriority w:val="0"/>
    <w:pPr>
      <w:autoSpaceDE w:val="0"/>
      <w:autoSpaceDN w:val="0"/>
      <w:adjustRightInd w:val="0"/>
      <w:jc w:val="left"/>
    </w:pPr>
    <w:rPr>
      <w:rFonts w:ascii="宋体" w:hAnsi="Calibri" w:cs="宋体"/>
      <w:color w:val="000000"/>
      <w:kern w:val="0"/>
      <w:sz w:val="24"/>
    </w:rPr>
  </w:style>
  <w:style w:type="paragraph" w:customStyle="1" w:styleId="14">
    <w:name w:val="4"/>
    <w:basedOn w:val="1"/>
    <w:next w:val="7"/>
    <w:autoRedefine/>
    <w:qFormat/>
    <w:uiPriority w:val="0"/>
    <w:pPr>
      <w:spacing w:line="360" w:lineRule="auto"/>
      <w:ind w:firstLine="420"/>
    </w:pPr>
    <w:rPr>
      <w:color w:val="FF0000"/>
      <w:sz w:val="24"/>
    </w:rPr>
  </w:style>
  <w:style w:type="paragraph" w:customStyle="1" w:styleId="15">
    <w:name w:val="纯文本1"/>
    <w:basedOn w:val="1"/>
    <w:autoRedefine/>
    <w:qFormat/>
    <w:uiPriority w:val="0"/>
    <w:pPr>
      <w:adjustRightInd w:val="0"/>
    </w:pPr>
    <w:rPr>
      <w:rFonts w:ascii="宋体" w:hAnsi="Courier New" w:eastAsia="楷体_GB2312"/>
      <w:sz w:val="28"/>
      <w:szCs w:val="20"/>
    </w:rPr>
  </w:style>
  <w:style w:type="character" w:customStyle="1" w:styleId="16">
    <w:name w:val="页眉 Char"/>
    <w:basedOn w:val="12"/>
    <w:link w:val="6"/>
    <w:autoRedefine/>
    <w:qFormat/>
    <w:uiPriority w:val="0"/>
    <w:rPr>
      <w:kern w:val="2"/>
      <w:sz w:val="18"/>
      <w:szCs w:val="18"/>
    </w:rPr>
  </w:style>
  <w:style w:type="character" w:customStyle="1" w:styleId="17">
    <w:name w:val="页脚 Char"/>
    <w:basedOn w:val="12"/>
    <w:link w:val="5"/>
    <w:autoRedefine/>
    <w:qFormat/>
    <w:uiPriority w:val="0"/>
    <w:rPr>
      <w:kern w:val="2"/>
      <w:sz w:val="18"/>
      <w:szCs w:val="18"/>
    </w:rPr>
  </w:style>
  <w:style w:type="paragraph" w:customStyle="1" w:styleId="18">
    <w:name w:val="普通正文"/>
    <w:basedOn w:val="1"/>
    <w:autoRedefine/>
    <w:qFormat/>
    <w:uiPriority w:val="0"/>
    <w:pPr>
      <w:adjustRightInd w:val="0"/>
      <w:spacing w:before="120" w:after="120" w:line="360" w:lineRule="auto"/>
      <w:ind w:firstLine="480"/>
      <w:jc w:val="left"/>
    </w:pPr>
    <w:rPr>
      <w:rFonts w:ascii="Arial" w:hAnsi="Arial" w:eastAsia="等线" w:cs="Arial"/>
      <w:sz w:val="24"/>
      <w:szCs w:val="2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宋体" w:hAnsi="宋体" w:eastAsia="宋体" w:cs="宋体"/>
      <w:sz w:val="24"/>
      <w:szCs w:val="24"/>
      <w:lang w:val="en-US" w:eastAsia="en-US" w:bidi="ar-SA"/>
    </w:rPr>
  </w:style>
  <w:style w:type="character" w:customStyle="1" w:styleId="21">
    <w:name w:val="NormalCharacter"/>
    <w:link w:val="1"/>
    <w:autoRedefine/>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58</Pages>
  <Words>11449</Words>
  <Characters>12385</Characters>
  <Lines>168</Lines>
  <Paragraphs>47</Paragraphs>
  <TotalTime>28</TotalTime>
  <ScaleCrop>false</ScaleCrop>
  <LinksUpToDate>false</LinksUpToDate>
  <CharactersWithSpaces>12625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2024-01-18T02:05:00Z</dcterms:created>
  <dc:creator>Administrator</dc:creator>
  <cp:lastModifiedBy>Ⅶ</cp:lastModifiedBy>
  <cp:lastPrinted>2025-07-16T08:02:00Z</cp:lastPrinted>
  <dcterms:modified xsi:type="dcterms:W3CDTF">2025-07-17T02:37:38Z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76CB01F7FAF246F4B2160C14D64A6378_13</vt:lpwstr>
  </property>
  <property fmtid="{D5CDD505-2E9C-101B-9397-08002B2CF9AE}" pid="4" name="KSOTemplateDocerSaveRecord">
    <vt:lpwstr>eyJoZGlkIjoiMzQyZTkyNWYxZDNlYjAwMzIxOWRmOTZlNmU3NTRmNmEiLCJ1c2VySWQiOiIzNzMyOTkwOTUifQ==</vt:lpwstr>
  </property>
</Properties>
</file>