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项目编号：JSZC-320500-JZCG-G2024-0397</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中国共产党苏州市委员会台湾工作办公室</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“苏台通”智慧服务平台硬件设备购置</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67"/>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firstLine="1606"/>
        <w:jc w:val="left"/>
        <w:rPr>
          <w:rFonts w:ascii="宋体" w:hAnsi="宋体"/>
          <w:b/>
          <w:sz w:val="32"/>
        </w:rPr>
      </w:pPr>
      <w:r>
        <w:rPr>
          <w:rFonts w:hint="eastAsia" w:ascii="宋体" w:hAnsi="宋体"/>
          <w:b/>
          <w:sz w:val="32"/>
        </w:rPr>
        <w:t xml:space="preserve">苏州市公共资源交易中心（苏州市政府集中采购中心）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024</w:t>
      </w:r>
      <w:r>
        <w:rPr>
          <w:rFonts w:hint="eastAsia" w:ascii="宋体" w:hAnsi="宋体"/>
          <w:b/>
          <w:sz w:val="32"/>
        </w:rPr>
        <w:t xml:space="preserve">年</w:t>
      </w:r>
      <w:r>
        <w:rPr>
          <w:rFonts w:ascii="宋体" w:hAnsi="宋体"/>
          <w:b/>
          <w:sz w:val="32"/>
        </w:rPr>
        <w:t xml:space="preserve">8</w:t>
      </w:r>
      <w:r>
        <w:rPr>
          <w:rFonts w:hint="eastAsia" w:ascii="宋体" w:hAnsi="宋体"/>
          <w:b/>
          <w:sz w:val="32"/>
        </w:rPr>
        <w:t xml:space="preserve">月</w:t>
      </w:r>
      <w:r/>
    </w:p>
    <w:p>
      <w:pPr>
        <w:ind w:left="0"/>
        <w:jc w:val="center"/>
        <w:rPr>
          <w:rFonts w:ascii="宋体" w:hAnsi="宋体"/>
          <w:sz w:val="48"/>
        </w:rPr>
        <w:sectPr>
          <w:headerReference w:type="default" r:id="rId8"/>
          <w:headerReference w:type="first" r:id="rId9"/>
          <w:footerReference w:type="default" r:id="rId10"/>
          <w:footerReference w:type="first" r:id="rId11"/>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75"/>
        <w:ind w:firstLine="0"/>
        <w:jc w:val="left"/>
        <w:spacing w:before="120" w:after="120"/>
        <w:tabs>
          <w:tab w:val="right" w:pos="9856" w:leader="dot"/>
        </w:tabs>
        <w:rPr>
          <w:rStyle w:val="905"/>
          <w:rFonts w:ascii="宋体" w:hAnsi="宋体" w:cs="Calibri"/>
          <w:bCs/>
          <w:caps/>
          <w:color w:val="auto"/>
          <w:sz w:val="32"/>
          <w:szCs w:val="32"/>
        </w:rPr>
        <w:outlineLvl w:val="9"/>
      </w:pPr>
      <w:r>
        <w:rPr>
          <w:rFonts w:ascii="宋体" w:hAnsi="宋体" w:cs="Calibri"/>
          <w:bCs/>
          <w:caps/>
          <w:color w:val="auto"/>
          <w:sz w:val="32"/>
          <w:szCs w:val="32"/>
        </w:rPr>
      </w:r>
      <w:r/>
    </w:p>
    <w:p>
      <w:pPr>
        <w:pStyle w:val="875"/>
        <w:ind w:firstLine="0"/>
        <w:jc w:val="left"/>
        <w:spacing w:before="120" w:after="120"/>
        <w:tabs>
          <w:tab w:val="right" w:pos="9854" w:leader="dot"/>
        </w:tabs>
        <w:rPr>
          <w:rStyle w:val="905"/>
          <w:rFonts w:ascii="宋体" w:hAnsi="宋体" w:cs="Calibri"/>
          <w:bCs/>
          <w:caps/>
          <w:color w:val="auto"/>
          <w:sz w:val="32"/>
          <w:szCs w:val="32"/>
        </w:rPr>
        <w:outlineLvl w:val="9"/>
      </w:pPr>
      <w:r>
        <w:rPr>
          <w:rStyle w:val="905"/>
          <w:rFonts w:ascii="宋体" w:hAnsi="宋体" w:cs="Calibri"/>
          <w:bCs/>
          <w:caps/>
          <w:color w:val="auto"/>
          <w:sz w:val="32"/>
        </w:rPr>
        <w:fldChar w:fldCharType="begin"/>
      </w:r>
      <w:r>
        <w:rPr>
          <w:rStyle w:val="905"/>
          <w:rFonts w:ascii="宋体" w:hAnsi="宋体" w:cs="Calibri"/>
          <w:bCs/>
          <w:caps/>
          <w:color w:val="auto"/>
          <w:sz w:val="32"/>
        </w:rPr>
        <w:instrText xml:space="preserve"> TOC \o "1-1" \h \z \u </w:instrText>
      </w:r>
      <w:r>
        <w:rPr>
          <w:rStyle w:val="905"/>
          <w:rFonts w:ascii="宋体" w:hAnsi="宋体" w:cs="Calibri"/>
          <w:bCs/>
          <w:caps/>
          <w:color w:val="auto"/>
          <w:sz w:val="32"/>
        </w:rPr>
        <w:fldChar w:fldCharType="separate"/>
      </w:r>
      <w:hyperlink w:tooltip="#_Toc105397776" w:anchor="_Toc105397776" w:history="1">
        <w:r>
          <w:rPr>
            <w:rStyle w:val="905"/>
            <w:rFonts w:ascii="宋体" w:hAnsi="宋体" w:cs="Calibri"/>
            <w:bCs/>
            <w:caps/>
            <w:color w:val="auto"/>
            <w:sz w:val="32"/>
            <w:szCs w:val="32"/>
          </w:rPr>
          <w:t xml:space="preserve">第一章 投标邀请函</w:t>
        </w:r>
        <w:r>
          <w:rPr>
            <w:rStyle w:val="905"/>
            <w:rFonts w:ascii="宋体" w:hAnsi="宋体" w:cs="Calibri"/>
            <w:bCs/>
            <w:caps/>
            <w:color w:val="auto"/>
            <w:sz w:val="32"/>
            <w:szCs w:val="32"/>
          </w:rPr>
          <w:tab/>
        </w:r>
        <w:r>
          <w:rPr>
            <w:rStyle w:val="905"/>
            <w:rFonts w:ascii="宋体" w:hAnsi="宋体" w:cs="Calibri"/>
            <w:bCs/>
            <w:caps/>
            <w:color w:val="auto"/>
            <w:sz w:val="32"/>
            <w:szCs w:val="32"/>
          </w:rPr>
          <w:fldChar w:fldCharType="begin"/>
        </w:r>
        <w:r>
          <w:rPr>
            <w:rStyle w:val="905"/>
            <w:rFonts w:ascii="宋体" w:hAnsi="宋体" w:cs="Calibri"/>
            <w:bCs/>
            <w:caps/>
            <w:color w:val="auto"/>
            <w:sz w:val="32"/>
            <w:szCs w:val="32"/>
          </w:rPr>
          <w:instrText xml:space="preserve"> PAGEREF _Toc105397776 \h </w:instrText>
        </w:r>
        <w:r>
          <w:rPr>
            <w:rStyle w:val="905"/>
            <w:rFonts w:ascii="宋体" w:hAnsi="宋体" w:cs="Calibri"/>
            <w:bCs/>
            <w:caps/>
            <w:color w:val="auto"/>
            <w:sz w:val="32"/>
            <w:szCs w:val="32"/>
          </w:rPr>
        </w:r>
        <w:r>
          <w:rPr>
            <w:rStyle w:val="905"/>
            <w:rFonts w:ascii="宋体" w:hAnsi="宋体" w:cs="Calibri"/>
            <w:bCs/>
            <w:caps/>
            <w:color w:val="auto"/>
            <w:sz w:val="32"/>
            <w:szCs w:val="32"/>
          </w:rPr>
          <w:fldChar w:fldCharType="separate"/>
        </w:r>
        <w:r>
          <w:rPr>
            <w:rStyle w:val="905"/>
            <w:rFonts w:ascii="宋体" w:hAnsi="宋体" w:cs="Calibri"/>
            <w:bCs/>
            <w:caps/>
            <w:color w:val="auto"/>
            <w:sz w:val="32"/>
            <w:szCs w:val="32"/>
          </w:rPr>
          <w:t xml:space="preserve">5</w:t>
        </w:r>
        <w:r>
          <w:rPr>
            <w:rStyle w:val="905"/>
            <w:rFonts w:ascii="宋体" w:hAnsi="宋体" w:cs="Calibri"/>
            <w:bCs/>
            <w:caps/>
            <w:color w:val="auto"/>
            <w:sz w:val="32"/>
            <w:szCs w:val="32"/>
          </w:rPr>
          <w:fldChar w:fldCharType="end"/>
        </w:r>
      </w:hyperlink>
      <w:r/>
      <w:r/>
    </w:p>
    <w:p>
      <w:pPr>
        <w:pStyle w:val="875"/>
        <w:ind w:firstLine="0"/>
        <w:jc w:val="left"/>
        <w:spacing w:before="120" w:after="120"/>
        <w:tabs>
          <w:tab w:val="right" w:pos="9854" w:leader="dot"/>
        </w:tabs>
        <w:rPr>
          <w:rStyle w:val="905"/>
          <w:rFonts w:ascii="宋体" w:hAnsi="宋体" w:cs="Calibri"/>
          <w:bCs/>
          <w:caps/>
          <w:color w:val="auto"/>
          <w:sz w:val="32"/>
          <w:szCs w:val="32"/>
        </w:rPr>
        <w:outlineLvl w:val="9"/>
      </w:pPr>
      <w:r/>
      <w:hyperlink w:tooltip="#_Toc105397777" w:anchor="_Toc105397777" w:history="1">
        <w:r>
          <w:rPr>
            <w:rStyle w:val="905"/>
            <w:rFonts w:ascii="宋体" w:hAnsi="宋体" w:cs="Calibri"/>
            <w:bCs/>
            <w:caps/>
            <w:color w:val="auto"/>
            <w:sz w:val="32"/>
            <w:szCs w:val="32"/>
          </w:rPr>
          <w:t xml:space="preserve">第二章 投标人须知</w:t>
        </w:r>
        <w:r>
          <w:rPr>
            <w:rStyle w:val="905"/>
            <w:rFonts w:ascii="宋体" w:hAnsi="宋体" w:cs="Calibri"/>
            <w:bCs/>
            <w:caps/>
            <w:color w:val="auto"/>
            <w:sz w:val="32"/>
            <w:szCs w:val="32"/>
          </w:rPr>
          <w:tab/>
        </w:r>
        <w:r>
          <w:rPr>
            <w:rStyle w:val="905"/>
            <w:rFonts w:ascii="宋体" w:hAnsi="宋体" w:cs="Calibri"/>
            <w:bCs/>
            <w:caps/>
            <w:color w:val="auto"/>
            <w:sz w:val="32"/>
            <w:szCs w:val="32"/>
          </w:rPr>
          <w:fldChar w:fldCharType="begin"/>
        </w:r>
        <w:r>
          <w:rPr>
            <w:rStyle w:val="905"/>
            <w:rFonts w:ascii="宋体" w:hAnsi="宋体" w:cs="Calibri"/>
            <w:bCs/>
            <w:caps/>
            <w:color w:val="auto"/>
            <w:sz w:val="32"/>
            <w:szCs w:val="32"/>
          </w:rPr>
          <w:instrText xml:space="preserve"> PAGEREF _Toc105397777 \h </w:instrText>
        </w:r>
        <w:r>
          <w:rPr>
            <w:rStyle w:val="905"/>
            <w:rFonts w:ascii="宋体" w:hAnsi="宋体" w:cs="Calibri"/>
            <w:bCs/>
            <w:caps/>
            <w:color w:val="auto"/>
            <w:sz w:val="32"/>
            <w:szCs w:val="32"/>
          </w:rPr>
        </w:r>
        <w:r>
          <w:rPr>
            <w:rStyle w:val="905"/>
            <w:rFonts w:ascii="宋体" w:hAnsi="宋体" w:cs="Calibri"/>
            <w:bCs/>
            <w:caps/>
            <w:color w:val="auto"/>
            <w:sz w:val="32"/>
            <w:szCs w:val="32"/>
          </w:rPr>
          <w:fldChar w:fldCharType="separate"/>
        </w:r>
        <w:r>
          <w:rPr>
            <w:rStyle w:val="905"/>
            <w:rFonts w:ascii="宋体" w:hAnsi="宋体" w:cs="Calibri"/>
            <w:bCs/>
            <w:caps/>
            <w:color w:val="auto"/>
            <w:sz w:val="32"/>
            <w:szCs w:val="32"/>
          </w:rPr>
          <w:t xml:space="preserve">8</w:t>
        </w:r>
        <w:r>
          <w:rPr>
            <w:rStyle w:val="905"/>
            <w:rFonts w:ascii="宋体" w:hAnsi="宋体" w:cs="Calibri"/>
            <w:bCs/>
            <w:caps/>
            <w:color w:val="auto"/>
            <w:sz w:val="32"/>
            <w:szCs w:val="32"/>
          </w:rPr>
          <w:fldChar w:fldCharType="end"/>
        </w:r>
      </w:hyperlink>
      <w:r/>
      <w:r/>
    </w:p>
    <w:p>
      <w:pPr>
        <w:pStyle w:val="875"/>
        <w:ind w:firstLine="0"/>
        <w:jc w:val="left"/>
        <w:spacing w:before="120" w:after="120"/>
        <w:tabs>
          <w:tab w:val="right" w:pos="9854" w:leader="dot"/>
        </w:tabs>
        <w:rPr>
          <w:rStyle w:val="905"/>
          <w:rFonts w:ascii="宋体" w:hAnsi="宋体" w:cs="Calibri"/>
          <w:bCs/>
          <w:caps/>
          <w:color w:val="auto"/>
          <w:sz w:val="32"/>
          <w:szCs w:val="32"/>
        </w:rPr>
        <w:outlineLvl w:val="9"/>
      </w:pPr>
      <w:r/>
      <w:hyperlink w:tooltip="#_Toc105397778" w:anchor="_Toc105397778" w:history="1">
        <w:r>
          <w:rPr>
            <w:rStyle w:val="905"/>
            <w:rFonts w:ascii="宋体" w:hAnsi="宋体" w:cs="Calibri"/>
            <w:bCs/>
            <w:caps/>
            <w:color w:val="auto"/>
            <w:sz w:val="32"/>
            <w:szCs w:val="32"/>
          </w:rPr>
          <w:t xml:space="preserve">第三章 投标文件格式</w:t>
        </w:r>
        <w:r>
          <w:rPr>
            <w:rStyle w:val="905"/>
            <w:rFonts w:ascii="宋体" w:hAnsi="宋体" w:cs="Calibri"/>
            <w:bCs/>
            <w:caps/>
            <w:color w:val="auto"/>
            <w:sz w:val="32"/>
            <w:szCs w:val="32"/>
          </w:rPr>
          <w:tab/>
        </w:r>
        <w:r>
          <w:rPr>
            <w:rStyle w:val="905"/>
            <w:rFonts w:ascii="宋体" w:hAnsi="宋体" w:cs="Calibri"/>
            <w:bCs/>
            <w:caps/>
            <w:color w:val="auto"/>
            <w:sz w:val="32"/>
            <w:szCs w:val="32"/>
          </w:rPr>
          <w:fldChar w:fldCharType="begin"/>
        </w:r>
        <w:r>
          <w:rPr>
            <w:rStyle w:val="905"/>
            <w:rFonts w:ascii="宋体" w:hAnsi="宋体" w:cs="Calibri"/>
            <w:bCs/>
            <w:caps/>
            <w:color w:val="auto"/>
            <w:sz w:val="32"/>
            <w:szCs w:val="32"/>
          </w:rPr>
          <w:instrText xml:space="preserve"> PAGEREF _Toc105397778 \h </w:instrText>
        </w:r>
        <w:r>
          <w:rPr>
            <w:rStyle w:val="905"/>
            <w:rFonts w:ascii="宋体" w:hAnsi="宋体" w:cs="Calibri"/>
            <w:bCs/>
            <w:caps/>
            <w:color w:val="auto"/>
            <w:sz w:val="32"/>
            <w:szCs w:val="32"/>
          </w:rPr>
        </w:r>
        <w:r>
          <w:rPr>
            <w:rStyle w:val="905"/>
            <w:rFonts w:ascii="宋体" w:hAnsi="宋体" w:cs="Calibri"/>
            <w:bCs/>
            <w:caps/>
            <w:color w:val="auto"/>
            <w:sz w:val="32"/>
            <w:szCs w:val="32"/>
          </w:rPr>
          <w:fldChar w:fldCharType="separate"/>
        </w:r>
        <w:r>
          <w:rPr>
            <w:rStyle w:val="905"/>
            <w:rFonts w:ascii="宋体" w:hAnsi="宋体" w:cs="Calibri"/>
            <w:bCs/>
            <w:caps/>
            <w:color w:val="auto"/>
            <w:sz w:val="32"/>
            <w:szCs w:val="32"/>
          </w:rPr>
          <w:t xml:space="preserve">20</w:t>
        </w:r>
        <w:r>
          <w:rPr>
            <w:rStyle w:val="905"/>
            <w:rFonts w:ascii="宋体" w:hAnsi="宋体" w:cs="Calibri"/>
            <w:bCs/>
            <w:caps/>
            <w:color w:val="auto"/>
            <w:sz w:val="32"/>
            <w:szCs w:val="32"/>
          </w:rPr>
          <w:fldChar w:fldCharType="end"/>
        </w:r>
      </w:hyperlink>
      <w:r/>
      <w:r/>
    </w:p>
    <w:p>
      <w:pPr>
        <w:pStyle w:val="875"/>
        <w:ind w:firstLine="0"/>
        <w:jc w:val="left"/>
        <w:spacing w:before="120" w:after="120"/>
        <w:tabs>
          <w:tab w:val="right" w:pos="9854" w:leader="dot"/>
        </w:tabs>
        <w:rPr>
          <w:rStyle w:val="905"/>
          <w:rFonts w:ascii="宋体" w:hAnsi="宋体" w:cs="Calibri"/>
          <w:bCs/>
          <w:caps/>
          <w:color w:val="auto"/>
          <w:sz w:val="32"/>
          <w:szCs w:val="32"/>
        </w:rPr>
        <w:outlineLvl w:val="9"/>
      </w:pPr>
      <w:r/>
      <w:hyperlink w:tooltip="#_Toc105397793" w:anchor="_Toc105397793" w:history="1">
        <w:r>
          <w:rPr>
            <w:rStyle w:val="905"/>
            <w:rFonts w:ascii="宋体" w:hAnsi="宋体" w:cs="Calibri"/>
            <w:bCs/>
            <w:caps/>
            <w:color w:val="auto"/>
            <w:sz w:val="32"/>
            <w:szCs w:val="32"/>
          </w:rPr>
          <w:t xml:space="preserve">第四章 招标书</w:t>
        </w:r>
        <w:r>
          <w:rPr>
            <w:rStyle w:val="905"/>
            <w:rFonts w:ascii="宋体" w:hAnsi="宋体" w:cs="Calibri"/>
            <w:bCs/>
            <w:caps/>
            <w:color w:val="auto"/>
            <w:sz w:val="32"/>
            <w:szCs w:val="32"/>
          </w:rPr>
          <w:tab/>
        </w:r>
        <w:r>
          <w:rPr>
            <w:rStyle w:val="905"/>
            <w:rFonts w:ascii="宋体" w:hAnsi="宋体" w:cs="Calibri"/>
            <w:bCs/>
            <w:caps/>
            <w:color w:val="auto"/>
            <w:sz w:val="32"/>
            <w:szCs w:val="32"/>
          </w:rPr>
          <w:fldChar w:fldCharType="begin"/>
        </w:r>
        <w:r>
          <w:rPr>
            <w:rStyle w:val="905"/>
            <w:rFonts w:ascii="宋体" w:hAnsi="宋体" w:cs="Calibri"/>
            <w:bCs/>
            <w:caps/>
            <w:color w:val="auto"/>
            <w:sz w:val="32"/>
            <w:szCs w:val="32"/>
          </w:rPr>
          <w:instrText xml:space="preserve"> PAGEREF _Toc105397793 \h </w:instrText>
        </w:r>
        <w:r>
          <w:rPr>
            <w:rStyle w:val="905"/>
            <w:rFonts w:ascii="宋体" w:hAnsi="宋体" w:cs="Calibri"/>
            <w:bCs/>
            <w:caps/>
            <w:color w:val="auto"/>
            <w:sz w:val="32"/>
            <w:szCs w:val="32"/>
          </w:rPr>
        </w:r>
        <w:r>
          <w:rPr>
            <w:rStyle w:val="905"/>
            <w:rFonts w:ascii="宋体" w:hAnsi="宋体" w:cs="Calibri"/>
            <w:bCs/>
            <w:caps/>
            <w:color w:val="auto"/>
            <w:sz w:val="32"/>
            <w:szCs w:val="32"/>
          </w:rPr>
          <w:fldChar w:fldCharType="separate"/>
        </w:r>
        <w:r>
          <w:rPr>
            <w:rStyle w:val="905"/>
            <w:rFonts w:ascii="宋体" w:hAnsi="宋体" w:cs="Calibri"/>
            <w:bCs/>
            <w:caps/>
            <w:color w:val="auto"/>
            <w:sz w:val="32"/>
            <w:szCs w:val="32"/>
          </w:rPr>
          <w:t xml:space="preserve">33</w:t>
        </w:r>
        <w:r>
          <w:rPr>
            <w:rStyle w:val="905"/>
            <w:rFonts w:ascii="宋体" w:hAnsi="宋体" w:cs="Calibri"/>
            <w:bCs/>
            <w:caps/>
            <w:color w:val="auto"/>
            <w:sz w:val="32"/>
            <w:szCs w:val="32"/>
          </w:rPr>
          <w:fldChar w:fldCharType="end"/>
        </w:r>
      </w:hyperlink>
      <w:r/>
      <w:r/>
    </w:p>
    <w:p>
      <w:pPr>
        <w:pStyle w:val="875"/>
        <w:ind w:firstLine="0"/>
        <w:jc w:val="left"/>
        <w:spacing w:before="120" w:after="120"/>
        <w:tabs>
          <w:tab w:val="right" w:pos="9854" w:leader="dot"/>
        </w:tabs>
        <w:rPr>
          <w:rStyle w:val="905"/>
          <w:rFonts w:ascii="宋体" w:hAnsi="宋体" w:cs="Calibri"/>
          <w:bCs/>
          <w:caps/>
          <w:color w:val="auto"/>
          <w:sz w:val="32"/>
          <w:szCs w:val="32"/>
        </w:rPr>
        <w:outlineLvl w:val="9"/>
      </w:pPr>
      <w:r/>
      <w:hyperlink w:tooltip="#_Toc105397794" w:anchor="_Toc105397794" w:history="1">
        <w:r>
          <w:rPr>
            <w:rStyle w:val="905"/>
            <w:rFonts w:ascii="宋体" w:hAnsi="宋体" w:cs="Calibri"/>
            <w:bCs/>
            <w:caps/>
            <w:color w:val="auto"/>
            <w:sz w:val="32"/>
            <w:szCs w:val="32"/>
          </w:rPr>
          <w:t xml:space="preserve">第五章 合同及主要条款</w:t>
        </w:r>
        <w:r>
          <w:rPr>
            <w:rStyle w:val="905"/>
            <w:rFonts w:ascii="宋体" w:hAnsi="宋体" w:cs="Calibri"/>
            <w:bCs/>
            <w:caps/>
            <w:color w:val="auto"/>
            <w:sz w:val="32"/>
            <w:szCs w:val="32"/>
          </w:rPr>
          <w:tab/>
        </w:r>
        <w:r>
          <w:rPr>
            <w:rStyle w:val="905"/>
            <w:rFonts w:ascii="宋体" w:hAnsi="宋体" w:cs="Calibri"/>
            <w:bCs/>
            <w:caps/>
            <w:color w:val="auto"/>
            <w:sz w:val="32"/>
            <w:szCs w:val="32"/>
          </w:rPr>
          <w:fldChar w:fldCharType="begin"/>
        </w:r>
        <w:r>
          <w:rPr>
            <w:rStyle w:val="905"/>
            <w:rFonts w:ascii="宋体" w:hAnsi="宋体" w:cs="Calibri"/>
            <w:bCs/>
            <w:caps/>
            <w:color w:val="auto"/>
            <w:sz w:val="32"/>
            <w:szCs w:val="32"/>
          </w:rPr>
          <w:instrText xml:space="preserve"> PAGEREF _Toc105397794 \h </w:instrText>
        </w:r>
        <w:r>
          <w:rPr>
            <w:rStyle w:val="905"/>
            <w:rFonts w:ascii="宋体" w:hAnsi="宋体" w:cs="Calibri"/>
            <w:bCs/>
            <w:caps/>
            <w:color w:val="auto"/>
            <w:sz w:val="32"/>
            <w:szCs w:val="32"/>
          </w:rPr>
        </w:r>
        <w:r>
          <w:rPr>
            <w:rStyle w:val="905"/>
            <w:rFonts w:ascii="宋体" w:hAnsi="宋体" w:cs="Calibri"/>
            <w:bCs/>
            <w:caps/>
            <w:color w:val="auto"/>
            <w:sz w:val="32"/>
            <w:szCs w:val="32"/>
          </w:rPr>
          <w:fldChar w:fldCharType="separate"/>
        </w:r>
        <w:r>
          <w:rPr>
            <w:rStyle w:val="905"/>
            <w:rFonts w:ascii="宋体" w:hAnsi="宋体" w:cs="Calibri"/>
            <w:bCs/>
            <w:caps/>
            <w:color w:val="auto"/>
            <w:sz w:val="32"/>
            <w:szCs w:val="32"/>
          </w:rPr>
          <w:t xml:space="preserve">46</w:t>
        </w:r>
        <w:r>
          <w:rPr>
            <w:rStyle w:val="905"/>
            <w:rFonts w:ascii="宋体" w:hAnsi="宋体" w:cs="Calibri"/>
            <w:bCs/>
            <w:caps/>
            <w:color w:val="auto"/>
            <w:sz w:val="32"/>
            <w:szCs w:val="32"/>
          </w:rPr>
          <w:fldChar w:fldCharType="end"/>
        </w:r>
      </w:hyperlink>
      <w:r/>
      <w:r/>
    </w:p>
    <w:p>
      <w:pPr>
        <w:pStyle w:val="875"/>
        <w:ind w:firstLine="0"/>
        <w:jc w:val="left"/>
        <w:spacing w:before="120" w:after="120"/>
        <w:tabs>
          <w:tab w:val="right" w:pos="9854" w:leader="dot"/>
        </w:tabs>
        <w:rPr>
          <w:rStyle w:val="905"/>
          <w:rFonts w:ascii="宋体" w:hAnsi="宋体" w:cs="Calibri"/>
          <w:bCs/>
          <w:caps/>
          <w:color w:val="auto"/>
          <w:sz w:val="32"/>
          <w:szCs w:val="32"/>
        </w:rPr>
        <w:outlineLvl w:val="9"/>
      </w:pPr>
      <w:r/>
      <w:hyperlink w:tooltip="#_Toc105397795" w:anchor="_Toc105397795" w:history="1">
        <w:r>
          <w:rPr>
            <w:rStyle w:val="905"/>
            <w:rFonts w:ascii="宋体" w:hAnsi="宋体" w:cs="Calibri"/>
            <w:bCs/>
            <w:caps/>
            <w:color w:val="auto"/>
            <w:sz w:val="32"/>
            <w:szCs w:val="32"/>
          </w:rPr>
          <w:t xml:space="preserve">第六章 评标办法和评分标准</w:t>
        </w:r>
        <w:r>
          <w:rPr>
            <w:rStyle w:val="905"/>
            <w:rFonts w:ascii="宋体" w:hAnsi="宋体" w:cs="Calibri"/>
            <w:bCs/>
            <w:caps/>
            <w:color w:val="auto"/>
            <w:sz w:val="32"/>
            <w:szCs w:val="32"/>
          </w:rPr>
          <w:tab/>
        </w:r>
        <w:r>
          <w:rPr>
            <w:rStyle w:val="905"/>
            <w:rFonts w:ascii="宋体" w:hAnsi="宋体" w:cs="Calibri"/>
            <w:bCs/>
            <w:caps/>
            <w:color w:val="auto"/>
            <w:sz w:val="32"/>
            <w:szCs w:val="32"/>
          </w:rPr>
          <w:fldChar w:fldCharType="begin"/>
        </w:r>
        <w:r>
          <w:rPr>
            <w:rStyle w:val="905"/>
            <w:rFonts w:ascii="宋体" w:hAnsi="宋体" w:cs="Calibri"/>
            <w:bCs/>
            <w:caps/>
            <w:color w:val="auto"/>
            <w:sz w:val="32"/>
            <w:szCs w:val="32"/>
          </w:rPr>
          <w:instrText xml:space="preserve"> PAGEREF _Toc105397795 \h </w:instrText>
        </w:r>
        <w:r>
          <w:rPr>
            <w:rStyle w:val="905"/>
            <w:rFonts w:ascii="宋体" w:hAnsi="宋体" w:cs="Calibri"/>
            <w:bCs/>
            <w:caps/>
            <w:color w:val="auto"/>
            <w:sz w:val="32"/>
            <w:szCs w:val="32"/>
          </w:rPr>
        </w:r>
        <w:r>
          <w:rPr>
            <w:rStyle w:val="905"/>
            <w:rFonts w:ascii="宋体" w:hAnsi="宋体" w:cs="Calibri"/>
            <w:bCs/>
            <w:caps/>
            <w:color w:val="auto"/>
            <w:sz w:val="32"/>
            <w:szCs w:val="32"/>
          </w:rPr>
          <w:fldChar w:fldCharType="separate"/>
        </w:r>
        <w:r>
          <w:rPr>
            <w:rStyle w:val="905"/>
            <w:rFonts w:ascii="宋体" w:hAnsi="宋体" w:cs="Calibri"/>
            <w:bCs/>
            <w:caps/>
            <w:color w:val="auto"/>
            <w:sz w:val="32"/>
            <w:szCs w:val="32"/>
          </w:rPr>
          <w:t xml:space="preserve">53</w:t>
        </w:r>
        <w:r>
          <w:rPr>
            <w:rStyle w:val="905"/>
            <w:rFonts w:ascii="宋体" w:hAnsi="宋体" w:cs="Calibri"/>
            <w:bCs/>
            <w:caps/>
            <w:color w:val="auto"/>
            <w:sz w:val="32"/>
            <w:szCs w:val="32"/>
          </w:rPr>
          <w:fldChar w:fldCharType="end"/>
        </w:r>
      </w:hyperlink>
      <w:r/>
      <w:r/>
    </w:p>
    <w:p>
      <w:pPr>
        <w:pStyle w:val="875"/>
        <w:ind w:firstLine="0"/>
        <w:jc w:val="left"/>
        <w:spacing w:before="120" w:after="120"/>
        <w:tabs>
          <w:tab w:val="right" w:pos="9856" w:leader="dot"/>
        </w:tabs>
        <w:rPr>
          <w:rFonts w:ascii="宋体" w:hAnsi="宋体"/>
          <w:sz w:val="32"/>
          <w:szCs w:val="32"/>
        </w:rPr>
        <w:outlineLvl w:val="9"/>
      </w:pPr>
      <w:r>
        <w:rPr>
          <w:rStyle w:val="905"/>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6121"/>
      <w:r/>
      <w:bookmarkStart w:id="2" w:name="_Toc1568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JSZC-320500-JZCG-G2024-0397</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“苏台通”智慧服务平台硬件设备购置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名称：苏州市公共资源交易中心（苏州市政府集中采购中心）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地址：苏州市姑苏区平泷路251号城市生活广场西楼四楼</w:t>
            </w:r>
            <w:r/>
          </w:p>
          <w:p>
            <w:pPr>
              <w:ind w:left="0"/>
              <w:jc w:val="left"/>
              <w:spacing w:line="440" w:lineRule="exact"/>
              <w:rPr>
                <w:rFonts w:ascii="宋体" w:hAnsi="宋体"/>
                <w:sz w:val="21"/>
                <w:szCs w:val="21"/>
              </w:rPr>
            </w:pPr>
            <w:r>
              <w:rPr>
                <w:rFonts w:hint="eastAsia" w:ascii="宋体" w:hAnsi="宋体"/>
                <w:sz w:val="21"/>
                <w:szCs w:val="21"/>
              </w:rPr>
              <w:t xml:space="preserve">联系人:朱工、张工</w:t>
            </w:r>
            <w:r/>
          </w:p>
          <w:p>
            <w:pPr>
              <w:ind w:left="0"/>
              <w:jc w:val="left"/>
              <w:spacing w:line="440" w:lineRule="exact"/>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512-69820874/69820886</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ascii="Segoe UI" w:hAnsi="Segoe UI" w:cs="Segoe UI"/>
                <w:sz w:val="21"/>
                <w:szCs w:val="21"/>
                <w:shd w:val="clear" w:color="auto" w:fill="fafafa"/>
              </w:rPr>
              <w:t xml:space="preserve">中国共产党苏州市委员会台湾工作办公室</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苏州市吴中区吴中西路39弄4号8号楼</w:t>
            </w:r>
            <w:r/>
          </w:p>
          <w:p>
            <w:pPr>
              <w:ind w:left="0"/>
              <w:jc w:val="left"/>
              <w:spacing w:line="440" w:lineRule="exact"/>
              <w:rPr>
                <w:rFonts w:ascii="宋体" w:hAnsi="宋体"/>
                <w:sz w:val="21"/>
                <w:szCs w:val="21"/>
              </w:rPr>
            </w:pPr>
            <w:r>
              <w:rPr>
                <w:rFonts w:hint="eastAsia" w:ascii="宋体" w:hAnsi="宋体"/>
                <w:sz w:val="21"/>
                <w:szCs w:val="21"/>
              </w:rPr>
              <w:t xml:space="preserve">联系人：王标</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15862638111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4</w:t>
            </w:r>
            <w:r>
              <w:rPr>
                <w:rFonts w:hint="eastAsia" w:ascii="宋体" w:hAnsi="宋体" w:cs="Times New Roman"/>
                <w:sz w:val="21"/>
                <w:szCs w:val="21"/>
              </w:rPr>
              <w:t xml:space="preserve">年</w:t>
            </w:r>
            <w:r>
              <w:rPr>
                <w:rFonts w:ascii="宋体" w:hAnsi="宋体" w:cs="Times New Roman"/>
                <w:sz w:val="21"/>
                <w:szCs w:val="21"/>
                <w:u w:val="single"/>
              </w:rPr>
              <w:t xml:space="preserve">9</w:t>
            </w:r>
            <w:r>
              <w:rPr>
                <w:rFonts w:hint="eastAsia" w:ascii="宋体" w:hAnsi="宋体" w:cs="Times New Roman"/>
                <w:sz w:val="21"/>
                <w:szCs w:val="21"/>
                <w:u w:val="single"/>
              </w:rPr>
              <w:t xml:space="preserve">月</w:t>
            </w:r>
            <w:r>
              <w:rPr>
                <w:rFonts w:ascii="宋体" w:hAnsi="宋体" w:cs="Times New Roman"/>
                <w:sz w:val="21"/>
                <w:szCs w:val="21"/>
                <w:u w:val="single"/>
              </w:rPr>
              <w:t xml:space="preserve">19</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4</w:t>
            </w:r>
            <w:r>
              <w:rPr>
                <w:rFonts w:hint="eastAsia" w:ascii="宋体" w:hAnsi="宋体" w:cs="Times New Roman"/>
                <w:sz w:val="21"/>
                <w:szCs w:val="21"/>
              </w:rPr>
              <w:t xml:space="preserve">年</w:t>
            </w:r>
            <w:r>
              <w:rPr>
                <w:rFonts w:ascii="宋体" w:hAnsi="宋体" w:cs="Times New Roman"/>
                <w:sz w:val="21"/>
                <w:szCs w:val="21"/>
                <w:u w:val="single"/>
              </w:rPr>
              <w:t xml:space="preserve">9</w:t>
            </w:r>
            <w:r>
              <w:rPr>
                <w:rFonts w:hint="eastAsia" w:ascii="宋体" w:hAnsi="宋体" w:cs="Times New Roman"/>
                <w:sz w:val="21"/>
                <w:szCs w:val="21"/>
                <w:u w:val="single"/>
              </w:rPr>
              <w:t xml:space="preserve">月</w:t>
            </w:r>
            <w:r>
              <w:rPr>
                <w:rFonts w:ascii="宋体" w:hAnsi="宋体" w:cs="Times New Roman"/>
                <w:sz w:val="21"/>
                <w:szCs w:val="21"/>
                <w:u w:val="single"/>
              </w:rPr>
              <w:t xml:space="preserve">19</w:t>
            </w:r>
            <w:r>
              <w:rPr>
                <w:rFonts w:hint="eastAsia" w:ascii="宋体" w:hAnsi="宋体" w:cs="Times New Roman"/>
                <w:sz w:val="21"/>
                <w:szCs w:val="21"/>
                <w:u w:val="single"/>
              </w:rPr>
              <w:t xml:space="preserve">日13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4</w:t>
            </w:r>
            <w:r>
              <w:rPr>
                <w:rFonts w:hint="eastAsia" w:ascii="宋体" w:hAnsi="宋体" w:cs="Times New Roman"/>
                <w:sz w:val="21"/>
                <w:szCs w:val="21"/>
              </w:rPr>
              <w:t xml:space="preserve">年</w:t>
            </w:r>
            <w:r>
              <w:rPr>
                <w:rFonts w:ascii="宋体" w:hAnsi="宋体" w:cs="Times New Roman"/>
                <w:sz w:val="21"/>
                <w:szCs w:val="21"/>
                <w:u w:val="single"/>
              </w:rPr>
              <w:t xml:space="preserve">9</w:t>
            </w:r>
            <w:r>
              <w:rPr>
                <w:rFonts w:hint="eastAsia" w:ascii="宋体" w:hAnsi="宋体" w:cs="Times New Roman"/>
                <w:sz w:val="21"/>
                <w:szCs w:val="21"/>
                <w:u w:val="single"/>
              </w:rPr>
              <w:t xml:space="preserve">月19</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苏州市姑苏区平泷路251号城市生活广场西楼五楼</w:t>
            </w:r>
            <w:r>
              <w:rPr>
                <w:rFonts w:ascii="宋体" w:hAnsi="宋体" w:cs="Times New Roman"/>
                <w:sz w:val="21"/>
                <w:szCs w:val="21"/>
              </w:rPr>
              <w:t xml:space="preserve">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75"/>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75"/>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b/>
                <w:sz w:val="21"/>
                <w:szCs w:val="21"/>
              </w:rPr>
            </w:pPr>
            <w:r>
              <w:rPr>
                <w:rFonts w:hint="eastAsia"/>
                <w:b/>
              </w:rPr>
              <w:t xml:space="preserve">（</w:t>
            </w:r>
            <w:r>
              <w:rPr>
                <w:rFonts w:hint="eastAsia" w:ascii="宋体" w:hAnsi="宋体"/>
                <w:b/>
                <w:sz w:val="21"/>
                <w:szCs w:val="21"/>
              </w:rPr>
              <w:t xml:space="preserve">六）在综合评审打分中，各评委的综合评分汇总后，投标人除价格部分以外的其余评审因素平均分值低于60%的；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（七）法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3" w:name="_Toc28592"/>
      <w:r/>
      <w:bookmarkStart w:id="4" w:name="_Toc7166"/>
      <w:r/>
      <w:r/>
    </w:p>
    <w:p>
      <w:pPr>
        <w:ind w:left="0"/>
        <w:jc w:val="center"/>
        <w:rPr>
          <w:rFonts w:ascii="宋体" w:hAnsi="宋体"/>
          <w:b/>
          <w:sz w:val="44"/>
          <w:szCs w:val="22"/>
        </w:rPr>
      </w:pPr>
      <w:r>
        <w:rPr>
          <w:rFonts w:ascii="宋体" w:hAnsi="宋体"/>
          <w:b/>
          <w:sz w:val="44"/>
          <w:szCs w:val="22"/>
        </w:rPr>
      </w:r>
      <w:r/>
    </w:p>
    <w:p>
      <w:pPr>
        <w:pStyle w:val="867"/>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67"/>
        <w:rPr>
          <w:rFonts w:ascii="宋体" w:hAnsi="宋体"/>
        </w:rPr>
      </w:pPr>
      <w:r>
        <w:rPr>
          <w:rFonts w:ascii="宋体" w:hAnsi="宋体"/>
        </w:rPr>
      </w:r>
      <w:r/>
    </w:p>
    <w:p>
      <w:pPr>
        <w:pStyle w:val="853"/>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41"/>
        <w:ind w:left="431" w:firstLine="17"/>
        <w:jc w:val="center"/>
        <w:spacing w:before="0" w:after="0" w:line="360" w:lineRule="auto"/>
        <w:rPr>
          <w:rStyle w:val="971"/>
          <w:rFonts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“苏台通”智慧服务平台硬件设备购置</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4</w:t>
      </w:r>
      <w:r>
        <w:rPr>
          <w:rFonts w:hint="eastAsia" w:ascii="宋体" w:hAnsi="宋体"/>
          <w:b/>
          <w:sz w:val="21"/>
          <w:szCs w:val="21"/>
          <w:u w:val="single"/>
        </w:rPr>
        <w:t xml:space="preserve">年9</w:t>
      </w:r>
      <w:r>
        <w:rPr>
          <w:rFonts w:hint="eastAsia" w:ascii="宋体" w:hAnsi="宋体"/>
          <w:b/>
          <w:sz w:val="21"/>
          <w:szCs w:val="21"/>
          <w:u w:val="single"/>
        </w:rPr>
        <w:t xml:space="preserve">月19</w:t>
      </w:r>
      <w:r>
        <w:rPr>
          <w:rFonts w:hint="eastAsia" w:ascii="宋体" w:hAnsi="宋体"/>
          <w:b/>
          <w:sz w:val="21"/>
          <w:szCs w:val="21"/>
          <w:u w:val="single"/>
        </w:rPr>
        <w:t xml:space="preserve">日13</w:t>
      </w:r>
      <w:r>
        <w:rPr>
          <w:rFonts w:hint="eastAsia" w:ascii="宋体" w:hAnsi="宋体"/>
          <w:b/>
          <w:sz w:val="21"/>
          <w:szCs w:val="21"/>
          <w:u w:val="single"/>
        </w:rPr>
        <w:t xml:space="preserve">点30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53"/>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53"/>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JSZC-320500-JZCG-G2024-0397</w:t>
      </w:r>
      <w:r/>
    </w:p>
    <w:p>
      <w:pPr>
        <w:pStyle w:val="853"/>
        <w:ind w:left="0" w:firstLine="420"/>
        <w:spacing w:line="360" w:lineRule="auto"/>
        <w:rPr>
          <w:rFonts w:ascii="宋体" w:hAnsi="宋体"/>
          <w:sz w:val="21"/>
          <w:szCs w:val="21"/>
        </w:rPr>
      </w:pPr>
      <w:r>
        <w:rPr>
          <w:rFonts w:hint="eastAsia" w:ascii="宋体" w:hAnsi="宋体"/>
          <w:sz w:val="21"/>
          <w:szCs w:val="21"/>
        </w:rPr>
        <w:t xml:space="preserve">2.项目名称：“苏台通”智慧服务平台硬件设备购置</w:t>
      </w:r>
      <w:r>
        <w:rPr>
          <w:rFonts w:ascii="宋体" w:hAnsi="宋体"/>
          <w:sz w:val="21"/>
          <w:szCs w:val="21"/>
        </w:rPr>
        <w:t xml:space="preserve"> </w:t>
      </w:r>
      <w:r/>
    </w:p>
    <w:p>
      <w:pPr>
        <w:pStyle w:val="853"/>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53"/>
        <w:ind w:left="0" w:firstLine="420"/>
        <w:spacing w:line="360" w:lineRule="auto"/>
        <w:rPr>
          <w:rFonts w:ascii="宋体" w:hAnsi="宋体"/>
          <w:sz w:val="21"/>
          <w:szCs w:val="21"/>
        </w:rPr>
      </w:pPr>
      <w:r>
        <w:rPr>
          <w:rFonts w:hint="eastAsia" w:ascii="宋体" w:hAnsi="宋体"/>
          <w:sz w:val="21"/>
          <w:szCs w:val="21"/>
        </w:rPr>
        <w:t xml:space="preserve">4.预算金额：人民币壹佰万伍仟肆佰贰拾伍元玖角贰分（¥</w:t>
      </w:r>
      <w:r>
        <w:rPr>
          <w:rFonts w:ascii="宋体" w:hAnsi="宋体"/>
          <w:sz w:val="21"/>
          <w:szCs w:val="21"/>
        </w:rPr>
        <w:t xml:space="preserve">1005425</w:t>
      </w:r>
      <w:r>
        <w:rPr>
          <w:rFonts w:hint="eastAsia" w:ascii="宋体" w:hAnsi="宋体"/>
          <w:sz w:val="21"/>
          <w:szCs w:val="21"/>
        </w:rPr>
        <w:t xml:space="preserve">.</w:t>
      </w:r>
      <w:r>
        <w:rPr>
          <w:rFonts w:ascii="宋体" w:hAnsi="宋体"/>
          <w:sz w:val="21"/>
          <w:szCs w:val="21"/>
        </w:rPr>
        <w:t xml:space="preserve">92</w:t>
      </w:r>
      <w:r>
        <w:rPr>
          <w:rFonts w:hint="eastAsia" w:ascii="宋体" w:hAnsi="宋体"/>
          <w:sz w:val="21"/>
          <w:szCs w:val="21"/>
        </w:rPr>
        <w:t xml:space="preserve">元）</w:t>
      </w:r>
      <w:r>
        <w:rPr>
          <w:rFonts w:ascii="宋体" w:hAnsi="宋体"/>
          <w:sz w:val="21"/>
          <w:szCs w:val="21"/>
        </w:rPr>
        <w:t xml:space="preserve"> </w:t>
      </w:r>
      <w:r/>
    </w:p>
    <w:p>
      <w:pPr>
        <w:pStyle w:val="853"/>
        <w:ind w:left="0" w:firstLine="420"/>
        <w:spacing w:line="360" w:lineRule="auto"/>
        <w:rPr>
          <w:rFonts w:ascii="宋体" w:hAnsi="宋体"/>
          <w:sz w:val="21"/>
          <w:szCs w:val="21"/>
        </w:rPr>
      </w:pPr>
      <w:r>
        <w:rPr>
          <w:rFonts w:hint="eastAsia" w:ascii="宋体" w:hAnsi="宋体"/>
          <w:sz w:val="21"/>
          <w:szCs w:val="21"/>
        </w:rPr>
        <w:t xml:space="preserve">5.最高限价：人民币壹佰万伍仟肆佰贰拾伍元玖角贰分（¥</w:t>
      </w:r>
      <w:r>
        <w:rPr>
          <w:rFonts w:ascii="宋体" w:hAnsi="宋体"/>
          <w:sz w:val="21"/>
          <w:szCs w:val="21"/>
        </w:rPr>
        <w:t xml:space="preserve">1005425</w:t>
      </w:r>
      <w:r>
        <w:rPr>
          <w:rFonts w:hint="eastAsia" w:ascii="宋体" w:hAnsi="宋体"/>
          <w:sz w:val="21"/>
          <w:szCs w:val="21"/>
        </w:rPr>
        <w:t xml:space="preserve">.</w:t>
      </w:r>
      <w:r>
        <w:rPr>
          <w:rFonts w:ascii="宋体" w:hAnsi="宋体"/>
          <w:sz w:val="21"/>
          <w:szCs w:val="21"/>
        </w:rPr>
        <w:t xml:space="preserve">92</w:t>
      </w:r>
      <w:r>
        <w:rPr>
          <w:rFonts w:hint="eastAsia" w:ascii="宋体" w:hAnsi="宋体"/>
          <w:sz w:val="21"/>
          <w:szCs w:val="21"/>
        </w:rPr>
        <w:t xml:space="preserve">元）</w:t>
      </w:r>
      <w:r>
        <w:rPr>
          <w:rFonts w:ascii="宋体" w:hAnsi="宋体"/>
          <w:sz w:val="21"/>
          <w:szCs w:val="21"/>
        </w:rPr>
        <w:t xml:space="preserve">  </w:t>
      </w:r>
      <w:r/>
    </w:p>
    <w:p>
      <w:pPr>
        <w:pStyle w:val="853"/>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szCs w:val="22"/>
        </w:rPr>
        <w:t xml:space="preserve">在合同签订3</w:t>
      </w:r>
      <w:r>
        <w:rPr>
          <w:rFonts w:ascii="宋体" w:hAnsi="宋体"/>
          <w:sz w:val="21"/>
          <w:szCs w:val="22"/>
        </w:rPr>
        <w:t xml:space="preserve">0</w:t>
      </w:r>
      <w:r>
        <w:rPr>
          <w:rFonts w:hint="eastAsia" w:ascii="宋体" w:hAnsi="宋体"/>
          <w:sz w:val="21"/>
          <w:szCs w:val="22"/>
        </w:rPr>
        <w:t xml:space="preserve">天内完成供货、安装</w:t>
      </w:r>
      <w:r>
        <w:rPr>
          <w:rFonts w:hint="eastAsia" w:ascii="宋体" w:hAnsi="宋体"/>
          <w:sz w:val="21"/>
        </w:rPr>
        <w:t xml:space="preserve">，免费质保期1年。</w:t>
      </w:r>
      <w:r>
        <w:rPr>
          <w:rFonts w:ascii="宋体" w:hAnsi="宋体"/>
          <w:sz w:val="21"/>
          <w:szCs w:val="21"/>
        </w:rPr>
        <w:t xml:space="preserve"> </w:t>
      </w:r>
      <w:r/>
    </w:p>
    <w:p>
      <w:pPr>
        <w:pStyle w:val="853"/>
        <w:ind w:left="0" w:firstLine="420"/>
        <w:spacing w:line="360" w:lineRule="auto"/>
        <w:rPr>
          <w:rFonts w:ascii="宋体" w:hAnsi="宋体"/>
          <w:sz w:val="21"/>
          <w:szCs w:val="21"/>
        </w:rPr>
      </w:pPr>
      <w:r>
        <w:rPr>
          <w:rFonts w:hint="eastAsia" w:ascii="宋体" w:hAnsi="宋体"/>
          <w:sz w:val="21"/>
          <w:szCs w:val="21"/>
        </w:rPr>
        <w:t xml:space="preserve">7.采购需求：详见第四章</w:t>
      </w:r>
      <w:r/>
    </w:p>
    <w:p>
      <w:pPr>
        <w:pStyle w:val="853"/>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53"/>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53"/>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53"/>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53"/>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53"/>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53"/>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53"/>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53"/>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853"/>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53"/>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53"/>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53"/>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53"/>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53"/>
        <w:ind w:left="0" w:firstLine="420"/>
        <w:spacing w:line="360" w:lineRule="auto"/>
        <w:rPr>
          <w:rFonts w:ascii="宋体" w:hAnsi="宋体"/>
          <w:sz w:val="21"/>
          <w:szCs w:val="21"/>
        </w:rPr>
      </w:pPr>
      <w:r>
        <w:rPr>
          <w:rFonts w:hint="eastAsia" w:ascii="宋体" w:hAnsi="宋体"/>
          <w:sz w:val="21"/>
          <w:szCs w:val="21"/>
        </w:rPr>
        <w:t xml:space="preserve">3.方式：</w:t>
      </w:r>
      <w:r/>
    </w:p>
    <w:p>
      <w:pPr>
        <w:pStyle w:val="853"/>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53"/>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w:t>
      </w:r>
      <w:r>
        <w:rPr>
          <w:rFonts w:hint="eastAsia" w:ascii="宋体" w:hAnsi="宋体"/>
          <w:sz w:val="21"/>
          <w:szCs w:val="21"/>
        </w:rPr>
        <w:t xml:space="preserve">务CA证书全省通用。</w:t>
      </w:r>
      <w:r>
        <w:rPr>
          <w:rFonts w:hint="eastAsia" w:ascii="宋体" w:hAnsi="宋体"/>
          <w:b/>
          <w:sz w:val="21"/>
          <w:szCs w:val="21"/>
        </w:rPr>
        <w:t xml:space="preserve">苏州现场办理地址：苏州市姑苏区平泷路251号政务服务中心4楼公共交易中心窗口，咨询电话：0512-69820834</w:t>
      </w:r>
      <w:r>
        <w:rPr>
          <w:rFonts w:hint="eastAsia" w:ascii="宋体" w:hAnsi="宋体"/>
          <w:sz w:val="21"/>
          <w:szCs w:val="21"/>
        </w:rPr>
        <w:t xml:space="preserve">。</w:t>
      </w:r>
      <w:r/>
    </w:p>
    <w:p>
      <w:pPr>
        <w:pStyle w:val="853"/>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53"/>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53"/>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53"/>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53"/>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53"/>
        <w:ind w:left="0" w:firstLine="420"/>
        <w:spacing w:line="360" w:lineRule="auto"/>
        <w:rPr>
          <w:rFonts w:ascii="宋体" w:hAnsi="宋体"/>
          <w:sz w:val="21"/>
          <w:szCs w:val="21"/>
        </w:rPr>
      </w:pPr>
      <w:r>
        <w:rPr>
          <w:rFonts w:hint="eastAsia" w:ascii="宋体" w:hAnsi="宋体"/>
          <w:sz w:val="21"/>
          <w:szCs w:val="21"/>
        </w:rPr>
        <w:t xml:space="preserve">注册咨询：0512-69820854；</w:t>
      </w:r>
      <w:r/>
    </w:p>
    <w:p>
      <w:pPr>
        <w:pStyle w:val="853"/>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53"/>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53"/>
        <w:ind w:left="0" w:firstLine="420"/>
        <w:spacing w:line="360" w:lineRule="auto"/>
        <w:rPr>
          <w:rFonts w:ascii="宋体" w:hAnsi="宋体"/>
          <w:sz w:val="21"/>
          <w:szCs w:val="21"/>
        </w:rPr>
      </w:pPr>
      <w:r>
        <w:rPr>
          <w:rFonts w:hint="eastAsia" w:ascii="宋体" w:hAnsi="宋体"/>
          <w:sz w:val="21"/>
          <w:szCs w:val="21"/>
        </w:rPr>
        <w:t xml:space="preserve">系统使用指导与咨询：联系电话：0512-69820854；智能客服：登录苏采云系统后，联系系统右下方智能客服图标进行咨询。</w:t>
      </w:r>
      <w:r/>
    </w:p>
    <w:p>
      <w:pPr>
        <w:pStyle w:val="853"/>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53"/>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53"/>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4</w:t>
      </w:r>
      <w:r>
        <w:rPr>
          <w:rFonts w:hint="eastAsia" w:ascii="宋体" w:hAnsi="宋体"/>
          <w:sz w:val="21"/>
          <w:szCs w:val="21"/>
          <w:u w:val="single"/>
        </w:rPr>
        <w:t xml:space="preserve">年9月19日13点30分</w:t>
      </w:r>
      <w:r>
        <w:rPr>
          <w:rFonts w:hint="eastAsia" w:ascii="宋体" w:hAnsi="宋体"/>
          <w:sz w:val="21"/>
          <w:szCs w:val="21"/>
        </w:rPr>
        <w:t xml:space="preserve">（北京时间）；</w:t>
      </w:r>
      <w:r>
        <w:rPr>
          <w:rFonts w:ascii="宋体" w:hAnsi="宋体"/>
          <w:sz w:val="21"/>
          <w:szCs w:val="21"/>
        </w:rPr>
        <w:t xml:space="preserve"> </w:t>
      </w:r>
      <w:r/>
    </w:p>
    <w:p>
      <w:pPr>
        <w:pStyle w:val="853"/>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4</w:t>
      </w:r>
      <w:r>
        <w:rPr>
          <w:rFonts w:hint="eastAsia" w:ascii="宋体" w:hAnsi="宋体"/>
          <w:sz w:val="21"/>
          <w:szCs w:val="21"/>
          <w:u w:val="single"/>
        </w:rPr>
        <w:t xml:space="preserve">年9月19日13点30分</w:t>
      </w:r>
      <w:r>
        <w:rPr>
          <w:rFonts w:hint="eastAsia" w:ascii="宋体" w:hAnsi="宋体"/>
          <w:sz w:val="21"/>
          <w:szCs w:val="21"/>
        </w:rPr>
        <w:t xml:space="preserve">（北京时间）；</w:t>
      </w:r>
      <w:r/>
    </w:p>
    <w:p>
      <w:pPr>
        <w:pStyle w:val="853"/>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53"/>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53"/>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53"/>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53"/>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53"/>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53"/>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jc w:val="center"/>
          <w:trHeight w:val="2424"/>
        </w:trPr>
        <w:tc>
          <w:tcPr>
            <w:tcW w:w="9918" w:type="dxa"/>
            <w:textDirection w:val="lrTb"/>
            <w:noWrap w:val="false"/>
          </w:tcPr>
          <w:p>
            <w:pPr>
              <w:pStyle w:val="886"/>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886"/>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886"/>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886"/>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53"/>
        <w:ind w:left="0" w:firstLine="422"/>
        <w:spacing w:line="360" w:lineRule="auto"/>
        <w:rPr>
          <w:rFonts w:ascii="宋体" w:hAnsi="宋体"/>
          <w:b/>
          <w:sz w:val="21"/>
          <w:szCs w:val="21"/>
        </w:rPr>
      </w:pPr>
      <w:r>
        <w:rPr>
          <w:rFonts w:hint="eastAsia" w:ascii="宋体" w:hAnsi="宋体"/>
          <w:b/>
          <w:sz w:val="21"/>
          <w:szCs w:val="21"/>
        </w:rPr>
        <w:t xml:space="preserve">七、对本次征集提出询问，请按以下方式联系</w:t>
      </w:r>
      <w:r/>
    </w:p>
    <w:p>
      <w:pPr>
        <w:pStyle w:val="853"/>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53"/>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Segoe UI" w:hAnsi="Segoe UI" w:cs="Segoe UI"/>
          <w:sz w:val="21"/>
          <w:szCs w:val="21"/>
          <w:shd w:val="clear" w:color="auto" w:fill="fafafa"/>
        </w:rPr>
        <w:t xml:space="preserve">中国共产党苏州市委员会台湾工作办公室</w:t>
      </w:r>
      <w:r>
        <w:rPr>
          <w:rFonts w:hint="eastAsia" w:ascii="宋体" w:hAnsi="宋体"/>
          <w:sz w:val="21"/>
          <w:szCs w:val="21"/>
        </w:rPr>
        <w:t xml:space="preserve">  </w:t>
      </w:r>
      <w:r>
        <w:rPr>
          <w:rFonts w:ascii="宋体" w:hAnsi="宋体"/>
          <w:sz w:val="21"/>
          <w:szCs w:val="21"/>
        </w:rPr>
        <w:t xml:space="preserve">                                      </w:t>
      </w:r>
      <w:r/>
    </w:p>
    <w:p>
      <w:pPr>
        <w:pStyle w:val="853"/>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苏州市吴中区吴中西路39弄4号8号楼</w:t>
      </w:r>
      <w:r>
        <w:rPr>
          <w:rFonts w:hint="eastAsia" w:ascii="宋体" w:hAnsi="宋体"/>
          <w:sz w:val="21"/>
          <w:szCs w:val="21"/>
        </w:rPr>
        <w:t xml:space="preserve"> </w:t>
      </w:r>
      <w:r/>
    </w:p>
    <w:p>
      <w:pPr>
        <w:pStyle w:val="853"/>
        <w:ind w:left="0" w:firstLine="420"/>
        <w:spacing w:line="360" w:lineRule="auto"/>
        <w:rPr>
          <w:rFonts w:ascii="宋体" w:hAnsi="宋体"/>
          <w:sz w:val="21"/>
          <w:szCs w:val="21"/>
        </w:rPr>
      </w:pPr>
      <w:r>
        <w:rPr>
          <w:rFonts w:hint="eastAsia" w:ascii="宋体" w:hAnsi="宋体"/>
          <w:sz w:val="21"/>
          <w:szCs w:val="21"/>
        </w:rPr>
        <w:t xml:space="preserve">联系人：王标</w:t>
      </w:r>
      <w:r/>
    </w:p>
    <w:p>
      <w:pPr>
        <w:pStyle w:val="853"/>
        <w:ind w:left="0" w:firstLine="420"/>
        <w:spacing w:line="360" w:lineRule="auto"/>
        <w:rPr>
          <w:rFonts w:ascii="宋体" w:hAnsi="宋体"/>
          <w:sz w:val="21"/>
          <w:szCs w:val="21"/>
        </w:rPr>
      </w:pPr>
      <w:r>
        <w:rPr>
          <w:rFonts w:hint="eastAsia" w:ascii="宋体" w:hAnsi="宋体"/>
          <w:sz w:val="21"/>
          <w:szCs w:val="21"/>
        </w:rPr>
        <w:t xml:space="preserve">联系方式：15862638111 </w:t>
      </w:r>
      <w:r/>
    </w:p>
    <w:p>
      <w:pPr>
        <w:pStyle w:val="853"/>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53"/>
        <w:ind w:left="0" w:firstLine="420"/>
        <w:spacing w:line="360" w:lineRule="auto"/>
        <w:rPr>
          <w:rFonts w:ascii="宋体" w:hAnsi="宋体"/>
          <w:sz w:val="21"/>
          <w:szCs w:val="21"/>
        </w:rPr>
      </w:pPr>
      <w:r>
        <w:rPr>
          <w:rFonts w:hint="eastAsia" w:ascii="宋体" w:hAnsi="宋体"/>
          <w:sz w:val="21"/>
          <w:szCs w:val="21"/>
        </w:rPr>
        <w:t xml:space="preserve">名称：苏州市公共资源交易中心（苏州市政府集中采购中心） </w:t>
      </w:r>
      <w:r/>
    </w:p>
    <w:p>
      <w:pPr>
        <w:pStyle w:val="853"/>
        <w:ind w:left="0" w:firstLine="420"/>
        <w:spacing w:line="360" w:lineRule="auto"/>
        <w:rPr>
          <w:rFonts w:ascii="宋体" w:hAnsi="宋体"/>
          <w:sz w:val="21"/>
          <w:szCs w:val="21"/>
        </w:rPr>
      </w:pPr>
      <w:r>
        <w:rPr>
          <w:rFonts w:hint="eastAsia" w:ascii="宋体" w:hAnsi="宋体"/>
          <w:sz w:val="21"/>
          <w:szCs w:val="21"/>
        </w:rPr>
        <w:t xml:space="preserve">地址：苏州市姑苏区平泷路251号城市生活广场西楼四楼 </w:t>
      </w:r>
      <w:r/>
    </w:p>
    <w:p>
      <w:pPr>
        <w:pStyle w:val="853"/>
        <w:ind w:left="0" w:firstLine="420"/>
        <w:spacing w:line="360" w:lineRule="auto"/>
        <w:rPr>
          <w:rFonts w:ascii="宋体" w:hAnsi="宋体"/>
          <w:sz w:val="21"/>
          <w:szCs w:val="21"/>
        </w:rPr>
      </w:pPr>
      <w:r>
        <w:rPr>
          <w:rFonts w:hint="eastAsia" w:ascii="宋体" w:hAnsi="宋体"/>
          <w:sz w:val="21"/>
          <w:szCs w:val="21"/>
        </w:rPr>
        <w:t xml:space="preserve">联系方式：0</w:t>
      </w:r>
      <w:r>
        <w:rPr>
          <w:rFonts w:ascii="宋体" w:hAnsi="宋体"/>
          <w:sz w:val="21"/>
          <w:szCs w:val="21"/>
        </w:rPr>
        <w:t xml:space="preserve">512-69820874/69820886</w:t>
      </w:r>
      <w:r>
        <w:rPr>
          <w:rFonts w:hint="eastAsia" w:ascii="宋体" w:hAnsi="宋体"/>
          <w:sz w:val="21"/>
          <w:szCs w:val="21"/>
        </w:rPr>
        <w:t xml:space="preserve"> </w:t>
      </w:r>
      <w:r/>
    </w:p>
    <w:p>
      <w:pPr>
        <w:pStyle w:val="853"/>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53"/>
        <w:ind w:left="0" w:firstLine="420"/>
        <w:spacing w:line="360" w:lineRule="auto"/>
        <w:rPr>
          <w:rFonts w:ascii="宋体" w:hAnsi="宋体"/>
          <w:sz w:val="21"/>
          <w:szCs w:val="21"/>
        </w:rPr>
      </w:pPr>
      <w:r>
        <w:rPr>
          <w:rFonts w:hint="eastAsia" w:ascii="宋体" w:hAnsi="宋体"/>
          <w:sz w:val="21"/>
          <w:szCs w:val="21"/>
        </w:rPr>
        <w:t xml:space="preserve">项目联系人：朱工、张工 </w:t>
      </w:r>
      <w:r/>
    </w:p>
    <w:p>
      <w:pPr>
        <w:pStyle w:val="853"/>
        <w:ind w:left="0" w:firstLine="420"/>
        <w:spacing w:line="360" w:lineRule="auto"/>
        <w:rPr>
          <w:rFonts w:ascii="宋体" w:hAnsi="宋体"/>
          <w:sz w:val="21"/>
          <w:szCs w:val="21"/>
        </w:rPr>
      </w:pPr>
      <w:r>
        <w:rPr>
          <w:rFonts w:hint="eastAsia" w:ascii="宋体" w:hAnsi="宋体"/>
          <w:sz w:val="21"/>
          <w:szCs w:val="21"/>
        </w:rPr>
        <w:t xml:space="preserve">电话：0</w:t>
      </w:r>
      <w:r>
        <w:rPr>
          <w:rFonts w:ascii="宋体" w:hAnsi="宋体"/>
          <w:sz w:val="21"/>
          <w:szCs w:val="21"/>
        </w:rPr>
        <w:t xml:space="preserve">512-69820874/69820886</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68"/>
      </w:pPr>
      <w:r/>
      <w:r/>
    </w:p>
    <w:p>
      <w:r/>
      <w:r/>
    </w:p>
    <w:p>
      <w:pPr>
        <w:pStyle w:val="868"/>
      </w:pPr>
      <w:r/>
      <w:r/>
    </w:p>
    <w:p>
      <w:r/>
      <w:r/>
    </w:p>
    <w:p>
      <w:r/>
      <w:r/>
    </w:p>
    <w:p>
      <w:pPr>
        <w:pStyle w:val="868"/>
      </w:pPr>
      <w:r/>
      <w:r/>
    </w:p>
    <w:p>
      <w:r/>
      <w:r/>
    </w:p>
    <w:p>
      <w:pPr>
        <w:pStyle w:val="868"/>
      </w:pPr>
      <w:r/>
      <w:r/>
    </w:p>
    <w:p>
      <w:pPr>
        <w:pStyle w:val="868"/>
        <w:ind w:left="0" w:firstLine="0"/>
      </w:pPr>
      <w:r/>
      <w:r/>
    </w:p>
    <w:p>
      <w:pPr>
        <w:pStyle w:val="841"/>
        <w:ind w:left="0" w:firstLine="0"/>
        <w:jc w:val="center"/>
        <w:rPr>
          <w:rFonts w:ascii="宋体" w:hAnsi="宋体"/>
          <w:b/>
          <w:sz w:val="44"/>
          <w:szCs w:val="22"/>
        </w:rPr>
      </w:pPr>
      <w:r/>
      <w:bookmarkStart w:id="6" w:name="_Toc2412"/>
      <w:r/>
      <w:bookmarkStart w:id="7" w:name="_Toc105397777"/>
      <w:r/>
      <w:bookmarkStart w:id="8" w:name="_Toc621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9" w:name="投标人须知"/>
      <w:r/>
      <w:bookmarkEnd w:id="9"/>
      <w:r>
        <w:rPr>
          <w:rFonts w:ascii="宋体" w:hAnsi="宋体"/>
          <w:b/>
          <w:sz w:val="44"/>
          <w:szCs w:val="22"/>
        </w:rPr>
        <w:t xml:space="preserve">投标人须知</w:t>
      </w:r>
      <w:bookmarkEnd w:id="6"/>
      <w:r/>
      <w:bookmarkEnd w:id="7"/>
      <w:r/>
      <w:bookmarkEnd w:id="8"/>
      <w:r/>
      <w:r/>
    </w:p>
    <w:p>
      <w:pPr>
        <w:pStyle w:val="853"/>
        <w:ind w:left="0" w:firstLine="422"/>
        <w:spacing w:line="360" w:lineRule="auto"/>
        <w:rPr>
          <w:rFonts w:ascii="宋体" w:hAnsi="宋体"/>
          <w:b/>
          <w:sz w:val="21"/>
          <w:szCs w:val="21"/>
        </w:rPr>
      </w:pPr>
      <w:r/>
      <w:bookmarkStart w:id="10" w:name="_Toc20132"/>
      <w:r/>
      <w:bookmarkStart w:id="11" w:name="_Toc13437"/>
      <w:r>
        <w:rPr>
          <w:rFonts w:hint="eastAsia" w:ascii="宋体" w:hAnsi="宋体"/>
          <w:b/>
          <w:sz w:val="21"/>
          <w:szCs w:val="21"/>
        </w:rPr>
        <w:t xml:space="preserve">一、说明和释义</w:t>
      </w:r>
      <w:bookmarkEnd w:id="10"/>
      <w:r/>
      <w:bookmarkEnd w:id="11"/>
      <w:r/>
      <w:r/>
    </w:p>
    <w:p>
      <w:pPr>
        <w:pStyle w:val="853"/>
        <w:ind w:left="0" w:firstLine="422"/>
        <w:spacing w:line="360" w:lineRule="auto"/>
        <w:rPr>
          <w:rFonts w:ascii="宋体" w:hAnsi="宋体"/>
          <w:b/>
          <w:sz w:val="21"/>
          <w:szCs w:val="21"/>
        </w:rPr>
      </w:pPr>
      <w:r/>
      <w:bookmarkStart w:id="12" w:name="_Toc9408"/>
      <w:r>
        <w:rPr>
          <w:rFonts w:hint="eastAsia" w:ascii="宋体" w:hAnsi="宋体"/>
          <w:b/>
          <w:sz w:val="21"/>
          <w:szCs w:val="21"/>
        </w:rPr>
        <w:t xml:space="preserve">1.说明</w:t>
      </w:r>
      <w:bookmarkEnd w:id="12"/>
      <w:r/>
      <w:r/>
    </w:p>
    <w:p>
      <w:pPr>
        <w:pStyle w:val="853"/>
        <w:ind w:left="0" w:firstLine="420"/>
        <w:spacing w:line="360" w:lineRule="auto"/>
        <w:rPr>
          <w:rFonts w:ascii="宋体" w:hAnsi="宋体"/>
          <w:sz w:val="21"/>
          <w:szCs w:val="21"/>
        </w:rPr>
      </w:pPr>
      <w:r>
        <w:rPr>
          <w:rFonts w:hint="eastAsia" w:ascii="宋体" w:hAnsi="宋体"/>
          <w:sz w:val="21"/>
          <w:szCs w:val="21"/>
        </w:rPr>
        <w:t xml:space="preserve">1.1本招标文件仅适用苏州市公共资源交易中心（苏州市政府集中采购中心）组织的招标活动。</w:t>
      </w:r>
      <w:r/>
    </w:p>
    <w:p>
      <w:pPr>
        <w:pStyle w:val="853"/>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53"/>
        <w:ind w:left="0" w:firstLine="420"/>
        <w:spacing w:line="360" w:lineRule="auto"/>
        <w:rPr>
          <w:rFonts w:ascii="宋体" w:hAnsi="宋体"/>
          <w:sz w:val="21"/>
          <w:szCs w:val="21"/>
        </w:rPr>
      </w:pPr>
      <w:r>
        <w:rPr>
          <w:rFonts w:hint="eastAsia" w:ascii="宋体" w:hAnsi="宋体"/>
          <w:sz w:val="21"/>
          <w:szCs w:val="21"/>
        </w:rPr>
        <w:t xml:space="preserve">1.3本招标文件的解释权属苏州市公共资源交易中心（苏州市政府集中采购中心）。</w:t>
      </w:r>
      <w:r/>
    </w:p>
    <w:p>
      <w:pPr>
        <w:pStyle w:val="853"/>
        <w:ind w:left="0" w:firstLine="422"/>
        <w:spacing w:line="360" w:lineRule="auto"/>
        <w:rPr>
          <w:rFonts w:ascii="宋体" w:hAnsi="宋体"/>
          <w:b/>
          <w:sz w:val="21"/>
          <w:szCs w:val="21"/>
        </w:rPr>
      </w:pPr>
      <w:r/>
      <w:bookmarkStart w:id="13" w:name="_Toc27555"/>
      <w:r>
        <w:rPr>
          <w:rFonts w:hint="eastAsia" w:ascii="宋体" w:hAnsi="宋体"/>
          <w:b/>
          <w:sz w:val="21"/>
          <w:szCs w:val="21"/>
        </w:rPr>
        <w:t xml:space="preserve">2.词语释义</w:t>
      </w:r>
      <w:bookmarkEnd w:id="13"/>
      <w:r/>
      <w:r/>
    </w:p>
    <w:p>
      <w:pPr>
        <w:pStyle w:val="853"/>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53"/>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2.2采购代理机构：指依法接受采购人委托，从事货物、工程和服务等政府采购业务的采购代理机构。本项目的采购代理机构是苏州市公共资源交易中心（苏州市政府集中采购中心）。</w:t>
      </w:r>
      <w:r/>
    </w:p>
    <w:p>
      <w:pPr>
        <w:pStyle w:val="853"/>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85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5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5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5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5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5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53"/>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53"/>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4" w:name="_Toc13350"/>
      <w:r/>
      <w:bookmarkStart w:id="15" w:name="_Toc14976"/>
      <w:r/>
      <w:r/>
    </w:p>
    <w:p>
      <w:pPr>
        <w:pStyle w:val="853"/>
        <w:ind w:left="0" w:firstLine="422"/>
        <w:spacing w:line="360" w:lineRule="auto"/>
        <w:rPr>
          <w:rFonts w:ascii="宋体" w:hAnsi="宋体"/>
          <w:sz w:val="21"/>
          <w:szCs w:val="21"/>
        </w:rPr>
      </w:pPr>
      <w:r>
        <w:rPr>
          <w:rFonts w:hint="eastAsia" w:ascii="宋体" w:hAnsi="宋体"/>
          <w:b/>
          <w:sz w:val="21"/>
          <w:szCs w:val="21"/>
        </w:rPr>
        <w:t xml:space="preserve">二、投标人</w:t>
      </w:r>
      <w:bookmarkEnd w:id="14"/>
      <w:r/>
      <w:bookmarkEnd w:id="15"/>
      <w:r/>
      <w:r/>
    </w:p>
    <w:p>
      <w:pPr>
        <w:pStyle w:val="853"/>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899"/>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899"/>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899"/>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899"/>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899"/>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899"/>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899"/>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899"/>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899"/>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899"/>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899"/>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899"/>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899"/>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53"/>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53"/>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53"/>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53"/>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6" w:name="_Toc5764"/>
      <w:r/>
      <w:bookmarkStart w:id="17" w:name="_Toc31958"/>
      <w:r/>
      <w:r/>
    </w:p>
    <w:p>
      <w:pPr>
        <w:pStyle w:val="853"/>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53"/>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6"/>
      <w:r/>
      <w:bookmarkEnd w:id="17"/>
      <w:r/>
      <w:r/>
    </w:p>
    <w:p>
      <w:pPr>
        <w:pStyle w:val="853"/>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53"/>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53"/>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53"/>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53"/>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53"/>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53"/>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53"/>
        <w:ind w:left="0" w:firstLine="420"/>
        <w:spacing w:line="360" w:lineRule="auto"/>
        <w:rPr>
          <w:rFonts w:ascii="宋体" w:hAnsi="宋体"/>
          <w:sz w:val="21"/>
          <w:szCs w:val="21"/>
        </w:rPr>
      </w:pPr>
      <w:r/>
      <w:bookmarkStart w:id="18" w:name="_Toc16745"/>
      <w:r/>
      <w:bookmarkStart w:id="19"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53"/>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53"/>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53"/>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53"/>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53"/>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53"/>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53"/>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53"/>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53"/>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53"/>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53"/>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853"/>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53"/>
        <w:ind w:left="0" w:firstLine="420"/>
        <w:spacing w:line="360" w:lineRule="auto"/>
        <w:rPr>
          <w:rFonts w:ascii="宋体" w:hAnsi="宋体"/>
          <w:sz w:val="21"/>
          <w:szCs w:val="21"/>
        </w:rPr>
      </w:pPr>
      <w:r>
        <w:rPr>
          <w:rFonts w:hint="eastAsia" w:ascii="宋体" w:hAnsi="宋体"/>
          <w:sz w:val="21"/>
          <w:szCs w:val="21"/>
        </w:rPr>
        <w:t xml:space="preserve">质疑联系人：质疑处理专岗工作人员</w:t>
      </w:r>
      <w:r/>
    </w:p>
    <w:p>
      <w:pPr>
        <w:pStyle w:val="853"/>
        <w:ind w:left="0" w:firstLine="420"/>
        <w:spacing w:line="360" w:lineRule="auto"/>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w:t>
      </w:r>
      <w:r>
        <w:rPr>
          <w:rFonts w:hint="eastAsia" w:ascii="宋体" w:hAnsi="宋体"/>
          <w:sz w:val="21"/>
          <w:szCs w:val="21"/>
        </w:rPr>
        <w:t xml:space="preserve">-</w:t>
      </w:r>
      <w:r>
        <w:rPr>
          <w:rFonts w:ascii="宋体" w:hAnsi="宋体"/>
          <w:sz w:val="21"/>
          <w:szCs w:val="21"/>
        </w:rPr>
        <w:t xml:space="preserve">69820820</w:t>
      </w:r>
      <w:r/>
    </w:p>
    <w:p>
      <w:pPr>
        <w:pStyle w:val="853"/>
        <w:ind w:left="0" w:firstLine="420"/>
        <w:spacing w:line="360" w:lineRule="auto"/>
        <w:rPr>
          <w:rFonts w:ascii="宋体" w:hAnsi="宋体"/>
          <w:sz w:val="21"/>
          <w:szCs w:val="21"/>
        </w:rPr>
      </w:pPr>
      <w:r>
        <w:rPr>
          <w:rFonts w:hint="eastAsia" w:ascii="宋体" w:hAnsi="宋体"/>
          <w:sz w:val="21"/>
          <w:szCs w:val="21"/>
        </w:rPr>
        <w:t xml:space="preserve">现场递交地址:苏州市姑苏区平泷路251 号城市生活广场西侧裙楼四楼大厅</w:t>
      </w:r>
      <w:r>
        <w:rPr>
          <w:rFonts w:ascii="宋体" w:hAnsi="宋体"/>
          <w:sz w:val="21"/>
          <w:szCs w:val="21"/>
        </w:rPr>
        <w:t xml:space="preserve">16</w:t>
      </w:r>
      <w:r>
        <w:rPr>
          <w:rFonts w:hint="eastAsia" w:ascii="宋体" w:hAnsi="宋体"/>
          <w:sz w:val="21"/>
          <w:szCs w:val="21"/>
        </w:rPr>
        <w:t xml:space="preserve">号窗口</w:t>
      </w:r>
      <w:r/>
    </w:p>
    <w:p>
      <w:pPr>
        <w:pStyle w:val="853"/>
        <w:ind w:left="0" w:firstLine="420"/>
        <w:spacing w:line="360" w:lineRule="auto"/>
        <w:rPr>
          <w:rFonts w:ascii="宋体" w:hAnsi="宋体"/>
          <w:sz w:val="21"/>
          <w:szCs w:val="21"/>
        </w:rPr>
      </w:pPr>
      <w:r>
        <w:rPr>
          <w:rFonts w:hint="eastAsia" w:ascii="宋体" w:hAnsi="宋体"/>
          <w:sz w:val="21"/>
          <w:szCs w:val="21"/>
        </w:rPr>
        <w:t xml:space="preserve">邮寄收取地址:苏州市姑苏区平泷路251号城市生活广场西侧裙楼四楼4007 室。</w:t>
      </w:r>
      <w:r/>
    </w:p>
    <w:p>
      <w:pPr>
        <w:pStyle w:val="853"/>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18"/>
      <w:r/>
      <w:bookmarkEnd w:id="19"/>
      <w:r/>
      <w:r/>
    </w:p>
    <w:p>
      <w:pPr>
        <w:pStyle w:val="853"/>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5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.1投标人应仔细阅读招标文件的所有内容，应当按照招标文件的要求编制投标文件，并保证所提供全部资料的真实性，以使其投标对招标文件作出实质性投标，否则，其投标可能被拒绝。</w:t>
      </w:r>
      <w:r/>
    </w:p>
    <w:p>
      <w:pPr>
        <w:pStyle w:val="85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53"/>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5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5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53"/>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5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85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5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85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899"/>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899"/>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899"/>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5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5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投标货物和服务数量、品牌规格、性能、交货期说明表（不得出现价格，格式见第三章）；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5.5</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4.1.5.6</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.1</w:t>
      </w:r>
      <w:r>
        <w:rPr>
          <w:rFonts w:hint="eastAsia" w:ascii="宋体" w:hAnsi="宋体"/>
          <w:sz w:val="21"/>
        </w:rPr>
        <w:t xml:space="preserve">所投设备的响应情况比较</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.2 </w:t>
      </w:r>
      <w:r>
        <w:rPr>
          <w:rFonts w:hint="eastAsia" w:ascii="宋体" w:hAnsi="宋体"/>
          <w:sz w:val="21"/>
        </w:rPr>
        <w:t xml:space="preserve">项目方案比较</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.3 </w:t>
      </w:r>
      <w:r>
        <w:rPr>
          <w:rFonts w:hint="eastAsia" w:ascii="宋体" w:hAnsi="宋体"/>
          <w:sz w:val="21"/>
        </w:rPr>
        <w:t xml:space="preserve">针对本项目配备的人员</w:t>
      </w:r>
      <w:r/>
    </w:p>
    <w:p>
      <w:pPr>
        <w:ind w:left="0" w:firstLine="408"/>
        <w:spacing w:line="360" w:lineRule="auto"/>
        <w:rPr>
          <w:rFonts w:ascii="宋体" w:hAnsi="宋体"/>
          <w:sz w:val="21"/>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.4 </w:t>
      </w:r>
      <w:r>
        <w:rPr>
          <w:rFonts w:hint="eastAsia" w:ascii="宋体" w:hAnsi="宋体"/>
          <w:sz w:val="21"/>
        </w:rPr>
        <w:t xml:space="preserve">投标单位综合实力</w:t>
      </w:r>
      <w:r/>
    </w:p>
    <w:p>
      <w:pPr>
        <w:ind w:left="0" w:firstLine="408"/>
        <w:spacing w:line="360" w:lineRule="auto"/>
        <w:rPr>
          <w:rFonts w:ascii="宋体" w:hAnsi="宋体" w:cs="Times New Roman"/>
          <w:sz w:val="21"/>
          <w:szCs w:val="21"/>
          <w:lang w:val="zh-CN"/>
        </w:rPr>
      </w:pPr>
      <w:r>
        <w:rPr>
          <w:rFonts w:hint="eastAsia" w:ascii="宋体" w:hAnsi="宋体"/>
          <w:sz w:val="21"/>
        </w:rPr>
        <w:t xml:space="preserve">1</w:t>
      </w:r>
      <w:r>
        <w:rPr>
          <w:rFonts w:ascii="宋体" w:hAnsi="宋体"/>
          <w:sz w:val="21"/>
        </w:rPr>
        <w:t xml:space="preserve">4.1.6.5</w:t>
      </w:r>
      <w:r>
        <w:rPr>
          <w:rFonts w:hint="eastAsia" w:ascii="宋体" w:hAnsi="宋体"/>
          <w:sz w:val="21"/>
        </w:rPr>
        <w:t xml:space="preserve">类似项目业绩比较</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075"/>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75"/>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75"/>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4.1.4-14.1.8</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75"/>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w:t>
      </w:r>
      <w:r/>
    </w:p>
    <w:p>
      <w:pPr>
        <w:pStyle w:val="1075"/>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75"/>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75"/>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75"/>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75"/>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75"/>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07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07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20" w:name="_Toc31150"/>
      <w:r/>
      <w:bookmarkStart w:id="21"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0"/>
      <w:bookmarkEnd w:id="21"/>
      <w:r/>
    </w:p>
    <w:p>
      <w:pPr>
        <w:pStyle w:val="1075"/>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075"/>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075"/>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.1投标人应当在在投标截止时间前制作并上传电子投标文件。</w:t>
      </w:r>
      <w:r/>
    </w:p>
    <w:p>
      <w:pPr>
        <w:pStyle w:val="853"/>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075"/>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75"/>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75"/>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75"/>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7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7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07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22" w:name="_Toc29371"/>
      <w:r/>
      <w:bookmarkStart w:id="23" w:name="_Toc22837"/>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75"/>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22"/>
      <w:r/>
      <w:bookmarkEnd w:id="23"/>
      <w:r/>
      <w:r/>
    </w:p>
    <w:p>
      <w:pPr>
        <w:pStyle w:val="107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07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75"/>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7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3.4</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7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7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7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75"/>
        <w:ind w:left="0" w:firstLine="422"/>
        <w:spacing w:line="360" w:lineRule="auto"/>
        <w:rPr>
          <w:rFonts w:ascii="宋体" w:hAnsi="宋体" w:cs="宋体"/>
          <w:b/>
          <w:color w:val="ff0000"/>
          <w:sz w:val="21"/>
          <w:szCs w:val="21"/>
        </w:rPr>
      </w:pPr>
      <w:r>
        <w:rPr>
          <w:rFonts w:hint="eastAsia" w:ascii="宋体" w:hAnsi="宋体" w:cs="宋体"/>
          <w:b/>
          <w:color w:val="ff0000"/>
          <w:sz w:val="21"/>
          <w:szCs w:val="21"/>
        </w:rPr>
        <w:t xml:space="preserve">2</w:t>
      </w:r>
      <w:r>
        <w:rPr>
          <w:rFonts w:ascii="宋体" w:hAnsi="宋体" w:cs="宋体"/>
          <w:b/>
          <w:color w:val="ff0000"/>
          <w:sz w:val="21"/>
          <w:szCs w:val="21"/>
        </w:rPr>
        <w:t xml:space="preserve">6</w:t>
      </w:r>
      <w:r>
        <w:rPr>
          <w:rFonts w:hint="eastAsia" w:ascii="宋体" w:hAnsi="宋体" w:cs="宋体"/>
          <w:b/>
          <w:color w:val="ff0000"/>
          <w:sz w:val="21"/>
          <w:szCs w:val="21"/>
        </w:rPr>
        <w:t xml:space="preserve">.4评标委员会认为投标人的报价明显低于其他通过符合性审查投标人的报价</w:t>
      </w:r>
      <w:r>
        <w:rPr>
          <w:rFonts w:hint="eastAsia" w:ascii="宋体" w:hAnsi="宋体" w:cs="宋体"/>
          <w:b/>
          <w:color w:val="ff0000"/>
          <w:sz w:val="21"/>
          <w:szCs w:val="21"/>
          <w:lang w:val="en-US"/>
        </w:rPr>
        <w:t xml:space="preserve">或低于预算价的50%</w:t>
      </w:r>
      <w:r>
        <w:rPr>
          <w:rFonts w:hint="eastAsia" w:ascii="宋体" w:hAnsi="宋体" w:cs="宋体"/>
          <w:b/>
          <w:color w:val="ff0000"/>
          <w:sz w:val="21"/>
          <w:szCs w:val="21"/>
        </w:rPr>
        <w:t xml:space="preserve">，有可能影响产品质量或者不能诚信履约的，应当要求其在评标现场合理的时间内提供书面说明，必要时提交相关证明材料；投标人不能证明其报价合理性的，评标委员会应当将其作为无效投标处理。</w:t>
      </w:r>
      <w:r/>
    </w:p>
    <w:p>
      <w:pPr>
        <w:pStyle w:val="1075"/>
        <w:ind w:left="0" w:firstLine="422"/>
        <w:spacing w:line="360" w:lineRule="auto"/>
        <w:rPr>
          <w:rFonts w:ascii="宋体" w:hAnsi="宋体" w:cs="宋体"/>
          <w:b/>
          <w:color w:val="ff0000"/>
          <w:sz w:val="21"/>
          <w:szCs w:val="21"/>
          <w:lang w:val="en-US"/>
        </w:rPr>
      </w:pPr>
      <w:r>
        <w:rPr>
          <w:rFonts w:hint="eastAsia" w:ascii="宋体" w:hAnsi="宋体" w:cs="宋体"/>
          <w:b/>
          <w:color w:val="ff0000"/>
          <w:sz w:val="21"/>
          <w:szCs w:val="21"/>
          <w:lang w:val="en-US"/>
        </w:rPr>
        <w:t xml:space="preserve">26.</w:t>
      </w:r>
      <w:r>
        <w:rPr>
          <w:rFonts w:ascii="宋体" w:hAnsi="宋体" w:cs="宋体"/>
          <w:b/>
          <w:color w:val="ff0000"/>
          <w:sz w:val="21"/>
          <w:szCs w:val="21"/>
          <w:lang w:val="en-US"/>
        </w:rPr>
        <w:t xml:space="preserve">5</w:t>
      </w:r>
      <w:r>
        <w:rPr>
          <w:rFonts w:hint="eastAsia" w:ascii="宋体" w:hAnsi="宋体" w:cs="宋体"/>
          <w:b/>
          <w:color w:val="ff0000"/>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7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75"/>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07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75"/>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075"/>
        <w:ind w:left="0" w:firstLine="422"/>
        <w:spacing w:line="360" w:lineRule="auto"/>
        <w:rPr>
          <w:rFonts w:ascii="宋体" w:hAnsi="宋体"/>
          <w:b/>
          <w:color w:val="ff0000"/>
          <w:sz w:val="21"/>
          <w:szCs w:val="21"/>
        </w:rPr>
      </w:pPr>
      <w:r>
        <w:rPr>
          <w:rFonts w:hint="eastAsia" w:ascii="宋体" w:hAnsi="宋体"/>
          <w:b/>
          <w:color w:val="ff0000"/>
          <w:sz w:val="21"/>
          <w:szCs w:val="21"/>
        </w:rPr>
        <w:t xml:space="preserve">（六）在综合评审打分中，各评委的综合评分汇总后，投标人除价格部分以外的其余评审因素平均分值低于60%的;</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（七）法律、法规和招标文件规定的其他无效情形。</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7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.1.4因重大变故，采购任务取消的；</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75"/>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75"/>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75"/>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24" w:name="_Toc18442"/>
      <w:r/>
      <w:bookmarkStart w:id="25" w:name="_Toc19501"/>
      <w:r/>
      <w:r/>
    </w:p>
    <w:p>
      <w:pPr>
        <w:pStyle w:val="1075"/>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24"/>
      <w:r/>
      <w:bookmarkEnd w:id="25"/>
      <w:r/>
      <w:r/>
    </w:p>
    <w:p>
      <w:pPr>
        <w:pStyle w:val="1075"/>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75"/>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75"/>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7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7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75"/>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7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75"/>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75"/>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26" w:name="_Toc21029"/>
      <w:r/>
      <w:bookmarkStart w:id="27" w:name="_Toc8186"/>
      <w:r/>
      <w:r/>
    </w:p>
    <w:p>
      <w:pPr>
        <w:pStyle w:val="1075"/>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26"/>
      <w:r/>
      <w:bookmarkEnd w:id="27"/>
      <w:r/>
      <w:r/>
    </w:p>
    <w:p>
      <w:pPr>
        <w:pStyle w:val="1075"/>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7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75"/>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7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75"/>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75"/>
        <w:ind w:left="0" w:firstLine="0"/>
        <w:spacing w:line="360" w:lineRule="auto"/>
        <w:rPr>
          <w:rFonts w:ascii="宋体" w:hAnsi="宋体" w:cs="宋体"/>
          <w:sz w:val="21"/>
          <w:szCs w:val="21"/>
        </w:rPr>
      </w:pPr>
      <w:r>
        <w:rPr>
          <w:rFonts w:ascii="宋体" w:hAnsi="宋体" w:cs="宋体"/>
          <w:sz w:val="21"/>
          <w:szCs w:val="21"/>
        </w:rPr>
      </w:r>
      <w:r/>
    </w:p>
    <w:p>
      <w:pPr>
        <w:pStyle w:val="841"/>
        <w:ind w:left="0" w:firstLine="0"/>
        <w:jc w:val="center"/>
        <w:rPr>
          <w:rFonts w:ascii="宋体" w:hAnsi="宋体"/>
          <w:sz w:val="21"/>
          <w:szCs w:val="21"/>
          <w:lang w:val="zh-CN"/>
        </w:rPr>
      </w:pPr>
      <w:r/>
      <w:bookmarkStart w:id="28" w:name="_Toc7264"/>
      <w:r/>
      <w:bookmarkStart w:id="29" w:name="_Toc24711"/>
      <w:r/>
      <w:bookmarkStart w:id="30" w:name="_Toc105397778"/>
      <w:r>
        <w:rPr>
          <w:rFonts w:hint="eastAsia" w:ascii="宋体" w:hAnsi="宋体"/>
          <w:b/>
          <w:sz w:val="44"/>
          <w:szCs w:val="22"/>
        </w:rPr>
        <w:br w:type="page" w:clear="all"/>
      </w:r>
      <w:r>
        <w:rPr>
          <w:rFonts w:hint="eastAsia" w:ascii="宋体" w:hAnsi="宋体"/>
          <w:b/>
          <w:sz w:val="44"/>
          <w:szCs w:val="22"/>
        </w:rPr>
        <w:t xml:space="preserve">第三章  </w:t>
      </w:r>
      <w:bookmarkStart w:id="31" w:name="投标文件格式"/>
      <w:r/>
      <w:bookmarkEnd w:id="31"/>
      <w:r>
        <w:rPr>
          <w:rFonts w:hint="eastAsia" w:ascii="宋体" w:hAnsi="宋体"/>
          <w:b/>
          <w:sz w:val="44"/>
          <w:szCs w:val="22"/>
        </w:rPr>
        <w:t xml:space="preserve">投标文件格式</w:t>
      </w:r>
      <w:bookmarkEnd w:id="28"/>
      <w:r/>
      <w:bookmarkEnd w:id="29"/>
      <w:r/>
      <w:bookmarkEnd w:id="30"/>
      <w:r/>
      <w:r/>
    </w:p>
    <w:p>
      <w:pPr>
        <w:ind w:left="0"/>
        <w:spacing w:line="440" w:lineRule="exact"/>
        <w:rPr>
          <w:rFonts w:ascii="宋体" w:hAnsi="宋体"/>
          <w:b/>
          <w:sz w:val="21"/>
          <w:szCs w:val="21"/>
        </w:rPr>
      </w:pPr>
      <w:r>
        <w:rPr>
          <w:rFonts w:ascii="宋体" w:hAnsi="宋体"/>
          <w:b/>
          <w:sz w:val="21"/>
          <w:szCs w:val="21"/>
        </w:rPr>
        <w:t xml:space="preserve">说明：</w:t>
      </w:r>
      <w:r/>
    </w:p>
    <w:p>
      <w:pPr>
        <w:pStyle w:val="1075"/>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32" w:name="_Toc71810480"/>
      <w:r/>
      <w:bookmarkStart w:id="33" w:name="_Toc3821"/>
      <w:r/>
      <w:bookmarkStart w:id="34" w:name="_Toc105397779"/>
      <w:r/>
      <w:bookmarkStart w:id="35" w:name="_Toc17036"/>
      <w:r>
        <w:rPr>
          <w:rFonts w:hint="eastAsia" w:ascii="宋体" w:hAnsi="宋体"/>
          <w:b/>
          <w:sz w:val="21"/>
          <w:szCs w:val="21"/>
        </w:rPr>
        <w:t xml:space="preserve">附件1.投标函</w:t>
      </w:r>
      <w:bookmarkEnd w:id="32"/>
      <w:r/>
      <w:bookmarkEnd w:id="33"/>
      <w:r/>
      <w:bookmarkEnd w:id="34"/>
      <w:r/>
      <w:bookmarkEnd w:id="35"/>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苏州市公共资源交易中心（苏州市政府集中采购中心）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36" w:name="_Toc71810481"/>
      <w:r/>
      <w:bookmarkStart w:id="37"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36"/>
      <w:r/>
      <w:bookmarkEnd w:id="37"/>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38" w:name="TBR"/>
      <w:r/>
      <w:bookmarkEnd w:id="3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39" w:name="XMBH"/>
      <w:r/>
      <w:bookmarkEnd w:id="3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40" w:name="FBH"/>
      <w:r/>
      <w:bookmarkEnd w:id="40"/>
      <w:r/>
      <w:r/>
    </w:p>
    <w:tbl>
      <w:tblPr>
        <w:tblW w:w="98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7103" w:type="dxa"/>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ind w:left="0"/>
              <w:jc w:val="center"/>
              <w:spacing w:line="600" w:lineRule="exact"/>
              <w:rPr>
                <w:rFonts w:ascii="宋体" w:hAnsi="宋体"/>
                <w:sz w:val="21"/>
                <w:szCs w:val="21"/>
              </w:rPr>
            </w:pPr>
            <w:r/>
            <w:bookmarkStart w:id="41" w:name="XMMC"/>
            <w:r/>
            <w:bookmarkEnd w:id="41"/>
            <w:r/>
            <w:r/>
          </w:p>
        </w:tc>
        <w:tc>
          <w:tcPr>
            <w:tcBorders>
              <w:top w:val="single" w:color="auto" w:sz="4" w:space="0"/>
              <w:left w:val="single" w:color="auto" w:sz="4" w:space="0"/>
              <w:bottom w:val="single" w:color="auto" w:sz="4" w:space="0"/>
              <w:right w:val="single" w:color="auto" w:sz="4" w:space="0"/>
            </w:tcBorders>
            <w:tcW w:w="7103" w:type="dxa"/>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42" w:name="JEXX"/>
            <w:r/>
            <w:bookmarkEnd w:id="42"/>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7103" w:type="dxa"/>
            <w:vAlign w:val="center"/>
            <w:textDirection w:val="lrTb"/>
            <w:noWrap w:val="false"/>
          </w:tcPr>
          <w:p>
            <w:pPr>
              <w:ind w:left="0"/>
              <w:spacing w:line="600" w:lineRule="exact"/>
              <w:rPr>
                <w:rFonts w:ascii="宋体" w:hAnsi="宋体"/>
                <w:sz w:val="21"/>
                <w:szCs w:val="21"/>
              </w:rPr>
            </w:pPr>
            <w:r/>
            <w:bookmarkStart w:id="43" w:name="JEDX"/>
            <w:r/>
            <w:bookmarkEnd w:id="43"/>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44" w:name="NF"/>
      <w:r/>
      <w:bookmarkEnd w:id="44"/>
      <w:r>
        <w:rPr>
          <w:rFonts w:hint="eastAsia" w:ascii="宋体" w:hAnsi="宋体"/>
          <w:sz w:val="21"/>
          <w:szCs w:val="21"/>
        </w:rPr>
        <w:t xml:space="preserve"> 年 </w:t>
      </w:r>
      <w:bookmarkStart w:id="45" w:name="YF"/>
      <w:r/>
      <w:bookmarkEnd w:id="45"/>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46" w:name="RI"/>
      <w:r/>
      <w:bookmarkEnd w:id="46"/>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67"/>
        <w:rPr>
          <w:rFonts w:ascii="宋体" w:hAnsi="宋体"/>
        </w:rPr>
      </w:pPr>
      <w:r>
        <w:rPr>
          <w:rFonts w:ascii="宋体" w:hAnsi="宋体"/>
        </w:rPr>
      </w:r>
      <w:r/>
    </w:p>
    <w:p>
      <w:pPr>
        <w:ind w:left="0"/>
        <w:spacing w:line="440" w:lineRule="exact"/>
        <w:rPr>
          <w:rFonts w:ascii="宋体" w:hAnsi="宋体"/>
          <w:b/>
          <w:sz w:val="21"/>
          <w:szCs w:val="21"/>
        </w:rPr>
      </w:pPr>
      <w:r/>
      <w:bookmarkStart w:id="47" w:name="_Toc7945"/>
      <w:r/>
      <w:bookmarkStart w:id="48" w:name="_Toc241"/>
      <w:r/>
      <w:bookmarkStart w:id="49"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67"/>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50" w:name="_Toc105397781"/>
      <w:r>
        <w:rPr>
          <w:rFonts w:ascii="宋体" w:hAnsi="宋体"/>
          <w:b/>
          <w:sz w:val="21"/>
          <w:szCs w:val="21"/>
        </w:rPr>
        <w:t xml:space="preserve">附件3</w:t>
      </w:r>
      <w:bookmarkEnd w:id="47"/>
      <w:r/>
      <w:bookmarkEnd w:id="48"/>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49"/>
      <w:r/>
      <w:bookmarkEnd w:id="5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公开分项报价</w:t>
      </w:r>
      <w:r/>
    </w:p>
    <w:p>
      <w:pPr>
        <w:pStyle w:val="867"/>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W w:w="99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00"/>
        <w:gridCol w:w="1417"/>
        <w:gridCol w:w="2361"/>
        <w:gridCol w:w="1315"/>
        <w:gridCol w:w="992"/>
        <w:gridCol w:w="851"/>
        <w:gridCol w:w="991"/>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品牌、规格型号</w:t>
            </w:r>
            <w:r/>
          </w:p>
        </w:tc>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sz w:val="21"/>
                <w:szCs w:val="21"/>
              </w:rPr>
              <w:t xml:space="preserve">生产厂家</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单位</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gridSpan w:val="7"/>
            <w:tcBorders>
              <w:top w:val="single" w:color="auto" w:sz="4" w:space="0"/>
              <w:left w:val="single" w:color="auto" w:sz="4" w:space="0"/>
              <w:bottom w:val="single" w:color="auto" w:sz="4" w:space="0"/>
              <w:right w:val="single" w:color="auto" w:sz="4" w:space="0"/>
            </w:tcBorders>
            <w:tcW w:w="9061"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合计</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元（大写： </w:t>
            </w:r>
            <w:r>
              <w:rPr>
                <w:rFonts w:ascii="宋体" w:hAnsi="宋体"/>
                <w:szCs w:val="21"/>
              </w:rPr>
              <w:t xml:space="preserve">                </w:t>
            </w:r>
            <w:r>
              <w:rPr>
                <w:rFonts w:hint="eastAsia" w:ascii="宋体" w:hAnsi="宋体"/>
                <w:szCs w:val="21"/>
              </w:rPr>
              <w:t xml:space="preserve">）</w:t>
            </w:r>
            <w:r/>
          </w:p>
        </w:tc>
      </w:tr>
    </w:tbl>
    <w:p>
      <w:pPr>
        <w:pStyle w:val="868"/>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pStyle w:val="868"/>
      </w:pPr>
      <w:r/>
      <w:r/>
    </w:p>
    <w:p>
      <w:r/>
      <w:r/>
    </w:p>
    <w:p>
      <w:pPr>
        <w:ind w:left="0" w:firstLine="420"/>
        <w:spacing w:line="360" w:lineRule="auto"/>
        <w:widowControl w:val="off"/>
        <w:rPr>
          <w:rFonts w:ascii="宋体" w:hAnsi="宋体"/>
          <w:sz w:val="21"/>
          <w:szCs w:val="21"/>
        </w:rPr>
      </w:pPr>
      <w:r>
        <w:rPr>
          <w:rFonts w:hint="eastAsia" w:ascii="宋体" w:hAnsi="宋体"/>
          <w:sz w:val="21"/>
          <w:szCs w:val="21"/>
        </w:rPr>
        <w:t xml:space="preserve">注：1.报价表包含投标单位各项成本核算和投入的成本明细，合计金额应与《开标一览表》合计金额一致；否则，以《开标一览表》为准。</w:t>
      </w:r>
      <w:r/>
    </w:p>
    <w:p>
      <w:pPr>
        <w:ind w:left="0" w:firstLine="420"/>
        <w:spacing w:line="360" w:lineRule="auto"/>
        <w:widowControl w:val="off"/>
        <w:rPr>
          <w:rFonts w:ascii="宋体" w:hAnsi="宋体"/>
          <w:sz w:val="21"/>
          <w:szCs w:val="21"/>
        </w:rPr>
      </w:pPr>
      <w:r>
        <w:rPr>
          <w:rFonts w:hint="eastAsia" w:ascii="宋体" w:hAnsi="宋体"/>
          <w:sz w:val="21"/>
          <w:szCs w:val="21"/>
        </w:rPr>
        <w:t xml:space="preserve">2.各投标人应根据此表格式按项目分别填写报价详细清单，</w:t>
      </w:r>
      <w:r>
        <w:rPr>
          <w:rFonts w:hint="eastAsia" w:ascii="宋体" w:hAnsi="宋体"/>
          <w:color w:val="000000"/>
          <w:sz w:val="21"/>
          <w:szCs w:val="21"/>
        </w:rPr>
        <w:t xml:space="preserve">栏数不够可自加</w:t>
      </w:r>
      <w:r>
        <w:rPr>
          <w:rFonts w:hint="eastAsia" w:ascii="宋体" w:hAnsi="宋体"/>
          <w:sz w:val="21"/>
          <w:szCs w:val="21"/>
        </w:rPr>
        <w:t xml:space="preserve">。</w:t>
      </w:r>
      <w:r/>
    </w:p>
    <w:p>
      <w:pPr>
        <w:pStyle w:val="886"/>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51" w:name="_Toc71810483"/>
      <w:r/>
      <w:bookmarkStart w:id="52"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51"/>
      <w:r/>
      <w:bookmarkEnd w:id="52"/>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苏州市公共资源交易中心（苏州市政府集中采购中心）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67"/>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53" w:name="_Toc105397783"/>
      <w:r/>
      <w:bookmarkStart w:id="54" w:name="_Toc19621"/>
      <w:r/>
      <w:bookmarkStart w:id="55" w:name="_Toc71810484"/>
      <w:r/>
      <w:bookmarkStart w:id="56" w:name="_Toc2157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53"/>
      <w:r/>
      <w:bookmarkEnd w:id="54"/>
      <w:r/>
      <w:bookmarkEnd w:id="55"/>
      <w:r/>
      <w:bookmarkEnd w:id="5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苏州市公共资源交易中心（苏州市政府集中采购中心）：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（单位名称） </w:t>
      </w:r>
      <w:r>
        <w:rPr>
          <w:rFonts w:hint="eastAsia" w:ascii="宋体" w:hAnsi="宋体"/>
          <w:sz w:val="21"/>
          <w:szCs w:val="21"/>
        </w:rPr>
        <w:t xml:space="preserve">的 </w:t>
      </w:r>
      <w:r>
        <w:rPr>
          <w:rFonts w:hint="eastAsia" w:ascii="宋体" w:hAnsi="宋体"/>
          <w:sz w:val="21"/>
          <w:szCs w:val="21"/>
          <w:u w:val="single"/>
        </w:rPr>
        <w:t xml:space="preserve">（项目名称）</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（采购文件中明确的所属行业）行业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07"/>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（采购文件中明确的所属行业）行业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867"/>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57"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67"/>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58"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57"/>
      <w:r/>
      <w:bookmarkEnd w:id="5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59" w:name="_Toc3869"/>
      <w:r/>
      <w:bookmarkStart w:id="60" w:name="_Toc32206"/>
      <w:r/>
      <w:bookmarkStart w:id="61" w:name="_Toc15378"/>
      <w:r>
        <w:rPr>
          <w:rFonts w:hint="eastAsia" w:ascii="宋体" w:hAnsi="宋体"/>
          <w:sz w:val="21"/>
          <w:szCs w:val="21"/>
          <w:u w:val="single"/>
          <w:lang w:val="zh-CN"/>
        </w:rPr>
        <w:t xml:space="preserve">苏州市公共资源交易中心（苏州市政府集中采购中心）</w:t>
      </w:r>
      <w:r>
        <w:rPr>
          <w:rFonts w:hint="eastAsia" w:ascii="宋体" w:hAnsi="宋体"/>
          <w:sz w:val="21"/>
          <w:szCs w:val="21"/>
          <w:lang w:val="zh-CN"/>
        </w:rPr>
        <w:t xml:space="preserve">：</w:t>
      </w:r>
      <w:bookmarkEnd w:id="59"/>
      <w:r/>
      <w:bookmarkEnd w:id="60"/>
      <w:r/>
      <w:bookmarkEnd w:id="61"/>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93"/>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886"/>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886"/>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88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88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88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88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886"/>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86"/>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886"/>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62" w:name="_Toc71810487"/>
      <w:r/>
      <w:bookmarkStart w:id="63" w:name="_Toc105397785"/>
      <w:r>
        <w:rPr>
          <w:rFonts w:ascii="宋体" w:hAnsi="宋体"/>
          <w:b/>
          <w:sz w:val="21"/>
          <w:szCs w:val="21"/>
        </w:rPr>
        <w:t xml:space="preserve">附件7</w:t>
      </w:r>
      <w:r>
        <w:rPr>
          <w:rFonts w:hint="eastAsia" w:ascii="宋体" w:hAnsi="宋体"/>
          <w:b/>
          <w:sz w:val="21"/>
          <w:szCs w:val="21"/>
        </w:rPr>
        <w:t xml:space="preserve">.</w:t>
      </w:r>
      <w:bookmarkEnd w:id="62"/>
      <w:r>
        <w:rPr>
          <w:rFonts w:hint="eastAsia" w:ascii="宋体" w:hAnsi="宋体"/>
        </w:rPr>
        <w:t xml:space="preserve"> </w:t>
      </w:r>
      <w:bookmarkEnd w:id="63"/>
      <w:r>
        <w:rPr>
          <w:rFonts w:hint="eastAsia" w:ascii="宋体" w:hAnsi="宋体"/>
          <w:b/>
          <w:sz w:val="21"/>
          <w:szCs w:val="21"/>
        </w:rPr>
        <w:t xml:space="preserve">投标货物和服务数量、品牌规格、性能、交货期说明表</w:t>
      </w:r>
      <w:r/>
    </w:p>
    <w:p>
      <w:pPr>
        <w:ind w:left="0"/>
        <w:jc w:val="center"/>
        <w:spacing w:before="100" w:beforeAutospacing="1" w:after="100" w:afterAutospacing="1" w:line="480" w:lineRule="auto"/>
        <w:rPr>
          <w:rFonts w:ascii="宋体" w:hAnsi="宋体"/>
          <w:b/>
          <w:sz w:val="21"/>
          <w:szCs w:val="21"/>
        </w:rPr>
      </w:pPr>
      <w:r/>
      <w:bookmarkStart w:id="64" w:name="_Toc27138"/>
      <w:r/>
      <w:bookmarkStart w:id="65" w:name="_Toc31973"/>
      <w:r>
        <w:rPr>
          <w:rFonts w:hint="eastAsia" w:ascii="宋体" w:hAnsi="宋体"/>
          <w:b/>
          <w:sz w:val="21"/>
          <w:szCs w:val="21"/>
        </w:rPr>
        <w:t xml:space="preserve">投标货物和服务数量、品牌规格、性能、交货期说明表</w:t>
      </w:r>
      <w:r/>
    </w:p>
    <w:tbl>
      <w:tblPr>
        <w:tblW w:w="10273" w:type="dxa"/>
        <w:jc w:val="center"/>
        <w:tblLayout w:type="fixed"/>
        <w:tblCellMar>
          <w:left w:w="0" w:type="dxa"/>
          <w:right w:w="0" w:type="dxa"/>
        </w:tblCellMar>
        <w:tblLook w:val="04A0" w:firstRow="1" w:lastRow="0" w:firstColumn="1" w:lastColumn="0" w:noHBand="0" w:noVBand="1"/>
      </w:tblPr>
      <w:tblGrid>
        <w:gridCol w:w="958"/>
        <w:gridCol w:w="1683"/>
        <w:gridCol w:w="2051"/>
        <w:gridCol w:w="2052"/>
        <w:gridCol w:w="2052"/>
        <w:gridCol w:w="1477"/>
      </w:tblGrid>
      <w:tr>
        <w:trPr>
          <w:jc w:val="cente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center"/>
            <w:textDirection w:val="lrTb"/>
            <w:noWrap w:val="false"/>
          </w:tcPr>
          <w:p>
            <w:pPr>
              <w:ind w:left="54"/>
              <w:jc w:val="center"/>
              <w:spacing w:line="360" w:lineRule="auto"/>
              <w:rPr>
                <w:rFonts w:ascii="宋体" w:hAnsi="宋体"/>
                <w:sz w:val="21"/>
                <w:szCs w:val="21"/>
              </w:rPr>
            </w:pPr>
            <w:r>
              <w:rPr>
                <w:rFonts w:hint="eastAsia" w:ascii="宋体" w:hAnsi="宋体"/>
                <w:sz w:val="21"/>
                <w:szCs w:val="21"/>
              </w:rPr>
              <w:t xml:space="preserve">标的物名称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品牌、规格、性能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数量</w:t>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交货期</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bl>
    <w:p>
      <w:pPr>
        <w:ind w:left="0"/>
        <w:jc w:val="left"/>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rPr>
          <w:rFonts w:ascii="宋体" w:hAnsi="宋体"/>
          <w:sz w:val="21"/>
          <w:szCs w:val="21"/>
        </w:rPr>
        <w:t xml:space="preserve"> </w:t>
      </w:r>
      <w:r/>
    </w:p>
    <w:p>
      <w:pPr>
        <w:pStyle w:val="867"/>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867"/>
        <w:rPr>
          <w:rFonts w:ascii="宋体" w:hAnsi="宋体"/>
        </w:rPr>
      </w:pPr>
      <w:r>
        <w:rPr>
          <w:rFonts w:ascii="宋体" w:hAnsi="宋体"/>
        </w:rPr>
      </w:r>
      <w:r/>
    </w:p>
    <w:p>
      <w:pPr>
        <w:pStyle w:val="853"/>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867"/>
        <w:rPr>
          <w:rFonts w:ascii="宋体" w:hAnsi="宋体"/>
        </w:rPr>
      </w:pPr>
      <w:r>
        <w:rPr>
          <w:rFonts w:ascii="宋体" w:hAnsi="宋体"/>
        </w:rPr>
      </w:r>
      <w:r/>
    </w:p>
    <w:p>
      <w:r/>
      <w:r/>
    </w:p>
    <w:p>
      <w:pPr>
        <w:pStyle w:val="868"/>
      </w:pPr>
      <w:r/>
      <w:r/>
    </w:p>
    <w:p>
      <w:r/>
      <w:r/>
    </w:p>
    <w:p>
      <w:pPr>
        <w:pStyle w:val="867"/>
        <w:ind w:firstLine="0"/>
        <w:rPr>
          <w:rFonts w:ascii="宋体" w:hAnsi="宋体"/>
        </w:rPr>
      </w:pPr>
      <w:r>
        <w:rPr>
          <w:rFonts w:ascii="宋体" w:hAnsi="宋体"/>
        </w:rPr>
      </w:r>
      <w:r/>
    </w:p>
    <w:p>
      <w:pPr>
        <w:pStyle w:val="853"/>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66" w:name="_Toc105397786"/>
      <w:r>
        <w:rPr>
          <w:rFonts w:ascii="宋体" w:hAnsi="宋体"/>
          <w:b/>
          <w:sz w:val="21"/>
          <w:szCs w:val="21"/>
        </w:rPr>
        <w:t xml:space="preserve">附件8</w:t>
      </w:r>
      <w:r>
        <w:rPr>
          <w:rFonts w:hint="eastAsia" w:ascii="宋体" w:hAnsi="宋体"/>
          <w:b/>
          <w:sz w:val="21"/>
          <w:szCs w:val="21"/>
        </w:rPr>
        <w:t xml:space="preserve">.</w:t>
      </w:r>
      <w:bookmarkEnd w:id="66"/>
      <w:r>
        <w:rPr>
          <w:rFonts w:hint="eastAsia"/>
        </w:rPr>
        <w:t xml:space="preserve"> </w:t>
      </w:r>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rPr>
          <w:rFonts w:ascii="宋体" w:hAnsi="宋体"/>
          <w:b/>
          <w:sz w:val="21"/>
          <w:szCs w:val="21"/>
        </w:rPr>
        <w:t xml:space="preserve">附件9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67" w:name="_Toc105397787"/>
      <w:r/>
      <w:bookmarkStart w:id="68" w:name="_Toc71810489"/>
      <w:r>
        <w:rPr>
          <w:rFonts w:ascii="宋体" w:hAnsi="宋体"/>
          <w:b/>
          <w:sz w:val="21"/>
          <w:szCs w:val="21"/>
        </w:rPr>
        <w:br w:type="page" w:clear="all"/>
      </w:r>
      <w:r>
        <w:rPr>
          <w:rFonts w:ascii="宋体" w:hAnsi="宋体"/>
          <w:b/>
          <w:sz w:val="21"/>
          <w:szCs w:val="21"/>
        </w:rPr>
        <w:t xml:space="preserve">附件10</w:t>
      </w:r>
      <w:r>
        <w:rPr>
          <w:rFonts w:hint="eastAsia" w:ascii="宋体" w:hAnsi="宋体"/>
          <w:b/>
          <w:sz w:val="21"/>
          <w:szCs w:val="21"/>
        </w:rPr>
        <w:t xml:space="preserve">.相关业绩一览表</w:t>
      </w:r>
      <w:bookmarkEnd w:id="67"/>
      <w:r/>
      <w:bookmarkEnd w:id="68"/>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764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67"/>
        <w:rPr>
          <w:rFonts w:ascii="宋体" w:hAnsi="宋体"/>
        </w:rPr>
      </w:pPr>
      <w:r>
        <w:rPr>
          <w:rFonts w:ascii="宋体" w:hAnsi="宋体"/>
        </w:rPr>
      </w:r>
      <w:r/>
    </w:p>
    <w:p>
      <w:r/>
      <w:r/>
    </w:p>
    <w:p>
      <w:pPr>
        <w:pStyle w:val="868"/>
      </w:pPr>
      <w:r/>
      <w:r/>
    </w:p>
    <w:p>
      <w:r/>
      <w:r/>
    </w:p>
    <w:p>
      <w:pPr>
        <w:pStyle w:val="868"/>
      </w:pPr>
      <w:r/>
      <w:r/>
    </w:p>
    <w:p>
      <w:r/>
      <w:r/>
    </w:p>
    <w:p>
      <w:pPr>
        <w:pStyle w:val="868"/>
      </w:pPr>
      <w:r/>
      <w:r/>
    </w:p>
    <w:p>
      <w:pPr>
        <w:pStyle w:val="868"/>
      </w:pPr>
      <w:r/>
      <w:r/>
    </w:p>
    <w:p>
      <w:pPr>
        <w:pStyle w:val="853"/>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rPr>
          <w:rFonts w:ascii="宋体" w:hAnsi="宋体"/>
        </w:rPr>
      </w:pPr>
      <w:r/>
      <w:bookmarkStart w:id="69" w:name="_Toc71810490"/>
      <w:r/>
      <w:bookmarkEnd w:id="64"/>
      <w:r/>
      <w:bookmarkEnd w:id="65"/>
      <w:r>
        <w:rPr>
          <w:rFonts w:ascii="宋体" w:hAnsi="宋体"/>
        </w:rPr>
        <w:t xml:space="preserve"> </w:t>
      </w:r>
      <w:r/>
    </w:p>
    <w:p>
      <w:pPr>
        <w:pStyle w:val="853"/>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70"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69"/>
      <w:r/>
      <w:bookmarkEnd w:id="70"/>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苏州市公共资源交易中心（苏州市政府集中采购中心）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苏州市公共资源交易中心（苏州市政府集中采购中心）</w:t>
      </w:r>
      <w:r>
        <w:rPr>
          <w:rFonts w:ascii="宋体" w:hAnsi="宋体"/>
          <w:color w:val="000000" w:themeColor="text1"/>
          <w:sz w:val="21"/>
          <w:szCs w:val="21"/>
        </w:rPr>
        <w:t xml:space="preserve">：</w:t>
      </w:r>
      <w:r/>
    </w:p>
    <w:p>
      <w:pPr>
        <w:pStyle w:val="868"/>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pStyle w:val="1075"/>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备注：根据招标文件第二章“投标人须知”第26.4条要求，当评标委员会认为投标人报价明显低于其他通过符合性审查投标人的报价或者低于项目预算金额的5</w:t>
      </w:r>
      <w:r>
        <w:rPr>
          <w:rFonts w:ascii="宋体" w:hAnsi="宋体" w:cs="宋体"/>
          <w:b/>
          <w:color w:val="000000" w:themeColor="text1"/>
          <w:sz w:val="21"/>
          <w:szCs w:val="21"/>
        </w:rPr>
        <w:t xml:space="preserve">0</w:t>
      </w:r>
      <w:r>
        <w:rPr>
          <w:rFonts w:hint="eastAsia" w:ascii="宋体" w:hAnsi="宋体" w:cs="宋体"/>
          <w:b/>
          <w:color w:val="000000" w:themeColor="text1"/>
          <w:sz w:val="21"/>
          <w:szCs w:val="21"/>
        </w:rPr>
        <w:t xml:space="preserve">%，有可能影响产品质量或者不能诚信履约的，应当要求投标人出具书面说明及证明材料，例如库存清单、进货合同及发票、仓库照片、往期类似项目合同报价清单。投标人不能证明其报价合理性的，评标委员会应当将其作为无效投标处理。</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868"/>
        <w:rPr>
          <w:lang w:val="zh-CN"/>
        </w:rPr>
      </w:pPr>
      <w:r>
        <w:rPr>
          <w:lang w:val="zh-CN"/>
        </w:rPr>
      </w:r>
      <w:r/>
    </w:p>
    <w:p>
      <w:pPr>
        <w:rPr>
          <w:lang w:val="zh-CN"/>
        </w:rPr>
      </w:pPr>
      <w:r>
        <w:rPr>
          <w:lang w:val="zh-CN"/>
        </w:rPr>
      </w:r>
      <w:r/>
    </w:p>
    <w:p>
      <w:pPr>
        <w:pStyle w:val="868"/>
        <w:rPr>
          <w:lang w:val="zh-CN"/>
        </w:rPr>
      </w:pPr>
      <w:r>
        <w:rPr>
          <w:lang w:val="zh-CN"/>
        </w:rPr>
      </w:r>
      <w:r/>
    </w:p>
    <w:p>
      <w:pPr>
        <w:rPr>
          <w:lang w:val="zh-CN"/>
        </w:rPr>
      </w:pPr>
      <w:r>
        <w:rPr>
          <w:lang w:val="zh-CN"/>
        </w:rPr>
      </w:r>
      <w:r/>
    </w:p>
    <w:p>
      <w:pPr>
        <w:pStyle w:val="841"/>
        <w:ind w:left="0" w:firstLine="0"/>
        <w:jc w:val="center"/>
        <w:rPr>
          <w:rFonts w:ascii="宋体" w:hAnsi="宋体"/>
          <w:b/>
          <w:sz w:val="44"/>
          <w:szCs w:val="22"/>
        </w:rPr>
      </w:pPr>
      <w:r/>
      <w:bookmarkStart w:id="71" w:name="_Toc105397793"/>
      <w:r/>
      <w:bookmarkStart w:id="72" w:name="_Toc4098"/>
      <w:r/>
      <w:bookmarkStart w:id="73" w:name="_Toc23660"/>
      <w:r>
        <w:rPr>
          <w:rFonts w:hint="eastAsia" w:ascii="宋体" w:hAnsi="宋体"/>
          <w:b/>
          <w:sz w:val="44"/>
          <w:szCs w:val="22"/>
        </w:rPr>
        <w:t xml:space="preserve">第四章  </w:t>
      </w:r>
      <w:bookmarkStart w:id="74" w:name="招标书"/>
      <w:r/>
      <w:bookmarkEnd w:id="74"/>
      <w:r>
        <w:rPr>
          <w:rFonts w:hint="eastAsia" w:ascii="宋体" w:hAnsi="宋体"/>
          <w:b/>
          <w:sz w:val="44"/>
          <w:szCs w:val="22"/>
        </w:rPr>
        <w:t xml:space="preserve">招标书</w:t>
      </w:r>
      <w:bookmarkEnd w:id="71"/>
      <w:r/>
      <w:bookmarkEnd w:id="72"/>
      <w:r/>
      <w:bookmarkEnd w:id="73"/>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苏州市公共资源交易中心（苏州市政府集中采购中心）</w:t>
      </w:r>
      <w:r>
        <w:rPr>
          <w:rFonts w:ascii="宋体" w:hAnsi="宋体"/>
          <w:sz w:val="21"/>
        </w:rPr>
        <w:t xml:space="preserve">受</w:t>
      </w:r>
      <w:r>
        <w:rPr>
          <w:rFonts w:hint="eastAsia" w:ascii="宋体" w:hAnsi="宋体"/>
          <w:sz w:val="21"/>
          <w:szCs w:val="21"/>
          <w:u w:val="single"/>
        </w:rPr>
        <w:t xml:space="preserve">中国共产党苏州市委员会台湾工作办公室         </w:t>
      </w:r>
      <w:r>
        <w:rPr>
          <w:rFonts w:ascii="宋体" w:hAnsi="宋体"/>
          <w:sz w:val="21"/>
        </w:rPr>
        <w:t xml:space="preserve">的委托，就</w:t>
      </w:r>
      <w:r>
        <w:rPr>
          <w:rFonts w:hint="eastAsia" w:ascii="宋体" w:hAnsi="宋体"/>
          <w:sz w:val="21"/>
          <w:u w:val="single"/>
        </w:rPr>
        <w:t xml:space="preserve"> </w:t>
      </w:r>
      <w:r>
        <w:rPr>
          <w:rFonts w:hint="eastAsia" w:ascii="宋体" w:hAnsi="宋体"/>
          <w:sz w:val="21"/>
        </w:rPr>
        <w:t xml:space="preserve">“苏台通”智慧服务平台硬件设备购置</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bCs/>
          <w:sz w:val="21"/>
        </w:rPr>
      </w:pPr>
      <w:r>
        <w:rPr>
          <w:rFonts w:hint="eastAsia" w:ascii="宋体" w:hAnsi="宋体"/>
          <w:sz w:val="21"/>
        </w:rPr>
        <w:t xml:space="preserve">一、项目编号：</w:t>
      </w:r>
      <w:r>
        <w:rPr>
          <w:rFonts w:hint="eastAsia" w:ascii="宋体" w:hAnsi="宋体"/>
          <w:bCs/>
          <w:sz w:val="21"/>
        </w:rPr>
        <w:t xml:space="preserve">J</w:t>
      </w:r>
      <w:r>
        <w:rPr>
          <w:rFonts w:ascii="宋体" w:hAnsi="宋体"/>
          <w:bCs/>
          <w:sz w:val="21"/>
        </w:rPr>
        <w:t xml:space="preserve">SZC-320500-JZCG-G2024-0397</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二、项目名称：“苏台通”智慧服务平台硬件设备购置</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sz w:val="21"/>
          <w:szCs w:val="21"/>
        </w:rPr>
        <w:t xml:space="preserve">人民币壹佰万伍仟肆佰贰拾伍元玖角贰分（¥</w:t>
      </w:r>
      <w:r>
        <w:rPr>
          <w:rFonts w:ascii="宋体" w:hAnsi="宋体"/>
          <w:sz w:val="21"/>
          <w:szCs w:val="21"/>
        </w:rPr>
        <w:t xml:space="preserve">1005425</w:t>
      </w:r>
      <w:r>
        <w:rPr>
          <w:rFonts w:hint="eastAsia" w:ascii="宋体" w:hAnsi="宋体"/>
          <w:sz w:val="21"/>
          <w:szCs w:val="21"/>
        </w:rPr>
        <w:t xml:space="preserve">.</w:t>
      </w:r>
      <w:r>
        <w:rPr>
          <w:rFonts w:ascii="宋体" w:hAnsi="宋体"/>
          <w:sz w:val="21"/>
          <w:szCs w:val="21"/>
        </w:rPr>
        <w:t xml:space="preserve">92</w:t>
      </w:r>
      <w:r>
        <w:rPr>
          <w:rFonts w:hint="eastAsia" w:ascii="宋体" w:hAnsi="宋体"/>
          <w:sz w:val="21"/>
          <w:szCs w:val="21"/>
        </w:rPr>
        <w:t xml:space="preserve">元）</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sz w:val="21"/>
          <w:szCs w:val="21"/>
        </w:rPr>
        <w:t xml:space="preserve">人民币壹佰万伍仟肆佰贰拾伍元玖角贰分（¥</w:t>
      </w:r>
      <w:r>
        <w:rPr>
          <w:rFonts w:ascii="宋体" w:hAnsi="宋体"/>
          <w:sz w:val="21"/>
          <w:szCs w:val="21"/>
        </w:rPr>
        <w:t xml:space="preserve">1005425</w:t>
      </w:r>
      <w:r>
        <w:rPr>
          <w:rFonts w:hint="eastAsia" w:ascii="宋体" w:hAnsi="宋体"/>
          <w:sz w:val="21"/>
          <w:szCs w:val="21"/>
        </w:rPr>
        <w:t xml:space="preserve">.</w:t>
      </w:r>
      <w:r>
        <w:rPr>
          <w:rFonts w:ascii="宋体" w:hAnsi="宋体"/>
          <w:sz w:val="21"/>
          <w:szCs w:val="21"/>
        </w:rPr>
        <w:t xml:space="preserve">92</w:t>
      </w:r>
      <w:r>
        <w:rPr>
          <w:rFonts w:hint="eastAsia" w:ascii="宋体" w:hAnsi="宋体"/>
          <w:sz w:val="21"/>
          <w:szCs w:val="21"/>
        </w:rPr>
        <w:t xml:space="preserve">元）</w:t>
      </w:r>
      <w:r/>
    </w:p>
    <w:p>
      <w:pPr>
        <w:ind w:left="0" w:firstLine="420"/>
        <w:spacing w:line="360" w:lineRule="auto"/>
        <w:tabs>
          <w:tab w:val="left" w:pos="420" w:leader="none"/>
        </w:tabs>
        <w:rPr>
          <w:rFonts w:ascii="宋体" w:hAnsi="宋体"/>
          <w:color w:val="ff0000"/>
          <w:sz w:val="21"/>
        </w:rPr>
      </w:pPr>
      <w:r>
        <w:rPr>
          <w:rFonts w:hint="eastAsia" w:ascii="宋体" w:hAnsi="宋体"/>
          <w:sz w:val="21"/>
        </w:rPr>
        <w:t xml:space="preserve">五、合同履行期限：</w:t>
      </w:r>
      <w:r>
        <w:rPr>
          <w:rFonts w:hint="eastAsia" w:ascii="宋体" w:hAnsi="宋体"/>
          <w:sz w:val="21"/>
          <w:szCs w:val="22"/>
        </w:rPr>
        <w:t xml:space="preserve">在合同签订3</w:t>
      </w:r>
      <w:r>
        <w:rPr>
          <w:rFonts w:ascii="宋体" w:hAnsi="宋体"/>
          <w:sz w:val="21"/>
          <w:szCs w:val="22"/>
        </w:rPr>
        <w:t xml:space="preserve">0</w:t>
      </w:r>
      <w:r>
        <w:rPr>
          <w:rFonts w:hint="eastAsia" w:ascii="宋体" w:hAnsi="宋体"/>
          <w:sz w:val="21"/>
          <w:szCs w:val="22"/>
        </w:rPr>
        <w:t xml:space="preserve">天内完成供货、安装</w:t>
      </w:r>
      <w:r>
        <w:rPr>
          <w:rFonts w:hint="eastAsia" w:ascii="宋体" w:hAnsi="宋体"/>
          <w:sz w:val="21"/>
        </w:rPr>
        <w:t xml:space="preserve">，免费质保期1年。</w:t>
      </w:r>
      <w:r/>
    </w:p>
    <w:p>
      <w:pPr>
        <w:ind w:left="0" w:firstLine="420"/>
        <w:spacing w:line="360" w:lineRule="auto"/>
        <w:tabs>
          <w:tab w:val="left" w:pos="420" w:leader="none"/>
        </w:tabs>
        <w:rPr>
          <w:rStyle w:val="906"/>
        </w:rPr>
      </w:pPr>
      <w:r>
        <w:rPr>
          <w:rFonts w:hint="eastAsia" w:ascii="宋体" w:hAnsi="宋体"/>
          <w:sz w:val="21"/>
        </w:rPr>
        <w:t xml:space="preserve">六、招标内容：</w:t>
      </w:r>
      <w:r/>
    </w:p>
    <w:p>
      <w:pPr>
        <w:ind w:left="0" w:firstLine="420"/>
        <w:spacing w:line="360" w:lineRule="auto"/>
        <w:tabs>
          <w:tab w:val="left" w:pos="420" w:leader="none"/>
        </w:tabs>
        <w:rPr>
          <w:sz w:val="21"/>
        </w:rPr>
      </w:pPr>
      <w:r>
        <w:rPr>
          <w:rFonts w:hint="eastAsia"/>
          <w:sz w:val="21"/>
        </w:rPr>
        <w:t xml:space="preserve">（一）项目概况</w:t>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2021年以来，苏州市台办积极响应“数字苏州”建设，聚焦丰富对台服务举措，优化营商环境，打造“亲”“清”政商关系，助推企业发展转型升级、同城待遇应享尽享，全力打造“苏台通”智慧服务平台。为提升“苏台通”智慧服务平台承载能力，需购置配套会议系统硬件承载平台，打造一整套完善的视频会议系统。</w:t>
      </w:r>
      <w:r/>
    </w:p>
    <w:p>
      <w:pPr>
        <w:ind w:left="0" w:firstLine="420"/>
        <w:spacing w:line="360" w:lineRule="auto"/>
        <w:tabs>
          <w:tab w:val="left" w:pos="420" w:leader="none"/>
          <w:tab w:val="left" w:pos="540" w:leader="none"/>
        </w:tabs>
        <w:rPr>
          <w:rFonts w:ascii="宋体" w:hAnsi="宋体"/>
          <w:sz w:val="21"/>
          <w:szCs w:val="22"/>
        </w:rPr>
      </w:pPr>
      <w:r>
        <w:rPr>
          <w:rFonts w:hint="eastAsia" w:ascii="宋体" w:hAnsi="宋体"/>
          <w:sz w:val="21"/>
          <w:szCs w:val="22"/>
        </w:rPr>
        <w:t xml:space="preserve">（二）采购清单：</w:t>
      </w:r>
      <w:r/>
    </w:p>
    <w:tbl>
      <w:tblPr>
        <w:tblpPr w:horzAnchor="page" w:tblpX="1001" w:vertAnchor="text" w:tblpY="320" w:leftFromText="180" w:topFromText="0" w:rightFromText="180" w:bottomFromText="0"/>
        <w:tblW w:w="9854" w:type="dxa"/>
        <w:tblLayout w:type="fixed"/>
        <w:tblLook w:val="04A0" w:firstRow="1" w:lastRow="0" w:firstColumn="1" w:lastColumn="0" w:noHBand="0" w:noVBand="1"/>
      </w:tblPr>
      <w:tblGrid>
        <w:gridCol w:w="426"/>
        <w:gridCol w:w="737"/>
        <w:gridCol w:w="1327"/>
        <w:gridCol w:w="5672"/>
        <w:gridCol w:w="846"/>
        <w:gridCol w:w="846"/>
      </w:tblGrid>
      <w:tr>
        <w:trPr>
          <w:trHeight w:val="288"/>
        </w:trPr>
        <w:tc>
          <w:tcPr>
            <w:shd w:val="clear" w:color="auto" w:fill="auto"/>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73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清单分类</w:t>
            </w:r>
            <w:r/>
          </w:p>
        </w:tc>
        <w:tc>
          <w:tcPr>
            <w:shd w:val="clear" w:color="auto" w:fill="auto"/>
            <w:tcBorders>
              <w:top w:val="single" w:color="auto" w:sz="4" w:space="0"/>
              <w:left w:val="none" w:color="000000" w:sz="4" w:space="0"/>
              <w:bottom w:val="single" w:color="auto" w:sz="4" w:space="0"/>
              <w:right w:val="single" w:color="auto" w:sz="4" w:space="0"/>
            </w:tcBorders>
            <w:tcW w:w="132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设备名称</w:t>
            </w:r>
            <w:r/>
          </w:p>
        </w:tc>
        <w:tc>
          <w:tcPr>
            <w:shd w:val="clear" w:color="auto" w:fill="auto"/>
            <w:tcBorders>
              <w:top w:val="single" w:color="auto" w:sz="4" w:space="0"/>
              <w:left w:val="none" w:color="000000" w:sz="4" w:space="0"/>
              <w:bottom w:val="single" w:color="auto" w:sz="4" w:space="0"/>
              <w:right w:val="single" w:color="auto" w:sz="4" w:space="0"/>
            </w:tcBorders>
            <w:tcW w:w="5672"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技术参数要求</w:t>
            </w:r>
            <w:r/>
          </w:p>
        </w:tc>
        <w:tc>
          <w:tcPr>
            <w:shd w:val="clear" w:color="auto" w:fill="auto"/>
            <w:tcBorders>
              <w:top w:val="single" w:color="auto"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数量</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设备</w:t>
            </w:r>
            <w:r/>
          </w:p>
        </w:tc>
        <w:tc>
          <w:tcPr>
            <w:shd w:val="clear" w:color="auto" w:fill="auto"/>
            <w:tcBorders>
              <w:top w:val="none" w:color="000000" w:sz="4" w:space="0"/>
              <w:left w:val="none" w:color="000000" w:sz="4" w:space="0"/>
              <w:bottom w:val="single" w:color="auto" w:sz="4" w:space="0"/>
              <w:right w:val="single" w:color="auto" w:sz="4" w:space="0"/>
            </w:tcBorders>
            <w:tcW w:w="132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全数字化会议系统主机</w:t>
            </w:r>
            <w:r/>
          </w:p>
        </w:tc>
        <w:tc>
          <w:tcPr>
            <w:shd w:val="clear" w:color="auto" w:fill="auto"/>
            <w:tcBorders>
              <w:top w:val="none" w:color="000000" w:sz="4" w:space="0"/>
              <w:left w:val="none" w:color="000000" w:sz="4" w:space="0"/>
              <w:bottom w:val="single" w:color="auto" w:sz="4" w:space="0"/>
              <w:right w:val="single" w:color="auto" w:sz="4" w:space="0"/>
            </w:tcBorders>
            <w:tcW w:w="5672"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1）具备“环形手拉手”连接功能；</w:t>
            </w:r>
            <w:r>
              <w:rPr>
                <w:rFonts w:hint="eastAsia" w:asciiTheme="majorEastAsia" w:hAnsiTheme="majorEastAsia" w:eastAsiaTheme="majorEastAsia"/>
                <w:sz w:val="21"/>
                <w:szCs w:val="21"/>
              </w:rPr>
              <w:br/>
              <w:t xml:space="preserve">2）具有数字处理和传输技术；</w:t>
            </w:r>
            <w:r>
              <w:rPr>
                <w:rFonts w:hint="eastAsia" w:asciiTheme="majorEastAsia" w:hAnsiTheme="majorEastAsia" w:eastAsiaTheme="majorEastAsia"/>
                <w:sz w:val="21"/>
                <w:szCs w:val="21"/>
              </w:rPr>
              <w:br/>
              <w:t xml:space="preserve">3）可以显示音频信号频谱，通过调整均衡器参数以抑制啸叫；</w:t>
            </w:r>
            <w:r>
              <w:rPr>
                <w:rFonts w:hint="eastAsia" w:asciiTheme="majorEastAsia" w:hAnsiTheme="majorEastAsia" w:eastAsiaTheme="majorEastAsia"/>
                <w:sz w:val="21"/>
                <w:szCs w:val="21"/>
              </w:rPr>
              <w:br/>
              <w:t xml:space="preserve">4）系统主机支持双机热备份功能；</w:t>
            </w:r>
            <w:r>
              <w:rPr>
                <w:rFonts w:hint="eastAsia" w:asciiTheme="majorEastAsia" w:hAnsiTheme="majorEastAsia" w:eastAsiaTheme="majorEastAsia"/>
                <w:sz w:val="21"/>
                <w:szCs w:val="21"/>
              </w:rPr>
              <w:br/>
              <w:t xml:space="preserve">5）≥2路音频线路输入或≥1路音频线路输入+≥1 路麦克风输入，可独立调节各路增益和均衡。其中麦克风输入能够提供+24V幻像电源，可直接连接电容麦克风；</w:t>
            </w:r>
            <w:r>
              <w:rPr>
                <w:rFonts w:hint="eastAsia" w:asciiTheme="majorEastAsia" w:hAnsiTheme="majorEastAsia" w:eastAsiaTheme="majorEastAsia"/>
                <w:sz w:val="21"/>
                <w:szCs w:val="21"/>
              </w:rPr>
              <w:br/>
              <w:t xml:space="preserve">6）系统主机可以独立调节每只话筒的增益和均衡（≥5段），可针对不同的发言者声音特点调节不同的音量和频响；</w:t>
            </w:r>
            <w:r>
              <w:rPr>
                <w:rFonts w:hint="eastAsia" w:asciiTheme="majorEastAsia" w:hAnsiTheme="majorEastAsia" w:eastAsiaTheme="majorEastAsia"/>
                <w:sz w:val="21"/>
                <w:szCs w:val="21"/>
              </w:rPr>
              <w:br/>
              <w:t xml:space="preserve">7）★系统主机内置高通滤波器低切开关，方便在需要时切去声音中的低频成分；</w:t>
            </w:r>
            <w:r>
              <w:rPr>
                <w:rFonts w:hint="eastAsia" w:asciiTheme="majorEastAsia" w:hAnsiTheme="majorEastAsia" w:eastAsiaTheme="majorEastAsia"/>
                <w:sz w:val="21"/>
                <w:szCs w:val="21"/>
              </w:rPr>
              <w:br/>
              <w:t xml:space="preserve">8）★系统主机具备USB接口，可用于系统升级和系统设置参数备份，系统设置参数可用U盘拷贝；</w:t>
            </w:r>
            <w:r>
              <w:rPr>
                <w:rFonts w:hint="eastAsia" w:asciiTheme="majorEastAsia" w:hAnsiTheme="majorEastAsia" w:eastAsiaTheme="majorEastAsia"/>
                <w:sz w:val="21"/>
                <w:szCs w:val="21"/>
              </w:rPr>
              <w:br/>
              <w:t xml:space="preserve">9）★系统主机具有软开关按键和机械开关按键，软开关按键关机需多重确认且可通过网络UDP的方式控制主机关机；</w:t>
            </w:r>
            <w:r>
              <w:rPr>
                <w:rFonts w:hint="eastAsia" w:asciiTheme="majorEastAsia" w:hAnsiTheme="majorEastAsia" w:eastAsiaTheme="majorEastAsia"/>
                <w:sz w:val="21"/>
                <w:szCs w:val="21"/>
              </w:rPr>
              <w:br/>
              <w:t xml:space="preserve">10）系统具有自动修复功能，支持线路的“热插拔”；</w:t>
            </w:r>
            <w:r>
              <w:rPr>
                <w:rFonts w:hint="eastAsia" w:asciiTheme="majorEastAsia" w:hAnsiTheme="majorEastAsia" w:eastAsiaTheme="majorEastAsia"/>
                <w:sz w:val="21"/>
                <w:szCs w:val="21"/>
              </w:rPr>
              <w:br/>
            </w:r>
            <w:r>
              <w:rPr>
                <w:rFonts w:hint="eastAsia" w:asciiTheme="majorEastAsia" w:hAnsiTheme="majorEastAsia" w:eastAsiaTheme="majorEastAsia"/>
                <w:sz w:val="21"/>
                <w:szCs w:val="21"/>
              </w:rPr>
              <w:t xml:space="preserve">11）频率响应：低频≤30Hz，高频≥20000Hz；</w:t>
            </w:r>
            <w:r>
              <w:rPr>
                <w:rFonts w:hint="eastAsia" w:asciiTheme="majorEastAsia" w:hAnsiTheme="majorEastAsia" w:eastAsiaTheme="majorEastAsia"/>
                <w:sz w:val="21"/>
                <w:szCs w:val="21"/>
              </w:rPr>
              <w:br/>
              <w:t xml:space="preserve">12）总谐波失真 ≤0.05%。</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1.00</w:t>
            </w:r>
            <w:r/>
          </w:p>
        </w:tc>
      </w:tr>
      <w:tr>
        <w:trPr>
          <w:trHeight w:val="5760"/>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设备</w:t>
            </w:r>
            <w:r/>
          </w:p>
        </w:tc>
        <w:tc>
          <w:tcPr>
            <w:shd w:val="clear" w:color="auto" w:fill="auto"/>
            <w:tcBorders>
              <w:top w:val="none" w:color="000000" w:sz="4" w:space="0"/>
              <w:left w:val="none" w:color="000000" w:sz="4" w:space="0"/>
              <w:bottom w:val="single" w:color="auto" w:sz="4" w:space="0"/>
              <w:right w:val="single" w:color="auto" w:sz="4" w:space="0"/>
            </w:tcBorders>
            <w:tcW w:w="132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话筒控制定制软件模块</w:t>
            </w:r>
            <w:r/>
          </w:p>
        </w:tc>
        <w:tc>
          <w:tcPr>
            <w:shd w:val="clear" w:color="auto" w:fill="auto"/>
            <w:tcBorders>
              <w:top w:val="none" w:color="000000" w:sz="4" w:space="0"/>
              <w:left w:val="none" w:color="000000" w:sz="4" w:space="0"/>
              <w:bottom w:val="single" w:color="auto" w:sz="4" w:space="0"/>
              <w:right w:val="single" w:color="auto" w:sz="4" w:space="0"/>
            </w:tcBorders>
            <w:tcW w:w="5672"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软件运行平台：Windows 7/10/11</w:t>
            </w:r>
            <w:r>
              <w:rPr>
                <w:rFonts w:hint="eastAsia" w:asciiTheme="majorEastAsia" w:hAnsiTheme="majorEastAsia" w:eastAsiaTheme="majorEastAsia"/>
                <w:sz w:val="21"/>
                <w:szCs w:val="21"/>
              </w:rPr>
              <w:br/>
              <w:t xml:space="preserve">基础设置部分：</w:t>
            </w:r>
            <w:r>
              <w:rPr>
                <w:rFonts w:hint="eastAsia" w:asciiTheme="majorEastAsia" w:hAnsiTheme="majorEastAsia" w:eastAsiaTheme="majorEastAsia"/>
                <w:sz w:val="21"/>
                <w:szCs w:val="21"/>
              </w:rPr>
              <w:br/>
              <w:t xml:space="preserve">1）具备会场设计功能：按照会场的实际布局，将会场的座位排列情况描述出来，形成直观的、图形化可控制界面；</w:t>
            </w:r>
            <w:r>
              <w:rPr>
                <w:rFonts w:hint="eastAsia" w:asciiTheme="majorEastAsia" w:hAnsiTheme="majorEastAsia" w:eastAsiaTheme="majorEastAsia"/>
                <w:sz w:val="21"/>
                <w:szCs w:val="21"/>
              </w:rPr>
              <w:br/>
              <w:t xml:space="preserve">2）具备主机设置功能：包括系统主机状态及主机参数设置，可对话筒参数及其他参数设置；</w:t>
            </w:r>
            <w:r>
              <w:rPr>
                <w:rFonts w:hint="eastAsia" w:asciiTheme="majorEastAsia" w:hAnsiTheme="majorEastAsia" w:eastAsiaTheme="majorEastAsia"/>
                <w:sz w:val="21"/>
                <w:szCs w:val="21"/>
              </w:rPr>
              <w:br/>
              <w:t xml:space="preserve">3）具备会议管理功能：对会议名称和会议日程等相关信息管理，可以自由地选择会议日程进行管理和会议日程切换；</w:t>
            </w:r>
            <w:r>
              <w:rPr>
                <w:rFonts w:hint="eastAsia" w:asciiTheme="majorEastAsia" w:hAnsiTheme="majorEastAsia" w:eastAsiaTheme="majorEastAsia"/>
                <w:sz w:val="21"/>
                <w:szCs w:val="21"/>
              </w:rPr>
              <w:br/>
              <w:t xml:space="preserve">4）具备分级设置功能：具备管理员权限的用户可以通过软件，对会议单元的内部参数进行设定；</w:t>
            </w:r>
            <w:r>
              <w:rPr>
                <w:rFonts w:hint="eastAsia" w:asciiTheme="majorEastAsia" w:hAnsiTheme="majorEastAsia" w:eastAsiaTheme="majorEastAsia"/>
                <w:sz w:val="21"/>
                <w:szCs w:val="21"/>
              </w:rPr>
              <w:br/>
              <w:t xml:space="preserve">5）具备信息显示功能：可以编写、发送、查看短信息，可以管理大屏幕显示设置，包括屏幕方案设置、屏幕显示页面定义和编辑、会议事件映射页面设置、屏幕别名设置等；</w:t>
            </w:r>
            <w:r>
              <w:rPr>
                <w:rFonts w:hint="eastAsia" w:asciiTheme="majorEastAsia" w:hAnsiTheme="majorEastAsia" w:eastAsiaTheme="majorEastAsia"/>
                <w:sz w:val="21"/>
                <w:szCs w:val="21"/>
              </w:rPr>
              <w:br/>
              <w:t xml:space="preserve">6）具备系统检测功能：在线检测话筒、单元按键和测试音；</w:t>
            </w:r>
            <w:r>
              <w:rPr>
                <w:rFonts w:hint="eastAsia" w:asciiTheme="majorEastAsia" w:hAnsiTheme="majorEastAsia" w:eastAsiaTheme="majorEastAsia"/>
                <w:sz w:val="21"/>
                <w:szCs w:val="21"/>
              </w:rPr>
              <w:br/>
              <w:t xml:space="preserve">7）具备报表系统功能：可通过软件将会议资料信息进行保存或打印输出；</w:t>
            </w:r>
            <w:r>
              <w:rPr>
                <w:rFonts w:hint="eastAsia" w:asciiTheme="majorEastAsia" w:hAnsiTheme="majorEastAsia" w:eastAsiaTheme="majorEastAsia"/>
                <w:sz w:val="21"/>
                <w:szCs w:val="21"/>
              </w:rPr>
              <w:br/>
              <w:t xml:space="preserve">8）具备用户管理功能：新建、修改及删除用户等操作，允许不同的操作人员拥有不同的操作权限</w:t>
            </w:r>
            <w:r>
              <w:rPr>
                <w:rFonts w:hint="eastAsia" w:asciiTheme="majorEastAsia" w:hAnsiTheme="majorEastAsia" w:eastAsiaTheme="majorEastAsia"/>
                <w:sz w:val="21"/>
                <w:szCs w:val="21"/>
              </w:rPr>
              <w:br/>
              <w:t xml:space="preserve">话筒控制部分：</w:t>
            </w:r>
            <w:r>
              <w:rPr>
                <w:rFonts w:hint="eastAsia" w:asciiTheme="majorEastAsia" w:hAnsiTheme="majorEastAsia" w:eastAsiaTheme="majorEastAsia"/>
                <w:sz w:val="21"/>
                <w:szCs w:val="21"/>
              </w:rPr>
              <w:br/>
              <w:t xml:space="preserve">1）排位管理：支持人员排位、分区排位、单元排位、个人排位清除、单元清除、单元定位操作功能</w:t>
            </w:r>
            <w:r>
              <w:rPr>
                <w:rFonts w:hint="eastAsia" w:asciiTheme="majorEastAsia" w:hAnsiTheme="majorEastAsia" w:eastAsiaTheme="majorEastAsia"/>
                <w:sz w:val="21"/>
                <w:szCs w:val="21"/>
              </w:rPr>
              <w:br/>
              <w:t xml:space="preserve">2）人员管理：包括人员信息、与会代表及人员权限子模块，支持建立和管理人员的数据库信息，编辑人员身份信息：如编号、姓名、性别、类型、表决权重、民族、语言、单位、职务、党派、代表团、组别、是否团长、是否主席团成员等，并可加载个人照片，支持自定义分组，可以对与会人员进行分组管理，可按分组或代表类型查看人员清单，可设置代表权限</w:t>
            </w:r>
            <w:r>
              <w:rPr>
                <w:rFonts w:hint="eastAsia" w:asciiTheme="majorEastAsia" w:hAnsiTheme="majorEastAsia" w:eastAsiaTheme="majorEastAsia"/>
                <w:sz w:val="21"/>
                <w:szCs w:val="21"/>
              </w:rPr>
              <w:br/>
              <w:t xml:space="preserve">3）话筒控制功能：结合会场设计、人员管理、会议管理、排位管理等模块，可实现话筒的实时监视与控制，支持控制单个话筒的开启或关闭，并可一次性关闭所有开启的话筒，支持控制单个代表发言申请的同意或否决，并可一次性拒绝所有代表的发言申请，支持代表发言的定时控制，配合录音软件模块对发言代表的录音和保存，可在大屏幕上显示发言代表的详细信息，可为会议发言单元设置摄像机预置位，配合摄像机自动跟踪系统，可实时将发言者图像显示到大屏幕上</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1.00</w:t>
            </w:r>
            <w:r/>
          </w:p>
        </w:tc>
      </w:tr>
      <w:tr>
        <w:trPr>
          <w:trHeight w:val="2304"/>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设备</w:t>
            </w:r>
            <w:r/>
          </w:p>
        </w:tc>
        <w:tc>
          <w:tcPr>
            <w:shd w:val="clear" w:color="auto" w:fill="auto"/>
            <w:tcBorders>
              <w:top w:val="none" w:color="000000" w:sz="4" w:space="0"/>
              <w:left w:val="none" w:color="000000" w:sz="4" w:space="0"/>
              <w:bottom w:val="single" w:color="auto" w:sz="4" w:space="0"/>
              <w:right w:val="single" w:color="auto" w:sz="4" w:space="0"/>
            </w:tcBorders>
            <w:tcW w:w="132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台面式全数字化会议系统主席单元</w:t>
            </w:r>
            <w:r/>
          </w:p>
        </w:tc>
        <w:tc>
          <w:tcPr>
            <w:shd w:val="clear" w:color="auto" w:fill="auto"/>
            <w:tcBorders>
              <w:top w:val="none" w:color="000000" w:sz="4" w:space="0"/>
              <w:left w:val="none" w:color="000000" w:sz="4" w:space="0"/>
              <w:bottom w:val="single" w:color="auto" w:sz="4" w:space="0"/>
              <w:right w:val="single" w:color="auto" w:sz="4" w:space="0"/>
            </w:tcBorders>
            <w:tcW w:w="5672"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1)台面式安装方式，具有发言功能；</w:t>
            </w:r>
            <w:r>
              <w:rPr>
                <w:rFonts w:hint="eastAsia" w:asciiTheme="majorEastAsia" w:hAnsiTheme="majorEastAsia" w:eastAsiaTheme="majorEastAsia"/>
                <w:sz w:val="21"/>
                <w:szCs w:val="21"/>
              </w:rPr>
              <w:br/>
              <w:t xml:space="preserve">2)内置高通滤波器（低切开关)</w:t>
            </w:r>
            <w:r>
              <w:rPr>
                <w:rFonts w:hint="eastAsia" w:asciiTheme="majorEastAsia" w:hAnsiTheme="majorEastAsia" w:eastAsiaTheme="majorEastAsia"/>
                <w:sz w:val="21"/>
                <w:szCs w:val="21"/>
              </w:rPr>
              <w:br/>
              <w:t xml:space="preserve">3)支持线路的“热插拔”；</w:t>
            </w:r>
            <w:r>
              <w:rPr>
                <w:rFonts w:hint="eastAsia" w:asciiTheme="majorEastAsia" w:hAnsiTheme="majorEastAsia" w:eastAsiaTheme="majorEastAsia"/>
                <w:sz w:val="21"/>
                <w:szCs w:val="21"/>
              </w:rPr>
              <w:br/>
              <w:t xml:space="preserve">4)超强抗手机干扰能力；</w:t>
            </w:r>
            <w:r>
              <w:rPr>
                <w:rFonts w:hint="eastAsia" w:asciiTheme="majorEastAsia" w:hAnsiTheme="majorEastAsia" w:eastAsiaTheme="majorEastAsia"/>
                <w:sz w:val="21"/>
                <w:szCs w:val="21"/>
              </w:rPr>
              <w:br/>
              <w:t xml:space="preserve">5)全金属方柱型话筒，俯仰角度可调；</w:t>
            </w:r>
            <w:r>
              <w:rPr>
                <w:rFonts w:hint="eastAsia" w:asciiTheme="majorEastAsia" w:hAnsiTheme="majorEastAsia" w:eastAsiaTheme="majorEastAsia"/>
                <w:sz w:val="21"/>
                <w:szCs w:val="21"/>
              </w:rPr>
              <w:br/>
              <w:t xml:space="preserve">6）灵敏度 ≥-37 dBV/Pa；</w:t>
            </w:r>
            <w:r>
              <w:rPr>
                <w:rFonts w:hint="eastAsia" w:asciiTheme="majorEastAsia" w:hAnsiTheme="majorEastAsia" w:eastAsiaTheme="majorEastAsia"/>
                <w:sz w:val="21"/>
                <w:szCs w:val="21"/>
              </w:rPr>
              <w:br/>
              <w:t xml:space="preserve">7)声压级 ≥137dB；</w:t>
            </w:r>
            <w:r>
              <w:rPr>
                <w:rFonts w:hint="eastAsia" w:asciiTheme="majorEastAsia" w:hAnsiTheme="majorEastAsia" w:eastAsiaTheme="majorEastAsia"/>
                <w:sz w:val="21"/>
                <w:szCs w:val="21"/>
              </w:rPr>
              <w:br/>
              <w:t xml:space="preserve">8）输出频率响应不低于20Hz ~ 20 kHz。</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1.00</w:t>
            </w:r>
            <w:r/>
          </w:p>
        </w:tc>
      </w:tr>
      <w:tr>
        <w:trPr>
          <w:trHeight w:val="2304"/>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设备</w:t>
            </w:r>
            <w:r/>
          </w:p>
        </w:tc>
        <w:tc>
          <w:tcPr>
            <w:shd w:val="clear" w:color="auto" w:fill="auto"/>
            <w:tcBorders>
              <w:top w:val="none" w:color="000000" w:sz="4" w:space="0"/>
              <w:left w:val="none" w:color="000000" w:sz="4" w:space="0"/>
              <w:bottom w:val="single" w:color="auto" w:sz="4" w:space="0"/>
              <w:right w:val="single" w:color="auto" w:sz="4" w:space="0"/>
            </w:tcBorders>
            <w:tcW w:w="132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台面式全数字化会议系统代表单元</w:t>
            </w:r>
            <w:r/>
          </w:p>
        </w:tc>
        <w:tc>
          <w:tcPr>
            <w:shd w:val="clear" w:color="auto" w:fill="auto"/>
            <w:tcBorders>
              <w:top w:val="none" w:color="000000" w:sz="4" w:space="0"/>
              <w:left w:val="none" w:color="000000" w:sz="4" w:space="0"/>
              <w:bottom w:val="single" w:color="auto" w:sz="4" w:space="0"/>
              <w:right w:val="single" w:color="auto" w:sz="4" w:space="0"/>
            </w:tcBorders>
            <w:tcW w:w="5672"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1)台面式安装方式，具有发言功能；</w:t>
            </w:r>
            <w:r>
              <w:rPr>
                <w:rFonts w:hint="eastAsia" w:asciiTheme="majorEastAsia" w:hAnsiTheme="majorEastAsia" w:eastAsiaTheme="majorEastAsia"/>
                <w:sz w:val="21"/>
                <w:szCs w:val="21"/>
              </w:rPr>
              <w:br/>
              <w:t xml:space="preserve">2)内置高通滤波器（低切开关)</w:t>
            </w:r>
            <w:r>
              <w:rPr>
                <w:rFonts w:hint="eastAsia" w:asciiTheme="majorEastAsia" w:hAnsiTheme="majorEastAsia" w:eastAsiaTheme="majorEastAsia"/>
                <w:sz w:val="21"/>
                <w:szCs w:val="21"/>
              </w:rPr>
              <w:br/>
              <w:t xml:space="preserve">3)支持线路的“热插拔”；</w:t>
            </w:r>
            <w:r>
              <w:rPr>
                <w:rFonts w:hint="eastAsia" w:asciiTheme="majorEastAsia" w:hAnsiTheme="majorEastAsia" w:eastAsiaTheme="majorEastAsia"/>
                <w:sz w:val="21"/>
                <w:szCs w:val="21"/>
              </w:rPr>
              <w:br/>
              <w:t xml:space="preserve">4)超强抗手机干扰能力；</w:t>
            </w:r>
            <w:r>
              <w:rPr>
                <w:rFonts w:hint="eastAsia" w:asciiTheme="majorEastAsia" w:hAnsiTheme="majorEastAsia" w:eastAsiaTheme="majorEastAsia"/>
                <w:sz w:val="21"/>
                <w:szCs w:val="21"/>
              </w:rPr>
              <w:br/>
              <w:t xml:space="preserve">5)★全金属方柱型话筒，俯仰角度可调；</w:t>
            </w:r>
            <w:r>
              <w:rPr>
                <w:rFonts w:hint="eastAsia" w:asciiTheme="majorEastAsia" w:hAnsiTheme="majorEastAsia" w:eastAsiaTheme="majorEastAsia"/>
                <w:sz w:val="21"/>
                <w:szCs w:val="21"/>
              </w:rPr>
              <w:br/>
              <w:t xml:space="preserve">6）灵敏度 ≥-37 dBV/Pa；</w:t>
            </w:r>
            <w:r>
              <w:rPr>
                <w:rFonts w:hint="eastAsia" w:asciiTheme="majorEastAsia" w:hAnsiTheme="majorEastAsia" w:eastAsiaTheme="majorEastAsia"/>
                <w:sz w:val="21"/>
                <w:szCs w:val="21"/>
              </w:rPr>
              <w:br/>
              <w:t xml:space="preserve">7)声压级 ≥139dB；</w:t>
            </w:r>
            <w:r>
              <w:rPr>
                <w:rFonts w:hint="eastAsia" w:asciiTheme="majorEastAsia" w:hAnsiTheme="majorEastAsia" w:eastAsiaTheme="majorEastAsia"/>
                <w:sz w:val="21"/>
                <w:szCs w:val="21"/>
              </w:rPr>
              <w:br/>
              <w:t xml:space="preserve">8）输出频率响应不低于20Hz ~ 20 kHz。</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11.00</w:t>
            </w:r>
            <w:r/>
          </w:p>
        </w:tc>
      </w:tr>
      <w:tr>
        <w:trPr>
          <w:trHeight w:val="864"/>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主材</w:t>
            </w:r>
            <w:r/>
          </w:p>
        </w:tc>
        <w:tc>
          <w:tcPr>
            <w:shd w:val="clear" w:color="auto" w:fill="auto"/>
            <w:tcBorders>
              <w:top w:val="none" w:color="000000" w:sz="4" w:space="0"/>
              <w:left w:val="none" w:color="000000" w:sz="4" w:space="0"/>
              <w:bottom w:val="single" w:color="auto" w:sz="4" w:space="0"/>
              <w:right w:val="single" w:color="auto" w:sz="4" w:space="0"/>
            </w:tcBorders>
            <w:tcW w:w="132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6芯20米延长电缆一公一母</w:t>
            </w:r>
            <w:r/>
          </w:p>
        </w:tc>
        <w:tc>
          <w:tcPr>
            <w:shd w:val="clear" w:color="auto" w:fill="auto"/>
            <w:tcBorders>
              <w:top w:val="none" w:color="000000" w:sz="4" w:space="0"/>
              <w:left w:val="none" w:color="000000" w:sz="4" w:space="0"/>
              <w:bottom w:val="single" w:color="auto" w:sz="4" w:space="0"/>
              <w:right w:val="single" w:color="auto" w:sz="4" w:space="0"/>
            </w:tcBorders>
            <w:tcW w:w="5672"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1）用于系统主机与会议单元延长连接线，≥20米</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条</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1.00</w:t>
            </w:r>
            <w:r/>
          </w:p>
        </w:tc>
      </w:tr>
      <w:tr>
        <w:trPr>
          <w:trHeight w:val="3456"/>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设备</w:t>
            </w:r>
            <w:r/>
          </w:p>
        </w:tc>
        <w:tc>
          <w:tcPr>
            <w:shd w:val="clear" w:color="auto" w:fill="auto"/>
            <w:tcBorders>
              <w:top w:val="none" w:color="000000" w:sz="4" w:space="0"/>
              <w:left w:val="none" w:color="000000" w:sz="4" w:space="0"/>
              <w:bottom w:val="single" w:color="auto" w:sz="4" w:space="0"/>
              <w:right w:val="single" w:color="auto" w:sz="4" w:space="0"/>
            </w:tcBorders>
            <w:tcW w:w="132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智能会议升降一体终端</w:t>
            </w:r>
            <w:r/>
          </w:p>
        </w:tc>
        <w:tc>
          <w:tcPr>
            <w:shd w:val="clear" w:color="auto" w:fill="auto"/>
            <w:tcBorders>
              <w:top w:val="none" w:color="000000" w:sz="4" w:space="0"/>
              <w:left w:val="none" w:color="000000" w:sz="4" w:space="0"/>
              <w:bottom w:val="single" w:color="auto" w:sz="4" w:space="0"/>
              <w:right w:val="single" w:color="auto" w:sz="4" w:space="0"/>
            </w:tcBorders>
            <w:tcW w:w="5672"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1）设备采用铝合金结构，优质铝材加上CNC精雕加工，表面处理为阳极氧化处理</w:t>
            </w:r>
            <w:r>
              <w:rPr>
                <w:rFonts w:hint="eastAsia" w:asciiTheme="majorEastAsia" w:hAnsiTheme="majorEastAsia" w:eastAsiaTheme="majorEastAsia"/>
                <w:sz w:val="21"/>
                <w:szCs w:val="21"/>
              </w:rPr>
              <w:br/>
              <w:t xml:space="preserve">2）升降时间≤20S</w:t>
            </w:r>
            <w:r>
              <w:rPr>
                <w:rFonts w:hint="eastAsia" w:asciiTheme="majorEastAsia" w:hAnsiTheme="majorEastAsia" w:eastAsiaTheme="majorEastAsia"/>
                <w:sz w:val="21"/>
                <w:szCs w:val="21"/>
              </w:rPr>
              <w:br/>
              <w:t xml:space="preserve">3）仰角角度≥0-28°</w:t>
            </w:r>
            <w:r>
              <w:rPr>
                <w:rFonts w:hint="eastAsia" w:asciiTheme="majorEastAsia" w:hAnsiTheme="majorEastAsia" w:eastAsiaTheme="majorEastAsia"/>
                <w:sz w:val="21"/>
                <w:szCs w:val="21"/>
              </w:rPr>
              <w:br/>
              <w:t xml:space="preserve">4）视频接口:≥1路VGA输入、≥1路HDMI输入</w:t>
            </w:r>
            <w:r>
              <w:rPr>
                <w:rFonts w:hint="eastAsia" w:asciiTheme="majorEastAsia" w:hAnsiTheme="majorEastAsia" w:eastAsiaTheme="majorEastAsia"/>
                <w:sz w:val="21"/>
                <w:szCs w:val="21"/>
              </w:rPr>
              <w:br/>
              <w:t xml:space="preserve">5）控制接口:≥1组RJ45（232/485）控制显示屏升降输入输出接口；≥1路开/关机USB接口，≥1路数据传输USB接口；</w:t>
            </w:r>
            <w:r>
              <w:rPr>
                <w:rFonts w:hint="eastAsia" w:asciiTheme="majorEastAsia" w:hAnsiTheme="majorEastAsia" w:eastAsiaTheme="majorEastAsia"/>
                <w:sz w:val="21"/>
                <w:szCs w:val="21"/>
              </w:rPr>
              <w:br/>
              <w:t xml:space="preserve">6）≥15.6" IPS屏幕；</w:t>
            </w:r>
            <w:r>
              <w:rPr>
                <w:rFonts w:hint="eastAsia" w:asciiTheme="majorEastAsia" w:hAnsiTheme="majorEastAsia" w:eastAsiaTheme="majorEastAsia"/>
                <w:sz w:val="21"/>
                <w:szCs w:val="21"/>
              </w:rPr>
              <w:br/>
              <w:t xml:space="preserve">7）屏幕分辨率:≥1920*1080dpi</w:t>
            </w:r>
            <w:r>
              <w:rPr>
                <w:rFonts w:hint="eastAsia" w:asciiTheme="majorEastAsia" w:hAnsiTheme="majorEastAsia" w:eastAsiaTheme="majorEastAsia"/>
                <w:sz w:val="21"/>
                <w:szCs w:val="21"/>
              </w:rPr>
              <w:br/>
              <w:t xml:space="preserve">8）屏幕比例:16:9</w:t>
            </w:r>
            <w:r>
              <w:rPr>
                <w:rFonts w:hint="eastAsia" w:asciiTheme="majorEastAsia" w:hAnsiTheme="majorEastAsia" w:eastAsiaTheme="majorEastAsia"/>
                <w:sz w:val="21"/>
                <w:szCs w:val="21"/>
              </w:rPr>
              <w:br/>
              <w:t xml:space="preserve">9）对比度≥800:1</w:t>
            </w:r>
            <w:r>
              <w:rPr>
                <w:rFonts w:hint="eastAsia" w:asciiTheme="majorEastAsia" w:hAnsiTheme="majorEastAsia" w:eastAsiaTheme="majorEastAsia"/>
                <w:sz w:val="21"/>
                <w:szCs w:val="21"/>
              </w:rPr>
              <w:br/>
              <w:t xml:space="preserve">10）亮度:≥250cd/㎡</w:t>
            </w:r>
            <w:r>
              <w:rPr>
                <w:rFonts w:hint="eastAsia" w:asciiTheme="majorEastAsia" w:hAnsiTheme="majorEastAsia" w:eastAsiaTheme="majorEastAsia"/>
                <w:sz w:val="21"/>
                <w:szCs w:val="21"/>
              </w:rPr>
              <w:br/>
              <w:t xml:space="preserve">11）可视区域（MM）:≥344(H) ×193(V)；</w:t>
            </w:r>
            <w:r>
              <w:rPr>
                <w:rFonts w:hint="eastAsia" w:asciiTheme="majorEastAsia" w:hAnsiTheme="majorEastAsia" w:eastAsiaTheme="majorEastAsia"/>
                <w:sz w:val="21"/>
                <w:szCs w:val="21"/>
              </w:rPr>
              <w:br/>
              <w:t xml:space="preserve">12）显示屏厚度:≤9MM</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12.00</w:t>
            </w:r>
            <w:r/>
          </w:p>
        </w:tc>
      </w:tr>
      <w:tr>
        <w:trPr>
          <w:trHeight w:val="864"/>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设备</w:t>
            </w:r>
            <w:r/>
          </w:p>
        </w:tc>
        <w:tc>
          <w:tcPr>
            <w:shd w:val="clear" w:color="auto" w:fill="auto"/>
            <w:tcBorders>
              <w:top w:val="none" w:color="000000" w:sz="4" w:space="0"/>
              <w:left w:val="none" w:color="000000" w:sz="4" w:space="0"/>
              <w:bottom w:val="single" w:color="auto" w:sz="4" w:space="0"/>
              <w:right w:val="single" w:color="auto" w:sz="4" w:space="0"/>
            </w:tcBorders>
            <w:tcW w:w="132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12路调音台</w:t>
            </w:r>
            <w:r/>
          </w:p>
        </w:tc>
        <w:tc>
          <w:tcPr>
            <w:shd w:val="clear" w:color="auto" w:fill="auto"/>
            <w:tcBorders>
              <w:top w:val="none" w:color="000000" w:sz="4" w:space="0"/>
              <w:left w:val="none" w:color="000000" w:sz="4" w:space="0"/>
              <w:bottom w:val="single" w:color="auto" w:sz="4" w:space="0"/>
              <w:right w:val="single" w:color="auto" w:sz="4" w:space="0"/>
            </w:tcBorders>
            <w:tcW w:w="5672"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1）≥6个话筒 / 12个线路输入 （≥4个单声道 + ≥4个立体声）,≥2编组母线 ≥1立体声母线,≥2AUX输出。</w:t>
            </w:r>
            <w:r>
              <w:rPr>
                <w:rFonts w:hint="eastAsia" w:asciiTheme="majorEastAsia" w:hAnsiTheme="majorEastAsia" w:eastAsiaTheme="majorEastAsia"/>
                <w:sz w:val="21"/>
                <w:szCs w:val="21"/>
              </w:rPr>
              <w:br/>
              <w:t xml:space="preserve">2）单旋钮压缩器,</w:t>
            </w:r>
            <w:r>
              <w:rPr>
                <w:rFonts w:hint="eastAsia" w:asciiTheme="majorEastAsia" w:hAnsiTheme="majorEastAsia" w:eastAsiaTheme="majorEastAsia"/>
                <w:sz w:val="21"/>
                <w:szCs w:val="21"/>
              </w:rPr>
              <w:br/>
              <w:t xml:space="preserve">3）+48V幻象供电</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1.00</w:t>
            </w:r>
            <w:r/>
          </w:p>
        </w:tc>
      </w:tr>
      <w:tr>
        <w:trPr>
          <w:trHeight w:val="1776"/>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设备</w:t>
            </w:r>
            <w:r/>
          </w:p>
        </w:tc>
        <w:tc>
          <w:tcPr>
            <w:shd w:val="clear" w:color="auto" w:fill="auto"/>
            <w:tcBorders>
              <w:top w:val="none" w:color="000000" w:sz="4" w:space="0"/>
              <w:left w:val="none" w:color="000000" w:sz="4" w:space="0"/>
              <w:bottom w:val="single" w:color="auto" w:sz="4" w:space="0"/>
              <w:right w:val="single" w:color="auto" w:sz="4" w:space="0"/>
            </w:tcBorders>
            <w:tcW w:w="132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数字音频处理器</w:t>
            </w:r>
            <w:r/>
          </w:p>
        </w:tc>
        <w:tc>
          <w:tcPr>
            <w:shd w:val="clear" w:color="auto" w:fill="auto"/>
            <w:tcBorders>
              <w:top w:val="none" w:color="000000" w:sz="4" w:space="0"/>
              <w:left w:val="none" w:color="000000" w:sz="4" w:space="0"/>
              <w:bottom w:val="single" w:color="auto" w:sz="4" w:space="0"/>
              <w:right w:val="single" w:color="auto" w:sz="4" w:space="0"/>
            </w:tcBorders>
            <w:tcW w:w="5672"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1）≥4路平衡式话筒\线路输入，≥4路平衡式音频输出，采用凤凰插接口或卡侬接口；</w:t>
            </w:r>
            <w:r>
              <w:rPr>
                <w:rFonts w:hint="eastAsia" w:asciiTheme="majorEastAsia" w:hAnsiTheme="majorEastAsia" w:eastAsiaTheme="majorEastAsia"/>
                <w:sz w:val="21"/>
                <w:szCs w:val="21"/>
              </w:rPr>
              <w:br/>
              <w:t xml:space="preserve">2）内置USB声卡，连接电脑可实现音频信号的传输，支持录播和远程会议；</w:t>
            </w:r>
            <w:r>
              <w:rPr>
                <w:rFonts w:hint="eastAsia" w:asciiTheme="majorEastAsia" w:hAnsiTheme="majorEastAsia" w:eastAsiaTheme="majorEastAsia"/>
                <w:sz w:val="21"/>
                <w:szCs w:val="21"/>
              </w:rPr>
              <w:br/>
              <w:t xml:space="preserve">3）提供终端用户作界面，实现多台设备集中控制，可通过本机的UDP、RS232、RS485控制第三方设备；</w:t>
            </w:r>
            <w:r>
              <w:rPr>
                <w:rFonts w:hint="eastAsia" w:asciiTheme="majorEastAsia" w:hAnsiTheme="majorEastAsia" w:eastAsiaTheme="majorEastAsia"/>
                <w:sz w:val="21"/>
                <w:szCs w:val="21"/>
              </w:rPr>
              <w:br/>
              <w:t xml:space="preserve">4）具备AFC（反馈抑制） AEC回声消除、ANS（噪声抑制）、AGC（自动増益）増益共享门限自动混音处理模块；</w:t>
            </w:r>
            <w:r>
              <w:rPr>
                <w:rFonts w:hint="eastAsia" w:asciiTheme="majorEastAsia" w:hAnsiTheme="majorEastAsia" w:eastAsiaTheme="majorEastAsia"/>
                <w:sz w:val="21"/>
                <w:szCs w:val="21"/>
              </w:rPr>
              <w:br/>
              <w:t xml:space="preserve">5）每通道拥有独立的自适应反馈抑制，自动发现反馈点，并自动抑制；</w:t>
            </w:r>
            <w:r>
              <w:rPr>
                <w:rFonts w:hint="eastAsia" w:asciiTheme="majorEastAsia" w:hAnsiTheme="majorEastAsia" w:eastAsiaTheme="majorEastAsia"/>
                <w:sz w:val="21"/>
                <w:szCs w:val="21"/>
              </w:rPr>
              <w:br/>
              <w:t xml:space="preserve">6）≥16组预设，每个预设独立工作；</w:t>
            </w:r>
            <w:r>
              <w:rPr>
                <w:rFonts w:hint="eastAsia" w:asciiTheme="majorEastAsia" w:hAnsiTheme="majorEastAsia" w:eastAsiaTheme="majorEastAsia"/>
                <w:sz w:val="21"/>
                <w:szCs w:val="21"/>
              </w:rPr>
              <w:br/>
              <w:t xml:space="preserve">7）处理器芯片采用ADI 架构，≥40bit DSP浮点运算引擎，提供自由配制软件架构；</w:t>
            </w:r>
            <w:r>
              <w:rPr>
                <w:rFonts w:hint="eastAsia" w:asciiTheme="majorEastAsia" w:hAnsiTheme="majorEastAsia" w:eastAsiaTheme="majorEastAsia"/>
                <w:sz w:val="21"/>
                <w:szCs w:val="21"/>
              </w:rPr>
              <w:br/>
              <w:t xml:space="preserve">8）多种控制方式，可通过网页、手机、平板、按键面板、触摸面板方式管理；</w:t>
            </w:r>
            <w:r>
              <w:rPr>
                <w:rFonts w:hint="eastAsia" w:asciiTheme="majorEastAsia" w:hAnsiTheme="majorEastAsia" w:eastAsiaTheme="majorEastAsia"/>
                <w:sz w:val="21"/>
                <w:szCs w:val="21"/>
              </w:rPr>
              <w:br/>
              <w:t xml:space="preserve">9）支持48V幻象电源。</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1.00</w:t>
            </w:r>
            <w:r/>
          </w:p>
        </w:tc>
      </w:tr>
      <w:tr>
        <w:trPr>
          <w:trHeight w:val="1728"/>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设备</w:t>
            </w:r>
            <w:r/>
          </w:p>
        </w:tc>
        <w:tc>
          <w:tcPr>
            <w:shd w:val="clear" w:color="auto" w:fill="auto"/>
            <w:tcBorders>
              <w:top w:val="none" w:color="000000" w:sz="4" w:space="0"/>
              <w:left w:val="none" w:color="000000" w:sz="4" w:space="0"/>
              <w:bottom w:val="single" w:color="auto" w:sz="4" w:space="0"/>
              <w:right w:val="single" w:color="auto" w:sz="4" w:space="0"/>
            </w:tcBorders>
            <w:tcW w:w="132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数字音频处理定制软件模块</w:t>
            </w:r>
            <w:r/>
          </w:p>
        </w:tc>
        <w:tc>
          <w:tcPr>
            <w:shd w:val="clear" w:color="auto" w:fill="auto"/>
            <w:tcBorders>
              <w:top w:val="none" w:color="000000" w:sz="4" w:space="0"/>
              <w:left w:val="none" w:color="000000" w:sz="4" w:space="0"/>
              <w:bottom w:val="single" w:color="auto" w:sz="4" w:space="0"/>
              <w:right w:val="single" w:color="auto" w:sz="4" w:space="0"/>
            </w:tcBorders>
            <w:tcW w:w="5672"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1）具备先进用户操作界面，通过软件可调节会场音频、切换多种模式，具备通信协议TCP/IP、RS232/485接口，可扩展实现系统控制逻辑功能。</w:t>
            </w:r>
            <w:r>
              <w:rPr>
                <w:rFonts w:hint="eastAsia" w:asciiTheme="majorEastAsia" w:hAnsiTheme="majorEastAsia" w:eastAsiaTheme="majorEastAsia"/>
                <w:sz w:val="21"/>
                <w:szCs w:val="21"/>
              </w:rPr>
              <w:br/>
              <w:t xml:space="preserve">2） 控制所有输入通道的音量，以及所有输入通道的电平显示。</w:t>
            </w:r>
            <w:r>
              <w:rPr>
                <w:rFonts w:hint="eastAsia" w:asciiTheme="majorEastAsia" w:hAnsiTheme="majorEastAsia" w:eastAsiaTheme="majorEastAsia"/>
                <w:sz w:val="21"/>
                <w:szCs w:val="21"/>
              </w:rPr>
              <w:br/>
              <w:t xml:space="preserve">3）输入MIC和LINE模式的切换，MIC的增益独立可调，幻像电源48V控制，以及每个通道的相位和静音参数。</w:t>
            </w:r>
            <w:r>
              <w:rPr>
                <w:rFonts w:hint="eastAsia" w:asciiTheme="majorEastAsia" w:hAnsiTheme="majorEastAsia" w:eastAsiaTheme="majorEastAsia"/>
                <w:sz w:val="21"/>
                <w:szCs w:val="21"/>
              </w:rPr>
              <w:br/>
              <w:t xml:space="preserve">4）所有参量均衡的增益、Q值、频率、类型可以调整，以及旁路按键选择。</w:t>
            </w:r>
            <w:r>
              <w:rPr>
                <w:rFonts w:hint="eastAsia" w:asciiTheme="majorEastAsia" w:hAnsiTheme="majorEastAsia" w:eastAsiaTheme="majorEastAsia"/>
                <w:sz w:val="21"/>
                <w:szCs w:val="21"/>
              </w:rPr>
              <w:br/>
              <w:t xml:space="preserve">5）软件运行平台：Windows 7/10/11</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1.00</w:t>
            </w:r>
            <w:r/>
          </w:p>
        </w:tc>
      </w:tr>
      <w:tr>
        <w:trPr>
          <w:trHeight w:val="2592"/>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设备</w:t>
            </w:r>
            <w:r/>
          </w:p>
        </w:tc>
        <w:tc>
          <w:tcPr>
            <w:shd w:val="clear" w:color="auto" w:fill="auto"/>
            <w:tcBorders>
              <w:top w:val="none" w:color="000000" w:sz="4" w:space="0"/>
              <w:left w:val="none" w:color="000000" w:sz="4" w:space="0"/>
              <w:bottom w:val="single" w:color="auto" w:sz="4" w:space="0"/>
              <w:right w:val="single" w:color="auto" w:sz="4" w:space="0"/>
            </w:tcBorders>
            <w:tcW w:w="132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线性音柱</w:t>
            </w:r>
            <w:r/>
          </w:p>
        </w:tc>
        <w:tc>
          <w:tcPr>
            <w:shd w:val="clear" w:color="auto" w:fill="auto"/>
            <w:tcBorders>
              <w:top w:val="none" w:color="000000" w:sz="4" w:space="0"/>
              <w:left w:val="none" w:color="000000" w:sz="4" w:space="0"/>
              <w:bottom w:val="single" w:color="auto" w:sz="4" w:space="0"/>
              <w:right w:val="single" w:color="auto" w:sz="4" w:space="0"/>
            </w:tcBorders>
            <w:tcW w:w="5672"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1）两分频音柱；</w:t>
            </w:r>
            <w:r>
              <w:rPr>
                <w:rFonts w:hint="eastAsia" w:asciiTheme="majorEastAsia" w:hAnsiTheme="majorEastAsia" w:eastAsiaTheme="majorEastAsia"/>
                <w:sz w:val="21"/>
                <w:szCs w:val="21"/>
              </w:rPr>
              <w:br/>
              <w:t xml:space="preserve">2）同轴结构，拥有更好的离轴响应；</w:t>
            </w:r>
            <w:r>
              <w:rPr>
                <w:rFonts w:hint="eastAsia" w:asciiTheme="majorEastAsia" w:hAnsiTheme="majorEastAsia" w:eastAsiaTheme="majorEastAsia"/>
                <w:sz w:val="21"/>
                <w:szCs w:val="21"/>
              </w:rPr>
              <w:br/>
              <w:t xml:space="preserve">3）≥40°固定垂直覆盖角，≥100°水平指向；</w:t>
            </w:r>
            <w:r>
              <w:rPr>
                <w:rFonts w:hint="eastAsia" w:asciiTheme="majorEastAsia" w:hAnsiTheme="majorEastAsia" w:eastAsiaTheme="majorEastAsia"/>
                <w:sz w:val="21"/>
                <w:szCs w:val="21"/>
              </w:rPr>
              <w:br/>
              <w:t xml:space="preserve">4）频率响应：低频≤80Hz，高频≥20kHz；</w:t>
            </w:r>
            <w:r>
              <w:rPr>
                <w:rFonts w:hint="eastAsia" w:asciiTheme="majorEastAsia" w:hAnsiTheme="majorEastAsia" w:eastAsiaTheme="majorEastAsia"/>
                <w:sz w:val="21"/>
                <w:szCs w:val="21"/>
              </w:rPr>
              <w:br/>
              <w:t xml:space="preserve">5）灵敏度：≥98dB；</w:t>
            </w:r>
            <w:r>
              <w:rPr>
                <w:rFonts w:hint="eastAsia" w:asciiTheme="majorEastAsia" w:hAnsiTheme="majorEastAsia" w:eastAsiaTheme="majorEastAsia"/>
                <w:sz w:val="21"/>
                <w:szCs w:val="21"/>
              </w:rPr>
              <w:br/>
              <w:t xml:space="preserve">6）标称阻抗：8 Ohm；</w:t>
            </w:r>
            <w:r>
              <w:rPr>
                <w:rFonts w:hint="eastAsia" w:asciiTheme="majorEastAsia" w:hAnsiTheme="majorEastAsia" w:eastAsiaTheme="majorEastAsia"/>
                <w:sz w:val="21"/>
                <w:szCs w:val="21"/>
              </w:rPr>
              <w:br/>
              <w:t xml:space="preserve">7）额定功率：≥200W（AES）；</w:t>
            </w:r>
            <w:r>
              <w:rPr>
                <w:rFonts w:hint="eastAsia" w:asciiTheme="majorEastAsia" w:hAnsiTheme="majorEastAsia" w:eastAsiaTheme="majorEastAsia"/>
                <w:sz w:val="21"/>
                <w:szCs w:val="21"/>
              </w:rPr>
              <w:br/>
              <w:t xml:space="preserve">8）中音单元：不少于4个4〞中音单元，高音单元：不少于12个0.75〞高音单元；</w:t>
            </w:r>
            <w:r>
              <w:rPr>
                <w:rFonts w:hint="eastAsia" w:asciiTheme="majorEastAsia" w:hAnsiTheme="majorEastAsia" w:eastAsiaTheme="majorEastAsia"/>
                <w:sz w:val="21"/>
                <w:szCs w:val="21"/>
              </w:rPr>
              <w:br/>
              <w:t xml:space="preserve">9）最大声压级：≥121dB SPL</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2.00</w:t>
            </w:r>
            <w:r/>
          </w:p>
        </w:tc>
      </w:tr>
      <w:tr>
        <w:trPr>
          <w:trHeight w:val="2304"/>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设备</w:t>
            </w:r>
            <w:r/>
          </w:p>
        </w:tc>
        <w:tc>
          <w:tcPr>
            <w:shd w:val="clear" w:color="auto" w:fill="auto"/>
            <w:tcBorders>
              <w:top w:val="none" w:color="000000" w:sz="4" w:space="0"/>
              <w:left w:val="none" w:color="000000" w:sz="4" w:space="0"/>
              <w:bottom w:val="single" w:color="auto" w:sz="4" w:space="0"/>
              <w:right w:val="single" w:color="auto" w:sz="4" w:space="0"/>
            </w:tcBorders>
            <w:tcW w:w="132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双通道功率放大器</w:t>
            </w:r>
            <w:r/>
          </w:p>
        </w:tc>
        <w:tc>
          <w:tcPr>
            <w:shd w:val="clear" w:color="auto" w:fill="auto"/>
            <w:tcBorders>
              <w:top w:val="none" w:color="000000" w:sz="4" w:space="0"/>
              <w:left w:val="none" w:color="000000" w:sz="4" w:space="0"/>
              <w:bottom w:val="single" w:color="auto" w:sz="4" w:space="0"/>
              <w:right w:val="single" w:color="auto" w:sz="4" w:space="0"/>
            </w:tcBorders>
            <w:tcW w:w="5672"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1）D类功放技术和开关电源技术；</w:t>
            </w:r>
            <w:r>
              <w:rPr>
                <w:rFonts w:hint="eastAsia" w:asciiTheme="majorEastAsia" w:hAnsiTheme="majorEastAsia" w:eastAsiaTheme="majorEastAsia"/>
                <w:sz w:val="21"/>
                <w:szCs w:val="21"/>
              </w:rPr>
              <w:br/>
              <w:t xml:space="preserve">2）背面板开关切换工作模式，具有多种工作模式：立体声、单声道、桥接模式</w:t>
            </w:r>
            <w:r>
              <w:rPr>
                <w:rFonts w:hint="eastAsia" w:asciiTheme="majorEastAsia" w:hAnsiTheme="majorEastAsia" w:eastAsiaTheme="majorEastAsia"/>
                <w:sz w:val="21"/>
                <w:szCs w:val="21"/>
              </w:rPr>
              <w:br/>
              <w:t xml:space="preserve">3）放大器增益可选</w:t>
            </w:r>
            <w:r>
              <w:rPr>
                <w:rFonts w:hint="eastAsia" w:asciiTheme="majorEastAsia" w:hAnsiTheme="majorEastAsia" w:eastAsiaTheme="majorEastAsia"/>
                <w:sz w:val="21"/>
                <w:szCs w:val="21"/>
              </w:rPr>
              <w:br/>
              <w:t xml:space="preserve">4）具备削波限幅器：防止功放输出削波损坏喇叭</w:t>
            </w:r>
            <w:r>
              <w:rPr>
                <w:rFonts w:hint="eastAsia" w:asciiTheme="majorEastAsia" w:hAnsiTheme="majorEastAsia" w:eastAsiaTheme="majorEastAsia"/>
                <w:sz w:val="21"/>
                <w:szCs w:val="21"/>
              </w:rPr>
              <w:br/>
              <w:t xml:space="preserve">5）功放输出直流保护：防止输出端输出次声信号</w:t>
            </w:r>
            <w:r>
              <w:rPr>
                <w:rFonts w:hint="eastAsia" w:asciiTheme="majorEastAsia" w:hAnsiTheme="majorEastAsia" w:eastAsiaTheme="majorEastAsia"/>
                <w:sz w:val="21"/>
                <w:szCs w:val="21"/>
              </w:rPr>
              <w:br/>
              <w:t xml:space="preserve">6）短路保护机制，提供不间断声音输出</w:t>
            </w:r>
            <w:r>
              <w:rPr>
                <w:rFonts w:hint="eastAsia" w:asciiTheme="majorEastAsia" w:hAnsiTheme="majorEastAsia" w:eastAsiaTheme="majorEastAsia"/>
                <w:sz w:val="21"/>
                <w:szCs w:val="21"/>
              </w:rPr>
              <w:br/>
              <w:t xml:space="preserve">7）温度功率控制，过温保护，电源欠压保护</w:t>
            </w:r>
            <w:r>
              <w:rPr>
                <w:rFonts w:hint="eastAsia" w:asciiTheme="majorEastAsia" w:hAnsiTheme="majorEastAsia" w:eastAsiaTheme="majorEastAsia"/>
                <w:sz w:val="21"/>
                <w:szCs w:val="21"/>
              </w:rPr>
              <w:br/>
              <w:t xml:space="preserve">8）额定功率≥：2×450 W（8欧），2×600W（4欧）；1×1200W（8欧桥接）；</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1.00</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主材</w:t>
            </w:r>
            <w:r/>
          </w:p>
        </w:tc>
        <w:tc>
          <w:tcPr>
            <w:shd w:val="clear" w:color="auto" w:fill="auto"/>
            <w:tcBorders>
              <w:top w:val="none" w:color="000000" w:sz="4" w:space="0"/>
              <w:left w:val="none" w:color="000000" w:sz="4" w:space="0"/>
              <w:bottom w:val="single" w:color="auto" w:sz="4" w:space="0"/>
              <w:right w:val="single" w:color="auto" w:sz="4" w:space="0"/>
            </w:tcBorders>
            <w:tcW w:w="132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音箱壁挂架</w:t>
            </w:r>
            <w:r/>
          </w:p>
        </w:tc>
        <w:tc>
          <w:tcPr>
            <w:shd w:val="clear" w:color="auto" w:fill="auto"/>
            <w:tcBorders>
              <w:top w:val="none" w:color="000000" w:sz="4" w:space="0"/>
              <w:left w:val="none" w:color="000000" w:sz="4" w:space="0"/>
              <w:bottom w:val="single" w:color="auto" w:sz="4" w:space="0"/>
              <w:right w:val="single" w:color="auto" w:sz="4" w:space="0"/>
            </w:tcBorders>
            <w:tcW w:w="5672"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音箱壁挂架</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2.00</w:t>
            </w:r>
            <w:r/>
          </w:p>
        </w:tc>
      </w:tr>
      <w:tr>
        <w:trPr>
          <w:trHeight w:val="2304"/>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设备</w:t>
            </w:r>
            <w:r/>
          </w:p>
        </w:tc>
        <w:tc>
          <w:tcPr>
            <w:shd w:val="clear" w:color="auto" w:fill="auto"/>
            <w:tcBorders>
              <w:top w:val="none" w:color="000000" w:sz="4" w:space="0"/>
              <w:left w:val="none" w:color="000000" w:sz="4" w:space="0"/>
              <w:bottom w:val="single" w:color="auto" w:sz="4" w:space="0"/>
              <w:right w:val="single" w:color="auto" w:sz="4" w:space="0"/>
            </w:tcBorders>
            <w:tcW w:w="132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话筒自动增益器</w:t>
            </w:r>
            <w:r/>
          </w:p>
        </w:tc>
        <w:tc>
          <w:tcPr>
            <w:shd w:val="clear" w:color="auto" w:fill="auto"/>
            <w:tcBorders>
              <w:top w:val="none" w:color="000000" w:sz="4" w:space="0"/>
              <w:left w:val="none" w:color="000000" w:sz="4" w:space="0"/>
              <w:bottom w:val="single" w:color="auto" w:sz="4" w:space="0"/>
              <w:right w:val="single" w:color="auto" w:sz="4" w:space="0"/>
            </w:tcBorders>
            <w:tcW w:w="5672"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1）★自适应反馈抑制功能：提升话筒有效拾音距离一扩声系统有效声压不变，话筒拾音距离增加≥2倍；</w:t>
            </w:r>
            <w:r>
              <w:rPr>
                <w:rFonts w:hint="eastAsia" w:asciiTheme="majorEastAsia" w:hAnsiTheme="majorEastAsia" w:eastAsiaTheme="majorEastAsia"/>
                <w:sz w:val="21"/>
                <w:szCs w:val="21"/>
              </w:rPr>
              <w:br/>
              <w:t xml:space="preserve">2）★相同拾音距离，扩声系统有效声压提升≥9dB；</w:t>
            </w:r>
            <w:r>
              <w:rPr>
                <w:rFonts w:hint="eastAsia" w:asciiTheme="majorEastAsia" w:hAnsiTheme="majorEastAsia" w:eastAsiaTheme="majorEastAsia"/>
                <w:sz w:val="21"/>
                <w:szCs w:val="21"/>
              </w:rPr>
              <w:br/>
              <w:t xml:space="preserve">3）即插即用，免调试；</w:t>
            </w:r>
            <w:r>
              <w:rPr>
                <w:rFonts w:hint="eastAsia" w:asciiTheme="majorEastAsia" w:hAnsiTheme="majorEastAsia" w:eastAsiaTheme="majorEastAsia"/>
                <w:sz w:val="21"/>
                <w:szCs w:val="21"/>
              </w:rPr>
              <w:br/>
              <w:t xml:space="preserve">4）采样率：≥48KHz；</w:t>
            </w:r>
            <w:r>
              <w:rPr>
                <w:rFonts w:hint="eastAsia" w:asciiTheme="majorEastAsia" w:hAnsiTheme="majorEastAsia" w:eastAsiaTheme="majorEastAsia"/>
                <w:sz w:val="21"/>
                <w:szCs w:val="21"/>
              </w:rPr>
              <w:br/>
              <w:t xml:space="preserve">5）输入接口：≥2路平衡输入；</w:t>
            </w:r>
            <w:r>
              <w:rPr>
                <w:rFonts w:hint="eastAsia" w:asciiTheme="majorEastAsia" w:hAnsiTheme="majorEastAsia" w:eastAsiaTheme="majorEastAsia"/>
                <w:sz w:val="21"/>
                <w:szCs w:val="21"/>
              </w:rPr>
              <w:br/>
              <w:t xml:space="preserve">6）输出接口：≥2路平衡输出。</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1.00</w:t>
            </w:r>
            <w:r/>
          </w:p>
        </w:tc>
      </w:tr>
      <w:tr>
        <w:trPr>
          <w:trHeight w:val="1728"/>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设备</w:t>
            </w:r>
            <w:r/>
          </w:p>
        </w:tc>
        <w:tc>
          <w:tcPr>
            <w:shd w:val="clear" w:color="auto" w:fill="auto"/>
            <w:tcBorders>
              <w:top w:val="none" w:color="000000" w:sz="4" w:space="0"/>
              <w:left w:val="none" w:color="000000" w:sz="4" w:space="0"/>
              <w:bottom w:val="single" w:color="auto" w:sz="4" w:space="0"/>
              <w:right w:val="single" w:color="auto" w:sz="4" w:space="0"/>
            </w:tcBorders>
            <w:tcW w:w="132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无线手持话筒（一拖二）</w:t>
            </w:r>
            <w:r/>
          </w:p>
        </w:tc>
        <w:tc>
          <w:tcPr>
            <w:shd w:val="clear" w:color="auto" w:fill="auto"/>
            <w:tcBorders>
              <w:top w:val="none" w:color="000000" w:sz="4" w:space="0"/>
              <w:left w:val="none" w:color="000000" w:sz="4" w:space="0"/>
              <w:bottom w:val="single" w:color="auto" w:sz="4" w:space="0"/>
              <w:right w:val="single" w:color="auto" w:sz="4" w:space="0"/>
            </w:tcBorders>
            <w:tcW w:w="5672"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1）≥2通道数字手持话筒，有lD号加密，自动搜干净频率，自设开关锁，智能反馈，自设面板功能锁；</w:t>
            </w:r>
            <w:r>
              <w:rPr>
                <w:rFonts w:hint="eastAsia" w:asciiTheme="majorEastAsia" w:hAnsiTheme="majorEastAsia" w:eastAsiaTheme="majorEastAsia"/>
                <w:sz w:val="21"/>
                <w:szCs w:val="21"/>
              </w:rPr>
              <w:br/>
              <w:t xml:space="preserve">2）频道组数：≥2个区,每一区≥100个频点</w:t>
            </w:r>
            <w:r>
              <w:rPr>
                <w:rFonts w:hint="eastAsia" w:asciiTheme="majorEastAsia" w:hAnsiTheme="majorEastAsia" w:eastAsiaTheme="majorEastAsia"/>
                <w:sz w:val="21"/>
                <w:szCs w:val="21"/>
              </w:rPr>
              <w:br/>
              <w:t xml:space="preserve">3）可调频点：具有≥200个发射频道</w:t>
            </w:r>
            <w:r>
              <w:rPr>
                <w:rFonts w:hint="eastAsia" w:asciiTheme="majorEastAsia" w:hAnsiTheme="majorEastAsia" w:eastAsiaTheme="majorEastAsia"/>
                <w:sz w:val="21"/>
                <w:szCs w:val="21"/>
              </w:rPr>
              <w:br/>
              <w:t xml:space="preserve">4）对频方式：红外线自动对频</w:t>
            </w:r>
            <w:r>
              <w:rPr>
                <w:rFonts w:hint="eastAsia" w:asciiTheme="majorEastAsia" w:hAnsiTheme="majorEastAsia" w:eastAsiaTheme="majorEastAsia"/>
                <w:sz w:val="21"/>
                <w:szCs w:val="21"/>
              </w:rPr>
              <w:br/>
              <w:t xml:space="preserve">5）指向性：动圈式指向性</w:t>
            </w:r>
            <w:r>
              <w:rPr>
                <w:rFonts w:hint="eastAsia" w:asciiTheme="majorEastAsia" w:hAnsiTheme="majorEastAsia" w:eastAsiaTheme="majorEastAsia"/>
                <w:sz w:val="21"/>
                <w:szCs w:val="21"/>
              </w:rPr>
              <w:br/>
              <w:t xml:space="preserve">6）操作显示：具备屏幕可显示电池容量、频道, 低电压警示 </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1.00</w:t>
            </w:r>
            <w:r/>
          </w:p>
        </w:tc>
      </w:tr>
      <w:tr>
        <w:trPr>
          <w:trHeight w:val="1757"/>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设备</w:t>
            </w:r>
            <w:r/>
          </w:p>
        </w:tc>
        <w:tc>
          <w:tcPr>
            <w:shd w:val="clear" w:color="auto" w:fill="auto"/>
            <w:tcBorders>
              <w:top w:val="none" w:color="000000" w:sz="4" w:space="0"/>
              <w:left w:val="none" w:color="000000" w:sz="4" w:space="0"/>
              <w:bottom w:val="single" w:color="auto" w:sz="4" w:space="0"/>
              <w:right w:val="single" w:color="auto" w:sz="4" w:space="0"/>
            </w:tcBorders>
            <w:tcW w:w="132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室内全彩显示屏</w:t>
            </w:r>
            <w:r/>
          </w:p>
        </w:tc>
        <w:tc>
          <w:tcPr>
            <w:shd w:val="clear" w:color="auto" w:fill="auto"/>
            <w:tcBorders>
              <w:top w:val="none" w:color="000000" w:sz="4" w:space="0"/>
              <w:left w:val="none" w:color="000000" w:sz="4" w:space="0"/>
              <w:bottom w:val="single" w:color="auto" w:sz="4" w:space="0"/>
              <w:right w:val="single" w:color="auto" w:sz="4" w:space="0"/>
            </w:tcBorders>
            <w:tcW w:w="5672"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1．像素间距 1.25mm </w:t>
            </w:r>
            <w:r>
              <w:rPr>
                <w:rFonts w:hint="eastAsia" w:asciiTheme="majorEastAsia" w:hAnsiTheme="majorEastAsia" w:eastAsiaTheme="majorEastAsia"/>
                <w:sz w:val="21"/>
                <w:szCs w:val="21"/>
              </w:rPr>
              <w:br/>
              <w:t xml:space="preserve">2．模组尺寸 320*160mm </w:t>
            </w:r>
            <w:r>
              <w:rPr>
                <w:rFonts w:hint="eastAsia" w:asciiTheme="majorEastAsia" w:hAnsiTheme="majorEastAsia" w:eastAsiaTheme="majorEastAsia"/>
                <w:sz w:val="21"/>
                <w:szCs w:val="21"/>
              </w:rPr>
              <w:br/>
              <w:t xml:space="preserve">3．模组平整度：≤0.15mm</w:t>
            </w:r>
            <w:r>
              <w:rPr>
                <w:rFonts w:hint="eastAsia" w:asciiTheme="majorEastAsia" w:hAnsiTheme="majorEastAsia" w:eastAsiaTheme="majorEastAsia"/>
                <w:sz w:val="21"/>
                <w:szCs w:val="21"/>
              </w:rPr>
              <w:br/>
              <w:t xml:space="preserve">4．白平衡亮度：1600nit可调</w:t>
            </w:r>
            <w:r>
              <w:rPr>
                <w:rFonts w:hint="eastAsia" w:asciiTheme="majorEastAsia" w:hAnsiTheme="majorEastAsia" w:eastAsiaTheme="majorEastAsia"/>
                <w:sz w:val="21"/>
                <w:szCs w:val="21"/>
              </w:rPr>
              <w:br/>
              <w:t xml:space="preserve">5．色温可调范围：2000k~10000k，并可自定义色温值。</w:t>
            </w:r>
            <w:r>
              <w:rPr>
                <w:rFonts w:hint="eastAsia" w:asciiTheme="majorEastAsia" w:hAnsiTheme="majorEastAsia" w:eastAsiaTheme="majorEastAsia"/>
                <w:sz w:val="21"/>
                <w:szCs w:val="21"/>
              </w:rPr>
              <w:br/>
              <w:t xml:space="preserve">6．对比度 10000:1</w:t>
            </w:r>
            <w:r>
              <w:rPr>
                <w:rFonts w:hint="eastAsia" w:asciiTheme="majorEastAsia" w:hAnsiTheme="majorEastAsia" w:eastAsiaTheme="majorEastAsia"/>
                <w:sz w:val="21"/>
                <w:szCs w:val="21"/>
              </w:rPr>
              <w:br/>
              <w:t xml:space="preserve">7．视角：水平视角≥160°，垂直视角≥160°</w:t>
            </w:r>
            <w:r>
              <w:rPr>
                <w:rFonts w:hint="eastAsia" w:asciiTheme="majorEastAsia" w:hAnsiTheme="majorEastAsia" w:eastAsiaTheme="majorEastAsia"/>
                <w:sz w:val="21"/>
                <w:szCs w:val="21"/>
              </w:rPr>
              <w:br/>
              <w:t xml:space="preserve">8．刷新频率≥3840HZ</w:t>
            </w:r>
            <w:r>
              <w:rPr>
                <w:rFonts w:hint="eastAsia" w:asciiTheme="majorEastAsia" w:hAnsiTheme="majorEastAsia" w:eastAsiaTheme="majorEastAsia"/>
                <w:sz w:val="21"/>
                <w:szCs w:val="21"/>
              </w:rPr>
              <w:br/>
              <w:t xml:space="preserve">9．峰值功耗≤330W/㎡、平均功耗≤100W/㎡</w:t>
            </w:r>
            <w:r>
              <w:rPr>
                <w:rFonts w:hint="eastAsia" w:asciiTheme="majorEastAsia" w:hAnsiTheme="majorEastAsia" w:eastAsiaTheme="majorEastAsia"/>
                <w:sz w:val="21"/>
                <w:szCs w:val="21"/>
              </w:rPr>
              <w:br/>
              <w:t xml:space="preserve">10．噪声检测：屏前1m≤3.2dB</w:t>
            </w:r>
            <w:r>
              <w:rPr>
                <w:rFonts w:hint="eastAsia" w:asciiTheme="majorEastAsia" w:hAnsiTheme="majorEastAsia" w:eastAsiaTheme="majorEastAsia"/>
                <w:sz w:val="21"/>
                <w:szCs w:val="21"/>
              </w:rPr>
              <w:br/>
              <w:t xml:space="preserve">11．平均无故障时间 MTBF＞15000h</w:t>
            </w:r>
            <w:r>
              <w:rPr>
                <w:rFonts w:hint="eastAsia" w:asciiTheme="majorEastAsia" w:hAnsiTheme="majorEastAsia" w:eastAsiaTheme="majorEastAsia"/>
                <w:sz w:val="21"/>
                <w:szCs w:val="21"/>
              </w:rPr>
              <w:br/>
              <w:t xml:space="preserve">12．LED显示屏表面磨砂不反光处理</w:t>
            </w:r>
            <w:r>
              <w:rPr>
                <w:rFonts w:hint="eastAsia" w:asciiTheme="majorEastAsia" w:hAnsiTheme="majorEastAsia" w:eastAsiaTheme="majorEastAsia"/>
                <w:sz w:val="21"/>
                <w:szCs w:val="21"/>
              </w:rPr>
              <w:br/>
              <w:t xml:space="preserve">13．LED显示屏无鬼影和拖尾现象</w:t>
            </w:r>
            <w:r>
              <w:rPr>
                <w:rFonts w:hint="eastAsia" w:asciiTheme="majorEastAsia" w:hAnsiTheme="majorEastAsia" w:eastAsiaTheme="majorEastAsia"/>
                <w:sz w:val="21"/>
                <w:szCs w:val="21"/>
              </w:rPr>
              <w:br/>
              <w:t xml:space="preserve">★14．屏幕支持加密输出，避免信号的恶意切断或输入</w:t>
            </w:r>
            <w:r>
              <w:rPr>
                <w:rFonts w:hint="eastAsia" w:asciiTheme="majorEastAsia" w:hAnsiTheme="majorEastAsia" w:eastAsiaTheme="majorEastAsia"/>
                <w:sz w:val="21"/>
                <w:szCs w:val="21"/>
              </w:rPr>
              <w:br/>
              <w:t xml:space="preserve">15．模组、电源、接收卡全部前维护，也可后维护拆卸</w:t>
            </w:r>
            <w:r>
              <w:rPr>
                <w:rFonts w:hint="eastAsia" w:asciiTheme="majorEastAsia" w:hAnsiTheme="majorEastAsia" w:eastAsiaTheme="majorEastAsia"/>
                <w:sz w:val="21"/>
                <w:szCs w:val="21"/>
              </w:rPr>
              <w:br/>
              <w:t xml:space="preserve">16．LED显示屏满足盐雾、振动试验</w:t>
            </w:r>
            <w:r>
              <w:rPr>
                <w:rFonts w:hint="eastAsia" w:asciiTheme="majorEastAsia" w:hAnsiTheme="majorEastAsia" w:eastAsiaTheme="majorEastAsia"/>
                <w:sz w:val="21"/>
                <w:szCs w:val="21"/>
              </w:rPr>
              <w:br/>
            </w:r>
            <w:r>
              <w:rPr>
                <w:rFonts w:hint="eastAsia" w:asciiTheme="majorEastAsia" w:hAnsiTheme="majorEastAsia" w:eastAsiaTheme="majorEastAsia"/>
                <w:sz w:val="21"/>
                <w:szCs w:val="21"/>
              </w:rPr>
              <w:t xml:space="preserve">17．屏幕满足蓝光安全检测</w:t>
            </w:r>
            <w:r>
              <w:rPr>
                <w:rFonts w:hint="eastAsia" w:asciiTheme="majorEastAsia" w:hAnsiTheme="majorEastAsia" w:eastAsiaTheme="majorEastAsia"/>
                <w:sz w:val="21"/>
                <w:szCs w:val="21"/>
              </w:rPr>
              <w:br/>
              <w:t xml:space="preserve">★18．模组采用斜角设计，有效消除摩尔纹</w:t>
            </w:r>
            <w:r>
              <w:rPr>
                <w:rFonts w:hint="eastAsia" w:asciiTheme="majorEastAsia" w:hAnsiTheme="majorEastAsia" w:eastAsiaTheme="majorEastAsia"/>
                <w:sz w:val="21"/>
                <w:szCs w:val="21"/>
              </w:rPr>
              <w:br/>
              <w:t xml:space="preserve">★19．屏幕支持动态图像自动补偿</w:t>
            </w:r>
            <w:r>
              <w:rPr>
                <w:rFonts w:hint="eastAsia" w:asciiTheme="majorEastAsia" w:hAnsiTheme="majorEastAsia" w:eastAsiaTheme="majorEastAsia"/>
                <w:sz w:val="21"/>
                <w:szCs w:val="21"/>
              </w:rPr>
              <w:br/>
              <w:t xml:space="preserve">★20．显示屏具备参数自动备份回读功能</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平方米</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9.58</w:t>
            </w:r>
            <w:r/>
          </w:p>
        </w:tc>
      </w:tr>
      <w:tr>
        <w:trPr>
          <w:trHeight w:val="1728"/>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设备</w:t>
            </w:r>
            <w:r/>
          </w:p>
        </w:tc>
        <w:tc>
          <w:tcPr>
            <w:shd w:val="clear" w:color="auto" w:fill="auto"/>
            <w:tcBorders>
              <w:top w:val="none" w:color="000000" w:sz="4" w:space="0"/>
              <w:left w:val="none" w:color="000000" w:sz="4" w:space="0"/>
              <w:bottom w:val="single" w:color="auto" w:sz="4" w:space="0"/>
              <w:right w:val="single" w:color="auto" w:sz="4" w:space="0"/>
            </w:tcBorders>
            <w:tcW w:w="132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同步控制系统</w:t>
            </w:r>
            <w:r/>
          </w:p>
        </w:tc>
        <w:tc>
          <w:tcPr>
            <w:shd w:val="clear" w:color="auto" w:fill="auto"/>
            <w:tcBorders>
              <w:top w:val="none" w:color="000000" w:sz="4" w:space="0"/>
              <w:left w:val="none" w:color="000000" w:sz="4" w:space="0"/>
              <w:bottom w:val="single" w:color="auto" w:sz="4" w:space="0"/>
              <w:right w:val="single" w:color="auto" w:sz="4" w:space="0"/>
            </w:tcBorders>
            <w:tcW w:w="5672"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1、集成8个HUB320标准接口，免接HUB 板，支持16组、32组多种数据模式。</w:t>
            </w:r>
            <w:r>
              <w:rPr>
                <w:rFonts w:hint="eastAsia" w:asciiTheme="majorEastAsia" w:hAnsiTheme="majorEastAsia" w:eastAsiaTheme="majorEastAsia"/>
                <w:sz w:val="21"/>
                <w:szCs w:val="21"/>
              </w:rPr>
              <w:br/>
              <w:t xml:space="preserve">2、采用千兆网口,可以连接PC 端。</w:t>
            </w:r>
            <w:r>
              <w:rPr>
                <w:rFonts w:hint="eastAsia" w:asciiTheme="majorEastAsia" w:hAnsiTheme="majorEastAsia" w:eastAsiaTheme="majorEastAsia"/>
                <w:sz w:val="21"/>
                <w:szCs w:val="21"/>
              </w:rPr>
              <w:br/>
              <w:t xml:space="preserve">3、支持接收卡预存画面设置。</w:t>
            </w:r>
            <w:r>
              <w:rPr>
                <w:rFonts w:hint="eastAsia" w:asciiTheme="majorEastAsia" w:hAnsiTheme="majorEastAsia" w:eastAsiaTheme="majorEastAsia"/>
                <w:sz w:val="21"/>
                <w:szCs w:val="21"/>
              </w:rPr>
              <w:br/>
              <w:t xml:space="preserve">4、支持灯板Flash 管理。</w:t>
            </w:r>
            <w:r>
              <w:rPr>
                <w:rFonts w:hint="eastAsia" w:asciiTheme="majorEastAsia" w:hAnsiTheme="majorEastAsia" w:eastAsiaTheme="majorEastAsia"/>
                <w:sz w:val="21"/>
                <w:szCs w:val="21"/>
              </w:rPr>
              <w:br/>
              <w:t xml:space="preserve">5、支持温度、电压、网线通讯和视频源信号状态检测。</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27.00</w:t>
            </w:r>
            <w:r/>
          </w:p>
        </w:tc>
      </w:tr>
      <w:tr>
        <w:trPr>
          <w:trHeight w:val="2880"/>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设备</w:t>
            </w:r>
            <w:r/>
          </w:p>
        </w:tc>
        <w:tc>
          <w:tcPr>
            <w:shd w:val="clear" w:color="auto" w:fill="auto"/>
            <w:tcBorders>
              <w:top w:val="none" w:color="000000" w:sz="4" w:space="0"/>
              <w:left w:val="none" w:color="000000" w:sz="4" w:space="0"/>
              <w:bottom w:val="single" w:color="auto" w:sz="4" w:space="0"/>
              <w:right w:val="single" w:color="auto" w:sz="4" w:space="0"/>
            </w:tcBorders>
            <w:tcW w:w="132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视频处理器</w:t>
            </w:r>
            <w:r/>
          </w:p>
        </w:tc>
        <w:tc>
          <w:tcPr>
            <w:shd w:val="clear" w:color="auto" w:fill="auto"/>
            <w:tcBorders>
              <w:top w:val="none" w:color="000000" w:sz="4" w:space="0"/>
              <w:left w:val="none" w:color="000000" w:sz="4" w:space="0"/>
              <w:bottom w:val="single" w:color="auto" w:sz="4" w:space="0"/>
              <w:right w:val="single" w:color="auto" w:sz="4" w:space="0"/>
            </w:tcBorders>
            <w:tcW w:w="5672"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拥有完备的视频输入接口：1 路 HDMI 2.0，4 路 DVI，1 路 3G-SDI。</w:t>
            </w:r>
            <w:r>
              <w:rPr>
                <w:rFonts w:hint="eastAsia" w:asciiTheme="majorEastAsia" w:hAnsiTheme="majorEastAsia" w:eastAsiaTheme="majorEastAsia"/>
                <w:sz w:val="21"/>
                <w:szCs w:val="21"/>
              </w:rPr>
              <w:br/>
              <w:t xml:space="preserve">多输出，大带载：支持 16 路网口和 4 路光纤输出，带载高达 1040万像素。</w:t>
            </w:r>
            <w:r>
              <w:rPr>
                <w:rFonts w:hint="eastAsia" w:asciiTheme="majorEastAsia" w:hAnsiTheme="majorEastAsia" w:eastAsiaTheme="majorEastAsia"/>
                <w:sz w:val="21"/>
                <w:szCs w:val="21"/>
              </w:rPr>
              <w:br/>
              <w:t xml:space="preserve">支持 HDR输出</w:t>
            </w:r>
            <w:r>
              <w:rPr>
                <w:rFonts w:hint="eastAsia" w:asciiTheme="majorEastAsia" w:hAnsiTheme="majorEastAsia" w:eastAsiaTheme="majorEastAsia"/>
                <w:sz w:val="21"/>
                <w:szCs w:val="21"/>
              </w:rPr>
              <w:br/>
              <w:t xml:space="preserve">支持个性化的画质缩放</w:t>
            </w:r>
            <w:r>
              <w:rPr>
                <w:rFonts w:hint="eastAsia" w:asciiTheme="majorEastAsia" w:hAnsiTheme="majorEastAsia" w:eastAsiaTheme="majorEastAsia"/>
                <w:sz w:val="21"/>
                <w:szCs w:val="21"/>
              </w:rPr>
              <w:br/>
              <w:t xml:space="preserve">支持三种画面缩放模式，包括点对点模式、全屏缩放、自定义缩放。</w:t>
            </w:r>
            <w:r>
              <w:rPr>
                <w:rFonts w:hint="eastAsia" w:asciiTheme="majorEastAsia" w:hAnsiTheme="majorEastAsia" w:eastAsiaTheme="majorEastAsia"/>
                <w:sz w:val="21"/>
                <w:szCs w:val="21"/>
              </w:rPr>
              <w:br/>
              <w:t xml:space="preserve">多窗口显示：支持 5 窗口任意布局。</w:t>
            </w:r>
            <w:r>
              <w:rPr>
                <w:rFonts w:hint="eastAsia" w:asciiTheme="majorEastAsia" w:hAnsiTheme="majorEastAsia" w:eastAsiaTheme="majorEastAsia"/>
                <w:sz w:val="21"/>
                <w:szCs w:val="21"/>
              </w:rPr>
              <w:br/>
              <w:t xml:space="preserve">支持监视输出画面：将监视内容通过 HDMI 发送到显示器显示。</w:t>
            </w:r>
            <w:r>
              <w:rPr>
                <w:rFonts w:hint="eastAsia" w:asciiTheme="majorEastAsia" w:hAnsiTheme="majorEastAsia" w:eastAsiaTheme="majorEastAsia"/>
                <w:sz w:val="21"/>
                <w:szCs w:val="21"/>
              </w:rPr>
              <w:br/>
              <w:t xml:space="preserve">支持智能控制软件 进行操作控制。</w:t>
            </w:r>
            <w:r>
              <w:rPr>
                <w:rFonts w:hint="eastAsia" w:asciiTheme="majorEastAsia" w:hAnsiTheme="majorEastAsia" w:eastAsiaTheme="majorEastAsia"/>
                <w:sz w:val="21"/>
                <w:szCs w:val="21"/>
              </w:rPr>
              <w:br/>
              <w:t xml:space="preserve">支持场景预设：最多可创建 10 个用户场景作为模板保存，可直接调用，方便使用。</w:t>
            </w:r>
            <w:r>
              <w:rPr>
                <w:rFonts w:hint="eastAsia" w:asciiTheme="majorEastAsia" w:hAnsiTheme="majorEastAsia" w:eastAsiaTheme="majorEastAsia"/>
                <w:sz w:val="21"/>
                <w:szCs w:val="21"/>
              </w:rPr>
              <w:br/>
              <w:t xml:space="preserve">支持 EDID 管理：支持用户自定义 EDID 和预设 EDID。</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1.00</w:t>
            </w:r>
            <w:r/>
          </w:p>
        </w:tc>
      </w:tr>
      <w:tr>
        <w:trPr>
          <w:trHeight w:val="576"/>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主材</w:t>
            </w:r>
            <w:r/>
          </w:p>
        </w:tc>
        <w:tc>
          <w:tcPr>
            <w:shd w:val="clear" w:color="auto" w:fill="auto"/>
            <w:tcBorders>
              <w:top w:val="none" w:color="000000" w:sz="4" w:space="0"/>
              <w:left w:val="none" w:color="000000" w:sz="4" w:space="0"/>
              <w:bottom w:val="single" w:color="auto" w:sz="4" w:space="0"/>
              <w:right w:val="single" w:color="auto" w:sz="4" w:space="0"/>
            </w:tcBorders>
            <w:tcW w:w="132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安装结构包边</w:t>
            </w:r>
            <w:r/>
          </w:p>
        </w:tc>
        <w:tc>
          <w:tcPr>
            <w:shd w:val="clear" w:color="auto" w:fill="auto"/>
            <w:tcBorders>
              <w:top w:val="none" w:color="000000" w:sz="4" w:space="0"/>
              <w:left w:val="none" w:color="000000" w:sz="4" w:space="0"/>
              <w:bottom w:val="single" w:color="auto" w:sz="4" w:space="0"/>
              <w:right w:val="single" w:color="auto" w:sz="4" w:space="0"/>
            </w:tcBorders>
            <w:tcW w:w="5672"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显示屏框架结构：镀锌方管定制，钢结构整体尺寸为：5.5*2.4，黑钛不锈钢,厚度为0.12mm</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平方米</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13.20</w:t>
            </w:r>
            <w:r/>
          </w:p>
        </w:tc>
      </w:tr>
      <w:tr>
        <w:trPr>
          <w:trHeight w:val="576"/>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主材</w:t>
            </w:r>
            <w:r/>
          </w:p>
        </w:tc>
        <w:tc>
          <w:tcPr>
            <w:shd w:val="clear" w:color="auto" w:fill="auto"/>
            <w:tcBorders>
              <w:top w:val="none" w:color="000000" w:sz="4" w:space="0"/>
              <w:left w:val="none" w:color="000000" w:sz="4" w:space="0"/>
              <w:bottom w:val="single" w:color="auto" w:sz="4" w:space="0"/>
              <w:right w:val="single" w:color="auto" w:sz="4" w:space="0"/>
            </w:tcBorders>
            <w:tcW w:w="132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屏体内成品线材</w:t>
            </w:r>
            <w:r/>
          </w:p>
        </w:tc>
        <w:tc>
          <w:tcPr>
            <w:shd w:val="clear" w:color="auto" w:fill="auto"/>
            <w:tcBorders>
              <w:top w:val="none" w:color="000000" w:sz="4" w:space="0"/>
              <w:left w:val="none" w:color="000000" w:sz="4" w:space="0"/>
              <w:bottom w:val="single" w:color="auto" w:sz="4" w:space="0"/>
              <w:right w:val="single" w:color="auto" w:sz="4" w:space="0"/>
            </w:tcBorders>
            <w:tcW w:w="5672"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数据线（0.4米）20根/平米 三头电源线（0.6米RVV2*1.5) 10根/平米 </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1.00</w:t>
            </w:r>
            <w:r/>
          </w:p>
        </w:tc>
      </w:tr>
      <w:tr>
        <w:trPr>
          <w:trHeight w:val="576"/>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设备</w:t>
            </w:r>
            <w:r/>
          </w:p>
        </w:tc>
        <w:tc>
          <w:tcPr>
            <w:shd w:val="clear" w:color="auto" w:fill="auto"/>
            <w:tcBorders>
              <w:top w:val="none" w:color="000000" w:sz="4" w:space="0"/>
              <w:left w:val="none" w:color="000000" w:sz="4" w:space="0"/>
              <w:bottom w:val="single" w:color="auto" w:sz="4" w:space="0"/>
              <w:right w:val="single" w:color="auto" w:sz="4" w:space="0"/>
            </w:tcBorders>
            <w:tcW w:w="132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LED专用电箱</w:t>
            </w:r>
            <w:r/>
          </w:p>
        </w:tc>
        <w:tc>
          <w:tcPr>
            <w:shd w:val="clear" w:color="auto" w:fill="auto"/>
            <w:tcBorders>
              <w:top w:val="none" w:color="000000" w:sz="4" w:space="0"/>
              <w:left w:val="none" w:color="000000" w:sz="4" w:space="0"/>
              <w:bottom w:val="single" w:color="auto" w:sz="4" w:space="0"/>
              <w:right w:val="single" w:color="auto" w:sz="4" w:space="0"/>
            </w:tcBorders>
            <w:tcW w:w="5672"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9千瓦，系统采用三相五线制供电,控制箱工业支持时序供电、远程开关电，为了降低电网的瞬间启动电流，应具有延时通断电功能，具有过压、过流、短路等保护装置</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1.00</w:t>
            </w:r>
            <w:r/>
          </w:p>
        </w:tc>
      </w:tr>
      <w:tr>
        <w:trPr>
          <w:trHeight w:val="656"/>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设备</w:t>
            </w:r>
            <w:r/>
          </w:p>
        </w:tc>
        <w:tc>
          <w:tcPr>
            <w:shd w:val="clear" w:color="auto" w:fill="auto"/>
            <w:tcBorders>
              <w:top w:val="none" w:color="000000" w:sz="4" w:space="0"/>
              <w:left w:val="none" w:color="000000" w:sz="4" w:space="0"/>
              <w:bottom w:val="single" w:color="auto" w:sz="4" w:space="0"/>
              <w:right w:val="single" w:color="auto" w:sz="4" w:space="0"/>
            </w:tcBorders>
            <w:tcW w:w="132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高清摄像机</w:t>
            </w:r>
            <w:r/>
          </w:p>
        </w:tc>
        <w:tc>
          <w:tcPr>
            <w:shd w:val="clear" w:color="auto" w:fill="auto"/>
            <w:tcBorders>
              <w:top w:val="none" w:color="000000" w:sz="4" w:space="0"/>
              <w:left w:val="none" w:color="000000" w:sz="4" w:space="0"/>
              <w:bottom w:val="single" w:color="auto" w:sz="4" w:space="0"/>
              <w:right w:val="single" w:color="auto" w:sz="4" w:space="0"/>
            </w:tcBorders>
            <w:tcW w:w="5672"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1、采用1/2.5英寸≥851万像素的UHD CMOS 传感器，可实现≥4K(3840x2160)分辨率的优质图像，并且向下兼容1080P和720P等多种分辨率；</w:t>
            </w:r>
            <w:r>
              <w:rPr>
                <w:rFonts w:hint="eastAsia" w:asciiTheme="majorEastAsia" w:hAnsiTheme="majorEastAsia" w:eastAsiaTheme="majorEastAsia"/>
                <w:sz w:val="21"/>
                <w:szCs w:val="21"/>
              </w:rPr>
              <w:br/>
              <w:t xml:space="preserve">2、≥71°广角镜头+≥12倍光学变焦；</w:t>
            </w:r>
            <w:r>
              <w:rPr>
                <w:rFonts w:hint="eastAsia" w:asciiTheme="majorEastAsia" w:hAnsiTheme="majorEastAsia" w:eastAsiaTheme="majorEastAsia"/>
                <w:sz w:val="21"/>
                <w:szCs w:val="21"/>
              </w:rPr>
              <w:br/>
              <w:t xml:space="preserve">3、支持HDMI 1.4b，可直接输出4K无压缩数字视频；</w:t>
            </w:r>
            <w:r>
              <w:rPr>
                <w:rFonts w:hint="eastAsia" w:asciiTheme="majorEastAsia" w:hAnsiTheme="majorEastAsia" w:eastAsiaTheme="majorEastAsia"/>
                <w:sz w:val="21"/>
                <w:szCs w:val="21"/>
              </w:rPr>
              <w:br/>
              <w:t xml:space="preserve">4、具备高信噪比的CMOS图像传感器可有效降低在低照度情况下的图像噪声，支持2D和3D降噪算法，图像信噪比≥55dB；</w:t>
            </w:r>
            <w:r>
              <w:rPr>
                <w:rFonts w:hint="eastAsia" w:asciiTheme="majorEastAsia" w:hAnsiTheme="majorEastAsia" w:eastAsiaTheme="majorEastAsia"/>
                <w:sz w:val="21"/>
                <w:szCs w:val="21"/>
              </w:rPr>
              <w:br/>
            </w:r>
            <w:r>
              <w:rPr>
                <w:rFonts w:hint="eastAsia" w:asciiTheme="majorEastAsia" w:hAnsiTheme="majorEastAsia" w:eastAsiaTheme="majorEastAsia"/>
                <w:sz w:val="21"/>
                <w:szCs w:val="21"/>
              </w:rPr>
              <w:t xml:space="preserve">5、支持LAN、HDMI、3G-SDI接口，可同时输出≥2路高清数字信号。</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2.00</w:t>
            </w:r>
            <w:r/>
          </w:p>
        </w:tc>
      </w:tr>
      <w:tr>
        <w:trPr>
          <w:trHeight w:val="576"/>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主材</w:t>
            </w:r>
            <w:r/>
          </w:p>
        </w:tc>
        <w:tc>
          <w:tcPr>
            <w:shd w:val="clear" w:color="auto" w:fill="auto"/>
            <w:tcBorders>
              <w:top w:val="none" w:color="000000" w:sz="4" w:space="0"/>
              <w:left w:val="none" w:color="000000" w:sz="4" w:space="0"/>
              <w:bottom w:val="single" w:color="auto" w:sz="4" w:space="0"/>
              <w:right w:val="single" w:color="auto" w:sz="4" w:space="0"/>
            </w:tcBorders>
            <w:tcW w:w="132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摄像机安装架</w:t>
            </w:r>
            <w:r/>
          </w:p>
        </w:tc>
        <w:tc>
          <w:tcPr>
            <w:shd w:val="clear" w:color="auto" w:fill="auto"/>
            <w:tcBorders>
              <w:top w:val="none" w:color="000000" w:sz="4" w:space="0"/>
              <w:left w:val="none" w:color="000000" w:sz="4" w:space="0"/>
              <w:bottom w:val="single" w:color="auto" w:sz="4" w:space="0"/>
              <w:right w:val="single" w:color="auto" w:sz="4" w:space="0"/>
            </w:tcBorders>
            <w:tcW w:w="5672"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摄像机吸顶安装架</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2.00</w:t>
            </w:r>
            <w:r/>
          </w:p>
        </w:tc>
      </w:tr>
      <w:tr>
        <w:trPr>
          <w:trHeight w:val="864"/>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设备</w:t>
            </w:r>
            <w:r/>
          </w:p>
        </w:tc>
        <w:tc>
          <w:tcPr>
            <w:shd w:val="clear" w:color="auto" w:fill="auto"/>
            <w:tcBorders>
              <w:top w:val="none" w:color="000000" w:sz="4" w:space="0"/>
              <w:left w:val="none" w:color="000000" w:sz="4" w:space="0"/>
              <w:bottom w:val="single" w:color="auto" w:sz="4" w:space="0"/>
              <w:right w:val="single" w:color="auto" w:sz="4" w:space="0"/>
            </w:tcBorders>
            <w:tcW w:w="132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音视频采集卡</w:t>
            </w:r>
            <w:r/>
          </w:p>
        </w:tc>
        <w:tc>
          <w:tcPr>
            <w:shd w:val="clear" w:color="auto" w:fill="auto"/>
            <w:tcBorders>
              <w:top w:val="none" w:color="000000" w:sz="4" w:space="0"/>
              <w:left w:val="none" w:color="000000" w:sz="4" w:space="0"/>
              <w:bottom w:val="single" w:color="auto" w:sz="4" w:space="0"/>
              <w:right w:val="single" w:color="auto" w:sz="4" w:space="0"/>
            </w:tcBorders>
            <w:tcW w:w="5672"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1）1080P视频信号采集，支持环出</w:t>
            </w:r>
            <w:r>
              <w:rPr>
                <w:rFonts w:hint="eastAsia" w:asciiTheme="majorEastAsia" w:hAnsiTheme="majorEastAsia" w:eastAsiaTheme="majorEastAsia"/>
                <w:sz w:val="21"/>
                <w:szCs w:val="21"/>
              </w:rPr>
              <w:br/>
              <w:t xml:space="preserve">2）支持3.5mm音频接入</w:t>
            </w:r>
            <w:r>
              <w:rPr>
                <w:rFonts w:hint="eastAsia" w:asciiTheme="majorEastAsia" w:hAnsiTheme="majorEastAsia" w:eastAsiaTheme="majorEastAsia"/>
                <w:sz w:val="21"/>
                <w:szCs w:val="21"/>
              </w:rPr>
              <w:br/>
              <w:t xml:space="preserve">3）通过TypeC接口可连接PC端</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1.00</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设备</w:t>
            </w:r>
            <w:r/>
          </w:p>
        </w:tc>
        <w:tc>
          <w:tcPr>
            <w:shd w:val="clear" w:color="auto" w:fill="auto"/>
            <w:tcBorders>
              <w:top w:val="none" w:color="000000" w:sz="4" w:space="0"/>
              <w:left w:val="none" w:color="000000" w:sz="4" w:space="0"/>
              <w:bottom w:val="single" w:color="auto" w:sz="4" w:space="0"/>
              <w:right w:val="single" w:color="auto" w:sz="4" w:space="0"/>
            </w:tcBorders>
            <w:tcW w:w="132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USB拓展坞</w:t>
            </w:r>
            <w:r/>
          </w:p>
        </w:tc>
        <w:tc>
          <w:tcPr>
            <w:shd w:val="clear" w:color="auto" w:fill="auto"/>
            <w:tcBorders>
              <w:top w:val="none" w:color="000000" w:sz="4" w:space="0"/>
              <w:left w:val="none" w:color="000000" w:sz="4" w:space="0"/>
              <w:bottom w:val="single" w:color="auto" w:sz="4" w:space="0"/>
              <w:right w:val="single" w:color="auto" w:sz="4" w:space="0"/>
            </w:tcBorders>
            <w:tcW w:w="5672"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1）支持≥5口USB3.0/TypeC扩展功能</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1.00</w:t>
            </w:r>
            <w:r/>
          </w:p>
        </w:tc>
      </w:tr>
      <w:tr>
        <w:trPr>
          <w:trHeight w:val="2016"/>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设备</w:t>
            </w:r>
            <w:r/>
          </w:p>
        </w:tc>
        <w:tc>
          <w:tcPr>
            <w:shd w:val="clear" w:color="auto" w:fill="auto"/>
            <w:tcBorders>
              <w:top w:val="none" w:color="000000" w:sz="4" w:space="0"/>
              <w:left w:val="none" w:color="000000" w:sz="4" w:space="0"/>
              <w:bottom w:val="single" w:color="auto" w:sz="4" w:space="0"/>
              <w:right w:val="single" w:color="auto" w:sz="4" w:space="0"/>
            </w:tcBorders>
            <w:tcW w:w="132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无线投屏器</w:t>
            </w:r>
            <w:r/>
          </w:p>
        </w:tc>
        <w:tc>
          <w:tcPr>
            <w:shd w:val="clear" w:color="auto" w:fill="auto"/>
            <w:tcBorders>
              <w:top w:val="none" w:color="000000" w:sz="4" w:space="0"/>
              <w:left w:val="none" w:color="000000" w:sz="4" w:space="0"/>
              <w:bottom w:val="single" w:color="auto" w:sz="4" w:space="0"/>
              <w:right w:val="single" w:color="auto" w:sz="4" w:space="0"/>
            </w:tcBorders>
            <w:tcW w:w="5672"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1）支持扫码投屏和投屏码投屏</w:t>
            </w:r>
            <w:r>
              <w:rPr>
                <w:rFonts w:hint="eastAsia" w:asciiTheme="majorEastAsia" w:hAnsiTheme="majorEastAsia" w:eastAsiaTheme="majorEastAsia"/>
                <w:sz w:val="21"/>
                <w:szCs w:val="21"/>
              </w:rPr>
              <w:br/>
              <w:t xml:space="preserve">2）支持2路无线投屏显示</w:t>
            </w:r>
            <w:r>
              <w:rPr>
                <w:rFonts w:hint="eastAsia" w:asciiTheme="majorEastAsia" w:hAnsiTheme="majorEastAsia" w:eastAsiaTheme="majorEastAsia"/>
                <w:sz w:val="21"/>
                <w:szCs w:val="21"/>
              </w:rPr>
              <w:br/>
              <w:t xml:space="preserve">3）支持2.4G+5G双频无线连接</w:t>
            </w:r>
            <w:r>
              <w:rPr>
                <w:rFonts w:hint="eastAsia" w:asciiTheme="majorEastAsia" w:hAnsiTheme="majorEastAsia" w:eastAsiaTheme="majorEastAsia"/>
                <w:sz w:val="21"/>
                <w:szCs w:val="21"/>
              </w:rPr>
              <w:br/>
              <w:t xml:space="preserve">4）支持4K高清显示</w:t>
            </w:r>
            <w:r>
              <w:rPr>
                <w:rFonts w:hint="eastAsia" w:asciiTheme="majorEastAsia" w:hAnsiTheme="majorEastAsia" w:eastAsiaTheme="majorEastAsia"/>
                <w:sz w:val="21"/>
                <w:szCs w:val="21"/>
              </w:rPr>
              <w:br/>
              <w:t xml:space="preserve">5）支持苹果iOS、MacOS设备自带的Airplay投屏功能、无需安装任何软件，支持Airplay多路投屏</w:t>
            </w:r>
            <w:r>
              <w:rPr>
                <w:rFonts w:hint="eastAsia" w:asciiTheme="majorEastAsia" w:hAnsiTheme="majorEastAsia" w:eastAsiaTheme="majorEastAsia"/>
                <w:sz w:val="21"/>
                <w:szCs w:val="21"/>
              </w:rPr>
              <w:br/>
              <w:t xml:space="preserve">6）支持Android设备（手机、Pad）系统自带的无线投屏功能、无需安装任何软件，支持miracast多路投屏</w:t>
            </w:r>
            <w:r>
              <w:rPr>
                <w:rFonts w:hint="eastAsia" w:asciiTheme="majorEastAsia" w:hAnsiTheme="majorEastAsia" w:eastAsiaTheme="majorEastAsia"/>
                <w:sz w:val="21"/>
                <w:szCs w:val="21"/>
              </w:rPr>
              <w:br/>
              <w:t xml:space="preserve">7）支持Windows8/10电脑自带的无线投屏功能、无需安装任何软件，支持WiDi多路投屏</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1.00</w:t>
            </w:r>
            <w:r/>
          </w:p>
        </w:tc>
      </w:tr>
      <w:tr>
        <w:trPr>
          <w:trHeight w:val="828"/>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设备</w:t>
            </w:r>
            <w:r/>
          </w:p>
        </w:tc>
        <w:tc>
          <w:tcPr>
            <w:shd w:val="clear" w:color="auto" w:fill="auto"/>
            <w:tcBorders>
              <w:top w:val="none" w:color="000000" w:sz="4" w:space="0"/>
              <w:left w:val="none" w:color="000000" w:sz="4" w:space="0"/>
              <w:bottom w:val="single" w:color="auto" w:sz="4" w:space="0"/>
              <w:right w:val="single" w:color="auto" w:sz="4" w:space="0"/>
            </w:tcBorders>
            <w:tcW w:w="132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USB发射器</w:t>
            </w:r>
            <w:r/>
          </w:p>
        </w:tc>
        <w:tc>
          <w:tcPr>
            <w:shd w:val="clear" w:color="auto" w:fill="auto"/>
            <w:tcBorders>
              <w:top w:val="none" w:color="000000" w:sz="4" w:space="0"/>
              <w:left w:val="none" w:color="000000" w:sz="4" w:space="0"/>
              <w:bottom w:val="single" w:color="auto" w:sz="4" w:space="0"/>
              <w:right w:val="single" w:color="auto" w:sz="4" w:space="0"/>
            </w:tcBorders>
            <w:tcW w:w="5672"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1）USB2.0/USB3.0供电，插入接收端USB接口自动配对，一键投屏</w:t>
            </w:r>
            <w:r>
              <w:rPr>
                <w:rFonts w:hint="eastAsia" w:asciiTheme="majorEastAsia" w:hAnsiTheme="majorEastAsia" w:eastAsiaTheme="majorEastAsia"/>
                <w:sz w:val="21"/>
                <w:szCs w:val="21"/>
              </w:rPr>
              <w:br/>
              <w:t xml:space="preserve">2）非首次启动时间（从插入电脑至可投屏）≤16s</w:t>
            </w:r>
            <w:r>
              <w:rPr>
                <w:rFonts w:hint="eastAsia" w:asciiTheme="majorEastAsia" w:hAnsiTheme="majorEastAsia" w:eastAsiaTheme="majorEastAsia"/>
                <w:sz w:val="21"/>
                <w:szCs w:val="21"/>
              </w:rPr>
              <w:br/>
              <w:t xml:space="preserve">3）投屏响应时间（从按下到接收端镜像成功）≤3s</w:t>
            </w:r>
            <w:r>
              <w:rPr>
                <w:rFonts w:hint="eastAsia" w:asciiTheme="majorEastAsia" w:hAnsiTheme="majorEastAsia" w:eastAsiaTheme="majorEastAsia"/>
                <w:sz w:val="21"/>
                <w:szCs w:val="21"/>
              </w:rPr>
              <w:br/>
              <w:t xml:space="preserve">4）抢占响应时间≤3s</w:t>
            </w:r>
            <w:r>
              <w:rPr>
                <w:rFonts w:hint="eastAsia" w:asciiTheme="majorEastAsia" w:hAnsiTheme="majorEastAsia" w:eastAsiaTheme="majorEastAsia"/>
                <w:sz w:val="21"/>
                <w:szCs w:val="21"/>
              </w:rPr>
              <w:br/>
              <w:t xml:space="preserve">5）高清视频投屏延时≤130ms@平均值</w:t>
            </w:r>
            <w:r>
              <w:rPr>
                <w:rFonts w:hint="eastAsia" w:asciiTheme="majorEastAsia" w:hAnsiTheme="majorEastAsia" w:eastAsiaTheme="majorEastAsia"/>
                <w:sz w:val="21"/>
                <w:szCs w:val="21"/>
              </w:rPr>
              <w:br/>
              <w:t xml:space="preserve">6）传输距离≥30m</w:t>
            </w:r>
            <w:r>
              <w:rPr>
                <w:rFonts w:hint="eastAsia" w:asciiTheme="majorEastAsia" w:hAnsiTheme="majorEastAsia" w:eastAsiaTheme="majorEastAsia"/>
                <w:sz w:val="21"/>
                <w:szCs w:val="21"/>
              </w:rPr>
              <w:br/>
              <w:t xml:space="preserve">7）鼠标投屏延时≤60ms</w:t>
            </w:r>
            <w:r>
              <w:rPr>
                <w:rFonts w:hint="eastAsia" w:asciiTheme="majorEastAsia" w:hAnsiTheme="majorEastAsia" w:eastAsiaTheme="majorEastAsia"/>
                <w:sz w:val="21"/>
                <w:szCs w:val="21"/>
              </w:rPr>
              <w:br/>
              <w:t xml:space="preserve">8）发射器兼容Windows7/8/10，Mac OS 10.8/9/10/11/12</w:t>
            </w:r>
            <w:r>
              <w:rPr>
                <w:rFonts w:hint="eastAsia" w:asciiTheme="majorEastAsia" w:hAnsiTheme="majorEastAsia" w:eastAsiaTheme="majorEastAsia"/>
                <w:sz w:val="21"/>
                <w:szCs w:val="21"/>
              </w:rPr>
              <w:br/>
              <w:t xml:space="preserve">9）支持10点反控</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1.00</w:t>
            </w:r>
            <w:r/>
          </w:p>
        </w:tc>
      </w:tr>
      <w:tr>
        <w:trPr>
          <w:trHeight w:val="2016"/>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设备</w:t>
            </w:r>
            <w:r/>
          </w:p>
        </w:tc>
        <w:tc>
          <w:tcPr>
            <w:shd w:val="clear" w:color="auto" w:fill="auto"/>
            <w:tcBorders>
              <w:top w:val="none" w:color="000000" w:sz="4" w:space="0"/>
              <w:left w:val="none" w:color="000000" w:sz="4" w:space="0"/>
              <w:bottom w:val="single" w:color="auto" w:sz="4" w:space="0"/>
              <w:right w:val="single" w:color="auto" w:sz="4" w:space="0"/>
            </w:tcBorders>
            <w:tcW w:w="132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8进8出无缝HDMI矩阵</w:t>
            </w:r>
            <w:r/>
          </w:p>
        </w:tc>
        <w:tc>
          <w:tcPr>
            <w:shd w:val="clear" w:color="auto" w:fill="auto"/>
            <w:tcBorders>
              <w:top w:val="none" w:color="000000" w:sz="4" w:space="0"/>
              <w:left w:val="none" w:color="000000" w:sz="4" w:space="0"/>
              <w:bottom w:val="single" w:color="auto" w:sz="4" w:space="0"/>
              <w:right w:val="single" w:color="auto" w:sz="4" w:space="0"/>
            </w:tcBorders>
            <w:tcW w:w="5672"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1）输入≥8路HDMI信号，输出≥8路HDMI信号；</w:t>
            </w:r>
            <w:r>
              <w:rPr>
                <w:rFonts w:hint="eastAsia" w:asciiTheme="majorEastAsia" w:hAnsiTheme="majorEastAsia" w:eastAsiaTheme="majorEastAsia"/>
                <w:sz w:val="21"/>
                <w:szCs w:val="21"/>
              </w:rPr>
              <w:br/>
              <w:t xml:space="preserve">2）所有输⼊接⼝均⽀持HDCP解密、蓝光，3D；</w:t>
            </w:r>
            <w:r>
              <w:rPr>
                <w:rFonts w:hint="eastAsia" w:asciiTheme="majorEastAsia" w:hAnsiTheme="majorEastAsia" w:eastAsiaTheme="majorEastAsia"/>
                <w:sz w:val="21"/>
                <w:szCs w:val="21"/>
              </w:rPr>
              <w:br/>
              <w:t xml:space="preserve">3）⽀持信号时序重整, CEC, 36位真彩技术； </w:t>
            </w:r>
            <w:r>
              <w:rPr>
                <w:rFonts w:hint="eastAsia" w:asciiTheme="majorEastAsia" w:hAnsiTheme="majorEastAsia" w:eastAsiaTheme="majorEastAsia"/>
                <w:sz w:val="21"/>
                <w:szCs w:val="21"/>
              </w:rPr>
              <w:br/>
              <w:t xml:space="preserve">4）⽀持通道快速关闭；⽀持HDMI1.4a协议版本⽀持:4Kx2K@30Hz、1080P@120Hz、1080P 3D@60Hz；</w:t>
            </w:r>
            <w:r>
              <w:rPr>
                <w:rFonts w:hint="eastAsia" w:asciiTheme="majorEastAsia" w:hAnsiTheme="majorEastAsia" w:eastAsiaTheme="majorEastAsia"/>
                <w:sz w:val="21"/>
                <w:szCs w:val="21"/>
              </w:rPr>
              <w:br/>
              <w:t xml:space="preserve">5）可视化按键，通过按键指⽰灯可实现输⼊输出通道状态可视化； </w:t>
            </w:r>
            <w:r>
              <w:rPr>
                <w:rFonts w:hint="eastAsia" w:asciiTheme="majorEastAsia" w:hAnsiTheme="majorEastAsia" w:eastAsiaTheme="majorEastAsia"/>
                <w:sz w:val="21"/>
                <w:szCs w:val="21"/>
              </w:rPr>
              <w:br/>
              <w:t xml:space="preserve">6）图像切换时间≤0.1s；</w:t>
            </w:r>
            <w:r>
              <w:rPr>
                <w:rFonts w:hint="eastAsia" w:asciiTheme="majorEastAsia" w:hAnsiTheme="majorEastAsia" w:eastAsiaTheme="majorEastAsia"/>
                <w:sz w:val="21"/>
                <w:szCs w:val="21"/>
              </w:rPr>
              <w:br/>
              <w:t xml:space="preserve">7）⽀持按键，红外遥控，RS232串⼝等多种控制⽅式；</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1.00</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设备</w:t>
            </w:r>
            <w:r/>
          </w:p>
        </w:tc>
        <w:tc>
          <w:tcPr>
            <w:shd w:val="clear" w:color="auto" w:fill="auto"/>
            <w:tcBorders>
              <w:top w:val="none" w:color="000000" w:sz="4" w:space="0"/>
              <w:left w:val="none" w:color="000000" w:sz="4" w:space="0"/>
              <w:bottom w:val="single" w:color="auto" w:sz="4" w:space="0"/>
              <w:right w:val="single" w:color="auto" w:sz="4" w:space="0"/>
            </w:tcBorders>
            <w:tcW w:w="132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HDMI分配器</w:t>
            </w:r>
            <w:r/>
          </w:p>
        </w:tc>
        <w:tc>
          <w:tcPr>
            <w:shd w:val="clear" w:color="auto" w:fill="auto"/>
            <w:tcBorders>
              <w:top w:val="none" w:color="000000" w:sz="4" w:space="0"/>
              <w:left w:val="none" w:color="000000" w:sz="4" w:space="0"/>
              <w:bottom w:val="single" w:color="auto" w:sz="4" w:space="0"/>
              <w:right w:val="single" w:color="auto" w:sz="4" w:space="0"/>
            </w:tcBorders>
            <w:tcW w:w="5672"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HDMI一分八分配器</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2.00</w:t>
            </w:r>
            <w:r/>
          </w:p>
        </w:tc>
      </w:tr>
      <w:tr>
        <w:trPr>
          <w:trHeight w:val="576"/>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设备</w:t>
            </w:r>
            <w:r/>
          </w:p>
        </w:tc>
        <w:tc>
          <w:tcPr>
            <w:shd w:val="clear" w:color="auto" w:fill="auto"/>
            <w:tcBorders>
              <w:top w:val="none" w:color="000000" w:sz="4" w:space="0"/>
              <w:left w:val="none" w:color="000000" w:sz="4" w:space="0"/>
              <w:bottom w:val="single" w:color="auto" w:sz="4" w:space="0"/>
              <w:right w:val="single" w:color="auto" w:sz="4" w:space="0"/>
            </w:tcBorders>
            <w:tcW w:w="132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HDMI音频分离器</w:t>
            </w:r>
            <w:r/>
          </w:p>
        </w:tc>
        <w:tc>
          <w:tcPr>
            <w:shd w:val="clear" w:color="auto" w:fill="auto"/>
            <w:tcBorders>
              <w:top w:val="none" w:color="000000" w:sz="4" w:space="0"/>
              <w:left w:val="none" w:color="000000" w:sz="4" w:space="0"/>
              <w:bottom w:val="single" w:color="auto" w:sz="4" w:space="0"/>
              <w:right w:val="single" w:color="auto" w:sz="4" w:space="0"/>
            </w:tcBorders>
            <w:tcW w:w="5672"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1）支持≥1路HDMI输入接口；</w:t>
            </w:r>
            <w:r>
              <w:rPr>
                <w:rFonts w:hint="eastAsia" w:asciiTheme="majorEastAsia" w:hAnsiTheme="majorEastAsia" w:eastAsiaTheme="majorEastAsia"/>
                <w:sz w:val="21"/>
                <w:szCs w:val="21"/>
              </w:rPr>
              <w:br/>
              <w:t xml:space="preserve">2）支持≥1路HDMI输出接口，≥1路3.5mm音频输出接口；</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2.00</w:t>
            </w:r>
            <w:r/>
          </w:p>
        </w:tc>
      </w:tr>
      <w:tr>
        <w:trPr>
          <w:trHeight w:val="3744"/>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设备</w:t>
            </w:r>
            <w:r/>
          </w:p>
        </w:tc>
        <w:tc>
          <w:tcPr>
            <w:shd w:val="clear" w:color="auto" w:fill="auto"/>
            <w:tcBorders>
              <w:top w:val="none" w:color="000000" w:sz="4" w:space="0"/>
              <w:left w:val="none" w:color="000000" w:sz="4" w:space="0"/>
              <w:bottom w:val="single" w:color="auto" w:sz="4" w:space="0"/>
              <w:right w:val="single" w:color="auto" w:sz="4" w:space="0"/>
            </w:tcBorders>
            <w:tcW w:w="132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智能控制网关</w:t>
            </w:r>
            <w:r/>
          </w:p>
        </w:tc>
        <w:tc>
          <w:tcPr>
            <w:shd w:val="clear" w:color="auto" w:fill="auto"/>
            <w:tcBorders>
              <w:top w:val="none" w:color="000000" w:sz="4" w:space="0"/>
              <w:left w:val="none" w:color="000000" w:sz="4" w:space="0"/>
              <w:bottom w:val="single" w:color="auto" w:sz="4" w:space="0"/>
              <w:right w:val="single" w:color="auto" w:sz="4" w:space="0"/>
            </w:tcBorders>
            <w:tcW w:w="5672"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1）最大可支持≥8路隔离低压继电器(常开触点)。</w:t>
            </w:r>
            <w:r>
              <w:rPr>
                <w:rFonts w:hint="eastAsia" w:asciiTheme="majorEastAsia" w:hAnsiTheme="majorEastAsia" w:eastAsiaTheme="majorEastAsia"/>
                <w:sz w:val="21"/>
                <w:szCs w:val="21"/>
              </w:rPr>
              <w:br/>
              <w:t xml:space="preserve">2）最大可支持≥16路可编程串行通讯口RS232对外控制。其中最大可支持≥8路RS232双向控制。</w:t>
            </w:r>
            <w:r>
              <w:rPr>
                <w:rFonts w:hint="eastAsia" w:asciiTheme="majorEastAsia" w:hAnsiTheme="majorEastAsia" w:eastAsiaTheme="majorEastAsia"/>
                <w:sz w:val="21"/>
                <w:szCs w:val="21"/>
              </w:rPr>
              <w:br/>
              <w:t xml:space="preserve">3）最大可支持≥4路可编程RS422。</w:t>
            </w:r>
            <w:r>
              <w:rPr>
                <w:rFonts w:hint="eastAsia" w:asciiTheme="majorEastAsia" w:hAnsiTheme="majorEastAsia" w:eastAsiaTheme="majorEastAsia"/>
                <w:sz w:val="21"/>
                <w:szCs w:val="21"/>
              </w:rPr>
              <w:br/>
              <w:t xml:space="preserve">4）最大可支持≥4路可编程RS485。</w:t>
            </w:r>
            <w:r>
              <w:rPr>
                <w:rFonts w:hint="eastAsia" w:asciiTheme="majorEastAsia" w:hAnsiTheme="majorEastAsia" w:eastAsiaTheme="majorEastAsia"/>
                <w:sz w:val="21"/>
                <w:szCs w:val="21"/>
              </w:rPr>
              <w:br/>
              <w:t xml:space="preserve">5）最大可支持≥8路可编程IR发送。</w:t>
            </w:r>
            <w:r>
              <w:rPr>
                <w:rFonts w:hint="eastAsia" w:asciiTheme="majorEastAsia" w:hAnsiTheme="majorEastAsia" w:eastAsiaTheme="majorEastAsia"/>
                <w:sz w:val="21"/>
                <w:szCs w:val="21"/>
              </w:rPr>
              <w:br/>
              <w:t xml:space="preserve">6）≥1路网口、支持TCP-CLient、UDP-CLient、TCP-Server、UDP-Server、Telnet、Http、SNMP等协议服务，每个协议可以同时进行工作。</w:t>
            </w:r>
            <w:r>
              <w:rPr>
                <w:rFonts w:hint="eastAsia" w:asciiTheme="majorEastAsia" w:hAnsiTheme="majorEastAsia" w:eastAsiaTheme="majorEastAsia"/>
                <w:sz w:val="21"/>
                <w:szCs w:val="21"/>
              </w:rPr>
              <w:br/>
              <w:t xml:space="preserve">7）支持网络控制与组网管理控制；支持android、ios、Windows、鸿蒙等系统控制终端。</w:t>
            </w:r>
            <w:r>
              <w:rPr>
                <w:rFonts w:hint="eastAsia" w:asciiTheme="majorEastAsia" w:hAnsiTheme="majorEastAsia" w:eastAsiaTheme="majorEastAsia"/>
                <w:sz w:val="21"/>
                <w:szCs w:val="21"/>
              </w:rPr>
              <w:br/>
              <w:t xml:space="preserve">8）支持BS和CS架构。</w:t>
            </w:r>
            <w:r>
              <w:rPr>
                <w:rFonts w:hint="eastAsia" w:asciiTheme="majorEastAsia" w:hAnsiTheme="majorEastAsia" w:eastAsiaTheme="majorEastAsia"/>
                <w:sz w:val="21"/>
                <w:szCs w:val="21"/>
              </w:rPr>
              <w:br/>
              <w:t xml:space="preserve">9）支持单个按钮可以发送≥999条指令命令。</w:t>
            </w:r>
            <w:r>
              <w:rPr>
                <w:rFonts w:hint="eastAsia" w:asciiTheme="majorEastAsia" w:hAnsiTheme="majorEastAsia" w:eastAsiaTheme="majorEastAsia"/>
                <w:sz w:val="21"/>
                <w:szCs w:val="21"/>
              </w:rPr>
              <w:br/>
              <w:t xml:space="preserve">10）支持模拟量比对、模拟量异或、模数转换等。</w:t>
            </w:r>
            <w:r>
              <w:rPr>
                <w:rFonts w:hint="eastAsia" w:asciiTheme="majorEastAsia" w:hAnsiTheme="majorEastAsia" w:eastAsiaTheme="majorEastAsia"/>
                <w:sz w:val="21"/>
                <w:szCs w:val="21"/>
              </w:rPr>
              <w:br/>
              <w:t xml:space="preserve">11）支持本地在线编程，无需安装软件，直接通过浏览器访问智能网关IP地址。</w:t>
            </w:r>
            <w:r>
              <w:rPr>
                <w:rFonts w:hint="eastAsia" w:asciiTheme="majorEastAsia" w:hAnsiTheme="majorEastAsia" w:eastAsiaTheme="majorEastAsia"/>
                <w:sz w:val="21"/>
                <w:szCs w:val="21"/>
              </w:rPr>
              <w:br/>
              <w:t xml:space="preserve">12）支持控制模块编组成宏继承分享，支持用户自建功能模块，可采用最流行的网络脚本语言JavaScript编写；</w:t>
            </w:r>
            <w:r>
              <w:rPr>
                <w:rFonts w:hint="eastAsia" w:asciiTheme="majorEastAsia" w:hAnsiTheme="majorEastAsia" w:eastAsiaTheme="majorEastAsia"/>
                <w:sz w:val="21"/>
                <w:szCs w:val="21"/>
              </w:rPr>
              <w:br/>
              <w:t xml:space="preserve">13）同时支持≥三套相互独立的用户控制界面，支持多用户、跨平台、分布式控制，适用于多用户集群控制场景。</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1.00</w:t>
            </w:r>
            <w:r/>
          </w:p>
        </w:tc>
      </w:tr>
      <w:tr>
        <w:trPr>
          <w:trHeight w:val="1728"/>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软件</w:t>
            </w:r>
            <w:r/>
          </w:p>
        </w:tc>
        <w:tc>
          <w:tcPr>
            <w:shd w:val="clear" w:color="auto" w:fill="auto"/>
            <w:tcBorders>
              <w:top w:val="none" w:color="000000" w:sz="4" w:space="0"/>
              <w:left w:val="none" w:color="000000" w:sz="4" w:space="0"/>
              <w:bottom w:val="single" w:color="auto" w:sz="4" w:space="0"/>
              <w:right w:val="single" w:color="auto" w:sz="4" w:space="0"/>
            </w:tcBorders>
            <w:tcW w:w="132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智能控制定制软件模块</w:t>
            </w:r>
            <w:r/>
          </w:p>
        </w:tc>
        <w:tc>
          <w:tcPr>
            <w:shd w:val="clear" w:color="auto" w:fill="auto"/>
            <w:tcBorders>
              <w:top w:val="none" w:color="000000" w:sz="4" w:space="0"/>
              <w:left w:val="none" w:color="000000" w:sz="4" w:space="0"/>
              <w:bottom w:val="single" w:color="auto" w:sz="4" w:space="0"/>
              <w:right w:val="single" w:color="auto" w:sz="4" w:space="0"/>
            </w:tcBorders>
            <w:tcW w:w="5672"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1）内部BS2.0浏览器控制软件，支持iPad/iPhone浏览器全屏控制界面</w:t>
            </w:r>
            <w:r>
              <w:rPr>
                <w:rFonts w:hint="eastAsia" w:asciiTheme="majorEastAsia" w:hAnsiTheme="majorEastAsia" w:eastAsiaTheme="majorEastAsia"/>
                <w:sz w:val="21"/>
                <w:szCs w:val="21"/>
              </w:rPr>
              <w:br/>
              <w:t xml:space="preserve">2）定制化编程满足多种场景设备控制使用需求</w:t>
            </w:r>
            <w:r>
              <w:rPr>
                <w:rFonts w:hint="eastAsia" w:asciiTheme="majorEastAsia" w:hAnsiTheme="majorEastAsia" w:eastAsiaTheme="majorEastAsia"/>
                <w:sz w:val="21"/>
                <w:szCs w:val="21"/>
              </w:rPr>
              <w:br/>
              <w:t xml:space="preserve">3）包含平板控制软件永久授权；</w:t>
            </w:r>
            <w:r>
              <w:rPr>
                <w:rFonts w:hint="eastAsia" w:asciiTheme="majorEastAsia" w:hAnsiTheme="majorEastAsia" w:eastAsiaTheme="majorEastAsia"/>
                <w:sz w:val="21"/>
                <w:szCs w:val="21"/>
              </w:rPr>
              <w:br/>
              <w:t xml:space="preserve">4）平板控制软件界面UI定制化编辑；</w:t>
            </w:r>
            <w:r>
              <w:rPr>
                <w:rFonts w:hint="eastAsia" w:asciiTheme="majorEastAsia" w:hAnsiTheme="majorEastAsia" w:eastAsiaTheme="majorEastAsia"/>
                <w:sz w:val="21"/>
                <w:szCs w:val="21"/>
              </w:rPr>
              <w:br/>
              <w:t xml:space="preserve">5）支持扩展控制设备接入；</w:t>
            </w:r>
            <w:r>
              <w:rPr>
                <w:rFonts w:hint="eastAsia" w:asciiTheme="majorEastAsia" w:hAnsiTheme="majorEastAsia" w:eastAsiaTheme="majorEastAsia"/>
                <w:sz w:val="21"/>
                <w:szCs w:val="21"/>
              </w:rPr>
              <w:br/>
              <w:t xml:space="preserve">6）软件运行平台：Android/IOS/鸿蒙</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1.00</w:t>
            </w:r>
            <w:r/>
          </w:p>
        </w:tc>
      </w:tr>
      <w:tr>
        <w:trPr>
          <w:trHeight w:val="1728"/>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设备</w:t>
            </w:r>
            <w:r/>
          </w:p>
        </w:tc>
        <w:tc>
          <w:tcPr>
            <w:shd w:val="clear" w:color="auto" w:fill="auto"/>
            <w:tcBorders>
              <w:top w:val="none" w:color="000000" w:sz="4" w:space="0"/>
              <w:left w:val="none" w:color="000000" w:sz="4" w:space="0"/>
              <w:bottom w:val="single" w:color="auto" w:sz="4" w:space="0"/>
              <w:right w:val="single" w:color="auto" w:sz="4" w:space="0"/>
            </w:tcBorders>
            <w:tcW w:w="132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8路电源时序器</w:t>
            </w:r>
            <w:r/>
          </w:p>
        </w:tc>
        <w:tc>
          <w:tcPr>
            <w:shd w:val="clear" w:color="auto" w:fill="auto"/>
            <w:tcBorders>
              <w:top w:val="none" w:color="000000" w:sz="4" w:space="0"/>
              <w:left w:val="none" w:color="000000" w:sz="4" w:space="0"/>
              <w:bottom w:val="single" w:color="auto" w:sz="4" w:space="0"/>
              <w:right w:val="single" w:color="auto" w:sz="4" w:space="0"/>
            </w:tcBorders>
            <w:tcW w:w="5672"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1）通道数量：≥8路；</w:t>
            </w:r>
            <w:r>
              <w:rPr>
                <w:rFonts w:hint="eastAsia" w:asciiTheme="majorEastAsia" w:hAnsiTheme="majorEastAsia" w:eastAsiaTheme="majorEastAsia"/>
                <w:sz w:val="21"/>
                <w:szCs w:val="21"/>
              </w:rPr>
              <w:br/>
              <w:t xml:space="preserve">2）每个通道的最大输出电流：≥15A；</w:t>
            </w:r>
            <w:r>
              <w:rPr>
                <w:rFonts w:hint="eastAsia" w:asciiTheme="majorEastAsia" w:hAnsiTheme="majorEastAsia" w:eastAsiaTheme="majorEastAsia"/>
                <w:sz w:val="21"/>
                <w:szCs w:val="21"/>
              </w:rPr>
              <w:br/>
              <w:t xml:space="preserve">3）交流电输入：180V~260V；</w:t>
            </w:r>
            <w:r>
              <w:rPr>
                <w:rFonts w:hint="eastAsia" w:asciiTheme="majorEastAsia" w:hAnsiTheme="majorEastAsia" w:eastAsiaTheme="majorEastAsia"/>
                <w:sz w:val="21"/>
                <w:szCs w:val="21"/>
              </w:rPr>
              <w:br/>
              <w:t xml:space="preserve">4）标准负载功率：≥2200W/通道；</w:t>
            </w:r>
            <w:r>
              <w:rPr>
                <w:rFonts w:hint="eastAsia" w:asciiTheme="majorEastAsia" w:hAnsiTheme="majorEastAsia" w:eastAsiaTheme="majorEastAsia"/>
                <w:sz w:val="21"/>
                <w:szCs w:val="21"/>
              </w:rPr>
              <w:br/>
              <w:t xml:space="preserve">5）每步时间：1s；</w:t>
            </w:r>
            <w:r>
              <w:rPr>
                <w:rFonts w:hint="eastAsia" w:asciiTheme="majorEastAsia" w:hAnsiTheme="majorEastAsia" w:eastAsiaTheme="majorEastAsia"/>
                <w:sz w:val="21"/>
                <w:szCs w:val="21"/>
              </w:rPr>
              <w:br/>
              <w:t xml:space="preserve">6）RS232控制</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2.00</w:t>
            </w:r>
            <w:r/>
          </w:p>
        </w:tc>
      </w:tr>
      <w:tr>
        <w:trPr>
          <w:trHeight w:val="1440"/>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设备</w:t>
            </w:r>
            <w:r/>
          </w:p>
        </w:tc>
        <w:tc>
          <w:tcPr>
            <w:shd w:val="clear" w:color="auto" w:fill="auto"/>
            <w:tcBorders>
              <w:top w:val="none" w:color="000000" w:sz="4" w:space="0"/>
              <w:left w:val="none" w:color="000000" w:sz="4" w:space="0"/>
              <w:bottom w:val="single" w:color="auto" w:sz="4" w:space="0"/>
              <w:right w:val="single" w:color="auto" w:sz="4" w:space="0"/>
            </w:tcBorders>
            <w:tcW w:w="132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平板</w:t>
            </w:r>
            <w:r/>
          </w:p>
        </w:tc>
        <w:tc>
          <w:tcPr>
            <w:shd w:val="clear" w:color="auto" w:fill="auto"/>
            <w:tcBorders>
              <w:top w:val="none" w:color="000000" w:sz="4" w:space="0"/>
              <w:left w:val="none" w:color="000000" w:sz="4" w:space="0"/>
              <w:bottom w:val="single" w:color="auto" w:sz="4" w:space="0"/>
              <w:right w:val="single" w:color="auto" w:sz="4" w:space="0"/>
            </w:tcBorders>
            <w:tcW w:w="5672"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1）≥6G+128G WiFi版</w:t>
            </w:r>
            <w:r>
              <w:rPr>
                <w:rFonts w:hint="eastAsia" w:asciiTheme="majorEastAsia" w:hAnsiTheme="majorEastAsia" w:eastAsiaTheme="majorEastAsia"/>
                <w:sz w:val="21"/>
                <w:szCs w:val="21"/>
              </w:rPr>
              <w:br/>
              <w:t xml:space="preserve">2）屏幕尺寸：≥10.95英寸</w:t>
            </w:r>
            <w:r>
              <w:rPr>
                <w:rFonts w:hint="eastAsia" w:asciiTheme="majorEastAsia" w:hAnsiTheme="majorEastAsia" w:eastAsiaTheme="majorEastAsia"/>
                <w:sz w:val="21"/>
                <w:szCs w:val="21"/>
              </w:rPr>
              <w:br/>
              <w:t xml:space="preserve">3）分辨率：≥2560*1600</w:t>
            </w:r>
            <w:r>
              <w:rPr>
                <w:rFonts w:hint="eastAsia" w:asciiTheme="majorEastAsia" w:hAnsiTheme="majorEastAsia" w:eastAsiaTheme="majorEastAsia"/>
                <w:sz w:val="21"/>
                <w:szCs w:val="21"/>
              </w:rPr>
              <w:br/>
              <w:t xml:space="preserve">4）支持IPv6：支持IPv6</w:t>
            </w:r>
            <w:r>
              <w:rPr>
                <w:rFonts w:hint="eastAsia" w:asciiTheme="majorEastAsia" w:hAnsiTheme="majorEastAsia" w:eastAsiaTheme="majorEastAsia"/>
                <w:sz w:val="21"/>
                <w:szCs w:val="21"/>
              </w:rPr>
              <w:br/>
              <w:t xml:space="preserve">5）系统：HarmonyOS/Android/IOS</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1.00</w:t>
            </w:r>
            <w:r/>
          </w:p>
        </w:tc>
      </w:tr>
      <w:tr>
        <w:trPr>
          <w:trHeight w:val="864"/>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设备</w:t>
            </w:r>
            <w:r/>
          </w:p>
        </w:tc>
        <w:tc>
          <w:tcPr>
            <w:shd w:val="clear" w:color="auto" w:fill="auto"/>
            <w:tcBorders>
              <w:top w:val="none" w:color="000000" w:sz="4" w:space="0"/>
              <w:left w:val="none" w:color="000000" w:sz="4" w:space="0"/>
              <w:bottom w:val="single" w:color="auto" w:sz="4" w:space="0"/>
              <w:right w:val="single" w:color="auto" w:sz="4" w:space="0"/>
            </w:tcBorders>
            <w:tcW w:w="132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路由器</w:t>
            </w:r>
            <w:r/>
          </w:p>
        </w:tc>
        <w:tc>
          <w:tcPr>
            <w:shd w:val="clear" w:color="auto" w:fill="auto"/>
            <w:tcBorders>
              <w:top w:val="none" w:color="000000" w:sz="4" w:space="0"/>
              <w:left w:val="none" w:color="000000" w:sz="4" w:space="0"/>
              <w:bottom w:val="single" w:color="auto" w:sz="4" w:space="0"/>
              <w:right w:val="single" w:color="auto" w:sz="4" w:space="0"/>
            </w:tcBorders>
            <w:tcW w:w="5672"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1）支持网络，触摸屏与中控主机建立通讯连接</w:t>
            </w:r>
            <w:r>
              <w:rPr>
                <w:rFonts w:hint="eastAsia" w:asciiTheme="majorEastAsia" w:hAnsiTheme="majorEastAsia" w:eastAsiaTheme="majorEastAsia"/>
                <w:sz w:val="21"/>
                <w:szCs w:val="21"/>
              </w:rPr>
              <w:br/>
              <w:t xml:space="preserve">2）无线速率≥3000M</w:t>
            </w:r>
            <w:r>
              <w:rPr>
                <w:rFonts w:hint="eastAsia" w:asciiTheme="majorEastAsia" w:hAnsiTheme="majorEastAsia" w:eastAsiaTheme="majorEastAsia"/>
                <w:sz w:val="21"/>
                <w:szCs w:val="21"/>
              </w:rPr>
              <w:br/>
              <w:t xml:space="preserve">3）支持IPv6</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1.00</w:t>
            </w:r>
            <w:r/>
          </w:p>
        </w:tc>
      </w:tr>
      <w:tr>
        <w:trPr>
          <w:trHeight w:val="3168"/>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其他</w:t>
            </w:r>
            <w:r/>
          </w:p>
        </w:tc>
        <w:tc>
          <w:tcPr>
            <w:shd w:val="clear" w:color="auto" w:fill="auto"/>
            <w:tcBorders>
              <w:top w:val="none" w:color="000000" w:sz="4" w:space="0"/>
              <w:left w:val="none" w:color="000000" w:sz="4" w:space="0"/>
              <w:bottom w:val="single" w:color="auto" w:sz="4" w:space="0"/>
              <w:right w:val="single" w:color="auto" w:sz="4" w:space="0"/>
            </w:tcBorders>
            <w:tcW w:w="132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会议桌</w:t>
            </w:r>
            <w:r/>
          </w:p>
        </w:tc>
        <w:tc>
          <w:tcPr>
            <w:shd w:val="clear" w:color="auto" w:fill="auto"/>
            <w:tcBorders>
              <w:top w:val="none" w:color="000000" w:sz="4" w:space="0"/>
              <w:left w:val="none" w:color="000000" w:sz="4" w:space="0"/>
              <w:bottom w:val="single" w:color="auto" w:sz="4" w:space="0"/>
              <w:right w:val="single" w:color="auto" w:sz="4" w:space="0"/>
            </w:tcBorders>
            <w:tcW w:w="5672"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定制会议桌，满足无纸化设备需求</w:t>
            </w:r>
            <w:r>
              <w:rPr>
                <w:rFonts w:hint="eastAsia" w:asciiTheme="majorEastAsia" w:hAnsiTheme="majorEastAsia" w:eastAsiaTheme="majorEastAsia"/>
                <w:sz w:val="21"/>
                <w:szCs w:val="21"/>
              </w:rPr>
              <w:br/>
              <w:t xml:space="preserve">会议桌规格：1700*4800*760mm；</w:t>
            </w:r>
            <w:r>
              <w:rPr>
                <w:rFonts w:hint="eastAsia" w:asciiTheme="majorEastAsia" w:hAnsiTheme="majorEastAsia" w:eastAsiaTheme="majorEastAsia"/>
                <w:sz w:val="21"/>
                <w:szCs w:val="21"/>
              </w:rPr>
              <w:br/>
              <w:t xml:space="preserve">1)中纤板:选用E0级中纤板、满足GB/T 39600-2021要求,甲醛释放量≤0.05mg/m³</w:t>
            </w:r>
            <w:r>
              <w:rPr>
                <w:rFonts w:hint="eastAsia" w:asciiTheme="majorEastAsia" w:hAnsiTheme="majorEastAsia" w:eastAsiaTheme="majorEastAsia"/>
                <w:sz w:val="21"/>
                <w:szCs w:val="21"/>
              </w:rPr>
              <w:br/>
              <w:t xml:space="preserve">2)刨花板:选用E0级刨花板,满足GB/T 39600-2021要求,甲醛释放量≤0.05mg/m³</w:t>
            </w:r>
            <w:r>
              <w:rPr>
                <w:rFonts w:hint="eastAsia" w:asciiTheme="majorEastAsia" w:hAnsiTheme="majorEastAsia" w:eastAsiaTheme="majorEastAsia"/>
                <w:sz w:val="21"/>
                <w:szCs w:val="21"/>
              </w:rPr>
              <w:br/>
              <w:t xml:space="preserve">3)中纤板/刨花板:选用E0级中纤板、E0级刨花板,满足GB/T 39600-2021要求,甲醛释放量≤0.05mg/m³</w:t>
            </w:r>
            <w:r>
              <w:rPr>
                <w:rFonts w:hint="eastAsia" w:asciiTheme="majorEastAsia" w:hAnsiTheme="majorEastAsia" w:eastAsiaTheme="majorEastAsia"/>
                <w:sz w:val="21"/>
                <w:szCs w:val="21"/>
              </w:rPr>
              <w:br/>
              <w:t xml:space="preserve">4)油漆:采用水性环保油漆,满足GB/T 23999-2009 室内装饰装修用水性木器涂料，GB 18581-2020 木器涂料中有害物质限量要求,游离甲醛含量≤100mg/Kg,挥发性有机化合物含量≤300g/L,总铅含量≤90mg/kg，镉含量≤75mg/kg，铬含量≤60mg/kg，汞含量≤60mg/kg</w:t>
            </w:r>
            <w:r>
              <w:rPr>
                <w:rFonts w:hint="eastAsia" w:asciiTheme="majorEastAsia" w:hAnsiTheme="majorEastAsia" w:eastAsiaTheme="majorEastAsia"/>
                <w:sz w:val="21"/>
                <w:szCs w:val="21"/>
              </w:rPr>
              <w:br/>
              <w:t xml:space="preserve">5)木皮:≥40S天然胡桃木木皮符合SB/T 10969-2013甲醛释放量≤1.5mg/L</w:t>
            </w:r>
            <w:r>
              <w:rPr>
                <w:rFonts w:hint="eastAsia" w:asciiTheme="majorEastAsia" w:hAnsiTheme="majorEastAsia" w:eastAsiaTheme="majorEastAsia"/>
                <w:sz w:val="21"/>
                <w:szCs w:val="21"/>
              </w:rPr>
              <w:br/>
              <w:t xml:space="preserve">6)白橡木皮:≥40S天然白橡木木皮符合SB/T 10969-2013甲醛释放量≤1.5mg/L</w:t>
            </w:r>
            <w:r>
              <w:rPr>
                <w:rFonts w:hint="eastAsia" w:asciiTheme="majorEastAsia" w:hAnsiTheme="majorEastAsia" w:eastAsiaTheme="majorEastAsia"/>
                <w:sz w:val="21"/>
                <w:szCs w:val="21"/>
              </w:rPr>
              <w:br/>
              <w:t xml:space="preserve">7)封边条:1mm胡桃木皮封边条符合QB/T 4463-2013甲醛释放量（干燥器法）≤1.5mg/L</w:t>
            </w:r>
            <w:r>
              <w:rPr>
                <w:rFonts w:hint="eastAsia" w:asciiTheme="majorEastAsia" w:hAnsiTheme="majorEastAsia" w:eastAsiaTheme="majorEastAsia"/>
                <w:sz w:val="21"/>
                <w:szCs w:val="21"/>
              </w:rPr>
              <w:br/>
              <w:t xml:space="preserve">8)封边条:1mm橡木木皮封边条</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1.00</w:t>
            </w:r>
            <w:r/>
          </w:p>
        </w:tc>
      </w:tr>
      <w:tr>
        <w:trPr>
          <w:trHeight w:val="3168"/>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其他</w:t>
            </w:r>
            <w:r/>
          </w:p>
        </w:tc>
        <w:tc>
          <w:tcPr>
            <w:shd w:val="clear" w:color="auto" w:fill="auto"/>
            <w:tcBorders>
              <w:top w:val="none" w:color="000000" w:sz="4" w:space="0"/>
              <w:left w:val="none" w:color="000000" w:sz="4" w:space="0"/>
              <w:bottom w:val="single" w:color="auto" w:sz="4" w:space="0"/>
              <w:right w:val="single" w:color="auto" w:sz="4" w:space="0"/>
            </w:tcBorders>
            <w:tcW w:w="132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椅子</w:t>
            </w:r>
            <w:r/>
          </w:p>
        </w:tc>
        <w:tc>
          <w:tcPr>
            <w:shd w:val="clear" w:color="auto" w:fill="auto"/>
            <w:tcBorders>
              <w:top w:val="none" w:color="000000" w:sz="4" w:space="0"/>
              <w:left w:val="none" w:color="000000" w:sz="4" w:space="0"/>
              <w:bottom w:val="single" w:color="auto" w:sz="4" w:space="0"/>
              <w:right w:val="single" w:color="auto" w:sz="4" w:space="0"/>
            </w:tcBorders>
            <w:tcW w:w="5672"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1)水性皮:皮革材质力学及耐磨色牢度等符合GB/T16799-2018 《家具用皮革》要求,PH要求3.5-6.0,禁用偶氮染料≤30mg/kg,游离甲醛≤75mg/kg,气味≤3级</w:t>
            </w:r>
            <w:r>
              <w:rPr>
                <w:rFonts w:hint="eastAsia" w:asciiTheme="majorEastAsia" w:hAnsiTheme="majorEastAsia" w:eastAsiaTheme="majorEastAsia"/>
                <w:sz w:val="21"/>
                <w:szCs w:val="21"/>
              </w:rPr>
              <w:br/>
              <w:t xml:space="preserve">2)曲木板:E1级成型胶合板,甲醛释放量≤0.124mg/m³</w:t>
            </w:r>
            <w:r>
              <w:rPr>
                <w:rFonts w:hint="eastAsia" w:asciiTheme="majorEastAsia" w:hAnsiTheme="majorEastAsia" w:eastAsiaTheme="majorEastAsia"/>
                <w:sz w:val="21"/>
                <w:szCs w:val="21"/>
              </w:rPr>
              <w:br/>
              <w:t xml:space="preserve">3)海绵:座垫密度≥25kg/m³,回弹性≥35%,通过CA TB117-2013防火性能检测</w:t>
            </w:r>
            <w:r>
              <w:rPr>
                <w:rFonts w:hint="eastAsia" w:asciiTheme="majorEastAsia" w:hAnsiTheme="majorEastAsia" w:eastAsiaTheme="majorEastAsia"/>
                <w:sz w:val="21"/>
                <w:szCs w:val="21"/>
              </w:rPr>
              <w:br/>
              <w:t xml:space="preserve">4)扶手:铝合金精抛,可承受水平方向667N加载持续15s,垂直方向1125N加载持续15s,10±1°施力400N执行60000次循环</w:t>
            </w:r>
            <w:r>
              <w:rPr>
                <w:rFonts w:hint="eastAsia" w:asciiTheme="majorEastAsia" w:hAnsiTheme="majorEastAsia" w:eastAsiaTheme="majorEastAsia"/>
                <w:sz w:val="21"/>
                <w:szCs w:val="21"/>
              </w:rPr>
              <w:br/>
              <w:t xml:space="preserve">5)底盘:优质底盘,底座钢板厚度＞2mm,可承受每分钟10至30次共计300000次倾仰</w:t>
            </w:r>
            <w:r>
              <w:rPr>
                <w:rFonts w:hint="eastAsia" w:asciiTheme="majorEastAsia" w:hAnsiTheme="majorEastAsia" w:eastAsiaTheme="majorEastAsia"/>
                <w:sz w:val="21"/>
                <w:szCs w:val="21"/>
              </w:rPr>
              <w:br/>
              <w:t xml:space="preserve">6)气杆:三级气杆,行程72±2mm,升降平稳,无漏声、噪声,可在5次/min—15次/min回旋频率下进行12万次升降</w:t>
            </w:r>
            <w:r>
              <w:rPr>
                <w:rFonts w:hint="eastAsia" w:asciiTheme="majorEastAsia" w:hAnsiTheme="majorEastAsia" w:eastAsiaTheme="majorEastAsia"/>
                <w:sz w:val="21"/>
                <w:szCs w:val="21"/>
              </w:rPr>
              <w:br/>
              <w:t xml:space="preserve">7)五星脚:抛光铝合金五星脚,可承受垂直方向施力11120N持续1分钟</w:t>
            </w:r>
            <w:r>
              <w:rPr>
                <w:rFonts w:hint="eastAsia" w:asciiTheme="majorEastAsia" w:hAnsiTheme="majorEastAsia" w:eastAsiaTheme="majorEastAsia"/>
                <w:sz w:val="21"/>
                <w:szCs w:val="21"/>
              </w:rPr>
              <w:br/>
              <w:t xml:space="preserve">8)椅轮:PA轮,载荷122kg在无障碍平台进行98000次,有障碍物平台进行2000次往返无破损</w:t>
            </w:r>
            <w:r>
              <w:rPr>
                <w:rFonts w:hint="eastAsia" w:asciiTheme="majorEastAsia" w:hAnsiTheme="majorEastAsia" w:eastAsiaTheme="majorEastAsia"/>
                <w:sz w:val="21"/>
                <w:szCs w:val="21"/>
              </w:rPr>
              <w:br/>
              <w:t xml:space="preserve">功能说明:</w:t>
            </w:r>
            <w:r>
              <w:rPr>
                <w:rFonts w:hint="eastAsia" w:asciiTheme="majorEastAsia" w:hAnsiTheme="majorEastAsia" w:eastAsiaTheme="majorEastAsia"/>
                <w:sz w:val="21"/>
                <w:szCs w:val="21"/>
              </w:rPr>
              <w:br/>
              <w:t xml:space="preserve">1)底盘调节:STG背座同步倾仰,五档位置锁定,</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12.00</w:t>
            </w:r>
            <w:r/>
          </w:p>
        </w:tc>
      </w:tr>
      <w:tr>
        <w:trPr>
          <w:trHeight w:val="864"/>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37</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主材</w:t>
            </w:r>
            <w:r/>
          </w:p>
        </w:tc>
        <w:tc>
          <w:tcPr>
            <w:shd w:val="clear" w:color="auto" w:fill="auto"/>
            <w:tcBorders>
              <w:top w:val="none" w:color="000000" w:sz="4" w:space="0"/>
              <w:left w:val="none" w:color="000000" w:sz="4" w:space="0"/>
              <w:bottom w:val="single" w:color="auto" w:sz="4" w:space="0"/>
              <w:right w:val="single" w:color="auto" w:sz="4" w:space="0"/>
            </w:tcBorders>
            <w:tcW w:w="132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音箱线</w:t>
            </w:r>
            <w:r/>
          </w:p>
        </w:tc>
        <w:tc>
          <w:tcPr>
            <w:shd w:val="clear" w:color="auto" w:fill="auto"/>
            <w:tcBorders>
              <w:top w:val="none" w:color="000000" w:sz="4" w:space="0"/>
              <w:left w:val="none" w:color="000000" w:sz="4" w:space="0"/>
              <w:bottom w:val="single" w:color="auto" w:sz="4" w:space="0"/>
              <w:right w:val="single" w:color="auto" w:sz="4" w:space="0"/>
            </w:tcBorders>
            <w:tcW w:w="5672"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规格：EVJV2*2.0，穿管敷设</w:t>
            </w:r>
            <w:r>
              <w:rPr>
                <w:rFonts w:hint="eastAsia" w:asciiTheme="majorEastAsia" w:hAnsiTheme="majorEastAsia" w:eastAsiaTheme="majorEastAsia"/>
                <w:sz w:val="21"/>
                <w:szCs w:val="21"/>
              </w:rPr>
              <w:br/>
              <w:t xml:space="preserve">使用多股商纯度极细精练铜丝多次合成型，具有信号衰减</w:t>
            </w:r>
            <w:r>
              <w:rPr>
                <w:rFonts w:hint="eastAsia" w:asciiTheme="majorEastAsia" w:hAnsiTheme="majorEastAsia" w:eastAsiaTheme="majorEastAsia"/>
                <w:sz w:val="21"/>
                <w:szCs w:val="21"/>
              </w:rPr>
              <w:t xml:space="preserve">小，速度快，传输率高特点;精湛工艺PE技术,内部填充优质麦及屏蔽PET包裹，可有效防潮，防水，耐摩擦，抗拉</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32.18</w:t>
            </w:r>
            <w:r/>
          </w:p>
        </w:tc>
      </w:tr>
      <w:tr>
        <w:trPr>
          <w:trHeight w:val="576"/>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主材</w:t>
            </w:r>
            <w:r/>
          </w:p>
        </w:tc>
        <w:tc>
          <w:tcPr>
            <w:shd w:val="clear" w:color="auto" w:fill="auto"/>
            <w:tcBorders>
              <w:top w:val="none" w:color="000000" w:sz="4" w:space="0"/>
              <w:left w:val="none" w:color="000000" w:sz="4" w:space="0"/>
              <w:bottom w:val="single" w:color="auto" w:sz="4" w:space="0"/>
              <w:right w:val="single" w:color="auto" w:sz="4" w:space="0"/>
            </w:tcBorders>
            <w:tcW w:w="132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话筒线</w:t>
            </w:r>
            <w:r/>
          </w:p>
        </w:tc>
        <w:tc>
          <w:tcPr>
            <w:shd w:val="clear" w:color="auto" w:fill="auto"/>
            <w:tcBorders>
              <w:top w:val="none" w:color="000000" w:sz="4" w:space="0"/>
              <w:left w:val="none" w:color="000000" w:sz="4" w:space="0"/>
              <w:bottom w:val="single" w:color="auto" w:sz="4" w:space="0"/>
              <w:right w:val="single" w:color="auto" w:sz="4" w:space="0"/>
            </w:tcBorders>
            <w:tcW w:w="5672"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规格：RVVP2*37*128P，穿管敷设</w:t>
            </w:r>
            <w:r>
              <w:rPr>
                <w:rFonts w:hint="eastAsia" w:asciiTheme="majorEastAsia" w:hAnsiTheme="majorEastAsia" w:eastAsiaTheme="majorEastAsia"/>
                <w:sz w:val="21"/>
                <w:szCs w:val="21"/>
              </w:rPr>
              <w:br/>
              <w:t xml:space="preserve">双层屏蔽,采用铝铂包裹，无氧铜导体,抗扰能力强，传输速率高,高保真屏蔽话筒线</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31.62</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39</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主材</w:t>
            </w:r>
            <w:r/>
          </w:p>
        </w:tc>
        <w:tc>
          <w:tcPr>
            <w:shd w:val="clear" w:color="auto" w:fill="auto"/>
            <w:tcBorders>
              <w:top w:val="none" w:color="000000" w:sz="4" w:space="0"/>
              <w:left w:val="none" w:color="000000" w:sz="4" w:space="0"/>
              <w:bottom w:val="single" w:color="auto" w:sz="4" w:space="0"/>
              <w:right w:val="single" w:color="auto" w:sz="4" w:space="0"/>
            </w:tcBorders>
            <w:tcW w:w="132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网线</w:t>
            </w:r>
            <w:r/>
          </w:p>
        </w:tc>
        <w:tc>
          <w:tcPr>
            <w:shd w:val="clear" w:color="auto" w:fill="auto"/>
            <w:tcBorders>
              <w:top w:val="none" w:color="000000" w:sz="4" w:space="0"/>
              <w:left w:val="none" w:color="000000" w:sz="4" w:space="0"/>
              <w:bottom w:val="single" w:color="auto" w:sz="4" w:space="0"/>
              <w:right w:val="single" w:color="auto" w:sz="4" w:space="0"/>
            </w:tcBorders>
            <w:tcW w:w="5672"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6类非屏蔽，无氧铜支持千兆，穿管敷设</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360.18</w:t>
            </w:r>
            <w:r/>
          </w:p>
        </w:tc>
      </w:tr>
      <w:tr>
        <w:trPr>
          <w:trHeight w:val="576"/>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主材</w:t>
            </w:r>
            <w:r/>
          </w:p>
        </w:tc>
        <w:tc>
          <w:tcPr>
            <w:shd w:val="clear" w:color="auto" w:fill="auto"/>
            <w:tcBorders>
              <w:top w:val="none" w:color="000000" w:sz="4" w:space="0"/>
              <w:left w:val="none" w:color="000000" w:sz="4" w:space="0"/>
              <w:bottom w:val="single" w:color="auto" w:sz="4" w:space="0"/>
              <w:right w:val="single" w:color="auto" w:sz="4" w:space="0"/>
            </w:tcBorders>
            <w:tcW w:w="132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HDMI跳线</w:t>
            </w:r>
            <w:r/>
          </w:p>
        </w:tc>
        <w:tc>
          <w:tcPr>
            <w:shd w:val="clear" w:color="auto" w:fill="auto"/>
            <w:tcBorders>
              <w:top w:val="none" w:color="000000" w:sz="4" w:space="0"/>
              <w:left w:val="none" w:color="000000" w:sz="4" w:space="0"/>
              <w:bottom w:val="single" w:color="auto" w:sz="4" w:space="0"/>
              <w:right w:val="single" w:color="auto" w:sz="4" w:space="0"/>
            </w:tcBorders>
            <w:tcW w:w="5672"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HDMI2.0技术，支持4K/60Hz、2K/144Hz、1080P/240HZ支持18Gbps高速带宽传输和HDR显示，画面高清流畅色彩真实,多重屏蔽防护，有效减少电磁干扰，告别延迟、闪屏；长度2米。</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条</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2.00</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41</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主材</w:t>
            </w:r>
            <w:r/>
          </w:p>
        </w:tc>
        <w:tc>
          <w:tcPr>
            <w:shd w:val="clear" w:color="auto" w:fill="auto"/>
            <w:tcBorders>
              <w:top w:val="none" w:color="000000" w:sz="4" w:space="0"/>
              <w:left w:val="none" w:color="000000" w:sz="4" w:space="0"/>
              <w:bottom w:val="single" w:color="auto" w:sz="4" w:space="0"/>
              <w:right w:val="single" w:color="auto" w:sz="4" w:space="0"/>
            </w:tcBorders>
            <w:tcW w:w="132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电源线</w:t>
            </w:r>
            <w:r/>
          </w:p>
        </w:tc>
        <w:tc>
          <w:tcPr>
            <w:shd w:val="clear" w:color="auto" w:fill="auto"/>
            <w:tcBorders>
              <w:top w:val="none" w:color="000000" w:sz="4" w:space="0"/>
              <w:left w:val="none" w:color="000000" w:sz="4" w:space="0"/>
              <w:bottom w:val="single" w:color="auto" w:sz="4" w:space="0"/>
              <w:right w:val="single" w:color="auto" w:sz="4" w:space="0"/>
            </w:tcBorders>
            <w:tcW w:w="5672"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RVV3x2.5，穿管敷设</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104.72</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主材</w:t>
            </w:r>
            <w:r/>
          </w:p>
        </w:tc>
        <w:tc>
          <w:tcPr>
            <w:shd w:val="clear" w:color="auto" w:fill="auto"/>
            <w:tcBorders>
              <w:top w:val="none" w:color="000000" w:sz="4" w:space="0"/>
              <w:left w:val="none" w:color="000000" w:sz="4" w:space="0"/>
              <w:bottom w:val="single" w:color="auto" w:sz="4" w:space="0"/>
              <w:right w:val="single" w:color="auto" w:sz="4" w:space="0"/>
            </w:tcBorders>
            <w:tcW w:w="132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电缆线</w:t>
            </w:r>
            <w:r/>
          </w:p>
        </w:tc>
        <w:tc>
          <w:tcPr>
            <w:shd w:val="clear" w:color="auto" w:fill="auto"/>
            <w:tcBorders>
              <w:top w:val="none" w:color="000000" w:sz="4" w:space="0"/>
              <w:left w:val="none" w:color="000000" w:sz="4" w:space="0"/>
              <w:bottom w:val="single" w:color="auto" w:sz="4" w:space="0"/>
              <w:right w:val="single" w:color="auto" w:sz="4" w:space="0"/>
            </w:tcBorders>
            <w:tcW w:w="5672"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YJV5x6.0，穿管敷设，含电缆头制作制作安装</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44.69</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43</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主材</w:t>
            </w:r>
            <w:r/>
          </w:p>
        </w:tc>
        <w:tc>
          <w:tcPr>
            <w:shd w:val="clear" w:color="auto" w:fill="auto"/>
            <w:tcBorders>
              <w:top w:val="none" w:color="000000" w:sz="4" w:space="0"/>
              <w:left w:val="none" w:color="000000" w:sz="4" w:space="0"/>
              <w:bottom w:val="single" w:color="auto" w:sz="4" w:space="0"/>
              <w:right w:val="single" w:color="auto" w:sz="4" w:space="0"/>
            </w:tcBorders>
            <w:tcW w:w="132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配管</w:t>
            </w:r>
            <w:r/>
          </w:p>
        </w:tc>
        <w:tc>
          <w:tcPr>
            <w:shd w:val="clear" w:color="auto" w:fill="auto"/>
            <w:tcBorders>
              <w:top w:val="none" w:color="000000" w:sz="4" w:space="0"/>
              <w:left w:val="none" w:color="000000" w:sz="4" w:space="0"/>
              <w:bottom w:val="single" w:color="auto" w:sz="4" w:space="0"/>
              <w:right w:val="single" w:color="auto" w:sz="4" w:space="0"/>
            </w:tcBorders>
            <w:tcW w:w="5672"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DN25, PVC硬质聚氯乙烯阻燃管，明敷</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417.64</w:t>
            </w:r>
            <w:r/>
          </w:p>
        </w:tc>
      </w:tr>
      <w:tr>
        <w:trPr>
          <w:trHeight w:val="576"/>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44</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主材</w:t>
            </w:r>
            <w:r/>
          </w:p>
        </w:tc>
        <w:tc>
          <w:tcPr>
            <w:shd w:val="clear" w:color="auto" w:fill="auto"/>
            <w:tcBorders>
              <w:top w:val="none" w:color="000000" w:sz="4" w:space="0"/>
              <w:left w:val="none" w:color="000000" w:sz="4" w:space="0"/>
              <w:bottom w:val="single" w:color="auto" w:sz="4" w:space="0"/>
              <w:right w:val="single" w:color="auto" w:sz="4" w:space="0"/>
            </w:tcBorders>
            <w:tcW w:w="132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多媒体插座(定制）</w:t>
            </w:r>
            <w:r/>
          </w:p>
        </w:tc>
        <w:tc>
          <w:tcPr>
            <w:shd w:val="clear" w:color="auto" w:fill="auto"/>
            <w:tcBorders>
              <w:top w:val="none" w:color="000000" w:sz="4" w:space="0"/>
              <w:left w:val="none" w:color="000000" w:sz="4" w:space="0"/>
              <w:bottom w:val="single" w:color="auto" w:sz="4" w:space="0"/>
              <w:right w:val="single" w:color="auto" w:sz="4" w:space="0"/>
            </w:tcBorders>
            <w:tcW w:w="5672"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1）桌面插座</w:t>
            </w:r>
            <w:r>
              <w:rPr>
                <w:rFonts w:hint="eastAsia" w:asciiTheme="majorEastAsia" w:hAnsiTheme="majorEastAsia" w:eastAsiaTheme="majorEastAsia"/>
                <w:sz w:val="21"/>
                <w:szCs w:val="21"/>
              </w:rPr>
              <w:br/>
              <w:t xml:space="preserve">2）接口：HDMI*1，CAT.6*1，3.5音频*1，电源*1</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2.00</w:t>
            </w:r>
            <w:r/>
          </w:p>
        </w:tc>
      </w:tr>
      <w:tr>
        <w:trPr>
          <w:trHeight w:val="576"/>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45</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主材</w:t>
            </w:r>
            <w:r/>
          </w:p>
        </w:tc>
        <w:tc>
          <w:tcPr>
            <w:shd w:val="clear" w:color="auto" w:fill="auto"/>
            <w:tcBorders>
              <w:top w:val="none" w:color="000000" w:sz="4" w:space="0"/>
              <w:left w:val="none" w:color="000000" w:sz="4" w:space="0"/>
              <w:bottom w:val="single" w:color="auto" w:sz="4" w:space="0"/>
              <w:right w:val="single" w:color="auto" w:sz="4" w:space="0"/>
            </w:tcBorders>
            <w:tcW w:w="132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多媒体插座(定制）</w:t>
            </w:r>
            <w:r/>
          </w:p>
        </w:tc>
        <w:tc>
          <w:tcPr>
            <w:shd w:val="clear" w:color="auto" w:fill="auto"/>
            <w:tcBorders>
              <w:top w:val="none" w:color="000000" w:sz="4" w:space="0"/>
              <w:left w:val="none" w:color="000000" w:sz="4" w:space="0"/>
              <w:bottom w:val="single" w:color="auto" w:sz="4" w:space="0"/>
              <w:right w:val="single" w:color="auto" w:sz="4" w:space="0"/>
            </w:tcBorders>
            <w:tcW w:w="5672"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1）地面插座</w:t>
            </w:r>
            <w:r>
              <w:rPr>
                <w:rFonts w:hint="eastAsia" w:asciiTheme="majorEastAsia" w:hAnsiTheme="majorEastAsia" w:eastAsiaTheme="majorEastAsia"/>
                <w:sz w:val="21"/>
                <w:szCs w:val="21"/>
              </w:rPr>
              <w:br/>
              <w:t xml:space="preserve">2）接口：HDMI*2，CAT.6*1，3.5音频*2，电源*1</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1.00</w:t>
            </w:r>
            <w:r/>
          </w:p>
        </w:tc>
      </w:tr>
      <w:tr>
        <w:trPr>
          <w:trHeight w:val="576"/>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46</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主材</w:t>
            </w:r>
            <w:r/>
          </w:p>
        </w:tc>
        <w:tc>
          <w:tcPr>
            <w:shd w:val="clear" w:color="auto" w:fill="auto"/>
            <w:tcBorders>
              <w:top w:val="none" w:color="000000" w:sz="4" w:space="0"/>
              <w:left w:val="none" w:color="000000" w:sz="4" w:space="0"/>
              <w:bottom w:val="single" w:color="auto" w:sz="4" w:space="0"/>
              <w:right w:val="single" w:color="auto" w:sz="4" w:space="0"/>
            </w:tcBorders>
            <w:tcW w:w="132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HDMI跳线</w:t>
            </w:r>
            <w:r/>
          </w:p>
        </w:tc>
        <w:tc>
          <w:tcPr>
            <w:shd w:val="clear" w:color="auto" w:fill="auto"/>
            <w:tcBorders>
              <w:top w:val="none" w:color="000000" w:sz="4" w:space="0"/>
              <w:left w:val="none" w:color="000000" w:sz="4" w:space="0"/>
              <w:bottom w:val="single" w:color="auto" w:sz="4" w:space="0"/>
              <w:right w:val="single" w:color="auto" w:sz="4" w:space="0"/>
            </w:tcBorders>
            <w:tcW w:w="5672"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HDMI2.0技术，支持4K/60Hz、2K/144Hz、1080P/240HZ支持18Gbps高速带宽传输和HDR显示，画面高清流畅色彩真实,多重屏蔽防护，有效减少电磁干扰，告别延迟、闪屏；长度20米。</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条</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6.00</w:t>
            </w:r>
            <w:r/>
          </w:p>
        </w:tc>
      </w:tr>
      <w:tr>
        <w:trPr>
          <w:trHeight w:val="576"/>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47</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主材</w:t>
            </w:r>
            <w:r/>
          </w:p>
        </w:tc>
        <w:tc>
          <w:tcPr>
            <w:shd w:val="clear" w:color="auto" w:fill="auto"/>
            <w:tcBorders>
              <w:top w:val="none" w:color="000000" w:sz="4" w:space="0"/>
              <w:left w:val="none" w:color="000000" w:sz="4" w:space="0"/>
              <w:bottom w:val="single" w:color="auto" w:sz="4" w:space="0"/>
              <w:right w:val="single" w:color="auto" w:sz="4" w:space="0"/>
            </w:tcBorders>
            <w:tcW w:w="132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HDMI跳线</w:t>
            </w:r>
            <w:r/>
          </w:p>
        </w:tc>
        <w:tc>
          <w:tcPr>
            <w:shd w:val="clear" w:color="auto" w:fill="auto"/>
            <w:tcBorders>
              <w:top w:val="none" w:color="000000" w:sz="4" w:space="0"/>
              <w:left w:val="none" w:color="000000" w:sz="4" w:space="0"/>
              <w:bottom w:val="single" w:color="auto" w:sz="4" w:space="0"/>
              <w:right w:val="single" w:color="auto" w:sz="4" w:space="0"/>
            </w:tcBorders>
            <w:tcW w:w="5672"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HDMI2.0技术，支持4K/60Hz、2K/144Hz、1080P/240HZ支持18Gbps高速带宽传输和HDR显示，画面高清流畅色彩真实,多重屏蔽防护，有效减少电磁干扰，告别延迟、闪屏；长度10米。</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条</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15.00</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48</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设备</w:t>
            </w:r>
            <w:r/>
          </w:p>
        </w:tc>
        <w:tc>
          <w:tcPr>
            <w:shd w:val="clear" w:color="auto" w:fill="auto"/>
            <w:tcBorders>
              <w:top w:val="none" w:color="000000" w:sz="4" w:space="0"/>
              <w:left w:val="none" w:color="000000" w:sz="4" w:space="0"/>
              <w:bottom w:val="single" w:color="auto" w:sz="4" w:space="0"/>
              <w:right w:val="single" w:color="auto" w:sz="4" w:space="0"/>
            </w:tcBorders>
            <w:tcW w:w="132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空调</w:t>
            </w:r>
            <w:r/>
          </w:p>
        </w:tc>
        <w:tc>
          <w:tcPr>
            <w:shd w:val="clear" w:color="auto" w:fill="auto"/>
            <w:tcBorders>
              <w:top w:val="none" w:color="000000" w:sz="4" w:space="0"/>
              <w:left w:val="none" w:color="000000" w:sz="4" w:space="0"/>
              <w:bottom w:val="single" w:color="auto" w:sz="4" w:space="0"/>
              <w:right w:val="single" w:color="auto" w:sz="4" w:space="0"/>
            </w:tcBorders>
            <w:tcW w:w="5672"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3匹空调柜机 清凉风变频冷暖新3级能效</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2.00</w:t>
            </w:r>
            <w:r/>
          </w:p>
        </w:tc>
      </w:tr>
      <w:tr>
        <w:trPr>
          <w:trHeight w:val="1728"/>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49</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设备</w:t>
            </w:r>
            <w:r/>
          </w:p>
        </w:tc>
        <w:tc>
          <w:tcPr>
            <w:shd w:val="clear" w:color="auto" w:fill="auto"/>
            <w:tcBorders>
              <w:top w:val="none" w:color="000000" w:sz="4" w:space="0"/>
              <w:left w:val="none" w:color="000000" w:sz="4" w:space="0"/>
              <w:bottom w:val="single" w:color="auto" w:sz="4" w:space="0"/>
              <w:right w:val="single" w:color="auto" w:sz="4" w:space="0"/>
            </w:tcBorders>
            <w:tcW w:w="132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机柜</w:t>
            </w:r>
            <w:r/>
          </w:p>
        </w:tc>
        <w:tc>
          <w:tcPr>
            <w:shd w:val="clear" w:color="auto" w:fill="auto"/>
            <w:tcBorders>
              <w:top w:val="none" w:color="000000" w:sz="4" w:space="0"/>
              <w:left w:val="none" w:color="000000" w:sz="4" w:space="0"/>
              <w:bottom w:val="single" w:color="auto" w:sz="4" w:space="0"/>
              <w:right w:val="single" w:color="auto" w:sz="4" w:space="0"/>
            </w:tcBorders>
            <w:tcW w:w="5672"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定制茶水柜机柜；摆放在会议室中与周边装饰统一；增加会议室美观度。</w:t>
            </w:r>
            <w:r>
              <w:rPr>
                <w:rFonts w:hint="eastAsia" w:asciiTheme="majorEastAsia" w:hAnsiTheme="majorEastAsia" w:eastAsiaTheme="majorEastAsia"/>
                <w:sz w:val="21"/>
                <w:szCs w:val="21"/>
              </w:rPr>
              <w:br/>
              <w:t xml:space="preserve">1)中纤板:选用E0级中纤板</w:t>
            </w:r>
            <w:r>
              <w:rPr>
                <w:rFonts w:hint="eastAsia" w:asciiTheme="majorEastAsia" w:hAnsiTheme="majorEastAsia" w:eastAsiaTheme="majorEastAsia"/>
                <w:sz w:val="21"/>
                <w:szCs w:val="21"/>
              </w:rPr>
              <w:br/>
              <w:t xml:space="preserve">2)油漆:采用水性环保油漆</w:t>
            </w:r>
            <w:r>
              <w:rPr>
                <w:rFonts w:hint="eastAsia" w:asciiTheme="majorEastAsia" w:hAnsiTheme="majorEastAsia" w:eastAsiaTheme="majorEastAsia"/>
                <w:sz w:val="21"/>
                <w:szCs w:val="21"/>
              </w:rPr>
              <w:br/>
              <w:t xml:space="preserve">3)木皮:≥40S天然胡桃木木皮</w:t>
            </w:r>
            <w:r>
              <w:rPr>
                <w:rFonts w:hint="eastAsia" w:asciiTheme="majorEastAsia" w:hAnsiTheme="majorEastAsia" w:eastAsiaTheme="majorEastAsia"/>
                <w:sz w:val="21"/>
                <w:szCs w:val="21"/>
              </w:rPr>
              <w:br/>
              <w:t xml:space="preserve">4)封边条:1mm胡桃木皮封边条</w:t>
            </w:r>
            <w:r>
              <w:rPr>
                <w:rFonts w:hint="eastAsia" w:asciiTheme="majorEastAsia" w:hAnsiTheme="majorEastAsia" w:eastAsiaTheme="majorEastAsia"/>
                <w:sz w:val="21"/>
                <w:szCs w:val="21"/>
              </w:rPr>
              <w:br/>
              <w:t xml:space="preserve">5）规格：1500*1300*680mm</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1.00</w:t>
            </w:r>
            <w:r/>
          </w:p>
        </w:tc>
      </w:tr>
      <w:tr>
        <w:trPr>
          <w:trHeight w:val="288"/>
        </w:trPr>
        <w:tc>
          <w:tcPr>
            <w:shd w:val="clear" w:color="auto" w:fill="auto"/>
            <w:tcBorders>
              <w:top w:val="none" w:color="000000" w:sz="4" w:space="0"/>
              <w:left w:val="single" w:color="auto" w:sz="4" w:space="0"/>
              <w:bottom w:val="none" w:color="000000" w:sz="4" w:space="0"/>
              <w:right w:val="single" w:color="auto" w:sz="4" w:space="0"/>
            </w:tcBorders>
            <w:tcW w:w="42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50</w:t>
            </w:r>
            <w:r/>
          </w:p>
        </w:tc>
        <w:tc>
          <w:tcPr>
            <w:shd w:val="clear" w:color="auto" w:fill="auto"/>
            <w:tcBorders>
              <w:top w:val="none" w:color="000000" w:sz="4" w:space="0"/>
              <w:left w:val="none" w:color="000000" w:sz="4" w:space="0"/>
              <w:bottom w:val="none" w:color="000000" w:sz="4" w:space="0"/>
              <w:right w:val="single" w:color="auto" w:sz="4" w:space="0"/>
            </w:tcBorders>
            <w:tcW w:w="73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主材</w:t>
            </w:r>
            <w:r/>
          </w:p>
        </w:tc>
        <w:tc>
          <w:tcPr>
            <w:shd w:val="clear" w:color="auto" w:fill="auto"/>
            <w:tcBorders>
              <w:top w:val="none" w:color="000000" w:sz="4" w:space="0"/>
              <w:left w:val="none" w:color="000000" w:sz="4" w:space="0"/>
              <w:bottom w:val="none" w:color="000000" w:sz="4" w:space="0"/>
              <w:right w:val="single" w:color="auto" w:sz="4" w:space="0"/>
            </w:tcBorders>
            <w:tcW w:w="132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配管</w:t>
            </w:r>
            <w:r/>
          </w:p>
        </w:tc>
        <w:tc>
          <w:tcPr>
            <w:shd w:val="clear" w:color="auto" w:fill="auto"/>
            <w:tcBorders>
              <w:top w:val="none" w:color="000000" w:sz="4" w:space="0"/>
              <w:left w:val="none" w:color="000000" w:sz="4" w:space="0"/>
              <w:bottom w:val="none" w:color="000000" w:sz="4" w:space="0"/>
              <w:right w:val="single" w:color="auto" w:sz="4" w:space="0"/>
            </w:tcBorders>
            <w:tcW w:w="5672"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DN40, PVC硬质聚氯乙烯阻燃管，明敷</w:t>
            </w:r>
            <w:r/>
          </w:p>
        </w:tc>
        <w:tc>
          <w:tcPr>
            <w:shd w:val="clear" w:color="auto" w:fill="auto"/>
            <w:tcBorders>
              <w:top w:val="none" w:color="000000" w:sz="4" w:space="0"/>
              <w:left w:val="none" w:color="000000" w:sz="4" w:space="0"/>
              <w:bottom w:val="none" w:color="000000"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米</w:t>
            </w:r>
            <w:r/>
          </w:p>
        </w:tc>
        <w:tc>
          <w:tcPr>
            <w:shd w:val="clear" w:color="auto" w:fill="auto"/>
            <w:tcBorders>
              <w:top w:val="none" w:color="000000" w:sz="4" w:space="0"/>
              <w:left w:val="none" w:color="000000" w:sz="4" w:space="0"/>
              <w:bottom w:val="none" w:color="000000"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42.19</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51</w:t>
            </w:r>
            <w:r/>
          </w:p>
        </w:tc>
        <w:tc>
          <w:tcPr>
            <w:shd w:val="clear" w:color="auto" w:fill="auto"/>
            <w:tcBorders>
              <w:top w:val="none" w:color="000000" w:sz="4" w:space="0"/>
              <w:left w:val="none" w:color="000000" w:sz="4" w:space="0"/>
              <w:bottom w:val="single" w:color="auto" w:sz="4" w:space="0"/>
              <w:right w:val="single" w:color="auto" w:sz="4" w:space="0"/>
            </w:tcBorders>
            <w:tcW w:w="737"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集成服务</w:t>
            </w:r>
            <w:r/>
          </w:p>
        </w:tc>
        <w:tc>
          <w:tcPr>
            <w:shd w:val="clear" w:color="auto" w:fill="auto"/>
            <w:tcBorders>
              <w:top w:val="none" w:color="000000" w:sz="4" w:space="0"/>
              <w:left w:val="none" w:color="000000" w:sz="4" w:space="0"/>
              <w:bottom w:val="single" w:color="auto" w:sz="4" w:space="0"/>
              <w:right w:val="single" w:color="auto" w:sz="4" w:space="0"/>
            </w:tcBorders>
            <w:tcW w:w="1327" w:type="dxa"/>
            <w:vAlign w:val="center"/>
            <w:textDirection w:val="lrTb"/>
            <w:noWrap w:val="false"/>
          </w:tcPr>
          <w:p>
            <w:pPr>
              <w:ind w:left="0"/>
              <w:rPr>
                <w:rFonts w:asciiTheme="majorEastAsia" w:hAnsiTheme="majorEastAsia" w:eastAsiaTheme="majorEastAsia"/>
                <w:sz w:val="21"/>
                <w:szCs w:val="21"/>
              </w:rPr>
            </w:pPr>
            <w:r>
              <w:rPr>
                <w:rFonts w:asciiTheme="majorEastAsia" w:hAnsiTheme="majorEastAsia" w:eastAsiaTheme="majorEastAsia"/>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5672"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846" w:type="dxa"/>
            <w:vAlign w:val="center"/>
            <w:textDirection w:val="lrTb"/>
            <w:noWrap w:val="false"/>
          </w:tcPr>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1</w:t>
            </w:r>
            <w:r/>
          </w:p>
        </w:tc>
      </w:tr>
    </w:tbl>
    <w:p>
      <w:pPr>
        <w:pStyle w:val="868"/>
      </w:pPr>
      <w:r/>
      <w:r/>
    </w:p>
    <w:p>
      <w:pPr>
        <w:ind w:left="0"/>
        <w:spacing w:line="360" w:lineRule="auto"/>
        <w:tabs>
          <w:tab w:val="left" w:pos="420" w:leader="none"/>
          <w:tab w:val="left" w:pos="540" w:leader="none"/>
        </w:tabs>
        <w:rPr>
          <w:rFonts w:ascii="宋体" w:hAnsi="宋体"/>
          <w:sz w:val="21"/>
          <w:szCs w:val="22"/>
        </w:rPr>
      </w:pPr>
      <w:r>
        <w:rPr>
          <w:rFonts w:hint="eastAsia" w:ascii="宋体" w:hAnsi="宋体"/>
          <w:sz w:val="21"/>
          <w:szCs w:val="22"/>
        </w:rPr>
        <w:t xml:space="preserve">（三）服务期限和服务地点：</w:t>
      </w:r>
      <w:r/>
    </w:p>
    <w:p>
      <w:pPr>
        <w:ind w:left="0" w:firstLine="420"/>
        <w:spacing w:line="360" w:lineRule="auto"/>
        <w:tabs>
          <w:tab w:val="left" w:pos="420" w:leader="none"/>
          <w:tab w:val="left" w:pos="540" w:leader="none"/>
        </w:tabs>
        <w:rPr>
          <w:rFonts w:ascii="宋体" w:hAnsi="宋体"/>
          <w:sz w:val="21"/>
          <w:szCs w:val="22"/>
        </w:rPr>
      </w:pPr>
      <w:r>
        <w:rPr>
          <w:rFonts w:hint="eastAsia" w:ascii="宋体" w:hAnsi="宋体"/>
          <w:sz w:val="21"/>
          <w:szCs w:val="22"/>
        </w:rPr>
        <w:t xml:space="preserve">服务期限12个月，甲方指定；</w:t>
      </w:r>
      <w:r/>
    </w:p>
    <w:p>
      <w:pPr>
        <w:ind w:left="0" w:firstLine="420"/>
        <w:spacing w:line="360" w:lineRule="auto"/>
        <w:tabs>
          <w:tab w:val="left" w:pos="420" w:leader="none"/>
          <w:tab w:val="left" w:pos="540" w:leader="none"/>
        </w:tabs>
        <w:rPr>
          <w:rFonts w:ascii="宋体" w:hAnsi="宋体"/>
          <w:sz w:val="21"/>
          <w:szCs w:val="22"/>
        </w:rPr>
      </w:pPr>
      <w:r>
        <w:rPr>
          <w:rFonts w:ascii="宋体" w:hAnsi="宋体"/>
          <w:sz w:val="21"/>
          <w:szCs w:val="22"/>
        </w:rPr>
        <w:t xml:space="preserve">1</w:t>
      </w:r>
      <w:r>
        <w:rPr>
          <w:rFonts w:hint="eastAsia" w:ascii="宋体" w:hAnsi="宋体"/>
          <w:sz w:val="21"/>
          <w:szCs w:val="22"/>
        </w:rPr>
        <w:t xml:space="preserve">、服务工作要求及标准：</w:t>
      </w:r>
      <w:r/>
    </w:p>
    <w:p>
      <w:pPr>
        <w:ind w:left="0" w:firstLine="420"/>
        <w:spacing w:line="360" w:lineRule="auto"/>
        <w:tabs>
          <w:tab w:val="left" w:pos="420" w:leader="none"/>
          <w:tab w:val="left" w:pos="540" w:leader="none"/>
        </w:tabs>
        <w:rPr>
          <w:rFonts w:ascii="宋体" w:hAnsi="宋体"/>
          <w:sz w:val="21"/>
          <w:szCs w:val="22"/>
        </w:rPr>
      </w:pPr>
      <w:r>
        <w:rPr>
          <w:rFonts w:ascii="宋体" w:hAnsi="宋体"/>
          <w:sz w:val="21"/>
          <w:szCs w:val="22"/>
        </w:rPr>
        <w:t xml:space="preserve">1</w:t>
      </w:r>
      <w:r>
        <w:rPr>
          <w:rFonts w:hint="eastAsia" w:ascii="宋体" w:hAnsi="宋体"/>
          <w:sz w:val="21"/>
          <w:szCs w:val="22"/>
        </w:rPr>
        <w:t xml:space="preserve">.1技术服务要求：</w:t>
      </w:r>
      <w:r/>
    </w:p>
    <w:p>
      <w:pPr>
        <w:ind w:left="0" w:firstLine="420"/>
        <w:spacing w:line="360" w:lineRule="auto"/>
        <w:tabs>
          <w:tab w:val="left" w:pos="420" w:leader="none"/>
          <w:tab w:val="left" w:pos="540" w:leader="none"/>
        </w:tabs>
        <w:rPr>
          <w:rFonts w:ascii="宋体" w:hAnsi="宋体"/>
          <w:sz w:val="21"/>
          <w:szCs w:val="22"/>
        </w:rPr>
      </w:pPr>
      <w:r>
        <w:rPr>
          <w:rFonts w:hint="eastAsia" w:ascii="宋体" w:hAnsi="宋体"/>
          <w:sz w:val="21"/>
          <w:szCs w:val="22"/>
        </w:rPr>
        <w:t xml:space="preserve">该项目为交钥匙项目，供应商按照采购人要求提供1年维保期内设备部署、系统联调及运维保障工作。</w:t>
      </w:r>
      <w:r/>
    </w:p>
    <w:p>
      <w:pPr>
        <w:ind w:left="0" w:firstLine="420"/>
        <w:spacing w:line="360" w:lineRule="auto"/>
        <w:tabs>
          <w:tab w:val="left" w:pos="420" w:leader="none"/>
          <w:tab w:val="left" w:pos="540" w:leader="none"/>
        </w:tabs>
        <w:rPr>
          <w:rFonts w:ascii="宋体" w:hAnsi="宋体"/>
          <w:sz w:val="21"/>
          <w:szCs w:val="22"/>
        </w:rPr>
      </w:pPr>
      <w:r>
        <w:rPr>
          <w:rFonts w:hint="eastAsia" w:ascii="宋体" w:hAnsi="宋体"/>
          <w:sz w:val="21"/>
          <w:szCs w:val="22"/>
        </w:rPr>
        <w:t xml:space="preserve">在项目建设和服务期间，供应商需具备以下服务能力，提供相应服务保障。</w:t>
      </w:r>
      <w:r/>
    </w:p>
    <w:p>
      <w:pPr>
        <w:ind w:left="0" w:firstLine="420"/>
        <w:spacing w:line="360" w:lineRule="auto"/>
        <w:tabs>
          <w:tab w:val="left" w:pos="420" w:leader="none"/>
          <w:tab w:val="left" w:pos="540" w:leader="none"/>
        </w:tabs>
        <w:rPr>
          <w:rFonts w:ascii="宋体" w:hAnsi="宋体"/>
          <w:sz w:val="21"/>
          <w:szCs w:val="22"/>
        </w:rPr>
      </w:pPr>
      <w:r>
        <w:rPr>
          <w:rFonts w:hint="eastAsia" w:ascii="宋体" w:hAnsi="宋体"/>
          <w:sz w:val="21"/>
          <w:szCs w:val="22"/>
        </w:rPr>
        <w:t xml:space="preserve">（1）设立专门服务团队。其中项目经理1人，项目成员至少4人，要求中标人具备建设和维护保障能力。</w:t>
      </w:r>
      <w:r/>
    </w:p>
    <w:p>
      <w:pPr>
        <w:ind w:left="0" w:firstLine="420"/>
        <w:spacing w:line="360" w:lineRule="auto"/>
        <w:tabs>
          <w:tab w:val="left" w:pos="420" w:leader="none"/>
          <w:tab w:val="left" w:pos="540" w:leader="none"/>
        </w:tabs>
        <w:rPr>
          <w:rFonts w:ascii="宋体" w:hAnsi="宋体"/>
          <w:sz w:val="21"/>
          <w:szCs w:val="22"/>
        </w:rPr>
      </w:pPr>
      <w:r>
        <w:rPr>
          <w:rFonts w:hint="eastAsia" w:ascii="宋体" w:hAnsi="宋体"/>
          <w:sz w:val="21"/>
          <w:szCs w:val="22"/>
        </w:rPr>
        <w:t xml:space="preserve">（2）提供每年两次以上巡检、维护服务，提供24小时统一故障申告服务电话，提供故障响应流程和服务承诺。</w:t>
      </w:r>
      <w:r/>
    </w:p>
    <w:p>
      <w:pPr>
        <w:pStyle w:val="853"/>
        <w:ind w:left="0" w:firstLine="0"/>
        <w:spacing w:line="360" w:lineRule="auto"/>
      </w:pPr>
      <w:r>
        <w:rPr>
          <w:rFonts w:hint="eastAsia" w:ascii="宋体" w:hAnsi="宋体"/>
          <w:sz w:val="21"/>
          <w:szCs w:val="22"/>
        </w:rPr>
        <w:t xml:space="preserve">    （3）供应商提供1年免费运维，需具备基本的</w:t>
      </w:r>
      <w:r>
        <w:rPr>
          <w:rFonts w:hint="eastAsia" w:ascii="宋体" w:hAnsi="宋体"/>
          <w:sz w:val="21"/>
        </w:rPr>
        <w:t xml:space="preserve">音视频集成、信息系统建设和信息技术服务运行能力。考虑到本单位的工作特殊性，有可能要求同视频会议、扩声等系统联动对接，供应商还应具备相应的会议室、智能化系统定制软件开发能力。</w:t>
      </w:r>
      <w:r/>
    </w:p>
    <w:p>
      <w:pPr>
        <w:ind w:left="0" w:firstLine="420"/>
        <w:spacing w:line="360" w:lineRule="auto"/>
        <w:tabs>
          <w:tab w:val="left" w:pos="420" w:leader="none"/>
          <w:tab w:val="left" w:pos="540" w:leader="none"/>
        </w:tabs>
        <w:rPr>
          <w:rFonts w:ascii="宋体" w:hAnsi="宋体"/>
          <w:sz w:val="21"/>
          <w:szCs w:val="22"/>
        </w:rPr>
      </w:pPr>
      <w:r>
        <w:rPr>
          <w:rFonts w:ascii="宋体" w:hAnsi="宋体"/>
          <w:sz w:val="21"/>
          <w:szCs w:val="22"/>
        </w:rPr>
        <w:t xml:space="preserve">1</w:t>
      </w:r>
      <w:r>
        <w:rPr>
          <w:rFonts w:hint="eastAsia" w:ascii="宋体" w:hAnsi="宋体"/>
          <w:sz w:val="21"/>
          <w:szCs w:val="22"/>
        </w:rPr>
        <w:t xml:space="preserve">.2项目实施要求</w:t>
      </w:r>
      <w:r/>
    </w:p>
    <w:p>
      <w:pPr>
        <w:ind w:left="0" w:firstLine="420"/>
        <w:spacing w:line="360" w:lineRule="auto"/>
        <w:tabs>
          <w:tab w:val="left" w:pos="420" w:leader="none"/>
          <w:tab w:val="left" w:pos="540" w:leader="none"/>
        </w:tabs>
        <w:rPr>
          <w:rFonts w:ascii="宋体" w:hAnsi="宋体"/>
          <w:sz w:val="21"/>
          <w:szCs w:val="22"/>
        </w:rPr>
      </w:pPr>
      <w:r>
        <w:rPr>
          <w:rFonts w:hint="eastAsia" w:ascii="宋体" w:hAnsi="宋体"/>
          <w:sz w:val="21"/>
          <w:szCs w:val="22"/>
        </w:rPr>
        <w:t xml:space="preserve">（1）成交单位应组建专门实施团队，负责系统的搭建及实施工作。</w:t>
      </w:r>
      <w:r/>
    </w:p>
    <w:p>
      <w:pPr>
        <w:ind w:left="0" w:firstLine="420"/>
        <w:spacing w:line="360" w:lineRule="auto"/>
        <w:tabs>
          <w:tab w:val="left" w:pos="420" w:leader="none"/>
          <w:tab w:val="left" w:pos="540" w:leader="none"/>
        </w:tabs>
        <w:rPr>
          <w:rFonts w:ascii="宋体" w:hAnsi="宋体"/>
          <w:sz w:val="21"/>
          <w:szCs w:val="22"/>
        </w:rPr>
      </w:pPr>
      <w:r>
        <w:rPr>
          <w:rFonts w:hint="eastAsia" w:ascii="宋体" w:hAnsi="宋体"/>
          <w:sz w:val="21"/>
          <w:szCs w:val="22"/>
        </w:rPr>
        <w:t xml:space="preserve">（2）成交单位应提交详细工程进度表，并配置具有</w:t>
      </w:r>
      <w:r>
        <w:rPr>
          <w:rFonts w:hint="eastAsia" w:ascii="宋体" w:hAnsi="宋体"/>
          <w:sz w:val="21"/>
        </w:rPr>
        <w:t xml:space="preserve">信息系统项目规划、项目管理、安全管理方面</w:t>
      </w:r>
      <w:r>
        <w:rPr>
          <w:rFonts w:hint="eastAsia" w:ascii="宋体" w:hAnsi="宋体"/>
          <w:sz w:val="21"/>
          <w:szCs w:val="22"/>
        </w:rPr>
        <w:t xml:space="preserve">经验的项目经理作为专门项目负责人，负责项目的协调管理工作。</w:t>
      </w:r>
      <w:r/>
    </w:p>
    <w:p>
      <w:pPr>
        <w:ind w:left="0" w:firstLine="420"/>
        <w:spacing w:line="360" w:lineRule="auto"/>
        <w:tabs>
          <w:tab w:val="left" w:pos="420" w:leader="none"/>
          <w:tab w:val="left" w:pos="540" w:leader="none"/>
        </w:tabs>
        <w:rPr>
          <w:rFonts w:ascii="宋体" w:hAnsi="宋体"/>
          <w:sz w:val="21"/>
          <w:szCs w:val="22"/>
        </w:rPr>
      </w:pPr>
      <w:r>
        <w:rPr>
          <w:rFonts w:hint="eastAsia" w:ascii="宋体" w:hAnsi="宋体"/>
          <w:sz w:val="21"/>
          <w:szCs w:val="22"/>
        </w:rPr>
        <w:t xml:space="preserve">（3）成交单位应提供包括但不限于满足设备安装、使用和维护的技术文件、设备的使用说明和维护手册，以便于采购人方在使用过程中做好相关的保养和配合工作。</w:t>
      </w:r>
      <w:r/>
    </w:p>
    <w:p>
      <w:pPr>
        <w:ind w:left="0" w:firstLine="420"/>
        <w:spacing w:line="360" w:lineRule="auto"/>
        <w:tabs>
          <w:tab w:val="left" w:pos="420" w:leader="none"/>
          <w:tab w:val="left" w:pos="540" w:leader="none"/>
        </w:tabs>
        <w:rPr>
          <w:rFonts w:ascii="宋体" w:hAnsi="宋体"/>
          <w:sz w:val="21"/>
          <w:szCs w:val="22"/>
        </w:rPr>
      </w:pPr>
      <w:r>
        <w:rPr>
          <w:rFonts w:hint="eastAsia" w:ascii="宋体" w:hAnsi="宋体"/>
          <w:sz w:val="21"/>
          <w:szCs w:val="22"/>
        </w:rPr>
        <w:t xml:space="preserve">（4）成交单位应提供系统软件的使用说明手册、用户名、密码、安装文件等，承诺质保期内免费升级和更新，承诺做好配合工作，要求提供承诺书。</w:t>
      </w:r>
      <w:r/>
    </w:p>
    <w:p>
      <w:pPr>
        <w:ind w:left="0" w:firstLine="420"/>
        <w:spacing w:line="360" w:lineRule="auto"/>
        <w:tabs>
          <w:tab w:val="left" w:pos="420" w:leader="none"/>
          <w:tab w:val="left" w:pos="540" w:leader="none"/>
        </w:tabs>
        <w:rPr>
          <w:rFonts w:ascii="宋体" w:hAnsi="宋体"/>
          <w:sz w:val="21"/>
          <w:szCs w:val="22"/>
        </w:rPr>
      </w:pPr>
      <w:r>
        <w:rPr>
          <w:rFonts w:hint="eastAsia" w:ascii="宋体" w:hAnsi="宋体"/>
          <w:sz w:val="21"/>
          <w:szCs w:val="22"/>
        </w:rPr>
        <w:t xml:space="preserve">（5）项目实施中所需工具、设施物料由中标人自备、自费运到现场，完工后自费搬走。</w:t>
      </w:r>
      <w:r/>
    </w:p>
    <w:p>
      <w:pPr>
        <w:ind w:left="0" w:firstLine="420"/>
        <w:spacing w:line="360" w:lineRule="auto"/>
        <w:tabs>
          <w:tab w:val="left" w:pos="420" w:leader="none"/>
          <w:tab w:val="left" w:pos="540" w:leader="none"/>
        </w:tabs>
        <w:rPr>
          <w:rFonts w:ascii="宋体" w:hAnsi="宋体"/>
          <w:sz w:val="21"/>
          <w:szCs w:val="22"/>
        </w:rPr>
      </w:pPr>
      <w:r>
        <w:rPr>
          <w:rFonts w:hint="eastAsia" w:ascii="宋体" w:hAnsi="宋体"/>
          <w:sz w:val="21"/>
          <w:szCs w:val="22"/>
        </w:rPr>
        <w:t xml:space="preserve">（6）设备的安装和调试前应先经采购人方同意方可进行。成交单位在实施安装时须对采购人各地场地内的其他设备、设施有良好保护措施，如有损坏，所有费用均由成交单位承担。</w:t>
      </w:r>
      <w:r/>
    </w:p>
    <w:p>
      <w:pPr>
        <w:ind w:left="0" w:firstLine="420"/>
        <w:spacing w:line="360" w:lineRule="auto"/>
        <w:tabs>
          <w:tab w:val="left" w:pos="420" w:leader="none"/>
          <w:tab w:val="left" w:pos="540" w:leader="none"/>
        </w:tabs>
        <w:rPr>
          <w:rFonts w:ascii="宋体" w:hAnsi="宋体"/>
          <w:sz w:val="21"/>
          <w:szCs w:val="22"/>
        </w:rPr>
      </w:pPr>
      <w:r>
        <w:rPr>
          <w:rFonts w:hint="eastAsia" w:ascii="宋体" w:hAnsi="宋体"/>
          <w:sz w:val="21"/>
          <w:szCs w:val="22"/>
        </w:rPr>
        <w:t xml:space="preserve">（7）成交单位负责所系统的开通和调试工作，整个项目应在合同签订生效后的30个工作日内完成调试和部署，同时满足性能要求，通过后才能投入运行。</w:t>
      </w:r>
      <w:r/>
    </w:p>
    <w:p>
      <w:pPr>
        <w:ind w:left="0" w:firstLine="420"/>
        <w:spacing w:line="360" w:lineRule="auto"/>
        <w:tabs>
          <w:tab w:val="left" w:pos="420" w:leader="none"/>
          <w:tab w:val="left" w:pos="540" w:leader="none"/>
        </w:tabs>
        <w:rPr>
          <w:rFonts w:ascii="宋体" w:hAnsi="宋体"/>
          <w:sz w:val="21"/>
          <w:szCs w:val="22"/>
        </w:rPr>
      </w:pPr>
      <w:r>
        <w:rPr>
          <w:rFonts w:ascii="宋体" w:hAnsi="宋体"/>
          <w:sz w:val="21"/>
          <w:szCs w:val="22"/>
        </w:rPr>
        <w:t xml:space="preserve">1</w:t>
      </w:r>
      <w:r>
        <w:rPr>
          <w:rFonts w:hint="eastAsia" w:ascii="宋体" w:hAnsi="宋体"/>
          <w:sz w:val="21"/>
          <w:szCs w:val="22"/>
        </w:rPr>
        <w:t xml:space="preserve">.3项目服务要求</w:t>
      </w:r>
      <w:r/>
    </w:p>
    <w:p>
      <w:pPr>
        <w:ind w:left="0" w:firstLine="420"/>
        <w:spacing w:line="360" w:lineRule="auto"/>
        <w:tabs>
          <w:tab w:val="left" w:pos="420" w:leader="none"/>
          <w:tab w:val="left" w:pos="540" w:leader="none"/>
        </w:tabs>
        <w:rPr>
          <w:rFonts w:ascii="宋体" w:hAnsi="宋体"/>
          <w:sz w:val="21"/>
          <w:szCs w:val="22"/>
        </w:rPr>
      </w:pPr>
      <w:r>
        <w:rPr>
          <w:rFonts w:hint="eastAsia" w:ascii="宋体" w:hAnsi="宋体"/>
          <w:sz w:val="21"/>
          <w:szCs w:val="22"/>
        </w:rPr>
        <w:t xml:space="preserve">要求中标单位提供报障后30分钟响应，2小时内到达现场，8小时内解决问题，所有设备免费质保一年。</w:t>
      </w:r>
      <w:r/>
    </w:p>
    <w:p>
      <w:pPr>
        <w:ind w:left="0" w:firstLine="420"/>
        <w:spacing w:line="360" w:lineRule="auto"/>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.4</w:t>
      </w:r>
      <w:r>
        <w:rPr>
          <w:rFonts w:hint="eastAsia" w:ascii="宋体" w:hAnsi="宋体"/>
          <w:sz w:val="21"/>
        </w:rPr>
        <w:t xml:space="preserve">投标单位须在投标文件中提供实施方案、</w:t>
      </w:r>
      <w:r>
        <w:rPr>
          <w:rFonts w:hint="eastAsia" w:ascii="宋体" w:hAnsi="宋体"/>
          <w:sz w:val="21"/>
          <w:szCs w:val="21"/>
        </w:rPr>
        <w:t xml:space="preserve">售后服务方案、培训方案、维保方案等。</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w:t>
      </w:r>
      <w:r>
        <w:rPr>
          <w:rFonts w:hint="eastAsia" w:ascii="宋体" w:hAnsi="宋体"/>
          <w:sz w:val="21"/>
        </w:rPr>
        <w:t xml:space="preserve">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67"/>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w:t>
      </w:r>
      <w:r>
        <w:rPr>
          <w:rFonts w:hint="eastAsia" w:ascii="Times New Roman" w:hAnsi="Times New Roman" w:cs="Times New Roman"/>
          <w:b/>
          <w:sz w:val="21"/>
          <w:highlight w:val="yellow"/>
        </w:rPr>
        <w:t xml:space="preserve">工业</w:t>
      </w:r>
      <w:r>
        <w:rPr>
          <w:rFonts w:hint="eastAsia" w:ascii="Times New Roman" w:hAnsi="Times New Roman"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w:t>
      </w:r>
      <w:r>
        <w:rPr>
          <w:rFonts w:hint="eastAsia" w:ascii="宋体" w:hAnsi="宋体"/>
          <w:b/>
          <w:sz w:val="21"/>
        </w:rPr>
        <w:t xml:space="preserve">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41"/>
        <w:ind w:left="0" w:firstLine="0"/>
        <w:jc w:val="center"/>
        <w:rPr>
          <w:rFonts w:ascii="宋体" w:hAnsi="宋体"/>
          <w:b/>
          <w:sz w:val="44"/>
          <w:szCs w:val="22"/>
        </w:rPr>
      </w:pPr>
      <w:r/>
      <w:bookmarkStart w:id="75" w:name="_Toc5111"/>
      <w:r/>
      <w:bookmarkStart w:id="76" w:name="_Toc11789"/>
      <w:r/>
      <w:bookmarkStart w:id="77" w:name="_Hlk55741158"/>
      <w:r>
        <w:rPr>
          <w:rFonts w:hint="eastAsia" w:ascii="宋体" w:hAnsi="宋体"/>
          <w:b/>
          <w:sz w:val="44"/>
          <w:szCs w:val="22"/>
        </w:rPr>
        <w:br w:type="page" w:clear="all"/>
      </w:r>
      <w:bookmarkStart w:id="78" w:name="_Toc105397794"/>
      <w:r>
        <w:rPr>
          <w:rFonts w:hint="eastAsia" w:ascii="宋体" w:hAnsi="宋体"/>
          <w:b/>
          <w:sz w:val="44"/>
          <w:szCs w:val="22"/>
        </w:rPr>
        <w:t xml:space="preserve">第五章 </w:t>
      </w:r>
      <w:bookmarkStart w:id="79" w:name="合同的特殊条款"/>
      <w:r/>
      <w:bookmarkEnd w:id="79"/>
      <w:r>
        <w:rPr>
          <w:rFonts w:hint="eastAsia" w:ascii="宋体" w:hAnsi="宋体"/>
          <w:b/>
          <w:sz w:val="44"/>
          <w:szCs w:val="22"/>
        </w:rPr>
        <w:t xml:space="preserve">合同及主要条款</w:t>
      </w:r>
      <w:bookmarkEnd w:id="75"/>
      <w:r/>
      <w:bookmarkEnd w:id="76"/>
      <w:r/>
      <w:bookmarkEnd w:id="78"/>
      <w:r/>
      <w:r/>
    </w:p>
    <w:p>
      <w:pPr>
        <w:ind w:left="0"/>
        <w:jc w:val="center"/>
        <w:rPr>
          <w:rFonts w:ascii="宋体" w:hAnsi="宋体"/>
          <w:b/>
          <w:sz w:val="32"/>
          <w:szCs w:val="32"/>
        </w:rPr>
      </w:pPr>
      <w:r/>
      <w:bookmarkStart w:id="80" w:name="_Toc57376410"/>
      <w:r/>
      <w:bookmarkStart w:id="81" w:name="_Toc27667"/>
      <w:r/>
      <w:bookmarkStart w:id="82" w:name="_Toc8564"/>
      <w:r/>
      <w:bookmarkEnd w:id="77"/>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rPr>
          <w:rFonts w:hint="eastAsia" w:ascii="宋体" w:hAnsi="宋体"/>
          <w:sz w:val="21"/>
        </w:rPr>
        <w:t xml:space="preserve">“苏台通”智慧服务平台硬件设备购置</w:t>
      </w:r>
      <w:r/>
    </w:p>
    <w:p>
      <w:pPr>
        <w:ind w:left="0"/>
        <w:jc w:val="left"/>
        <w:spacing w:line="360" w:lineRule="auto"/>
        <w:rPr>
          <w:rFonts w:ascii="宋体" w:hAnsi="宋体"/>
          <w:b/>
          <w:sz w:val="21"/>
        </w:rPr>
      </w:pPr>
      <w:r>
        <w:rPr>
          <w:rFonts w:hint="eastAsia" w:ascii="宋体" w:hAnsi="宋体"/>
          <w:b/>
          <w:sz w:val="21"/>
        </w:rPr>
        <w:t xml:space="preserve">项目编号：J</w:t>
      </w:r>
      <w:r>
        <w:rPr>
          <w:rFonts w:ascii="宋体" w:hAnsi="宋体"/>
          <w:b/>
          <w:sz w:val="21"/>
        </w:rPr>
        <w:t xml:space="preserve">SZC-320500-JZCG-G2024-0397</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rPr>
          <w:rFonts w:hint="eastAsia" w:ascii="宋体" w:hAnsi="宋体"/>
          <w:sz w:val="21"/>
          <w:szCs w:val="21"/>
        </w:rPr>
        <w:t xml:space="preserve">中国共产党苏州市委员会台湾工作办公室</w:t>
      </w:r>
      <w:r/>
    </w:p>
    <w:p>
      <w:pPr>
        <w:ind w:left="0"/>
        <w:jc w:val="left"/>
        <w:spacing w:line="360" w:lineRule="auto"/>
        <w:rPr>
          <w:rFonts w:ascii="宋体" w:hAnsi="宋体"/>
          <w:sz w:val="21"/>
        </w:rPr>
      </w:pPr>
      <w:r>
        <w:rPr>
          <w:rFonts w:hint="eastAsia" w:ascii="宋体" w:hAnsi="宋体"/>
          <w:sz w:val="21"/>
        </w:rPr>
        <w:t xml:space="preserve">地址：江苏省苏州市吴中区吴中西路3</w:t>
      </w:r>
      <w:r>
        <w:rPr>
          <w:rFonts w:ascii="宋体" w:hAnsi="宋体"/>
          <w:sz w:val="21"/>
        </w:rPr>
        <w:t xml:space="preserve">9-4</w:t>
      </w:r>
      <w:r>
        <w:rPr>
          <w:rFonts w:hint="eastAsia" w:ascii="宋体" w:hAnsi="宋体"/>
          <w:sz w:val="21"/>
        </w:rPr>
        <w:t xml:space="preserve">号8号楼</w:t>
      </w:r>
      <w:r/>
    </w:p>
    <w:p>
      <w:pPr>
        <w:ind w:left="0"/>
        <w:jc w:val="left"/>
        <w:spacing w:line="360" w:lineRule="auto"/>
        <w:rPr>
          <w:rFonts w:ascii="宋体" w:hAnsi="宋体"/>
          <w:sz w:val="21"/>
        </w:rPr>
      </w:pPr>
      <w:r>
        <w:rPr>
          <w:rFonts w:hint="eastAsia" w:ascii="宋体" w:hAnsi="宋体"/>
          <w:sz w:val="21"/>
        </w:rPr>
        <w:t xml:space="preserve">电话：6</w:t>
      </w:r>
      <w:r>
        <w:rPr>
          <w:rFonts w:ascii="宋体" w:hAnsi="宋体"/>
          <w:sz w:val="21"/>
        </w:rPr>
        <w:t xml:space="preserve">5127910</w:t>
      </w:r>
      <w:r/>
    </w:p>
    <w:p>
      <w:pPr>
        <w:ind w:left="0"/>
        <w:jc w:val="left"/>
        <w:spacing w:line="360" w:lineRule="auto"/>
        <w:rPr>
          <w:rFonts w:ascii="宋体" w:hAnsi="宋体"/>
          <w:sz w:val="21"/>
        </w:rPr>
      </w:pPr>
      <w:r>
        <w:rPr>
          <w:rFonts w:hint="eastAsia" w:ascii="宋体" w:hAnsi="宋体"/>
          <w:sz w:val="21"/>
        </w:rPr>
        <w:t xml:space="preserve">传真：6</w:t>
      </w:r>
      <w:r>
        <w:rPr>
          <w:rFonts w:ascii="宋体" w:hAnsi="宋体"/>
          <w:sz w:val="21"/>
        </w:rPr>
        <w:t xml:space="preserve">5249849</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rPr>
          <w:rFonts w:ascii="宋体" w:hAnsi="宋体"/>
          <w:sz w:val="21"/>
          <w:szCs w:val="21"/>
          <w:u w:val="single"/>
        </w:rPr>
      </w:pPr>
      <w:r>
        <w:rPr>
          <w:rFonts w:hint="eastAsia" w:ascii="宋体" w:hAnsi="宋体"/>
          <w:sz w:val="21"/>
          <w:szCs w:val="21"/>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 </w:t>
      </w:r>
      <w:r/>
    </w:p>
    <w:p>
      <w:pPr>
        <w:ind w:left="0" w:firstLine="422"/>
        <w:spacing w:line="360" w:lineRule="auto"/>
        <w:rPr>
          <w:rFonts w:ascii="宋体" w:hAnsi="宋体"/>
          <w:sz w:val="21"/>
          <w:szCs w:val="21"/>
          <w:u w:val="single"/>
        </w:rPr>
      </w:pPr>
      <w:r>
        <w:rPr>
          <w:rFonts w:hint="eastAsia" w:ascii="宋体" w:hAnsi="宋体"/>
          <w:b/>
          <w:sz w:val="21"/>
        </w:rPr>
        <w:t xml:space="preserve">一、定义：以下术语有特定的含义：</w:t>
      </w:r>
      <w:r/>
    </w:p>
    <w:p>
      <w:pPr>
        <w:ind w:left="0" w:firstLine="420"/>
        <w:spacing w:line="360" w:lineRule="auto"/>
        <w:rPr>
          <w:rFonts w:ascii="宋体" w:hAnsi="宋体"/>
          <w:sz w:val="21"/>
          <w:szCs w:val="21"/>
          <w:u w:val="single"/>
        </w:rPr>
      </w:pPr>
      <w:r>
        <w:rPr>
          <w:rFonts w:hint="eastAsia" w:ascii="宋体" w:hAnsi="宋体"/>
          <w:sz w:val="21"/>
        </w:rPr>
        <w:t xml:space="preserve">货物是指乙方基于其已中标的投标文件而应向甲方提供的符合招标要求规格及功能的产品及其全部备件，它还应包括由乙方送交给甲方的所有与使用及测试有关的应进行的任何规定的服务。</w:t>
      </w:r>
      <w:r/>
    </w:p>
    <w:p>
      <w:pPr>
        <w:ind w:left="0" w:firstLine="420"/>
        <w:spacing w:line="360" w:lineRule="auto"/>
        <w:rPr>
          <w:rFonts w:ascii="宋体" w:hAnsi="宋体"/>
          <w:sz w:val="21"/>
          <w:szCs w:val="21"/>
          <w:u w:val="single"/>
        </w:rPr>
      </w:pPr>
      <w:r>
        <w:rPr>
          <w:rFonts w:hint="eastAsia" w:ascii="宋体" w:hAnsi="宋体"/>
          <w:sz w:val="21"/>
        </w:rPr>
        <w:t xml:space="preserve">服务是指根据合同规定乙方应承担的与供货有关的辅助义务，比如运输、保险以及其它伴随服务，比如安装或指导安装、调试以及送货上门提供技术援助、培训、配合措施、维修响应和合同中规定乙方应承担的其它义务。</w:t>
      </w:r>
      <w:r/>
    </w:p>
    <w:p>
      <w:pPr>
        <w:ind w:left="0" w:firstLine="420"/>
        <w:spacing w:line="360" w:lineRule="auto"/>
        <w:rPr>
          <w:rFonts w:ascii="宋体" w:hAnsi="宋体"/>
          <w:sz w:val="21"/>
          <w:szCs w:val="21"/>
          <w:u w:val="single"/>
        </w:rPr>
      </w:pPr>
      <w:r>
        <w:rPr>
          <w:rFonts w:hint="eastAsia" w:ascii="宋体" w:hAnsi="宋体"/>
          <w:sz w:val="21"/>
        </w:rPr>
        <w:t xml:space="preserve">合同价是指根据中标的投标文件和合同规定，乙方在正确地履行合同义务后甲方应支付给乙方的价款。</w:t>
      </w:r>
      <w:r/>
    </w:p>
    <w:p>
      <w:pPr>
        <w:ind w:left="0" w:firstLine="420"/>
        <w:spacing w:line="360" w:lineRule="auto"/>
        <w:rPr>
          <w:rFonts w:ascii="宋体" w:hAnsi="宋体"/>
          <w:sz w:val="21"/>
          <w:szCs w:val="21"/>
          <w:u w:val="single"/>
        </w:rPr>
      </w:pPr>
      <w:r>
        <w:rPr>
          <w:rFonts w:hint="eastAsia" w:ascii="宋体" w:hAnsi="宋体"/>
          <w:sz w:val="21"/>
        </w:rPr>
        <w:t xml:space="preserve">甲方是指合同中明确规定的实际购买货物和接受服务的单位。</w:t>
      </w:r>
      <w:r/>
    </w:p>
    <w:p>
      <w:pPr>
        <w:ind w:left="0" w:firstLine="420"/>
        <w:spacing w:line="360" w:lineRule="auto"/>
        <w:rPr>
          <w:rFonts w:ascii="宋体" w:hAnsi="宋体"/>
          <w:sz w:val="21"/>
          <w:szCs w:val="21"/>
          <w:u w:val="single"/>
        </w:rPr>
      </w:pPr>
      <w:r>
        <w:rPr>
          <w:rFonts w:hint="eastAsia" w:ascii="宋体" w:hAnsi="宋体"/>
          <w:sz w:val="21"/>
        </w:rPr>
        <w:t xml:space="preserve">乙方是指合同中规定的提供货物和提供服务的单位。</w:t>
      </w:r>
      <w:r/>
    </w:p>
    <w:p>
      <w:pPr>
        <w:ind w:left="0" w:firstLine="420"/>
        <w:spacing w:line="360" w:lineRule="auto"/>
        <w:rPr>
          <w:rFonts w:ascii="宋体" w:hAnsi="宋体"/>
          <w:sz w:val="21"/>
          <w:szCs w:val="21"/>
          <w:u w:val="single"/>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b/>
          <w:sz w:val="21"/>
          <w:szCs w:val="21"/>
          <w:u w:val="single"/>
        </w:rPr>
      </w:pPr>
      <w:r>
        <w:rPr>
          <w:rFonts w:hint="eastAsia" w:ascii="宋体" w:hAnsi="宋体"/>
          <w:b/>
          <w:sz w:val="21"/>
        </w:rPr>
        <w:t xml:space="preserve">二、合同标的：</w:t>
      </w:r>
      <w:r/>
    </w:p>
    <w:tbl>
      <w:tblPr>
        <w:tblW w:w="98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sz w:val="21"/>
        </w:rPr>
        <w:t xml:space="preserve">三、合同总价款：</w:t>
      </w:r>
      <w:r>
        <w:rPr>
          <w:rFonts w:hint="eastAsia" w:ascii="宋体" w:hAnsi="宋体"/>
          <w:sz w:val="21"/>
        </w:rPr>
        <w:t xml:space="preserve">大写人民币</w:t>
      </w:r>
      <w:r>
        <w:rPr>
          <w:rFonts w:hint="eastAsia" w:ascii="宋体" w:hAnsi="宋体"/>
          <w:sz w:val="21"/>
          <w:u w:val="single"/>
        </w:rPr>
        <w:t xml:space="preserve">  壹佰万零伍仟肆佰贰拾伍元玖角贰分   </w:t>
      </w:r>
      <w:r>
        <w:rPr>
          <w:rFonts w:hint="eastAsia" w:ascii="宋体" w:hAnsi="宋体"/>
          <w:sz w:val="21"/>
        </w:rPr>
        <w:t xml:space="preserve">元，小写￥</w:t>
      </w:r>
      <w:r>
        <w:rPr>
          <w:rFonts w:hint="eastAsia" w:ascii="宋体" w:hAnsi="宋体"/>
          <w:sz w:val="21"/>
          <w:u w:val="single"/>
        </w:rPr>
        <w:t xml:space="preserve"> </w:t>
      </w:r>
      <w:r>
        <w:rPr>
          <w:rFonts w:ascii="宋体" w:hAnsi="宋体"/>
          <w:sz w:val="21"/>
          <w:u w:val="single"/>
        </w:rPr>
        <w:t xml:space="preserve"> 1005425.92</w:t>
      </w:r>
      <w:r>
        <w:rPr>
          <w:rFonts w:hint="eastAsia" w:ascii="宋体" w:hAnsi="宋体"/>
          <w:sz w:val="21"/>
          <w:u w:val="single"/>
        </w:rPr>
        <w:t xml:space="preserve">  </w:t>
      </w:r>
      <w:r>
        <w:rPr>
          <w:rFonts w:hint="eastAsia" w:ascii="宋体" w:hAnsi="宋体"/>
          <w:sz w:val="21"/>
        </w:rPr>
        <w:t xml:space="preserve">元。 </w:t>
      </w:r>
      <w:r/>
    </w:p>
    <w:p>
      <w:pPr>
        <w:ind w:left="0" w:firstLine="420"/>
        <w:spacing w:line="360" w:lineRule="auto"/>
        <w:rPr>
          <w:rFonts w:ascii="宋体" w:hAnsi="宋体"/>
          <w:sz w:val="21"/>
        </w:rPr>
      </w:pPr>
      <w:r>
        <w:rPr>
          <w:rFonts w:hint="eastAsia" w:ascii="宋体" w:hAnsi="宋体"/>
          <w:sz w:val="21"/>
        </w:rPr>
        <w:t xml:space="preserve">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全部费用由乙方承担，甲方不再支付报价之外的任何费用。</w:t>
      </w:r>
      <w:r/>
    </w:p>
    <w:p>
      <w:pPr>
        <w:ind w:left="0" w:firstLine="420"/>
        <w:spacing w:line="360" w:lineRule="auto"/>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color w:val="000000"/>
          <w:sz w:val="21"/>
        </w:rPr>
        <w:t xml:space="preserve">四、交货地点、时间、方式： </w:t>
      </w:r>
      <w:r/>
    </w:p>
    <w:p>
      <w:pPr>
        <w:ind w:left="0" w:firstLine="420"/>
        <w:spacing w:line="360" w:lineRule="auto"/>
        <w:rPr>
          <w:rFonts w:ascii="宋体" w:hAnsi="宋体"/>
          <w:sz w:val="21"/>
        </w:rPr>
      </w:pPr>
      <w:r>
        <w:rPr>
          <w:rFonts w:hint="eastAsia" w:ascii="宋体" w:hAnsi="宋体"/>
          <w:sz w:val="21"/>
        </w:rPr>
        <w:t xml:space="preserve">1.交货地点：乙方交货至甲方指定地点，所发生的运输等费用及货物的损坏造成的损失由乙方承担。</w:t>
      </w:r>
      <w:r/>
    </w:p>
    <w:p>
      <w:pPr>
        <w:ind w:left="0" w:firstLine="420"/>
        <w:spacing w:line="360" w:lineRule="auto"/>
        <w:rPr>
          <w:rFonts w:ascii="宋体" w:hAnsi="宋体"/>
          <w:sz w:val="21"/>
        </w:rPr>
      </w:pPr>
      <w:r>
        <w:rPr>
          <w:rFonts w:hint="eastAsia" w:ascii="宋体" w:hAnsi="宋体"/>
          <w:sz w:val="21"/>
        </w:rPr>
        <w:t xml:space="preserve">2.交货时间：</w:t>
      </w:r>
      <w:r>
        <w:rPr>
          <w:rFonts w:ascii="宋体" w:hAnsi="宋体"/>
          <w:sz w:val="21"/>
        </w:rPr>
        <w:t xml:space="preserve"> </w:t>
      </w:r>
      <w:r/>
    </w:p>
    <w:p>
      <w:pPr>
        <w:ind w:left="0" w:firstLine="420"/>
        <w:spacing w:line="360" w:lineRule="auto"/>
        <w:rPr>
          <w:rFonts w:ascii="宋体" w:hAnsi="宋体"/>
          <w:sz w:val="21"/>
        </w:rPr>
      </w:pPr>
      <w:r>
        <w:rPr>
          <w:rFonts w:hint="eastAsia" w:ascii="宋体" w:hAnsi="宋体"/>
          <w:sz w:val="21"/>
        </w:rPr>
        <w:t xml:space="preserve">3.交货方式：乙方负责将货物安全完好运抵交货地点、安装调试并保证验收合格。</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color w:val="000000"/>
          <w:sz w:val="21"/>
        </w:rPr>
        <w:t xml:space="preserve">五、付款方式：</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付款步骤：</w:t>
      </w:r>
      <w:r/>
    </w:p>
    <w:p>
      <w:pPr>
        <w:ind w:left="0" w:firstLine="420"/>
        <w:spacing w:line="360" w:lineRule="auto"/>
        <w:widowControl w:val="off"/>
      </w:pPr>
      <w:r>
        <w:rPr>
          <w:rFonts w:hint="eastAsia" w:ascii="宋体" w:hAnsi="宋体"/>
          <w:sz w:val="21"/>
          <w:szCs w:val="21"/>
        </w:rPr>
        <w:t xml:space="preserve">（1）</w:t>
      </w:r>
      <w:r>
        <w:rPr>
          <w:rFonts w:hint="eastAsia" w:ascii="宋体" w:hAnsi="宋体" w:cs="Segoe UI"/>
          <w:color w:val="05073b"/>
          <w:sz w:val="21"/>
          <w:szCs w:val="21"/>
          <w:shd w:val="clear" w:color="auto" w:fill="fdfdfe"/>
        </w:rPr>
        <w:t xml:space="preserve">项目合同签订后，采购人支付合同金额的30%。货物到货后验收合格支付合同金额的60%，项目验收后支付至合同总额的95%，尾款在质保期满后一次性付清。</w:t>
      </w:r>
      <w:r/>
    </w:p>
    <w:p>
      <w:pPr>
        <w:ind w:left="0" w:firstLine="420"/>
        <w:spacing w:line="360" w:lineRule="auto"/>
        <w:widowControl w:val="off"/>
        <w:rPr>
          <w:rFonts w:ascii="宋体" w:hAnsi="宋体"/>
          <w:sz w:val="21"/>
          <w:szCs w:val="21"/>
        </w:rPr>
      </w:pPr>
      <w:r>
        <w:rPr>
          <w:rFonts w:hint="eastAsia" w:ascii="宋体" w:hAnsi="宋体"/>
          <w:sz w:val="21"/>
          <w:szCs w:val="21"/>
        </w:rPr>
        <w:t xml:space="preserve">（2）在签订合同时，乙方明确表示无需预付款或者主动要求降低预付款比例的，甲方可不适用上述关于预付款的规定。</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支付方式：</w:t>
      </w:r>
      <w:bookmarkStart w:id="83" w:name="_GoBack"/>
      <w:r/>
      <w:bookmarkEnd w:id="83"/>
      <w:r>
        <w:rPr>
          <w:rFonts w:hint="eastAsia" w:ascii="宋体" w:hAnsi="宋体"/>
          <w:sz w:val="21"/>
          <w:szCs w:val="21"/>
        </w:rPr>
        <w:t xml:space="preserve">银行汇票或转账支票。乙方账户信息如下：</w:t>
      </w:r>
      <w:r/>
    </w:p>
    <w:p>
      <w:pPr>
        <w:ind w:left="0" w:firstLine="420"/>
        <w:spacing w:line="360" w:lineRule="auto"/>
        <w:rPr>
          <w:rFonts w:ascii="宋体" w:hAnsi="宋体"/>
          <w:sz w:val="21"/>
          <w:szCs w:val="21"/>
        </w:rPr>
      </w:pPr>
      <w:r>
        <w:rPr>
          <w:rFonts w:hint="eastAsia" w:ascii="宋体" w:hAnsi="宋体"/>
          <w:sz w:val="21"/>
          <w:szCs w:val="21"/>
        </w:rPr>
        <w:t xml:space="preserve">开户名称：</w:t>
      </w:r>
      <w:r/>
    </w:p>
    <w:p>
      <w:pPr>
        <w:ind w:left="0" w:firstLine="420"/>
        <w:spacing w:line="360" w:lineRule="auto"/>
        <w:rPr>
          <w:rFonts w:ascii="宋体" w:hAnsi="宋体"/>
          <w:sz w:val="21"/>
          <w:szCs w:val="21"/>
        </w:rPr>
      </w:pPr>
      <w:r>
        <w:rPr>
          <w:rFonts w:hint="eastAsia" w:ascii="宋体" w:hAnsi="宋体"/>
          <w:sz w:val="21"/>
          <w:szCs w:val="21"/>
        </w:rPr>
        <w:t xml:space="preserve">开户银行：</w:t>
      </w:r>
      <w:r/>
    </w:p>
    <w:p>
      <w:pPr>
        <w:ind w:left="0" w:firstLine="420"/>
        <w:spacing w:line="360" w:lineRule="auto"/>
        <w:rPr>
          <w:rFonts w:ascii="宋体" w:hAnsi="宋体"/>
          <w:sz w:val="21"/>
          <w:szCs w:val="21"/>
        </w:rPr>
      </w:pPr>
      <w:r>
        <w:rPr>
          <w:rFonts w:hint="eastAsia" w:ascii="宋体" w:hAnsi="宋体"/>
          <w:sz w:val="21"/>
          <w:szCs w:val="21"/>
        </w:rPr>
        <w:t xml:space="preserve">银行账号：</w:t>
      </w:r>
      <w:r/>
    </w:p>
    <w:p>
      <w:pPr>
        <w:ind w:left="0"/>
      </w:pPr>
      <w:r/>
      <w:r/>
    </w:p>
    <w:p>
      <w:pPr>
        <w:ind w:left="0" w:firstLine="422"/>
        <w:spacing w:line="360" w:lineRule="auto"/>
        <w:rPr>
          <w:rFonts w:ascii="宋体" w:hAnsi="宋体"/>
          <w:b/>
          <w:sz w:val="21"/>
        </w:rPr>
      </w:pPr>
      <w:r>
        <w:rPr>
          <w:rFonts w:hint="eastAsia" w:ascii="宋体" w:hAnsi="宋体"/>
          <w:b/>
          <w:sz w:val="21"/>
        </w:rPr>
        <w:t xml:space="preserve">六、验收 </w:t>
      </w:r>
      <w:r/>
    </w:p>
    <w:p>
      <w:pPr>
        <w:ind w:left="0" w:firstLine="420"/>
        <w:spacing w:line="360" w:lineRule="auto"/>
        <w:rPr>
          <w:rFonts w:ascii="宋体" w:hAnsi="宋体"/>
          <w:sz w:val="21"/>
        </w:rPr>
      </w:pPr>
      <w:r>
        <w:rPr>
          <w:rFonts w:hint="eastAsia" w:ascii="宋体" w:hAnsi="宋体"/>
          <w:sz w:val="21"/>
        </w:rPr>
        <w:t xml:space="preserve">1.乙方提交的货物由甲方负责验收。 </w:t>
      </w:r>
      <w:r/>
    </w:p>
    <w:p>
      <w:pPr>
        <w:ind w:left="0" w:firstLine="420"/>
        <w:spacing w:line="360" w:lineRule="auto"/>
        <w:rPr>
          <w:rFonts w:ascii="宋体" w:hAnsi="宋体"/>
          <w:sz w:val="21"/>
        </w:rPr>
      </w:pPr>
      <w:r>
        <w:rPr>
          <w:rFonts w:hint="eastAsia" w:ascii="宋体" w:hAnsi="宋体"/>
          <w:sz w:val="21"/>
        </w:rPr>
        <w:t xml:space="preserve">2.甲方根据合同的规定接收货物，在接收时对货物的品种、规格、性能、质量、数量、外观以及配件等进行验收。甲方对货物的规格技术指标如有异议，应从验收结束之日起十五日内以书面形式提出。</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七、保修期：</w:t>
      </w:r>
      <w:r/>
    </w:p>
    <w:p>
      <w:pPr>
        <w:ind w:left="0" w:firstLine="420"/>
        <w:spacing w:line="360" w:lineRule="auto"/>
        <w:rPr>
          <w:rFonts w:ascii="宋体" w:hAnsi="宋体"/>
          <w:sz w:val="21"/>
        </w:rPr>
      </w:pPr>
      <w:r>
        <w:rPr>
          <w:rFonts w:hint="eastAsia" w:ascii="宋体" w:hAnsi="宋体"/>
          <w:sz w:val="21"/>
        </w:rPr>
        <w:t xml:space="preserve">本项目经甲方验收合格后，乙方将提供</w:t>
      </w:r>
      <w:r>
        <w:rPr>
          <w:rFonts w:ascii="宋体" w:hAnsi="宋体"/>
          <w:sz w:val="21"/>
          <w:u w:val="single"/>
        </w:rPr>
        <w:t xml:space="preserve"> </w:t>
      </w:r>
      <w:r>
        <w:rPr>
          <w:rFonts w:hint="eastAsia" w:ascii="宋体" w:hAnsi="宋体"/>
          <w:sz w:val="21"/>
          <w:u w:val="single"/>
        </w:rPr>
        <w:t xml:space="preserve"> 1</w:t>
      </w:r>
      <w:r>
        <w:rPr>
          <w:rFonts w:ascii="宋体" w:hAnsi="宋体"/>
          <w:sz w:val="21"/>
          <w:u w:val="single"/>
        </w:rPr>
        <w:t xml:space="preserve"> </w:t>
      </w:r>
      <w:r>
        <w:rPr>
          <w:rFonts w:hint="eastAsia" w:ascii="宋体" w:hAnsi="宋体"/>
          <w:sz w:val="21"/>
          <w:u w:val="single"/>
        </w:rPr>
        <w:t xml:space="preserve"> </w:t>
      </w:r>
      <w:r>
        <w:rPr>
          <w:rFonts w:hint="eastAsia" w:ascii="宋体" w:hAnsi="宋体"/>
          <w:sz w:val="21"/>
        </w:rPr>
        <w:t xml:space="preserve">年质量保证期。质量保证期内，乙方负责对其提供的货物实行免费维修。</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八、伴随服务 </w:t>
      </w:r>
      <w:r/>
    </w:p>
    <w:p>
      <w:pPr>
        <w:ind w:left="0" w:firstLine="420"/>
        <w:spacing w:line="360" w:lineRule="auto"/>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360" w:lineRule="auto"/>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360" w:lineRule="auto"/>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360" w:lineRule="auto"/>
        <w:rPr>
          <w:rFonts w:ascii="宋体" w:hAnsi="宋体"/>
          <w:sz w:val="21"/>
        </w:rPr>
      </w:pPr>
      <w:r>
        <w:rPr>
          <w:rFonts w:hint="eastAsia" w:ascii="宋体" w:hAnsi="宋体"/>
          <w:sz w:val="21"/>
        </w:rPr>
        <w:t xml:space="preserve">4.货物的包装、储运、安装按国家有关规定执行。</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九、质量保证</w:t>
      </w:r>
      <w:r/>
    </w:p>
    <w:p>
      <w:pPr>
        <w:ind w:left="0" w:firstLine="420"/>
        <w:spacing w:line="360" w:lineRule="auto"/>
        <w:rPr>
          <w:rFonts w:ascii="宋体" w:hAnsi="宋体"/>
          <w:sz w:val="21"/>
        </w:rPr>
      </w:pPr>
      <w:r>
        <w:rPr>
          <w:rFonts w:hint="eastAsia" w:ascii="宋体" w:hAnsi="宋体"/>
          <w:sz w:val="21"/>
        </w:rPr>
        <w:t xml:space="preserve">1.乙方应保证所提供的货物是原制造厂商制造的、经过合法销售渠道取得的、全新的、未使用过的，并完全符合合同规定的品牌、规格型号、技术性能、配置、质量、数量等要求。若出现虚假承诺满足招标要求设备参数的，将解除合同及两年内不得参与苏州市政府采购。</w:t>
      </w:r>
      <w:r/>
    </w:p>
    <w:p>
      <w:pPr>
        <w:ind w:left="0" w:firstLine="420"/>
        <w:spacing w:line="360" w:lineRule="auto"/>
        <w:rPr>
          <w:rFonts w:ascii="宋体" w:hAnsi="宋体"/>
          <w:sz w:val="21"/>
        </w:rPr>
      </w:pPr>
      <w:r>
        <w:rPr>
          <w:rFonts w:hint="eastAsia" w:ascii="宋体" w:hAnsi="宋体"/>
          <w:sz w:val="21"/>
        </w:rPr>
        <w:t xml:space="preserve">2.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p>
    <w:p>
      <w:pPr>
        <w:ind w:left="0" w:firstLine="420"/>
        <w:spacing w:line="360" w:lineRule="auto"/>
        <w:rPr>
          <w:rFonts w:ascii="宋体" w:hAnsi="宋体"/>
          <w:sz w:val="21"/>
        </w:rPr>
      </w:pPr>
      <w:r>
        <w:rPr>
          <w:rFonts w:hint="eastAsia" w:ascii="宋体" w:hAnsi="宋体"/>
          <w:sz w:val="21"/>
        </w:rPr>
        <w:t xml:space="preserve">3.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left="0" w:firstLine="420"/>
        <w:spacing w:line="360" w:lineRule="auto"/>
        <w:rPr>
          <w:rFonts w:ascii="宋体" w:hAnsi="宋体"/>
          <w:sz w:val="21"/>
        </w:rPr>
      </w:pPr>
      <w:r>
        <w:rPr>
          <w:rFonts w:hint="eastAsia" w:ascii="宋体" w:hAnsi="宋体"/>
          <w:sz w:val="21"/>
        </w:rPr>
        <w:t xml:space="preserve">4.在质量保证期内，如果货物的规格型号、配置、技术性能、原产地及制造厂商以及其他质量技术指标与合同约定不符，或证实货物是有缺陷的，包括潜在的缺陷或使用不符合要求的材料等，甲方应尽快以书面形式向乙方提出本保证下的索赔。</w:t>
      </w:r>
      <w:r/>
    </w:p>
    <w:p>
      <w:pPr>
        <w:ind w:left="0" w:firstLine="420"/>
        <w:spacing w:line="360" w:lineRule="auto"/>
        <w:rPr>
          <w:rFonts w:ascii="宋体" w:hAnsi="宋体"/>
          <w:b/>
          <w:sz w:val="21"/>
        </w:rPr>
      </w:pPr>
      <w:r>
        <w:rPr>
          <w:rFonts w:hint="eastAsia" w:ascii="宋体" w:hAnsi="宋体"/>
          <w:sz w:val="21"/>
        </w:rPr>
        <w:t xml:space="preserve"> </w:t>
      </w:r>
      <w:r>
        <w:rPr>
          <w:rFonts w:hint="eastAsia" w:ascii="宋体" w:hAnsi="宋体"/>
          <w:b/>
          <w:sz w:val="21"/>
        </w:rPr>
        <w:t xml:space="preserve">十、索赔</w:t>
      </w:r>
      <w:r/>
    </w:p>
    <w:p>
      <w:pPr>
        <w:ind w:left="0" w:firstLine="420"/>
        <w:spacing w:line="360" w:lineRule="auto"/>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360" w:lineRule="auto"/>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360" w:lineRule="auto"/>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360" w:lineRule="auto"/>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360" w:lineRule="auto"/>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360" w:lineRule="auto"/>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十一、履约延误 </w:t>
      </w:r>
      <w:r/>
    </w:p>
    <w:p>
      <w:pPr>
        <w:ind w:left="0" w:firstLine="420"/>
        <w:spacing w:line="360" w:lineRule="auto"/>
        <w:rPr>
          <w:rFonts w:ascii="宋体" w:hAnsi="宋体"/>
          <w:sz w:val="21"/>
        </w:rPr>
      </w:pPr>
      <w:r>
        <w:rPr>
          <w:rFonts w:hint="eastAsia" w:ascii="宋体" w:hAnsi="宋体"/>
          <w:sz w:val="21"/>
        </w:rPr>
        <w:t xml:space="preserve">1.乙方应按照合同规定的时间、地点交货和提供服务；甲方应按照合同规定的时间、地点接收货物和接受服务。</w:t>
      </w:r>
      <w:r/>
    </w:p>
    <w:p>
      <w:pPr>
        <w:ind w:left="0" w:firstLine="420"/>
        <w:spacing w:line="360" w:lineRule="auto"/>
        <w:rPr>
          <w:rFonts w:ascii="宋体" w:hAnsi="宋体"/>
          <w:sz w:val="21"/>
        </w:rPr>
      </w:pPr>
      <w:r>
        <w:rPr>
          <w:rFonts w:hint="eastAsia" w:ascii="宋体" w:hAnsi="宋体"/>
          <w:sz w:val="21"/>
        </w:rPr>
        <w:t xml:space="preserve">2.如果乙方无正当理由拖延交货，将受到以下制裁：加收误期赔偿费、终止合同；如果甲方无正当理由拖延接收货物和接受服务，应承担相应责任。 </w:t>
      </w:r>
      <w:r/>
    </w:p>
    <w:p>
      <w:pPr>
        <w:ind w:left="0" w:firstLine="420"/>
        <w:spacing w:line="360" w:lineRule="auto"/>
        <w:rPr>
          <w:rFonts w:ascii="宋体" w:hAnsi="宋体"/>
          <w:sz w:val="21"/>
        </w:rPr>
      </w:pPr>
      <w:r>
        <w:rPr>
          <w:rFonts w:hint="eastAsia" w:ascii="宋体" w:hAnsi="宋体"/>
          <w:sz w:val="21"/>
        </w:rPr>
        <w:t xml:space="preserve">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pStyle w:val="867"/>
      </w:pPr>
      <w:r/>
      <w:r/>
    </w:p>
    <w:p>
      <w:pPr>
        <w:ind w:left="0" w:firstLine="422"/>
        <w:spacing w:line="360" w:lineRule="auto"/>
        <w:rPr>
          <w:rFonts w:ascii="宋体" w:hAnsi="宋体"/>
          <w:b/>
          <w:sz w:val="21"/>
        </w:rPr>
      </w:pPr>
      <w:r>
        <w:rPr>
          <w:rFonts w:hint="eastAsia" w:ascii="宋体" w:hAnsi="宋体"/>
          <w:b/>
          <w:sz w:val="21"/>
        </w:rPr>
        <w:t xml:space="preserve">十二、误期赔偿 </w:t>
      </w:r>
      <w:r/>
    </w:p>
    <w:p>
      <w:pPr>
        <w:ind w:left="0" w:firstLine="420"/>
        <w:spacing w:line="360" w:lineRule="auto"/>
        <w:rPr>
          <w:rFonts w:ascii="宋体" w:hAnsi="宋体"/>
          <w:sz w:val="21"/>
        </w:rPr>
      </w:pPr>
      <w:r>
        <w:rPr>
          <w:rFonts w:hint="eastAsia" w:ascii="宋体" w:hAnsi="宋体"/>
          <w:sz w:val="21"/>
        </w:rPr>
        <w:t xml:space="preserve">1.除合同规定外，如果乙方没有按照合同规定的时间交货和提供服务，或因运输及安装中货物缺损需要更换而影响实际交付使用时，乙方应向甲方支付误期赔偿费。误期赔偿费具体标准按合同总价每日千分之四计算。</w:t>
      </w:r>
      <w:r/>
    </w:p>
    <w:p>
      <w:pPr>
        <w:ind w:left="0" w:firstLine="420"/>
        <w:spacing w:line="360" w:lineRule="auto"/>
        <w:rPr>
          <w:rFonts w:ascii="宋体" w:hAnsi="宋体"/>
          <w:sz w:val="21"/>
        </w:rPr>
      </w:pPr>
      <w:r>
        <w:rPr>
          <w:rFonts w:hint="eastAsia" w:ascii="宋体" w:hAnsi="宋体"/>
          <w:sz w:val="21"/>
        </w:rPr>
        <w:t xml:space="preserve">2.误期赔偿费可从应付货款中扣除。 </w:t>
      </w:r>
      <w:r/>
    </w:p>
    <w:p>
      <w:pPr>
        <w:ind w:left="0" w:firstLine="420"/>
        <w:spacing w:line="360" w:lineRule="auto"/>
        <w:rPr>
          <w:rFonts w:ascii="宋体" w:hAnsi="宋体"/>
          <w:sz w:val="21"/>
        </w:rPr>
      </w:pPr>
      <w:r>
        <w:rPr>
          <w:rFonts w:hint="eastAsia" w:ascii="宋体" w:hAnsi="宋体"/>
          <w:sz w:val="21"/>
        </w:rPr>
        <w:t xml:space="preserve">3.收取误期赔偿费不影响甲方采取合同规定的其他补救措施的权利。 </w:t>
      </w:r>
      <w:r/>
    </w:p>
    <w:p>
      <w:pPr>
        <w:ind w:left="0" w:firstLine="420"/>
        <w:spacing w:line="360" w:lineRule="auto"/>
        <w:rPr>
          <w:rFonts w:ascii="宋体" w:hAnsi="宋体"/>
          <w:sz w:val="21"/>
        </w:rPr>
      </w:pPr>
      <w:r>
        <w:rPr>
          <w:rFonts w:hint="eastAsia" w:ascii="宋体" w:hAnsi="宋体"/>
          <w:sz w:val="21"/>
        </w:rPr>
        <w:t xml:space="preserve">4.延期交货时间超过十五天或交货不符合合同约定满三次的，视为乙方严重违约，甲方有权立即解除合同，乙方仍需向甲方支付全部误期赔偿费，并赔偿甲方合同总额的10%，返还甲方已支付的合同款。</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十三、不可抗力</w:t>
      </w:r>
      <w:r/>
    </w:p>
    <w:p>
      <w:pPr>
        <w:ind w:left="0" w:firstLine="420"/>
        <w:spacing w:line="360" w:lineRule="auto"/>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360" w:lineRule="auto"/>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2.本条所述的“不可抗力”系指那些双方无法控制，不可预见的事件，但不包括双方的违约或疏忽。这些事件包括但不限于：战争、严重火灾、洪水、台风、地震以及其它双方商定的事件。</w:t>
      </w:r>
      <w:r/>
    </w:p>
    <w:p>
      <w:pPr>
        <w:ind w:left="0" w:firstLine="420"/>
        <w:spacing w:line="360" w:lineRule="auto"/>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十四、争端的解决 </w:t>
      </w:r>
      <w:r/>
    </w:p>
    <w:p>
      <w:pPr>
        <w:ind w:left="0" w:firstLine="420"/>
        <w:spacing w:line="360" w:lineRule="auto"/>
        <w:rPr>
          <w:rFonts w:ascii="宋体" w:hAnsi="宋体"/>
          <w:sz w:val="21"/>
        </w:rPr>
      </w:pPr>
      <w:r>
        <w:rPr>
          <w:rFonts w:hint="eastAsia" w:ascii="宋体" w:hAnsi="宋体"/>
          <w:sz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rPr>
          <w:rFonts w:ascii="宋体" w:hAnsi="宋体"/>
          <w:sz w:val="21"/>
        </w:rPr>
      </w:pPr>
      <w:r>
        <w:rPr>
          <w:rFonts w:hint="eastAsia" w:ascii="宋体" w:hAnsi="宋体"/>
          <w:sz w:val="21"/>
        </w:rPr>
        <w:t xml:space="preserve">2.如果调解不成，双方中的任何一方可向人民法院提起诉讼。诉讼由合同签订地人民法院管辖。 </w:t>
      </w:r>
      <w:r/>
    </w:p>
    <w:p>
      <w:pPr>
        <w:ind w:left="0" w:firstLine="420"/>
        <w:spacing w:line="360" w:lineRule="auto"/>
        <w:rPr>
          <w:rFonts w:ascii="宋体" w:hAnsi="宋体"/>
          <w:sz w:val="21"/>
        </w:rPr>
      </w:pPr>
      <w:r>
        <w:rPr>
          <w:rFonts w:hint="eastAsia" w:ascii="宋体" w:hAnsi="宋体"/>
          <w:sz w:val="21"/>
        </w:rPr>
        <w:t xml:space="preserve">3.诉讼费由败诉方负担。</w:t>
      </w:r>
      <w:r/>
    </w:p>
    <w:p>
      <w:pPr>
        <w:ind w:left="0" w:firstLine="420"/>
        <w:spacing w:line="360" w:lineRule="auto"/>
        <w:rPr>
          <w:rFonts w:ascii="宋体" w:hAnsi="宋体"/>
          <w:sz w:val="21"/>
        </w:rPr>
      </w:pPr>
      <w:r>
        <w:rPr>
          <w:rFonts w:hint="eastAsia" w:ascii="宋体" w:hAnsi="宋体"/>
          <w:sz w:val="21"/>
        </w:rPr>
        <w:t xml:space="preserve">4.因合同部分履行引发诉讼的，在诉讼期间，除正在进行诉讼的部分外，本合同的其它部分应继续执行。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十五、违约终止合同 </w:t>
      </w:r>
      <w:r/>
    </w:p>
    <w:p>
      <w:pPr>
        <w:ind w:left="0" w:firstLine="420"/>
        <w:spacing w:line="360" w:lineRule="auto"/>
        <w:rPr>
          <w:rFonts w:ascii="宋体" w:hAnsi="宋体"/>
          <w:sz w:val="21"/>
        </w:rPr>
      </w:pPr>
      <w:r>
        <w:rPr>
          <w:rFonts w:hint="eastAsia" w:ascii="宋体" w:hAnsi="宋体"/>
          <w:sz w:val="21"/>
        </w:rPr>
        <w:t xml:space="preserve">1.在甲方因乙方违约而按合同约定采取的任何补救措施不受影响的情况下，甲方可在下列情况下向乙方发出书面通知，提出终止部分或全部合同。 </w:t>
      </w:r>
      <w:r/>
    </w:p>
    <w:p>
      <w:pPr>
        <w:ind w:left="0" w:firstLine="200"/>
        <w:spacing w:line="360" w:lineRule="auto"/>
        <w:rPr>
          <w:rFonts w:ascii="宋体" w:hAnsi="宋体"/>
          <w:sz w:val="21"/>
        </w:rPr>
      </w:pPr>
      <w:r>
        <w:rPr>
          <w:rFonts w:hint="eastAsia" w:ascii="宋体" w:hAnsi="宋体"/>
          <w:sz w:val="21"/>
        </w:rPr>
        <w:t xml:space="preserve">（1）如果乙方未能在合同规定的限期或甲方同意延长的限期内提供部分或全部货物和服务。</w:t>
      </w:r>
      <w:r/>
    </w:p>
    <w:p>
      <w:pPr>
        <w:ind w:left="0" w:firstLine="200"/>
        <w:spacing w:line="360" w:lineRule="auto"/>
        <w:rPr>
          <w:rFonts w:ascii="宋体" w:hAnsi="宋体"/>
          <w:sz w:val="21"/>
        </w:rPr>
      </w:pPr>
      <w:r>
        <w:rPr>
          <w:rFonts w:hint="eastAsia" w:ascii="宋体" w:hAnsi="宋体"/>
          <w:sz w:val="21"/>
        </w:rPr>
        <w:t xml:space="preserve">（2）如果乙方未能履行合同规定的其它任何义务。 </w:t>
      </w:r>
      <w:r/>
    </w:p>
    <w:p>
      <w:pPr>
        <w:ind w:left="0" w:firstLine="200"/>
        <w:spacing w:line="360" w:lineRule="auto"/>
        <w:rPr>
          <w:rFonts w:ascii="宋体" w:hAnsi="宋体"/>
          <w:sz w:val="21"/>
        </w:rPr>
      </w:pPr>
      <w:r>
        <w:rPr>
          <w:rFonts w:hint="eastAsia" w:ascii="宋体" w:hAnsi="宋体"/>
          <w:sz w:val="21"/>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p>
    <w:p>
      <w:pPr>
        <w:ind w:left="0" w:firstLine="420"/>
        <w:spacing w:line="360" w:lineRule="auto"/>
        <w:rPr>
          <w:rFonts w:ascii="宋体" w:hAnsi="宋体"/>
          <w:sz w:val="21"/>
        </w:rPr>
      </w:pPr>
      <w:r>
        <w:rPr>
          <w:rFonts w:hint="eastAsia" w:ascii="宋体" w:hAnsi="宋体"/>
          <w:sz w:val="21"/>
        </w:rPr>
        <w:t xml:space="preserve">2.如果甲方根据以上的规定，终止了全部或部分合同，甲方可以依其认为适当的条件和方法购买与未交货物类似的货物，乙方应对购买类似货物所超出的那部分费用负责。并且，乙方应继续履行合同中未终止的部分。 </w:t>
      </w:r>
      <w:r/>
    </w:p>
    <w:p>
      <w:pPr>
        <w:ind w:left="0" w:firstLine="420"/>
        <w:spacing w:line="360" w:lineRule="auto"/>
        <w:rPr>
          <w:rFonts w:ascii="宋体" w:hAnsi="宋体"/>
          <w:sz w:val="21"/>
        </w:rPr>
      </w:pPr>
      <w:r>
        <w:rPr>
          <w:rFonts w:hint="eastAsia" w:ascii="宋体" w:hAnsi="宋体"/>
          <w:sz w:val="21"/>
        </w:rPr>
        <w:t xml:space="preserve">3.如果甲方违约，应承担相应的违约责任。 </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sz w:val="21"/>
        </w:rPr>
        <w:t xml:space="preserve">十六、破产终止合同：</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十七、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sz w:val="21"/>
        </w:rPr>
      </w:pPr>
      <w:r>
        <w:rPr>
          <w:rFonts w:hint="eastAsia" w:ascii="宋体" w:hAnsi="宋体"/>
          <w:b/>
          <w:sz w:val="21"/>
        </w:rPr>
        <w:t xml:space="preserve">十八、合同转让和分包：</w:t>
      </w:r>
      <w:r>
        <w:rPr>
          <w:rFonts w:hint="eastAsia" w:ascii="宋体" w:hAnsi="宋体"/>
          <w:sz w:val="21"/>
        </w:rPr>
        <w:t xml:space="preserve">本项目不得转包、分包。</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sz w:val="21"/>
        </w:rPr>
      </w:pPr>
      <w:r>
        <w:rPr>
          <w:rFonts w:hint="eastAsia" w:ascii="宋体" w:hAnsi="宋体"/>
          <w:b/>
          <w:sz w:val="21"/>
        </w:rPr>
        <w:t xml:space="preserve">十九、需要补充的合同条款：</w:t>
      </w:r>
      <w:r>
        <w:rPr>
          <w:rFonts w:hint="eastAsia" w:ascii="宋体" w:hAnsi="宋体"/>
          <w:sz w:val="21"/>
        </w:rPr>
        <w:t xml:space="preserve">（根据评标过程中或者商务谈判时商定的条款和条件在订立合同时标明）。</w:t>
      </w:r>
      <w:r/>
    </w:p>
    <w:p>
      <w:pPr>
        <w:ind w:left="0" w:firstLine="422"/>
        <w:spacing w:line="360" w:lineRule="auto"/>
        <w:rPr>
          <w:rFonts w:ascii="宋体" w:hAnsi="宋体"/>
          <w:sz w:val="21"/>
        </w:rPr>
      </w:pPr>
      <w:r>
        <w:rPr>
          <w:rFonts w:hint="eastAsia" w:ascii="宋体" w:hAnsi="宋体"/>
          <w:b/>
          <w:sz w:val="21"/>
        </w:rPr>
        <w:t xml:space="preserve">二十、合同生效 </w:t>
      </w:r>
      <w:r/>
    </w:p>
    <w:p>
      <w:pPr>
        <w:ind w:left="0" w:firstLine="420"/>
        <w:spacing w:line="360" w:lineRule="auto"/>
        <w:rPr>
          <w:rFonts w:ascii="宋体" w:hAnsi="宋体"/>
          <w:sz w:val="21"/>
        </w:rPr>
      </w:pPr>
      <w:r>
        <w:rPr>
          <w:rFonts w:hint="eastAsia" w:ascii="宋体" w:hAnsi="宋体"/>
          <w:sz w:val="21"/>
        </w:rPr>
        <w:t xml:space="preserve">1.双方签约人为各自法定代表人或被授权代表。</w:t>
      </w:r>
      <w:r/>
    </w:p>
    <w:p>
      <w:pPr>
        <w:ind w:left="0" w:firstLine="420"/>
        <w:spacing w:line="360" w:lineRule="auto"/>
        <w:rPr>
          <w:rFonts w:ascii="宋体" w:hAnsi="宋体"/>
          <w:sz w:val="21"/>
        </w:rPr>
      </w:pPr>
      <w:r>
        <w:rPr>
          <w:rFonts w:hint="eastAsia" w:ascii="宋体" w:hAnsi="宋体"/>
          <w:sz w:val="21"/>
        </w:rPr>
        <w:t xml:space="preserve">2.本合同系指本文件及其附件中的所有部分，招标文件、中标的投标文件、中标通知书、中标人在招标过程中的澄清和承诺等为本合同不可缺少的组成部分。</w:t>
      </w:r>
      <w:r/>
    </w:p>
    <w:p>
      <w:pPr>
        <w:ind w:left="0" w:firstLine="420"/>
        <w:spacing w:line="360" w:lineRule="auto"/>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rPr>
          <w:rFonts w:ascii="宋体" w:hAnsi="宋体"/>
          <w:sz w:val="21"/>
        </w:rPr>
      </w:pPr>
      <w:r>
        <w:rPr>
          <w:rFonts w:ascii="宋体" w:hAnsi="宋体"/>
          <w:sz w:val="21"/>
        </w:rPr>
        <w:t xml:space="preserve">5</w:t>
      </w:r>
      <w:r>
        <w:rPr>
          <w:rFonts w:hint="eastAsia" w:ascii="宋体" w:hAnsi="宋体"/>
          <w:sz w:val="21"/>
        </w:rPr>
        <w:t xml:space="preserve">.本合同应按照中华人民共和国的现行法律进行解释。</w:t>
      </w:r>
      <w:r/>
    </w:p>
    <w:p>
      <w:pPr>
        <w:ind w:left="0" w:firstLine="420"/>
        <w:spacing w:line="360" w:lineRule="auto"/>
        <w:rPr>
          <w:rFonts w:ascii="宋体" w:hAnsi="宋体"/>
          <w:sz w:val="21"/>
        </w:rPr>
      </w:pPr>
      <w:r>
        <w:rPr>
          <w:rFonts w:ascii="宋体" w:hAnsi="宋体"/>
          <w:sz w:val="21"/>
        </w:rPr>
        <w:t xml:space="preserve">6</w:t>
      </w:r>
      <w:r>
        <w:rPr>
          <w:rFonts w:hint="eastAsia" w:ascii="宋体" w:hAnsi="宋体"/>
          <w:sz w:val="21"/>
        </w:rPr>
        <w:t xml:space="preserve">.合同修改：除甲乙双方签署书面修改、补充协议，并成为本合同不可分割的一部分之外，本合同条件不得有任何变化或修改。</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甲方（公章）：                     </w:t>
      </w:r>
      <w:r>
        <w:rPr>
          <w:rFonts w:ascii="宋体" w:hAnsi="宋体"/>
          <w:sz w:val="21"/>
        </w:rPr>
        <w:t xml:space="preserve">  </w:t>
      </w:r>
      <w:r>
        <w:rPr>
          <w:rFonts w:hint="eastAsia" w:ascii="宋体" w:hAnsi="宋体"/>
          <w:sz w:val="21"/>
        </w:rPr>
        <w:t xml:space="preserve">                       乙方（公章）：</w:t>
      </w:r>
      <w:r>
        <w:rPr>
          <w:rFonts w:ascii="宋体" w:hAnsi="宋体"/>
          <w:sz w:val="21"/>
        </w:rPr>
        <w:t xml:space="preserve"> </w:t>
      </w:r>
      <w:r/>
    </w:p>
    <w:p>
      <w:pPr>
        <w:ind w:left="0"/>
        <w:jc w:val="left"/>
        <w:spacing w:line="360" w:lineRule="auto"/>
        <w:rPr>
          <w:rFonts w:ascii="宋体" w:hAnsi="宋体"/>
          <w:sz w:val="21"/>
        </w:rPr>
      </w:pPr>
      <w:r>
        <w:rPr>
          <w:rFonts w:hint="eastAsia" w:ascii="宋体" w:hAnsi="宋体"/>
          <w:sz w:val="21"/>
        </w:rPr>
        <w:t xml:space="preserve">法定代表人（或授权代表）：    </w:t>
      </w:r>
      <w:r>
        <w:rPr>
          <w:rFonts w:ascii="宋体" w:hAnsi="宋体"/>
          <w:sz w:val="21"/>
        </w:rPr>
        <w:t xml:space="preserve">  </w:t>
      </w:r>
      <w:r>
        <w:rPr>
          <w:rFonts w:hint="eastAsia" w:ascii="宋体" w:hAnsi="宋体"/>
          <w:sz w:val="21"/>
        </w:rPr>
        <w:t xml:space="preserve">                            法定代表人（或授权代表）： </w:t>
      </w:r>
      <w:r/>
    </w:p>
    <w:p>
      <w:pPr>
        <w:ind w:left="0"/>
        <w:jc w:val="left"/>
        <w:spacing w:line="360" w:lineRule="auto"/>
        <w:rPr>
          <w:rFonts w:ascii="宋体" w:hAnsi="宋体"/>
          <w:sz w:val="21"/>
        </w:rPr>
      </w:pPr>
      <w:r>
        <w:rPr>
          <w:rFonts w:hint="eastAsia" w:ascii="宋体" w:hAnsi="宋体"/>
          <w:sz w:val="21"/>
        </w:rPr>
        <w:t xml:space="preserve">签约日期：                  </w:t>
      </w:r>
      <w:r>
        <w:rPr>
          <w:rFonts w:ascii="宋体" w:hAnsi="宋体"/>
          <w:sz w:val="21"/>
        </w:rPr>
        <w:t xml:space="preserve">  </w:t>
      </w:r>
      <w:r>
        <w:rPr>
          <w:rFonts w:hint="eastAsia" w:ascii="宋体" w:hAnsi="宋体"/>
          <w:sz w:val="21"/>
        </w:rPr>
        <w:t xml:space="preserve">                              签约日期： </w:t>
      </w:r>
      <w:r/>
    </w:p>
    <w:p>
      <w:pPr>
        <w:pStyle w:val="886"/>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合同签定地：</w:t>
      </w:r>
      <w:r/>
    </w:p>
    <w:p>
      <w:pPr>
        <w:pStyle w:val="886"/>
        <w:ind w:left="400" w:firstLine="883"/>
        <w:rPr>
          <w:rFonts w:ascii="宋体" w:hAnsi="宋体"/>
          <w:b/>
          <w:sz w:val="44"/>
          <w:szCs w:val="22"/>
        </w:rPr>
      </w:pPr>
      <w:r>
        <w:rPr>
          <w:rFonts w:hint="eastAsia" w:ascii="宋体" w:hAnsi="宋体"/>
          <w:b/>
          <w:sz w:val="44"/>
          <w:szCs w:val="22"/>
        </w:rPr>
        <w:t xml:space="preserve"> </w:t>
      </w:r>
      <w:r/>
    </w:p>
    <w:p>
      <w:pPr>
        <w:pStyle w:val="886"/>
        <w:ind w:left="400" w:firstLine="883"/>
        <w:rPr>
          <w:rFonts w:ascii="宋体" w:hAnsi="宋体"/>
          <w:b/>
          <w:sz w:val="44"/>
          <w:szCs w:val="22"/>
        </w:rPr>
      </w:pPr>
      <w:r>
        <w:rPr>
          <w:rFonts w:hint="eastAsia" w:ascii="宋体" w:hAnsi="宋体"/>
          <w:b/>
          <w:sz w:val="44"/>
          <w:szCs w:val="22"/>
        </w:rPr>
        <w:br w:type="page" w:clear="all"/>
      </w:r>
      <w:r/>
    </w:p>
    <w:p>
      <w:pPr>
        <w:pStyle w:val="841"/>
        <w:ind w:left="0" w:firstLine="0"/>
        <w:jc w:val="center"/>
        <w:rPr>
          <w:rFonts w:ascii="宋体" w:hAnsi="宋体"/>
          <w:b/>
          <w:sz w:val="44"/>
          <w:szCs w:val="22"/>
        </w:rPr>
      </w:pPr>
      <w:r/>
      <w:bookmarkStart w:id="84" w:name="_Toc105397795"/>
      <w:r>
        <w:rPr>
          <w:rFonts w:hint="eastAsia" w:ascii="宋体" w:hAnsi="宋体"/>
          <w:b/>
          <w:sz w:val="44"/>
          <w:szCs w:val="22"/>
        </w:rPr>
        <w:t xml:space="preserve">第六章 </w:t>
      </w:r>
      <w:bookmarkStart w:id="85" w:name="评分要点"/>
      <w:r/>
      <w:bookmarkEnd w:id="85"/>
      <w:r>
        <w:rPr>
          <w:rFonts w:hint="eastAsia" w:ascii="宋体" w:hAnsi="宋体"/>
          <w:b/>
          <w:sz w:val="44"/>
          <w:szCs w:val="22"/>
        </w:rPr>
        <w:t xml:space="preserve">评标办法和评分标准</w:t>
      </w:r>
      <w:bookmarkEnd w:id="80"/>
      <w:r/>
      <w:bookmarkEnd w:id="81"/>
      <w:r/>
      <w:bookmarkEnd w:id="82"/>
      <w:r/>
      <w:bookmarkEnd w:id="84"/>
      <w:r/>
      <w:r/>
    </w:p>
    <w:p>
      <w:pPr>
        <w:ind w:left="0" w:firstLine="422"/>
        <w:spacing w:line="360" w:lineRule="auto"/>
        <w:rPr>
          <w:rFonts w:ascii="宋体" w:hAnsi="宋体"/>
          <w:b/>
          <w:sz w:val="21"/>
          <w:szCs w:val="21"/>
        </w:rPr>
      </w:pPr>
      <w:r/>
      <w:bookmarkStart w:id="86" w:name="_Toc16264"/>
      <w:r/>
      <w:bookmarkStart w:id="87" w:name="_Toc17476"/>
      <w:r/>
      <w:bookmarkStart w:id="88" w:name="_Toc698"/>
      <w:r>
        <w:rPr>
          <w:rFonts w:hint="eastAsia" w:ascii="宋体" w:hAnsi="宋体"/>
          <w:b/>
          <w:sz w:val="21"/>
          <w:szCs w:val="21"/>
        </w:rPr>
        <w:t xml:space="preserve">一、评标办法：</w:t>
      </w:r>
      <w:bookmarkEnd w:id="86"/>
      <w:r/>
      <w:bookmarkEnd w:id="87"/>
      <w:r/>
      <w:bookmarkEnd w:id="88"/>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sz w:val="21"/>
        </w:rPr>
      </w:pPr>
      <w:r>
        <w:rPr>
          <w:rFonts w:ascii="宋体" w:hAnsi="宋体"/>
          <w:sz w:val="21"/>
        </w:rPr>
        <w:t xml:space="preserve">5</w:t>
      </w:r>
      <w:r>
        <w:rPr>
          <w:rFonts w:hint="eastAsia" w:ascii="宋体" w:hAnsi="宋体"/>
          <w:sz w:val="21"/>
        </w:rPr>
        <w:t xml:space="preserve">.针对中小型企业、残疾人福利企业和监狱企业的评审：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rPr>
        <w:t xml:space="preserve">2</w:t>
      </w:r>
      <w:r>
        <w:rPr>
          <w:rFonts w:hint="eastAsia" w:ascii="宋体" w:hAnsi="宋体"/>
          <w:b/>
          <w:sz w:val="21"/>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b/>
          <w:sz w:val="21"/>
          <w:szCs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53"/>
        <w:ind w:left="0" w:firstLine="0"/>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p>
      <w:pPr>
        <w:ind w:left="0" w:firstLine="422"/>
        <w:spacing w:line="360" w:lineRule="auto"/>
        <w:widowControl w:val="off"/>
        <w:rPr>
          <w:rFonts w:ascii="宋体" w:hAnsi="宋体"/>
          <w:b/>
          <w:sz w:val="21"/>
        </w:rPr>
      </w:pPr>
      <w:r>
        <w:rPr>
          <w:rFonts w:hint="eastAsia" w:ascii="宋体" w:hAnsi="宋体"/>
          <w:b/>
          <w:sz w:val="21"/>
        </w:rPr>
        <w:t xml:space="preserve">(一）价格分：（40分）</w:t>
      </w:r>
      <w:r/>
    </w:p>
    <w:p>
      <w:pPr>
        <w:ind w:left="0" w:firstLine="420"/>
        <w:spacing w:line="360" w:lineRule="auto"/>
        <w:widowControl w:val="off"/>
        <w:rPr>
          <w:rFonts w:ascii="宋体" w:hAnsi="宋体"/>
          <w:sz w:val="21"/>
        </w:rPr>
      </w:pPr>
      <w:r>
        <w:rPr>
          <w:rFonts w:hint="eastAsia" w:ascii="宋体" w:hAnsi="宋体"/>
          <w:sz w:val="21"/>
        </w:rPr>
        <w:t xml:space="preserve">第一步：投标报价低于或等于财政预算价格（或最高限价）的，为有效投标报价。超财政预算（或最高限价）的投标报价为无效投标报价。</w:t>
      </w:r>
      <w:r/>
    </w:p>
    <w:p>
      <w:pPr>
        <w:ind w:left="0" w:firstLine="420"/>
        <w:spacing w:line="360" w:lineRule="auto"/>
        <w:widowControl w:val="off"/>
        <w:rPr>
          <w:rFonts w:ascii="宋体" w:hAnsi="宋体"/>
          <w:sz w:val="21"/>
        </w:rPr>
      </w:pPr>
      <w:r>
        <w:rPr>
          <w:rFonts w:hint="eastAsia" w:ascii="宋体" w:hAnsi="宋体"/>
          <w:sz w:val="21"/>
        </w:rPr>
        <w:t xml:space="preserve">第二步：在所有有效投标报价中满足招标文件要求，且投标价格最低的投标报价为评标基准价，其他投标人的价格分按照下列公式计算（计算结果四舍五入保留两位小数）。</w:t>
      </w:r>
      <w:r/>
    </w:p>
    <w:p>
      <w:pPr>
        <w:ind w:left="0" w:firstLine="420"/>
        <w:spacing w:line="360" w:lineRule="auto"/>
        <w:widowControl w:val="off"/>
        <w:rPr>
          <w:rFonts w:ascii="宋体" w:hAnsi="宋体"/>
          <w:sz w:val="21"/>
        </w:rPr>
      </w:pPr>
      <w:r>
        <w:rPr>
          <w:rFonts w:hint="eastAsia" w:ascii="宋体" w:hAnsi="宋体"/>
          <w:sz w:val="21"/>
        </w:rPr>
        <w:t xml:space="preserve">投标报价得分＝（评标基准价/投标报价）×</w:t>
      </w:r>
      <w:r>
        <w:rPr>
          <w:rFonts w:ascii="宋体" w:hAnsi="宋体"/>
          <w:sz w:val="21"/>
        </w:rPr>
        <w:t xml:space="preserve">4</w:t>
      </w:r>
      <w:r>
        <w:rPr>
          <w:rFonts w:hint="eastAsia" w:ascii="宋体" w:hAnsi="宋体"/>
          <w:sz w:val="21"/>
        </w:rPr>
        <w:t xml:space="preserve">0％×100</w:t>
      </w:r>
      <w:r/>
    </w:p>
    <w:p>
      <w:pPr>
        <w:ind w:left="0" w:firstLine="422"/>
        <w:spacing w:line="360" w:lineRule="auto"/>
        <w:widowControl w:val="off"/>
        <w:rPr>
          <w:rFonts w:ascii="宋体" w:hAnsi="宋体"/>
          <w:b/>
          <w:sz w:val="21"/>
        </w:rPr>
      </w:pPr>
      <w:r>
        <w:rPr>
          <w:rFonts w:hint="eastAsia" w:ascii="宋体" w:hAnsi="宋体"/>
          <w:b/>
          <w:sz w:val="21"/>
        </w:rPr>
        <w:t xml:space="preserve">（二）所投设备的响应情况比较（20分）</w:t>
      </w:r>
      <w:r/>
    </w:p>
    <w:p>
      <w:pPr>
        <w:ind w:left="0" w:firstLine="420"/>
        <w:spacing w:line="360" w:lineRule="auto"/>
        <w:widowControl w:val="off"/>
        <w:rPr>
          <w:rFonts w:ascii="宋体" w:hAnsi="宋体"/>
          <w:sz w:val="21"/>
        </w:rPr>
      </w:pPr>
      <w:r>
        <w:rPr>
          <w:rFonts w:hint="eastAsia" w:ascii="宋体" w:hAnsi="宋体"/>
          <w:sz w:val="21"/>
        </w:rPr>
        <w:t xml:space="preserve">注：</w:t>
      </w:r>
      <w:r>
        <w:rPr>
          <w:rFonts w:ascii="宋体" w:hAnsi="宋体"/>
          <w:sz w:val="21"/>
        </w:rPr>
        <w:t xml:space="preserve">标“★”的技术参数，须在投标文件中提供以下任意一项证明材料: （1）国家认可的第三方检测机构出具的合格检验报告书复印件，并加盖投标单位公章（2）官网截图证明，并加盖投标单位公章。（3）技术参数彩页，并加盖投标单位公章。（4）产品说明书，并加盖投标单位公章。</w:t>
      </w:r>
      <w:r/>
    </w:p>
    <w:p>
      <w:pPr>
        <w:ind w:left="0" w:firstLine="420"/>
        <w:spacing w:line="360" w:lineRule="auto"/>
        <w:widowControl w:val="off"/>
        <w:rPr>
          <w:rFonts w:ascii="宋体" w:hAnsi="宋体"/>
          <w:sz w:val="21"/>
        </w:rPr>
      </w:pPr>
      <w:r>
        <w:rPr>
          <w:rFonts w:ascii="宋体" w:hAnsi="宋体"/>
          <w:sz w:val="21"/>
        </w:rPr>
        <w:t xml:space="preserve">每提供一项得</w:t>
      </w:r>
      <w:r>
        <w:rPr>
          <w:rFonts w:hint="eastAsia" w:ascii="宋体" w:hAnsi="宋体"/>
          <w:sz w:val="21"/>
        </w:rPr>
        <w:t xml:space="preserve">2</w:t>
      </w:r>
      <w:r>
        <w:rPr>
          <w:rFonts w:ascii="宋体" w:hAnsi="宋体"/>
          <w:sz w:val="21"/>
        </w:rPr>
        <w:t xml:space="preserve">分</w:t>
      </w:r>
      <w:r>
        <w:rPr>
          <w:rFonts w:hint="eastAsia" w:ascii="宋体" w:hAnsi="宋体"/>
          <w:sz w:val="21"/>
        </w:rPr>
        <w:t xml:space="preserve">，不提供不得分</w:t>
      </w:r>
      <w:r>
        <w:rPr>
          <w:rFonts w:ascii="宋体" w:hAnsi="宋体"/>
          <w:sz w:val="21"/>
        </w:rPr>
        <w:t xml:space="preserve">。</w:t>
      </w:r>
      <w:r/>
    </w:p>
    <w:p>
      <w:pPr>
        <w:ind w:left="0" w:firstLine="422"/>
        <w:spacing w:line="360" w:lineRule="auto"/>
        <w:widowControl w:val="off"/>
        <w:rPr>
          <w:rFonts w:ascii="宋体" w:hAnsi="宋体"/>
          <w:b/>
          <w:sz w:val="21"/>
        </w:rPr>
      </w:pPr>
      <w:r>
        <w:rPr>
          <w:rFonts w:hint="eastAsia" w:ascii="宋体" w:hAnsi="宋体"/>
          <w:b/>
          <w:sz w:val="21"/>
        </w:rPr>
        <w:t xml:space="preserve">（三）项目方案比较（20分）</w:t>
      </w:r>
      <w:r/>
    </w:p>
    <w:p>
      <w:pPr>
        <w:ind w:left="0" w:firstLine="420"/>
        <w:spacing w:line="360" w:lineRule="auto"/>
        <w:widowControl w:val="off"/>
        <w:rPr>
          <w:rFonts w:ascii="宋体" w:hAnsi="宋体"/>
          <w:sz w:val="21"/>
        </w:rPr>
      </w:pPr>
      <w:r>
        <w:rPr>
          <w:rFonts w:hint="eastAsia" w:ascii="宋体" w:hAnsi="宋体"/>
          <w:sz w:val="21"/>
        </w:rPr>
        <w:t xml:space="preserve">1、项目理解（6分）</w:t>
      </w:r>
      <w:r/>
    </w:p>
    <w:p>
      <w:pPr>
        <w:ind w:left="0" w:firstLine="420"/>
        <w:spacing w:line="360" w:lineRule="auto"/>
        <w:rPr>
          <w:rFonts w:ascii="宋体" w:hAnsi="宋体"/>
          <w:sz w:val="21"/>
        </w:rPr>
      </w:pPr>
      <w:r>
        <w:rPr>
          <w:rFonts w:hint="eastAsia" w:ascii="宋体" w:hAnsi="宋体"/>
          <w:sz w:val="21"/>
        </w:rPr>
        <w:t xml:space="preserve">投标人提供本项目的实施方案，具体包括整体进度安排、质量保证措施、安全生产措施。</w:t>
      </w:r>
      <w:r/>
    </w:p>
    <w:p>
      <w:pPr>
        <w:ind w:left="0" w:firstLine="420"/>
        <w:spacing w:line="360" w:lineRule="auto"/>
        <w:rPr>
          <w:rFonts w:ascii="宋体" w:hAnsi="宋体"/>
          <w:sz w:val="21"/>
        </w:rPr>
      </w:pPr>
      <w:r>
        <w:rPr>
          <w:rFonts w:hint="eastAsia" w:ascii="宋体" w:hAnsi="宋体"/>
          <w:sz w:val="21"/>
        </w:rPr>
        <w:t xml:space="preserve">（1）整体进度安排方案完整、具有针对性、可操作性强得2分，方案较完整、针对性和可操作性较</w:t>
      </w:r>
      <w:r>
        <w:rPr>
          <w:rFonts w:ascii="宋体" w:hAnsi="宋体"/>
          <w:sz w:val="21"/>
        </w:rPr>
        <w:t xml:space="preserve">一般</w:t>
      </w:r>
      <w:r>
        <w:rPr>
          <w:rFonts w:hint="eastAsia" w:ascii="宋体" w:hAnsi="宋体"/>
          <w:sz w:val="21"/>
        </w:rPr>
        <w:t xml:space="preserve">的得1分，不提供不得分；</w:t>
      </w:r>
      <w:r/>
    </w:p>
    <w:p>
      <w:pPr>
        <w:ind w:left="0" w:firstLine="420"/>
        <w:spacing w:line="360" w:lineRule="auto"/>
        <w:rPr>
          <w:rFonts w:ascii="宋体" w:hAnsi="宋体"/>
          <w:sz w:val="21"/>
        </w:rPr>
      </w:pPr>
      <w:r>
        <w:rPr>
          <w:rFonts w:hint="eastAsia" w:ascii="宋体" w:hAnsi="宋体"/>
          <w:sz w:val="21"/>
        </w:rPr>
        <w:t xml:space="preserve">（2）质量保证措施方案完整、具有针对性、可操作性强得2分，方案较完整、针对性和可操作性较</w:t>
      </w:r>
      <w:r>
        <w:rPr>
          <w:rFonts w:ascii="宋体" w:hAnsi="宋体"/>
          <w:sz w:val="21"/>
        </w:rPr>
        <w:t xml:space="preserve">一般</w:t>
      </w:r>
      <w:r>
        <w:rPr>
          <w:rFonts w:hint="eastAsia" w:ascii="宋体" w:hAnsi="宋体"/>
          <w:sz w:val="21"/>
        </w:rPr>
        <w:t xml:space="preserve">的得1分，不提供不得分；</w:t>
      </w:r>
      <w:r/>
    </w:p>
    <w:p>
      <w:pPr>
        <w:ind w:left="0" w:firstLine="420"/>
        <w:spacing w:line="360" w:lineRule="auto"/>
        <w:rPr>
          <w:rFonts w:ascii="宋体" w:hAnsi="宋体"/>
          <w:sz w:val="21"/>
        </w:rPr>
      </w:pPr>
      <w:r>
        <w:rPr>
          <w:rFonts w:hint="eastAsia" w:ascii="宋体" w:hAnsi="宋体"/>
          <w:sz w:val="21"/>
        </w:rPr>
        <w:t xml:space="preserve">（3）安全生产措施方案完整、具有针对性、可操作性强得2分，方案较完整、针对性和可操作性较</w:t>
      </w:r>
      <w:r>
        <w:rPr>
          <w:rFonts w:ascii="宋体" w:hAnsi="宋体"/>
          <w:sz w:val="21"/>
        </w:rPr>
        <w:t xml:space="preserve">一般</w:t>
      </w:r>
      <w:r>
        <w:rPr>
          <w:rFonts w:hint="eastAsia" w:ascii="宋体" w:hAnsi="宋体"/>
          <w:sz w:val="21"/>
        </w:rPr>
        <w:t xml:space="preserve">的得1分，不提供不得分；</w:t>
      </w:r>
      <w:r/>
    </w:p>
    <w:p>
      <w:pPr>
        <w:ind w:left="0" w:firstLine="420"/>
        <w:spacing w:line="360" w:lineRule="auto"/>
        <w:widowControl w:val="off"/>
        <w:rPr>
          <w:rFonts w:ascii="宋体" w:hAnsi="宋体"/>
          <w:sz w:val="21"/>
        </w:rPr>
      </w:pPr>
      <w:r>
        <w:rPr>
          <w:rFonts w:hint="eastAsia" w:ascii="宋体" w:hAnsi="宋体"/>
          <w:sz w:val="21"/>
        </w:rPr>
        <w:t xml:space="preserve">2、投标人需单位针对本项目售后服务质量保证（5分）</w:t>
      </w:r>
      <w:r/>
    </w:p>
    <w:p>
      <w:pPr>
        <w:ind w:left="0" w:firstLine="420"/>
        <w:spacing w:line="360" w:lineRule="auto"/>
        <w:rPr>
          <w:rFonts w:ascii="宋体" w:hAnsi="宋体"/>
          <w:sz w:val="21"/>
          <w:szCs w:val="21"/>
        </w:rPr>
      </w:pPr>
      <w:r>
        <w:rPr>
          <w:rFonts w:hint="eastAsia" w:ascii="宋体" w:hAnsi="宋体"/>
          <w:sz w:val="21"/>
          <w:szCs w:val="21"/>
        </w:rPr>
        <w:t xml:space="preserve">针对本项目实际提供售后服务方案比较（包括软硬件维护和升级承诺、售后人员配备、故障响应时间和方式、应急保障、培训等）的描述和说明；由评委综合评审：</w:t>
      </w:r>
      <w:r/>
    </w:p>
    <w:p>
      <w:pPr>
        <w:ind w:left="0" w:firstLine="420"/>
        <w:spacing w:line="360" w:lineRule="auto"/>
        <w:rPr>
          <w:rFonts w:ascii="宋体" w:hAnsi="宋体"/>
          <w:sz w:val="21"/>
          <w:szCs w:val="21"/>
        </w:rPr>
      </w:pPr>
      <w:r>
        <w:rPr>
          <w:rFonts w:hint="eastAsia" w:ascii="宋体" w:hAnsi="宋体"/>
          <w:sz w:val="21"/>
          <w:szCs w:val="21"/>
        </w:rPr>
        <w:t xml:space="preserve">方案完善合理、实用性强、流程规范、可操作性高、与用户需求贴合度高的得5分；方案较完善合理、实用性较强、流程较规范、可操作性较高、与用户需求贴合度较高的得3分；方案不够完善合理、实用性一般、流程不太规范、可操作性一般、与用户需求贴合度一般的得1分；不提供不得分。</w:t>
      </w:r>
      <w:r/>
    </w:p>
    <w:p>
      <w:pPr>
        <w:ind w:left="0" w:firstLine="420"/>
        <w:spacing w:line="360" w:lineRule="auto"/>
        <w:widowControl w:val="off"/>
        <w:rPr>
          <w:rFonts w:ascii="宋体" w:hAnsi="宋体"/>
          <w:sz w:val="21"/>
        </w:rPr>
      </w:pPr>
      <w:r>
        <w:rPr>
          <w:rFonts w:hint="eastAsia" w:ascii="宋体" w:hAnsi="宋体"/>
          <w:sz w:val="21"/>
        </w:rPr>
        <w:t xml:space="preserve">3、投标人需提供培训方案比较（4分）</w:t>
      </w:r>
      <w:r/>
    </w:p>
    <w:p>
      <w:pPr>
        <w:ind w:left="0" w:firstLine="420"/>
        <w:spacing w:line="360" w:lineRule="auto"/>
        <w:rPr>
          <w:rFonts w:ascii="宋体" w:hAnsi="宋体"/>
          <w:sz w:val="21"/>
        </w:rPr>
      </w:pPr>
      <w:r>
        <w:rPr>
          <w:rFonts w:hint="eastAsia" w:ascii="宋体" w:hAnsi="宋体"/>
          <w:sz w:val="21"/>
        </w:rPr>
        <w:t xml:space="preserve">为了确保采购单位正常工作不受影响，投标单位根据所投产品情况制定详细的培训方案，方案内容应包括不限于培训时间、地点、产品基本的维护操作、常规故障排查方法、详细的产品使用说明等，确保使用人能独立操作设备。方案内容详细全面，培训计划便于开展实施，方案内容科学合理的得4分；方案内容不够详细，培训计划开展较为</w:t>
      </w:r>
      <w:r>
        <w:rPr>
          <w:rFonts w:ascii="宋体" w:hAnsi="宋体"/>
          <w:sz w:val="21"/>
        </w:rPr>
        <w:t xml:space="preserve">一般</w:t>
      </w:r>
      <w:r>
        <w:rPr>
          <w:rFonts w:hint="eastAsia" w:ascii="宋体" w:hAnsi="宋体"/>
          <w:sz w:val="21"/>
        </w:rPr>
        <w:t xml:space="preserve">，方案内容科学性合理性一般的得2分；未提供不得分。</w:t>
      </w:r>
      <w:r/>
    </w:p>
    <w:p>
      <w:pPr>
        <w:ind w:left="0" w:firstLine="420"/>
        <w:spacing w:line="360" w:lineRule="auto"/>
        <w:rPr>
          <w:rFonts w:ascii="宋体" w:hAnsi="宋体"/>
          <w:sz w:val="21"/>
        </w:rPr>
      </w:pPr>
      <w:r>
        <w:rPr>
          <w:rFonts w:hint="eastAsia" w:ascii="宋体" w:hAnsi="宋体"/>
          <w:sz w:val="21"/>
        </w:rPr>
        <w:t xml:space="preserve">4、维修备品备件、维保收费以及维保方案（5分）</w:t>
      </w:r>
      <w:r/>
    </w:p>
    <w:p>
      <w:pPr>
        <w:ind w:left="0" w:firstLine="420"/>
        <w:spacing w:line="360" w:lineRule="auto"/>
        <w:rPr>
          <w:rFonts w:ascii="宋体" w:hAnsi="宋体"/>
          <w:sz w:val="21"/>
        </w:rPr>
      </w:pPr>
      <w:r>
        <w:rPr>
          <w:rFonts w:hint="eastAsia" w:ascii="宋体" w:hAnsi="宋体"/>
          <w:sz w:val="21"/>
        </w:rPr>
        <w:t xml:space="preserve">根据维修备品备件的价格及供应保障和维保期满后维保收费及维保方案综合评分；维修备品备件以及收费价格合理，维保方案详细、切合实际的得5分，维修备品备件以及收费价格一般，维保方案较为可行的得3分，备品备件收费较高，维保方案粗略的得</w:t>
      </w:r>
      <w:r>
        <w:rPr>
          <w:rFonts w:ascii="宋体" w:hAnsi="宋体"/>
          <w:sz w:val="21"/>
        </w:rPr>
        <w:t xml:space="preserve">2</w:t>
      </w:r>
      <w:r>
        <w:rPr>
          <w:rFonts w:hint="eastAsia" w:ascii="宋体" w:hAnsi="宋体"/>
          <w:sz w:val="21"/>
        </w:rPr>
        <w:t xml:space="preserve">分。不提供不得分。</w:t>
      </w:r>
      <w:r/>
    </w:p>
    <w:p>
      <w:pPr>
        <w:ind w:left="0" w:firstLine="422"/>
        <w:spacing w:line="360" w:lineRule="auto"/>
        <w:widowControl w:val="off"/>
        <w:rPr>
          <w:rFonts w:ascii="宋体" w:hAnsi="宋体"/>
          <w:b/>
          <w:sz w:val="21"/>
        </w:rPr>
      </w:pPr>
      <w:r>
        <w:rPr>
          <w:rFonts w:hint="eastAsia" w:ascii="宋体" w:hAnsi="宋体"/>
          <w:b/>
          <w:sz w:val="21"/>
        </w:rPr>
        <w:t xml:space="preserve">（四）针对本项目配备的人员（7分）</w:t>
      </w:r>
      <w:r/>
    </w:p>
    <w:p>
      <w:pPr>
        <w:ind w:left="0" w:firstLine="420"/>
        <w:spacing w:line="360" w:lineRule="auto"/>
        <w:widowControl w:val="off"/>
        <w:rPr>
          <w:rFonts w:ascii="宋体" w:hAnsi="宋体"/>
          <w:sz w:val="21"/>
        </w:rPr>
      </w:pPr>
      <w:r>
        <w:rPr>
          <w:rFonts w:hint="eastAsia" w:ascii="宋体" w:hAnsi="宋体"/>
          <w:sz w:val="21"/>
        </w:rPr>
        <w:t xml:space="preserve">1、投标单位为项目配备的项目负责人具有本专业相关高级职称的得1分，具有信息系统项目管理师证书的得1分、具有系统规划与管理师证书的得1分、具有项目管理专业人士（PMP）认证证书的得1分、具有注册信息安全专业人员（CISP）认证证书的得1分，最多得5分，每提供一个得1分，未提供不得分。</w:t>
      </w:r>
      <w:r/>
    </w:p>
    <w:p>
      <w:pPr>
        <w:ind w:left="0" w:firstLine="420"/>
        <w:spacing w:line="360" w:lineRule="auto"/>
        <w:rPr>
          <w:rFonts w:ascii="宋体" w:hAnsi="宋体"/>
          <w:sz w:val="21"/>
          <w:szCs w:val="21"/>
        </w:rPr>
      </w:pPr>
      <w:r>
        <w:rPr>
          <w:rFonts w:hint="eastAsia" w:ascii="宋体" w:hAnsi="宋体" w:eastAsiaTheme="minorEastAsia"/>
          <w:sz w:val="21"/>
          <w:szCs w:val="21"/>
        </w:rPr>
        <w:t xml:space="preserve">2</w:t>
      </w:r>
      <w:r>
        <w:rPr>
          <w:rFonts w:ascii="宋体" w:hAnsi="宋体" w:eastAsiaTheme="minorEastAsia"/>
          <w:sz w:val="21"/>
          <w:szCs w:val="21"/>
        </w:rPr>
        <w:t xml:space="preserve">.</w:t>
      </w:r>
      <w:r>
        <w:rPr>
          <w:rFonts w:hint="eastAsia" w:ascii="宋体" w:hAnsi="宋体" w:eastAsiaTheme="minorEastAsia"/>
          <w:sz w:val="21"/>
          <w:szCs w:val="21"/>
        </w:rPr>
        <w:t xml:space="preserve">其他项目实施成员</w:t>
      </w:r>
      <w:r>
        <w:rPr>
          <w:rFonts w:ascii="宋体" w:hAnsi="宋体" w:eastAsiaTheme="minorEastAsia"/>
          <w:sz w:val="21"/>
          <w:szCs w:val="21"/>
        </w:rPr>
        <w:t xml:space="preserve">（除项目负责人</w:t>
      </w:r>
      <w:r>
        <w:rPr>
          <w:rFonts w:hint="eastAsia" w:ascii="宋体" w:hAnsi="宋体" w:eastAsiaTheme="minorEastAsia"/>
          <w:sz w:val="21"/>
          <w:szCs w:val="21"/>
        </w:rPr>
        <w:t xml:space="preserve">外</w:t>
      </w:r>
      <w:r>
        <w:rPr>
          <w:rFonts w:ascii="宋体" w:hAnsi="宋体" w:eastAsiaTheme="minorEastAsia"/>
          <w:sz w:val="21"/>
          <w:szCs w:val="21"/>
        </w:rPr>
        <w:t xml:space="preserve">）</w:t>
      </w:r>
      <w:r>
        <w:rPr>
          <w:rFonts w:hint="eastAsia" w:ascii="宋体" w:hAnsi="宋体" w:eastAsiaTheme="minorEastAsia"/>
          <w:sz w:val="21"/>
          <w:szCs w:val="21"/>
        </w:rPr>
        <w:t xml:space="preserve">（如存在一人多证情形，不重复计分）</w:t>
      </w:r>
      <w:r>
        <w:rPr>
          <w:rFonts w:ascii="宋体" w:hAnsi="宋体" w:eastAsiaTheme="minorEastAsia"/>
          <w:sz w:val="21"/>
          <w:szCs w:val="21"/>
        </w:rPr>
        <w:t xml:space="preserve">（</w:t>
      </w:r>
      <w:r>
        <w:rPr>
          <w:rFonts w:hint="eastAsia" w:ascii="宋体" w:hAnsi="宋体" w:eastAsiaTheme="minorEastAsia"/>
          <w:sz w:val="21"/>
          <w:szCs w:val="21"/>
        </w:rPr>
        <w:t xml:space="preserve">2</w:t>
      </w:r>
      <w:r>
        <w:rPr>
          <w:rFonts w:ascii="宋体" w:hAnsi="宋体" w:eastAsiaTheme="minorEastAsia"/>
          <w:sz w:val="21"/>
          <w:szCs w:val="21"/>
        </w:rPr>
        <w:t xml:space="preserve">分）</w:t>
      </w:r>
      <w:r/>
    </w:p>
    <w:p>
      <w:pPr>
        <w:ind w:left="0" w:firstLine="630"/>
        <w:spacing w:line="360" w:lineRule="auto"/>
        <w:rPr>
          <w:rFonts w:ascii="宋体" w:hAnsi="宋体"/>
          <w:sz w:val="21"/>
          <w:szCs w:val="21"/>
        </w:rPr>
      </w:pPr>
      <w:r>
        <w:rPr>
          <w:rFonts w:hint="eastAsia" w:ascii="宋体" w:hAnsi="宋体" w:eastAsiaTheme="minorEastAsia"/>
          <w:sz w:val="21"/>
          <w:szCs w:val="21"/>
        </w:rPr>
        <w:t xml:space="preserve">1）</w:t>
      </w:r>
      <w:r>
        <w:rPr>
          <w:rFonts w:ascii="宋体" w:hAnsi="宋体" w:eastAsiaTheme="minorEastAsia"/>
          <w:sz w:val="21"/>
          <w:szCs w:val="21"/>
        </w:rPr>
        <w:t xml:space="preserve">具有</w:t>
      </w:r>
      <w:r>
        <w:rPr>
          <w:rFonts w:hint="eastAsia" w:ascii="宋体" w:hAnsi="宋体" w:eastAsiaTheme="minorEastAsia"/>
          <w:sz w:val="21"/>
          <w:szCs w:val="21"/>
        </w:rPr>
        <w:t xml:space="preserve">数据库系统工程</w:t>
      </w:r>
      <w:r>
        <w:rPr>
          <w:rFonts w:ascii="宋体" w:hAnsi="宋体" w:eastAsiaTheme="minorEastAsia"/>
          <w:sz w:val="21"/>
          <w:szCs w:val="21"/>
        </w:rPr>
        <w:t xml:space="preserve">师证书的得</w:t>
      </w:r>
      <w:r>
        <w:rPr>
          <w:rFonts w:hint="eastAsia" w:ascii="宋体" w:hAnsi="宋体" w:eastAsiaTheme="minorEastAsia"/>
          <w:sz w:val="21"/>
          <w:szCs w:val="21"/>
        </w:rPr>
        <w:t xml:space="preserve">0.5</w:t>
      </w:r>
      <w:r>
        <w:rPr>
          <w:rFonts w:ascii="宋体" w:hAnsi="宋体" w:eastAsiaTheme="minorEastAsia"/>
          <w:sz w:val="21"/>
          <w:szCs w:val="21"/>
        </w:rPr>
        <w:t xml:space="preserve">分；</w:t>
      </w:r>
      <w:r/>
    </w:p>
    <w:p>
      <w:pPr>
        <w:ind w:left="0" w:firstLine="630"/>
        <w:spacing w:line="360" w:lineRule="auto"/>
        <w:rPr>
          <w:rFonts w:ascii="宋体" w:hAnsi="宋体"/>
          <w:sz w:val="21"/>
          <w:szCs w:val="21"/>
        </w:rPr>
      </w:pPr>
      <w:r>
        <w:rPr>
          <w:rFonts w:ascii="宋体" w:hAnsi="宋体" w:eastAsiaTheme="minorEastAsia"/>
          <w:sz w:val="21"/>
          <w:szCs w:val="21"/>
        </w:rPr>
        <w:t xml:space="preserve">2）具有网络工程师证书的得</w:t>
      </w:r>
      <w:r>
        <w:rPr>
          <w:rFonts w:hint="eastAsia" w:ascii="宋体" w:hAnsi="宋体" w:eastAsiaTheme="minorEastAsia"/>
          <w:sz w:val="21"/>
          <w:szCs w:val="21"/>
        </w:rPr>
        <w:t xml:space="preserve">0.5</w:t>
      </w:r>
      <w:r>
        <w:rPr>
          <w:rFonts w:ascii="宋体" w:hAnsi="宋体" w:eastAsiaTheme="minorEastAsia"/>
          <w:sz w:val="21"/>
          <w:szCs w:val="21"/>
        </w:rPr>
        <w:t xml:space="preserve">分；</w:t>
      </w:r>
      <w:r/>
    </w:p>
    <w:p>
      <w:pPr>
        <w:ind w:left="0" w:firstLine="630"/>
        <w:spacing w:line="360" w:lineRule="auto"/>
        <w:rPr>
          <w:rFonts w:ascii="宋体" w:hAnsi="宋体"/>
          <w:sz w:val="21"/>
          <w:szCs w:val="21"/>
        </w:rPr>
      </w:pPr>
      <w:r>
        <w:rPr>
          <w:rFonts w:ascii="宋体" w:hAnsi="宋体" w:eastAsiaTheme="minorEastAsia"/>
          <w:sz w:val="21"/>
          <w:szCs w:val="21"/>
        </w:rPr>
        <w:t xml:space="preserve">3）具有注册信息安全专业人员（</w:t>
      </w:r>
      <w:r>
        <w:rPr>
          <w:rFonts w:hint="eastAsia" w:ascii="宋体" w:hAnsi="宋体" w:eastAsiaTheme="minorEastAsia"/>
          <w:sz w:val="21"/>
          <w:szCs w:val="21"/>
        </w:rPr>
        <w:t xml:space="preserve">C</w:t>
      </w:r>
      <w:r>
        <w:rPr>
          <w:rFonts w:ascii="宋体" w:hAnsi="宋体" w:eastAsiaTheme="minorEastAsia"/>
          <w:sz w:val="21"/>
          <w:szCs w:val="21"/>
        </w:rPr>
        <w:t xml:space="preserve">ISP）证书的</w:t>
      </w:r>
      <w:r>
        <w:rPr>
          <w:rFonts w:hint="eastAsia" w:ascii="宋体" w:hAnsi="宋体" w:eastAsiaTheme="minorEastAsia"/>
          <w:sz w:val="21"/>
          <w:szCs w:val="21"/>
        </w:rPr>
        <w:t xml:space="preserve">得0.5分；</w:t>
      </w:r>
      <w:r/>
    </w:p>
    <w:p>
      <w:pPr>
        <w:ind w:left="0" w:firstLine="630"/>
        <w:spacing w:line="360" w:lineRule="auto"/>
        <w:rPr>
          <w:rFonts w:ascii="宋体" w:hAnsi="宋体"/>
          <w:sz w:val="21"/>
          <w:szCs w:val="21"/>
        </w:rPr>
      </w:pPr>
      <w:r>
        <w:rPr>
          <w:rFonts w:ascii="宋体" w:hAnsi="宋体" w:eastAsiaTheme="minorEastAsia"/>
          <w:sz w:val="21"/>
          <w:szCs w:val="21"/>
        </w:rPr>
        <w:t xml:space="preserve">4）具有</w:t>
      </w:r>
      <w:r>
        <w:rPr>
          <w:rFonts w:hint="eastAsia" w:ascii="宋体" w:hAnsi="宋体" w:eastAsiaTheme="minorEastAsia"/>
          <w:sz w:val="21"/>
          <w:szCs w:val="21"/>
        </w:rPr>
        <w:t xml:space="preserve">CISAW信息安全保障人员证书（安全运维）</w:t>
      </w:r>
      <w:r>
        <w:rPr>
          <w:rFonts w:ascii="宋体" w:hAnsi="宋体" w:eastAsiaTheme="minorEastAsia"/>
          <w:sz w:val="21"/>
          <w:szCs w:val="21"/>
        </w:rPr>
        <w:t xml:space="preserve">证书的</w:t>
      </w:r>
      <w:r>
        <w:rPr>
          <w:rFonts w:hint="eastAsia" w:ascii="宋体" w:hAnsi="宋体" w:eastAsiaTheme="minorEastAsia"/>
          <w:sz w:val="21"/>
          <w:szCs w:val="21"/>
        </w:rPr>
        <w:t xml:space="preserve">得0.5分；</w:t>
      </w:r>
      <w:r/>
    </w:p>
    <w:p>
      <w:pPr>
        <w:ind w:left="0" w:firstLine="422"/>
        <w:spacing w:line="360" w:lineRule="auto"/>
        <w:widowControl w:val="off"/>
        <w:rPr>
          <w:rFonts w:ascii="宋体" w:hAnsi="宋体"/>
          <w:b/>
          <w:sz w:val="21"/>
        </w:rPr>
      </w:pPr>
      <w:r>
        <w:rPr>
          <w:rFonts w:hint="eastAsia" w:ascii="宋体" w:hAnsi="宋体"/>
          <w:b/>
          <w:sz w:val="21"/>
        </w:rPr>
        <w:t xml:space="preserve">注：投标文件需提供上述1-2项人员相关证书及由投标单位为其缴纳的最近一期社保证明复印件并加盖投标单位公章，缺失、不符或不提供者，对应项不得分。</w:t>
      </w:r>
      <w:r/>
    </w:p>
    <w:p>
      <w:pPr>
        <w:ind w:left="0" w:firstLine="422"/>
        <w:spacing w:line="360" w:lineRule="auto"/>
        <w:widowControl w:val="off"/>
        <w:rPr>
          <w:rFonts w:ascii="宋体" w:hAnsi="宋体"/>
          <w:b/>
          <w:sz w:val="21"/>
        </w:rPr>
      </w:pPr>
      <w:r>
        <w:rPr>
          <w:rFonts w:ascii="宋体" w:hAnsi="宋体"/>
          <w:b/>
          <w:sz w:val="21"/>
        </w:rPr>
        <w:t xml:space="preserve"> </w:t>
      </w:r>
      <w:r>
        <w:rPr>
          <w:rFonts w:hint="eastAsia" w:ascii="宋体" w:hAnsi="宋体"/>
          <w:b/>
          <w:sz w:val="21"/>
        </w:rPr>
        <w:t xml:space="preserve">（五）投标单位综合实力（7分）</w:t>
      </w:r>
      <w:r/>
    </w:p>
    <w:p>
      <w:pPr>
        <w:ind w:left="0" w:firstLine="420"/>
        <w:spacing w:line="360" w:lineRule="auto"/>
        <w:widowControl w:val="off"/>
        <w:rPr>
          <w:rFonts w:ascii="宋体" w:hAnsi="宋体"/>
          <w:sz w:val="21"/>
        </w:rPr>
      </w:pPr>
      <w:r>
        <w:rPr>
          <w:rFonts w:hint="eastAsia" w:ascii="宋体" w:hAnsi="宋体"/>
          <w:sz w:val="21"/>
        </w:rPr>
        <w:t xml:space="preserve">1、投标单位具有质量管理体系认证证书、环境管理体系认证证书、职业健康安全管理体系认证证书、信息安全管理体系认证证书，每具备一项得0.5分，最高得2分。（投标文件中需提供有效证书复印件或扫描件及证书在中国国家认证认可监督委员会网站（www.cnca.gov.cn）查询有效的完整网页截图并加盖投标单位公章，缺失、不符或不提供者，对应项不得分）</w:t>
      </w:r>
      <w:r/>
    </w:p>
    <w:p>
      <w:pPr>
        <w:ind w:left="0" w:firstLine="420"/>
        <w:spacing w:line="360" w:lineRule="auto"/>
        <w:widowControl w:val="off"/>
        <w:rPr>
          <w:rFonts w:ascii="宋体" w:hAnsi="宋体"/>
          <w:sz w:val="21"/>
        </w:rPr>
      </w:pPr>
      <w:r>
        <w:rPr>
          <w:rFonts w:hint="eastAsia" w:ascii="宋体" w:hAnsi="宋体"/>
          <w:sz w:val="21"/>
        </w:rPr>
        <w:t xml:space="preserve">2、投标人具有ITSS信息技术服务运行维护标准符合性证书一级的得1.5分，二级及以下得0.5分，最高为1.5分。</w:t>
      </w:r>
      <w:r/>
    </w:p>
    <w:p>
      <w:pPr>
        <w:ind w:left="0" w:firstLine="422"/>
        <w:spacing w:line="360" w:lineRule="auto"/>
        <w:widowControl w:val="off"/>
        <w:rPr>
          <w:rFonts w:ascii="宋体" w:hAnsi="宋体"/>
          <w:b/>
          <w:sz w:val="21"/>
        </w:rPr>
      </w:pPr>
      <w:r>
        <w:rPr>
          <w:rFonts w:hint="eastAsia" w:ascii="宋体" w:hAnsi="宋体"/>
          <w:b/>
          <w:sz w:val="21"/>
        </w:rPr>
        <w:t xml:space="preserve">注：投标文件中须提供有效证书复印件并加盖公章，资料不全或不提供不得分。</w:t>
      </w:r>
      <w:r/>
    </w:p>
    <w:p>
      <w:pPr>
        <w:ind w:left="0" w:firstLine="420"/>
        <w:spacing w:line="360" w:lineRule="auto"/>
        <w:widowControl w:val="off"/>
        <w:rPr>
          <w:rFonts w:ascii="宋体" w:hAnsi="宋体"/>
          <w:sz w:val="21"/>
        </w:rPr>
      </w:pPr>
      <w:r>
        <w:rPr>
          <w:rFonts w:hint="eastAsia" w:ascii="宋体" w:hAnsi="宋体"/>
          <w:sz w:val="21"/>
        </w:rPr>
        <w:t xml:space="preserve">3、投标人具有有效期内的信息系统建设和服务能力等级证书（CS），CS4级以下的得1分；CS4级及以上的得1.5分。最高1.5分。</w:t>
      </w:r>
      <w:r/>
    </w:p>
    <w:p>
      <w:pPr>
        <w:ind w:left="0" w:firstLine="422"/>
        <w:spacing w:line="360" w:lineRule="auto"/>
        <w:widowControl w:val="off"/>
        <w:rPr>
          <w:rFonts w:ascii="宋体" w:hAnsi="宋体"/>
          <w:b/>
          <w:sz w:val="21"/>
        </w:rPr>
      </w:pPr>
      <w:r>
        <w:rPr>
          <w:rFonts w:hint="eastAsia" w:ascii="宋体" w:hAnsi="宋体"/>
          <w:b/>
          <w:sz w:val="21"/>
        </w:rPr>
        <w:t xml:space="preserve">注：投标文件中须提供有效期内的证书复印件并加盖公章，资料不全或不提供不得分。</w:t>
      </w:r>
      <w:r/>
    </w:p>
    <w:p>
      <w:pPr>
        <w:ind w:left="0" w:firstLine="420"/>
        <w:spacing w:line="360" w:lineRule="auto"/>
        <w:widowControl w:val="off"/>
        <w:rPr>
          <w:rFonts w:ascii="宋体" w:hAnsi="宋体"/>
          <w:sz w:val="21"/>
        </w:rPr>
      </w:pPr>
      <w:r>
        <w:rPr>
          <w:rFonts w:hint="eastAsia" w:ascii="宋体" w:hAnsi="宋体"/>
          <w:sz w:val="21"/>
        </w:rPr>
        <w:t xml:space="preserve">4、投标人具有会议室相关系统专利或相关著作权的，提供1个得1分，最高得2分。</w:t>
      </w:r>
      <w:r/>
    </w:p>
    <w:p>
      <w:pPr>
        <w:ind w:left="0" w:firstLine="422"/>
        <w:spacing w:line="360" w:lineRule="auto"/>
        <w:widowControl w:val="off"/>
        <w:rPr>
          <w:rFonts w:ascii="宋体" w:hAnsi="宋体"/>
          <w:b/>
          <w:sz w:val="21"/>
        </w:rPr>
      </w:pPr>
      <w:r>
        <w:rPr>
          <w:rFonts w:hint="eastAsia" w:ascii="宋体" w:hAnsi="宋体"/>
          <w:b/>
          <w:sz w:val="21"/>
        </w:rPr>
        <w:t xml:space="preserve">（六）类似项目业绩比较（6分）</w:t>
      </w:r>
      <w:r/>
    </w:p>
    <w:p>
      <w:pPr>
        <w:ind w:left="0" w:firstLine="420"/>
        <w:spacing w:line="360" w:lineRule="auto"/>
        <w:widowControl w:val="off"/>
        <w:rPr>
          <w:rFonts w:ascii="宋体" w:hAnsi="宋体"/>
          <w:sz w:val="21"/>
        </w:rPr>
      </w:pPr>
      <w:r>
        <w:rPr>
          <w:rFonts w:hint="eastAsia" w:ascii="宋体" w:hAnsi="宋体"/>
          <w:sz w:val="21"/>
        </w:rPr>
        <w:t xml:space="preserve">投标单位提供2021年1月1日（以合同签订日期为准）以来承担过的类似项目业绩，每提供一个得2分，最高得6分。</w:t>
      </w:r>
      <w:r/>
    </w:p>
    <w:p>
      <w:pPr>
        <w:ind w:left="0" w:firstLine="422"/>
        <w:spacing w:line="360" w:lineRule="auto"/>
        <w:widowControl w:val="off"/>
        <w:rPr>
          <w:rFonts w:ascii="宋体" w:hAnsi="宋体"/>
          <w:b/>
          <w:sz w:val="21"/>
        </w:rPr>
      </w:pPr>
      <w:r>
        <w:rPr>
          <w:rFonts w:hint="eastAsia" w:ascii="宋体" w:hAnsi="宋体"/>
          <w:b/>
          <w:sz w:val="21"/>
        </w:rPr>
        <w:t xml:space="preserve">注：投标文件中提供完整的合同和销售发票复印件或扫描件加盖公章（发票金额不低于合同金额的50%，且投标文件中的合同和发票扫描件内容清晰完整）。</w:t>
      </w:r>
      <w:r/>
    </w:p>
    <w:p>
      <w:pPr>
        <w:pStyle w:val="868"/>
      </w:p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2"/>
      <w:footerReference w:type="first" r:id="rId13"/>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_GB2312">
    <w:panose1 w:val="02010609060101010101"/>
  </w:font>
  <w:font w:name="Courier New">
    <w:panose1 w:val="02070309020205020404"/>
  </w:font>
  <w:font w:name="Cambria">
    <w:panose1 w:val="02040503050406030204"/>
  </w:font>
  <w:font w:name="楷体_GB2312">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4"/>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4"/>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4"/>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4"/>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84"/>
                            <w:ind w:firstLine="0"/>
                          </w:pPr>
                          <w:r>
                            <w:rPr>
                              <w:rFonts w:hint="eastAsia"/>
                            </w:rPr>
                            <w:fldChar w:fldCharType="begin"/>
                          </w:r>
                          <w:r>
                            <w:rPr>
                              <w:rFonts w:hint="eastAsia"/>
                            </w:rPr>
                            <w:instrText xml:space="preserve"> PAGE  \* MERGEFORMAT </w:instrText>
                          </w:r>
                          <w:r>
                            <w:rPr>
                              <w:rFonts w:hint="eastAsia"/>
                            </w:rPr>
                            <w:fldChar w:fldCharType="separate"/>
                          </w:r>
                          <w:r>
                            <w:t xml:space="preserve">56</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84"/>
                      <w:ind w:firstLine="0"/>
                    </w:pPr>
                    <w:r>
                      <w:rPr>
                        <w:rFonts w:hint="eastAsia"/>
                      </w:rPr>
                      <w:fldChar w:fldCharType="begin"/>
                    </w:r>
                    <w:r>
                      <w:rPr>
                        <w:rFonts w:hint="eastAsia"/>
                      </w:rPr>
                      <w:instrText xml:space="preserve"> PAGE  \* MERGEFORMAT </w:instrText>
                    </w:r>
                    <w:r>
                      <w:rPr>
                        <w:rFonts w:hint="eastAsia"/>
                      </w:rPr>
                      <w:fldChar w:fldCharType="separate"/>
                    </w:r>
                    <w:r>
                      <w:t xml:space="preserve">56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4"/>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4"/>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91"/>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91"/>
        <w:ind w:firstLine="600"/>
        <w:spacing w:line="240" w:lineRule="auto"/>
        <w:rPr>
          <w:rFonts w:ascii="宋体" w:hAnsi="宋体"/>
          <w:b/>
          <w:color w:val="000000"/>
        </w:rPr>
      </w:pPr>
      <w:r>
        <w:rPr>
          <w:rFonts w:ascii="宋体" w:hAnsi="宋体"/>
          <w:color w:val="000000"/>
        </w:rPr>
        <w:t xml:space="preserve">2.</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相应</w:t>
      </w:r>
      <w:r>
        <w:rPr>
          <w:b/>
        </w:rPr>
        <w:t xml:space="preserve">扶持政策。</w:t>
      </w:r>
      <w:r/>
    </w:p>
    <w:p>
      <w:pPr>
        <w:pStyle w:val="891"/>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《中小企业声明函》中所填的行业应与本采购标的对应的中小企业划分标准所属行业一致，不一致的不可享受相应政策优惠。</w:t>
      </w:r>
      <w:r>
        <w:rPr>
          <w:rFonts w:hint="eastAsia" w:ascii="宋体" w:hAnsi="宋体"/>
          <w:b/>
          <w:color w:val="000000"/>
        </w:rPr>
        <w:t xml:space="preserve">本采购标的对应的中小企业划分标准所属行业，以采购文件第四章《招标书》规定为准。</w:t>
      </w:r>
      <w:r/>
    </w:p>
    <w:p>
      <w:pPr>
        <w:pStyle w:val="891"/>
        <w:ind w:firstLine="600"/>
        <w:spacing w:line="240" w:lineRule="auto"/>
        <w:rPr>
          <w:rFonts w:ascii="宋体" w:hAnsi="宋体"/>
          <w:color w:val="000000"/>
        </w:rPr>
      </w:pPr>
      <w:r>
        <w:rPr>
          <w:rFonts w:ascii="宋体" w:hAnsi="宋体"/>
          <w:color w:val="000000"/>
        </w:rPr>
        <w:t xml:space="preserve">4.</w:t>
      </w:r>
      <w:r>
        <w:rPr>
          <w:rFonts w:hint="eastAsia" w:ascii="宋体" w:hAnsi="宋体"/>
          <w:b/>
          <w:color w:val="000000"/>
        </w:rPr>
        <w:t xml:space="preserve">如未对（中型企业、小型企业、微型企业）进行勾选，视同非中小微企业，不可享受相应扶持政策</w:t>
      </w:r>
      <w:r>
        <w:rPr>
          <w:rFonts w:hint="eastAsia" w:ascii="宋体" w:hAnsi="宋体"/>
          <w:color w:val="000000"/>
        </w:rPr>
        <w:t xml:space="preserve">。</w:t>
      </w:r>
      <w:r/>
    </w:p>
    <w:p>
      <w:pPr>
        <w:pStyle w:val="891"/>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中标单位享受中小企业扶持政策的，《中小企业声明函》将随中标结果同时公告。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苏州市公共资源交易中心（苏州市政府集中采购中心） </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ind w:firstLine="0"/>
      <w:jc w:val="both"/>
      <w:pBdr>
        <w:bottom w:val="single" w:color="auto" w:sz="4" w:space="0"/>
      </w:pBdr>
    </w:pPr>
    <w:r>
      <w:rPr>
        <w:rFonts w:hint="eastAsia" w:ascii="宋体" w:hAnsi="宋体"/>
        <w:sz w:val="18"/>
      </w:rPr>
      <w:t xml:space="preserve">苏州市公共资源交易中心（苏州市政府集中采购中心） </w:t>
    </w:r>
    <w:r>
      <w:rPr>
        <w:rFonts w:ascii="宋体" w:hAnsi="宋体"/>
        <w:sz w:val="18"/>
      </w:rPr>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0"/>
    <w:link w:val="841"/>
    <w:uiPriority w:val="9"/>
    <w:rPr>
      <w:rFonts w:ascii="Arial" w:hAnsi="Arial" w:eastAsia="Arial" w:cs="Arial"/>
      <w:sz w:val="40"/>
      <w:szCs w:val="40"/>
    </w:rPr>
  </w:style>
  <w:style w:type="character" w:styleId="15">
    <w:name w:val="Heading 2 Char"/>
    <w:basedOn w:val="850"/>
    <w:link w:val="842"/>
    <w:uiPriority w:val="9"/>
    <w:rPr>
      <w:rFonts w:ascii="Arial" w:hAnsi="Arial" w:eastAsia="Arial" w:cs="Arial"/>
      <w:sz w:val="34"/>
    </w:rPr>
  </w:style>
  <w:style w:type="character" w:styleId="17">
    <w:name w:val="Heading 3 Char"/>
    <w:basedOn w:val="850"/>
    <w:link w:val="843"/>
    <w:uiPriority w:val="9"/>
    <w:rPr>
      <w:rFonts w:ascii="Arial" w:hAnsi="Arial" w:eastAsia="Arial" w:cs="Arial"/>
      <w:sz w:val="30"/>
      <w:szCs w:val="30"/>
    </w:rPr>
  </w:style>
  <w:style w:type="character" w:styleId="19">
    <w:name w:val="Heading 4 Char"/>
    <w:basedOn w:val="850"/>
    <w:link w:val="844"/>
    <w:uiPriority w:val="9"/>
    <w:rPr>
      <w:rFonts w:ascii="Arial" w:hAnsi="Arial" w:eastAsia="Arial" w:cs="Arial"/>
      <w:b/>
      <w:bCs/>
      <w:sz w:val="26"/>
      <w:szCs w:val="26"/>
    </w:rPr>
  </w:style>
  <w:style w:type="character" w:styleId="21">
    <w:name w:val="Heading 5 Char"/>
    <w:basedOn w:val="850"/>
    <w:link w:val="845"/>
    <w:uiPriority w:val="9"/>
    <w:rPr>
      <w:rFonts w:ascii="Arial" w:hAnsi="Arial" w:eastAsia="Arial" w:cs="Arial"/>
      <w:b/>
      <w:bCs/>
      <w:sz w:val="24"/>
      <w:szCs w:val="24"/>
    </w:rPr>
  </w:style>
  <w:style w:type="character" w:styleId="23">
    <w:name w:val="Heading 6 Char"/>
    <w:basedOn w:val="850"/>
    <w:link w:val="846"/>
    <w:uiPriority w:val="9"/>
    <w:rPr>
      <w:rFonts w:ascii="Arial" w:hAnsi="Arial" w:eastAsia="Arial" w:cs="Arial"/>
      <w:b/>
      <w:bCs/>
      <w:sz w:val="22"/>
      <w:szCs w:val="22"/>
    </w:rPr>
  </w:style>
  <w:style w:type="character" w:styleId="25">
    <w:name w:val="Heading 7 Char"/>
    <w:basedOn w:val="850"/>
    <w:link w:val="847"/>
    <w:uiPriority w:val="9"/>
    <w:rPr>
      <w:rFonts w:ascii="Arial" w:hAnsi="Arial" w:eastAsia="Arial" w:cs="Arial"/>
      <w:b/>
      <w:bCs/>
      <w:i/>
      <w:iCs/>
      <w:sz w:val="22"/>
      <w:szCs w:val="22"/>
    </w:rPr>
  </w:style>
  <w:style w:type="character" w:styleId="27">
    <w:name w:val="Heading 8 Char"/>
    <w:basedOn w:val="850"/>
    <w:link w:val="848"/>
    <w:uiPriority w:val="9"/>
    <w:rPr>
      <w:rFonts w:ascii="Arial" w:hAnsi="Arial" w:eastAsia="Arial" w:cs="Arial"/>
      <w:i/>
      <w:iCs/>
      <w:sz w:val="22"/>
      <w:szCs w:val="22"/>
    </w:rPr>
  </w:style>
  <w:style w:type="character" w:styleId="29">
    <w:name w:val="Heading 9 Char"/>
    <w:basedOn w:val="850"/>
    <w:link w:val="849"/>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40"/>
    <w:next w:val="840"/>
    <w:link w:val="34"/>
    <w:uiPriority w:val="10"/>
    <w:qFormat/>
    <w:pPr>
      <w:contextualSpacing/>
      <w:spacing w:before="300" w:after="200"/>
    </w:pPr>
    <w:rPr>
      <w:sz w:val="48"/>
      <w:szCs w:val="48"/>
    </w:rPr>
  </w:style>
  <w:style w:type="character" w:styleId="34">
    <w:name w:val="Title Char"/>
    <w:basedOn w:val="850"/>
    <w:link w:val="33"/>
    <w:uiPriority w:val="10"/>
    <w:rPr>
      <w:sz w:val="48"/>
      <w:szCs w:val="48"/>
    </w:rPr>
  </w:style>
  <w:style w:type="character" w:styleId="36">
    <w:name w:val="Subtitle Char"/>
    <w:basedOn w:val="850"/>
    <w:link w:val="889"/>
    <w:uiPriority w:val="11"/>
    <w:rPr>
      <w:sz w:val="24"/>
      <w:szCs w:val="24"/>
    </w:rPr>
  </w:style>
  <w:style w:type="character" w:styleId="38">
    <w:name w:val="Quote Char"/>
    <w:link w:val="1092"/>
    <w:uiPriority w:val="29"/>
    <w:rPr>
      <w:i/>
    </w:rPr>
  </w:style>
  <w:style w:type="character" w:styleId="40">
    <w:name w:val="Intense Quote Char"/>
    <w:link w:val="1218"/>
    <w:uiPriority w:val="30"/>
    <w:rPr>
      <w:i/>
    </w:rPr>
  </w:style>
  <w:style w:type="character" w:styleId="42">
    <w:name w:val="Header Char"/>
    <w:basedOn w:val="850"/>
    <w:link w:val="887"/>
    <w:uiPriority w:val="99"/>
  </w:style>
  <w:style w:type="character" w:styleId="44">
    <w:name w:val="Footer Char"/>
    <w:basedOn w:val="850"/>
    <w:link w:val="884"/>
    <w:uiPriority w:val="99"/>
  </w:style>
  <w:style w:type="character" w:styleId="46">
    <w:name w:val="Caption Char"/>
    <w:basedOn w:val="861"/>
    <w:link w:val="884"/>
    <w:uiPriority w:val="99"/>
  </w:style>
  <w:style w:type="table" w:styleId="48">
    <w:name w:val="Table Grid Light"/>
    <w:basedOn w:val="8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5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5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5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5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5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5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5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5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5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5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5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5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5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5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5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5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5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5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5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5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5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5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5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5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5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91"/>
    <w:uiPriority w:val="99"/>
    <w:rPr>
      <w:sz w:val="18"/>
    </w:rPr>
  </w:style>
  <w:style w:type="character" w:styleId="178">
    <w:name w:val="Endnote Text Char"/>
    <w:link w:val="881"/>
    <w:uiPriority w:val="99"/>
    <w:rPr>
      <w:sz w:val="20"/>
    </w:rPr>
  </w:style>
  <w:style w:type="character" w:styleId="179">
    <w:name w:val="endnote reference"/>
    <w:basedOn w:val="850"/>
    <w:uiPriority w:val="99"/>
    <w:semiHidden/>
    <w:unhideWhenUsed/>
    <w:rPr>
      <w:vertAlign w:val="superscript"/>
    </w:rPr>
  </w:style>
  <w:style w:type="paragraph" w:styleId="189">
    <w:name w:val="TOC Heading"/>
    <w:uiPriority w:val="39"/>
    <w:unhideWhenUsed/>
  </w:style>
  <w:style w:type="paragraph" w:styleId="190">
    <w:name w:val="table of figures"/>
    <w:basedOn w:val="840"/>
    <w:next w:val="840"/>
    <w:uiPriority w:val="99"/>
    <w:unhideWhenUsed/>
    <w:pPr>
      <w:spacing w:after="0" w:afterAutospacing="0"/>
    </w:pPr>
  </w:style>
  <w:style w:type="paragraph" w:styleId="840" w:default="1">
    <w:name w:val="Normal"/>
    <w:next w:val="853"/>
    <w:qFormat/>
    <w:pPr>
      <w:ind w:left="1024"/>
      <w:jc w:val="both"/>
    </w:pPr>
    <w:rPr>
      <w:rFonts w:ascii="Calibri" w:hAnsi="Calibri" w:cs="宋体"/>
    </w:rPr>
  </w:style>
  <w:style w:type="paragraph" w:styleId="841">
    <w:name w:val="Heading 1"/>
    <w:basedOn w:val="840"/>
    <w:next w:val="840"/>
    <w:qFormat/>
    <w:pPr>
      <w:ind w:left="432" w:firstLine="18"/>
      <w:spacing w:before="340" w:after="330" w:line="578" w:lineRule="auto"/>
      <w:outlineLvl w:val="0"/>
    </w:pPr>
  </w:style>
  <w:style w:type="paragraph" w:styleId="842">
    <w:name w:val="Heading 2"/>
    <w:basedOn w:val="840"/>
    <w:next w:val="840"/>
    <w:qFormat/>
    <w:pPr>
      <w:ind w:left="576" w:firstLine="24"/>
      <w:spacing w:before="260" w:after="260" w:line="416" w:lineRule="auto"/>
      <w:outlineLvl w:val="1"/>
    </w:pPr>
    <w:rPr>
      <w:rFonts w:ascii="Times New Roman" w:hAnsi="Times New Roman" w:cs="Times New Roman"/>
    </w:rPr>
  </w:style>
  <w:style w:type="paragraph" w:styleId="843">
    <w:name w:val="Heading 3"/>
    <w:basedOn w:val="840"/>
    <w:next w:val="854"/>
    <w:qFormat/>
    <w:pPr>
      <w:ind w:left="720"/>
      <w:spacing w:before="260" w:after="260" w:line="416" w:lineRule="auto"/>
      <w:outlineLvl w:val="2"/>
    </w:pPr>
    <w:rPr>
      <w:rFonts w:ascii="Times New Roman" w:hAnsi="Times New Roman" w:cs="Times New Roman"/>
    </w:rPr>
  </w:style>
  <w:style w:type="paragraph" w:styleId="844">
    <w:name w:val="Heading 4"/>
    <w:basedOn w:val="841"/>
    <w:next w:val="840"/>
    <w:qFormat/>
    <w:pPr>
      <w:ind w:left="864" w:firstLine="24"/>
      <w:spacing w:before="280" w:after="290" w:line="376" w:lineRule="auto"/>
      <w:outlineLvl w:val="3"/>
    </w:pPr>
    <w:rPr>
      <w:rFonts w:ascii="Times New Roman" w:hAnsi="Times New Roman" w:cs="Times New Roman"/>
    </w:rPr>
  </w:style>
  <w:style w:type="paragraph" w:styleId="845">
    <w:name w:val="Heading 5"/>
    <w:basedOn w:val="841"/>
    <w:next w:val="840"/>
    <w:qFormat/>
    <w:pPr>
      <w:ind w:left="1008"/>
      <w:spacing w:before="280" w:after="290" w:line="376" w:lineRule="auto"/>
      <w:outlineLvl w:val="4"/>
    </w:pPr>
    <w:rPr>
      <w:rFonts w:ascii="Times New Roman" w:hAnsi="Times New Roman" w:cs="Times New Roman"/>
    </w:rPr>
  </w:style>
  <w:style w:type="paragraph" w:styleId="846">
    <w:name w:val="Heading 6"/>
    <w:basedOn w:val="841"/>
    <w:next w:val="840"/>
    <w:qFormat/>
    <w:pPr>
      <w:ind w:left="1152" w:firstLine="20"/>
      <w:spacing w:before="240" w:after="64" w:line="320" w:lineRule="auto"/>
      <w:outlineLvl w:val="5"/>
    </w:pPr>
    <w:rPr>
      <w:rFonts w:ascii="Times New Roman" w:hAnsi="Times New Roman" w:cs="Times New Roman"/>
    </w:rPr>
  </w:style>
  <w:style w:type="paragraph" w:styleId="847">
    <w:name w:val="Heading 7"/>
    <w:basedOn w:val="841"/>
    <w:next w:val="840"/>
    <w:qFormat/>
    <w:pPr>
      <w:ind w:left="1296" w:firstLine="14"/>
      <w:spacing w:before="240" w:after="64" w:line="320" w:lineRule="auto"/>
      <w:outlineLvl w:val="6"/>
    </w:pPr>
    <w:rPr>
      <w:rFonts w:ascii="Times New Roman" w:hAnsi="Times New Roman" w:cs="Times New Roman"/>
    </w:rPr>
  </w:style>
  <w:style w:type="paragraph" w:styleId="848">
    <w:name w:val="Heading 8"/>
    <w:basedOn w:val="841"/>
    <w:next w:val="840"/>
    <w:qFormat/>
    <w:pPr>
      <w:ind w:left="1440"/>
      <w:spacing w:before="240" w:after="64" w:line="320" w:lineRule="auto"/>
      <w:outlineLvl w:val="7"/>
    </w:pPr>
    <w:rPr>
      <w:rFonts w:ascii="Times New Roman" w:hAnsi="Times New Roman" w:cs="Times New Roman"/>
    </w:rPr>
  </w:style>
  <w:style w:type="paragraph" w:styleId="849">
    <w:name w:val="Heading 9"/>
    <w:basedOn w:val="841"/>
    <w:next w:val="840"/>
    <w:qFormat/>
    <w:pPr>
      <w:ind w:left="1584" w:firstLine="22"/>
      <w:spacing w:before="240" w:after="64" w:line="320" w:lineRule="auto"/>
      <w:outlineLvl w:val="8"/>
    </w:pPr>
    <w:rPr>
      <w:rFonts w:ascii="Times New Roman" w:hAnsi="Times New Roman" w:cs="Times New Roman"/>
    </w:rPr>
  </w:style>
  <w:style w:type="character" w:styleId="850" w:default="1">
    <w:name w:val="Default Paragraph Font"/>
    <w:uiPriority w:val="1"/>
    <w:semiHidden/>
    <w:unhideWhenUsed/>
  </w:style>
  <w:style w:type="table" w:styleId="851" w:default="1">
    <w:name w:val="Normal Table"/>
    <w:uiPriority w:val="99"/>
    <w:semiHidden/>
    <w:unhideWhenUsed/>
    <w:tblPr>
      <w:tblInd w:w="0" w:type="dxa"/>
      <w:tblCellMar>
        <w:left w:w="108" w:type="dxa"/>
        <w:top w:w="0" w:type="dxa"/>
        <w:right w:w="108" w:type="dxa"/>
        <w:bottom w:w="0" w:type="dxa"/>
      </w:tblCellMar>
    </w:tblPr>
  </w:style>
  <w:style w:type="numbering" w:styleId="852" w:default="1">
    <w:name w:val="No List"/>
    <w:uiPriority w:val="99"/>
    <w:semiHidden/>
    <w:unhideWhenUsed/>
  </w:style>
  <w:style w:type="paragraph" w:styleId="853">
    <w:name w:val="Normal Indent"/>
    <w:basedOn w:val="840"/>
    <w:next w:val="840"/>
    <w:link w:val="909"/>
    <w:qFormat/>
    <w:pPr>
      <w:ind w:left="420" w:firstLine="4772"/>
    </w:pPr>
  </w:style>
  <w:style w:type="paragraph" w:styleId="854" w:customStyle="1">
    <w:name w:val="正文2"/>
    <w:basedOn w:val="840"/>
    <w:next w:val="840"/>
    <w:qFormat/>
    <w:pPr>
      <w:ind w:left="0" w:hanging="2155"/>
      <w:spacing w:line="360" w:lineRule="auto"/>
      <w:shd w:val="clear" w:color="auto" w:fill="ffffff"/>
    </w:pPr>
    <w:rPr>
      <w:rFonts w:ascii="宋体" w:hAnsi="宋体"/>
    </w:rPr>
  </w:style>
  <w:style w:type="paragraph" w:styleId="855">
    <w:name w:val="annotation subject"/>
    <w:next w:val="840"/>
    <w:qFormat/>
    <w:pPr>
      <w:ind w:firstLine="4608"/>
      <w:spacing w:line="360" w:lineRule="auto"/>
    </w:pPr>
    <w:rPr>
      <w:rFonts w:ascii="Calibri" w:hAnsi="Calibri" w:cs="宋体"/>
    </w:rPr>
  </w:style>
  <w:style w:type="paragraph" w:styleId="856">
    <w:name w:val="toc 7"/>
    <w:basedOn w:val="841"/>
    <w:next w:val="840"/>
    <w:qFormat/>
    <w:pPr>
      <w:ind w:left="1640" w:firstLine="3784"/>
      <w:spacing w:before="0" w:after="0" w:line="360" w:lineRule="auto"/>
    </w:pPr>
    <w:rPr>
      <w:rFonts w:ascii="Times New Roman" w:hAnsi="Times New Roman" w:cs="Times New Roman"/>
    </w:rPr>
  </w:style>
  <w:style w:type="paragraph" w:styleId="857">
    <w:name w:val="Body Text First Indent"/>
    <w:next w:val="840"/>
    <w:qFormat/>
    <w:pPr>
      <w:ind w:left="420" w:firstLine="3748"/>
      <w:spacing w:after="120"/>
    </w:pPr>
    <w:rPr>
      <w:rFonts w:ascii="Calibri" w:hAnsi="Calibri" w:cs="宋体"/>
    </w:rPr>
  </w:style>
  <w:style w:type="paragraph" w:styleId="858">
    <w:name w:val="List Bullet 4"/>
    <w:basedOn w:val="841"/>
    <w:next w:val="859"/>
    <w:qFormat/>
    <w:pPr>
      <w:ind w:left="1620" w:firstLine="2652"/>
      <w:spacing w:before="0" w:after="0" w:line="360" w:lineRule="auto"/>
    </w:pPr>
    <w:rPr>
      <w:rFonts w:ascii="Times New Roman" w:hAnsi="Times New Roman" w:cs="Times New Roman"/>
    </w:rPr>
  </w:style>
  <w:style w:type="paragraph" w:styleId="859">
    <w:name w:val="List Bullet 2"/>
    <w:basedOn w:val="841"/>
    <w:next w:val="840"/>
    <w:qFormat/>
    <w:pPr>
      <w:ind w:left="900" w:firstLine="2652"/>
      <w:spacing w:before="0" w:after="0" w:line="360" w:lineRule="auto"/>
    </w:pPr>
    <w:rPr>
      <w:rFonts w:ascii="Times New Roman" w:hAnsi="Times New Roman" w:cs="Times New Roman"/>
    </w:rPr>
  </w:style>
  <w:style w:type="paragraph" w:styleId="860">
    <w:name w:val="List Number"/>
    <w:basedOn w:val="841"/>
    <w:next w:val="840"/>
    <w:qFormat/>
    <w:pPr>
      <w:ind w:left="454" w:firstLine="2788"/>
      <w:spacing w:before="0" w:after="0" w:line="240" w:lineRule="auto"/>
    </w:pPr>
    <w:rPr>
      <w:rFonts w:ascii="Times New Roman" w:hAnsi="Times New Roman" w:cs="Times New Roman"/>
    </w:rPr>
  </w:style>
  <w:style w:type="paragraph" w:styleId="861">
    <w:name w:val="Caption"/>
    <w:basedOn w:val="841"/>
    <w:next w:val="840"/>
    <w:qFormat/>
    <w:pPr>
      <w:ind w:left="200" w:firstLine="2248"/>
      <w:jc w:val="center"/>
      <w:spacing w:before="0" w:after="0" w:line="240" w:lineRule="auto"/>
    </w:pPr>
    <w:rPr>
      <w:rFonts w:ascii="Times New Roman" w:hAnsi="Times New Roman" w:cs="Times New Roman"/>
    </w:rPr>
  </w:style>
  <w:style w:type="paragraph" w:styleId="862">
    <w:name w:val="List Bullet"/>
    <w:basedOn w:val="841"/>
    <w:next w:val="840"/>
    <w:qFormat/>
    <w:pPr>
      <w:ind w:left="900" w:firstLine="2652"/>
      <w:spacing w:before="0" w:after="0" w:line="360" w:lineRule="auto"/>
    </w:pPr>
    <w:rPr>
      <w:rFonts w:ascii="Times New Roman" w:hAnsi="Times New Roman" w:cs="Times New Roman"/>
    </w:rPr>
  </w:style>
  <w:style w:type="paragraph" w:styleId="863">
    <w:name w:val="Document Map"/>
    <w:basedOn w:val="841"/>
    <w:next w:val="855"/>
    <w:qFormat/>
    <w:pPr>
      <w:ind w:left="0" w:firstLine="4"/>
      <w:spacing w:before="0" w:after="0" w:line="240" w:lineRule="auto"/>
      <w:shd w:val="clear" w:color="000000" w:fill="000080"/>
    </w:pPr>
    <w:rPr>
      <w:rFonts w:ascii="Times New Roman" w:hAnsi="Times New Roman" w:cs="Times New Roman"/>
    </w:rPr>
  </w:style>
  <w:style w:type="paragraph" w:styleId="864">
    <w:name w:val="annotation text"/>
    <w:basedOn w:val="840"/>
    <w:next w:val="840"/>
    <w:qFormat/>
    <w:pPr>
      <w:ind w:left="0" w:firstLine="3584"/>
      <w:spacing w:line="360" w:lineRule="auto"/>
    </w:pPr>
    <w:rPr>
      <w:rFonts w:ascii="Times New Roman" w:hAnsi="Times New Roman" w:cs="Times New Roman"/>
    </w:rPr>
  </w:style>
  <w:style w:type="paragraph" w:styleId="865">
    <w:name w:val="Body Text 3"/>
    <w:basedOn w:val="841"/>
    <w:next w:val="840"/>
    <w:qFormat/>
    <w:pPr>
      <w:ind w:left="0" w:firstLine="2048"/>
      <w:spacing w:before="0" w:after="0" w:line="500" w:lineRule="exact"/>
    </w:pPr>
    <w:rPr>
      <w:rFonts w:ascii="Times New Roman" w:hAnsi="Times New Roman" w:cs="Times New Roman"/>
    </w:rPr>
  </w:style>
  <w:style w:type="paragraph" w:styleId="866">
    <w:name w:val="List Bullet 3"/>
    <w:basedOn w:val="841"/>
    <w:next w:val="840"/>
    <w:qFormat/>
    <w:pPr>
      <w:ind w:left="900" w:firstLine="2652"/>
      <w:spacing w:before="0" w:after="0" w:line="360" w:lineRule="auto"/>
    </w:pPr>
    <w:rPr>
      <w:rFonts w:ascii="Times New Roman" w:hAnsi="Times New Roman" w:cs="Times New Roman"/>
    </w:rPr>
  </w:style>
  <w:style w:type="paragraph" w:styleId="867">
    <w:name w:val="Body Text"/>
    <w:basedOn w:val="840"/>
    <w:next w:val="840"/>
    <w:qFormat/>
    <w:pPr>
      <w:ind w:left="0" w:firstLine="2560"/>
    </w:pPr>
    <w:rPr>
      <w:rFonts w:ascii="Times New Roman" w:hAnsi="Times New Roman" w:cs="Times New Roman"/>
    </w:rPr>
  </w:style>
  <w:style w:type="paragraph" w:styleId="868">
    <w:name w:val="Body Text Indent"/>
    <w:basedOn w:val="840"/>
    <w:next w:val="840"/>
    <w:qFormat/>
    <w:pPr>
      <w:ind w:left="420" w:firstLine="1188"/>
      <w:spacing w:line="360" w:lineRule="exact"/>
    </w:pPr>
    <w:rPr>
      <w:rFonts w:ascii="Times New Roman" w:hAnsi="Times New Roman" w:cs="Times New Roman"/>
    </w:rPr>
  </w:style>
  <w:style w:type="paragraph" w:styleId="869">
    <w:name w:val="List Number 3"/>
    <w:basedOn w:val="841"/>
    <w:next w:val="840"/>
    <w:qFormat/>
    <w:pPr>
      <w:ind w:left="420" w:firstLine="3584"/>
      <w:spacing w:before="0" w:after="0" w:line="240" w:lineRule="auto"/>
    </w:pPr>
    <w:rPr>
      <w:rFonts w:ascii="Times New Roman" w:hAnsi="Times New Roman" w:cs="Times New Roman"/>
    </w:rPr>
  </w:style>
  <w:style w:type="paragraph" w:styleId="870">
    <w:name w:val="List 2"/>
    <w:basedOn w:val="841"/>
    <w:next w:val="856"/>
    <w:qFormat/>
    <w:pPr>
      <w:ind w:left="100" w:firstLine="3640"/>
      <w:spacing w:before="0" w:after="0" w:line="240" w:lineRule="auto"/>
    </w:pPr>
    <w:rPr>
      <w:rFonts w:ascii="Times New Roman" w:hAnsi="Times New Roman" w:cs="Times New Roman"/>
    </w:rPr>
  </w:style>
  <w:style w:type="paragraph" w:styleId="871">
    <w:name w:val="Block Text"/>
    <w:basedOn w:val="841"/>
    <w:next w:val="840"/>
    <w:qFormat/>
    <w:pPr>
      <w:ind w:left="420" w:right="33" w:firstLine="2560"/>
      <w:spacing w:before="0" w:after="0" w:line="240" w:lineRule="auto"/>
    </w:pPr>
    <w:rPr>
      <w:rFonts w:ascii="Times New Roman" w:hAnsi="Times New Roman" w:cs="Times New Roman"/>
    </w:rPr>
  </w:style>
  <w:style w:type="paragraph" w:styleId="872">
    <w:name w:val="toc 5"/>
    <w:basedOn w:val="841"/>
    <w:next w:val="840"/>
    <w:qFormat/>
    <w:pPr>
      <w:ind w:left="1160" w:firstLine="3784"/>
      <w:spacing w:before="0" w:after="0" w:line="360" w:lineRule="auto"/>
    </w:pPr>
    <w:rPr>
      <w:rFonts w:ascii="Times New Roman" w:hAnsi="Times New Roman" w:cs="Times New Roman"/>
    </w:rPr>
  </w:style>
  <w:style w:type="paragraph" w:styleId="873">
    <w:name w:val="toc 3"/>
    <w:basedOn w:val="841"/>
    <w:next w:val="840"/>
    <w:qFormat/>
    <w:pPr>
      <w:ind w:left="0" w:firstLine="1024"/>
      <w:spacing w:before="0" w:after="0" w:line="360" w:lineRule="auto"/>
    </w:pPr>
    <w:rPr>
      <w:rFonts w:ascii="Times New Roman" w:hAnsi="Times New Roman" w:cs="Times New Roman"/>
    </w:rPr>
  </w:style>
  <w:style w:type="paragraph" w:styleId="874">
    <w:name w:val="Plain Text"/>
    <w:basedOn w:val="841"/>
    <w:next w:val="875"/>
    <w:qFormat/>
    <w:pPr>
      <w:ind w:left="0" w:firstLine="2048"/>
      <w:spacing w:before="0" w:after="0" w:line="240" w:lineRule="auto"/>
    </w:pPr>
    <w:rPr>
      <w:rFonts w:ascii="Times New Roman" w:hAnsi="Times New Roman" w:cs="Times New Roman"/>
    </w:rPr>
  </w:style>
  <w:style w:type="paragraph" w:styleId="875">
    <w:name w:val="toc 1"/>
    <w:basedOn w:val="841"/>
    <w:next w:val="840"/>
    <w:uiPriority w:val="39"/>
    <w:qFormat/>
    <w:pPr>
      <w:ind w:left="0" w:firstLine="4608"/>
      <w:spacing w:before="0" w:after="0" w:line="240" w:lineRule="auto"/>
    </w:pPr>
    <w:rPr>
      <w:rFonts w:ascii="Times New Roman" w:hAnsi="Times New Roman" w:cs="Times New Roman"/>
    </w:rPr>
  </w:style>
  <w:style w:type="paragraph" w:styleId="876">
    <w:name w:val="List Bullet 5"/>
    <w:basedOn w:val="841"/>
    <w:next w:val="877"/>
    <w:qFormat/>
    <w:pPr>
      <w:ind w:left="2040" w:firstLine="2560"/>
      <w:spacing w:before="0" w:after="0" w:line="360" w:lineRule="auto"/>
    </w:pPr>
    <w:rPr>
      <w:rFonts w:ascii="Times New Roman" w:hAnsi="Times New Roman" w:cs="Times New Roman"/>
    </w:rPr>
  </w:style>
  <w:style w:type="paragraph" w:styleId="877" w:customStyle="1">
    <w:name w:val="正文首行缩进1"/>
    <w:next w:val="869"/>
    <w:qFormat/>
    <w:pPr>
      <w:ind w:left="420" w:firstLine="2724"/>
      <w:spacing w:after="120" w:line="360" w:lineRule="auto"/>
    </w:pPr>
    <w:rPr>
      <w:rFonts w:ascii="Calibri" w:hAnsi="Calibri" w:cs="宋体"/>
    </w:rPr>
  </w:style>
  <w:style w:type="paragraph" w:styleId="878">
    <w:name w:val="toc 8"/>
    <w:basedOn w:val="841"/>
    <w:next w:val="840"/>
    <w:qFormat/>
    <w:pPr>
      <w:ind w:left="1880" w:firstLine="3784"/>
      <w:spacing w:before="0" w:after="0" w:line="360" w:lineRule="auto"/>
    </w:pPr>
    <w:rPr>
      <w:rFonts w:ascii="Times New Roman" w:hAnsi="Times New Roman" w:cs="Times New Roman"/>
    </w:rPr>
  </w:style>
  <w:style w:type="paragraph" w:styleId="879">
    <w:name w:val="Date"/>
    <w:basedOn w:val="841"/>
    <w:next w:val="840"/>
    <w:qFormat/>
    <w:pPr>
      <w:ind w:left="0" w:firstLine="2560"/>
      <w:spacing w:before="0" w:after="0" w:line="240" w:lineRule="auto"/>
    </w:pPr>
    <w:rPr>
      <w:rFonts w:ascii="Times New Roman" w:hAnsi="Times New Roman" w:cs="Times New Roman"/>
    </w:rPr>
  </w:style>
  <w:style w:type="paragraph" w:styleId="880">
    <w:name w:val="Body Text Indent 2"/>
    <w:basedOn w:val="841"/>
    <w:next w:val="868"/>
    <w:qFormat/>
    <w:pPr>
      <w:ind w:left="481" w:firstLine="2784"/>
      <w:spacing w:before="0" w:after="0" w:line="400" w:lineRule="exact"/>
    </w:pPr>
    <w:rPr>
      <w:rFonts w:ascii="Times New Roman" w:hAnsi="Times New Roman" w:cs="Times New Roman"/>
    </w:rPr>
  </w:style>
  <w:style w:type="paragraph" w:styleId="881">
    <w:name w:val="endnote text"/>
    <w:basedOn w:val="841"/>
    <w:next w:val="882"/>
    <w:qFormat/>
    <w:pPr>
      <w:ind w:left="0" w:firstLine="2560"/>
      <w:spacing w:before="0" w:after="0" w:line="360" w:lineRule="auto"/>
    </w:pPr>
    <w:rPr>
      <w:rFonts w:ascii="Times New Roman" w:hAnsi="Times New Roman" w:cs="Times New Roman"/>
    </w:rPr>
  </w:style>
  <w:style w:type="paragraph" w:styleId="882" w:customStyle="1">
    <w:name w:val="Char11"/>
    <w:basedOn w:val="841"/>
    <w:next w:val="840"/>
    <w:qFormat/>
    <w:pPr>
      <w:ind w:left="0" w:firstLine="3584"/>
      <w:spacing w:before="0" w:after="0" w:line="240" w:lineRule="auto"/>
    </w:pPr>
    <w:rPr>
      <w:rFonts w:ascii="Times New Roman" w:hAnsi="Times New Roman" w:cs="Times New Roman"/>
    </w:rPr>
  </w:style>
  <w:style w:type="paragraph" w:styleId="883">
    <w:name w:val="Balloon Text"/>
    <w:basedOn w:val="841"/>
    <w:next w:val="860"/>
    <w:qFormat/>
    <w:pPr>
      <w:ind w:left="0" w:firstLine="2048"/>
      <w:spacing w:before="0" w:after="0" w:line="240" w:lineRule="auto"/>
    </w:pPr>
    <w:rPr>
      <w:rFonts w:ascii="Times New Roman" w:hAnsi="Times New Roman" w:cs="Times New Roman"/>
    </w:rPr>
  </w:style>
  <w:style w:type="paragraph" w:styleId="884">
    <w:name w:val="Footer"/>
    <w:basedOn w:val="840"/>
    <w:next w:val="885"/>
    <w:link w:val="910"/>
    <w:qFormat/>
    <w:pPr>
      <w:ind w:left="0" w:firstLine="3584"/>
    </w:pPr>
  </w:style>
  <w:style w:type="paragraph" w:styleId="885" w:customStyle="1">
    <w:name w:val="Char Char Char Char Char Char Char Char Char Char Char Char Char"/>
    <w:basedOn w:val="841"/>
    <w:next w:val="840"/>
    <w:qFormat/>
    <w:pPr>
      <w:ind w:left="0" w:firstLine="3584"/>
      <w:spacing w:before="0" w:after="160" w:line="240" w:lineRule="exact"/>
    </w:pPr>
    <w:rPr>
      <w:rFonts w:ascii="Times New Roman" w:hAnsi="Times New Roman" w:cs="Times New Roman"/>
    </w:rPr>
  </w:style>
  <w:style w:type="paragraph" w:styleId="886">
    <w:name w:val="Body Text First Indent 2"/>
    <w:basedOn w:val="868"/>
    <w:unhideWhenUsed/>
    <w:qFormat/>
    <w:pPr>
      <w:ind w:firstLine="420"/>
    </w:pPr>
  </w:style>
  <w:style w:type="paragraph" w:styleId="887">
    <w:name w:val="Header"/>
    <w:basedOn w:val="841"/>
    <w:next w:val="879"/>
    <w:link w:val="911"/>
    <w:qFormat/>
    <w:pPr>
      <w:ind w:left="0" w:firstLine="3584"/>
      <w:jc w:val="center"/>
      <w:spacing w:before="0" w:after="0" w:line="240" w:lineRule="auto"/>
    </w:pPr>
  </w:style>
  <w:style w:type="paragraph" w:styleId="888">
    <w:name w:val="toc 4"/>
    <w:basedOn w:val="841"/>
    <w:next w:val="840"/>
    <w:qFormat/>
    <w:pPr>
      <w:ind w:left="1260" w:firstLine="1024"/>
      <w:spacing w:before="0" w:after="0" w:line="240" w:lineRule="auto"/>
    </w:pPr>
    <w:rPr>
      <w:rFonts w:ascii="Times New Roman" w:hAnsi="Times New Roman" w:cs="Times New Roman"/>
    </w:rPr>
  </w:style>
  <w:style w:type="paragraph" w:styleId="889">
    <w:name w:val="Subtitle"/>
    <w:next w:val="840"/>
    <w:qFormat/>
    <w:pPr>
      <w:ind w:left="1024"/>
      <w:jc w:val="center"/>
      <w:spacing w:after="60"/>
    </w:pPr>
    <w:rPr>
      <w:rFonts w:ascii="Calibri" w:hAnsi="Calibri" w:cs="宋体"/>
    </w:rPr>
  </w:style>
  <w:style w:type="paragraph" w:styleId="890">
    <w:name w:val="List"/>
    <w:basedOn w:val="841"/>
    <w:next w:val="857"/>
    <w:qFormat/>
    <w:pPr>
      <w:ind w:left="200" w:firstLine="3640"/>
      <w:spacing w:before="0" w:after="0" w:line="240" w:lineRule="auto"/>
    </w:pPr>
    <w:rPr>
      <w:rFonts w:ascii="Times New Roman" w:hAnsi="Times New Roman" w:cs="Times New Roman"/>
    </w:rPr>
  </w:style>
  <w:style w:type="paragraph" w:styleId="891">
    <w:name w:val="footnote text"/>
    <w:basedOn w:val="841"/>
    <w:next w:val="871"/>
    <w:qFormat/>
    <w:pPr>
      <w:ind w:left="0" w:firstLine="3584"/>
      <w:spacing w:before="0" w:after="0" w:line="360" w:lineRule="auto"/>
    </w:pPr>
    <w:rPr>
      <w:rFonts w:ascii="Times New Roman" w:hAnsi="Times New Roman" w:cs="Times New Roman"/>
    </w:rPr>
  </w:style>
  <w:style w:type="paragraph" w:styleId="892">
    <w:name w:val="toc 6"/>
    <w:basedOn w:val="841"/>
    <w:next w:val="840"/>
    <w:qFormat/>
    <w:pPr>
      <w:ind w:left="1400" w:firstLine="3784"/>
      <w:spacing w:before="0" w:after="0" w:line="360" w:lineRule="auto"/>
    </w:pPr>
    <w:rPr>
      <w:rFonts w:ascii="Times New Roman" w:hAnsi="Times New Roman" w:cs="Times New Roman"/>
    </w:rPr>
  </w:style>
  <w:style w:type="paragraph" w:styleId="893">
    <w:name w:val="List 5"/>
    <w:basedOn w:val="841"/>
    <w:next w:val="867"/>
    <w:qFormat/>
    <w:pPr>
      <w:ind w:left="2100" w:firstLine="3676"/>
      <w:spacing w:before="0" w:after="0" w:line="240" w:lineRule="auto"/>
    </w:pPr>
    <w:rPr>
      <w:rFonts w:ascii="Times New Roman" w:hAnsi="Times New Roman" w:cs="Times New Roman"/>
    </w:rPr>
  </w:style>
  <w:style w:type="paragraph" w:styleId="894">
    <w:name w:val="Body Text Indent 3"/>
    <w:basedOn w:val="841"/>
    <w:next w:val="892"/>
    <w:qFormat/>
    <w:pPr>
      <w:ind w:left="480" w:firstLine="2784"/>
      <w:spacing w:before="0" w:after="0" w:line="400" w:lineRule="exact"/>
    </w:pPr>
    <w:rPr>
      <w:rFonts w:ascii="Times New Roman" w:hAnsi="Times New Roman" w:cs="Times New Roman"/>
    </w:rPr>
  </w:style>
  <w:style w:type="paragraph" w:styleId="895">
    <w:name w:val="toc 2"/>
    <w:basedOn w:val="841"/>
    <w:next w:val="840"/>
    <w:qFormat/>
    <w:pPr>
      <w:ind w:left="0" w:firstLine="1024"/>
      <w:spacing w:before="0" w:after="0" w:line="360" w:lineRule="auto"/>
    </w:pPr>
    <w:rPr>
      <w:rFonts w:ascii="Times New Roman" w:hAnsi="Times New Roman" w:cs="Times New Roman"/>
    </w:rPr>
  </w:style>
  <w:style w:type="paragraph" w:styleId="896">
    <w:name w:val="toc 9"/>
    <w:basedOn w:val="841"/>
    <w:next w:val="840"/>
    <w:qFormat/>
    <w:pPr>
      <w:ind w:left="2120" w:firstLine="3784"/>
      <w:spacing w:before="0" w:after="0" w:line="360" w:lineRule="auto"/>
    </w:pPr>
    <w:rPr>
      <w:rFonts w:ascii="Times New Roman" w:hAnsi="Times New Roman" w:cs="Times New Roman"/>
    </w:rPr>
  </w:style>
  <w:style w:type="paragraph" w:styleId="897">
    <w:name w:val="Body Text 2"/>
    <w:basedOn w:val="841"/>
    <w:next w:val="862"/>
    <w:qFormat/>
    <w:pPr>
      <w:ind w:left="0" w:firstLine="1024"/>
      <w:spacing w:before="0" w:after="120" w:line="480" w:lineRule="auto"/>
    </w:pPr>
    <w:rPr>
      <w:rFonts w:ascii="Times New Roman" w:hAnsi="Times New Roman" w:cs="Times New Roman"/>
    </w:rPr>
  </w:style>
  <w:style w:type="paragraph" w:styleId="898">
    <w:name w:val="HTML Preformatted"/>
    <w:basedOn w:val="841"/>
    <w:next w:val="861"/>
    <w:qFormat/>
    <w:pPr>
      <w:ind w:left="0" w:firstLine="2048"/>
      <w:spacing w:before="0" w:after="0" w:line="253" w:lineRule="atLeast"/>
    </w:pPr>
    <w:rPr>
      <w:rFonts w:ascii="Times New Roman" w:hAnsi="Times New Roman" w:cs="Times New Roman"/>
    </w:rPr>
  </w:style>
  <w:style w:type="paragraph" w:styleId="899">
    <w:name w:val="Normal (Web)"/>
    <w:basedOn w:val="840"/>
    <w:next w:val="870"/>
    <w:qFormat/>
    <w:pPr>
      <w:ind w:left="15" w:right="15" w:firstLine="4608"/>
      <w:spacing w:before="60" w:after="60" w:line="312" w:lineRule="auto"/>
    </w:pPr>
    <w:rPr>
      <w:rFonts w:ascii="Times New Roman" w:hAnsi="Times New Roman" w:cs="Times New Roman"/>
    </w:rPr>
  </w:style>
  <w:style w:type="paragraph" w:styleId="900">
    <w:name w:val="index 1"/>
    <w:basedOn w:val="841"/>
    <w:next w:val="840"/>
    <w:qFormat/>
    <w:pPr>
      <w:ind w:left="0" w:firstLine="3584"/>
      <w:spacing w:before="0" w:after="0" w:line="240" w:lineRule="auto"/>
    </w:pPr>
    <w:rPr>
      <w:rFonts w:ascii="Times New Roman" w:hAnsi="Times New Roman" w:cs="Times New Roman"/>
    </w:rPr>
  </w:style>
  <w:style w:type="character" w:styleId="901">
    <w:name w:val="Strong"/>
    <w:qFormat/>
    <w:rPr>
      <w:rFonts w:ascii="Times New Roman" w:hAnsi="Times New Roman" w:eastAsia="宋体" w:cs="Times New Roman"/>
      <w:b/>
      <w:sz w:val="20"/>
    </w:rPr>
  </w:style>
  <w:style w:type="character" w:styleId="902">
    <w:name w:val="page number"/>
    <w:qFormat/>
    <w:rPr>
      <w:rFonts w:ascii="Times New Roman" w:hAnsi="Times New Roman" w:eastAsia="宋体" w:cs="Times New Roman"/>
      <w:sz w:val="20"/>
    </w:rPr>
  </w:style>
  <w:style w:type="character" w:styleId="903">
    <w:name w:val="FollowedHyperlink"/>
    <w:qFormat/>
    <w:rPr>
      <w:rFonts w:ascii="Times New Roman" w:hAnsi="Times New Roman" w:eastAsia="宋体" w:cs="Times New Roman"/>
      <w:color w:val="800080"/>
      <w:sz w:val="20"/>
      <w:u w:val="single"/>
    </w:rPr>
  </w:style>
  <w:style w:type="character" w:styleId="904">
    <w:name w:val="Emphasis"/>
    <w:qFormat/>
    <w:rPr>
      <w:rFonts w:ascii="Times New Roman" w:hAnsi="Times New Roman" w:eastAsia="宋体" w:cs="Times New Roman"/>
      <w:i/>
      <w:sz w:val="21"/>
    </w:rPr>
  </w:style>
  <w:style w:type="character" w:styleId="905">
    <w:name w:val="Hyperlink"/>
    <w:uiPriority w:val="99"/>
    <w:qFormat/>
    <w:rPr>
      <w:rFonts w:ascii="Times New Roman" w:hAnsi="Times New Roman" w:eastAsia="宋体" w:cs="Times New Roman"/>
      <w:color w:val="0000ff"/>
      <w:sz w:val="20"/>
      <w:u w:val="single"/>
    </w:rPr>
  </w:style>
  <w:style w:type="character" w:styleId="906">
    <w:name w:val="annotation reference"/>
    <w:qFormat/>
    <w:rPr>
      <w:rFonts w:ascii="Times New Roman" w:hAnsi="Times New Roman" w:eastAsia="宋体" w:cs="Times New Roman"/>
      <w:sz w:val="20"/>
    </w:rPr>
  </w:style>
  <w:style w:type="character" w:styleId="907">
    <w:name w:val="footnote reference"/>
    <w:qFormat/>
    <w:rPr>
      <w:rFonts w:ascii="Times New Roman" w:hAnsi="Times New Roman" w:eastAsia="宋体" w:cs="Times New Roman"/>
      <w:vertAlign w:val="superscript"/>
    </w:rPr>
  </w:style>
  <w:style w:type="table" w:styleId="908">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09" w:customStyle="1">
    <w:name w:val="正文缩进 字符"/>
    <w:link w:val="853"/>
    <w:qFormat/>
    <w:rPr>
      <w:rFonts w:ascii="Calibri" w:hAnsi="Calibri" w:eastAsia="宋体" w:cs="Times New Roman"/>
    </w:rPr>
  </w:style>
  <w:style w:type="character" w:styleId="910" w:customStyle="1">
    <w:name w:val="页脚 字符"/>
    <w:link w:val="884"/>
    <w:qFormat/>
    <w:rPr>
      <w:rFonts w:ascii="Calibri" w:hAnsi="Calibri" w:eastAsia="宋体" w:cs="Times New Roman"/>
    </w:rPr>
  </w:style>
  <w:style w:type="character" w:styleId="911" w:customStyle="1">
    <w:name w:val="页眉 字符"/>
    <w:link w:val="887"/>
    <w:qFormat/>
    <w:rPr>
      <w:rFonts w:ascii="Calibri" w:hAnsi="Calibri" w:eastAsia="宋体" w:cs="Times New Roman"/>
    </w:rPr>
  </w:style>
  <w:style w:type="character" w:styleId="912" w:customStyle="1">
    <w:name w:val="日期 Char"/>
    <w:qFormat/>
    <w:rPr>
      <w:rFonts w:ascii="Times New Roman" w:hAnsi="Times New Roman" w:eastAsia="宋体" w:cs="Times New Roman"/>
      <w:sz w:val="20"/>
    </w:rPr>
  </w:style>
  <w:style w:type="character" w:styleId="913" w:customStyle="1">
    <w:name w:val="批注引用1"/>
    <w:qFormat/>
    <w:rPr>
      <w:rFonts w:ascii="Times New Roman" w:hAnsi="Times New Roman" w:eastAsia="宋体" w:cs="Times New Roman"/>
      <w:sz w:val="20"/>
    </w:rPr>
  </w:style>
  <w:style w:type="character" w:styleId="914" w:customStyle="1">
    <w:name w:val="应答文本 Char Char"/>
    <w:qFormat/>
    <w:rPr>
      <w:rFonts w:ascii="Times New Roman" w:hAnsi="Times New Roman" w:eastAsia="宋体" w:cs="Times New Roman"/>
      <w:sz w:val="20"/>
    </w:rPr>
  </w:style>
  <w:style w:type="character" w:styleId="915" w:customStyle="1">
    <w:name w:val="图片0 Char Char"/>
    <w:qFormat/>
    <w:rPr>
      <w:rFonts w:ascii="Times New Roman" w:hAnsi="Times New Roman" w:eastAsia="宋体" w:cs="Times New Roman"/>
      <w:sz w:val="20"/>
    </w:rPr>
  </w:style>
  <w:style w:type="character" w:styleId="916" w:customStyle="1">
    <w:name w:val="尾注文本 Char"/>
    <w:qFormat/>
    <w:rPr>
      <w:rFonts w:ascii="Times New Roman" w:hAnsi="Times New Roman" w:eastAsia="宋体" w:cs="Times New Roman"/>
      <w:sz w:val="20"/>
    </w:rPr>
  </w:style>
  <w:style w:type="character" w:styleId="917" w:customStyle="1">
    <w:name w:val="文档结构图 字符"/>
    <w:qFormat/>
    <w:rPr>
      <w:rFonts w:ascii="Microsoft YaHei UI" w:hAnsi="Times New Roman" w:eastAsia="Microsoft YaHei UI" w:cs="Times New Roman"/>
      <w:sz w:val="18"/>
      <w:szCs w:val="18"/>
    </w:rPr>
  </w:style>
  <w:style w:type="character" w:styleId="918" w:customStyle="1">
    <w:name w:val="_Style 337"/>
    <w:qFormat/>
    <w:rPr>
      <w:rFonts w:ascii="Times New Roman" w:hAnsi="Times New Roman" w:eastAsia="宋体" w:cs="Times New Roman"/>
      <w:color w:val="auto"/>
      <w:sz w:val="21"/>
    </w:rPr>
  </w:style>
  <w:style w:type="character" w:styleId="919" w:customStyle="1">
    <w:name w:val="正文文本 字符"/>
    <w:qFormat/>
    <w:rPr>
      <w:rFonts w:ascii="Times New Roman" w:hAnsi="Times New Roman" w:eastAsia="宋体" w:cs="Times New Roman"/>
      <w:sz w:val="21"/>
    </w:rPr>
  </w:style>
  <w:style w:type="character" w:styleId="920" w:customStyle="1">
    <w:name w:val="批注文字 字符"/>
    <w:qFormat/>
    <w:rPr>
      <w:rFonts w:ascii="Times New Roman" w:hAnsi="Times New Roman" w:eastAsia="宋体" w:cs="Times New Roman"/>
      <w:sz w:val="20"/>
    </w:rPr>
  </w:style>
  <w:style w:type="character" w:styleId="921" w:customStyle="1">
    <w:name w:val="批注文字 Char1"/>
    <w:qFormat/>
    <w:rPr>
      <w:rFonts w:ascii="Times New Roman" w:hAnsi="Times New Roman" w:eastAsia="宋体" w:cs="Times New Roman"/>
      <w:sz w:val="20"/>
    </w:rPr>
  </w:style>
  <w:style w:type="character" w:styleId="922" w:customStyle="1">
    <w:name w:val="txt"/>
    <w:qFormat/>
    <w:rPr>
      <w:rFonts w:ascii="Times New Roman" w:hAnsi="Times New Roman" w:eastAsia="宋体" w:cs="Times New Roman"/>
      <w:sz w:val="20"/>
    </w:rPr>
  </w:style>
  <w:style w:type="character" w:styleId="923" w:customStyle="1">
    <w:name w:val="标书正文 Char"/>
    <w:qFormat/>
    <w:rPr>
      <w:rFonts w:ascii="Times New Roman" w:hAnsi="Times New Roman" w:eastAsia="宋体" w:cs="Times New Roman"/>
      <w:sz w:val="20"/>
    </w:rPr>
  </w:style>
  <w:style w:type="character" w:styleId="924" w:customStyle="1">
    <w:name w:val="font21"/>
    <w:qFormat/>
    <w:rPr>
      <w:rFonts w:hint="eastAsia" w:ascii="宋体" w:hAnsi="宋体" w:eastAsia="宋体" w:cs="宋体"/>
      <w:color w:val="ff0000"/>
      <w:sz w:val="24"/>
      <w:szCs w:val="24"/>
      <w:u w:val="none"/>
    </w:rPr>
  </w:style>
  <w:style w:type="character" w:styleId="925" w:customStyle="1">
    <w:name w:val="apple-converted-space"/>
    <w:qFormat/>
    <w:rPr>
      <w:rFonts w:ascii="Times New Roman" w:hAnsi="Times New Roman" w:eastAsia="宋体" w:cs="Times New Roman"/>
      <w:sz w:val="20"/>
    </w:rPr>
  </w:style>
  <w:style w:type="character" w:styleId="926" w:customStyle="1">
    <w:name w:val="纯文本 Char1"/>
    <w:qFormat/>
    <w:rPr>
      <w:rFonts w:ascii="Times New Roman" w:hAnsi="Times New Roman" w:eastAsia="宋体" w:cs="Times New Roman"/>
      <w:sz w:val="20"/>
    </w:rPr>
  </w:style>
  <w:style w:type="character" w:styleId="927" w:customStyle="1">
    <w:name w:val="para1"/>
    <w:qFormat/>
    <w:rPr>
      <w:rFonts w:ascii="Times New Roman" w:hAnsi="Times New Roman" w:eastAsia="宋体" w:cs="Times New Roman"/>
      <w:sz w:val="20"/>
    </w:rPr>
  </w:style>
  <w:style w:type="character" w:styleId="928" w:customStyle="1">
    <w:name w:val="HTML 预设格式 Char1"/>
    <w:qFormat/>
    <w:rPr>
      <w:rFonts w:ascii="Times New Roman" w:hAnsi="Times New Roman" w:eastAsia="宋体" w:cs="Times New Roman"/>
      <w:sz w:val="20"/>
    </w:rPr>
  </w:style>
  <w:style w:type="character" w:styleId="929" w:customStyle="1">
    <w:name w:val="批注文字 Char"/>
    <w:qFormat/>
    <w:rPr>
      <w:rFonts w:ascii="Times New Roman" w:hAnsi="Times New Roman" w:eastAsia="宋体" w:cs="Times New Roman"/>
      <w:sz w:val="20"/>
    </w:rPr>
  </w:style>
  <w:style w:type="character" w:styleId="930" w:customStyle="1">
    <w:name w:val="文档结构图 Char"/>
    <w:qFormat/>
    <w:rPr>
      <w:rFonts w:ascii="Times New Roman" w:hAnsi="Times New Roman" w:eastAsia="宋体" w:cs="Times New Roman"/>
      <w:sz w:val="20"/>
    </w:rPr>
  </w:style>
  <w:style w:type="character" w:styleId="931" w:customStyle="1">
    <w:name w:val="超级链接"/>
    <w:qFormat/>
    <w:rPr>
      <w:rFonts w:ascii="Times New Roman" w:hAnsi="Times New Roman" w:eastAsia="宋体" w:cs="Times New Roman"/>
      <w:color w:val="0000ff"/>
      <w:sz w:val="20"/>
      <w:u w:val="single"/>
    </w:rPr>
  </w:style>
  <w:style w:type="character" w:styleId="932" w:customStyle="1">
    <w:name w:val="p141"/>
    <w:qFormat/>
    <w:rPr>
      <w:rFonts w:ascii="Times New Roman" w:hAnsi="Times New Roman" w:eastAsia="宋体" w:cs="Times New Roman"/>
      <w:color w:val="000000"/>
      <w:sz w:val="20"/>
      <w:u w:val="none"/>
    </w:rPr>
  </w:style>
  <w:style w:type="character" w:styleId="933" w:customStyle="1">
    <w:name w:val="宏文本 Char"/>
    <w:qFormat/>
    <w:rPr>
      <w:rFonts w:ascii="Times New Roman" w:hAnsi="Times New Roman" w:eastAsia="宋体" w:cs="Times New Roman"/>
      <w:sz w:val="20"/>
    </w:rPr>
  </w:style>
  <w:style w:type="character" w:styleId="934" w:customStyle="1">
    <w:name w:val="_Style 313"/>
    <w:qFormat/>
    <w:rPr>
      <w:rFonts w:ascii="Times New Roman" w:hAnsi="Times New Roman" w:eastAsia="宋体" w:cs="Times New Roman"/>
      <w:b/>
      <w:i/>
      <w:sz w:val="21"/>
    </w:rPr>
  </w:style>
  <w:style w:type="character" w:styleId="935" w:customStyle="1">
    <w:name w:val="页脚 Char1"/>
    <w:qFormat/>
    <w:rPr>
      <w:rFonts w:ascii="Times New Roman" w:hAnsi="Times New Roman" w:eastAsia="宋体" w:cs="Times New Roman"/>
      <w:sz w:val="20"/>
    </w:rPr>
  </w:style>
  <w:style w:type="character" w:styleId="936" w:customStyle="1">
    <w:name w:val="页眉 Char"/>
    <w:qFormat/>
    <w:rPr>
      <w:rFonts w:ascii="Times New Roman" w:hAnsi="Times New Roman" w:eastAsia="宋体" w:cs="Times New Roman"/>
      <w:sz w:val="20"/>
    </w:rPr>
  </w:style>
  <w:style w:type="character" w:styleId="937" w:customStyle="1">
    <w:name w:val="标题 7 Char"/>
    <w:qFormat/>
    <w:rPr>
      <w:rFonts w:ascii="Times New Roman" w:hAnsi="Times New Roman" w:eastAsia="宋体" w:cs="Times New Roman"/>
      <w:b/>
      <w:sz w:val="20"/>
    </w:rPr>
  </w:style>
  <w:style w:type="character" w:styleId="938" w:customStyle="1">
    <w:name w:val="Char Char12"/>
    <w:qFormat/>
    <w:rPr>
      <w:rFonts w:ascii="Times New Roman" w:hAnsi="Times New Roman" w:eastAsia="宋体" w:cs="Times New Roman"/>
      <w:sz w:val="20"/>
    </w:rPr>
  </w:style>
  <w:style w:type="character" w:styleId="939" w:customStyle="1">
    <w:name w:val="标题 3 Char"/>
    <w:qFormat/>
    <w:rPr>
      <w:rFonts w:ascii="Times New Roman" w:hAnsi="Times New Roman" w:eastAsia="宋体" w:cs="Times New Roman"/>
      <w:b/>
      <w:sz w:val="20"/>
    </w:rPr>
  </w:style>
  <w:style w:type="character" w:styleId="940" w:customStyle="1">
    <w:name w:val="正文（首行缩进 2 字符） Char Char"/>
    <w:qFormat/>
    <w:rPr>
      <w:rFonts w:ascii="Times New Roman" w:hAnsi="Times New Roman" w:eastAsia="宋体" w:cs="Times New Roman"/>
      <w:sz w:val="20"/>
    </w:rPr>
  </w:style>
  <w:style w:type="character" w:styleId="941" w:customStyle="1">
    <w:name w:val="表格用 Char Char"/>
    <w:qFormat/>
    <w:rPr>
      <w:rFonts w:ascii="Times New Roman" w:hAnsi="Times New Roman" w:eastAsia="宋体" w:cs="Times New Roman"/>
      <w:sz w:val="20"/>
    </w:rPr>
  </w:style>
  <w:style w:type="character" w:styleId="942" w:customStyle="1">
    <w:name w:val="正文文本缩进 3 Char1"/>
    <w:qFormat/>
    <w:rPr>
      <w:rFonts w:ascii="Times New Roman" w:hAnsi="Times New Roman" w:eastAsia="宋体" w:cs="Times New Roman"/>
      <w:sz w:val="20"/>
    </w:rPr>
  </w:style>
  <w:style w:type="character" w:styleId="943" w:customStyle="1">
    <w:name w:val="正文缩进 Char"/>
    <w:qFormat/>
    <w:rPr>
      <w:rFonts w:ascii="Times New Roman" w:hAnsi="Times New Roman" w:eastAsia="宋体" w:cs="Times New Roman"/>
      <w:sz w:val="20"/>
    </w:rPr>
  </w:style>
  <w:style w:type="character" w:styleId="944" w:customStyle="1">
    <w:name w:val="批注框文本 Char1"/>
    <w:qFormat/>
    <w:rPr>
      <w:rFonts w:ascii="Times New Roman" w:hAnsi="Times New Roman" w:eastAsia="宋体" w:cs="Times New Roman"/>
      <w:sz w:val="20"/>
    </w:rPr>
  </w:style>
  <w:style w:type="character" w:styleId="945" w:customStyle="1">
    <w:name w:val="Char Char13"/>
    <w:qFormat/>
    <w:rPr>
      <w:rFonts w:ascii="Times New Roman" w:hAnsi="Times New Roman" w:eastAsia="宋体" w:cs="Times New Roman"/>
      <w:sz w:val="20"/>
    </w:rPr>
  </w:style>
  <w:style w:type="character" w:styleId="946" w:customStyle="1">
    <w:name w:val="样式2 Char"/>
    <w:qFormat/>
    <w:rPr>
      <w:rFonts w:ascii="Times New Roman" w:hAnsi="Times New Roman" w:eastAsia="宋体" w:cs="Times New Roman"/>
      <w:b/>
      <w:sz w:val="20"/>
    </w:rPr>
  </w:style>
  <w:style w:type="character" w:styleId="947" w:customStyle="1">
    <w:name w:val="页脚 Char"/>
    <w:qFormat/>
    <w:rPr>
      <w:rFonts w:ascii="Times New Roman" w:hAnsi="Times New Roman" w:eastAsia="宋体" w:cs="Times New Roman"/>
      <w:sz w:val="20"/>
    </w:rPr>
  </w:style>
  <w:style w:type="character" w:styleId="948" w:customStyle="1">
    <w:name w:val="标准文本 Char"/>
    <w:qFormat/>
    <w:rPr>
      <w:rFonts w:ascii="Times New Roman" w:hAnsi="Times New Roman" w:eastAsia="宋体" w:cs="Times New Roman"/>
      <w:sz w:val="20"/>
    </w:rPr>
  </w:style>
  <w:style w:type="character" w:styleId="949" w:customStyle="1">
    <w:name w:val="font01"/>
    <w:qFormat/>
    <w:rPr>
      <w:rFonts w:hint="eastAsia" w:ascii="宋体" w:hAnsi="宋体" w:eastAsia="宋体" w:cs="宋体"/>
      <w:color w:val="000000"/>
      <w:sz w:val="24"/>
      <w:szCs w:val="24"/>
      <w:u w:val="none"/>
    </w:rPr>
  </w:style>
  <w:style w:type="character" w:styleId="950" w:customStyle="1">
    <w:name w:val="标题 3 Char1"/>
    <w:qFormat/>
    <w:rPr>
      <w:rFonts w:ascii="Times New Roman" w:hAnsi="Times New Roman" w:eastAsia="宋体" w:cs="Times New Roman"/>
      <w:b/>
      <w:sz w:val="20"/>
      <w:u w:val="single"/>
    </w:rPr>
  </w:style>
  <w:style w:type="character" w:styleId="951" w:customStyle="1">
    <w:name w:val="表格 Char Char"/>
    <w:qFormat/>
    <w:rPr>
      <w:rFonts w:ascii="Times New Roman" w:hAnsi="Times New Roman" w:eastAsia="宋体" w:cs="Times New Roman"/>
      <w:sz w:val="20"/>
    </w:rPr>
  </w:style>
  <w:style w:type="character" w:styleId="952" w:customStyle="1">
    <w:name w:val="正文首行缩进 Char"/>
    <w:qFormat/>
    <w:rPr>
      <w:rFonts w:ascii="Times New Roman" w:hAnsi="Times New Roman" w:eastAsia="宋体" w:cs="Times New Roman"/>
      <w:sz w:val="20"/>
    </w:rPr>
  </w:style>
  <w:style w:type="character" w:styleId="953" w:customStyle="1">
    <w:name w:val="标题 9 Char"/>
    <w:qFormat/>
    <w:rPr>
      <w:rFonts w:ascii="Times New Roman" w:hAnsi="Times New Roman" w:eastAsia="宋体" w:cs="Times New Roman"/>
      <w:sz w:val="20"/>
    </w:rPr>
  </w:style>
  <w:style w:type="character" w:styleId="954" w:customStyle="1">
    <w:name w:val="lh151"/>
    <w:qFormat/>
    <w:rPr>
      <w:rFonts w:ascii="Times New Roman" w:hAnsi="Times New Roman" w:eastAsia="宋体" w:cs="Times New Roman"/>
      <w:color w:val="666666"/>
      <w:sz w:val="20"/>
    </w:rPr>
  </w:style>
  <w:style w:type="character" w:styleId="955" w:customStyle="1">
    <w:name w:val="日期 Char1"/>
    <w:qFormat/>
    <w:rPr>
      <w:rFonts w:ascii="Times New Roman" w:hAnsi="Times New Roman" w:eastAsia="宋体" w:cs="Times New Roman"/>
      <w:sz w:val="20"/>
    </w:rPr>
  </w:style>
  <w:style w:type="character" w:styleId="956" w:customStyle="1">
    <w:name w:val="图片 Char Char"/>
    <w:qFormat/>
    <w:rPr>
      <w:rFonts w:ascii="Times New Roman" w:hAnsi="Times New Roman" w:eastAsia="宋体" w:cs="Times New Roman"/>
      <w:sz w:val="20"/>
    </w:rPr>
  </w:style>
  <w:style w:type="character" w:styleId="957" w:customStyle="1">
    <w:name w:val="批注框文本 字符"/>
    <w:qFormat/>
    <w:rPr>
      <w:rFonts w:ascii="Times New Roman" w:hAnsi="Times New Roman" w:eastAsia="宋体" w:cs="Times New Roman"/>
      <w:sz w:val="20"/>
    </w:rPr>
  </w:style>
  <w:style w:type="character" w:styleId="958" w:customStyle="1">
    <w:name w:val="HTML 预设格式 Char"/>
    <w:qFormat/>
    <w:rPr>
      <w:rFonts w:ascii="Times New Roman" w:hAnsi="Times New Roman" w:eastAsia="宋体" w:cs="Times New Roman"/>
      <w:sz w:val="20"/>
    </w:rPr>
  </w:style>
  <w:style w:type="character" w:styleId="959" w:customStyle="1">
    <w:name w:val="列出段落 Char"/>
    <w:qFormat/>
    <w:rPr>
      <w:rFonts w:ascii="Times New Roman" w:hAnsi="Times New Roman" w:eastAsia="宋体" w:cs="Times New Roman"/>
      <w:sz w:val="20"/>
    </w:rPr>
  </w:style>
  <w:style w:type="character" w:styleId="960" w:customStyle="1">
    <w:name w:val="标题 5 Char"/>
    <w:qFormat/>
    <w:rPr>
      <w:rFonts w:ascii="Times New Roman" w:hAnsi="Times New Roman" w:eastAsia="宋体" w:cs="Times New Roman"/>
      <w:b/>
      <w:sz w:val="20"/>
    </w:rPr>
  </w:style>
  <w:style w:type="character" w:styleId="961" w:customStyle="1">
    <w:name w:val="链接"/>
    <w:qFormat/>
    <w:rPr>
      <w:rFonts w:ascii="Times New Roman" w:hAnsi="Times New Roman" w:eastAsia="宋体" w:cs="Times New Roman"/>
      <w:color w:val="0000ff"/>
      <w:sz w:val="20"/>
      <w:u w:val="single"/>
    </w:rPr>
  </w:style>
  <w:style w:type="character" w:styleId="962" w:customStyle="1">
    <w:name w:val="18h1"/>
    <w:qFormat/>
    <w:rPr>
      <w:rFonts w:ascii="Times New Roman" w:hAnsi="Times New Roman" w:eastAsia="宋体" w:cs="Times New Roman"/>
      <w:color w:val="3b3b3b"/>
      <w:sz w:val="20"/>
    </w:rPr>
  </w:style>
  <w:style w:type="character" w:styleId="963" w:customStyle="1">
    <w:name w:val="表格文字（两侧对齐） Char Char"/>
    <w:qFormat/>
    <w:rPr>
      <w:rFonts w:ascii="Times New Roman" w:hAnsi="Times New Roman" w:eastAsia="宋体" w:cs="Times New Roman"/>
      <w:sz w:val="20"/>
    </w:rPr>
  </w:style>
  <w:style w:type="character" w:styleId="964" w:customStyle="1">
    <w:name w:val="正文文本缩进 2 Char"/>
    <w:qFormat/>
    <w:rPr>
      <w:rFonts w:ascii="Times New Roman" w:hAnsi="Times New Roman" w:eastAsia="宋体" w:cs="Times New Roman"/>
      <w:sz w:val="20"/>
    </w:rPr>
  </w:style>
  <w:style w:type="character" w:styleId="965" w:customStyle="1">
    <w:name w:val="Char Char14"/>
    <w:qFormat/>
    <w:rPr>
      <w:rFonts w:ascii="Times New Roman" w:hAnsi="Times New Roman" w:eastAsia="宋体" w:cs="Times New Roman"/>
      <w:sz w:val="20"/>
    </w:rPr>
  </w:style>
  <w:style w:type="character" w:styleId="966" w:customStyle="1">
    <w:name w:val="标题 1 Char1"/>
    <w:qFormat/>
    <w:rPr>
      <w:rFonts w:ascii="Times New Roman" w:hAnsi="Times New Roman" w:eastAsia="宋体" w:cs="Times New Roman"/>
      <w:b/>
      <w:sz w:val="20"/>
    </w:rPr>
  </w:style>
  <w:style w:type="character" w:styleId="967" w:customStyle="1">
    <w:name w:val="批注框文本 Char"/>
    <w:qFormat/>
    <w:rPr>
      <w:rFonts w:ascii="Times New Roman" w:hAnsi="Times New Roman" w:eastAsia="宋体" w:cs="Times New Roman"/>
      <w:sz w:val="20"/>
    </w:rPr>
  </w:style>
  <w:style w:type="character" w:styleId="968" w:customStyle="1">
    <w:name w:val="apple-style-span"/>
    <w:qFormat/>
    <w:rPr>
      <w:rFonts w:ascii="Times New Roman" w:hAnsi="Times New Roman" w:eastAsia="宋体" w:cs="Times New Roman"/>
      <w:sz w:val="20"/>
    </w:rPr>
  </w:style>
  <w:style w:type="character" w:styleId="969" w:customStyle="1">
    <w:name w:val="插图 Char Char"/>
    <w:qFormat/>
    <w:rPr>
      <w:rFonts w:ascii="Times New Roman" w:hAnsi="Times New Roman" w:eastAsia="宋体" w:cs="Times New Roman"/>
      <w:sz w:val="20"/>
    </w:rPr>
  </w:style>
  <w:style w:type="character" w:styleId="970" w:customStyle="1">
    <w:name w:val="标题 2 Char1"/>
    <w:qFormat/>
    <w:rPr>
      <w:rFonts w:ascii="Times New Roman" w:hAnsi="Times New Roman" w:eastAsia="宋体" w:cs="Times New Roman"/>
      <w:b/>
      <w:sz w:val="20"/>
    </w:rPr>
  </w:style>
  <w:style w:type="character" w:styleId="971" w:customStyle="1">
    <w:name w:val="_Style 332"/>
    <w:qFormat/>
    <w:rPr>
      <w:rFonts w:ascii="Times New Roman" w:hAnsi="Times New Roman" w:eastAsia="宋体" w:cs="Times New Roman"/>
      <w:i/>
      <w:color w:val="auto"/>
      <w:sz w:val="21"/>
    </w:rPr>
  </w:style>
  <w:style w:type="character" w:styleId="972" w:customStyle="1">
    <w:name w:val="正文文本 3 Char1"/>
    <w:qFormat/>
    <w:rPr>
      <w:rFonts w:ascii="Times New Roman" w:hAnsi="Times New Roman" w:eastAsia="宋体" w:cs="Times New Roman"/>
      <w:sz w:val="20"/>
    </w:rPr>
  </w:style>
  <w:style w:type="character" w:styleId="973" w:customStyle="1">
    <w:name w:val="标题 5 Char1"/>
    <w:qFormat/>
    <w:rPr>
      <w:rFonts w:ascii="Times New Roman" w:hAnsi="Times New Roman" w:eastAsia="宋体" w:cs="Times New Roman"/>
      <w:b/>
      <w:sz w:val="20"/>
    </w:rPr>
  </w:style>
  <w:style w:type="character" w:styleId="974" w:customStyle="1">
    <w:name w:val="批注主题 Char"/>
    <w:qFormat/>
    <w:rPr>
      <w:rFonts w:ascii="Times New Roman" w:hAnsi="Times New Roman" w:eastAsia="宋体" w:cs="Times New Roman"/>
      <w:b/>
      <w:sz w:val="20"/>
    </w:rPr>
  </w:style>
  <w:style w:type="character" w:styleId="975" w:customStyle="1">
    <w:name w:val="标题 1 Char"/>
    <w:qFormat/>
    <w:rPr>
      <w:rFonts w:ascii="Times New Roman" w:hAnsi="Times New Roman" w:eastAsia="宋体" w:cs="Times New Roman"/>
      <w:b/>
      <w:sz w:val="20"/>
    </w:rPr>
  </w:style>
  <w:style w:type="character" w:styleId="976" w:customStyle="1">
    <w:name w:val="正文文本 2 Char1"/>
    <w:qFormat/>
    <w:rPr>
      <w:rFonts w:ascii="Times New Roman" w:hAnsi="Times New Roman" w:eastAsia="宋体" w:cs="Times New Roman"/>
      <w:sz w:val="20"/>
    </w:rPr>
  </w:style>
  <w:style w:type="character" w:styleId="977" w:customStyle="1">
    <w:name w:val="标题 4 Char1"/>
    <w:qFormat/>
    <w:rPr>
      <w:rFonts w:ascii="Times New Roman" w:hAnsi="Times New Roman" w:eastAsia="宋体" w:cs="Times New Roman"/>
      <w:b/>
      <w:sz w:val="20"/>
    </w:rPr>
  </w:style>
  <w:style w:type="character" w:styleId="978" w:customStyle="1">
    <w:name w:val="正文文本 2 Char"/>
    <w:qFormat/>
    <w:rPr>
      <w:rFonts w:ascii="Times New Roman" w:hAnsi="Times New Roman" w:eastAsia="宋体" w:cs="Times New Roman"/>
      <w:sz w:val="20"/>
    </w:rPr>
  </w:style>
  <w:style w:type="character" w:styleId="979" w:customStyle="1">
    <w:name w:val="_Style 376"/>
    <w:qFormat/>
    <w:rPr>
      <w:rFonts w:ascii="Times New Roman" w:hAnsi="Times New Roman" w:eastAsia="宋体" w:cs="Times New Roman"/>
      <w:b/>
      <w:color w:val="auto"/>
      <w:sz w:val="21"/>
    </w:rPr>
  </w:style>
  <w:style w:type="character" w:styleId="980" w:customStyle="1">
    <w:name w:val="062"/>
    <w:qFormat/>
    <w:rPr>
      <w:rFonts w:ascii="Times New Roman" w:hAnsi="Times New Roman" w:eastAsia="宋体" w:cs="Times New Roman"/>
      <w:b/>
      <w:sz w:val="20"/>
    </w:rPr>
  </w:style>
  <w:style w:type="character" w:styleId="981" w:customStyle="1">
    <w:name w:val="正文文本 Char1"/>
    <w:qFormat/>
    <w:rPr>
      <w:rFonts w:ascii="Times New Roman" w:hAnsi="Times New Roman" w:eastAsia="宋体" w:cs="Times New Roman"/>
      <w:sz w:val="20"/>
    </w:rPr>
  </w:style>
  <w:style w:type="character" w:styleId="982" w:customStyle="1">
    <w:name w:val="题注 Char"/>
    <w:qFormat/>
    <w:rPr>
      <w:rFonts w:ascii="Times New Roman" w:hAnsi="Times New Roman" w:eastAsia="宋体" w:cs="Times New Roman"/>
      <w:sz w:val="20"/>
    </w:rPr>
  </w:style>
  <w:style w:type="character" w:styleId="983" w:customStyle="1">
    <w:name w:val="脚注文本 Char"/>
    <w:qFormat/>
    <w:rPr>
      <w:rFonts w:ascii="Times New Roman" w:hAnsi="Times New Roman" w:eastAsia="宋体" w:cs="Times New Roman"/>
      <w:sz w:val="20"/>
    </w:rPr>
  </w:style>
  <w:style w:type="character" w:styleId="984" w:customStyle="1">
    <w:name w:val="_Style 336"/>
    <w:qFormat/>
    <w:rPr>
      <w:rFonts w:ascii="Times New Roman" w:hAnsi="Times New Roman" w:eastAsia="宋体" w:cs="Times New Roman"/>
      <w:i/>
      <w:color w:val="auto"/>
      <w:sz w:val="21"/>
    </w:rPr>
  </w:style>
  <w:style w:type="character" w:styleId="985" w:customStyle="1">
    <w:name w:val="表格 Char"/>
    <w:qFormat/>
    <w:rPr>
      <w:rFonts w:ascii="Times New Roman" w:hAnsi="Times New Roman" w:eastAsia="宋体" w:cs="Times New Roman"/>
      <w:color w:val="000000"/>
      <w:sz w:val="20"/>
    </w:rPr>
  </w:style>
  <w:style w:type="character" w:styleId="986" w:customStyle="1">
    <w:name w:val="批注主题 字符"/>
    <w:qFormat/>
    <w:rPr>
      <w:rFonts w:ascii="Times New Roman" w:hAnsi="Times New Roman" w:eastAsia="宋体" w:cs="Times New Roman"/>
      <w:b/>
      <w:sz w:val="20"/>
    </w:rPr>
  </w:style>
  <w:style w:type="character" w:styleId="987" w:customStyle="1">
    <w:name w:val="图注 Char Char"/>
    <w:qFormat/>
    <w:rPr>
      <w:rFonts w:ascii="Times New Roman" w:hAnsi="Times New Roman" w:eastAsia="宋体" w:cs="Times New Roman"/>
      <w:sz w:val="20"/>
    </w:rPr>
  </w:style>
  <w:style w:type="character" w:styleId="988" w:customStyle="1">
    <w:name w:val="页码1"/>
    <w:qFormat/>
    <w:rPr>
      <w:rFonts w:ascii="Times New Roman" w:hAnsi="Times New Roman" w:eastAsia="宋体" w:cs="Times New Roman"/>
      <w:sz w:val="20"/>
    </w:rPr>
  </w:style>
  <w:style w:type="character" w:styleId="989" w:customStyle="1">
    <w:name w:val="列表框1 Char Char"/>
    <w:qFormat/>
    <w:rPr>
      <w:rFonts w:ascii="Times New Roman" w:hAnsi="Times New Roman" w:eastAsia="宋体" w:cs="Times New Roman"/>
      <w:sz w:val="20"/>
    </w:rPr>
  </w:style>
  <w:style w:type="character" w:styleId="990" w:customStyle="1">
    <w:name w:val="1ji Char"/>
    <w:qFormat/>
    <w:rPr>
      <w:rFonts w:ascii="Times New Roman" w:hAnsi="Times New Roman" w:eastAsia="宋体" w:cs="Times New Roman"/>
      <w:b/>
      <w:sz w:val="20"/>
    </w:rPr>
  </w:style>
  <w:style w:type="character" w:styleId="991" w:customStyle="1">
    <w:name w:val="正文文本缩进 Char"/>
    <w:qFormat/>
    <w:rPr>
      <w:rFonts w:ascii="Times New Roman" w:hAnsi="Times New Roman" w:eastAsia="宋体" w:cs="Times New Roman"/>
      <w:sz w:val="20"/>
    </w:rPr>
  </w:style>
  <w:style w:type="character" w:styleId="992" w:customStyle="1">
    <w:name w:val="标准文本 Char Char"/>
    <w:qFormat/>
    <w:rPr>
      <w:rFonts w:ascii="Times New Roman" w:hAnsi="Times New Roman" w:eastAsia="宋体" w:cs="Times New Roman"/>
      <w:sz w:val="20"/>
    </w:rPr>
  </w:style>
  <w:style w:type="character" w:styleId="993" w:customStyle="1">
    <w:name w:val="表格用 Char"/>
    <w:qFormat/>
    <w:rPr>
      <w:rFonts w:ascii="Times New Roman" w:hAnsi="Times New Roman" w:eastAsia="宋体" w:cs="Times New Roman"/>
      <w:color w:val="000000"/>
      <w:sz w:val="20"/>
    </w:rPr>
  </w:style>
  <w:style w:type="character" w:styleId="994" w:customStyle="1">
    <w:name w:val="标题 7 Char1"/>
    <w:qFormat/>
    <w:rPr>
      <w:rFonts w:ascii="Times New Roman" w:hAnsi="Times New Roman" w:eastAsia="宋体" w:cs="Times New Roman"/>
      <w:b/>
      <w:sz w:val="20"/>
    </w:rPr>
  </w:style>
  <w:style w:type="character" w:styleId="995" w:customStyle="1">
    <w:name w:val="H 3 Char"/>
    <w:qFormat/>
    <w:rPr>
      <w:rFonts w:ascii="Times New Roman" w:hAnsi="Times New Roman" w:eastAsia="宋体" w:cs="Times New Roman"/>
      <w:b/>
      <w:sz w:val="20"/>
    </w:rPr>
  </w:style>
  <w:style w:type="character" w:styleId="996" w:customStyle="1">
    <w:name w:val="正文文本缩进 3 字符"/>
    <w:qFormat/>
    <w:rPr>
      <w:rFonts w:ascii="Times New Roman" w:hAnsi="Times New Roman" w:eastAsia="宋体" w:cs="Times New Roman"/>
      <w:sz w:val="16"/>
      <w:szCs w:val="16"/>
    </w:rPr>
  </w:style>
  <w:style w:type="character" w:styleId="997" w:customStyle="1">
    <w:name w:val="标题 Char"/>
    <w:qFormat/>
    <w:rPr>
      <w:rFonts w:ascii="Times New Roman" w:hAnsi="Times New Roman" w:eastAsia="宋体" w:cs="Times New Roman"/>
      <w:b/>
      <w:sz w:val="20"/>
    </w:rPr>
  </w:style>
  <w:style w:type="character" w:styleId="998" w:customStyle="1">
    <w:name w:val="H 4 Char"/>
    <w:qFormat/>
    <w:rPr>
      <w:rFonts w:ascii="Times New Roman" w:hAnsi="Times New Roman" w:eastAsia="宋体" w:cs="Times New Roman"/>
      <w:b/>
      <w:sz w:val="20"/>
    </w:rPr>
  </w:style>
  <w:style w:type="character" w:styleId="999" w:customStyle="1">
    <w:name w:val="批注主题 Char1"/>
    <w:qFormat/>
    <w:rPr>
      <w:rFonts w:ascii="Times New Roman" w:hAnsi="Times New Roman" w:eastAsia="宋体" w:cs="Times New Roman"/>
      <w:b/>
      <w:sz w:val="20"/>
    </w:rPr>
  </w:style>
  <w:style w:type="character" w:styleId="1000" w:customStyle="1">
    <w:name w:val="正文文本缩进 Char1"/>
    <w:qFormat/>
    <w:rPr>
      <w:rFonts w:ascii="Times New Roman" w:hAnsi="Times New Roman" w:eastAsia="宋体" w:cs="Times New Roman"/>
      <w:sz w:val="20"/>
    </w:rPr>
  </w:style>
  <w:style w:type="character" w:styleId="1001" w:customStyle="1">
    <w:name w:val="正文文本 3 Char"/>
    <w:qFormat/>
    <w:rPr>
      <w:rFonts w:ascii="Times New Roman" w:hAnsi="Times New Roman" w:eastAsia="宋体" w:cs="Times New Roman"/>
      <w:sz w:val="20"/>
    </w:rPr>
  </w:style>
  <w:style w:type="character" w:styleId="1002" w:customStyle="1">
    <w:name w:val="正文首行缩进 2 Char"/>
    <w:qFormat/>
    <w:rPr>
      <w:rFonts w:ascii="Times New Roman" w:hAnsi="Times New Roman" w:eastAsia="宋体" w:cs="Times New Roman"/>
      <w:sz w:val="20"/>
    </w:rPr>
  </w:style>
  <w:style w:type="character" w:styleId="1003" w:customStyle="1">
    <w:name w:val="页眉 Char1"/>
    <w:qFormat/>
    <w:rPr>
      <w:rFonts w:ascii="Times New Roman" w:hAnsi="Times New Roman" w:eastAsia="宋体" w:cs="Times New Roman"/>
      <w:sz w:val="20"/>
    </w:rPr>
  </w:style>
  <w:style w:type="character" w:styleId="1004" w:customStyle="1">
    <w:name w:val="Char Char2"/>
    <w:qFormat/>
    <w:rPr>
      <w:rFonts w:ascii="Times New Roman" w:hAnsi="Times New Roman" w:eastAsia="宋体" w:cs="Times New Roman"/>
      <w:sz w:val="20"/>
    </w:rPr>
  </w:style>
  <w:style w:type="character" w:styleId="1005" w:customStyle="1">
    <w:name w:val="样式 首行缩进:  2 字符 Char1"/>
    <w:qFormat/>
    <w:rPr>
      <w:rFonts w:ascii="Times New Roman" w:hAnsi="Times New Roman" w:eastAsia="宋体" w:cs="Times New Roman"/>
      <w:sz w:val="20"/>
    </w:rPr>
  </w:style>
  <w:style w:type="character" w:styleId="1006" w:customStyle="1">
    <w:name w:val="标题 2 Char"/>
    <w:qFormat/>
    <w:rPr>
      <w:rFonts w:ascii="Times New Roman" w:hAnsi="Times New Roman" w:eastAsia="宋体" w:cs="Times New Roman"/>
      <w:b/>
      <w:sz w:val="20"/>
    </w:rPr>
  </w:style>
  <w:style w:type="character" w:styleId="1007" w:customStyle="1">
    <w:name w:val="表格文字图表文字 Char Char"/>
    <w:qFormat/>
    <w:rPr>
      <w:rFonts w:ascii="Times New Roman" w:hAnsi="Times New Roman" w:eastAsia="宋体" w:cs="Times New Roman"/>
      <w:sz w:val="20"/>
    </w:rPr>
  </w:style>
  <w:style w:type="character" w:styleId="1008" w:customStyle="1">
    <w:name w:val="图片 Char"/>
    <w:qFormat/>
    <w:rPr>
      <w:rFonts w:ascii="Times New Roman" w:hAnsi="Times New Roman" w:eastAsia="宋体" w:cs="Times New Roman"/>
      <w:sz w:val="20"/>
    </w:rPr>
  </w:style>
  <w:style w:type="character" w:styleId="1009" w:customStyle="1">
    <w:name w:val="标题 6 Char"/>
    <w:qFormat/>
    <w:rPr>
      <w:rFonts w:ascii="Times New Roman" w:hAnsi="Times New Roman" w:eastAsia="宋体" w:cs="Times New Roman"/>
      <w:b/>
      <w:sz w:val="20"/>
    </w:rPr>
  </w:style>
  <w:style w:type="character" w:styleId="1010" w:customStyle="1">
    <w:name w:val="标题 4 Char"/>
    <w:qFormat/>
    <w:rPr>
      <w:rFonts w:ascii="Times New Roman" w:hAnsi="Times New Roman" w:eastAsia="宋体" w:cs="Times New Roman"/>
      <w:b/>
      <w:sz w:val="20"/>
    </w:rPr>
  </w:style>
  <w:style w:type="character" w:styleId="1011" w:customStyle="1">
    <w:name w:val="文档结构图 Char1"/>
    <w:qFormat/>
    <w:rPr>
      <w:rFonts w:ascii="Times New Roman" w:hAnsi="Times New Roman" w:eastAsia="宋体" w:cs="Times New Roman"/>
      <w:sz w:val="20"/>
    </w:rPr>
  </w:style>
  <w:style w:type="character" w:styleId="1012" w:customStyle="1">
    <w:name w:val="项目符0 Char"/>
    <w:qFormat/>
    <w:rPr>
      <w:rFonts w:ascii="Times New Roman" w:hAnsi="Times New Roman" w:eastAsia="宋体" w:cs="Times New Roman"/>
      <w:sz w:val="20"/>
    </w:rPr>
  </w:style>
  <w:style w:type="character" w:styleId="1013" w:customStyle="1">
    <w:name w:val="正文文本缩进 3 Char"/>
    <w:qFormat/>
    <w:rPr>
      <w:rFonts w:ascii="Times New Roman" w:hAnsi="Times New Roman" w:eastAsia="宋体" w:cs="Times New Roman"/>
      <w:sz w:val="20"/>
    </w:rPr>
  </w:style>
  <w:style w:type="character" w:styleId="1014" w:customStyle="1">
    <w:name w:val="Char Char3"/>
    <w:qFormat/>
    <w:rPr>
      <w:rFonts w:ascii="Times New Roman" w:hAnsi="Times New Roman" w:eastAsia="宋体" w:cs="Times New Roman"/>
      <w:sz w:val="20"/>
    </w:rPr>
  </w:style>
  <w:style w:type="character" w:styleId="1015" w:customStyle="1">
    <w:name w:val="纯文本 Char"/>
    <w:qFormat/>
    <w:rPr>
      <w:rFonts w:ascii="Times New Roman" w:hAnsi="Times New Roman" w:eastAsia="宋体" w:cs="Times New Roman"/>
      <w:sz w:val="20"/>
    </w:rPr>
  </w:style>
  <w:style w:type="character" w:styleId="1016" w:customStyle="1">
    <w:name w:val="正文文本缩进 2 Char1"/>
    <w:qFormat/>
    <w:rPr>
      <w:rFonts w:ascii="Times New Roman" w:hAnsi="Times New Roman" w:eastAsia="宋体" w:cs="Times New Roman"/>
      <w:sz w:val="20"/>
    </w:rPr>
  </w:style>
  <w:style w:type="character" w:styleId="1017" w:customStyle="1">
    <w:name w:val="标题 8 Char"/>
    <w:qFormat/>
    <w:rPr>
      <w:rFonts w:ascii="Times New Roman" w:hAnsi="Times New Roman" w:eastAsia="宋体" w:cs="Times New Roman"/>
      <w:sz w:val="20"/>
    </w:rPr>
  </w:style>
  <w:style w:type="character" w:styleId="1018" w:customStyle="1">
    <w:name w:val="标题 6 Char1"/>
    <w:qFormat/>
    <w:rPr>
      <w:rFonts w:ascii="Times New Roman" w:hAnsi="Times New Roman" w:eastAsia="宋体" w:cs="Times New Roman"/>
      <w:b/>
      <w:sz w:val="20"/>
    </w:rPr>
  </w:style>
  <w:style w:type="character" w:styleId="1019" w:customStyle="1">
    <w:name w:val="case31"/>
    <w:qFormat/>
    <w:rPr>
      <w:rFonts w:ascii="Times New Roman" w:hAnsi="Times New Roman" w:eastAsia="宋体" w:cs="Times New Roman"/>
      <w:sz w:val="20"/>
    </w:rPr>
  </w:style>
  <w:style w:type="character" w:styleId="1020" w:customStyle="1">
    <w:name w:val="正文文本 Char"/>
    <w:qFormat/>
    <w:rPr>
      <w:rFonts w:ascii="Times New Roman" w:hAnsi="Times New Roman" w:eastAsia="宋体" w:cs="Times New Roman"/>
      <w:sz w:val="20"/>
    </w:rPr>
  </w:style>
  <w:style w:type="paragraph" w:styleId="1021" w:customStyle="1">
    <w:name w:val="节标题"/>
    <w:basedOn w:val="841"/>
    <w:next w:val="1022"/>
    <w:qFormat/>
    <w:pPr>
      <w:ind w:left="0" w:firstLine="5120"/>
      <w:jc w:val="center"/>
      <w:spacing w:before="0" w:after="0" w:line="289" w:lineRule="atLeast"/>
    </w:pPr>
    <w:rPr>
      <w:rFonts w:ascii="Times New Roman" w:hAnsi="Times New Roman" w:cs="Times New Roman"/>
    </w:rPr>
  </w:style>
  <w:style w:type="paragraph" w:styleId="1022" w:customStyle="1">
    <w:name w:val="文档标题6"/>
    <w:basedOn w:val="847"/>
    <w:next w:val="840"/>
    <w:qFormat/>
    <w:pPr>
      <w:ind w:left="1134" w:firstLine="20"/>
      <w:spacing w:before="280" w:after="280" w:line="360" w:lineRule="auto"/>
      <w:outlineLvl w:val="5"/>
    </w:pPr>
  </w:style>
  <w:style w:type="paragraph" w:styleId="1023" w:customStyle="1">
    <w:name w:val="正文段"/>
    <w:basedOn w:val="841"/>
    <w:next w:val="1024"/>
    <w:qFormat/>
    <w:pPr>
      <w:ind w:left="454" w:firstLine="1222"/>
      <w:spacing w:before="0" w:after="240" w:line="240" w:lineRule="atLeast"/>
    </w:pPr>
    <w:rPr>
      <w:rFonts w:ascii="Times New Roman" w:hAnsi="Times New Roman" w:cs="Times New Roman"/>
    </w:rPr>
  </w:style>
  <w:style w:type="paragraph" w:styleId="1024" w:customStyle="1">
    <w:name w:val="批注主题1"/>
    <w:next w:val="840"/>
    <w:qFormat/>
    <w:pPr>
      <w:ind w:left="200" w:firstLine="4808"/>
      <w:spacing w:line="360" w:lineRule="auto"/>
    </w:pPr>
    <w:rPr>
      <w:rFonts w:ascii="Calibri" w:hAnsi="Calibri" w:cs="宋体"/>
    </w:rPr>
  </w:style>
  <w:style w:type="paragraph" w:styleId="1025" w:customStyle="1">
    <w:name w:val="_Style 224"/>
    <w:next w:val="1026"/>
    <w:qFormat/>
    <w:pPr>
      <w:ind w:firstLine="3584"/>
    </w:pPr>
    <w:rPr>
      <w:rFonts w:ascii="Calibri" w:hAnsi="Calibri" w:cs="宋体"/>
    </w:rPr>
  </w:style>
  <w:style w:type="paragraph" w:styleId="1026" w:customStyle="1">
    <w:name w:val="编号1"/>
    <w:basedOn w:val="841"/>
    <w:next w:val="1027"/>
    <w:qFormat/>
    <w:pPr>
      <w:ind w:left="360" w:right="210" w:firstLine="2200"/>
      <w:spacing w:before="0" w:after="0" w:line="240" w:lineRule="auto"/>
    </w:pPr>
    <w:rPr>
      <w:rFonts w:ascii="Times New Roman" w:hAnsi="Times New Roman" w:cs="Times New Roman"/>
    </w:rPr>
  </w:style>
  <w:style w:type="paragraph" w:styleId="1027" w:customStyle="1">
    <w:name w:val="图片"/>
    <w:basedOn w:val="841"/>
    <w:next w:val="1028"/>
    <w:qFormat/>
    <w:pPr>
      <w:ind w:left="-283" w:firstLine="2674"/>
      <w:jc w:val="center"/>
      <w:spacing w:before="0" w:after="0" w:line="360" w:lineRule="auto"/>
    </w:pPr>
    <w:rPr>
      <w:rFonts w:ascii="Times New Roman" w:hAnsi="Times New Roman" w:cs="Times New Roman"/>
    </w:rPr>
  </w:style>
  <w:style w:type="paragraph" w:styleId="1028" w:customStyle="1">
    <w:name w:val="样式 目录 3 + 左侧:  2 字符"/>
    <w:next w:val="894"/>
    <w:qFormat/>
    <w:pPr>
      <w:ind w:left="400" w:firstLine="5120"/>
      <w:spacing w:line="360" w:lineRule="auto"/>
      <w:widowControl w:val="off"/>
    </w:pPr>
    <w:rPr>
      <w:rFonts w:ascii="Calibri" w:hAnsi="Calibri" w:cs="宋体"/>
    </w:rPr>
  </w:style>
  <w:style w:type="paragraph" w:styleId="1029" w:customStyle="1">
    <w:name w:val="图注"/>
    <w:next w:val="1030"/>
    <w:qFormat/>
    <w:pPr>
      <w:ind w:left="360" w:firstLine="2152"/>
      <w:jc w:val="center"/>
    </w:pPr>
    <w:rPr>
      <w:rFonts w:ascii="Calibri" w:hAnsi="Calibri" w:cs="宋体"/>
    </w:rPr>
  </w:style>
  <w:style w:type="paragraph" w:styleId="1030" w:customStyle="1">
    <w:name w:val="列表编号 41"/>
    <w:basedOn w:val="841"/>
    <w:next w:val="1031"/>
    <w:qFormat/>
    <w:pPr>
      <w:ind w:left="1620" w:firstLine="2712"/>
      <w:spacing w:before="0" w:after="0" w:line="360" w:lineRule="auto"/>
    </w:pPr>
    <w:rPr>
      <w:rFonts w:ascii="Times New Roman" w:hAnsi="Times New Roman" w:cs="Times New Roman"/>
    </w:rPr>
  </w:style>
  <w:style w:type="paragraph" w:styleId="1031" w:customStyle="1">
    <w:name w:val="项目符0"/>
    <w:basedOn w:val="841"/>
    <w:next w:val="1032"/>
    <w:qFormat/>
    <w:pPr>
      <w:ind w:left="300" w:right="57" w:firstLine="2760"/>
      <w:spacing w:before="0" w:after="0" w:line="300" w:lineRule="auto"/>
    </w:pPr>
    <w:rPr>
      <w:rFonts w:ascii="Times New Roman" w:hAnsi="Times New Roman" w:cs="Times New Roman"/>
    </w:rPr>
  </w:style>
  <w:style w:type="paragraph" w:styleId="1032" w:customStyle="1">
    <w:name w:val="宏文本1"/>
    <w:next w:val="1033"/>
    <w:qFormat/>
    <w:pPr>
      <w:ind w:firstLine="5632"/>
      <w:widowControl w:val="off"/>
    </w:pPr>
    <w:rPr>
      <w:rFonts w:ascii="Calibri" w:hAnsi="Calibri" w:cs="宋体"/>
    </w:rPr>
  </w:style>
  <w:style w:type="paragraph" w:styleId="1033" w:customStyle="1">
    <w:name w:val="Item Step in Table"/>
    <w:next w:val="1034"/>
    <w:qFormat/>
    <w:pPr>
      <w:ind w:left="397" w:firstLine="3699"/>
      <w:jc w:val="both"/>
      <w:spacing w:before="40" w:after="40"/>
    </w:pPr>
    <w:rPr>
      <w:rFonts w:ascii="Calibri" w:hAnsi="Calibri" w:cs="宋体"/>
    </w:rPr>
  </w:style>
  <w:style w:type="paragraph" w:styleId="1034" w:customStyle="1">
    <w:name w:val="Char Char Char Char Char Char1 Char Char Char Char Char Char"/>
    <w:basedOn w:val="841"/>
    <w:next w:val="1035"/>
    <w:qFormat/>
    <w:pPr>
      <w:ind w:left="0" w:firstLine="2560"/>
      <w:spacing w:before="0" w:after="0" w:line="240" w:lineRule="auto"/>
    </w:pPr>
    <w:rPr>
      <w:rFonts w:ascii="Times New Roman" w:hAnsi="Times New Roman" w:cs="Times New Roman"/>
    </w:rPr>
  </w:style>
  <w:style w:type="paragraph" w:styleId="1035" w:customStyle="1">
    <w:name w:val="Char Char1"/>
    <w:basedOn w:val="841"/>
    <w:next w:val="1036"/>
    <w:qFormat/>
    <w:pPr>
      <w:ind w:left="0" w:firstLine="3584"/>
      <w:spacing w:before="0" w:after="160" w:line="240" w:lineRule="exact"/>
    </w:pPr>
    <w:rPr>
      <w:rFonts w:ascii="Times New Roman" w:hAnsi="Times New Roman" w:cs="Times New Roman"/>
    </w:rPr>
  </w:style>
  <w:style w:type="paragraph" w:styleId="1036" w:customStyle="1">
    <w:name w:val="样式 标题 3 + 行距: 1.5 倍行距"/>
    <w:basedOn w:val="844"/>
    <w:next w:val="900"/>
    <w:qFormat/>
    <w:pPr>
      <w:ind w:left="200" w:firstLine="18"/>
      <w:spacing w:before="0" w:after="0" w:line="360" w:lineRule="auto"/>
      <w:outlineLvl w:val="2"/>
    </w:pPr>
  </w:style>
  <w:style w:type="paragraph" w:styleId="1037" w:customStyle="1">
    <w:name w:val="xl76"/>
    <w:basedOn w:val="841"/>
    <w:next w:val="897"/>
    <w:qFormat/>
    <w:pPr>
      <w:ind w:left="0" w:firstLine="3584"/>
      <w:jc w:val="center"/>
      <w:spacing w:before="280" w:after="280" w:line="240" w:lineRule="auto"/>
    </w:pPr>
    <w:rPr>
      <w:rFonts w:ascii="Times New Roman" w:hAnsi="Times New Roman" w:cs="Times New Roman"/>
    </w:rPr>
  </w:style>
  <w:style w:type="paragraph" w:styleId="1038" w:customStyle="1">
    <w:name w:val="xl26"/>
    <w:basedOn w:val="841"/>
    <w:next w:val="1039"/>
    <w:qFormat/>
    <w:pPr>
      <w:ind w:left="0" w:firstLine="20"/>
      <w:jc w:val="center"/>
      <w:spacing w:before="280" w:after="280" w:line="240" w:lineRule="auto"/>
      <w:shd w:val="clear" w:color="000000" w:fill="ffffff"/>
    </w:pPr>
    <w:rPr>
      <w:rFonts w:ascii="Times New Roman" w:hAnsi="Times New Roman" w:cs="Times New Roman"/>
    </w:rPr>
  </w:style>
  <w:style w:type="paragraph" w:styleId="1039" w:customStyle="1">
    <w:name w:val="Char1 Char Char"/>
    <w:basedOn w:val="841"/>
    <w:next w:val="880"/>
    <w:qFormat/>
    <w:pPr>
      <w:ind w:left="0" w:firstLine="2560"/>
      <w:spacing w:before="0" w:after="0" w:line="240" w:lineRule="auto"/>
    </w:pPr>
    <w:rPr>
      <w:rFonts w:ascii="Times New Roman" w:hAnsi="Times New Roman" w:cs="Times New Roman"/>
    </w:rPr>
  </w:style>
  <w:style w:type="paragraph" w:styleId="1040" w:customStyle="1">
    <w:name w:val="纯文本2"/>
    <w:basedOn w:val="841"/>
    <w:next w:val="1041"/>
    <w:qFormat/>
    <w:pPr>
      <w:ind w:left="0" w:firstLine="3584"/>
      <w:spacing w:before="0" w:after="0" w:line="240" w:lineRule="auto"/>
    </w:pPr>
    <w:rPr>
      <w:rFonts w:ascii="Times New Roman" w:hAnsi="Times New Roman" w:cs="Times New Roman"/>
    </w:rPr>
  </w:style>
  <w:style w:type="paragraph" w:styleId="1041" w:customStyle="1">
    <w:name w:val="xl69"/>
    <w:basedOn w:val="841"/>
    <w:next w:val="1042"/>
    <w:qFormat/>
    <w:pPr>
      <w:ind w:left="0" w:firstLine="3584"/>
      <w:spacing w:before="280" w:after="280" w:line="240" w:lineRule="auto"/>
    </w:pPr>
    <w:rPr>
      <w:rFonts w:ascii="Times New Roman" w:hAnsi="Times New Roman" w:cs="Times New Roman"/>
    </w:rPr>
  </w:style>
  <w:style w:type="paragraph" w:styleId="1042" w:customStyle="1">
    <w:name w:val="Char Char Char"/>
    <w:basedOn w:val="841"/>
    <w:next w:val="1043"/>
    <w:qFormat/>
    <w:pPr>
      <w:ind w:left="0" w:firstLine="2560"/>
      <w:spacing w:before="0" w:after="0" w:line="240" w:lineRule="auto"/>
    </w:pPr>
    <w:rPr>
      <w:rFonts w:ascii="Times New Roman" w:hAnsi="Times New Roman" w:cs="Times New Roman"/>
    </w:rPr>
  </w:style>
  <w:style w:type="paragraph" w:styleId="1043" w:customStyle="1">
    <w:name w:val="表格"/>
    <w:basedOn w:val="841"/>
    <w:next w:val="1038"/>
    <w:qFormat/>
    <w:pPr>
      <w:ind w:left="0" w:firstLine="2560"/>
      <w:spacing w:before="0" w:after="0" w:line="360" w:lineRule="auto"/>
    </w:pPr>
    <w:rPr>
      <w:rFonts w:ascii="Times New Roman" w:hAnsi="Times New Roman" w:cs="Times New Roman"/>
    </w:rPr>
  </w:style>
  <w:style w:type="paragraph" w:styleId="1044" w:customStyle="1">
    <w:name w:val="xl68"/>
    <w:basedOn w:val="841"/>
    <w:next w:val="1045"/>
    <w:qFormat/>
    <w:pPr>
      <w:ind w:left="100" w:firstLine="5220"/>
      <w:spacing w:before="280" w:after="280" w:line="240" w:lineRule="auto"/>
    </w:pPr>
    <w:rPr>
      <w:rFonts w:ascii="Times New Roman" w:hAnsi="Times New Roman" w:cs="Times New Roman"/>
    </w:rPr>
  </w:style>
  <w:style w:type="paragraph" w:styleId="1045" w:customStyle="1">
    <w:name w:val="Char1"/>
    <w:basedOn w:val="841"/>
    <w:next w:val="1046"/>
    <w:qFormat/>
    <w:pPr>
      <w:ind w:left="0" w:firstLine="2560"/>
      <w:spacing w:before="0" w:after="0" w:line="240" w:lineRule="auto"/>
    </w:pPr>
    <w:rPr>
      <w:rFonts w:ascii="Times New Roman" w:hAnsi="Times New Roman" w:cs="Times New Roman"/>
    </w:rPr>
  </w:style>
  <w:style w:type="paragraph" w:styleId="1046" w:customStyle="1">
    <w:name w:val="需求文档正文样式"/>
    <w:basedOn w:val="841"/>
    <w:next w:val="1047"/>
    <w:qFormat/>
    <w:pPr>
      <w:ind w:left="437" w:firstLine="2741"/>
      <w:spacing w:before="0" w:after="0" w:line="360" w:lineRule="auto"/>
    </w:pPr>
    <w:rPr>
      <w:rFonts w:ascii="Times New Roman" w:hAnsi="Times New Roman" w:cs="Times New Roman"/>
    </w:rPr>
  </w:style>
  <w:style w:type="paragraph" w:styleId="1047" w:customStyle="1">
    <w:name w:val="xl74"/>
    <w:basedOn w:val="841"/>
    <w:next w:val="1048"/>
    <w:qFormat/>
    <w:pPr>
      <w:ind w:left="0" w:firstLine="16"/>
      <w:jc w:val="center"/>
      <w:spacing w:before="280" w:after="280" w:line="240" w:lineRule="auto"/>
      <w:shd w:val="clear" w:color="000000" w:fill="538dd5"/>
    </w:pPr>
    <w:rPr>
      <w:rFonts w:ascii="Times New Roman" w:hAnsi="Times New Roman" w:cs="Times New Roman"/>
    </w:rPr>
  </w:style>
  <w:style w:type="paragraph" w:styleId="1048" w:customStyle="1">
    <w:name w:val="xl88"/>
    <w:basedOn w:val="841"/>
    <w:next w:val="1049"/>
    <w:qFormat/>
    <w:pPr>
      <w:ind w:left="0" w:firstLine="5120"/>
      <w:spacing w:before="280" w:after="280" w:line="240" w:lineRule="auto"/>
    </w:pPr>
    <w:rPr>
      <w:rFonts w:ascii="Times New Roman" w:hAnsi="Times New Roman" w:cs="Times New Roman"/>
    </w:rPr>
  </w:style>
  <w:style w:type="paragraph" w:styleId="1049" w:customStyle="1">
    <w:name w:val="xl70"/>
    <w:basedOn w:val="841"/>
    <w:next w:val="896"/>
    <w:qFormat/>
    <w:pPr>
      <w:ind w:left="0" w:firstLine="1024"/>
      <w:spacing w:before="280" w:after="280" w:line="240" w:lineRule="auto"/>
    </w:pPr>
    <w:rPr>
      <w:rFonts w:ascii="Times New Roman" w:hAnsi="Times New Roman" w:cs="Times New Roman"/>
    </w:rPr>
  </w:style>
  <w:style w:type="paragraph" w:styleId="1050" w:customStyle="1">
    <w:name w:val="文档标题5"/>
    <w:basedOn w:val="846"/>
    <w:next w:val="840"/>
    <w:qFormat/>
    <w:pPr>
      <w:ind w:left="992" w:firstLine="18"/>
      <w:spacing w:before="280" w:after="280" w:line="360" w:lineRule="auto"/>
      <w:outlineLvl w:val="4"/>
    </w:pPr>
  </w:style>
  <w:style w:type="paragraph" w:styleId="1051" w:customStyle="1">
    <w:name w:val="样式 加粗 居中"/>
    <w:basedOn w:val="841"/>
    <w:next w:val="1052"/>
    <w:qFormat/>
    <w:pPr>
      <w:ind w:left="0" w:firstLine="2560"/>
      <w:jc w:val="center"/>
      <w:spacing w:before="0" w:after="0" w:line="360" w:lineRule="auto"/>
    </w:pPr>
    <w:rPr>
      <w:rFonts w:ascii="Times New Roman" w:hAnsi="Times New Roman" w:cs="Times New Roman"/>
    </w:rPr>
  </w:style>
  <w:style w:type="paragraph" w:styleId="1052" w:customStyle="1">
    <w:name w:val="_Style 12"/>
    <w:next w:val="1053"/>
    <w:qFormat/>
    <w:pPr>
      <w:ind w:firstLine="14"/>
      <w:spacing w:line="360" w:lineRule="auto"/>
      <w:shd w:val="clear" w:color="000000" w:fill="000080"/>
    </w:pPr>
    <w:rPr>
      <w:rFonts w:ascii="Calibri" w:hAnsi="Calibri" w:cs="宋体"/>
    </w:rPr>
  </w:style>
  <w:style w:type="paragraph" w:styleId="1053" w:customStyle="1">
    <w:name w:val="正文文本缩进1"/>
    <w:basedOn w:val="841"/>
    <w:next w:val="1054"/>
    <w:qFormat/>
    <w:pPr>
      <w:ind w:left="420" w:firstLine="3584"/>
      <w:spacing w:before="0" w:after="120" w:line="240" w:lineRule="auto"/>
    </w:pPr>
    <w:rPr>
      <w:rFonts w:ascii="Times New Roman" w:hAnsi="Times New Roman" w:cs="Times New Roman"/>
    </w:rPr>
  </w:style>
  <w:style w:type="paragraph" w:styleId="1054" w:customStyle="1">
    <w:name w:val="列表编号 31"/>
    <w:basedOn w:val="841"/>
    <w:next w:val="898"/>
    <w:qFormat/>
    <w:pPr>
      <w:ind w:left="1200" w:firstLine="2712"/>
      <w:spacing w:before="0" w:after="0" w:line="360" w:lineRule="auto"/>
    </w:pPr>
    <w:rPr>
      <w:rFonts w:ascii="Times New Roman" w:hAnsi="Times New Roman" w:cs="Times New Roman"/>
    </w:rPr>
  </w:style>
  <w:style w:type="paragraph" w:styleId="1055" w:customStyle="1">
    <w:name w:val="三号 居中"/>
    <w:basedOn w:val="841"/>
    <w:next w:val="1056"/>
    <w:qFormat/>
    <w:pPr>
      <w:ind w:left="0" w:firstLine="6144"/>
      <w:jc w:val="center"/>
      <w:spacing w:before="0" w:after="0" w:line="360" w:lineRule="auto"/>
    </w:pPr>
    <w:rPr>
      <w:rFonts w:ascii="Times New Roman" w:hAnsi="Times New Roman" w:cs="Times New Roman"/>
    </w:rPr>
  </w:style>
  <w:style w:type="paragraph" w:styleId="1056" w:customStyle="1">
    <w:name w:val="列出段落1"/>
    <w:basedOn w:val="841"/>
    <w:next w:val="1057"/>
    <w:qFormat/>
    <w:pPr>
      <w:ind w:left="420" w:firstLine="3748"/>
      <w:spacing w:before="0" w:after="0" w:line="240" w:lineRule="auto"/>
    </w:pPr>
    <w:rPr>
      <w:rFonts w:ascii="Times New Roman" w:hAnsi="Times New Roman" w:cs="Times New Roman"/>
    </w:rPr>
  </w:style>
  <w:style w:type="paragraph" w:styleId="1057" w:customStyle="1">
    <w:name w:val="Char Char Char Char Char Char1 Char Char Char1 Char Char Char"/>
    <w:basedOn w:val="841"/>
    <w:next w:val="1058"/>
    <w:qFormat/>
    <w:pPr>
      <w:ind w:left="0" w:firstLine="2560"/>
      <w:spacing w:before="0" w:after="0" w:line="240" w:lineRule="auto"/>
    </w:pPr>
    <w:rPr>
      <w:rFonts w:ascii="Times New Roman" w:hAnsi="Times New Roman" w:cs="Times New Roman"/>
    </w:rPr>
  </w:style>
  <w:style w:type="paragraph" w:styleId="1058" w:customStyle="1">
    <w:name w:val="Char Char Char Char Char Char1 Char Char Char1 Char"/>
    <w:basedOn w:val="841"/>
    <w:next w:val="1059"/>
    <w:qFormat/>
    <w:pPr>
      <w:ind w:left="0" w:firstLine="2560"/>
      <w:spacing w:before="0" w:after="0" w:line="240" w:lineRule="auto"/>
    </w:pPr>
    <w:rPr>
      <w:rFonts w:ascii="Times New Roman" w:hAnsi="Times New Roman" w:cs="Times New Roman"/>
    </w:rPr>
  </w:style>
  <w:style w:type="paragraph" w:styleId="1059" w:customStyle="1">
    <w:name w:val="正文符号4"/>
    <w:basedOn w:val="841"/>
    <w:next w:val="1051"/>
    <w:qFormat/>
    <w:pPr>
      <w:ind w:left="0" w:firstLine="5632"/>
      <w:spacing w:before="0" w:after="0" w:line="240" w:lineRule="auto"/>
    </w:pPr>
    <w:rPr>
      <w:rFonts w:ascii="Times New Roman" w:hAnsi="Times New Roman" w:cs="Times New Roman"/>
    </w:rPr>
  </w:style>
  <w:style w:type="paragraph" w:styleId="1060" w:customStyle="1">
    <w:name w:val="加粗（居中）"/>
    <w:next w:val="1061"/>
    <w:qFormat/>
    <w:pPr>
      <w:ind w:firstLine="2560"/>
    </w:pPr>
    <w:rPr>
      <w:rFonts w:ascii="Calibri" w:hAnsi="Calibri" w:cs="宋体"/>
    </w:rPr>
  </w:style>
  <w:style w:type="paragraph" w:styleId="1061" w:customStyle="1">
    <w:name w:val="xl65"/>
    <w:basedOn w:val="841"/>
    <w:next w:val="1021"/>
    <w:qFormat/>
    <w:pPr>
      <w:ind w:left="0" w:firstLine="5120"/>
      <w:spacing w:before="280" w:after="280" w:line="240" w:lineRule="auto"/>
    </w:pPr>
    <w:rPr>
      <w:rFonts w:ascii="Times New Roman" w:hAnsi="Times New Roman" w:cs="Times New Roman"/>
    </w:rPr>
  </w:style>
  <w:style w:type="paragraph" w:styleId="1062" w:customStyle="1">
    <w:name w:val="WPSOffice手动目录 3"/>
    <w:qFormat/>
    <w:pPr>
      <w:ind w:left="400"/>
    </w:pPr>
    <w:rPr>
      <w:rFonts w:ascii="宋体" w:hAnsi="宋体" w:cs="宋体"/>
    </w:rPr>
  </w:style>
  <w:style w:type="paragraph" w:styleId="1063" w:customStyle="1">
    <w:name w:val="xl77"/>
    <w:basedOn w:val="841"/>
    <w:next w:val="1064"/>
    <w:qFormat/>
    <w:pPr>
      <w:ind w:left="0" w:firstLine="3584"/>
      <w:spacing w:before="280" w:after="280" w:line="240" w:lineRule="auto"/>
    </w:pPr>
    <w:rPr>
      <w:rFonts w:ascii="Times New Roman" w:hAnsi="Times New Roman" w:cs="Times New Roman"/>
    </w:rPr>
  </w:style>
  <w:style w:type="paragraph" w:styleId="1064" w:customStyle="1">
    <w:name w:val="Char Char Char1"/>
    <w:basedOn w:val="841"/>
    <w:next w:val="1065"/>
    <w:qFormat/>
    <w:pPr>
      <w:ind w:left="900" w:firstLine="2096"/>
      <w:spacing w:before="0" w:after="0" w:line="240" w:lineRule="auto"/>
    </w:pPr>
    <w:rPr>
      <w:rFonts w:ascii="Times New Roman" w:hAnsi="Times New Roman" w:cs="Times New Roman"/>
    </w:rPr>
  </w:style>
  <w:style w:type="paragraph" w:styleId="1065" w:customStyle="1">
    <w:name w:val="索引 21"/>
    <w:basedOn w:val="841"/>
    <w:next w:val="840"/>
    <w:qFormat/>
    <w:pPr>
      <w:ind w:left="200" w:firstLine="2560"/>
      <w:jc w:val="center"/>
      <w:spacing w:before="0" w:after="0" w:line="360" w:lineRule="auto"/>
    </w:pPr>
    <w:rPr>
      <w:rFonts w:ascii="Times New Roman" w:hAnsi="Times New Roman" w:cs="Times New Roman"/>
    </w:rPr>
  </w:style>
  <w:style w:type="paragraph" w:styleId="1066" w:customStyle="1">
    <w:name w:val="正文（首行缩进 2 字符）"/>
    <w:next w:val="1067"/>
    <w:qFormat/>
    <w:pPr>
      <w:ind w:left="480" w:firstLine="2784"/>
      <w:jc w:val="center"/>
      <w:spacing w:line="300" w:lineRule="auto"/>
    </w:pPr>
    <w:rPr>
      <w:rFonts w:ascii="Calibri" w:hAnsi="Calibri" w:cs="宋体"/>
    </w:rPr>
  </w:style>
  <w:style w:type="paragraph" w:styleId="1067" w:customStyle="1">
    <w:name w:val="xl28"/>
    <w:basedOn w:val="841"/>
    <w:next w:val="1068"/>
    <w:qFormat/>
    <w:pPr>
      <w:ind w:left="0" w:firstLine="20"/>
      <w:spacing w:before="280" w:after="280" w:line="240" w:lineRule="auto"/>
      <w:shd w:val="clear" w:color="000000" w:fill="ffffff"/>
    </w:pPr>
    <w:rPr>
      <w:rFonts w:ascii="Times New Roman" w:hAnsi="Times New Roman" w:cs="Times New Roman"/>
    </w:rPr>
  </w:style>
  <w:style w:type="paragraph" w:styleId="1068" w:customStyle="1">
    <w:name w:val="HTML 预设格式1"/>
    <w:basedOn w:val="841"/>
    <w:next w:val="1069"/>
    <w:qFormat/>
    <w:pPr>
      <w:ind w:left="0" w:firstLine="3584"/>
      <w:spacing w:before="0" w:after="0" w:line="253" w:lineRule="atLeast"/>
    </w:pPr>
    <w:rPr>
      <w:rFonts w:ascii="Times New Roman" w:hAnsi="Times New Roman" w:cs="Times New Roman"/>
    </w:rPr>
  </w:style>
  <w:style w:type="paragraph" w:styleId="1069" w:customStyle="1">
    <w:name w:val="项目符号：一级"/>
    <w:basedOn w:val="841"/>
    <w:next w:val="840"/>
    <w:qFormat/>
    <w:pPr>
      <w:ind w:left="425" w:firstLine="1111"/>
      <w:spacing w:before="0" w:after="0" w:line="360" w:lineRule="auto"/>
    </w:pPr>
    <w:rPr>
      <w:rFonts w:ascii="Times New Roman" w:hAnsi="Times New Roman" w:cs="Times New Roman"/>
    </w:rPr>
  </w:style>
  <w:style w:type="paragraph" w:styleId="1070" w:customStyle="1">
    <w:name w:val="Default"/>
    <w:next w:val="876"/>
    <w:qFormat/>
    <w:pPr>
      <w:ind w:firstLine="5120"/>
      <w:widowControl w:val="off"/>
    </w:pPr>
    <w:rPr>
      <w:rFonts w:ascii="Calibri" w:hAnsi="Calibri" w:cs="宋体"/>
    </w:rPr>
  </w:style>
  <w:style w:type="paragraph" w:styleId="1071" w:customStyle="1">
    <w:name w:val="xl84"/>
    <w:basedOn w:val="841"/>
    <w:next w:val="1072"/>
    <w:qFormat/>
    <w:pPr>
      <w:ind w:left="0" w:firstLine="2048"/>
      <w:jc w:val="center"/>
      <w:spacing w:before="280" w:after="280" w:line="240" w:lineRule="auto"/>
    </w:pPr>
    <w:rPr>
      <w:rFonts w:ascii="Times New Roman" w:hAnsi="Times New Roman" w:cs="Times New Roman"/>
    </w:rPr>
  </w:style>
  <w:style w:type="paragraph" w:styleId="1072" w:customStyle="1">
    <w:name w:val="2-2ji"/>
    <w:basedOn w:val="843"/>
    <w:next w:val="1073"/>
    <w:qFormat/>
    <w:pPr>
      <w:ind w:left="0" w:firstLine="24"/>
      <w:jc w:val="center"/>
      <w:spacing w:before="0" w:after="0" w:line="360" w:lineRule="auto"/>
      <w:outlineLvl w:val="1"/>
    </w:pPr>
  </w:style>
  <w:style w:type="paragraph" w:styleId="1073" w:customStyle="1">
    <w:name w:val="应答文本"/>
    <w:basedOn w:val="841"/>
    <w:next w:val="1074"/>
    <w:qFormat/>
    <w:pPr>
      <w:ind w:left="1296" w:firstLine="2112"/>
      <w:spacing w:before="0" w:after="0" w:line="460" w:lineRule="exact"/>
    </w:pPr>
    <w:rPr>
      <w:rFonts w:ascii="Times New Roman" w:hAnsi="Times New Roman" w:cs="Times New Roman"/>
    </w:rPr>
  </w:style>
  <w:style w:type="paragraph" w:styleId="1074" w:customStyle="1">
    <w:name w:val="引文目录1"/>
    <w:basedOn w:val="841"/>
    <w:next w:val="840"/>
    <w:qFormat/>
    <w:pPr>
      <w:ind w:left="420" w:firstLine="2560"/>
      <w:jc w:val="center"/>
      <w:spacing w:before="0" w:after="0" w:line="360" w:lineRule="auto"/>
    </w:pPr>
    <w:rPr>
      <w:rFonts w:ascii="Times New Roman" w:hAnsi="Times New Roman" w:cs="Times New Roman"/>
    </w:rPr>
  </w:style>
  <w:style w:type="paragraph" w:styleId="1075" w:customStyle="1">
    <w:name w:val="首行缩进"/>
    <w:basedOn w:val="840"/>
    <w:qFormat/>
    <w:pPr>
      <w:ind w:firstLine="480"/>
    </w:pPr>
    <w:rPr>
      <w:rFonts w:ascii="Times New Roman" w:hAnsi="Times New Roman" w:cs="Times New Roman"/>
      <w:lang w:val="zh-CN"/>
    </w:rPr>
  </w:style>
  <w:style w:type="paragraph" w:styleId="1076" w:customStyle="1">
    <w:name w:val="font9"/>
    <w:basedOn w:val="841"/>
    <w:next w:val="1077"/>
    <w:qFormat/>
    <w:pPr>
      <w:ind w:left="0" w:firstLine="7168"/>
      <w:spacing w:before="280" w:after="280" w:line="240" w:lineRule="auto"/>
    </w:pPr>
    <w:rPr>
      <w:rFonts w:ascii="Times New Roman" w:hAnsi="Times New Roman" w:cs="Times New Roman"/>
    </w:rPr>
  </w:style>
  <w:style w:type="paragraph" w:styleId="1077" w:customStyle="1">
    <w:name w:val="样式 标题 3 + (中文) 黑体 小四 非加粗 段前: 7.8 磅 段后: 0 磅 行距: 固定值 20 磅"/>
    <w:basedOn w:val="844"/>
    <w:next w:val="1078"/>
    <w:qFormat/>
    <w:pPr>
      <w:ind w:left="0"/>
      <w:spacing w:before="0" w:after="0" w:line="400" w:lineRule="exact"/>
      <w:outlineLvl w:val="2"/>
    </w:pPr>
  </w:style>
  <w:style w:type="paragraph" w:styleId="1078" w:customStyle="1">
    <w:name w:val="标书正文"/>
    <w:basedOn w:val="841"/>
    <w:next w:val="1079"/>
    <w:qFormat/>
    <w:pPr>
      <w:ind w:left="440" w:right="100" w:firstLine="2760"/>
      <w:spacing w:before="0" w:after="0" w:line="360" w:lineRule="auto"/>
    </w:pPr>
    <w:rPr>
      <w:rFonts w:ascii="Times New Roman" w:hAnsi="Times New Roman" w:cs="Times New Roman"/>
    </w:rPr>
  </w:style>
  <w:style w:type="paragraph" w:styleId="1079" w:customStyle="1">
    <w:name w:val="xl67"/>
    <w:basedOn w:val="841"/>
    <w:next w:val="1080"/>
    <w:qFormat/>
    <w:pPr>
      <w:ind w:left="0" w:firstLine="5120"/>
      <w:spacing w:before="280" w:after="280" w:line="240" w:lineRule="auto"/>
    </w:pPr>
    <w:rPr>
      <w:rFonts w:ascii="Times New Roman" w:hAnsi="Times New Roman" w:cs="Times New Roman"/>
    </w:rPr>
  </w:style>
  <w:style w:type="paragraph" w:styleId="1080" w:customStyle="1">
    <w:name w:val="索引 61"/>
    <w:basedOn w:val="841"/>
    <w:next w:val="840"/>
    <w:qFormat/>
    <w:pPr>
      <w:ind w:left="1000" w:firstLine="2560"/>
      <w:jc w:val="center"/>
      <w:spacing w:before="0" w:after="0" w:line="360" w:lineRule="auto"/>
    </w:pPr>
    <w:rPr>
      <w:rFonts w:ascii="Times New Roman" w:hAnsi="Times New Roman" w:cs="Times New Roman"/>
    </w:rPr>
  </w:style>
  <w:style w:type="paragraph" w:styleId="1081" w:customStyle="1">
    <w:name w:val="目录3"/>
    <w:basedOn w:val="841"/>
    <w:next w:val="840"/>
    <w:qFormat/>
    <w:pPr>
      <w:ind w:left="419" w:firstLine="5283"/>
      <w:spacing w:before="0" w:after="0" w:line="317" w:lineRule="atLeast"/>
    </w:pPr>
    <w:rPr>
      <w:rFonts w:ascii="Times New Roman" w:hAnsi="Times New Roman" w:cs="Times New Roman"/>
    </w:rPr>
  </w:style>
  <w:style w:type="paragraph" w:styleId="1082" w:customStyle="1">
    <w:name w:val="xl90"/>
    <w:basedOn w:val="841"/>
    <w:next w:val="1083"/>
    <w:qFormat/>
    <w:pPr>
      <w:ind w:left="0" w:firstLine="3584"/>
      <w:spacing w:before="280" w:after="280" w:line="240" w:lineRule="auto"/>
    </w:pPr>
    <w:rPr>
      <w:rFonts w:ascii="Times New Roman" w:hAnsi="Times New Roman" w:cs="Times New Roman"/>
    </w:rPr>
  </w:style>
  <w:style w:type="paragraph" w:styleId="1083" w:customStyle="1">
    <w:name w:val="列表框1"/>
    <w:next w:val="1074"/>
    <w:qFormat/>
    <w:pPr>
      <w:ind w:firstLine="2048"/>
      <w:spacing w:line="460" w:lineRule="exact"/>
    </w:pPr>
    <w:rPr>
      <w:rFonts w:ascii="Calibri" w:hAnsi="Calibri" w:cs="宋体"/>
    </w:rPr>
  </w:style>
  <w:style w:type="paragraph" w:styleId="1084" w:customStyle="1">
    <w:name w:val="1ji"/>
    <w:basedOn w:val="842"/>
    <w:next w:val="1063"/>
    <w:qFormat/>
    <w:pPr>
      <w:ind w:left="0" w:firstLine="18"/>
      <w:jc w:val="center"/>
      <w:spacing w:before="0" w:after="0" w:line="240" w:lineRule="auto"/>
      <w:outlineLvl w:val="0"/>
    </w:pPr>
  </w:style>
  <w:style w:type="paragraph" w:styleId="1085" w:customStyle="1">
    <w:name w:val="索引 81"/>
    <w:basedOn w:val="841"/>
    <w:next w:val="840"/>
    <w:qFormat/>
    <w:pPr>
      <w:ind w:left="1400" w:firstLine="2560"/>
      <w:jc w:val="center"/>
      <w:spacing w:before="0" w:after="0" w:line="360" w:lineRule="auto"/>
    </w:pPr>
    <w:rPr>
      <w:rFonts w:ascii="Times New Roman" w:hAnsi="Times New Roman" w:cs="Times New Roman"/>
    </w:rPr>
  </w:style>
  <w:style w:type="paragraph" w:styleId="1086" w:customStyle="1">
    <w:name w:val="正文1"/>
    <w:basedOn w:val="840"/>
    <w:next w:val="840"/>
    <w:qFormat/>
    <w:pPr>
      <w:spacing w:line="312" w:lineRule="atLeast"/>
    </w:pPr>
    <w:rPr>
      <w:rFonts w:ascii="楷体_GB2312" w:hAnsi="Times New Roman" w:eastAsia="楷体_GB2312" w:cs="Times New Roman"/>
      <w:sz w:val="24"/>
    </w:rPr>
  </w:style>
  <w:style w:type="paragraph" w:styleId="1087" w:customStyle="1">
    <w:name w:val="Char Char Char Char Char Char1 Char Char Char1 Char Char Char Char Char Char Char Char Char Char Char Char Char Char Char Char Char Char"/>
    <w:basedOn w:val="841"/>
    <w:next w:val="1088"/>
    <w:qFormat/>
    <w:pPr>
      <w:ind w:left="0" w:firstLine="2560"/>
      <w:spacing w:before="0" w:after="0" w:line="240" w:lineRule="auto"/>
    </w:pPr>
    <w:rPr>
      <w:rFonts w:ascii="Times New Roman" w:hAnsi="Times New Roman" w:cs="Times New Roman"/>
    </w:rPr>
  </w:style>
  <w:style w:type="paragraph" w:styleId="1088" w:customStyle="1">
    <w:name w:val="样式 加粗 居中11"/>
    <w:basedOn w:val="841"/>
    <w:next w:val="1089"/>
    <w:qFormat/>
    <w:pPr>
      <w:ind w:left="0" w:firstLine="2560"/>
      <w:jc w:val="center"/>
      <w:spacing w:before="0" w:after="0" w:line="360" w:lineRule="auto"/>
    </w:pPr>
    <w:rPr>
      <w:rFonts w:ascii="Times New Roman" w:hAnsi="Times New Roman" w:cs="Times New Roman"/>
    </w:rPr>
  </w:style>
  <w:style w:type="paragraph" w:styleId="1089" w:customStyle="1">
    <w:name w:val="xl89"/>
    <w:basedOn w:val="841"/>
    <w:next w:val="1090"/>
    <w:qFormat/>
    <w:pPr>
      <w:ind w:left="0" w:firstLine="3584"/>
      <w:spacing w:before="280" w:after="280" w:line="240" w:lineRule="auto"/>
    </w:pPr>
    <w:rPr>
      <w:rFonts w:ascii="Times New Roman" w:hAnsi="Times New Roman" w:cs="Times New Roman"/>
    </w:rPr>
  </w:style>
  <w:style w:type="paragraph" w:styleId="1090" w:customStyle="1">
    <w:name w:val="Char Char Char Char Char Char1 Char Char Char Char Char Char1 Char Char Char Char Char Char Char Char Char"/>
    <w:basedOn w:val="841"/>
    <w:next w:val="1091"/>
    <w:qFormat/>
    <w:pPr>
      <w:ind w:left="0" w:firstLine="2560"/>
      <w:spacing w:before="0" w:after="0" w:line="240" w:lineRule="auto"/>
    </w:pPr>
    <w:rPr>
      <w:rFonts w:ascii="Times New Roman" w:hAnsi="Times New Roman" w:cs="Times New Roman"/>
    </w:rPr>
  </w:style>
  <w:style w:type="paragraph" w:styleId="1091" w:customStyle="1">
    <w:name w:val="文章附标题"/>
    <w:basedOn w:val="841"/>
    <w:next w:val="841"/>
    <w:qFormat/>
    <w:pPr>
      <w:ind w:left="0" w:firstLine="5120"/>
      <w:jc w:val="center"/>
      <w:spacing w:before="187" w:after="175" w:line="374" w:lineRule="atLeast"/>
    </w:pPr>
    <w:rPr>
      <w:rFonts w:ascii="Times New Roman" w:hAnsi="Times New Roman" w:cs="Times New Roman"/>
    </w:rPr>
  </w:style>
  <w:style w:type="paragraph" w:styleId="1092">
    <w:name w:val="Quote"/>
    <w:next w:val="840"/>
    <w:qFormat/>
    <w:pPr>
      <w:ind w:left="3680" w:right="864"/>
      <w:jc w:val="center"/>
      <w:spacing w:before="200" w:after="160"/>
    </w:pPr>
    <w:rPr>
      <w:rFonts w:ascii="Calibri" w:hAnsi="Calibri" w:cs="宋体"/>
      <w:i/>
    </w:rPr>
  </w:style>
  <w:style w:type="paragraph" w:styleId="1093" w:customStyle="1">
    <w:name w:val="Default Paragraph Font Para Char Char Char Char Char Char"/>
    <w:basedOn w:val="841"/>
    <w:next w:val="1094"/>
    <w:qFormat/>
    <w:pPr>
      <w:ind w:left="0" w:firstLine="3584"/>
      <w:spacing w:before="0" w:after="160" w:line="240" w:lineRule="exact"/>
    </w:pPr>
    <w:rPr>
      <w:rFonts w:ascii="Times New Roman" w:hAnsi="Times New Roman" w:cs="Times New Roman"/>
    </w:rPr>
  </w:style>
  <w:style w:type="paragraph" w:styleId="1094" w:customStyle="1">
    <w:name w:val="xl23"/>
    <w:basedOn w:val="841"/>
    <w:next w:val="878"/>
    <w:qFormat/>
    <w:pPr>
      <w:ind w:left="0" w:firstLine="20"/>
      <w:spacing w:before="280" w:after="280" w:line="240" w:lineRule="auto"/>
      <w:shd w:val="clear" w:color="000000" w:fill="ffffff"/>
    </w:pPr>
    <w:rPr>
      <w:rFonts w:ascii="Times New Roman" w:hAnsi="Times New Roman" w:cs="Times New Roman"/>
    </w:rPr>
  </w:style>
  <w:style w:type="paragraph" w:styleId="1095" w:customStyle="1">
    <w:name w:val="列出段落11"/>
    <w:basedOn w:val="841"/>
    <w:next w:val="1096"/>
    <w:qFormat/>
    <w:pPr>
      <w:ind w:left="420" w:firstLine="3748"/>
      <w:spacing w:before="0" w:after="0" w:line="240" w:lineRule="auto"/>
    </w:pPr>
    <w:rPr>
      <w:rFonts w:ascii="Times New Roman" w:hAnsi="Times New Roman" w:cs="Times New Roman"/>
    </w:rPr>
  </w:style>
  <w:style w:type="paragraph" w:styleId="1096" w:customStyle="1">
    <w:name w:val="样式 标题 2 + (西文) 宋体 非加粗 居中"/>
    <w:basedOn w:val="843"/>
    <w:next w:val="1097"/>
    <w:qFormat/>
    <w:pPr>
      <w:ind w:left="0" w:firstLine="24"/>
      <w:jc w:val="center"/>
      <w:spacing w:line="412" w:lineRule="auto"/>
      <w:outlineLvl w:val="1"/>
    </w:pPr>
  </w:style>
  <w:style w:type="paragraph" w:styleId="1097" w:customStyle="1">
    <w:name w:val="页脚 Char Char"/>
    <w:basedOn w:val="841"/>
    <w:next w:val="1098"/>
    <w:qFormat/>
    <w:pPr>
      <w:ind w:left="0" w:firstLine="5120"/>
      <w:spacing w:before="0" w:after="0" w:line="240" w:lineRule="auto"/>
    </w:pPr>
    <w:rPr>
      <w:rFonts w:ascii="Times New Roman" w:hAnsi="Times New Roman" w:cs="Times New Roman"/>
    </w:rPr>
  </w:style>
  <w:style w:type="paragraph" w:styleId="1098" w:customStyle="1">
    <w:name w:val="样式 标题 1 + 段前: 16 磅 段后: 16 磅"/>
    <w:basedOn w:val="842"/>
    <w:next w:val="1099"/>
    <w:qFormat/>
    <w:pPr>
      <w:ind w:left="0" w:firstLine="18"/>
      <w:jc w:val="center"/>
      <w:spacing w:before="120" w:after="0" w:line="360" w:lineRule="auto"/>
      <w:outlineLvl w:val="0"/>
    </w:pPr>
  </w:style>
  <w:style w:type="paragraph" w:styleId="1099" w:customStyle="1">
    <w:name w:val="Char1 Char Char Char Char Char Char"/>
    <w:basedOn w:val="841"/>
    <w:next w:val="1100"/>
    <w:qFormat/>
    <w:pPr>
      <w:ind w:left="0" w:firstLine="2560"/>
      <w:spacing w:before="0" w:after="0" w:line="240" w:lineRule="auto"/>
    </w:pPr>
    <w:rPr>
      <w:rFonts w:ascii="Times New Roman" w:hAnsi="Times New Roman" w:cs="Times New Roman"/>
    </w:rPr>
  </w:style>
  <w:style w:type="paragraph" w:styleId="1100" w:customStyle="1">
    <w:name w:val="文档标题4"/>
    <w:basedOn w:val="845"/>
    <w:next w:val="840"/>
    <w:qFormat/>
    <w:pPr>
      <w:ind w:left="851" w:firstLine="30"/>
      <w:spacing w:after="280" w:line="360" w:lineRule="auto"/>
      <w:outlineLvl w:val="3"/>
    </w:pPr>
  </w:style>
  <w:style w:type="paragraph" w:styleId="1101" w:customStyle="1">
    <w:name w:val="font0"/>
    <w:basedOn w:val="841"/>
    <w:next w:val="1076"/>
    <w:qFormat/>
    <w:pPr>
      <w:ind w:left="0" w:firstLine="1024"/>
      <w:spacing w:before="280" w:after="280" w:line="240" w:lineRule="auto"/>
    </w:pPr>
    <w:rPr>
      <w:rFonts w:ascii="Times New Roman" w:hAnsi="Times New Roman" w:cs="Times New Roman"/>
    </w:rPr>
  </w:style>
  <w:style w:type="paragraph" w:styleId="1102" w:customStyle="1">
    <w:name w:val="CM5"/>
    <w:basedOn w:val="841"/>
    <w:next w:val="840"/>
    <w:qFormat/>
    <w:pPr>
      <w:ind w:left="200" w:firstLine="2760"/>
      <w:spacing w:before="0" w:after="0" w:line="400" w:lineRule="atLeast"/>
    </w:pPr>
    <w:rPr>
      <w:rFonts w:ascii="Times New Roman" w:hAnsi="Times New Roman" w:cs="Times New Roman"/>
    </w:rPr>
  </w:style>
  <w:style w:type="paragraph" w:styleId="1103" w:customStyle="1">
    <w:name w:val="Pa0"/>
    <w:basedOn w:val="841"/>
    <w:next w:val="840"/>
    <w:qFormat/>
    <w:pPr>
      <w:ind w:left="0" w:firstLine="4608"/>
      <w:spacing w:before="0" w:after="0" w:line="241" w:lineRule="atLeast"/>
    </w:pPr>
    <w:rPr>
      <w:rFonts w:ascii="Times New Roman" w:hAnsi="Times New Roman" w:cs="Times New Roman"/>
    </w:rPr>
  </w:style>
  <w:style w:type="paragraph" w:styleId="1104" w:customStyle="1">
    <w:name w:val="招标文件》"/>
    <w:basedOn w:val="841"/>
    <w:next w:val="1040"/>
    <w:qFormat/>
    <w:pPr>
      <w:ind w:left="420" w:firstLine="2140"/>
      <w:spacing w:before="120" w:after="120" w:line="300" w:lineRule="auto"/>
    </w:pPr>
    <w:rPr>
      <w:rFonts w:ascii="Times New Roman" w:hAnsi="Times New Roman" w:cs="Times New Roman"/>
    </w:rPr>
  </w:style>
  <w:style w:type="paragraph" w:styleId="1105" w:customStyle="1">
    <w:name w:val="段"/>
    <w:next w:val="840"/>
    <w:qFormat/>
    <w:pPr>
      <w:ind w:firstLine="200"/>
      <w:jc w:val="both"/>
      <w:spacing w:line="360" w:lineRule="auto"/>
    </w:pPr>
    <w:rPr>
      <w:rFonts w:ascii="宋体" w:hAnsi="宋体" w:cs="宋体"/>
      <w:sz w:val="24"/>
      <w:szCs w:val="22"/>
    </w:rPr>
  </w:style>
  <w:style w:type="paragraph" w:styleId="1106" w:customStyle="1">
    <w:name w:val="标书_正文"/>
    <w:basedOn w:val="841"/>
    <w:next w:val="1107"/>
    <w:qFormat/>
    <w:pPr>
      <w:ind w:left="420" w:firstLine="1188"/>
      <w:spacing w:before="0" w:after="0" w:line="360" w:lineRule="auto"/>
    </w:pPr>
    <w:rPr>
      <w:rFonts w:ascii="Times New Roman" w:hAnsi="Times New Roman" w:cs="Times New Roman"/>
    </w:rPr>
  </w:style>
  <w:style w:type="paragraph" w:styleId="1107" w:customStyle="1">
    <w:name w:val="样式 标题 2 + Times New Roman 四号 非加粗 段前: 5 磅 段后: 0 磅 行距: 固定值 20..."/>
    <w:basedOn w:val="843"/>
    <w:next w:val="1055"/>
    <w:qFormat/>
    <w:pPr>
      <w:ind w:left="0" w:firstLine="24"/>
      <w:spacing w:before="100" w:after="0" w:line="400" w:lineRule="exact"/>
      <w:outlineLvl w:val="1"/>
    </w:pPr>
  </w:style>
  <w:style w:type="paragraph" w:styleId="1108" w:customStyle="1">
    <w:name w:val="图片0"/>
    <w:basedOn w:val="841"/>
    <w:next w:val="890"/>
    <w:qFormat/>
    <w:pPr>
      <w:ind w:left="-161" w:firstLine="1187"/>
      <w:spacing w:before="0" w:after="0" w:line="276" w:lineRule="auto"/>
    </w:pPr>
    <w:rPr>
      <w:rFonts w:ascii="Times New Roman" w:hAnsi="Times New Roman" w:cs="Times New Roman"/>
    </w:rPr>
  </w:style>
  <w:style w:type="paragraph" w:styleId="1109" w:customStyle="1">
    <w:name w:val="Char Char Char2 Char Char Char2 Char"/>
    <w:basedOn w:val="841"/>
    <w:next w:val="1081"/>
    <w:qFormat/>
    <w:pPr>
      <w:ind w:left="560" w:firstLine="3632"/>
      <w:spacing w:before="0" w:after="160" w:line="240" w:lineRule="exact"/>
    </w:pPr>
    <w:rPr>
      <w:rFonts w:ascii="Times New Roman" w:hAnsi="Times New Roman" w:cs="Times New Roman"/>
    </w:rPr>
  </w:style>
  <w:style w:type="paragraph" w:styleId="1110" w:customStyle="1">
    <w:name w:val="Char Char Char Char"/>
    <w:next w:val="1111"/>
    <w:qFormat/>
    <w:pPr>
      <w:ind w:firstLine="10"/>
      <w:spacing w:line="360" w:lineRule="auto"/>
      <w:shd w:val="clear" w:color="000000" w:fill="000080"/>
    </w:pPr>
    <w:rPr>
      <w:rFonts w:ascii="Calibri" w:hAnsi="Calibri" w:cs="宋体"/>
    </w:rPr>
  </w:style>
  <w:style w:type="paragraph" w:styleId="1111" w:customStyle="1">
    <w:name w:val="杨昂超式样黑体主"/>
    <w:basedOn w:val="841"/>
    <w:next w:val="1112"/>
    <w:qFormat/>
    <w:pPr>
      <w:ind w:left="0" w:firstLine="4608"/>
      <w:spacing w:before="0" w:after="0" w:line="240" w:lineRule="auto"/>
    </w:pPr>
    <w:rPr>
      <w:rFonts w:ascii="Times New Roman" w:hAnsi="Times New Roman" w:cs="Times New Roman"/>
    </w:rPr>
  </w:style>
  <w:style w:type="paragraph" w:styleId="1112" w:customStyle="1">
    <w:name w:val="Char Char Char Char Char Char1 Char Char Char Char Char Char Char Char Char Char"/>
    <w:basedOn w:val="841"/>
    <w:next w:val="1113"/>
    <w:qFormat/>
    <w:pPr>
      <w:ind w:left="0" w:firstLine="2560"/>
      <w:spacing w:before="0" w:after="0" w:line="240" w:lineRule="auto"/>
    </w:pPr>
    <w:rPr>
      <w:rFonts w:ascii="Times New Roman" w:hAnsi="Times New Roman" w:cs="Times New Roman"/>
    </w:rPr>
  </w:style>
  <w:style w:type="paragraph" w:styleId="1113" w:customStyle="1">
    <w:name w:val="目录1"/>
    <w:basedOn w:val="841"/>
    <w:next w:val="840"/>
    <w:qFormat/>
    <w:pPr>
      <w:ind w:left="0" w:firstLine="7168"/>
      <w:spacing w:before="0" w:after="136" w:line="289" w:lineRule="atLeast"/>
    </w:pPr>
    <w:rPr>
      <w:rFonts w:ascii="Times New Roman" w:hAnsi="Times New Roman" w:cs="Times New Roman"/>
    </w:rPr>
  </w:style>
  <w:style w:type="paragraph" w:styleId="1114" w:customStyle="1">
    <w:name w:val="文档结构图1"/>
    <w:basedOn w:val="841"/>
    <w:next w:val="1115"/>
    <w:qFormat/>
    <w:pPr>
      <w:ind w:left="200" w:firstLine="2248"/>
      <w:spacing w:before="0" w:after="0" w:line="360" w:lineRule="auto"/>
    </w:pPr>
    <w:rPr>
      <w:rFonts w:ascii="Times New Roman" w:hAnsi="Times New Roman" w:cs="Times New Roman"/>
    </w:rPr>
  </w:style>
  <w:style w:type="paragraph" w:styleId="1115" w:customStyle="1">
    <w:name w:val="2ji"/>
    <w:basedOn w:val="843"/>
    <w:next w:val="884"/>
    <w:qFormat/>
    <w:pPr>
      <w:ind w:left="0" w:firstLine="24"/>
      <w:spacing w:before="0" w:after="0" w:line="360" w:lineRule="auto"/>
      <w:outlineLvl w:val="1"/>
    </w:pPr>
  </w:style>
  <w:style w:type="paragraph" w:styleId="1116" w:customStyle="1">
    <w:name w:val="xl91"/>
    <w:basedOn w:val="841"/>
    <w:next w:val="1037"/>
    <w:qFormat/>
    <w:pPr>
      <w:ind w:left="0" w:firstLine="3584"/>
      <w:spacing w:before="280" w:after="280" w:line="240" w:lineRule="auto"/>
    </w:pPr>
    <w:rPr>
      <w:rFonts w:ascii="Times New Roman" w:hAnsi="Times New Roman" w:cs="Times New Roman"/>
    </w:rPr>
  </w:style>
  <w:style w:type="paragraph" w:styleId="1117" w:customStyle="1">
    <w:name w:val="Text Body"/>
    <w:basedOn w:val="841"/>
    <w:next w:val="1118"/>
    <w:qFormat/>
    <w:pPr>
      <w:ind w:left="0" w:firstLine="4096"/>
      <w:spacing w:before="0" w:after="120" w:line="240" w:lineRule="auto"/>
    </w:pPr>
    <w:rPr>
      <w:rFonts w:ascii="Times New Roman" w:hAnsi="Times New Roman" w:cs="Times New Roman"/>
    </w:rPr>
  </w:style>
  <w:style w:type="paragraph" w:styleId="1118" w:customStyle="1">
    <w:name w:val="项目符1"/>
    <w:basedOn w:val="841"/>
    <w:next w:val="1119"/>
    <w:qFormat/>
    <w:pPr>
      <w:ind w:left="1365" w:right="100" w:firstLine="2728"/>
      <w:spacing w:before="78" w:after="78" w:line="300" w:lineRule="auto"/>
    </w:pPr>
    <w:rPr>
      <w:rFonts w:ascii="Times New Roman" w:hAnsi="Times New Roman" w:cs="Times New Roman"/>
    </w:rPr>
  </w:style>
  <w:style w:type="paragraph" w:styleId="1119" w:customStyle="1">
    <w:name w:val="引文目录标题1"/>
    <w:basedOn w:val="841"/>
    <w:next w:val="840"/>
    <w:qFormat/>
    <w:pPr>
      <w:ind w:left="0" w:firstLine="4608"/>
      <w:jc w:val="center"/>
      <w:spacing w:before="120" w:after="0" w:line="360" w:lineRule="auto"/>
    </w:pPr>
    <w:rPr>
      <w:rFonts w:ascii="Times New Roman" w:hAnsi="Times New Roman" w:cs="Times New Roman"/>
    </w:rPr>
  </w:style>
  <w:style w:type="paragraph" w:styleId="1120" w:customStyle="1">
    <w:name w:val="样式 标题 3 + (西文) 黑体 (中文) 黑体 (符号) 宋体 小四 段前: 5 磅 段后: 5 磅 行距: 1..."/>
    <w:basedOn w:val="844"/>
    <w:next w:val="1121"/>
    <w:qFormat/>
    <w:pPr>
      <w:ind w:left="1429" w:firstLine="18"/>
      <w:spacing w:before="100" w:after="100" w:line="360" w:lineRule="auto"/>
      <w:outlineLvl w:val="2"/>
    </w:pPr>
  </w:style>
  <w:style w:type="paragraph" w:styleId="1121" w:customStyle="1">
    <w:name w:val="xl22"/>
    <w:basedOn w:val="841"/>
    <w:next w:val="1122"/>
    <w:qFormat/>
    <w:pPr>
      <w:ind w:left="0" w:firstLine="20"/>
      <w:jc w:val="right"/>
      <w:spacing w:before="280" w:after="280" w:line="240" w:lineRule="auto"/>
      <w:shd w:val="clear" w:color="000000" w:fill="ffffff"/>
    </w:pPr>
    <w:rPr>
      <w:rFonts w:ascii="Times New Roman" w:hAnsi="Times New Roman" w:cs="Times New Roman"/>
    </w:rPr>
  </w:style>
  <w:style w:type="paragraph" w:styleId="1122" w:customStyle="1">
    <w:name w:val="自定义一"/>
    <w:basedOn w:val="841"/>
    <w:next w:val="840"/>
    <w:qFormat/>
    <w:pPr>
      <w:ind w:left="0"/>
      <w:spacing w:before="0" w:after="0" w:line="360" w:lineRule="auto"/>
    </w:pPr>
    <w:rPr>
      <w:rFonts w:ascii="Times New Roman" w:hAnsi="Times New Roman" w:cs="Times New Roman"/>
    </w:rPr>
  </w:style>
  <w:style w:type="paragraph" w:styleId="1123" w:customStyle="1">
    <w:name w:val="xl78"/>
    <w:basedOn w:val="841"/>
    <w:next w:val="1124"/>
    <w:qFormat/>
    <w:pPr>
      <w:ind w:left="0" w:firstLine="3584"/>
      <w:jc w:val="center"/>
      <w:spacing w:before="280" w:after="280" w:line="240" w:lineRule="auto"/>
    </w:pPr>
    <w:rPr>
      <w:rFonts w:ascii="Times New Roman" w:hAnsi="Times New Roman" w:cs="Times New Roman"/>
    </w:rPr>
  </w:style>
  <w:style w:type="paragraph" w:styleId="1124" w:customStyle="1">
    <w:name w:val="段落正文"/>
    <w:next w:val="1066"/>
    <w:qFormat/>
    <w:pPr>
      <w:ind w:firstLine="4608"/>
      <w:jc w:val="center"/>
      <w:spacing w:line="360" w:lineRule="auto"/>
    </w:pPr>
    <w:rPr>
      <w:rFonts w:ascii="Calibri" w:hAnsi="Calibri" w:cs="宋体"/>
    </w:rPr>
  </w:style>
  <w:style w:type="paragraph" w:styleId="1125" w:customStyle="1">
    <w:name w:val="_Style 169"/>
    <w:next w:val="840"/>
    <w:qFormat/>
    <w:pPr>
      <w:ind w:left="2560"/>
    </w:pPr>
    <w:rPr>
      <w:rFonts w:ascii="Calibri" w:hAnsi="Calibri" w:cs="宋体"/>
    </w:rPr>
  </w:style>
  <w:style w:type="paragraph" w:styleId="1126" w:customStyle="1">
    <w:name w:val="样式 小四 行距: 1.5 倍行距 首行缩进:  2 字符"/>
    <w:basedOn w:val="841"/>
    <w:next w:val="1071"/>
    <w:qFormat/>
    <w:pPr>
      <w:ind w:left="480" w:firstLine="2784"/>
      <w:spacing w:before="0" w:after="0" w:line="360" w:lineRule="auto"/>
    </w:pPr>
    <w:rPr>
      <w:rFonts w:ascii="Times New Roman" w:hAnsi="Times New Roman" w:cs="Times New Roman"/>
    </w:rPr>
  </w:style>
  <w:style w:type="paragraph" w:styleId="1127" w:customStyle="1">
    <w:name w:val="小节标题"/>
    <w:basedOn w:val="841"/>
    <w:next w:val="840"/>
    <w:qFormat/>
    <w:pPr>
      <w:ind w:left="0" w:firstLine="7168"/>
      <w:spacing w:before="175" w:after="102" w:line="351" w:lineRule="atLeast"/>
    </w:pPr>
    <w:rPr>
      <w:rFonts w:ascii="Times New Roman" w:hAnsi="Times New Roman" w:cs="Times New Roman"/>
    </w:rPr>
  </w:style>
  <w:style w:type="paragraph" w:styleId="1128" w:customStyle="1">
    <w:name w:val="TOC 标题2"/>
    <w:basedOn w:val="841"/>
    <w:next w:val="84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29" w:customStyle="1">
    <w:name w:val="表格文字（两侧对齐）"/>
    <w:basedOn w:val="841"/>
    <w:next w:val="1130"/>
    <w:qFormat/>
    <w:pPr>
      <w:ind w:left="0" w:firstLine="3584"/>
      <w:spacing w:before="0" w:after="0" w:line="240" w:lineRule="auto"/>
    </w:pPr>
    <w:rPr>
      <w:rFonts w:ascii="Times New Roman" w:hAnsi="Times New Roman" w:cs="Times New Roman"/>
    </w:rPr>
  </w:style>
  <w:style w:type="paragraph" w:styleId="1130" w:customStyle="1">
    <w:name w:val="Char"/>
    <w:basedOn w:val="841"/>
    <w:next w:val="1109"/>
    <w:qFormat/>
    <w:pPr>
      <w:ind w:left="900" w:firstLine="2608"/>
      <w:spacing w:before="0" w:after="0" w:line="240" w:lineRule="auto"/>
    </w:pPr>
    <w:rPr>
      <w:rFonts w:ascii="Times New Roman" w:hAnsi="Times New Roman" w:cs="Times New Roman"/>
    </w:rPr>
  </w:style>
  <w:style w:type="paragraph" w:styleId="1131" w:customStyle="1">
    <w:name w:val="xl86"/>
    <w:basedOn w:val="841"/>
    <w:next w:val="1132"/>
    <w:qFormat/>
    <w:pPr>
      <w:ind w:left="0" w:firstLine="5120"/>
      <w:spacing w:before="280" w:after="280" w:line="240" w:lineRule="auto"/>
    </w:pPr>
    <w:rPr>
      <w:rFonts w:ascii="Times New Roman" w:hAnsi="Times New Roman" w:cs="Times New Roman"/>
    </w:rPr>
  </w:style>
  <w:style w:type="paragraph" w:styleId="1132" w:customStyle="1">
    <w:name w:val="索引 71"/>
    <w:basedOn w:val="841"/>
    <w:next w:val="840"/>
    <w:qFormat/>
    <w:pPr>
      <w:ind w:left="1200" w:firstLine="2560"/>
      <w:jc w:val="center"/>
      <w:spacing w:before="0" w:after="0" w:line="360" w:lineRule="auto"/>
    </w:pPr>
    <w:rPr>
      <w:rFonts w:ascii="Times New Roman" w:hAnsi="Times New Roman" w:cs="Times New Roman"/>
    </w:rPr>
  </w:style>
  <w:style w:type="paragraph" w:styleId="1133" w:customStyle="1">
    <w:name w:val="111"/>
    <w:next w:val="1134"/>
    <w:qFormat/>
    <w:pPr>
      <w:ind w:left="480" w:firstLine="4320"/>
      <w:spacing w:line="440" w:lineRule="exact"/>
    </w:pPr>
    <w:rPr>
      <w:rFonts w:ascii="Calibri" w:hAnsi="Calibri" w:cs="宋体"/>
    </w:rPr>
  </w:style>
  <w:style w:type="paragraph" w:styleId="1134" w:customStyle="1">
    <w:name w:val="4"/>
    <w:basedOn w:val="841"/>
    <w:next w:val="868"/>
    <w:qFormat/>
    <w:pPr>
      <w:ind w:left="409" w:firstLine="3737"/>
      <w:spacing w:before="0" w:after="0" w:line="420" w:lineRule="exact"/>
    </w:pPr>
    <w:rPr>
      <w:rFonts w:ascii="Times New Roman" w:hAnsi="Times New Roman" w:cs="Times New Roman"/>
    </w:rPr>
  </w:style>
  <w:style w:type="paragraph" w:styleId="1135" w:customStyle="1">
    <w:name w:val="Char Char Char Char Char Char1 Char Char Char1 Char Char Char Char Char Char"/>
    <w:basedOn w:val="841"/>
    <w:next w:val="1120"/>
    <w:qFormat/>
    <w:pPr>
      <w:ind w:left="0" w:firstLine="2560"/>
      <w:spacing w:before="0" w:after="0" w:line="240" w:lineRule="auto"/>
    </w:pPr>
    <w:rPr>
      <w:rFonts w:ascii="Times New Roman" w:hAnsi="Times New Roman" w:cs="Times New Roman"/>
    </w:rPr>
  </w:style>
  <w:style w:type="paragraph" w:styleId="1136" w:customStyle="1">
    <w:name w:val="Char Char Char Char Char Char1 Char Char Char Char Char Char1 Char Char Char"/>
    <w:basedOn w:val="841"/>
    <w:next w:val="1137"/>
    <w:qFormat/>
    <w:pPr>
      <w:ind w:left="0" w:firstLine="2560"/>
      <w:spacing w:before="0" w:after="0" w:line="240" w:lineRule="auto"/>
    </w:pPr>
    <w:rPr>
      <w:rFonts w:ascii="Times New Roman" w:hAnsi="Times New Roman" w:cs="Times New Roman"/>
    </w:rPr>
  </w:style>
  <w:style w:type="paragraph" w:styleId="1137" w:customStyle="1">
    <w:name w:val="正文符号1"/>
    <w:basedOn w:val="841"/>
    <w:next w:val="1138"/>
    <w:qFormat/>
    <w:pPr>
      <w:ind w:left="987" w:firstLine="5724"/>
      <w:spacing w:before="0" w:after="0" w:line="240" w:lineRule="auto"/>
    </w:pPr>
    <w:rPr>
      <w:rFonts w:ascii="Times New Roman" w:hAnsi="Times New Roman" w:cs="Times New Roman"/>
    </w:rPr>
  </w:style>
  <w:style w:type="paragraph" w:styleId="1138" w:customStyle="1">
    <w:name w:val="索引 31"/>
    <w:basedOn w:val="841"/>
    <w:next w:val="840"/>
    <w:qFormat/>
    <w:pPr>
      <w:ind w:left="400" w:firstLine="2560"/>
      <w:jc w:val="center"/>
      <w:spacing w:before="0" w:after="0" w:line="360" w:lineRule="auto"/>
    </w:pPr>
    <w:rPr>
      <w:rFonts w:ascii="Times New Roman" w:hAnsi="Times New Roman" w:cs="Times New Roman"/>
    </w:rPr>
  </w:style>
  <w:style w:type="paragraph" w:styleId="1139" w:customStyle="1">
    <w:name w:val="目录4"/>
    <w:basedOn w:val="841"/>
    <w:next w:val="840"/>
    <w:qFormat/>
    <w:pPr>
      <w:ind w:left="629" w:firstLine="5237"/>
      <w:spacing w:before="0" w:after="0" w:line="317" w:lineRule="atLeast"/>
    </w:pPr>
    <w:rPr>
      <w:rFonts w:ascii="Times New Roman" w:hAnsi="Times New Roman" w:cs="Times New Roman"/>
    </w:rPr>
  </w:style>
  <w:style w:type="paragraph" w:styleId="1140" w:customStyle="1">
    <w:name w:val="p15"/>
    <w:basedOn w:val="840"/>
    <w:qFormat/>
    <w:pPr>
      <w:ind w:left="0"/>
    </w:pPr>
    <w:rPr>
      <w:rFonts w:ascii="宋体" w:hAnsi="宋体"/>
      <w:sz w:val="28"/>
      <w:szCs w:val="28"/>
    </w:rPr>
  </w:style>
  <w:style w:type="paragraph" w:styleId="1141" w:customStyle="1">
    <w:name w:val="四号 居中"/>
    <w:basedOn w:val="841"/>
    <w:next w:val="1135"/>
    <w:qFormat/>
    <w:pPr>
      <w:ind w:left="0" w:firstLine="6144"/>
      <w:jc w:val="center"/>
      <w:spacing w:before="0" w:after="0" w:line="360" w:lineRule="auto"/>
    </w:pPr>
    <w:rPr>
      <w:rFonts w:ascii="Times New Roman" w:hAnsi="Times New Roman" w:cs="Times New Roman"/>
    </w:rPr>
  </w:style>
  <w:style w:type="paragraph" w:styleId="1142" w:customStyle="1">
    <w:name w:val="p0"/>
    <w:next w:val="840"/>
    <w:qFormat/>
    <w:pPr>
      <w:ind w:firstLine="2048"/>
      <w:spacing w:line="360" w:lineRule="auto"/>
    </w:pPr>
    <w:rPr>
      <w:rFonts w:ascii="Calibri" w:hAnsi="Calibri" w:cs="宋体"/>
    </w:rPr>
  </w:style>
  <w:style w:type="paragraph" w:styleId="1143" w:customStyle="1">
    <w:name w:val="列表编号 21"/>
    <w:basedOn w:val="841"/>
    <w:next w:val="1144"/>
    <w:qFormat/>
    <w:pPr>
      <w:ind w:left="0" w:firstLine="2560"/>
      <w:spacing w:before="0" w:after="0" w:line="360" w:lineRule="auto"/>
    </w:pPr>
    <w:rPr>
      <w:rFonts w:ascii="Times New Roman" w:hAnsi="Times New Roman" w:cs="Times New Roman"/>
    </w:rPr>
  </w:style>
  <w:style w:type="paragraph" w:styleId="1144" w:customStyle="1">
    <w:name w:val="正文文本 21"/>
    <w:basedOn w:val="841"/>
    <w:next w:val="1025"/>
    <w:qFormat/>
    <w:pPr>
      <w:ind w:left="0" w:firstLine="2560"/>
      <w:jc w:val="center"/>
      <w:spacing w:before="0" w:after="120" w:line="480" w:lineRule="auto"/>
    </w:pPr>
    <w:rPr>
      <w:rFonts w:ascii="Times New Roman" w:hAnsi="Times New Roman" w:cs="Times New Roman"/>
    </w:rPr>
  </w:style>
  <w:style w:type="paragraph" w:styleId="1145" w:customStyle="1">
    <w:name w:val="a2"/>
    <w:basedOn w:val="841"/>
    <w:next w:val="881"/>
    <w:qFormat/>
    <w:pPr>
      <w:ind w:left="0" w:firstLine="1024"/>
      <w:spacing w:before="280" w:after="280" w:line="240" w:lineRule="auto"/>
    </w:pPr>
    <w:rPr>
      <w:rFonts w:ascii="Times New Roman" w:hAnsi="Times New Roman" w:cs="Times New Roman"/>
    </w:rPr>
  </w:style>
  <w:style w:type="paragraph" w:styleId="1146" w:customStyle="1">
    <w:name w:val="font8"/>
    <w:basedOn w:val="841"/>
    <w:next w:val="1070"/>
    <w:qFormat/>
    <w:pPr>
      <w:ind w:left="0" w:firstLine="2048"/>
      <w:spacing w:before="280" w:after="280" w:line="240" w:lineRule="auto"/>
    </w:pPr>
    <w:rPr>
      <w:rFonts w:ascii="Times New Roman" w:hAnsi="Times New Roman" w:cs="Times New Roman"/>
    </w:rPr>
  </w:style>
  <w:style w:type="paragraph" w:styleId="1147" w:customStyle="1">
    <w:name w:val="Char Char Char Char Char Char1 Char Char Char Char Char Char1 Char Char Char Char Char Char Char"/>
    <w:basedOn w:val="841"/>
    <w:next w:val="1148"/>
    <w:qFormat/>
    <w:pPr>
      <w:ind w:left="0" w:firstLine="2560"/>
      <w:spacing w:before="0" w:after="0" w:line="240" w:lineRule="auto"/>
    </w:pPr>
    <w:rPr>
      <w:rFonts w:ascii="Times New Roman" w:hAnsi="Times New Roman" w:cs="Times New Roman"/>
    </w:rPr>
  </w:style>
  <w:style w:type="paragraph" w:styleId="1148" w:customStyle="1">
    <w:name w:val="xl87"/>
    <w:basedOn w:val="841"/>
    <w:next w:val="1104"/>
    <w:qFormat/>
    <w:pPr>
      <w:ind w:left="0" w:firstLine="5120"/>
      <w:spacing w:before="280" w:after="280" w:line="240" w:lineRule="auto"/>
    </w:pPr>
    <w:rPr>
      <w:rFonts w:ascii="Times New Roman" w:hAnsi="Times New Roman" w:cs="Times New Roman"/>
    </w:rPr>
  </w:style>
  <w:style w:type="paragraph" w:styleId="1149" w:customStyle="1">
    <w:name w:val="444"/>
    <w:basedOn w:val="841"/>
    <w:next w:val="863"/>
    <w:qFormat/>
    <w:pPr>
      <w:ind w:left="0" w:firstLine="4608"/>
      <w:jc w:val="center"/>
      <w:spacing w:before="0" w:after="0" w:line="312" w:lineRule="atLeast"/>
    </w:pPr>
    <w:rPr>
      <w:rFonts w:ascii="Times New Roman" w:hAnsi="Times New Roman" w:cs="Times New Roman"/>
    </w:rPr>
  </w:style>
  <w:style w:type="paragraph" w:styleId="1150" w:customStyle="1">
    <w:name w:val="表格文字图表文字"/>
    <w:basedOn w:val="841"/>
    <w:next w:val="1151"/>
    <w:qFormat/>
    <w:pPr>
      <w:ind w:left="0" w:firstLine="3584"/>
      <w:jc w:val="center"/>
      <w:spacing w:before="0" w:after="0" w:line="240" w:lineRule="auto"/>
    </w:pPr>
    <w:rPr>
      <w:rFonts w:ascii="Times New Roman" w:hAnsi="Times New Roman" w:cs="Times New Roman"/>
    </w:rPr>
  </w:style>
  <w:style w:type="paragraph" w:styleId="1151" w:customStyle="1">
    <w:name w:val="样式 目录 3 + 左侧:  2 字符1"/>
    <w:next w:val="1152"/>
    <w:qFormat/>
    <w:pPr>
      <w:ind w:left="960" w:firstLine="5120"/>
      <w:spacing w:line="360" w:lineRule="auto"/>
      <w:widowControl w:val="off"/>
    </w:pPr>
    <w:rPr>
      <w:rFonts w:ascii="Calibri" w:hAnsi="Calibri" w:cs="宋体"/>
    </w:rPr>
  </w:style>
  <w:style w:type="paragraph" w:styleId="1152" w:customStyle="1">
    <w:name w:val="文档正文"/>
    <w:basedOn w:val="841"/>
    <w:next w:val="1153"/>
    <w:qFormat/>
    <w:pPr>
      <w:ind w:left="567" w:firstLine="3639"/>
      <w:spacing w:before="0" w:after="0" w:line="480" w:lineRule="atLeast"/>
    </w:pPr>
    <w:rPr>
      <w:rFonts w:ascii="Times New Roman" w:hAnsi="Times New Roman" w:cs="Times New Roman"/>
    </w:rPr>
  </w:style>
  <w:style w:type="paragraph" w:styleId="1153" w:customStyle="1">
    <w:name w:val="列表框2"/>
    <w:next w:val="1154"/>
    <w:qFormat/>
    <w:pPr>
      <w:ind w:firstLine="2048"/>
      <w:spacing w:line="460" w:lineRule="exact"/>
    </w:pPr>
    <w:rPr>
      <w:rFonts w:ascii="Calibri" w:hAnsi="Calibri" w:cs="宋体"/>
    </w:rPr>
  </w:style>
  <w:style w:type="paragraph" w:styleId="1154" w:customStyle="1">
    <w:name w:val="font10"/>
    <w:basedOn w:val="841"/>
    <w:next w:val="874"/>
    <w:qFormat/>
    <w:pPr>
      <w:ind w:left="0" w:firstLine="3584"/>
      <w:spacing w:before="280" w:after="280" w:line="240" w:lineRule="auto"/>
    </w:pPr>
    <w:rPr>
      <w:rFonts w:ascii="Times New Roman" w:hAnsi="Times New Roman" w:cs="Times New Roman"/>
    </w:rPr>
  </w:style>
  <w:style w:type="paragraph" w:styleId="1155" w:customStyle="1">
    <w:name w:val="纯文本1"/>
    <w:basedOn w:val="841"/>
    <w:next w:val="887"/>
    <w:qFormat/>
    <w:pPr>
      <w:ind w:left="0" w:firstLine="3584"/>
      <w:spacing w:before="0" w:after="0" w:line="240" w:lineRule="auto"/>
    </w:pPr>
    <w:rPr>
      <w:rFonts w:ascii="Times New Roman" w:hAnsi="Times New Roman" w:cs="Times New Roman"/>
    </w:rPr>
  </w:style>
  <w:style w:type="paragraph" w:styleId="1156" w:customStyle="1">
    <w:name w:val="索引 91"/>
    <w:basedOn w:val="841"/>
    <w:next w:val="840"/>
    <w:qFormat/>
    <w:pPr>
      <w:ind w:left="1600" w:firstLine="2560"/>
      <w:jc w:val="center"/>
      <w:spacing w:before="0" w:after="0" w:line="360" w:lineRule="auto"/>
    </w:pPr>
    <w:rPr>
      <w:rFonts w:ascii="Times New Roman" w:hAnsi="Times New Roman" w:cs="Times New Roman"/>
    </w:rPr>
  </w:style>
  <w:style w:type="paragraph" w:styleId="1157" w:customStyle="1">
    <w:name w:val="xl79"/>
    <w:basedOn w:val="841"/>
    <w:next w:val="1133"/>
    <w:qFormat/>
    <w:pPr>
      <w:ind w:left="0" w:firstLine="3584"/>
      <w:jc w:val="center"/>
      <w:spacing w:before="280" w:after="280" w:line="240" w:lineRule="auto"/>
    </w:pPr>
    <w:rPr>
      <w:rFonts w:ascii="Times New Roman" w:hAnsi="Times New Roman" w:cs="Times New Roman"/>
    </w:rPr>
  </w:style>
  <w:style w:type="paragraph" w:styleId="1158" w:customStyle="1">
    <w:name w:val="表格文字（4号居中）"/>
    <w:next w:val="1159"/>
    <w:qFormat/>
    <w:pPr>
      <w:ind w:firstLine="2560"/>
      <w:jc w:val="center"/>
    </w:pPr>
    <w:rPr>
      <w:rFonts w:ascii="Calibri" w:hAnsi="Calibri" w:cs="宋体"/>
    </w:rPr>
  </w:style>
  <w:style w:type="paragraph" w:styleId="1159" w:customStyle="1">
    <w:name w:val="!方块加粗"/>
    <w:basedOn w:val="841"/>
    <w:next w:val="1126"/>
    <w:qFormat/>
    <w:pPr>
      <w:ind w:left="600" w:firstLine="5212"/>
      <w:spacing w:before="0" w:after="0" w:line="360" w:lineRule="auto"/>
    </w:pPr>
    <w:rPr>
      <w:rFonts w:ascii="Times New Roman" w:hAnsi="Times New Roman" w:cs="Times New Roman"/>
    </w:rPr>
  </w:style>
  <w:style w:type="paragraph" w:styleId="1160" w:customStyle="1">
    <w:name w:val="xl75"/>
    <w:basedOn w:val="841"/>
    <w:next w:val="888"/>
    <w:qFormat/>
    <w:pPr>
      <w:ind w:left="0" w:firstLine="3584"/>
      <w:jc w:val="center"/>
      <w:spacing w:before="280" w:after="280" w:line="240" w:lineRule="auto"/>
    </w:pPr>
    <w:rPr>
      <w:rFonts w:ascii="Times New Roman" w:hAnsi="Times New Roman" w:cs="Times New Roman"/>
    </w:rPr>
  </w:style>
  <w:style w:type="paragraph" w:styleId="1161" w:customStyle="1">
    <w:name w:val="xl81"/>
    <w:basedOn w:val="841"/>
    <w:next w:val="1162"/>
    <w:qFormat/>
    <w:pPr>
      <w:ind w:left="0" w:firstLine="5120"/>
      <w:spacing w:before="280" w:after="280" w:line="240" w:lineRule="auto"/>
    </w:pPr>
    <w:rPr>
      <w:rFonts w:ascii="Times New Roman" w:hAnsi="Times New Roman" w:cs="Times New Roman"/>
    </w:rPr>
  </w:style>
  <w:style w:type="paragraph" w:styleId="1162" w:customStyle="1">
    <w:name w:val="xl25"/>
    <w:basedOn w:val="841"/>
    <w:next w:val="1163"/>
    <w:qFormat/>
    <w:pPr>
      <w:ind w:left="0" w:firstLine="14"/>
      <w:spacing w:before="280" w:after="280" w:line="240" w:lineRule="auto"/>
      <w:shd w:val="clear" w:color="000000" w:fill="ffffff"/>
    </w:pPr>
    <w:rPr>
      <w:rFonts w:ascii="Times New Roman" w:hAnsi="Times New Roman" w:cs="Times New Roman"/>
    </w:rPr>
  </w:style>
  <w:style w:type="paragraph" w:styleId="1163" w:customStyle="1">
    <w:name w:val="普通(网站)1"/>
    <w:basedOn w:val="841"/>
    <w:next w:val="1164"/>
    <w:qFormat/>
    <w:pPr>
      <w:ind w:left="200" w:firstLine="1224"/>
      <w:spacing w:before="280" w:after="280" w:line="240" w:lineRule="auto"/>
    </w:pPr>
    <w:rPr>
      <w:rFonts w:ascii="Times New Roman" w:hAnsi="Times New Roman" w:cs="Times New Roman"/>
    </w:rPr>
  </w:style>
  <w:style w:type="paragraph" w:styleId="1164" w:customStyle="1">
    <w:name w:val="xl27"/>
    <w:basedOn w:val="841"/>
    <w:next w:val="1150"/>
    <w:qFormat/>
    <w:pPr>
      <w:ind w:left="0" w:firstLine="20"/>
      <w:spacing w:before="280" w:after="280" w:line="240" w:lineRule="auto"/>
      <w:shd w:val="clear" w:color="000000" w:fill="ffffff"/>
    </w:pPr>
    <w:rPr>
      <w:rFonts w:ascii="Times New Roman" w:hAnsi="Times New Roman" w:cs="Times New Roman"/>
    </w:rPr>
  </w:style>
  <w:style w:type="paragraph" w:styleId="1165" w:customStyle="1">
    <w:name w:val="H 4"/>
    <w:basedOn w:val="845"/>
    <w:next w:val="1166"/>
    <w:qFormat/>
    <w:pPr>
      <w:ind w:left="426" w:firstLine="24"/>
      <w:spacing w:before="0" w:after="0" w:line="360" w:lineRule="auto"/>
      <w:outlineLvl w:val="3"/>
    </w:pPr>
  </w:style>
  <w:style w:type="paragraph" w:styleId="1166" w:customStyle="1">
    <w:name w:val="xl82"/>
    <w:basedOn w:val="841"/>
    <w:next w:val="1161"/>
    <w:qFormat/>
    <w:pPr>
      <w:ind w:left="0" w:firstLine="5120"/>
      <w:spacing w:before="280" w:after="280" w:line="240" w:lineRule="auto"/>
    </w:pPr>
    <w:rPr>
      <w:rFonts w:ascii="Times New Roman" w:hAnsi="Times New Roman" w:cs="Times New Roman"/>
    </w:rPr>
  </w:style>
  <w:style w:type="paragraph" w:styleId="1167" w:customStyle="1">
    <w:name w:val="Char Char Char Char Char Char Char Char"/>
    <w:next w:val="1168"/>
    <w:qFormat/>
    <w:pPr>
      <w:ind w:firstLine="14"/>
      <w:jc w:val="both"/>
      <w:shd w:val="clear" w:color="000000" w:fill="000080"/>
      <w:widowControl w:val="off"/>
    </w:pPr>
    <w:rPr>
      <w:rFonts w:ascii="Calibri" w:hAnsi="Calibri" w:cs="宋体"/>
    </w:rPr>
  </w:style>
  <w:style w:type="paragraph" w:styleId="1168" w:customStyle="1">
    <w:name w:val="Char Char Char Char Char Char1 Char Char Char1 Char Char Char Char Char Char Char Char Char Char Char Char Char Char Char"/>
    <w:basedOn w:val="841"/>
    <w:next w:val="1169"/>
    <w:qFormat/>
    <w:pPr>
      <w:ind w:left="0" w:firstLine="2560"/>
      <w:spacing w:before="0" w:after="0" w:line="240" w:lineRule="auto"/>
    </w:pPr>
    <w:rPr>
      <w:rFonts w:ascii="Times New Roman" w:hAnsi="Times New Roman" w:cs="Times New Roman"/>
    </w:rPr>
  </w:style>
  <w:style w:type="paragraph" w:styleId="1169" w:customStyle="1">
    <w:name w:val="样式1"/>
    <w:basedOn w:val="841"/>
    <w:next w:val="1170"/>
    <w:qFormat/>
    <w:pPr>
      <w:ind w:left="0" w:firstLine="1536"/>
      <w:spacing w:before="120" w:after="120" w:line="300" w:lineRule="auto"/>
    </w:pPr>
    <w:rPr>
      <w:rFonts w:ascii="Times New Roman" w:hAnsi="Times New Roman" w:cs="Times New Roman"/>
    </w:rPr>
  </w:style>
  <w:style w:type="paragraph" w:styleId="1170" w:customStyle="1">
    <w:name w:val="索引 41"/>
    <w:basedOn w:val="841"/>
    <w:next w:val="840"/>
    <w:qFormat/>
    <w:pPr>
      <w:ind w:left="600" w:firstLine="2560"/>
      <w:jc w:val="center"/>
      <w:spacing w:before="0" w:after="0" w:line="360" w:lineRule="auto"/>
    </w:pPr>
    <w:rPr>
      <w:rFonts w:ascii="Times New Roman" w:hAnsi="Times New Roman" w:cs="Times New Roman"/>
    </w:rPr>
  </w:style>
  <w:style w:type="paragraph" w:styleId="1171" w:customStyle="1">
    <w:name w:val="自定义二"/>
    <w:basedOn w:val="841"/>
    <w:next w:val="840"/>
    <w:qFormat/>
    <w:pPr>
      <w:ind w:left="0" w:firstLine="14"/>
      <w:spacing w:before="0" w:after="0" w:line="360" w:lineRule="auto"/>
      <w:outlineLvl w:val="1"/>
    </w:pPr>
    <w:rPr>
      <w:rFonts w:ascii="Times New Roman" w:hAnsi="Times New Roman" w:cs="Times New Roman"/>
    </w:rPr>
  </w:style>
  <w:style w:type="paragraph" w:styleId="1172" w:customStyle="1">
    <w:name w:val="Bullet"/>
    <w:next w:val="1110"/>
    <w:qFormat/>
    <w:pPr>
      <w:ind w:left="567" w:right="2835" w:firstLine="3584"/>
      <w:spacing w:after="60"/>
    </w:pPr>
    <w:rPr>
      <w:rFonts w:ascii="Calibri" w:hAnsi="Calibri" w:cs="宋体"/>
    </w:rPr>
  </w:style>
  <w:style w:type="paragraph" w:styleId="1173" w:customStyle="1">
    <w:name w:val="Char Char Char Char Char Char1"/>
    <w:basedOn w:val="841"/>
    <w:next w:val="1174"/>
    <w:qFormat/>
    <w:pPr>
      <w:ind w:left="0" w:firstLine="2560"/>
      <w:spacing w:before="0" w:after="0" w:line="240" w:lineRule="auto"/>
    </w:pPr>
    <w:rPr>
      <w:rFonts w:ascii="Times New Roman" w:hAnsi="Times New Roman" w:cs="Times New Roman"/>
    </w:rPr>
  </w:style>
  <w:style w:type="paragraph" w:styleId="1174" w:customStyle="1">
    <w:name w:val="正文缩进2"/>
    <w:basedOn w:val="841"/>
    <w:next w:val="1175"/>
    <w:qFormat/>
    <w:pPr>
      <w:ind w:left="420" w:firstLine="1188"/>
      <w:spacing w:before="0" w:after="0" w:line="240" w:lineRule="auto"/>
    </w:pPr>
    <w:rPr>
      <w:rFonts w:ascii="Times New Roman" w:hAnsi="Times New Roman" w:cs="Times New Roman"/>
    </w:rPr>
  </w:style>
  <w:style w:type="paragraph" w:styleId="1175" w:customStyle="1">
    <w:name w:val="列出段落2"/>
    <w:basedOn w:val="841"/>
    <w:next w:val="1176"/>
    <w:qFormat/>
    <w:pPr>
      <w:ind w:left="420" w:firstLine="3748"/>
      <w:spacing w:before="0" w:after="0" w:line="240" w:lineRule="auto"/>
    </w:pPr>
    <w:rPr>
      <w:rFonts w:ascii="Times New Roman" w:hAnsi="Times New Roman" w:cs="Times New Roman"/>
    </w:rPr>
  </w:style>
  <w:style w:type="paragraph" w:styleId="1176" w:customStyle="1">
    <w:name w:val="正文文本缩进 31"/>
    <w:basedOn w:val="841"/>
    <w:next w:val="1177"/>
    <w:qFormat/>
    <w:pPr>
      <w:ind w:left="1200" w:firstLine="1248"/>
      <w:spacing w:before="120" w:after="0" w:line="22" w:lineRule="atLeast"/>
    </w:pPr>
    <w:rPr>
      <w:rFonts w:ascii="Times New Roman" w:hAnsi="Times New Roman" w:cs="Times New Roman"/>
    </w:rPr>
  </w:style>
  <w:style w:type="paragraph" w:styleId="1177" w:customStyle="1">
    <w:name w:val="样式 正文首行缩进 + 首行缩进:  2 字符5"/>
    <w:next w:val="1178"/>
    <w:qFormat/>
    <w:pPr>
      <w:ind w:left="200" w:firstLine="3784"/>
      <w:spacing w:line="300" w:lineRule="auto"/>
    </w:pPr>
    <w:rPr>
      <w:rFonts w:ascii="Calibri" w:hAnsi="Calibri" w:cs="宋体"/>
    </w:rPr>
  </w:style>
  <w:style w:type="paragraph" w:styleId="1178" w:customStyle="1">
    <w:name w:val="Char2"/>
    <w:basedOn w:val="841"/>
    <w:next w:val="1172"/>
    <w:qFormat/>
    <w:pPr>
      <w:ind w:left="0" w:firstLine="3584"/>
      <w:spacing w:before="0" w:after="160" w:line="240" w:lineRule="exact"/>
    </w:pPr>
    <w:rPr>
      <w:rFonts w:ascii="Times New Roman" w:hAnsi="Times New Roman" w:cs="Times New Roman"/>
    </w:rPr>
  </w:style>
  <w:style w:type="paragraph" w:styleId="1179" w:customStyle="1">
    <w:name w:val="WPSOffice手动目录 1"/>
    <w:qFormat/>
    <w:rPr>
      <w:rFonts w:ascii="宋体" w:hAnsi="宋体" w:cs="宋体"/>
    </w:rPr>
  </w:style>
  <w:style w:type="paragraph" w:styleId="1180" w:customStyle="1">
    <w:name w:val="纯文本4"/>
    <w:basedOn w:val="840"/>
    <w:qFormat/>
    <w:pPr>
      <w:ind w:left="0"/>
      <w:widowControl w:val="off"/>
    </w:pPr>
    <w:rPr>
      <w:rFonts w:ascii="宋体" w:hAnsi="Courier New" w:eastAsia="楷体_GB2312" w:cs="Times New Roman"/>
      <w:sz w:val="26"/>
    </w:rPr>
  </w:style>
  <w:style w:type="paragraph" w:styleId="1181" w:customStyle="1">
    <w:name w:val="Char Char Char Char Char Char Char Char Char Char Char Char Char Char Char Char"/>
    <w:basedOn w:val="841"/>
    <w:next w:val="1182"/>
    <w:qFormat/>
    <w:pPr>
      <w:ind w:left="682" w:firstLine="1224"/>
      <w:spacing w:before="0" w:after="0" w:line="360" w:lineRule="auto"/>
    </w:pPr>
    <w:rPr>
      <w:rFonts w:ascii="Times New Roman" w:hAnsi="Times New Roman" w:cs="Times New Roman"/>
    </w:rPr>
  </w:style>
  <w:style w:type="paragraph" w:styleId="1182" w:customStyle="1">
    <w:name w:val="列表编号 51"/>
    <w:basedOn w:val="841"/>
    <w:next w:val="1183"/>
    <w:qFormat/>
    <w:pPr>
      <w:ind w:left="900" w:firstLine="2652"/>
      <w:spacing w:before="0" w:after="0" w:line="360" w:lineRule="auto"/>
    </w:pPr>
    <w:rPr>
      <w:rFonts w:ascii="Times New Roman" w:hAnsi="Times New Roman" w:cs="Times New Roman"/>
    </w:rPr>
  </w:style>
  <w:style w:type="paragraph" w:styleId="1183" w:customStyle="1">
    <w:name w:val="样式 标题 1 + 黑体 (符号) 宋体 三号 段前: 7.8 磅 段后: 7.8 磅 行距: 1.5 倍行距"/>
    <w:basedOn w:val="842"/>
    <w:next w:val="1184"/>
    <w:qFormat/>
    <w:pPr>
      <w:ind w:left="432" w:firstLine="18"/>
      <w:spacing w:before="40" w:after="40" w:line="360" w:lineRule="auto"/>
      <w:outlineLvl w:val="0"/>
    </w:pPr>
  </w:style>
  <w:style w:type="paragraph" w:styleId="1184" w:customStyle="1">
    <w:name w:val="表格用"/>
    <w:basedOn w:val="841"/>
    <w:next w:val="1141"/>
    <w:qFormat/>
    <w:pPr>
      <w:ind w:left="0" w:firstLine="1024"/>
      <w:spacing w:before="0" w:after="0" w:line="360" w:lineRule="auto"/>
    </w:pPr>
    <w:rPr>
      <w:rFonts w:ascii="Times New Roman" w:hAnsi="Times New Roman" w:cs="Times New Roman"/>
    </w:rPr>
  </w:style>
  <w:style w:type="paragraph" w:styleId="1185" w:customStyle="1">
    <w:name w:val="xl71"/>
    <w:basedOn w:val="841"/>
    <w:next w:val="1186"/>
    <w:qFormat/>
    <w:pPr>
      <w:ind w:left="0" w:firstLine="1536"/>
      <w:spacing w:before="280" w:after="280" w:line="240" w:lineRule="auto"/>
    </w:pPr>
    <w:rPr>
      <w:rFonts w:ascii="Times New Roman" w:hAnsi="Times New Roman" w:cs="Times New Roman"/>
    </w:rPr>
  </w:style>
  <w:style w:type="paragraph" w:styleId="1186" w:customStyle="1">
    <w:name w:val="正文文本 31"/>
    <w:basedOn w:val="841"/>
    <w:next w:val="1187"/>
    <w:qFormat/>
    <w:pPr>
      <w:ind w:left="0" w:firstLine="3584"/>
      <w:jc w:val="center"/>
      <w:spacing w:before="0" w:after="120" w:line="360" w:lineRule="auto"/>
    </w:pPr>
    <w:rPr>
      <w:rFonts w:ascii="Times New Roman" w:hAnsi="Times New Roman" w:cs="Times New Roman"/>
    </w:rPr>
  </w:style>
  <w:style w:type="paragraph" w:styleId="1187" w:customStyle="1">
    <w:name w:val="列出段落111"/>
    <w:basedOn w:val="841"/>
    <w:next w:val="1123"/>
    <w:qFormat/>
    <w:pPr>
      <w:ind w:left="420" w:firstLine="3748"/>
      <w:spacing w:before="0" w:after="0" w:line="240" w:lineRule="auto"/>
    </w:pPr>
    <w:rPr>
      <w:rFonts w:ascii="Times New Roman" w:hAnsi="Times New Roman" w:cs="Times New Roman"/>
    </w:rPr>
  </w:style>
  <w:style w:type="paragraph" w:styleId="1188" w:customStyle="1">
    <w:name w:val="修订1"/>
    <w:qFormat/>
    <w:rPr>
      <w:rFonts w:ascii="Calibri" w:hAnsi="Calibri" w:cs="宋体"/>
    </w:rPr>
  </w:style>
  <w:style w:type="paragraph" w:styleId="1189" w:customStyle="1">
    <w:name w:val="正文文本缩进 21"/>
    <w:basedOn w:val="841"/>
    <w:next w:val="1129"/>
    <w:qFormat/>
    <w:pPr>
      <w:ind w:left="480" w:firstLine="4832"/>
      <w:spacing w:before="0" w:after="0" w:line="240" w:lineRule="auto"/>
    </w:pPr>
    <w:rPr>
      <w:rFonts w:ascii="Times New Roman" w:hAnsi="Times New Roman" w:cs="Times New Roman"/>
    </w:rPr>
  </w:style>
  <w:style w:type="paragraph" w:styleId="1190" w:customStyle="1">
    <w:name w:val="Char Char4 Char Char"/>
    <w:basedOn w:val="841"/>
    <w:next w:val="1139"/>
    <w:qFormat/>
    <w:pPr>
      <w:ind w:left="0" w:firstLine="2560"/>
      <w:spacing w:before="0" w:after="0" w:line="240" w:lineRule="auto"/>
    </w:pPr>
    <w:rPr>
      <w:rFonts w:ascii="Times New Roman" w:hAnsi="Times New Roman" w:cs="Times New Roman"/>
    </w:rPr>
  </w:style>
  <w:style w:type="paragraph" w:styleId="1191" w:customStyle="1">
    <w:name w:val="样式"/>
    <w:next w:val="840"/>
    <w:qFormat/>
    <w:pPr>
      <w:ind w:firstLine="3584"/>
      <w:widowControl w:val="off"/>
    </w:pPr>
    <w:rPr>
      <w:rFonts w:ascii="Calibri" w:hAnsi="Calibri" w:cs="宋体"/>
    </w:rPr>
  </w:style>
  <w:style w:type="paragraph" w:styleId="1192" w:customStyle="1">
    <w:name w:val="TOC 标题1"/>
    <w:basedOn w:val="842"/>
    <w:next w:val="840"/>
    <w:qFormat/>
    <w:pPr>
      <w:ind w:left="0" w:firstLine="6144"/>
      <w:spacing w:before="480" w:after="0" w:line="276" w:lineRule="auto"/>
    </w:pPr>
    <w:rPr>
      <w:b/>
      <w:sz w:val="30"/>
    </w:rPr>
  </w:style>
  <w:style w:type="paragraph" w:styleId="1193" w:customStyle="1">
    <w:name w:val="纯文本3"/>
    <w:basedOn w:val="840"/>
    <w:qFormat/>
    <w:rPr>
      <w:rFonts w:ascii="宋体" w:hAnsi="Courier New" w:cs="Times New Roman"/>
    </w:rPr>
  </w:style>
  <w:style w:type="paragraph" w:styleId="1194" w:customStyle="1">
    <w:name w:val="afont"/>
    <w:basedOn w:val="841"/>
    <w:next w:val="866"/>
    <w:qFormat/>
    <w:pPr>
      <w:ind w:left="0" w:firstLine="2048"/>
      <w:spacing w:before="100" w:after="100" w:line="285" w:lineRule="atLeast"/>
    </w:pPr>
    <w:rPr>
      <w:rFonts w:ascii="Times New Roman" w:hAnsi="Times New Roman" w:cs="Times New Roman"/>
    </w:rPr>
  </w:style>
  <w:style w:type="paragraph" w:styleId="1195" w:customStyle="1">
    <w:name w:val="xl85"/>
    <w:basedOn w:val="841"/>
    <w:next w:val="1196"/>
    <w:qFormat/>
    <w:pPr>
      <w:ind w:left="0" w:firstLine="2048"/>
      <w:jc w:val="center"/>
      <w:spacing w:before="280" w:after="280" w:line="240" w:lineRule="auto"/>
    </w:pPr>
    <w:rPr>
      <w:rFonts w:ascii="Times New Roman" w:hAnsi="Times New Roman" w:cs="Times New Roman"/>
    </w:rPr>
  </w:style>
  <w:style w:type="paragraph" w:styleId="1196" w:customStyle="1">
    <w:name w:val="文章总标题"/>
    <w:basedOn w:val="841"/>
    <w:next w:val="1197"/>
    <w:qFormat/>
    <w:pPr>
      <w:ind w:left="0" w:firstLine="7168"/>
      <w:jc w:val="center"/>
      <w:spacing w:before="566" w:after="544" w:line="566" w:lineRule="atLeast"/>
    </w:pPr>
    <w:rPr>
      <w:rFonts w:ascii="Times New Roman" w:hAnsi="Times New Roman" w:cs="Times New Roman"/>
    </w:rPr>
  </w:style>
  <w:style w:type="paragraph" w:styleId="1197" w:customStyle="1">
    <w:name w:val="样式 首行缩进:  2 字符"/>
    <w:basedOn w:val="841"/>
    <w:next w:val="1160"/>
    <w:qFormat/>
    <w:pPr>
      <w:ind w:left="200" w:firstLine="1224"/>
      <w:spacing w:before="0" w:after="0" w:line="400" w:lineRule="exact"/>
    </w:pPr>
    <w:rPr>
      <w:rFonts w:ascii="Times New Roman" w:hAnsi="Times New Roman" w:cs="Times New Roman"/>
    </w:rPr>
  </w:style>
  <w:style w:type="paragraph" w:styleId="1198" w:customStyle="1">
    <w:name w:val="二级条标题"/>
    <w:basedOn w:val="841"/>
    <w:next w:val="840"/>
    <w:qFormat/>
    <w:pPr>
      <w:ind w:left="0" w:firstLine="8"/>
      <w:spacing w:before="0" w:after="0" w:line="240" w:lineRule="auto"/>
      <w:outlineLvl w:val="3"/>
    </w:pPr>
    <w:rPr>
      <w:rFonts w:ascii="Times New Roman" w:hAnsi="Times New Roman" w:cs="Times New Roman"/>
    </w:rPr>
  </w:style>
  <w:style w:type="paragraph" w:styleId="1199" w:customStyle="1">
    <w:name w:val="Plain Text*"/>
    <w:basedOn w:val="840"/>
    <w:qFormat/>
    <w:pPr>
      <w:ind w:left="0"/>
      <w:jc w:val="left"/>
    </w:pPr>
    <w:rPr>
      <w:rFonts w:ascii="宋体" w:hAnsi="宋体" w:eastAsia="楷体_GB2312" w:cs="Courier New"/>
      <w:sz w:val="26"/>
      <w:lang w:val="zh-CN"/>
    </w:rPr>
  </w:style>
  <w:style w:type="paragraph" w:styleId="1200" w:customStyle="1">
    <w:name w:val="样式 加粗 居中2"/>
    <w:basedOn w:val="841"/>
    <w:next w:val="1052"/>
    <w:qFormat/>
    <w:pPr>
      <w:ind w:left="0" w:firstLine="2560"/>
      <w:jc w:val="center"/>
      <w:spacing w:before="0" w:after="0" w:line="360" w:lineRule="auto"/>
    </w:pPr>
    <w:rPr>
      <w:rFonts w:ascii="Times New Roman" w:hAnsi="Times New Roman" w:cs="Times New Roman"/>
    </w:rPr>
  </w:style>
  <w:style w:type="paragraph" w:styleId="1201" w:customStyle="1">
    <w:name w:val="标准文本"/>
    <w:basedOn w:val="841"/>
    <w:next w:val="1155"/>
    <w:qFormat/>
    <w:pPr>
      <w:ind w:left="480" w:firstLine="2784"/>
      <w:spacing w:before="0" w:after="0" w:line="360" w:lineRule="auto"/>
    </w:pPr>
    <w:rPr>
      <w:rFonts w:ascii="Times New Roman" w:hAnsi="Times New Roman" w:cs="Times New Roman"/>
    </w:rPr>
  </w:style>
  <w:style w:type="paragraph" w:styleId="1202" w:customStyle="1">
    <w:name w:val="font5"/>
    <w:basedOn w:val="841"/>
    <w:next w:val="1203"/>
    <w:qFormat/>
    <w:pPr>
      <w:ind w:left="0" w:firstLine="5120"/>
      <w:spacing w:before="280" w:after="280" w:line="240" w:lineRule="auto"/>
    </w:pPr>
    <w:rPr>
      <w:rFonts w:ascii="Times New Roman" w:hAnsi="Times New Roman" w:cs="Times New Roman"/>
    </w:rPr>
  </w:style>
  <w:style w:type="paragraph" w:styleId="1203" w:customStyle="1">
    <w:name w:val="索引标题1"/>
    <w:basedOn w:val="841"/>
    <w:next w:val="1082"/>
    <w:qFormat/>
    <w:pPr>
      <w:ind w:left="0" w:firstLine="4608"/>
      <w:jc w:val="center"/>
      <w:spacing w:before="0" w:after="0" w:line="360" w:lineRule="auto"/>
    </w:pPr>
    <w:rPr>
      <w:rFonts w:ascii="Times New Roman" w:hAnsi="Times New Roman" w:cs="Times New Roman"/>
    </w:rPr>
  </w:style>
  <w:style w:type="paragraph" w:styleId="1204" w:customStyle="1">
    <w:name w:val="Char Char Char Char Char Char1 Char Char Char1 Char Char Char Char Char Char Char Char Char Char Char Char Char Char Char Char"/>
    <w:basedOn w:val="841"/>
    <w:next w:val="1205"/>
    <w:qFormat/>
    <w:pPr>
      <w:ind w:left="0" w:firstLine="2560"/>
      <w:spacing w:before="0" w:after="0" w:line="240" w:lineRule="auto"/>
    </w:pPr>
    <w:rPr>
      <w:rFonts w:ascii="Times New Roman" w:hAnsi="Times New Roman" w:cs="Times New Roman"/>
    </w:rPr>
  </w:style>
  <w:style w:type="paragraph" w:styleId="1205" w:customStyle="1">
    <w:name w:val="1正文"/>
    <w:basedOn w:val="841"/>
    <w:next w:val="1206"/>
    <w:qFormat/>
    <w:pPr>
      <w:ind w:left="480" w:firstLine="2784"/>
      <w:spacing w:before="0" w:after="0" w:line="300" w:lineRule="auto"/>
    </w:pPr>
    <w:rPr>
      <w:rFonts w:ascii="Times New Roman" w:hAnsi="Times New Roman" w:cs="Times New Roman"/>
    </w:rPr>
  </w:style>
  <w:style w:type="paragraph" w:styleId="1206" w:customStyle="1">
    <w:name w:val="目录2"/>
    <w:basedOn w:val="841"/>
    <w:next w:val="840"/>
    <w:qFormat/>
    <w:pPr>
      <w:ind w:left="209" w:firstLine="5329"/>
      <w:spacing w:before="0" w:after="0" w:line="317" w:lineRule="atLeast"/>
    </w:pPr>
    <w:rPr>
      <w:rFonts w:ascii="Times New Roman" w:hAnsi="Times New Roman" w:cs="Times New Roman"/>
    </w:rPr>
  </w:style>
  <w:style w:type="paragraph" w:styleId="1207" w:customStyle="1">
    <w:name w:val="图表目录1"/>
    <w:basedOn w:val="841"/>
    <w:next w:val="840"/>
    <w:qFormat/>
    <w:pPr>
      <w:ind w:left="200" w:firstLine="2616"/>
      <w:jc w:val="center"/>
      <w:spacing w:before="0" w:after="0" w:line="360" w:lineRule="auto"/>
    </w:pPr>
    <w:rPr>
      <w:rFonts w:ascii="Times New Roman" w:hAnsi="Times New Roman" w:cs="Times New Roman"/>
    </w:rPr>
  </w:style>
  <w:style w:type="paragraph" w:styleId="1208" w:customStyle="1">
    <w:name w:val="xl63"/>
    <w:basedOn w:val="841"/>
    <w:next w:val="1158"/>
    <w:qFormat/>
    <w:pPr>
      <w:ind w:left="0" w:firstLine="5120"/>
      <w:spacing w:before="280" w:after="280" w:line="240" w:lineRule="auto"/>
    </w:pPr>
    <w:rPr>
      <w:rFonts w:ascii="Times New Roman" w:hAnsi="Times New Roman" w:cs="Times New Roman"/>
    </w:rPr>
  </w:style>
  <w:style w:type="paragraph" w:styleId="1209">
    <w:name w:val="List Paragraph"/>
    <w:basedOn w:val="840"/>
    <w:next w:val="1116"/>
    <w:qFormat/>
    <w:pPr>
      <w:ind w:left="420" w:firstLine="3748"/>
    </w:pPr>
    <w:rPr>
      <w:rFonts w:ascii="Times New Roman" w:hAnsi="Times New Roman" w:cs="Times New Roman"/>
    </w:rPr>
  </w:style>
  <w:style w:type="paragraph" w:styleId="1210" w:customStyle="1">
    <w:name w:val="xl73"/>
    <w:basedOn w:val="841"/>
    <w:next w:val="1211"/>
    <w:qFormat/>
    <w:pPr>
      <w:ind w:left="0" w:firstLine="3584"/>
      <w:spacing w:before="280" w:after="280" w:line="240" w:lineRule="auto"/>
    </w:pPr>
    <w:rPr>
      <w:rFonts w:ascii="Times New Roman" w:hAnsi="Times New Roman" w:cs="Times New Roman"/>
    </w:rPr>
  </w:style>
  <w:style w:type="paragraph" w:styleId="1211" w:customStyle="1">
    <w:name w:val="xl80"/>
    <w:basedOn w:val="841"/>
    <w:next w:val="1212"/>
    <w:qFormat/>
    <w:pPr>
      <w:ind w:left="0" w:firstLine="3584"/>
      <w:jc w:val="center"/>
      <w:spacing w:before="280" w:after="280" w:line="240" w:lineRule="auto"/>
    </w:pPr>
    <w:rPr>
      <w:rFonts w:ascii="Times New Roman" w:hAnsi="Times New Roman" w:cs="Times New Roman"/>
    </w:rPr>
  </w:style>
  <w:style w:type="paragraph" w:styleId="1212" w:customStyle="1">
    <w:name w:val="样式2"/>
    <w:basedOn w:val="846"/>
    <w:next w:val="1213"/>
    <w:qFormat/>
    <w:pPr>
      <w:ind w:left="1134" w:firstLine="18"/>
      <w:spacing w:before="0" w:after="0" w:line="360" w:lineRule="auto"/>
      <w:outlineLvl w:val="4"/>
    </w:pPr>
  </w:style>
  <w:style w:type="paragraph" w:styleId="1213" w:customStyle="1">
    <w:name w:val="日期1"/>
    <w:basedOn w:val="841"/>
    <w:next w:val="840"/>
    <w:qFormat/>
    <w:pPr>
      <w:ind w:left="100" w:firstLine="6144"/>
      <w:spacing w:before="0" w:after="0" w:line="240" w:lineRule="auto"/>
    </w:pPr>
    <w:rPr>
      <w:rFonts w:ascii="Times New Roman" w:hAnsi="Times New Roman" w:cs="Times New Roman"/>
    </w:rPr>
  </w:style>
  <w:style w:type="paragraph" w:styleId="1214" w:customStyle="1">
    <w:name w:val="图1"/>
    <w:basedOn w:val="841"/>
    <w:next w:val="840"/>
    <w:qFormat/>
    <w:pPr>
      <w:ind w:left="1105" w:firstLine="2580"/>
      <w:jc w:val="center"/>
      <w:spacing w:before="0" w:after="0" w:line="360" w:lineRule="auto"/>
    </w:pPr>
    <w:rPr>
      <w:rFonts w:ascii="Times New Roman" w:hAnsi="Times New Roman" w:cs="Times New Roman"/>
    </w:rPr>
  </w:style>
  <w:style w:type="paragraph" w:styleId="1215" w:customStyle="1">
    <w:name w:val="Char Char Char Char Char Char1 Char Char Char1 Char Char Char Char Char Char Char Char Char Char Char Char"/>
    <w:basedOn w:val="841"/>
    <w:next w:val="1195"/>
    <w:qFormat/>
    <w:pPr>
      <w:ind w:left="0" w:firstLine="2560"/>
      <w:spacing w:before="0" w:after="0" w:line="240" w:lineRule="auto"/>
    </w:pPr>
    <w:rPr>
      <w:rFonts w:ascii="Times New Roman" w:hAnsi="Times New Roman" w:cs="Times New Roman"/>
    </w:rPr>
  </w:style>
  <w:style w:type="paragraph" w:styleId="1216" w:customStyle="1">
    <w:name w:val="Char Char Char Char Char Char Char"/>
    <w:basedOn w:val="841"/>
    <w:next w:val="1101"/>
    <w:qFormat/>
    <w:pPr>
      <w:ind w:left="200" w:firstLine="4808"/>
      <w:spacing w:before="0" w:after="0" w:line="360" w:lineRule="auto"/>
    </w:pPr>
    <w:rPr>
      <w:rFonts w:ascii="Times New Roman" w:hAnsi="Times New Roman" w:cs="Times New Roman"/>
    </w:rPr>
  </w:style>
  <w:style w:type="paragraph" w:styleId="1217" w:customStyle="1">
    <w:name w:val="Char Char Char Char Char Char Char Char Char Char Char Char Char Char Char"/>
    <w:basedOn w:val="841"/>
    <w:next w:val="1192"/>
    <w:qFormat/>
    <w:pPr>
      <w:ind w:left="0" w:firstLine="3584"/>
      <w:jc w:val="center"/>
      <w:spacing w:before="0" w:after="0" w:line="400" w:lineRule="exact"/>
    </w:pPr>
    <w:rPr>
      <w:rFonts w:ascii="Times New Roman" w:hAnsi="Times New Roman" w:cs="Times New Roman"/>
    </w:rPr>
  </w:style>
  <w:style w:type="paragraph" w:styleId="1218">
    <w:name w:val="Intense Quote"/>
    <w:next w:val="840"/>
    <w:qFormat/>
    <w:pPr>
      <w:ind w:left="3766" w:right="950"/>
      <w:jc w:val="center"/>
      <w:spacing w:before="360" w:after="360"/>
    </w:pPr>
    <w:rPr>
      <w:rFonts w:ascii="Calibri" w:hAnsi="Calibri" w:cs="宋体"/>
      <w:i/>
    </w:rPr>
  </w:style>
  <w:style w:type="paragraph" w:styleId="1219" w:customStyle="1">
    <w:name w:val="索引 51"/>
    <w:basedOn w:val="841"/>
    <w:next w:val="840"/>
    <w:qFormat/>
    <w:pPr>
      <w:ind w:left="800" w:firstLine="2560"/>
      <w:jc w:val="center"/>
      <w:spacing w:before="0" w:after="0" w:line="360" w:lineRule="auto"/>
    </w:pPr>
    <w:rPr>
      <w:rFonts w:ascii="Times New Roman" w:hAnsi="Times New Roman" w:cs="Times New Roman"/>
    </w:rPr>
  </w:style>
  <w:style w:type="paragraph" w:styleId="1220" w:customStyle="1">
    <w:name w:val="图表"/>
    <w:basedOn w:val="841"/>
    <w:next w:val="1221"/>
    <w:qFormat/>
    <w:pPr>
      <w:ind w:left="0" w:firstLine="2048"/>
      <w:jc w:val="center"/>
      <w:spacing w:before="0" w:after="0" w:line="240" w:lineRule="auto"/>
    </w:pPr>
    <w:rPr>
      <w:rFonts w:ascii="Times New Roman" w:hAnsi="Times New Roman" w:cs="Times New Roman"/>
    </w:rPr>
  </w:style>
  <w:style w:type="paragraph" w:styleId="1221" w:customStyle="1">
    <w:name w:val="reader-word-layer"/>
    <w:basedOn w:val="841"/>
    <w:next w:val="1222"/>
    <w:qFormat/>
    <w:pPr>
      <w:ind w:left="0" w:firstLine="1024"/>
      <w:spacing w:before="280" w:after="280" w:line="240" w:lineRule="auto"/>
    </w:pPr>
    <w:rPr>
      <w:rFonts w:ascii="Times New Roman" w:hAnsi="Times New Roman" w:cs="Times New Roman"/>
    </w:rPr>
  </w:style>
  <w:style w:type="paragraph" w:styleId="1222" w:customStyle="1">
    <w:name w:val="样式 加粗 居中1"/>
    <w:next w:val="1061"/>
    <w:qFormat/>
    <w:pPr>
      <w:ind w:firstLine="2560"/>
      <w:jc w:val="center"/>
    </w:pPr>
    <w:rPr>
      <w:rFonts w:ascii="Calibri" w:hAnsi="Calibri" w:cs="宋体"/>
    </w:rPr>
  </w:style>
  <w:style w:type="paragraph" w:styleId="1223" w:customStyle="1">
    <w:name w:val="修订2"/>
    <w:qFormat/>
    <w:rPr>
      <w:rFonts w:ascii="Calibri" w:hAnsi="Calibri" w:cs="宋体"/>
    </w:rPr>
  </w:style>
  <w:style w:type="paragraph" w:styleId="1224" w:customStyle="1">
    <w:name w:val="Body"/>
    <w:next w:val="1156"/>
    <w:qFormat/>
    <w:pPr>
      <w:ind w:left="567" w:right="2835" w:firstLine="3584"/>
      <w:spacing w:after="60"/>
    </w:pPr>
    <w:rPr>
      <w:rFonts w:ascii="Calibri" w:hAnsi="Calibri" w:cs="宋体"/>
    </w:rPr>
  </w:style>
  <w:style w:type="paragraph" w:styleId="1225" w:customStyle="1">
    <w:name w:val="font6"/>
    <w:basedOn w:val="841"/>
    <w:next w:val="1226"/>
    <w:qFormat/>
    <w:pPr>
      <w:ind w:left="0" w:firstLine="5120"/>
      <w:spacing w:before="280" w:after="280" w:line="240" w:lineRule="auto"/>
    </w:pPr>
    <w:rPr>
      <w:rFonts w:ascii="Times New Roman" w:hAnsi="Times New Roman" w:cs="Times New Roman"/>
    </w:rPr>
  </w:style>
  <w:style w:type="paragraph" w:styleId="1226" w:customStyle="1">
    <w:name w:val="正文首行缩进 21"/>
    <w:basedOn w:val="868"/>
    <w:next w:val="1224"/>
    <w:qFormat/>
    <w:pPr>
      <w:ind w:left="200" w:firstLine="3784"/>
      <w:jc w:val="center"/>
      <w:spacing w:after="120" w:line="360" w:lineRule="auto"/>
    </w:pPr>
    <w:rPr>
      <w:rFonts w:ascii="Calibri" w:hAnsi="Calibri"/>
    </w:rPr>
  </w:style>
  <w:style w:type="paragraph" w:styleId="1227" w:customStyle="1">
    <w:name w:val="Char Char"/>
    <w:next w:val="1220"/>
    <w:qFormat/>
    <w:pPr>
      <w:ind w:firstLine="14"/>
      <w:spacing w:line="360" w:lineRule="auto"/>
      <w:shd w:val="clear" w:color="000000" w:fill="000080"/>
    </w:pPr>
    <w:rPr>
      <w:rFonts w:ascii="Calibri" w:hAnsi="Calibri" w:cs="宋体"/>
    </w:rPr>
  </w:style>
  <w:style w:type="paragraph" w:styleId="1228" w:customStyle="1">
    <w:name w:val="正文_0_0"/>
    <w:next w:val="1060"/>
    <w:qFormat/>
    <w:pPr>
      <w:ind w:firstLine="3584"/>
      <w:jc w:val="both"/>
      <w:widowControl w:val="off"/>
    </w:pPr>
    <w:rPr>
      <w:rFonts w:ascii="Calibri" w:hAnsi="Calibri" w:cs="宋体"/>
    </w:rPr>
  </w:style>
  <w:style w:type="paragraph" w:styleId="1229" w:customStyle="1">
    <w:name w:val="font7"/>
    <w:basedOn w:val="841"/>
    <w:next w:val="1230"/>
    <w:qFormat/>
    <w:pPr>
      <w:ind w:left="0" w:firstLine="3584"/>
      <w:spacing w:before="280" w:after="280" w:line="240" w:lineRule="auto"/>
    </w:pPr>
    <w:rPr>
      <w:rFonts w:ascii="Times New Roman" w:hAnsi="Times New Roman" w:cs="Times New Roman"/>
    </w:rPr>
  </w:style>
  <w:style w:type="paragraph" w:styleId="1230" w:customStyle="1">
    <w:name w:val="Char Char Char Char Char Char1 Char Char Char Char Char Char1 Char Char Char1"/>
    <w:basedOn w:val="841"/>
    <w:next w:val="1231"/>
    <w:qFormat/>
    <w:pPr>
      <w:ind w:left="0" w:firstLine="2560"/>
      <w:spacing w:before="0" w:after="0" w:line="240" w:lineRule="auto"/>
    </w:pPr>
    <w:rPr>
      <w:rFonts w:ascii="Times New Roman" w:hAnsi="Times New Roman" w:cs="Times New Roman"/>
    </w:rPr>
  </w:style>
  <w:style w:type="paragraph" w:styleId="1231" w:customStyle="1">
    <w:name w:val="xl64"/>
    <w:basedOn w:val="841"/>
    <w:next w:val="1198"/>
    <w:qFormat/>
    <w:pPr>
      <w:ind w:left="0" w:firstLine="3584"/>
      <w:spacing w:before="280" w:after="280" w:line="240" w:lineRule="auto"/>
    </w:pPr>
    <w:rPr>
      <w:rFonts w:ascii="Times New Roman" w:hAnsi="Times New Roman" w:cs="Times New Roman"/>
    </w:rPr>
  </w:style>
  <w:style w:type="paragraph" w:styleId="1232" w:customStyle="1">
    <w:name w:val="style16"/>
    <w:basedOn w:val="841"/>
    <w:next w:val="1225"/>
    <w:qFormat/>
    <w:pPr>
      <w:ind w:left="0" w:firstLine="2048"/>
      <w:spacing w:before="280" w:after="280" w:line="240" w:lineRule="auto"/>
    </w:pPr>
    <w:rPr>
      <w:rFonts w:ascii="Times New Roman" w:hAnsi="Times New Roman" w:cs="Times New Roman"/>
    </w:rPr>
  </w:style>
  <w:style w:type="paragraph" w:styleId="1233" w:customStyle="1">
    <w:name w:val="索引 11"/>
    <w:basedOn w:val="841"/>
    <w:next w:val="840"/>
    <w:qFormat/>
    <w:pPr>
      <w:ind w:left="0" w:firstLine="3584"/>
      <w:spacing w:before="0" w:after="0" w:line="240" w:lineRule="auto"/>
    </w:pPr>
    <w:rPr>
      <w:rFonts w:ascii="Times New Roman" w:hAnsi="Times New Roman" w:cs="Times New Roman"/>
    </w:rPr>
  </w:style>
  <w:style w:type="paragraph" w:styleId="1234" w:customStyle="1">
    <w:name w:val="H 3"/>
    <w:basedOn w:val="844"/>
    <w:next w:val="1235"/>
    <w:qFormat/>
    <w:pPr>
      <w:ind w:left="1429" w:firstLine="18"/>
      <w:spacing w:before="0" w:after="0" w:line="360" w:lineRule="auto"/>
      <w:outlineLvl w:val="2"/>
    </w:pPr>
  </w:style>
  <w:style w:type="paragraph" w:styleId="1235" w:customStyle="1">
    <w:name w:val="xl83"/>
    <w:basedOn w:val="841"/>
    <w:next w:val="1216"/>
    <w:qFormat/>
    <w:pPr>
      <w:ind w:left="0" w:firstLine="5120"/>
      <w:spacing w:before="280" w:after="280" w:line="240" w:lineRule="auto"/>
    </w:pPr>
    <w:rPr>
      <w:rFonts w:ascii="Times New Roman" w:hAnsi="Times New Roman" w:cs="Times New Roman"/>
    </w:rPr>
  </w:style>
  <w:style w:type="paragraph" w:styleId="1236" w:customStyle="1">
    <w:name w:val="表格文字（居中）"/>
    <w:basedOn w:val="841"/>
    <w:next w:val="1232"/>
    <w:qFormat/>
    <w:pPr>
      <w:ind w:left="0" w:firstLine="2560"/>
      <w:jc w:val="center"/>
      <w:spacing w:before="0" w:after="0" w:line="360" w:lineRule="auto"/>
    </w:pPr>
    <w:rPr>
      <w:rFonts w:ascii="Times New Roman" w:hAnsi="Times New Roman" w:cs="Times New Roman"/>
    </w:rPr>
  </w:style>
  <w:style w:type="paragraph" w:styleId="1237" w:customStyle="1">
    <w:name w:val="正文首行缩进两字符"/>
    <w:basedOn w:val="841"/>
    <w:next w:val="1219"/>
    <w:qFormat/>
    <w:pPr>
      <w:ind w:left="200" w:firstLine="3784"/>
      <w:spacing w:before="0" w:after="0" w:line="360" w:lineRule="auto"/>
    </w:pPr>
    <w:rPr>
      <w:rFonts w:ascii="Times New Roman" w:hAnsi="Times New Roman" w:cs="Times New Roman"/>
    </w:rPr>
  </w:style>
  <w:style w:type="paragraph" w:styleId="1238" w:customStyle="1">
    <w:name w:val="1"/>
    <w:basedOn w:val="841"/>
    <w:next w:val="875"/>
    <w:qFormat/>
    <w:pPr>
      <w:ind w:left="0" w:firstLine="2048"/>
      <w:spacing w:before="0" w:after="0" w:line="240" w:lineRule="auto"/>
    </w:pPr>
    <w:rPr>
      <w:rFonts w:ascii="Times New Roman" w:hAnsi="Times New Roman" w:cs="Times New Roman"/>
    </w:rPr>
  </w:style>
  <w:style w:type="paragraph" w:styleId="1239" w:customStyle="1">
    <w:name w:val="_Style 398"/>
    <w:basedOn w:val="841"/>
    <w:next w:val="84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40" w:customStyle="1">
    <w:name w:val="Table Paragraph"/>
    <w:basedOn w:val="840"/>
    <w:uiPriority w:val="1"/>
    <w:qFormat/>
    <w:rPr>
      <w:rFonts w:ascii="宋体" w:hAnsi="宋体"/>
      <w:lang w:val="zh-CN" w:bidi="zh-CN"/>
    </w:rPr>
  </w:style>
  <w:style w:type="paragraph" w:styleId="1241" w:customStyle="1">
    <w:name w:val="_Style 400"/>
    <w:qFormat/>
    <w:rPr>
      <w:rFonts w:ascii="Calibri" w:hAnsi="Calibri" w:cs="宋体"/>
    </w:rPr>
  </w:style>
  <w:style w:type="paragraph" w:styleId="1242" w:customStyle="1">
    <w:name w:val="Style1"/>
    <w:basedOn w:val="840"/>
    <w:qFormat/>
    <w:pPr>
      <w:ind w:left="0"/>
      <w:tabs>
        <w:tab w:val="left" w:pos="-720" w:leader="none"/>
      </w:tabs>
    </w:pPr>
    <w:rPr>
      <w:rFonts w:ascii="Times New Roman" w:hAnsi="Times New Roman" w:cs="Times New Roman"/>
      <w:spacing w:val="-3"/>
      <w:sz w:val="24"/>
      <w:szCs w:val="24"/>
      <w:lang w:val="en-AU" w:eastAsia="en-US"/>
    </w:rPr>
  </w:style>
  <w:style w:type="paragraph" w:styleId="1243" w:customStyle="1">
    <w:name w:val="msolistparagraph"/>
    <w:basedOn w:val="841"/>
    <w:next w:val="1108"/>
    <w:qFormat/>
    <w:pPr>
      <w:ind w:left="420" w:firstLine="3748"/>
      <w:spacing w:before="0" w:after="0" w:line="240" w:lineRule="auto"/>
    </w:pPr>
    <w:rPr>
      <w:rFonts w:ascii="Times New Roman" w:hAnsi="Times New Roman" w:cs="Times New Roman"/>
    </w:rPr>
  </w:style>
  <w:style w:type="paragraph" w:styleId="1244" w:customStyle="1">
    <w:name w:val="Char1 Char Char Char"/>
    <w:basedOn w:val="841"/>
    <w:next w:val="1245"/>
    <w:qFormat/>
    <w:pPr>
      <w:ind w:left="0" w:firstLine="2560"/>
      <w:spacing w:before="0" w:after="0" w:line="240" w:lineRule="auto"/>
    </w:pPr>
    <w:rPr>
      <w:rFonts w:ascii="Times New Roman" w:hAnsi="Times New Roman" w:cs="Times New Roman"/>
    </w:rPr>
  </w:style>
  <w:style w:type="paragraph" w:styleId="1245" w:customStyle="1">
    <w:name w:val="xl24"/>
    <w:basedOn w:val="841"/>
    <w:next w:val="1190"/>
    <w:qFormat/>
    <w:pPr>
      <w:ind w:left="0" w:firstLine="20"/>
      <w:jc w:val="center"/>
      <w:spacing w:before="280" w:after="280" w:line="240" w:lineRule="auto"/>
      <w:shd w:val="clear" w:color="000000" w:fill="ffffff"/>
    </w:pPr>
    <w:rPr>
      <w:rFonts w:ascii="Times New Roman" w:hAnsi="Times New Roman" w:cs="Times New Roman"/>
    </w:rPr>
  </w:style>
  <w:style w:type="paragraph" w:styleId="1246" w:customStyle="1">
    <w:name w:val="表格文字"/>
    <w:next w:val="1204"/>
    <w:qFormat/>
    <w:pPr>
      <w:ind w:firstLine="3584"/>
    </w:pPr>
    <w:rPr>
      <w:rFonts w:ascii="Calibri" w:hAnsi="Calibri" w:cs="宋体"/>
    </w:rPr>
  </w:style>
  <w:style w:type="paragraph" w:styleId="1247" w:customStyle="1">
    <w:name w:val="xl72"/>
    <w:basedOn w:val="841"/>
    <w:next w:val="1103"/>
    <w:qFormat/>
    <w:pPr>
      <w:ind w:left="0" w:firstLine="3584"/>
      <w:spacing w:before="280" w:after="280" w:line="240" w:lineRule="auto"/>
    </w:pPr>
    <w:rPr>
      <w:rFonts w:ascii="Times New Roman" w:hAnsi="Times New Roman" w:cs="Times New Roman"/>
    </w:rPr>
  </w:style>
  <w:style w:type="paragraph" w:styleId="1248" w:customStyle="1">
    <w:name w:val="插图"/>
    <w:next w:val="840"/>
    <w:qFormat/>
    <w:pPr>
      <w:ind w:firstLine="4608"/>
      <w:jc w:val="center"/>
    </w:pPr>
    <w:rPr>
      <w:rFonts w:ascii="Calibri" w:hAnsi="Calibri" w:cs="宋体"/>
    </w:rPr>
  </w:style>
  <w:style w:type="paragraph" w:styleId="1249" w:customStyle="1">
    <w:name w:val="列出段落3"/>
    <w:basedOn w:val="841"/>
    <w:next w:val="1143"/>
    <w:qFormat/>
    <w:pPr>
      <w:ind w:left="420" w:firstLine="3748"/>
      <w:spacing w:before="0" w:after="0" w:line="240" w:lineRule="auto"/>
    </w:pPr>
    <w:rPr>
      <w:rFonts w:ascii="Times New Roman" w:hAnsi="Times New Roman" w:cs="Times New Roman"/>
    </w:rPr>
  </w:style>
  <w:style w:type="paragraph" w:styleId="1250" w:customStyle="1">
    <w:name w:val="目录标题"/>
    <w:basedOn w:val="841"/>
    <w:next w:val="840"/>
    <w:qFormat/>
    <w:pPr>
      <w:ind w:left="419" w:firstLine="7331"/>
      <w:jc w:val="center"/>
      <w:spacing w:before="566" w:after="544" w:line="566" w:lineRule="atLeast"/>
    </w:pPr>
    <w:rPr>
      <w:rFonts w:ascii="Times New Roman" w:hAnsi="Times New Roman" w:cs="Times New Roman"/>
    </w:rPr>
  </w:style>
  <w:style w:type="paragraph" w:styleId="1251" w:customStyle="1">
    <w:name w:val="默认段落字体 Para Char Char Char Char Char Char Char Char Char1 Char Char Char Char"/>
    <w:basedOn w:val="841"/>
    <w:next w:val="1146"/>
    <w:qFormat/>
    <w:pPr>
      <w:ind w:left="0" w:firstLine="2560"/>
      <w:spacing w:before="0" w:after="0" w:line="240" w:lineRule="auto"/>
    </w:pPr>
    <w:rPr>
      <w:rFonts w:ascii="Times New Roman" w:hAnsi="Times New Roman" w:cs="Times New Roman"/>
    </w:rPr>
  </w:style>
  <w:style w:type="paragraph" w:styleId="1252" w:customStyle="1">
    <w:name w:val="WPSOffice手动目录 2"/>
    <w:qFormat/>
    <w:pPr>
      <w:ind w:left="200"/>
    </w:pPr>
    <w:rPr>
      <w:rFonts w:ascii="宋体" w:hAnsi="宋体" w:cs="宋体"/>
    </w:rPr>
  </w:style>
  <w:style w:type="paragraph" w:styleId="1253" w:customStyle="1">
    <w:name w:val="表内文字"/>
    <w:basedOn w:val="841"/>
    <w:next w:val="883"/>
    <w:qFormat/>
    <w:pPr>
      <w:ind w:left="0" w:firstLine="7680"/>
      <w:jc w:val="center"/>
      <w:spacing w:before="50" w:after="50" w:line="240" w:lineRule="auto"/>
    </w:pPr>
    <w:rPr>
      <w:rFonts w:ascii="Times New Roman" w:hAnsi="Times New Roman" w:cs="Times New Roman"/>
    </w:rPr>
  </w:style>
  <w:style w:type="paragraph" w:styleId="1254" w:customStyle="1">
    <w:name w:val="xl66"/>
    <w:basedOn w:val="841"/>
    <w:next w:val="1236"/>
    <w:qFormat/>
    <w:pPr>
      <w:ind w:left="0" w:firstLine="3584"/>
      <w:spacing w:before="280" w:after="280" w:line="240" w:lineRule="auto"/>
    </w:pPr>
    <w:rPr>
      <w:rFonts w:ascii="Times New Roman" w:hAnsi="Times New Roman" w:cs="Times New Roman"/>
    </w:rPr>
  </w:style>
  <w:style w:type="paragraph" w:styleId="1255" w:customStyle="1">
    <w:name w:val="*正文"/>
    <w:basedOn w:val="840"/>
    <w:qFormat/>
    <w:pPr>
      <w:ind w:left="0" w:firstLine="200"/>
      <w:spacing w:line="360" w:lineRule="auto"/>
    </w:pPr>
    <w:rPr>
      <w:rFonts w:ascii="仿宋_GB2312" w:hAnsi="Times New Roman" w:eastAsia="仿宋_GB2312" w:cs="Times New Roman"/>
      <w:sz w:val="24"/>
      <w:szCs w:val="28"/>
    </w:rPr>
  </w:style>
  <w:style w:type="paragraph" w:styleId="1256" w:customStyle="1">
    <w:name w:val="0"/>
    <w:basedOn w:val="841"/>
    <w:next w:val="1149"/>
    <w:qFormat/>
    <w:pPr>
      <w:ind w:left="0" w:firstLine="2815"/>
      <w:spacing w:before="0" w:after="0" w:line="360" w:lineRule="auto"/>
    </w:pPr>
    <w:rPr>
      <w:rFonts w:ascii="Times New Roman" w:hAnsi="Times New Roman" w:cs="Times New Roman"/>
    </w:rPr>
  </w:style>
  <w:style w:type="table" w:styleId="1257" w:customStyle="1">
    <w:name w:val="网格型1"/>
    <w:basedOn w:val="851"/>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58" w:customStyle="1">
    <w:name w:val="font61"/>
    <w:qFormat/>
    <w:rPr>
      <w:rFonts w:hint="default" w:ascii="Times New Roman" w:hAnsi="Times New Roman" w:cs="Times New Roman"/>
      <w:b/>
      <w:bCs/>
      <w:color w:val="000000"/>
      <w:sz w:val="24"/>
      <w:szCs w:val="24"/>
      <w:u w:val="none"/>
    </w:rPr>
  </w:style>
  <w:style w:type="paragraph" w:styleId="1259" w:customStyle="1">
    <w:name w:val="Char Char Char Char Char Char Char Char Char Char"/>
    <w:basedOn w:val="840"/>
    <w:qFormat/>
    <w:pPr>
      <w:ind w:left="360" w:hanging="360"/>
      <w:tabs>
        <w:tab w:val="left" w:pos="420" w:leader="none"/>
      </w:tabs>
    </w:pPr>
    <w:rPr>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02E8F7B9-1C4D-4905-9793-361E7C2235FB}">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朱工</cp:lastModifiedBy>
  <cp:revision>7</cp:revision>
  <dcterms:created xsi:type="dcterms:W3CDTF">2024-08-22T06:44:00Z</dcterms:created>
  <dcterms:modified xsi:type="dcterms:W3CDTF">2024-08-26T02:35:08Z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62B237AA054144AC994220B8044099A6_13</vt:lpwstr>
  </property>
  <property fmtid="{D5CDD505-2E9C-101B-9397-08002B2CF9AE}" pid="4" name="commondata">
    <vt:lpwstr>eyJoZGlkIjoiMmU4NDdkODk2MjZlOTI5YjA5ZDk0Y2IwMDEyMjA1NGUifQ==</vt:lpwstr>
  </property>
</Properties>
</file>