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rPr>
          <w:b/>
          <w:color w:val="auto"/>
          <w:sz w:val="96"/>
          <w:szCs w:val="96"/>
          <w:highlight w:val="none"/>
        </w:rPr>
      </w:pPr>
      <w:r>
        <w:rPr>
          <w:rFonts w:hint="eastAsia"/>
          <w:b/>
          <w:color w:val="auto"/>
          <w:sz w:val="96"/>
          <w:szCs w:val="96"/>
          <w:highlight w:val="none"/>
        </w:rPr>
        <w:t xml:space="preserve">招 标 </w:t>
      </w:r>
      <w:r>
        <w:rPr>
          <w:b/>
          <w:color w:val="auto"/>
          <w:sz w:val="96"/>
          <w:szCs w:val="96"/>
          <w:highlight w:val="none"/>
        </w:rPr>
        <w:t xml:space="preserve">文</w:t>
      </w:r>
      <w:r>
        <w:rPr>
          <w:rFonts w:hint="eastAsia"/>
          <w:b/>
          <w:color w:val="auto"/>
          <w:sz w:val="96"/>
          <w:szCs w:val="96"/>
          <w:highlight w:val="none"/>
        </w:rPr>
        <w:t xml:space="preserve"> </w:t>
      </w:r>
      <w:r>
        <w:rPr>
          <w:b/>
          <w:color w:val="auto"/>
          <w:sz w:val="96"/>
          <w:szCs w:val="96"/>
          <w:highlight w:val="none"/>
        </w:rPr>
        <w:t xml:space="preserve">件</w:t>
      </w:r>
      <w:r/>
    </w:p>
    <w:p>
      <w:pPr>
        <w:ind w:firstLine="643"/>
        <w:jc w:val="left"/>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ind w:firstLine="643"/>
        <w:jc w:val="left"/>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ind w:firstLine="643"/>
        <w:jc w:val="left"/>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ind w:firstLine="723"/>
        <w:jc w:val="left"/>
        <w:spacing w:line="600" w:lineRule="exact"/>
        <w:rPr>
          <w:rFonts w:hint="eastAsia" w:ascii="宋体" w:hAnsi="宋体" w:eastAsia="宋体" w:cs="宋体"/>
          <w:b/>
          <w:bCs/>
          <w:color w:val="auto"/>
          <w:sz w:val="36"/>
          <w:szCs w:val="24"/>
          <w:highlight w:val="none"/>
          <w:lang w:eastAsia="zh-CN"/>
        </w:rPr>
      </w:pPr>
      <w:r>
        <w:rPr>
          <w:rFonts w:hint="eastAsia" w:ascii="宋体" w:hAnsi="宋体" w:cs="宋体"/>
          <w:b/>
          <w:bCs/>
          <w:color w:val="auto"/>
          <w:sz w:val="36"/>
          <w:szCs w:val="24"/>
          <w:highlight w:val="none"/>
        </w:rPr>
        <w:t xml:space="preserve">项目编号：</w:t>
      </w:r>
      <w:r>
        <w:rPr>
          <w:rFonts w:hint="eastAsia" w:ascii="宋体" w:hAnsi="宋体" w:cs="宋体"/>
          <w:b/>
          <w:bCs/>
          <w:color w:val="auto"/>
          <w:sz w:val="36"/>
          <w:szCs w:val="24"/>
          <w:highlight w:val="none"/>
          <w:lang w:eastAsia="zh-CN"/>
        </w:rPr>
        <w:t xml:space="preserve">JSZC-320581-HXGW-G2025-0022</w:t>
      </w:r>
      <w:r/>
    </w:p>
    <w:p>
      <w:pPr>
        <w:ind w:firstLine="723"/>
        <w:spacing w:line="600" w:lineRule="exact"/>
        <w:rPr>
          <w:rFonts w:hint="eastAsia" w:ascii="宋体" w:hAnsi="宋体" w:eastAsia="宋体" w:cs="宋体"/>
          <w:b/>
          <w:bCs/>
          <w:color w:val="auto"/>
          <w:sz w:val="36"/>
          <w:szCs w:val="24"/>
          <w:highlight w:val="none"/>
          <w:lang w:eastAsia="zh-CN"/>
        </w:rPr>
      </w:pPr>
      <w:r>
        <w:rPr>
          <w:rFonts w:hint="eastAsia" w:ascii="宋体" w:hAnsi="宋体" w:cs="宋体"/>
          <w:b/>
          <w:bCs/>
          <w:color w:val="auto"/>
          <w:sz w:val="36"/>
          <w:szCs w:val="24"/>
          <w:highlight w:val="none"/>
        </w:rPr>
        <w:t xml:space="preserve">项目名称：</w:t>
      </w:r>
      <w:r>
        <w:rPr>
          <w:rFonts w:hint="eastAsia" w:ascii="宋体" w:hAnsi="宋体" w:cs="宋体"/>
          <w:b/>
          <w:bCs/>
          <w:color w:val="auto"/>
          <w:sz w:val="36"/>
          <w:szCs w:val="24"/>
          <w:highlight w:val="none"/>
          <w:lang w:eastAsia="zh-CN"/>
        </w:rPr>
        <w:t xml:space="preserve">2025年中央粮油生产保障资金-小麦“一喷三防”项目</w:t>
      </w:r>
      <w:r/>
    </w:p>
    <w:p>
      <w:pPr>
        <w:ind w:firstLine="723"/>
        <w:jc w:val="left"/>
        <w:spacing w:line="600" w:lineRule="exact"/>
        <w:rPr>
          <w:rFonts w:hint="eastAsia" w:ascii="宋体" w:hAnsi="宋体" w:cs="宋体"/>
          <w:b/>
          <w:bCs/>
          <w:color w:val="auto"/>
          <w:sz w:val="36"/>
          <w:szCs w:val="24"/>
          <w:highlight w:val="none"/>
        </w:rPr>
      </w:pPr>
      <w:r>
        <w:rPr>
          <w:rFonts w:hint="eastAsia" w:ascii="宋体" w:hAnsi="宋体" w:cs="宋体"/>
          <w:b/>
          <w:bCs/>
          <w:color w:val="auto"/>
          <w:sz w:val="36"/>
          <w:szCs w:val="24"/>
          <w:highlight w:val="none"/>
        </w:rPr>
        <w:t xml:space="preserve">项目属性：货物类项目</w:t>
      </w:r>
      <w:r/>
    </w:p>
    <w:p>
      <w:pPr>
        <w:ind w:firstLine="723"/>
        <w:jc w:val="left"/>
        <w:spacing w:line="600" w:lineRule="exact"/>
        <w:rPr>
          <w:rFonts w:hint="eastAsia" w:ascii="宋体" w:hAnsi="宋体" w:cs="宋体"/>
          <w:b/>
          <w:bCs/>
          <w:color w:val="auto"/>
          <w:sz w:val="36"/>
          <w:szCs w:val="24"/>
          <w:highlight w:val="none"/>
        </w:rPr>
      </w:pPr>
      <w:r>
        <w:rPr>
          <w:rFonts w:hint="eastAsia" w:ascii="宋体" w:hAnsi="宋体" w:cs="宋体"/>
          <w:b/>
          <w:bCs/>
          <w:color w:val="auto"/>
          <w:sz w:val="36"/>
          <w:szCs w:val="24"/>
          <w:highlight w:val="none"/>
        </w:rPr>
        <w:t xml:space="preserve">标的所属行业：工业</w:t>
      </w:r>
      <w:r/>
    </w:p>
    <w:p>
      <w:pPr>
        <w:ind w:left="2100" w:firstLine="480"/>
        <w:rPr>
          <w:rFonts w:hint="eastAsia" w:ascii="宋体" w:hAnsi="宋体" w:cs="宋体"/>
          <w:b/>
          <w:color w:val="auto"/>
          <w:sz w:val="30"/>
          <w:szCs w:val="30"/>
          <w:highlight w:val="none"/>
        </w:rPr>
      </w:pPr>
      <w:r>
        <w:rPr>
          <w:rFonts w:hint="eastAsia" w:ascii="宋体" w:hAnsi="宋体" w:cs="宋体"/>
          <w:color w:val="auto"/>
          <w:szCs w:val="21"/>
          <w:highlight w:val="none"/>
        </w:rPr>
        <w:t xml:space="preserve">           </w:t>
      </w:r>
      <w:r>
        <w:rPr>
          <w:rFonts w:hint="eastAsia" w:ascii="宋体" w:hAnsi="宋体" w:cs="宋体"/>
          <w:b/>
          <w:color w:val="auto"/>
          <w:sz w:val="30"/>
          <w:szCs w:val="30"/>
          <w:highlight w:val="none"/>
        </w:rPr>
        <w:t xml:space="preserve">    </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93"/>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723"/>
        <w:jc w:val="center"/>
        <w:spacing w:before="120" w:after="120" w:line="360" w:lineRule="auto"/>
        <w:rPr>
          <w:rFonts w:hint="eastAsia" w:ascii="宋体" w:hAnsi="宋体" w:cs="宋体"/>
          <w:b/>
          <w:bCs/>
          <w:color w:val="auto"/>
          <w:sz w:val="40"/>
          <w:szCs w:val="28"/>
          <w:highlight w:val="none"/>
        </w:rPr>
      </w:pPr>
      <w:r>
        <w:rPr>
          <w:rFonts w:hint="eastAsia" w:ascii="宋体" w:hAnsi="宋体" w:cs="宋体"/>
          <w:b/>
          <w:bCs/>
          <w:color w:val="auto"/>
          <w:sz w:val="40"/>
          <w:szCs w:val="28"/>
          <w:highlight w:val="none"/>
        </w:rPr>
        <w:t xml:space="preserve">涵熙（苏州）工程顾问有限公司</w:t>
      </w:r>
      <w:r/>
    </w:p>
    <w:p>
      <w:pPr>
        <w:ind w:firstLine="723"/>
        <w:jc w:val="center"/>
        <w:spacing w:before="120" w:after="120" w:line="360" w:lineRule="auto"/>
        <w:rPr>
          <w:rFonts w:hint="eastAsia" w:ascii="宋体" w:hAnsi="宋体" w:cs="宋体"/>
          <w:color w:val="auto"/>
          <w:sz w:val="32"/>
          <w:szCs w:val="28"/>
          <w:highlight w:val="none"/>
        </w:rPr>
      </w:pPr>
      <w:r>
        <w:rPr>
          <w:rFonts w:hint="eastAsia" w:ascii="宋体" w:hAnsi="宋体" w:cs="宋体"/>
          <w:b/>
          <w:bCs/>
          <w:color w:val="auto"/>
          <w:sz w:val="40"/>
          <w:szCs w:val="28"/>
          <w:highlight w:val="none"/>
          <w:lang w:eastAsia="zh-CN"/>
        </w:rPr>
        <w:t xml:space="preserve">2025</w:t>
      </w:r>
      <w:r>
        <w:rPr>
          <w:rFonts w:hint="eastAsia" w:ascii="宋体" w:hAnsi="宋体" w:cs="宋体"/>
          <w:b/>
          <w:bCs/>
          <w:color w:val="auto"/>
          <w:sz w:val="40"/>
          <w:szCs w:val="28"/>
          <w:highlight w:val="none"/>
        </w:rPr>
        <w:t xml:space="preserve">年</w:t>
      </w:r>
      <w:r>
        <w:rPr>
          <w:rFonts w:hint="eastAsia" w:ascii="宋体" w:hAnsi="宋体" w:cs="宋体"/>
          <w:b/>
          <w:bCs/>
          <w:color w:val="auto"/>
          <w:sz w:val="40"/>
          <w:szCs w:val="28"/>
          <w:highlight w:val="none"/>
          <w:lang w:val="en-US" w:eastAsia="zh-CN"/>
        </w:rPr>
        <w:t xml:space="preserve">03</w:t>
      </w:r>
      <w:r>
        <w:rPr>
          <w:rFonts w:hint="eastAsia" w:ascii="宋体" w:hAnsi="宋体" w:cs="宋体"/>
          <w:b/>
          <w:bCs/>
          <w:color w:val="auto"/>
          <w:sz w:val="40"/>
          <w:szCs w:val="28"/>
          <w:highlight w:val="none"/>
        </w:rPr>
        <w:t xml:space="preserve">月</w:t>
      </w:r>
      <w:r>
        <w:rPr>
          <w:rFonts w:hint="eastAsia" w:ascii="宋体" w:hAnsi="宋体" w:cs="宋体"/>
          <w:b/>
          <w:bCs/>
          <w:color w:val="auto"/>
          <w:sz w:val="40"/>
          <w:szCs w:val="28"/>
          <w:highlight w:val="none"/>
          <w:lang w:val="en-US" w:eastAsia="zh-CN"/>
        </w:rPr>
        <w:t xml:space="preserve">21</w:t>
      </w:r>
      <w:r>
        <w:rPr>
          <w:rFonts w:hint="eastAsia" w:ascii="宋体" w:hAnsi="宋体" w:cs="宋体"/>
          <w:b/>
          <w:bCs/>
          <w:color w:val="auto"/>
          <w:sz w:val="40"/>
          <w:szCs w:val="28"/>
          <w:highlight w:val="none"/>
        </w:rPr>
        <w:t xml:space="preserve">日</w:t>
      </w:r>
      <w:r/>
    </w:p>
    <w:p>
      <w:pPr>
        <w:pStyle w:val="1137"/>
        <w:ind w:firstLine="640"/>
        <w:jc w:val="center"/>
        <w:rPr>
          <w:rFonts w:hint="eastAsia"/>
          <w:b/>
          <w:bCs/>
          <w:color w:val="auto"/>
          <w:highlight w:val="none"/>
        </w:rPr>
      </w:pPr>
      <w:r>
        <w:rPr>
          <w:rFonts w:ascii="Times New Roman" w:hAnsi="Times New Roman"/>
          <w:color w:val="auto"/>
          <w:szCs w:val="21"/>
          <w:highlight w:val="none"/>
        </w:rPr>
        <w:br w:type="page" w:clear="all"/>
      </w:r>
      <w:bookmarkStart w:id="0" w:name="_Toc120614210"/>
      <w:r/>
      <w:bookmarkStart w:id="1" w:name="_Toc523127445"/>
      <w:r/>
      <w:bookmarkStart w:id="2" w:name="_Toc513029200"/>
      <w:r/>
      <w:bookmarkStart w:id="3" w:name="_Toc479757206"/>
      <w:r/>
      <w:bookmarkStart w:id="4" w:name="_Toc20823272"/>
      <w:r/>
      <w:bookmarkStart w:id="5" w:name="_Toc16938516"/>
      <w:r>
        <w:rPr>
          <w:b/>
          <w:bCs/>
          <w:color w:val="auto"/>
          <w:highlight w:val="none"/>
          <w:lang w:val="zh-CN"/>
        </w:rPr>
        <w:t xml:space="preserve">目录</w:t>
      </w:r>
      <w:r/>
    </w:p>
    <w:p>
      <w:pPr>
        <w:pStyle w:val="806"/>
        <w:tabs>
          <w:tab w:val="right" w:pos="10466"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"1-3" \h \z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_Toc28409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 xml:space="preserve">第一章  投标邀请</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_Toc28409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806"/>
        <w:tabs>
          <w:tab w:val="right" w:pos="10466" w:leader="dot"/>
        </w:tabs>
        <w:rPr>
          <w:rFonts w:hint="eastAsia" w:ascii="宋体" w:hAnsi="宋体" w:eastAsia="宋体" w:cs="宋体"/>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_Toc10555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 xml:space="preserve">第二章  投标人须知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_Toc10555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fldChar w:fldCharType="end"/>
      </w:r>
      <w:r>
        <w:rPr>
          <w:rFonts w:hint="eastAsia" w:ascii="宋体" w:hAnsi="宋体" w:eastAsia="宋体" w:cs="宋体"/>
          <w:caps/>
          <w:color w:val="auto"/>
          <w:sz w:val="24"/>
          <w:szCs w:val="24"/>
          <w:highlight w:val="none"/>
        </w:rPr>
        <w:fldChar w:fldCharType="end"/>
      </w:r>
      <w:r/>
    </w:p>
    <w:p>
      <w:pPr>
        <w:pStyle w:val="806"/>
        <w:tabs>
          <w:tab w:val="right" w:pos="10466" w:leader="dot"/>
        </w:tabs>
        <w:rPr>
          <w:rFonts w:hint="eastAsia" w:ascii="宋体" w:hAnsi="宋体" w:eastAsia="宋体" w:cs="宋体"/>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_Toc610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 xml:space="preserve">第三章  合同文本</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_Toc610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rPr>
        <w:fldChar w:fldCharType="end"/>
      </w:r>
      <w:r>
        <w:rPr>
          <w:rFonts w:hint="eastAsia" w:ascii="宋体" w:hAnsi="宋体" w:eastAsia="宋体" w:cs="宋体"/>
          <w:caps/>
          <w:color w:val="auto"/>
          <w:sz w:val="24"/>
          <w:szCs w:val="24"/>
          <w:highlight w:val="none"/>
        </w:rPr>
        <w:fldChar w:fldCharType="end"/>
      </w:r>
      <w:r/>
    </w:p>
    <w:p>
      <w:pPr>
        <w:pStyle w:val="806"/>
        <w:tabs>
          <w:tab w:val="right" w:pos="10466" w:leader="dot"/>
        </w:tabs>
        <w:rPr>
          <w:rFonts w:hint="eastAsia" w:ascii="宋体" w:hAnsi="宋体" w:eastAsia="宋体" w:cs="宋体"/>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_Toc11923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 xml:space="preserve">第四章  采购需求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_Toc11923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rPr>
        <w:fldChar w:fldCharType="end"/>
      </w:r>
      <w:r>
        <w:rPr>
          <w:rFonts w:hint="eastAsia" w:ascii="宋体" w:hAnsi="宋体" w:eastAsia="宋体" w:cs="宋体"/>
          <w:caps/>
          <w:color w:val="auto"/>
          <w:sz w:val="24"/>
          <w:szCs w:val="24"/>
          <w:highlight w:val="none"/>
        </w:rPr>
        <w:fldChar w:fldCharType="end"/>
      </w:r>
      <w:r/>
    </w:p>
    <w:p>
      <w:pPr>
        <w:pStyle w:val="812"/>
        <w:tabs>
          <w:tab w:val="right" w:pos="10466" w:leader="dot"/>
        </w:tabs>
        <w:rPr>
          <w:rFonts w:hint="eastAsia" w:ascii="宋体" w:hAnsi="宋体" w:eastAsia="宋体" w:cs="宋体"/>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_Toc26668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 xml:space="preserve">一、项目说明：</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_Toc26668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rPr>
        <w:fldChar w:fldCharType="end"/>
      </w:r>
      <w:r>
        <w:rPr>
          <w:rFonts w:hint="eastAsia" w:ascii="宋体" w:hAnsi="宋体" w:eastAsia="宋体" w:cs="宋体"/>
          <w:caps/>
          <w:color w:val="auto"/>
          <w:sz w:val="24"/>
          <w:szCs w:val="24"/>
          <w:highlight w:val="none"/>
        </w:rPr>
        <w:fldChar w:fldCharType="end"/>
      </w:r>
      <w:r/>
    </w:p>
    <w:p>
      <w:pPr>
        <w:pStyle w:val="812"/>
        <w:tabs>
          <w:tab w:val="right" w:pos="10466" w:leader="dot"/>
        </w:tabs>
        <w:rPr>
          <w:rFonts w:hint="eastAsia" w:ascii="宋体" w:hAnsi="宋体" w:eastAsia="宋体" w:cs="宋体"/>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_Toc30869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lang w:val="zh-CN"/>
        </w:rPr>
        <w:t xml:space="preserve">二、货物清单及技术规格要求：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_Toc30869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rPr>
        <w:fldChar w:fldCharType="end"/>
      </w:r>
      <w:r>
        <w:rPr>
          <w:rFonts w:hint="eastAsia" w:ascii="宋体" w:hAnsi="宋体" w:eastAsia="宋体" w:cs="宋体"/>
          <w:caps/>
          <w:color w:val="auto"/>
          <w:sz w:val="24"/>
          <w:szCs w:val="24"/>
          <w:highlight w:val="none"/>
        </w:rPr>
        <w:fldChar w:fldCharType="end"/>
      </w:r>
      <w:r/>
    </w:p>
    <w:p>
      <w:pPr>
        <w:pStyle w:val="812"/>
        <w:tabs>
          <w:tab w:val="right" w:pos="10466" w:leader="dot"/>
        </w:tabs>
        <w:rPr>
          <w:rFonts w:hint="eastAsia" w:ascii="宋体" w:hAnsi="宋体" w:eastAsia="宋体" w:cs="宋体"/>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_Toc17137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lang w:val="zh-CN"/>
        </w:rPr>
        <w:t xml:space="preserve">三、质量保证和售后服务要求：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_Toc17137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rPr>
        <w:fldChar w:fldCharType="end"/>
      </w:r>
      <w:r>
        <w:rPr>
          <w:rFonts w:hint="eastAsia" w:ascii="宋体" w:hAnsi="宋体" w:eastAsia="宋体" w:cs="宋体"/>
          <w:caps/>
          <w:color w:val="auto"/>
          <w:sz w:val="24"/>
          <w:szCs w:val="24"/>
          <w:highlight w:val="none"/>
        </w:rPr>
        <w:fldChar w:fldCharType="end"/>
      </w:r>
      <w:r/>
    </w:p>
    <w:p>
      <w:pPr>
        <w:pStyle w:val="812"/>
        <w:tabs>
          <w:tab w:val="right" w:pos="10466" w:leader="dot"/>
        </w:tabs>
        <w:rPr>
          <w:rFonts w:hint="eastAsia" w:ascii="宋体" w:hAnsi="宋体" w:eastAsia="宋体" w:cs="宋体"/>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_Toc6024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rPr>
        <w:t xml:space="preserve">、投标报价要求：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_Toc6024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rPr>
        <w:fldChar w:fldCharType="end"/>
      </w:r>
      <w:r>
        <w:rPr>
          <w:rFonts w:hint="eastAsia" w:ascii="宋体" w:hAnsi="宋体" w:eastAsia="宋体" w:cs="宋体"/>
          <w:caps/>
          <w:color w:val="auto"/>
          <w:sz w:val="24"/>
          <w:szCs w:val="24"/>
          <w:highlight w:val="none"/>
        </w:rPr>
        <w:fldChar w:fldCharType="end"/>
      </w:r>
      <w:r/>
    </w:p>
    <w:p>
      <w:pPr>
        <w:pStyle w:val="806"/>
        <w:tabs>
          <w:tab w:val="right" w:pos="10466" w:leader="dot"/>
        </w:tabs>
        <w:rPr>
          <w:rFonts w:hint="eastAsia" w:ascii="宋体" w:hAnsi="宋体" w:eastAsia="宋体" w:cs="宋体"/>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_Toc19313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 xml:space="preserve">第五章  评标方法与评标标准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_Toc19313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24</w:t>
      </w:r>
      <w:r>
        <w:rPr>
          <w:rFonts w:hint="eastAsia" w:ascii="宋体" w:hAnsi="宋体" w:eastAsia="宋体" w:cs="宋体"/>
          <w:color w:val="auto"/>
          <w:sz w:val="24"/>
          <w:szCs w:val="24"/>
          <w:highlight w:val="none"/>
        </w:rPr>
        <w:fldChar w:fldCharType="end"/>
      </w:r>
      <w:r>
        <w:rPr>
          <w:rFonts w:hint="eastAsia" w:ascii="宋体" w:hAnsi="宋体" w:eastAsia="宋体" w:cs="宋体"/>
          <w:caps/>
          <w:color w:val="auto"/>
          <w:sz w:val="24"/>
          <w:szCs w:val="24"/>
          <w:highlight w:val="none"/>
        </w:rPr>
        <w:fldChar w:fldCharType="end"/>
      </w:r>
      <w:r/>
    </w:p>
    <w:p>
      <w:pPr>
        <w:pStyle w:val="806"/>
        <w:tabs>
          <w:tab w:val="right" w:pos="10466" w:leader="dot"/>
        </w:tabs>
        <w:rPr>
          <w:rFonts w:hint="eastAsia" w:ascii="宋体" w:hAnsi="宋体" w:eastAsia="宋体" w:cs="宋体"/>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_Toc29851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 xml:space="preserve">第六章  投标文件格式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_Toc29851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28</w:t>
      </w:r>
      <w:r>
        <w:rPr>
          <w:rFonts w:hint="eastAsia" w:ascii="宋体" w:hAnsi="宋体" w:eastAsia="宋体" w:cs="宋体"/>
          <w:color w:val="auto"/>
          <w:sz w:val="24"/>
          <w:szCs w:val="24"/>
          <w:highlight w:val="none"/>
        </w:rPr>
        <w:fldChar w:fldCharType="end"/>
      </w:r>
      <w:r>
        <w:rPr>
          <w:rFonts w:hint="eastAsia" w:ascii="宋体" w:hAnsi="宋体" w:eastAsia="宋体" w:cs="宋体"/>
          <w:caps/>
          <w:color w:val="auto"/>
          <w:sz w:val="24"/>
          <w:szCs w:val="24"/>
          <w:highlight w:val="none"/>
        </w:rPr>
        <w:fldChar w:fldCharType="end"/>
      </w:r>
      <w:r/>
    </w:p>
    <w:p>
      <w:pPr>
        <w:pStyle w:val="812"/>
        <w:tabs>
          <w:tab w:val="right" w:pos="10466" w:leader="dot"/>
        </w:tabs>
        <w:rPr>
          <w:rFonts w:hint="eastAsia" w:ascii="宋体" w:hAnsi="宋体" w:eastAsia="宋体" w:cs="宋体"/>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_Toc23705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 xml:space="preserve">附件1 开标一览表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_Toc23705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rPr>
        <w:fldChar w:fldCharType="end"/>
      </w:r>
      <w:r>
        <w:rPr>
          <w:rFonts w:hint="eastAsia" w:ascii="宋体" w:hAnsi="宋体" w:eastAsia="宋体" w:cs="宋体"/>
          <w:caps/>
          <w:color w:val="auto"/>
          <w:sz w:val="24"/>
          <w:szCs w:val="24"/>
          <w:highlight w:val="none"/>
        </w:rPr>
        <w:fldChar w:fldCharType="end"/>
      </w:r>
      <w:r/>
    </w:p>
    <w:p>
      <w:pPr>
        <w:pStyle w:val="812"/>
        <w:tabs>
          <w:tab w:val="right" w:pos="10466" w:leader="dot"/>
        </w:tabs>
        <w:rPr>
          <w:rFonts w:hint="eastAsia" w:ascii="宋体" w:hAnsi="宋体" w:eastAsia="宋体" w:cs="宋体"/>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_Toc9118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 xml:space="preserve">附件2 报价明细表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_Toc9118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rPr>
        <w:fldChar w:fldCharType="end"/>
      </w:r>
      <w:r>
        <w:rPr>
          <w:rFonts w:hint="eastAsia" w:ascii="宋体" w:hAnsi="宋体" w:eastAsia="宋体" w:cs="宋体"/>
          <w:caps/>
          <w:color w:val="auto"/>
          <w:sz w:val="24"/>
          <w:szCs w:val="24"/>
          <w:highlight w:val="none"/>
        </w:rPr>
        <w:fldChar w:fldCharType="end"/>
      </w:r>
      <w:r/>
    </w:p>
    <w:p>
      <w:pPr>
        <w:pStyle w:val="812"/>
        <w:tabs>
          <w:tab w:val="right" w:pos="10466" w:leader="dot"/>
        </w:tabs>
        <w:rPr>
          <w:rFonts w:hint="eastAsia" w:ascii="宋体" w:hAnsi="宋体" w:eastAsia="宋体" w:cs="宋体"/>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_Toc5447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 xml:space="preserve">附件3 技术参数响应及偏离表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_Toc5447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rPr>
        <w:fldChar w:fldCharType="end"/>
      </w:r>
      <w:r>
        <w:rPr>
          <w:rFonts w:hint="eastAsia" w:ascii="宋体" w:hAnsi="宋体" w:eastAsia="宋体" w:cs="宋体"/>
          <w:caps/>
          <w:color w:val="auto"/>
          <w:sz w:val="24"/>
          <w:szCs w:val="24"/>
          <w:highlight w:val="none"/>
        </w:rPr>
        <w:fldChar w:fldCharType="end"/>
      </w:r>
      <w:r/>
    </w:p>
    <w:p>
      <w:pPr>
        <w:pStyle w:val="812"/>
        <w:tabs>
          <w:tab w:val="right" w:pos="10466" w:leader="dot"/>
        </w:tabs>
        <w:rPr>
          <w:rFonts w:hint="eastAsia" w:ascii="宋体" w:hAnsi="宋体" w:eastAsia="宋体" w:cs="宋体"/>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_Toc24849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 xml:space="preserve">附件4 项目实施方案</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_Toc24849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33</w:t>
      </w:r>
      <w:r>
        <w:rPr>
          <w:rFonts w:hint="eastAsia" w:ascii="宋体" w:hAnsi="宋体" w:eastAsia="宋体" w:cs="宋体"/>
          <w:color w:val="auto"/>
          <w:sz w:val="24"/>
          <w:szCs w:val="24"/>
          <w:highlight w:val="none"/>
        </w:rPr>
        <w:fldChar w:fldCharType="end"/>
      </w:r>
      <w:r>
        <w:rPr>
          <w:rFonts w:hint="eastAsia" w:ascii="宋体" w:hAnsi="宋体" w:eastAsia="宋体" w:cs="宋体"/>
          <w:caps/>
          <w:color w:val="auto"/>
          <w:sz w:val="24"/>
          <w:szCs w:val="24"/>
          <w:highlight w:val="none"/>
        </w:rPr>
        <w:fldChar w:fldCharType="end"/>
      </w:r>
      <w:r/>
    </w:p>
    <w:p>
      <w:pPr>
        <w:pStyle w:val="812"/>
        <w:tabs>
          <w:tab w:val="right" w:pos="10466" w:leader="dot"/>
        </w:tabs>
        <w:rPr>
          <w:rFonts w:hint="eastAsia" w:ascii="宋体" w:hAnsi="宋体" w:eastAsia="宋体" w:cs="宋体"/>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_Toc31888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 xml:space="preserve">附件</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 业绩一览表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_Toc31888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34</w:t>
      </w:r>
      <w:r>
        <w:rPr>
          <w:rFonts w:hint="eastAsia" w:ascii="宋体" w:hAnsi="宋体" w:eastAsia="宋体" w:cs="宋体"/>
          <w:color w:val="auto"/>
          <w:sz w:val="24"/>
          <w:szCs w:val="24"/>
          <w:highlight w:val="none"/>
        </w:rPr>
        <w:fldChar w:fldCharType="end"/>
      </w:r>
      <w:r>
        <w:rPr>
          <w:rFonts w:hint="eastAsia" w:ascii="宋体" w:hAnsi="宋体" w:eastAsia="宋体" w:cs="宋体"/>
          <w:caps/>
          <w:color w:val="auto"/>
          <w:sz w:val="24"/>
          <w:szCs w:val="24"/>
          <w:highlight w:val="none"/>
        </w:rPr>
        <w:fldChar w:fldCharType="end"/>
      </w:r>
      <w:r/>
    </w:p>
    <w:p>
      <w:pPr>
        <w:pStyle w:val="812"/>
        <w:tabs>
          <w:tab w:val="right" w:pos="10466" w:leader="dot"/>
        </w:tabs>
        <w:rPr>
          <w:rFonts w:hint="eastAsia" w:ascii="宋体" w:hAnsi="宋体" w:eastAsia="宋体" w:cs="宋体"/>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_Toc18927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 xml:space="preserve">附件</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 商务要求响应及偏离表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_Toc18927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35</w:t>
      </w:r>
      <w:r>
        <w:rPr>
          <w:rFonts w:hint="eastAsia" w:ascii="宋体" w:hAnsi="宋体" w:eastAsia="宋体" w:cs="宋体"/>
          <w:color w:val="auto"/>
          <w:sz w:val="24"/>
          <w:szCs w:val="24"/>
          <w:highlight w:val="none"/>
        </w:rPr>
        <w:fldChar w:fldCharType="end"/>
      </w:r>
      <w:r>
        <w:rPr>
          <w:rFonts w:hint="eastAsia" w:ascii="宋体" w:hAnsi="宋体" w:eastAsia="宋体" w:cs="宋体"/>
          <w:caps/>
          <w:color w:val="auto"/>
          <w:sz w:val="24"/>
          <w:szCs w:val="24"/>
          <w:highlight w:val="none"/>
        </w:rPr>
        <w:fldChar w:fldCharType="end"/>
      </w:r>
      <w:r/>
    </w:p>
    <w:p>
      <w:pPr>
        <w:pStyle w:val="812"/>
        <w:tabs>
          <w:tab w:val="right" w:pos="10466" w:leader="dot"/>
        </w:tabs>
        <w:rPr>
          <w:rFonts w:hint="eastAsia" w:ascii="宋体" w:hAnsi="宋体" w:eastAsia="宋体" w:cs="宋体"/>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_Toc27888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 xml:space="preserve">附件</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 具备履行合同所必需的人员和专业技术能力的书面声明</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_Toc27888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36</w:t>
      </w:r>
      <w:r>
        <w:rPr>
          <w:rFonts w:hint="eastAsia" w:ascii="宋体" w:hAnsi="宋体" w:eastAsia="宋体" w:cs="宋体"/>
          <w:color w:val="auto"/>
          <w:sz w:val="24"/>
          <w:szCs w:val="24"/>
          <w:highlight w:val="none"/>
        </w:rPr>
        <w:fldChar w:fldCharType="end"/>
      </w:r>
      <w:r>
        <w:rPr>
          <w:rFonts w:hint="eastAsia" w:ascii="宋体" w:hAnsi="宋体" w:eastAsia="宋体" w:cs="宋体"/>
          <w:caps/>
          <w:color w:val="auto"/>
          <w:sz w:val="24"/>
          <w:szCs w:val="24"/>
          <w:highlight w:val="none"/>
        </w:rPr>
        <w:fldChar w:fldCharType="end"/>
      </w:r>
      <w:r/>
    </w:p>
    <w:p>
      <w:pPr>
        <w:pStyle w:val="812"/>
        <w:tabs>
          <w:tab w:val="right" w:pos="10466" w:leader="dot"/>
        </w:tabs>
        <w:rPr>
          <w:rFonts w:hint="eastAsia" w:ascii="宋体" w:hAnsi="宋体" w:eastAsia="宋体" w:cs="宋体"/>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_Toc25215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 xml:space="preserve">附件</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 参加政府采购活动前 3 年内在经营活动中没有重大违法记录的书面声明</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_Toc25215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37</w:t>
      </w:r>
      <w:r>
        <w:rPr>
          <w:rFonts w:hint="eastAsia" w:ascii="宋体" w:hAnsi="宋体" w:eastAsia="宋体" w:cs="宋体"/>
          <w:color w:val="auto"/>
          <w:sz w:val="24"/>
          <w:szCs w:val="24"/>
          <w:highlight w:val="none"/>
        </w:rPr>
        <w:fldChar w:fldCharType="end"/>
      </w:r>
      <w:r>
        <w:rPr>
          <w:rFonts w:hint="eastAsia" w:ascii="宋体" w:hAnsi="宋体" w:eastAsia="宋体" w:cs="宋体"/>
          <w:caps/>
          <w:color w:val="auto"/>
          <w:sz w:val="24"/>
          <w:szCs w:val="24"/>
          <w:highlight w:val="none"/>
        </w:rPr>
        <w:fldChar w:fldCharType="end"/>
      </w:r>
      <w:r/>
    </w:p>
    <w:p>
      <w:pPr>
        <w:pStyle w:val="812"/>
        <w:tabs>
          <w:tab w:val="right" w:pos="10466" w:leader="dot"/>
        </w:tabs>
        <w:rPr>
          <w:rFonts w:hint="eastAsia" w:ascii="宋体" w:hAnsi="宋体" w:eastAsia="宋体" w:cs="宋体"/>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_Toc9803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 xml:space="preserve">附件</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 法人授权书</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_Toc9803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38</w:t>
      </w:r>
      <w:r>
        <w:rPr>
          <w:rFonts w:hint="eastAsia" w:ascii="宋体" w:hAnsi="宋体" w:eastAsia="宋体" w:cs="宋体"/>
          <w:color w:val="auto"/>
          <w:sz w:val="24"/>
          <w:szCs w:val="24"/>
          <w:highlight w:val="none"/>
        </w:rPr>
        <w:fldChar w:fldCharType="end"/>
      </w:r>
      <w:r>
        <w:rPr>
          <w:rFonts w:hint="eastAsia" w:ascii="宋体" w:hAnsi="宋体" w:eastAsia="宋体" w:cs="宋体"/>
          <w:caps/>
          <w:color w:val="auto"/>
          <w:sz w:val="24"/>
          <w:szCs w:val="24"/>
          <w:highlight w:val="none"/>
        </w:rPr>
        <w:fldChar w:fldCharType="end"/>
      </w:r>
      <w:r/>
    </w:p>
    <w:p>
      <w:pPr>
        <w:pStyle w:val="812"/>
        <w:tabs>
          <w:tab w:val="right" w:pos="10466" w:leader="dot"/>
        </w:tabs>
        <w:rPr>
          <w:rFonts w:hint="eastAsia" w:ascii="宋体" w:hAnsi="宋体" w:eastAsia="宋体" w:cs="宋体"/>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_Toc27885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 xml:space="preserve">附件1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 中小企业声明函</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_Toc27885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39</w:t>
      </w:r>
      <w:r>
        <w:rPr>
          <w:rFonts w:hint="eastAsia" w:ascii="宋体" w:hAnsi="宋体" w:eastAsia="宋体" w:cs="宋体"/>
          <w:color w:val="auto"/>
          <w:sz w:val="24"/>
          <w:szCs w:val="24"/>
          <w:highlight w:val="none"/>
        </w:rPr>
        <w:fldChar w:fldCharType="end"/>
      </w:r>
      <w:r>
        <w:rPr>
          <w:rFonts w:hint="eastAsia" w:ascii="宋体" w:hAnsi="宋体" w:eastAsia="宋体" w:cs="宋体"/>
          <w:caps/>
          <w:color w:val="auto"/>
          <w:sz w:val="24"/>
          <w:szCs w:val="24"/>
          <w:highlight w:val="none"/>
        </w:rPr>
        <w:fldChar w:fldCharType="end"/>
      </w:r>
      <w:r/>
    </w:p>
    <w:p>
      <w:pPr>
        <w:pStyle w:val="812"/>
        <w:tabs>
          <w:tab w:val="right" w:pos="10466" w:leader="dot"/>
        </w:tabs>
        <w:rPr>
          <w:rFonts w:hint="eastAsia" w:ascii="宋体" w:hAnsi="宋体" w:eastAsia="宋体" w:cs="宋体"/>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_Toc9384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 xml:space="preserve">附件1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 残疾人福利性单位声明函</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_Toc9384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40</w:t>
      </w:r>
      <w:r>
        <w:rPr>
          <w:rFonts w:hint="eastAsia" w:ascii="宋体" w:hAnsi="宋体" w:eastAsia="宋体" w:cs="宋体"/>
          <w:color w:val="auto"/>
          <w:sz w:val="24"/>
          <w:szCs w:val="24"/>
          <w:highlight w:val="none"/>
        </w:rPr>
        <w:fldChar w:fldCharType="end"/>
      </w:r>
      <w:r>
        <w:rPr>
          <w:rFonts w:hint="eastAsia" w:ascii="宋体" w:hAnsi="宋体" w:eastAsia="宋体" w:cs="宋体"/>
          <w:caps/>
          <w:color w:val="auto"/>
          <w:sz w:val="24"/>
          <w:szCs w:val="24"/>
          <w:highlight w:val="none"/>
        </w:rPr>
        <w:fldChar w:fldCharType="end"/>
      </w:r>
      <w:r/>
    </w:p>
    <w:p>
      <w:pPr>
        <w:pStyle w:val="812"/>
        <w:tabs>
          <w:tab w:val="right" w:pos="10466" w:leader="dot"/>
        </w:tabs>
        <w:rPr>
          <w:rFonts w:hint="eastAsia" w:ascii="宋体" w:hAnsi="宋体" w:eastAsia="宋体" w:cs="宋体"/>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_Toc21888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 xml:space="preserve">附件1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 投标函</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_Toc21888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fldChar w:fldCharType="end"/>
      </w:r>
      <w:r>
        <w:rPr>
          <w:rFonts w:hint="eastAsia" w:ascii="宋体" w:hAnsi="宋体" w:eastAsia="宋体" w:cs="宋体"/>
          <w:caps/>
          <w:color w:val="auto"/>
          <w:sz w:val="24"/>
          <w:szCs w:val="24"/>
          <w:highlight w:val="none"/>
        </w:rPr>
        <w:fldChar w:fldCharType="end"/>
      </w:r>
      <w:r/>
    </w:p>
    <w:p>
      <w:pPr>
        <w:pStyle w:val="812"/>
        <w:tabs>
          <w:tab w:val="right" w:pos="10466" w:leader="dot"/>
        </w:tabs>
        <w:rPr>
          <w:rFonts w:hint="eastAsia" w:ascii="宋体" w:hAnsi="宋体" w:eastAsia="宋体" w:cs="宋体"/>
          <w:color w:val="auto"/>
          <w:sz w:val="24"/>
          <w:szCs w:val="24"/>
          <w:highlight w:val="none"/>
        </w:rPr>
      </w:pPr>
      <w:r>
        <w:rPr>
          <w:rFonts w:hint="eastAsia" w:ascii="宋体" w:hAnsi="宋体" w:eastAsia="宋体" w:cs="宋体"/>
          <w:caps/>
          <w:color w:val="auto"/>
          <w:sz w:val="24"/>
          <w:szCs w:val="24"/>
          <w:highlight w:val="none"/>
        </w:rPr>
        <w:fldChar w:fldCharType="begin"/>
      </w:r>
      <w:r>
        <w:rPr>
          <w:rFonts w:hint="eastAsia" w:ascii="宋体" w:hAnsi="宋体" w:eastAsia="宋体" w:cs="宋体"/>
          <w:caps/>
          <w:color w:val="auto"/>
          <w:sz w:val="24"/>
          <w:szCs w:val="24"/>
          <w:highlight w:val="none"/>
        </w:rPr>
        <w:instrText xml:space="preserve"> HYPERLINK \l _Toc2571 </w:instrText>
      </w:r>
      <w:r>
        <w:rPr>
          <w:rFonts w:hint="eastAsia" w:ascii="宋体" w:hAnsi="宋体" w:eastAsia="宋体" w:cs="宋体"/>
          <w:caps/>
          <w:color w:val="auto"/>
          <w:sz w:val="24"/>
          <w:szCs w:val="24"/>
          <w:highlight w:val="none"/>
        </w:rPr>
        <w:fldChar w:fldCharType="separate"/>
      </w:r>
      <w:r>
        <w:rPr>
          <w:rFonts w:hint="eastAsia" w:ascii="宋体" w:hAnsi="宋体" w:eastAsia="宋体" w:cs="宋体"/>
          <w:bCs/>
          <w:color w:val="auto"/>
          <w:sz w:val="24"/>
          <w:szCs w:val="24"/>
          <w:highlight w:val="none"/>
        </w:rPr>
        <w:t xml:space="preserve">附件1</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 其他证明文件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_Toc2571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fldChar w:fldCharType="end"/>
      </w:r>
      <w:r>
        <w:rPr>
          <w:rFonts w:hint="eastAsia" w:ascii="宋体" w:hAnsi="宋体" w:eastAsia="宋体" w:cs="宋体"/>
          <w:caps/>
          <w:color w:val="auto"/>
          <w:sz w:val="24"/>
          <w:szCs w:val="24"/>
          <w:highlight w:val="none"/>
        </w:rPr>
        <w:fldChar w:fldCharType="end"/>
      </w:r>
      <w:r/>
    </w:p>
    <w:p>
      <w:pPr>
        <w:jc w:val="left"/>
        <w:spacing w:line="440" w:lineRule="exact"/>
        <w:rPr>
          <w:rFonts w:ascii="Times New Roman" w:hAnsi="Times New Roman"/>
          <w:caps/>
          <w:color w:val="auto"/>
          <w:sz w:val="24"/>
          <w:szCs w:val="24"/>
          <w:highlight w:val="none"/>
        </w:rPr>
      </w:pPr>
      <w:r>
        <w:rPr>
          <w:rFonts w:hint="eastAsia" w:ascii="宋体" w:hAnsi="宋体" w:eastAsia="宋体" w:cs="宋体"/>
          <w:caps/>
          <w:color w:val="auto"/>
          <w:sz w:val="24"/>
          <w:szCs w:val="24"/>
          <w:highlight w:val="none"/>
        </w:rPr>
        <w:fldChar w:fldCharType="end"/>
      </w:r>
      <w:r/>
    </w:p>
    <w:p>
      <w:pPr>
        <w:ind w:firstLine="880"/>
        <w:jc w:val="center"/>
        <w:keepNext/>
        <w:rPr>
          <w:rFonts w:hint="eastAsia" w:ascii="宋体" w:hAnsi="宋体" w:cs="宋体"/>
          <w:b/>
          <w:bCs/>
          <w:color w:val="auto"/>
          <w:sz w:val="40"/>
          <w:szCs w:val="40"/>
          <w:highlight w:val="none"/>
        </w:rPr>
        <w:sectPr>
          <w:headerReference w:type="default" r:id="rId9"/>
          <w:headerReference w:type="first" r:id="rId10"/>
          <w:footerReference w:type="default" r:id="rId11"/>
          <w:footerReference w:type="even" r:id="rId12"/>
          <w:footnotePr/>
          <w:endnotePr/>
          <w:type w:val="nextPage"/>
          <w:pgSz w:w="11906" w:h="16838" w:orient="portrait"/>
          <w:pgMar w:top="771" w:right="720" w:bottom="527" w:left="720" w:header="231" w:footer="200" w:gutter="0"/>
          <w:cols w:num="1" w:sep="0" w:space="720" w:equalWidth="1"/>
          <w:docGrid w:linePitch="360"/>
          <w:titlePg/>
        </w:sectPr>
        <w:outlineLvl w:val="0"/>
      </w:pPr>
      <w:r>
        <w:rPr>
          <w:rFonts w:hint="eastAsia" w:ascii="宋体" w:hAnsi="宋体" w:cs="宋体"/>
          <w:b/>
          <w:bCs/>
          <w:color w:val="auto"/>
          <w:sz w:val="40"/>
          <w:szCs w:val="40"/>
          <w:highlight w:val="none"/>
        </w:rPr>
      </w:r>
      <w:r/>
    </w:p>
    <w:p>
      <w:pPr>
        <w:ind w:firstLine="880"/>
        <w:jc w:val="center"/>
        <w:keepNext/>
        <w:rPr>
          <w:rFonts w:hint="eastAsia" w:ascii="宋体" w:hAnsi="宋体" w:cs="宋体"/>
          <w:b/>
          <w:bCs/>
          <w:color w:val="auto"/>
          <w:sz w:val="40"/>
          <w:szCs w:val="40"/>
          <w:highlight w:val="none"/>
        </w:rPr>
        <w:outlineLvl w:val="0"/>
      </w:pPr>
      <w:r/>
      <w:bookmarkStart w:id="6" w:name="_Toc28409"/>
      <w:r>
        <w:rPr>
          <w:rFonts w:hint="eastAsia" w:ascii="宋体" w:hAnsi="宋体" w:cs="宋体"/>
          <w:b/>
          <w:bCs/>
          <w:color w:val="auto"/>
          <w:sz w:val="40"/>
          <w:szCs w:val="40"/>
          <w:highlight w:val="none"/>
        </w:rPr>
        <w:t xml:space="preserve">第一章  </w:t>
      </w:r>
      <w:bookmarkEnd w:id="0"/>
      <w:r>
        <w:rPr>
          <w:rFonts w:hint="eastAsia" w:ascii="宋体" w:hAnsi="宋体" w:cs="宋体"/>
          <w:b/>
          <w:bCs/>
          <w:color w:val="auto"/>
          <w:sz w:val="40"/>
          <w:szCs w:val="40"/>
          <w:highlight w:val="none"/>
        </w:rPr>
        <w:t xml:space="preserve">投标邀请</w:t>
      </w:r>
      <w:bookmarkEnd w:id="6"/>
      <w:r/>
      <w:r/>
    </w:p>
    <w:p>
      <w:pPr>
        <w:ind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受</w:t>
      </w:r>
      <w:r>
        <w:rPr>
          <w:rFonts w:hint="eastAsia" w:ascii="宋体" w:hAnsi="宋体" w:cs="宋体"/>
          <w:color w:val="auto"/>
          <w:sz w:val="24"/>
          <w:szCs w:val="24"/>
          <w:highlight w:val="none"/>
          <w:lang w:eastAsia="zh-CN"/>
        </w:rPr>
        <w:t xml:space="preserve">常熟市农业技术推广中心</w:t>
      </w:r>
      <w:r>
        <w:rPr>
          <w:rFonts w:hint="eastAsia" w:ascii="宋体" w:hAnsi="宋体" w:cs="宋体"/>
          <w:color w:val="auto"/>
          <w:sz w:val="24"/>
          <w:szCs w:val="24"/>
          <w:highlight w:val="none"/>
        </w:rPr>
        <w:t xml:space="preserve">的委托，涵熙（苏州）工程顾问有限公司就</w:t>
      </w:r>
      <w:r>
        <w:rPr>
          <w:rFonts w:hint="eastAsia" w:ascii="宋体" w:hAnsi="宋体" w:cs="宋体"/>
          <w:color w:val="auto"/>
          <w:sz w:val="24"/>
          <w:szCs w:val="24"/>
          <w:highlight w:val="none"/>
          <w:lang w:eastAsia="zh-CN"/>
        </w:rPr>
        <w:t xml:space="preserve">2025年中央粮油生产保障资金-小麦“一喷三防”项目</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JSZC-320581-HXGW-G2025-0022</w:t>
      </w:r>
      <w:r>
        <w:rPr>
          <w:rFonts w:hint="eastAsia" w:ascii="宋体" w:hAnsi="宋体" w:cs="宋体"/>
          <w:color w:val="auto"/>
          <w:sz w:val="24"/>
          <w:szCs w:val="24"/>
          <w:highlight w:val="none"/>
        </w:rPr>
        <w:t xml:space="preserve">)项目进行公开招标采购，欢迎符合条件的供应商投标。</w:t>
      </w:r>
      <w:r/>
    </w:p>
    <w:p>
      <w:pPr>
        <w:ind w:firstLine="480"/>
        <w:spacing w:line="460" w:lineRule="exact"/>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项目概况</w:t>
      </w:r>
      <w:r/>
    </w:p>
    <w:p>
      <w:pPr>
        <w:ind w:firstLine="480"/>
        <w:spacing w:line="460" w:lineRule="exact"/>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2025年中央粮油生产保障资金-小麦“一喷三防”项目</w:t>
      </w:r>
      <w:r>
        <w:rPr>
          <w:rFonts w:hint="eastAsia" w:ascii="宋体" w:hAnsi="宋体" w:cs="宋体"/>
          <w:color w:val="auto"/>
          <w:sz w:val="24"/>
          <w:szCs w:val="24"/>
          <w:highlight w:val="none"/>
        </w:rPr>
        <w:t xml:space="preserve">招标项目的潜在投标人应在“苏采云政府采购一体化平台”中参与项目获取招标文件，并于</w:t>
      </w:r>
      <w:r>
        <w:rPr>
          <w:rFonts w:hint="eastAsia" w:ascii="宋体" w:hAnsi="宋体" w:cs="宋体"/>
          <w:color w:val="auto"/>
          <w:sz w:val="24"/>
          <w:szCs w:val="21"/>
          <w:highlight w:val="none"/>
          <w:u w:val="single"/>
          <w:lang w:eastAsia="zh-CN"/>
        </w:rPr>
        <w:t xml:space="preserve">2025</w:t>
      </w:r>
      <w:r>
        <w:rPr>
          <w:rFonts w:hint="eastAsia" w:ascii="宋体" w:hAnsi="宋体" w:cs="宋体"/>
          <w:color w:val="auto"/>
          <w:sz w:val="24"/>
          <w:szCs w:val="21"/>
          <w:highlight w:val="none"/>
          <w:u w:val="single"/>
        </w:rPr>
        <w:t xml:space="preserve">年</w:t>
      </w:r>
      <w:r>
        <w:rPr>
          <w:rFonts w:hint="eastAsia" w:ascii="宋体" w:hAnsi="宋体" w:cs="宋体"/>
          <w:color w:val="auto"/>
          <w:sz w:val="24"/>
          <w:szCs w:val="21"/>
          <w:highlight w:val="none"/>
          <w:u w:val="single"/>
          <w:lang w:val="en-US" w:eastAsia="zh-CN"/>
        </w:rPr>
        <w:t xml:space="preserve">4</w:t>
      </w:r>
      <w:r>
        <w:rPr>
          <w:rFonts w:hint="eastAsia" w:ascii="宋体" w:hAnsi="宋体" w:cs="宋体"/>
          <w:color w:val="auto"/>
          <w:sz w:val="24"/>
          <w:szCs w:val="21"/>
          <w:highlight w:val="none"/>
          <w:u w:val="single"/>
        </w:rPr>
        <w:t xml:space="preserve">月</w:t>
      </w:r>
      <w:r>
        <w:rPr>
          <w:rFonts w:hint="eastAsia" w:ascii="宋体" w:hAnsi="宋体" w:cs="宋体"/>
          <w:color w:val="auto"/>
          <w:sz w:val="24"/>
          <w:szCs w:val="21"/>
          <w:highlight w:val="none"/>
          <w:u w:val="single"/>
          <w:lang w:val="en-US" w:eastAsia="zh-CN"/>
        </w:rPr>
        <w:t xml:space="preserve">11</w:t>
      </w:r>
      <w:r>
        <w:rPr>
          <w:rFonts w:hint="eastAsia" w:ascii="宋体" w:hAnsi="宋体" w:cs="宋体"/>
          <w:color w:val="auto"/>
          <w:sz w:val="24"/>
          <w:szCs w:val="21"/>
          <w:highlight w:val="none"/>
          <w:u w:val="single"/>
        </w:rPr>
        <w:t xml:space="preserve">日</w:t>
      </w:r>
      <w:r>
        <w:rPr>
          <w:rFonts w:hint="eastAsia" w:ascii="宋体" w:hAnsi="宋体" w:cs="宋体"/>
          <w:color w:val="auto"/>
          <w:sz w:val="24"/>
          <w:szCs w:val="21"/>
          <w:highlight w:val="none"/>
          <w:u w:val="single"/>
          <w:lang w:val="en-US" w:eastAsia="zh-CN"/>
        </w:rPr>
        <w:t xml:space="preserve">9</w:t>
      </w:r>
      <w:r>
        <w:rPr>
          <w:rFonts w:hint="eastAsia" w:ascii="宋体" w:hAnsi="宋体" w:cs="宋体"/>
          <w:color w:val="auto"/>
          <w:sz w:val="24"/>
          <w:szCs w:val="21"/>
          <w:highlight w:val="none"/>
          <w:u w:val="single"/>
        </w:rPr>
        <w:t xml:space="preserve">点</w:t>
      </w:r>
      <w:r>
        <w:rPr>
          <w:rFonts w:hint="eastAsia" w:ascii="宋体" w:hAnsi="宋体" w:cs="宋体"/>
          <w:color w:val="auto"/>
          <w:sz w:val="24"/>
          <w:szCs w:val="21"/>
          <w:highlight w:val="none"/>
          <w:u w:val="single"/>
          <w:lang w:val="en-US" w:eastAsia="zh-CN"/>
        </w:rPr>
        <w:t xml:space="preserve">0</w:t>
      </w:r>
      <w:r>
        <w:rPr>
          <w:rFonts w:hint="eastAsia" w:ascii="宋体" w:hAnsi="宋体" w:cs="宋体"/>
          <w:color w:val="auto"/>
          <w:sz w:val="24"/>
          <w:szCs w:val="21"/>
          <w:highlight w:val="none"/>
          <w:u w:val="single"/>
        </w:rPr>
        <w:t xml:space="preserve">0分（北京时间）</w:t>
      </w:r>
      <w:r>
        <w:rPr>
          <w:rFonts w:hint="eastAsia" w:ascii="宋体" w:hAnsi="宋体" w:cs="宋体"/>
          <w:color w:val="auto"/>
          <w:sz w:val="24"/>
          <w:szCs w:val="21"/>
          <w:highlight w:val="none"/>
        </w:rPr>
        <w:t xml:space="preserve">前按规定提交投标文件。</w:t>
      </w:r>
      <w:r/>
    </w:p>
    <w:p>
      <w:pPr>
        <w:ind w:firstLine="482"/>
        <w:keepLines/>
        <w:keepNext/>
        <w:spacing w:line="440" w:lineRule="exact"/>
        <w:rPr>
          <w:rFonts w:hint="eastAsia" w:ascii="宋体" w:hAnsi="宋体" w:cs="宋体"/>
          <w:b/>
          <w:bCs/>
          <w:color w:val="auto"/>
          <w:sz w:val="24"/>
          <w:szCs w:val="24"/>
          <w:highlight w:val="none"/>
        </w:rPr>
      </w:pPr>
      <w:r/>
      <w:bookmarkStart w:id="7" w:name="_Toc35393621"/>
      <w:r/>
      <w:bookmarkStart w:id="8" w:name="_Toc38985263"/>
      <w:r/>
      <w:bookmarkStart w:id="9" w:name="_Toc35393790"/>
      <w:r/>
      <w:bookmarkStart w:id="10" w:name="_Toc28359079"/>
      <w:r/>
      <w:bookmarkStart w:id="11" w:name="_Toc28359002"/>
      <w:r/>
      <w:bookmarkStart w:id="12" w:name="_Hlk24379207"/>
      <w:r>
        <w:rPr>
          <w:rFonts w:hint="eastAsia" w:ascii="宋体" w:hAnsi="宋体" w:cs="宋体"/>
          <w:b/>
          <w:bCs/>
          <w:color w:val="auto"/>
          <w:sz w:val="24"/>
          <w:szCs w:val="24"/>
          <w:highlight w:val="none"/>
        </w:rPr>
        <w:t xml:space="preserve">一、项目基本情况</w:t>
      </w:r>
      <w:bookmarkEnd w:id="7"/>
      <w:r/>
      <w:bookmarkEnd w:id="8"/>
      <w:r/>
      <w:bookmarkEnd w:id="9"/>
      <w:r/>
      <w:bookmarkEnd w:id="10"/>
      <w:r/>
      <w:bookmarkEnd w:id="11"/>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JSZC-320581-HXGW-G2025-0022</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2025年中央粮油生产保障资金-小麦“一喷三防”项目</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采购人式：公开招标</w:t>
      </w:r>
      <w:bookmarkEnd w:id="12"/>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预算金额：人民币</w:t>
      </w:r>
      <w:r>
        <w:rPr>
          <w:rFonts w:hint="eastAsia" w:ascii="宋体" w:hAnsi="宋体" w:cs="宋体"/>
          <w:color w:val="auto"/>
          <w:sz w:val="24"/>
          <w:szCs w:val="24"/>
          <w:highlight w:val="none"/>
          <w:lang w:eastAsia="zh-CN"/>
        </w:rPr>
        <w:t xml:space="preserve">1430000.00</w:t>
      </w:r>
      <w:r>
        <w:rPr>
          <w:rFonts w:hint="eastAsia" w:ascii="宋体" w:hAnsi="宋体" w:cs="宋体"/>
          <w:color w:val="auto"/>
          <w:sz w:val="24"/>
          <w:szCs w:val="24"/>
          <w:highlight w:val="none"/>
        </w:rPr>
        <w:t xml:space="preserve">元</w:t>
      </w:r>
      <w:r/>
    </w:p>
    <w:p>
      <w:pPr>
        <w:ind w:firstLine="480"/>
        <w:spacing w:line="460" w:lineRule="exact"/>
        <w:rPr>
          <w:rFonts w:hint="eastAsia" w:ascii="宋体" w:hAnsi="宋体" w:cs="宋体"/>
          <w:color w:val="auto"/>
          <w:sz w:val="24"/>
          <w:szCs w:val="24"/>
          <w:highlight w:val="none"/>
        </w:rPr>
      </w:pPr>
      <w:r/>
      <w:bookmarkStart w:id="13" w:name="_Toc35393791"/>
      <w:r/>
      <w:bookmarkStart w:id="14" w:name="_Toc35393622"/>
      <w:r/>
      <w:bookmarkStart w:id="15" w:name="_Toc38985264"/>
      <w:r/>
      <w:bookmarkStart w:id="16" w:name="_Toc28359080"/>
      <w:r/>
      <w:bookmarkStart w:id="17" w:name="_Toc28359003"/>
      <w:r>
        <w:rPr>
          <w:rFonts w:hint="eastAsia" w:ascii="宋体" w:hAnsi="宋体" w:cs="宋体"/>
          <w:color w:val="auto"/>
          <w:sz w:val="24"/>
          <w:szCs w:val="24"/>
          <w:highlight w:val="none"/>
        </w:rPr>
        <w:t xml:space="preserve">采购需求概况：</w:t>
      </w:r>
      <w:r>
        <w:rPr>
          <w:rFonts w:hint="eastAsia" w:ascii="宋体" w:hAnsi="宋体" w:cs="宋体"/>
          <w:color w:val="auto"/>
          <w:sz w:val="24"/>
          <w:szCs w:val="24"/>
          <w:highlight w:val="none"/>
          <w:lang w:eastAsia="zh-CN"/>
        </w:rPr>
        <w:t xml:space="preserve">常熟市农业技术推广中心</w:t>
      </w:r>
      <w:r>
        <w:rPr>
          <w:rFonts w:hint="eastAsia" w:ascii="宋体" w:hAnsi="宋体" w:cs="宋体"/>
          <w:color w:val="auto"/>
          <w:sz w:val="24"/>
          <w:szCs w:val="24"/>
          <w:highlight w:val="none"/>
        </w:rPr>
        <w:t xml:space="preserve">所需的</w:t>
      </w:r>
      <w:r>
        <w:rPr>
          <w:rFonts w:hint="eastAsia" w:ascii="宋体" w:hAnsi="宋体" w:cs="宋体"/>
          <w:color w:val="auto"/>
          <w:sz w:val="24"/>
          <w:szCs w:val="24"/>
          <w:highlight w:val="none"/>
          <w:lang w:eastAsia="zh-CN"/>
        </w:rPr>
        <w:t xml:space="preserve">2025年中央粮油生产保障资金-小麦“一喷三防”项目</w:t>
      </w:r>
      <w:r>
        <w:rPr>
          <w:rFonts w:hint="eastAsia" w:ascii="宋体" w:hAnsi="宋体" w:cs="宋体"/>
          <w:color w:val="auto"/>
          <w:sz w:val="24"/>
          <w:szCs w:val="24"/>
          <w:highlight w:val="none"/>
        </w:rPr>
        <w:t xml:space="preserve">。</w:t>
      </w:r>
      <w:r/>
    </w:p>
    <w:p>
      <w:pPr>
        <w:ind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rPr>
          <w:rFonts w:hint="eastAsia" w:ascii="宋体" w:hAnsi="宋体" w:cs="宋体"/>
          <w:color w:val="auto"/>
          <w:sz w:val="24"/>
          <w:szCs w:val="24"/>
          <w:highlight w:val="none"/>
          <w:lang w:eastAsia="zh-CN"/>
        </w:rPr>
        <w:t xml:space="preserve">接到采购人通知后30日历天内将货物配送至指定地点</w:t>
      </w:r>
      <w:r>
        <w:rPr>
          <w:rFonts w:hint="eastAsia" w:ascii="宋体" w:hAnsi="宋体" w:cs="宋体"/>
          <w:color w:val="auto"/>
          <w:sz w:val="24"/>
          <w:szCs w:val="24"/>
          <w:highlight w:val="none"/>
        </w:rPr>
        <w:t xml:space="preserve">。</w:t>
      </w:r>
      <w:r/>
    </w:p>
    <w:p>
      <w:pPr>
        <w:ind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本项目不接受联合体投标。</w:t>
      </w:r>
      <w:r/>
    </w:p>
    <w:p>
      <w:pPr>
        <w:ind w:firstLine="482"/>
        <w:keepLines/>
        <w:keepNext/>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bookmarkEnd w:id="13"/>
      <w:r/>
      <w:bookmarkEnd w:id="14"/>
      <w:r/>
      <w:bookmarkEnd w:id="15"/>
      <w:r/>
      <w:bookmarkEnd w:id="16"/>
      <w:r/>
      <w:bookmarkEnd w:id="17"/>
      <w:r/>
      <w:bookmarkStart w:id="18" w:name="_Toc28359004"/>
      <w:r/>
      <w:bookmarkStart w:id="19" w:name="_Toc28359081"/>
      <w:r/>
      <w:bookmarkStart w:id="20" w:name="_Toc35393623"/>
      <w:r/>
      <w:bookmarkStart w:id="21" w:name="_Toc38985265"/>
      <w:r/>
      <w:bookmarkStart w:id="22" w:name="_Toc35393792"/>
      <w:r/>
      <w:r/>
    </w:p>
    <w:p>
      <w:pPr>
        <w:ind w:firstLine="480"/>
        <w:keepLines/>
        <w:keepNext/>
        <w:spacing w:line="440" w:lineRule="exact"/>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（一）满足《中华人民共和国政府采购法》第二十二条规定；</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（二）落实政府采购政策需满足的资格要求：</w:t>
      </w:r>
      <w:r/>
    </w:p>
    <w:p>
      <w:pPr>
        <w:ind w:firstLine="482"/>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本项目专门面向中小企业采购，所属行业为工业，投标时须提供《中小企业声明函》。</w:t>
      </w:r>
      <w:r/>
    </w:p>
    <w:p>
      <w:pPr>
        <w:ind w:firstLine="482"/>
        <w:spacing w:line="44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注：对残疾人福利性单位、监狱企业视同小型、微型企业，但须按要求提供有关声明函或证明文件。</w:t>
      </w:r>
      <w:r/>
    </w:p>
    <w:p>
      <w:pPr>
        <w:ind w:firstLine="480"/>
        <w:keepLines/>
        <w:keepNext/>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（三）本项目的特定资格要求：无。</w:t>
      </w:r>
      <w:r/>
    </w:p>
    <w:p>
      <w:pPr>
        <w:ind w:firstLine="482"/>
        <w:keepLines/>
        <w:keepNext/>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bookmarkEnd w:id="18"/>
      <w:r/>
      <w:bookmarkEnd w:id="19"/>
      <w:r/>
      <w:bookmarkEnd w:id="20"/>
      <w:r/>
      <w:bookmarkEnd w:id="21"/>
      <w:r/>
      <w:bookmarkEnd w:id="22"/>
      <w:r/>
      <w:bookmarkStart w:id="23" w:name="_Toc35393793"/>
      <w:r/>
      <w:bookmarkStart w:id="24" w:name="_Toc38985266"/>
      <w:r/>
      <w:bookmarkStart w:id="25" w:name="_Toc28359005"/>
      <w:r/>
      <w:bookmarkStart w:id="26" w:name="_Toc35393624"/>
      <w:r/>
      <w:bookmarkStart w:id="27" w:name="_Toc28359082"/>
      <w:r/>
      <w:r/>
    </w:p>
    <w:p>
      <w:pPr>
        <w:ind w:firstLine="480"/>
        <w:spacing w:line="460" w:lineRule="exact"/>
        <w:rPr>
          <w:rFonts w:ascii="宋体" w:hAnsi="宋体"/>
          <w:color w:val="auto"/>
          <w:sz w:val="24"/>
          <w:szCs w:val="24"/>
          <w:highlight w:val="none"/>
        </w:rPr>
      </w:pPr>
      <w:r>
        <w:rPr>
          <w:rFonts w:ascii="宋体" w:hAnsi="宋体"/>
          <w:color w:val="auto"/>
          <w:sz w:val="24"/>
          <w:szCs w:val="24"/>
          <w:highlight w:val="none"/>
        </w:rPr>
        <w:t xml:space="preserve">时间：</w:t>
      </w:r>
      <w:r>
        <w:rPr>
          <w:rFonts w:hint="eastAsia" w:ascii="宋体" w:hAnsi="宋体"/>
          <w:color w:val="auto"/>
          <w:sz w:val="24"/>
          <w:szCs w:val="24"/>
          <w:highlight w:val="none"/>
        </w:rPr>
        <w:t xml:space="preserve">自招标文件公告发布之日起5个工作日。</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地点：苏采云政府采购一体化平台</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方式：在“苏采云政府采购一体化平台”自行免费下载招标文件</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售价：0.00元</w:t>
      </w:r>
      <w:r/>
    </w:p>
    <w:p>
      <w:pPr>
        <w:ind w:firstLine="482"/>
        <w:keepLines/>
        <w:keepNext/>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w:t>
      </w:r>
      <w:bookmarkEnd w:id="23"/>
      <w:r/>
      <w:bookmarkEnd w:id="24"/>
      <w:r/>
      <w:bookmarkEnd w:id="25"/>
      <w:r/>
      <w:bookmarkEnd w:id="26"/>
      <w:r/>
      <w:bookmarkEnd w:id="27"/>
      <w:r>
        <w:rPr>
          <w:rFonts w:hint="eastAsia" w:ascii="宋体" w:hAnsi="宋体" w:cs="宋体"/>
          <w:b/>
          <w:bCs/>
          <w:color w:val="auto"/>
          <w:sz w:val="24"/>
          <w:szCs w:val="24"/>
          <w:highlight w:val="none"/>
        </w:rPr>
        <w:t xml:space="preserve">提交投标文件截止时间、开标时间和地点</w:t>
      </w:r>
      <w:r/>
    </w:p>
    <w:p>
      <w:pPr>
        <w:ind w:firstLine="480"/>
        <w:spacing w:line="440" w:lineRule="exact"/>
        <w:rPr>
          <w:rFonts w:hint="eastAsia" w:ascii="宋体" w:hAnsi="宋体" w:cs="宋体"/>
          <w:color w:val="auto"/>
          <w:sz w:val="24"/>
          <w:szCs w:val="24"/>
          <w:highlight w:val="none"/>
        </w:rPr>
      </w:pPr>
      <w:r/>
      <w:bookmarkStart w:id="28" w:name="_Toc28359084"/>
      <w:r/>
      <w:bookmarkStart w:id="29" w:name="_Toc35393794"/>
      <w:r/>
      <w:bookmarkStart w:id="30" w:name="_Toc28359007"/>
      <w:r/>
      <w:bookmarkStart w:id="31" w:name="_Toc38985267"/>
      <w:r/>
      <w:bookmarkStart w:id="32" w:name="_Toc35393625"/>
      <w:r>
        <w:rPr>
          <w:rFonts w:hint="eastAsia" w:ascii="宋体" w:hAnsi="宋体" w:cs="宋体"/>
          <w:color w:val="auto"/>
          <w:sz w:val="24"/>
          <w:szCs w:val="24"/>
          <w:highlight w:val="none"/>
        </w:rPr>
        <w:t xml:space="preserve">时间：</w:t>
      </w:r>
      <w:r>
        <w:rPr>
          <w:rFonts w:hint="eastAsia" w:ascii="宋体" w:hAnsi="宋体" w:cs="宋体"/>
          <w:color w:val="auto"/>
          <w:sz w:val="24"/>
          <w:szCs w:val="24"/>
          <w:highlight w:val="none"/>
          <w:lang w:eastAsia="zh-CN"/>
        </w:rPr>
        <w:t xml:space="preserve">2025</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04</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0（北京时间）</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地点：苏采云政府采购一体化平台开标大厅</w:t>
      </w:r>
      <w:r/>
    </w:p>
    <w:p>
      <w:pPr>
        <w:ind w:firstLine="482"/>
        <w:keepLines/>
        <w:keepNext/>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w:t>
      </w:r>
      <w:bookmarkEnd w:id="28"/>
      <w:r/>
      <w:bookmarkEnd w:id="29"/>
      <w:r/>
      <w:bookmarkEnd w:id="30"/>
      <w:r/>
      <w:bookmarkEnd w:id="31"/>
      <w:r/>
      <w:bookmarkEnd w:id="32"/>
      <w:r>
        <w:rPr>
          <w:rFonts w:hint="eastAsia" w:ascii="宋体" w:hAnsi="宋体" w:cs="宋体"/>
          <w:b/>
          <w:bCs/>
          <w:color w:val="auto"/>
          <w:sz w:val="24"/>
          <w:szCs w:val="24"/>
          <w:highlight w:val="none"/>
        </w:rPr>
        <w:t xml:space="preserve">公告期限</w:t>
      </w:r>
      <w:r/>
    </w:p>
    <w:p>
      <w:pPr>
        <w:ind w:firstLine="480"/>
        <w:spacing w:line="440" w:lineRule="exact"/>
        <w:rPr>
          <w:rFonts w:hint="eastAsia" w:ascii="宋体" w:hAnsi="宋体" w:cs="宋体"/>
          <w:color w:val="auto"/>
          <w:sz w:val="24"/>
          <w:szCs w:val="24"/>
          <w:highlight w:val="none"/>
        </w:rPr>
      </w:pPr>
      <w:r/>
      <w:bookmarkStart w:id="33" w:name="_Toc35393626"/>
      <w:r/>
      <w:bookmarkStart w:id="34" w:name="_Toc38985268"/>
      <w:r/>
      <w:bookmarkStart w:id="35" w:name="_Toc35393795"/>
      <w:r>
        <w:rPr>
          <w:rFonts w:hint="eastAsia" w:ascii="宋体" w:hAnsi="宋体" w:cs="宋体"/>
          <w:color w:val="auto"/>
          <w:sz w:val="24"/>
          <w:szCs w:val="24"/>
          <w:highlight w:val="none"/>
        </w:rPr>
        <w:t xml:space="preserve">公告期限：自本公告发布之日起5个工作日。</w:t>
      </w:r>
      <w:r/>
    </w:p>
    <w:p>
      <w:pPr>
        <w:ind w:firstLine="482"/>
        <w:keepLines/>
        <w:keepNext/>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bookmarkEnd w:id="33"/>
      <w:r/>
      <w:bookmarkEnd w:id="34"/>
      <w:r/>
      <w:bookmarkEnd w:id="35"/>
      <w:r/>
      <w:r/>
    </w:p>
    <w:p>
      <w:pPr>
        <w:ind w:firstLine="480"/>
        <w:spacing w:line="440" w:lineRule="exact"/>
        <w:rPr>
          <w:rFonts w:ascii="宋体" w:hAnsi="宋体" w:cs="宋体"/>
          <w:sz w:val="24"/>
          <w:szCs w:val="32"/>
        </w:rPr>
      </w:pPr>
      <w:r/>
      <w:bookmarkStart w:id="36" w:name="_Toc28359008"/>
      <w:r/>
      <w:bookmarkStart w:id="37" w:name="_Toc35393796"/>
      <w:r/>
      <w:bookmarkStart w:id="38" w:name="_Toc38985269"/>
      <w:r/>
      <w:bookmarkStart w:id="39" w:name="_Toc35393627"/>
      <w:r/>
      <w:bookmarkStart w:id="40" w:name="_Toc28359085"/>
      <w:r>
        <w:rPr>
          <w:rFonts w:hint="eastAsia" w:ascii="宋体" w:hAnsi="宋体" w:cs="宋体"/>
          <w:sz w:val="24"/>
          <w:szCs w:val="32"/>
        </w:rPr>
        <w:t xml:space="preserve">1、根据省财政厅《关于更换全省政府采购交易系统C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rPr>
          <w:rFonts w:ascii="宋体" w:hAnsi="宋体" w:cs="宋体"/>
          <w:sz w:val="24"/>
          <w:szCs w:val="32"/>
        </w:rPr>
      </w:pPr>
      <w:r>
        <w:rPr>
          <w:rFonts w:hint="eastAsia" w:ascii="宋体" w:hAnsi="宋体" w:cs="宋体"/>
          <w:sz w:val="24"/>
          <w:szCs w:val="32"/>
        </w:rPr>
        <w:t xml:space="preserve">2、供应商在“苏采云”系统操作过程中如有疑问，请按以下方式联系：</w:t>
      </w:r>
      <w:r/>
    </w:p>
    <w:p>
      <w:pPr>
        <w:ind w:firstLine="480"/>
        <w:spacing w:line="440" w:lineRule="exact"/>
        <w:rPr>
          <w:rFonts w:ascii="宋体" w:hAnsi="宋体" w:cs="宋体"/>
          <w:sz w:val="24"/>
          <w:szCs w:val="32"/>
        </w:rPr>
      </w:pPr>
      <w:r>
        <w:rPr>
          <w:rFonts w:hint="eastAsia" w:ascii="宋体" w:hAnsi="宋体" w:cs="宋体"/>
          <w:sz w:val="24"/>
          <w:szCs w:val="32"/>
        </w:rPr>
        <w:t xml:space="preserve">CA技术咨询电话：400-608-6099；电子签章技术咨询电话：15380932027、15371015030、13675197356、13675197221；系统使用指导与咨询电话：13914088964、18261002950，0512-69820854、0519-86722802。</w:t>
      </w:r>
      <w:r/>
    </w:p>
    <w:p>
      <w:pPr>
        <w:ind w:firstLine="480"/>
        <w:spacing w:line="440" w:lineRule="exact"/>
        <w:rPr>
          <w:rFonts w:ascii="宋体" w:hAnsi="宋体" w:cs="宋体"/>
          <w:sz w:val="24"/>
          <w:szCs w:val="32"/>
        </w:rPr>
      </w:pPr>
      <w:r>
        <w:rPr>
          <w:rFonts w:hint="eastAsia" w:ascii="宋体" w:hAnsi="宋体" w:cs="宋体"/>
          <w:sz w:val="24"/>
          <w:szCs w:val="32"/>
        </w:rPr>
        <w:t xml:space="preserve">3、有关本次采购的事项若存在变动或修改，敬请及时关注“苏州市政府采购网”发布的更正公告</w:t>
      </w:r>
      <w:bookmarkStart w:id="41" w:name="_Hlk87882297"/>
      <w:r>
        <w:rPr>
          <w:rFonts w:hint="eastAsia" w:ascii="宋体" w:hAnsi="宋体" w:cs="宋体"/>
          <w:sz w:val="24"/>
          <w:szCs w:val="32"/>
        </w:rPr>
        <w:t xml:space="preserve">，并按规定获取相关信息内容。</w:t>
      </w:r>
      <w:bookmarkEnd w:id="41"/>
      <w:r/>
      <w:r/>
    </w:p>
    <w:p>
      <w:pPr>
        <w:ind w:firstLine="480"/>
        <w:spacing w:line="440" w:lineRule="exact"/>
        <w:rPr>
          <w:rFonts w:ascii="宋体" w:hAnsi="宋体" w:cs="宋体"/>
          <w:sz w:val="24"/>
          <w:szCs w:val="32"/>
        </w:rPr>
      </w:pPr>
      <w:r>
        <w:rPr>
          <w:rFonts w:hint="eastAsia" w:ascii="宋体" w:hAnsi="宋体" w:cs="宋体"/>
          <w:sz w:val="24"/>
          <w:szCs w:val="32"/>
        </w:rPr>
        <w:t xml:space="preserve">4、本次采购项目有关时间要求均以北京时间为标准，使用24小时制。</w:t>
      </w:r>
      <w:r/>
    </w:p>
    <w:p>
      <w:pPr>
        <w:ind w:firstLine="480"/>
        <w:spacing w:line="440" w:lineRule="exact"/>
        <w:rPr>
          <w:rFonts w:ascii="宋体" w:hAnsi="宋体" w:cs="宋体"/>
          <w:sz w:val="24"/>
          <w:szCs w:val="32"/>
        </w:rPr>
      </w:pPr>
      <w:r>
        <w:rPr>
          <w:rFonts w:hint="eastAsia" w:ascii="宋体" w:hAnsi="宋体" w:cs="宋体"/>
          <w:sz w:val="24"/>
          <w:szCs w:val="32"/>
        </w:rPr>
        <w:t xml:space="preserve">5、公告媒体：</w:t>
      </w:r>
      <w:r>
        <w:rPr>
          <w:sz w:val="24"/>
        </w:rPr>
        <w:t xml:space="preserve">苏州市政府采购网</w:t>
      </w:r>
      <w:r>
        <w:rPr>
          <w:rFonts w:hint="eastAsia"/>
          <w:sz w:val="24"/>
        </w:rPr>
        <w:t xml:space="preserve">、江苏政府采购网</w:t>
      </w:r>
      <w:r>
        <w:rPr>
          <w:rFonts w:hint="eastAsia" w:ascii="宋体" w:hAnsi="宋体" w:cs="宋体"/>
          <w:sz w:val="24"/>
          <w:szCs w:val="32"/>
        </w:rPr>
        <w:t xml:space="preserve">。</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s="宋体"/>
          <w:sz w:val="24"/>
          <w:szCs w:val="32"/>
        </w:rPr>
        <w:t xml:space="preserve">6、</w:t>
      </w:r>
      <w:r>
        <w:rPr>
          <w:rFonts w:hint="eastAsia" w:ascii="宋体" w:hAnsi="宋体"/>
          <w:color w:val="000000" w:themeColor="text1"/>
          <w:sz w:val="24"/>
          <w:szCs w:val="24"/>
          <w14:textFill>
            <w14:solidFill>
              <w14:schemeClr w14:val="tx1"/>
            </w14:solidFill>
          </w14:textFill>
        </w:rPr>
        <w:t xml:space="preserve">其他要求：</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2"/>
        <w:keepLines/>
        <w:keepNext/>
        <w:spacing w:line="440" w:lineRule="exact"/>
        <w:rPr>
          <w:rFonts w:hint="eastAsia" w:ascii="宋体" w:hAnsi="宋体" w:cs="宋体"/>
          <w:color w:val="auto"/>
          <w:sz w:val="24"/>
          <w:szCs w:val="24"/>
          <w:highlight w:val="none"/>
        </w:rPr>
      </w:pPr>
      <w:r>
        <w:rPr>
          <w:rFonts w:hint="eastAsia" w:ascii="宋体" w:hAnsi="宋体"/>
          <w:color w:val="000000" w:themeColor="text1"/>
          <w:sz w:val="24"/>
          <w:szCs w:val="24"/>
          <w14:textFill>
            <w14:solidFill>
              <w14:schemeClr w14:val="tx1"/>
            </w14:solidFill>
          </w14:textFill>
        </w:rPr>
        <w:t xml:space="preserve">（2）单位负责人为同一人或者存在直接控股、管理关系的不同投标人，不得参加同一合同项下的政府采购活动。</w:t>
      </w:r>
      <w:r/>
    </w:p>
    <w:p>
      <w:pPr>
        <w:ind w:firstLine="482"/>
        <w:keepLines/>
        <w:keepNext/>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七、本次招标联系</w:t>
      </w:r>
      <w:bookmarkEnd w:id="36"/>
      <w:r/>
      <w:bookmarkEnd w:id="37"/>
      <w:r/>
      <w:bookmarkEnd w:id="38"/>
      <w:r/>
      <w:bookmarkEnd w:id="39"/>
      <w:r/>
      <w:bookmarkEnd w:id="40"/>
      <w:r>
        <w:rPr>
          <w:rFonts w:hint="eastAsia" w:ascii="宋体" w:hAnsi="宋体" w:cs="宋体"/>
          <w:b/>
          <w:bCs/>
          <w:color w:val="auto"/>
          <w:sz w:val="24"/>
          <w:szCs w:val="24"/>
          <w:highlight w:val="none"/>
        </w:rPr>
        <w:t xml:space="preserve">方式</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单位名称：</w:t>
      </w:r>
      <w:r>
        <w:rPr>
          <w:rFonts w:hint="eastAsia" w:ascii="宋体" w:hAnsi="宋体" w:cs="宋体"/>
          <w:color w:val="auto"/>
          <w:sz w:val="24"/>
          <w:szCs w:val="24"/>
          <w:highlight w:val="none"/>
          <w:lang w:eastAsia="zh-CN"/>
        </w:rPr>
        <w:t xml:space="preserve">常熟市农业技术推广中心</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单位地址：常熟市珠江路384号</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联系人：须兆龙</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2" w:name="_Toc28359086"/>
      <w:r/>
      <w:bookmarkStart w:id="43" w:name="_Toc28359009"/>
      <w:r>
        <w:rPr>
          <w:rFonts w:hint="eastAsia" w:ascii="宋体" w:hAnsi="宋体" w:cs="宋体"/>
          <w:color w:val="auto"/>
          <w:sz w:val="24"/>
          <w:szCs w:val="24"/>
          <w:highlight w:val="none"/>
        </w:rPr>
        <w:t xml:space="preserve">0512-52883448</w:t>
      </w:r>
      <w:bookmarkEnd w:id="42"/>
      <w:bookmarkEnd w:id="43"/>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spacing w:line="440" w:lineRule="exact"/>
        <w:rPr>
          <w:rFonts w:hint="eastAsia" w:ascii="宋体" w:hAnsi="宋体" w:cs="宋体"/>
          <w:color w:val="auto"/>
          <w:sz w:val="24"/>
          <w:szCs w:val="24"/>
          <w:highlight w:val="none"/>
        </w:rPr>
      </w:pPr>
      <w:r/>
      <w:bookmarkStart w:id="44" w:name="_Toc28359087"/>
      <w:r/>
      <w:bookmarkStart w:id="45" w:name="_Toc28359010"/>
      <w:r>
        <w:rPr>
          <w:rFonts w:hint="eastAsia" w:ascii="宋体" w:hAnsi="宋体" w:cs="宋体"/>
          <w:color w:val="auto"/>
          <w:sz w:val="24"/>
          <w:szCs w:val="24"/>
          <w:highlight w:val="none"/>
        </w:rPr>
        <w:t xml:space="preserve">单位名称：涵熙（苏州）工程顾问有限公司</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单位地址：常熟市山茶花路10号</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联系人：王蔼玲</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联系方式：0512-52952666</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项目联系人：王蔼玲</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电话：0512-52952666</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bookmarkEnd w:id="44"/>
      <w:bookmarkEnd w:id="45"/>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ind w:firstLine="880"/>
        <w:jc w:val="center"/>
        <w:keepNext/>
        <w:rPr>
          <w:rFonts w:hint="eastAsia" w:ascii="宋体" w:hAnsi="宋体" w:cs="宋体"/>
          <w:b/>
          <w:bCs/>
          <w:color w:val="auto"/>
          <w:sz w:val="40"/>
          <w:szCs w:val="40"/>
          <w:highlight w:val="none"/>
        </w:rPr>
        <w:outlineLvl w:val="0"/>
      </w:pPr>
      <w:r/>
      <w:bookmarkStart w:id="46" w:name="_Toc120614211"/>
      <w:r/>
      <w:bookmarkStart w:id="47" w:name="_Toc10555"/>
      <w:r>
        <w:rPr>
          <w:rFonts w:hint="eastAsia" w:ascii="宋体" w:hAnsi="宋体" w:cs="宋体"/>
          <w:b/>
          <w:bCs/>
          <w:color w:val="auto"/>
          <w:sz w:val="40"/>
          <w:szCs w:val="40"/>
          <w:highlight w:val="none"/>
        </w:rPr>
        <w:t xml:space="preserve">第二章  </w:t>
      </w:r>
      <w:bookmarkEnd w:id="1"/>
      <w:r/>
      <w:bookmarkEnd w:id="2"/>
      <w:r/>
      <w:bookmarkEnd w:id="3"/>
      <w:r/>
      <w:bookmarkEnd w:id="4"/>
      <w:r/>
      <w:bookmarkEnd w:id="5"/>
      <w:r/>
      <w:bookmarkEnd w:id="46"/>
      <w:r/>
      <w:bookmarkStart w:id="48" w:name="_Toc16938518"/>
      <w:r/>
      <w:bookmarkStart w:id="49" w:name="_Toc120614213"/>
      <w:r/>
      <w:bookmarkStart w:id="50" w:name="_Toc513029202"/>
      <w:r/>
      <w:bookmarkStart w:id="51" w:name="_Toc20823274"/>
      <w:r>
        <w:rPr>
          <w:rFonts w:hint="eastAsia" w:ascii="宋体" w:hAnsi="宋体" w:cs="宋体"/>
          <w:b/>
          <w:bCs/>
          <w:color w:val="auto"/>
          <w:sz w:val="40"/>
          <w:szCs w:val="40"/>
          <w:highlight w:val="none"/>
        </w:rPr>
        <w:t xml:space="preserve">投标人须知</w:t>
      </w:r>
      <w:bookmarkEnd w:id="47"/>
      <w:r/>
      <w:bookmarkEnd w:id="48"/>
      <w:r/>
      <w:bookmarkEnd w:id="49"/>
      <w:r/>
      <w:bookmarkEnd w:id="50"/>
      <w:r/>
      <w:bookmarkEnd w:id="51"/>
      <w:r/>
      <w:r/>
    </w:p>
    <w:p>
      <w:pPr>
        <w:ind w:firstLine="562"/>
        <w:keepLines/>
        <w:keepNext/>
        <w:spacing w:line="440" w:lineRule="exact"/>
        <w:rPr>
          <w:rFonts w:hint="eastAsia" w:ascii="宋体" w:hAnsi="宋体" w:cs="宋体"/>
          <w:b/>
          <w:bCs/>
          <w:color w:val="auto"/>
          <w:sz w:val="28"/>
          <w:szCs w:val="28"/>
          <w:highlight w:val="none"/>
        </w:rPr>
      </w:pPr>
      <w:r/>
      <w:bookmarkStart w:id="52" w:name="_Toc120614214"/>
      <w:r/>
      <w:bookmarkStart w:id="53" w:name="_Toc513029203"/>
      <w:r/>
      <w:bookmarkStart w:id="54" w:name="_Toc16938519"/>
      <w:r/>
      <w:bookmarkStart w:id="55" w:name="_Toc20823275"/>
      <w:r>
        <w:rPr>
          <w:rFonts w:hint="eastAsia" w:ascii="宋体" w:hAnsi="宋体" w:cs="宋体"/>
          <w:b/>
          <w:bCs/>
          <w:color w:val="auto"/>
          <w:sz w:val="28"/>
          <w:szCs w:val="28"/>
          <w:highlight w:val="none"/>
        </w:rPr>
        <w:t xml:space="preserve">一、总则</w:t>
      </w:r>
      <w:bookmarkEnd w:id="52"/>
      <w:r/>
      <w:bookmarkEnd w:id="53"/>
      <w:r/>
      <w:bookmarkEnd w:id="54"/>
      <w:r/>
      <w:bookmarkEnd w:id="55"/>
      <w:r/>
      <w:r/>
    </w:p>
    <w:p>
      <w:pPr>
        <w:ind w:firstLine="480"/>
        <w:keepLines/>
        <w:keepNext/>
        <w:spacing w:line="440" w:lineRule="exact"/>
        <w:rPr>
          <w:rFonts w:hint="eastAsia" w:ascii="宋体" w:hAnsi="宋体" w:cs="宋体"/>
          <w:color w:val="auto"/>
          <w:sz w:val="24"/>
          <w:szCs w:val="24"/>
          <w:highlight w:val="none"/>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宋体" w:hAnsi="宋体" w:cs="宋体"/>
          <w:color w:val="auto"/>
          <w:sz w:val="24"/>
          <w:szCs w:val="24"/>
          <w:highlight w:val="none"/>
        </w:rPr>
        <w:t xml:space="preserve">1</w:t>
      </w:r>
      <w:bookmarkEnd w:id="57"/>
      <w:r>
        <w:rPr>
          <w:rFonts w:hint="eastAsia" w:ascii="宋体" w:hAnsi="宋体" w:cs="宋体"/>
          <w:color w:val="auto"/>
          <w:sz w:val="24"/>
          <w:szCs w:val="24"/>
          <w:highlight w:val="none"/>
        </w:rPr>
        <w:t xml:space="preserve">、采购人式</w:t>
      </w:r>
      <w:bookmarkEnd w:id="58"/>
      <w:r/>
      <w:bookmarkEnd w:id="59"/>
      <w:r/>
      <w:bookmarkEnd w:id="60"/>
      <w:r>
        <w:rPr>
          <w:rFonts w:hint="eastAsia" w:ascii="宋体" w:hAnsi="宋体" w:cs="宋体"/>
          <w:color w:val="auto"/>
          <w:sz w:val="24"/>
          <w:szCs w:val="24"/>
          <w:highlight w:val="none"/>
        </w:rPr>
        <w:t xml:space="preserve">及适用法律</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本次招标采取公开招标方式，本招标文件仅适用于招标公告中所述项目。</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 本次招标及由此产生的合同受中华人民共和国有关的法律法规制约和保护。</w:t>
      </w:r>
      <w:r/>
    </w:p>
    <w:p>
      <w:pPr>
        <w:ind w:firstLine="480"/>
        <w:keepLines/>
        <w:keepNext/>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2、定义</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 “采购人”系指购买本项目货物并接受相关服务的国家机关、事业单位、团体组织。</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“采购代理机构”系指依法接受采购人委托，从事货物和服务等政府采购业务的采购代理机构（以下简称“代理机构”）。本项目采购代理机构为涵熙（苏州）工程顾问有限公司。</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 “投标人”系指响应招标、参加投标竞争的供应商。</w:t>
      </w:r>
      <w:r/>
    </w:p>
    <w:p>
      <w:pPr>
        <w:ind w:firstLine="480"/>
        <w:keepLines/>
        <w:keepNext/>
        <w:spacing w:line="440" w:lineRule="exact"/>
        <w:rPr>
          <w:rFonts w:hint="eastAsia" w:ascii="宋体" w:hAnsi="宋体" w:cs="宋体"/>
          <w:color w:val="auto"/>
          <w:sz w:val="24"/>
          <w:szCs w:val="24"/>
          <w:highlight w:val="none"/>
        </w:rPr>
      </w:pPr>
      <w:r/>
      <w:bookmarkStart w:id="61" w:name="_Toc16938521"/>
      <w:r/>
      <w:bookmarkStart w:id="62" w:name="_Toc513029205"/>
      <w:r/>
      <w:bookmarkStart w:id="63" w:name="_Toc20823277"/>
      <w:r>
        <w:rPr>
          <w:rFonts w:hint="eastAsia" w:ascii="宋体" w:hAnsi="宋体" w:cs="宋体"/>
          <w:color w:val="auto"/>
          <w:sz w:val="24"/>
          <w:szCs w:val="24"/>
          <w:highlight w:val="none"/>
        </w:rPr>
        <w:t xml:space="preserve">3、合格的投标人</w:t>
      </w:r>
      <w:bookmarkEnd w:id="61"/>
      <w:r/>
      <w:bookmarkEnd w:id="62"/>
      <w:r/>
      <w:bookmarkEnd w:id="63"/>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满足招标公告中供应商的资格要求的规定，详见《第一章 投标邀请》中投标人资格要求。</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 满足本文件实质性要求和条件的规定。</w:t>
      </w:r>
      <w:r/>
    </w:p>
    <w:p>
      <w:pPr>
        <w:ind w:firstLine="480"/>
        <w:keepLines/>
        <w:keepNext/>
        <w:spacing w:line="440" w:lineRule="exact"/>
        <w:rPr>
          <w:rFonts w:hint="eastAsia" w:ascii="宋体" w:hAnsi="宋体" w:cs="宋体"/>
          <w:color w:val="auto"/>
          <w:sz w:val="24"/>
          <w:szCs w:val="24"/>
          <w:highlight w:val="none"/>
        </w:rPr>
      </w:pPr>
      <w:r/>
      <w:bookmarkStart w:id="64" w:name="_Toc513029207"/>
      <w:r/>
      <w:bookmarkStart w:id="65" w:name="_Toc16938523"/>
      <w:r/>
      <w:bookmarkStart w:id="66" w:name="_Toc462564067"/>
      <w:r/>
      <w:bookmarkStart w:id="67" w:name="_Toc20823279"/>
      <w:r>
        <w:rPr>
          <w:rFonts w:hint="eastAsia" w:ascii="宋体" w:hAnsi="宋体" w:cs="宋体"/>
          <w:color w:val="auto"/>
          <w:sz w:val="24"/>
          <w:szCs w:val="24"/>
          <w:highlight w:val="none"/>
        </w:rPr>
        <w:t xml:space="preserve">4、投标费用</w:t>
      </w:r>
      <w:bookmarkEnd w:id="64"/>
      <w:r/>
      <w:bookmarkEnd w:id="65"/>
      <w:r/>
      <w:bookmarkEnd w:id="66"/>
      <w:r/>
      <w:bookmarkEnd w:id="67"/>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 无论投标过程中的做法和结果如何，投标人应自行承担所有与准备和参加投标有关的全部费用。</w:t>
      </w:r>
      <w:r/>
    </w:p>
    <w:p>
      <w:pPr>
        <w:ind w:firstLine="793"/>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4.2 本次招标不收取采购文件工本费</w:t>
      </w:r>
      <w:r/>
    </w:p>
    <w:p>
      <w:pPr>
        <w:ind w:firstLine="793"/>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4.3 采购代理服务费用：</w:t>
      </w:r>
      <w:r/>
    </w:p>
    <w:p>
      <w:pPr>
        <w:ind w:firstLine="790"/>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本项目中标服务费由中标人支付，在采购代理机构发中标通知书时由中标人向采购代理机构支付中标服务费</w:t>
      </w:r>
      <w:r>
        <w:rPr>
          <w:rFonts w:hint="eastAsia" w:ascii="宋体" w:hAnsi="宋体" w:cs="宋体"/>
          <w:b/>
          <w:bCs/>
          <w:color w:val="auto"/>
          <w:sz w:val="24"/>
          <w:szCs w:val="24"/>
          <w:highlight w:val="none"/>
          <w:lang w:val="en-US" w:eastAsia="zh-CN"/>
        </w:rPr>
        <w:t xml:space="preserve">¥13811</w:t>
      </w:r>
      <w:r>
        <w:rPr>
          <w:rFonts w:hint="eastAsia" w:ascii="宋体" w:hAnsi="宋体" w:cs="宋体"/>
          <w:b/>
          <w:bCs/>
          <w:color w:val="auto"/>
          <w:sz w:val="24"/>
          <w:szCs w:val="24"/>
          <w:highlight w:val="none"/>
        </w:rPr>
        <w:t xml:space="preserve">.00</w:t>
      </w:r>
      <w:r>
        <w:rPr>
          <w:rFonts w:hint="eastAsia" w:ascii="宋体" w:hAnsi="宋体" w:cs="宋体"/>
          <w:b/>
          <w:bCs/>
          <w:color w:val="auto"/>
          <w:sz w:val="24"/>
          <w:szCs w:val="24"/>
          <w:highlight w:val="none"/>
          <w:lang w:val="en-US" w:eastAsia="zh-CN"/>
        </w:rPr>
        <w:t xml:space="preserve">元</w:t>
      </w:r>
      <w:r>
        <w:rPr>
          <w:rFonts w:hint="eastAsia" w:ascii="宋体" w:hAnsi="宋体" w:cs="宋体"/>
          <w:b/>
          <w:bCs/>
          <w:color w:val="auto"/>
          <w:sz w:val="24"/>
          <w:szCs w:val="24"/>
          <w:highlight w:val="none"/>
        </w:rPr>
        <w:t xml:space="preserve">（人民币</w:t>
      </w:r>
      <w:r>
        <w:rPr>
          <w:rFonts w:hint="eastAsia" w:ascii="宋体" w:hAnsi="宋体" w:cs="宋体"/>
          <w:b/>
          <w:bCs/>
          <w:color w:val="auto"/>
          <w:sz w:val="24"/>
          <w:szCs w:val="24"/>
          <w:highlight w:val="none"/>
          <w:lang w:val="en-US" w:eastAsia="zh-CN"/>
        </w:rPr>
        <w:t xml:space="preserve">壹万叁仟捌佰壹拾壹</w:t>
      </w:r>
      <w:r>
        <w:rPr>
          <w:rFonts w:hint="eastAsia" w:ascii="宋体" w:hAnsi="宋体" w:cs="宋体"/>
          <w:b/>
          <w:bCs/>
          <w:color w:val="auto"/>
          <w:sz w:val="24"/>
          <w:szCs w:val="24"/>
          <w:highlight w:val="none"/>
        </w:rPr>
        <w:t xml:space="preserve">元整），一次性付清。</w:t>
      </w:r>
      <w:r/>
    </w:p>
    <w:p>
      <w:pPr>
        <w:ind w:firstLine="480"/>
        <w:keepLines/>
        <w:keepNext/>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5、招标文件的约束力</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 投标人一旦参加本项目采购活动，即被认为接受了本招标文件的规定和约束。</w:t>
      </w:r>
      <w:r/>
    </w:p>
    <w:p>
      <w:pPr>
        <w:ind w:firstLine="562"/>
        <w:keepLines/>
        <w:keepNext/>
        <w:spacing w:line="440" w:lineRule="exact"/>
        <w:rPr>
          <w:rFonts w:hint="eastAsia" w:ascii="宋体" w:hAnsi="宋体" w:cs="宋体"/>
          <w:b/>
          <w:bCs/>
          <w:color w:val="auto"/>
          <w:sz w:val="28"/>
          <w:szCs w:val="28"/>
          <w:highlight w:val="none"/>
        </w:rPr>
      </w:pPr>
      <w:r/>
      <w:bookmarkStart w:id="68" w:name="_Toc120614215"/>
      <w:r/>
      <w:bookmarkStart w:id="69" w:name="_Toc20823281"/>
      <w:r/>
      <w:bookmarkStart w:id="70" w:name="_Toc16938525"/>
      <w:r/>
      <w:bookmarkStart w:id="71" w:name="_Toc513029209"/>
      <w:r>
        <w:rPr>
          <w:rFonts w:hint="eastAsia" w:ascii="宋体" w:hAnsi="宋体" w:cs="宋体"/>
          <w:b/>
          <w:bCs/>
          <w:color w:val="auto"/>
          <w:sz w:val="28"/>
          <w:szCs w:val="28"/>
          <w:highlight w:val="none"/>
        </w:rPr>
        <w:t xml:space="preserve">二、招标文件</w:t>
      </w:r>
      <w:bookmarkEnd w:id="68"/>
      <w:r/>
      <w:bookmarkEnd w:id="69"/>
      <w:r/>
      <w:bookmarkEnd w:id="70"/>
      <w:r/>
      <w:bookmarkEnd w:id="71"/>
      <w:r/>
      <w:r/>
    </w:p>
    <w:p>
      <w:pPr>
        <w:ind w:firstLine="480"/>
        <w:keepLines/>
        <w:keepNext/>
        <w:spacing w:line="440" w:lineRule="exact"/>
        <w:rPr>
          <w:rFonts w:hint="eastAsia" w:ascii="宋体" w:hAnsi="宋体" w:cs="宋体"/>
          <w:color w:val="auto"/>
          <w:sz w:val="24"/>
          <w:szCs w:val="24"/>
          <w:highlight w:val="none"/>
        </w:rPr>
      </w:pPr>
      <w:r/>
      <w:bookmarkStart w:id="72" w:name="_Toc513029210"/>
      <w:r/>
      <w:bookmarkStart w:id="73" w:name="_Toc20823282"/>
      <w:r/>
      <w:bookmarkStart w:id="74" w:name="_Toc16938526"/>
      <w:r>
        <w:rPr>
          <w:rFonts w:hint="eastAsia" w:ascii="宋体" w:hAnsi="宋体" w:cs="宋体"/>
          <w:color w:val="auto"/>
          <w:sz w:val="24"/>
          <w:szCs w:val="24"/>
          <w:highlight w:val="none"/>
        </w:rPr>
        <w:t xml:space="preserve">1、招标文件构成</w:t>
      </w:r>
      <w:bookmarkEnd w:id="72"/>
      <w:r/>
      <w:bookmarkEnd w:id="73"/>
      <w:r/>
      <w:bookmarkEnd w:id="74"/>
      <w:r/>
      <w:r/>
    </w:p>
    <w:p>
      <w:pPr>
        <w:ind w:firstLine="789"/>
        <w:spacing w:line="44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1.1</w:t>
      </w:r>
      <w:r>
        <w:rPr>
          <w:rFonts w:hint="eastAsia" w:ascii="宋体" w:hAnsi="宋体" w:cs="宋体"/>
          <w:color w:val="auto"/>
          <w:sz w:val="24"/>
          <w:szCs w:val="24"/>
          <w:highlight w:val="none"/>
        </w:rPr>
        <w:t xml:space="preserve"> 招标文件由以下部分组成：</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（1）投标邀请</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（2）投标人须知</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（3）合同文本</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（5）评标方法与评标标准</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（6）投标文件格式</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请仔细检查招标文件是否齐全，如有缺漏请立即与代理机构联系解决。</w:t>
      </w:r>
      <w:r/>
    </w:p>
    <w:p>
      <w:pPr>
        <w:ind w:firstLine="789"/>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 招标文件及其更正事项如不是直接从指定媒体地址下载获得的，采购人或代理机构对招标文件及其补遗的真实性、完整性不承担任何责任。</w:t>
      </w:r>
      <w:r/>
    </w:p>
    <w:p>
      <w:pPr>
        <w:ind w:firstLine="480"/>
        <w:keepLines/>
        <w:keepNext/>
        <w:spacing w:line="440" w:lineRule="exact"/>
        <w:rPr>
          <w:rFonts w:hint="eastAsia" w:ascii="宋体" w:hAnsi="宋体" w:cs="宋体"/>
          <w:color w:val="auto"/>
          <w:sz w:val="24"/>
          <w:szCs w:val="24"/>
          <w:highlight w:val="none"/>
        </w:rPr>
      </w:pPr>
      <w:r/>
      <w:bookmarkStart w:id="75" w:name="_Toc513029211"/>
      <w:r/>
      <w:bookmarkStart w:id="76" w:name="_Toc462564070"/>
      <w:r/>
      <w:bookmarkStart w:id="77" w:name="_Toc16938527"/>
      <w:r/>
      <w:bookmarkStart w:id="78" w:name="_Toc20823283"/>
      <w:r>
        <w:rPr>
          <w:rFonts w:hint="eastAsia" w:ascii="宋体" w:hAnsi="宋体" w:cs="宋体"/>
          <w:color w:val="auto"/>
          <w:sz w:val="24"/>
          <w:szCs w:val="24"/>
          <w:highlight w:val="none"/>
        </w:rPr>
        <w:t xml:space="preserve">2、招标文件的澄清、修改</w:t>
      </w:r>
      <w:r/>
    </w:p>
    <w:p>
      <w:pPr>
        <w:ind w:firstLine="789"/>
        <w:spacing w:line="440" w:lineRule="exact"/>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2.1 出于实际需要或澄清投标人问题的情况下，代理机构可对已发出的招标文件进行必要的澄清或者修改，并将在指定媒体上发布。</w:t>
      </w:r>
      <w:r>
        <w:rPr>
          <w:rFonts w:hint="eastAsia" w:ascii="宋体" w:hAnsi="宋体" w:cs="宋体"/>
          <w:b/>
          <w:bCs/>
          <w:color w:val="auto"/>
          <w:sz w:val="24"/>
          <w:szCs w:val="24"/>
          <w:highlight w:val="none"/>
        </w:rPr>
        <w:t xml:space="preserve">各投标人应在投标截止时间前关注政府采购信息发布媒体上“补充通知”栏，按规定获取相关信息内容，否则其投标风险由投标人承担。</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代理机构有权按照法定的要求顺延投标截止时间和开标时间。</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 有关澄清或者修改的内容将作为招标文件的组成部分，对所有投标人具有约束力。</w:t>
      </w:r>
      <w:bookmarkEnd w:id="75"/>
      <w:bookmarkEnd w:id="76"/>
      <w:bookmarkEnd w:id="77"/>
      <w:bookmarkEnd w:id="78"/>
      <w:r/>
    </w:p>
    <w:p>
      <w:pPr>
        <w:ind w:firstLine="562"/>
        <w:keepLines/>
        <w:keepNext/>
        <w:spacing w:line="440" w:lineRule="exact"/>
        <w:rPr>
          <w:rFonts w:hint="eastAsia" w:ascii="宋体" w:hAnsi="宋体" w:cs="宋体"/>
          <w:b/>
          <w:bCs/>
          <w:color w:val="auto"/>
          <w:sz w:val="28"/>
          <w:szCs w:val="28"/>
          <w:highlight w:val="none"/>
        </w:rPr>
      </w:pPr>
      <w:r/>
      <w:bookmarkStart w:id="79" w:name="_Toc462564072"/>
      <w:r/>
      <w:bookmarkStart w:id="80" w:name="_Toc20823285"/>
      <w:r/>
      <w:bookmarkStart w:id="81" w:name="_Toc513029213"/>
      <w:r/>
      <w:bookmarkStart w:id="82" w:name="_Toc16938529"/>
      <w:r/>
      <w:bookmarkStart w:id="83" w:name="_Toc120614216"/>
      <w:r>
        <w:rPr>
          <w:rFonts w:hint="eastAsia" w:ascii="宋体" w:hAnsi="宋体" w:cs="宋体"/>
          <w:b/>
          <w:bCs/>
          <w:color w:val="auto"/>
          <w:sz w:val="28"/>
          <w:szCs w:val="28"/>
          <w:highlight w:val="none"/>
        </w:rPr>
        <w:t xml:space="preserve">三、投标文件的编制</w:t>
      </w:r>
      <w:bookmarkEnd w:id="79"/>
      <w:r/>
      <w:bookmarkEnd w:id="80"/>
      <w:r/>
      <w:bookmarkEnd w:id="81"/>
      <w:r/>
      <w:bookmarkEnd w:id="82"/>
      <w:r/>
      <w:bookmarkEnd w:id="83"/>
      <w:r/>
      <w:r/>
    </w:p>
    <w:p>
      <w:pPr>
        <w:ind w:firstLine="480"/>
        <w:keepLines/>
        <w:keepNext/>
        <w:spacing w:line="440" w:lineRule="exact"/>
        <w:rPr>
          <w:rFonts w:hint="eastAsia" w:ascii="宋体" w:hAnsi="宋体" w:cs="宋体"/>
          <w:b/>
          <w:color w:val="auto"/>
          <w:sz w:val="24"/>
          <w:szCs w:val="24"/>
          <w:highlight w:val="none"/>
        </w:rPr>
      </w:pPr>
      <w:r/>
      <w:bookmarkStart w:id="84" w:name="_Toc16938530"/>
      <w:r/>
      <w:bookmarkStart w:id="85" w:name="_Toc20823286"/>
      <w:r/>
      <w:bookmarkStart w:id="86" w:name="_Toc462564073"/>
      <w:r/>
      <w:bookmarkStart w:id="87" w:name="_Toc513029214"/>
      <w:r>
        <w:rPr>
          <w:rFonts w:hint="eastAsia" w:ascii="宋体" w:hAnsi="宋体" w:cs="宋体"/>
          <w:color w:val="auto"/>
          <w:sz w:val="24"/>
          <w:szCs w:val="24"/>
          <w:highlight w:val="none"/>
        </w:rPr>
        <w:t xml:space="preserve">1、投标文件的语言及度量衡单位</w:t>
      </w:r>
      <w:bookmarkEnd w:id="84"/>
      <w:r/>
      <w:bookmarkEnd w:id="85"/>
      <w:r/>
      <w:bookmarkEnd w:id="86"/>
      <w:r/>
      <w:bookmarkEnd w:id="87"/>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投标人提交的投标文件以及投标人与代理机构就有关投标的所有来往通知、函件和文件均应使用</w:t>
      </w:r>
      <w:r>
        <w:rPr>
          <w:rFonts w:hint="eastAsia" w:ascii="宋体" w:hAnsi="宋体" w:cs="宋体"/>
          <w:b/>
          <w:bCs/>
          <w:color w:val="auto"/>
          <w:sz w:val="24"/>
          <w:szCs w:val="24"/>
          <w:highlight w:val="none"/>
        </w:rPr>
        <w:t xml:space="preserve">简体中文</w:t>
      </w:r>
      <w:r>
        <w:rPr>
          <w:rFonts w:hint="eastAsia" w:ascii="宋体" w:hAnsi="宋体" w:cs="宋体"/>
          <w:color w:val="auto"/>
          <w:sz w:val="24"/>
          <w:szCs w:val="24"/>
          <w:highlight w:val="none"/>
        </w:rPr>
        <w:t xml:space="preserve">。</w:t>
      </w:r>
      <w:r/>
    </w:p>
    <w:p>
      <w:pPr>
        <w:ind w:firstLine="789"/>
        <w:spacing w:line="440" w:lineRule="exact"/>
        <w:rPr>
          <w:rFonts w:hint="eastAsia" w:ascii="宋体" w:hAnsi="宋体" w:cs="宋体"/>
          <w:color w:val="auto"/>
          <w:sz w:val="24"/>
          <w:szCs w:val="21"/>
          <w:highlight w:val="none"/>
        </w:rPr>
      </w:pPr>
      <w:r>
        <w:rPr>
          <w:rFonts w:hint="eastAsia" w:ascii="宋体" w:hAnsi="宋体" w:cs="宋体"/>
          <w:color w:val="auto"/>
          <w:sz w:val="24"/>
          <w:szCs w:val="24"/>
          <w:highlight w:val="none"/>
        </w:rPr>
        <w:t xml:space="preserve">1.2 除技术性能另有规定外，投标文件所使用的度量衡单位，均须采用国家法定计量单位。</w:t>
      </w:r>
      <w:r/>
    </w:p>
    <w:p>
      <w:pPr>
        <w:ind w:firstLine="480"/>
        <w:keepLines/>
        <w:keepNext/>
        <w:spacing w:line="440" w:lineRule="exact"/>
        <w:rPr>
          <w:rFonts w:hint="eastAsia" w:ascii="宋体" w:hAnsi="宋体" w:cs="宋体"/>
          <w:color w:val="auto"/>
          <w:sz w:val="24"/>
          <w:szCs w:val="24"/>
          <w:highlight w:val="none"/>
        </w:rPr>
      </w:pPr>
      <w:r/>
      <w:bookmarkStart w:id="88" w:name="_Toc462564074"/>
      <w:r/>
      <w:bookmarkStart w:id="89" w:name="_Toc16938531"/>
      <w:r/>
      <w:bookmarkStart w:id="90" w:name="_Toc20823287"/>
      <w:r/>
      <w:bookmarkStart w:id="91" w:name="_Toc513029215"/>
      <w:r>
        <w:rPr>
          <w:rFonts w:hint="eastAsia" w:ascii="宋体" w:hAnsi="宋体" w:cs="宋体"/>
          <w:color w:val="auto"/>
          <w:sz w:val="24"/>
          <w:szCs w:val="24"/>
          <w:highlight w:val="none"/>
        </w:rPr>
        <w:t xml:space="preserve">2、投标文件构成</w:t>
      </w:r>
      <w:bookmarkEnd w:id="88"/>
      <w:r/>
      <w:bookmarkEnd w:id="89"/>
      <w:r/>
      <w:bookmarkEnd w:id="90"/>
      <w:r/>
      <w:bookmarkEnd w:id="91"/>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 投标人编写的投标文件应包括资格证明文件、开标一览表、报价明细表、投标函、服务（或商务）要求响应及偏离表、项目实施方案、其他证明文件等部分。</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如标书制作工具中格式和内容与指定媒体发布的招标文件不一致，请以指定媒体发布的招标文件为准。</w:t>
      </w:r>
      <w:r/>
    </w:p>
    <w:p>
      <w:pPr>
        <w:ind w:firstLine="480"/>
        <w:keepLines/>
        <w:keepNext/>
        <w:spacing w:line="440" w:lineRule="exact"/>
        <w:rPr>
          <w:rFonts w:hint="eastAsia" w:ascii="宋体" w:hAnsi="宋体" w:cs="宋体"/>
          <w:color w:val="auto"/>
          <w:sz w:val="24"/>
          <w:szCs w:val="24"/>
          <w:highlight w:val="none"/>
        </w:rPr>
      </w:pPr>
      <w:r/>
      <w:bookmarkStart w:id="92" w:name="_Hlt26668975"/>
      <w:r/>
      <w:bookmarkEnd w:id="92"/>
      <w:r/>
      <w:bookmarkStart w:id="93" w:name="_Hlt26670360"/>
      <w:r/>
      <w:bookmarkEnd w:id="93"/>
      <w:r/>
      <w:bookmarkStart w:id="94" w:name="_Hlt26954838"/>
      <w:r/>
      <w:bookmarkEnd w:id="94"/>
      <w:r/>
      <w:bookmarkStart w:id="95" w:name="_Toc49090509"/>
      <w:r/>
      <w:bookmarkStart w:id="96" w:name="_Toc513029219"/>
      <w:r/>
      <w:bookmarkStart w:id="97" w:name="_Toc14577357"/>
      <w:r/>
      <w:bookmarkStart w:id="98" w:name="_Toc14577354"/>
      <w:r/>
      <w:bookmarkStart w:id="99" w:name="_Toc513029216"/>
      <w:r/>
      <w:bookmarkStart w:id="100" w:name="_Toc49090507"/>
      <w:r/>
      <w:bookmarkStart w:id="101" w:name="_Toc14577355"/>
      <w:r/>
      <w:bookmarkStart w:id="102" w:name="_Toc49090508"/>
      <w:r>
        <w:rPr>
          <w:rFonts w:hint="eastAsia" w:ascii="宋体" w:hAnsi="宋体" w:cs="宋体"/>
          <w:color w:val="auto"/>
          <w:sz w:val="24"/>
          <w:szCs w:val="24"/>
          <w:highlight w:val="none"/>
        </w:rPr>
        <w:t xml:space="preserve">3、证明投标人及投标标的符合招标文件规定的文件</w:t>
      </w:r>
      <w:bookmarkEnd w:id="95"/>
      <w:r/>
      <w:bookmarkEnd w:id="96"/>
      <w:r/>
      <w:bookmarkEnd w:id="97"/>
      <w:r/>
      <w:bookmarkEnd w:id="98"/>
      <w:bookmarkEnd w:id="99"/>
      <w:bookmarkEnd w:id="100"/>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投标人应按照招标文件要求提交证明文件，证明其及投标标的符合招标文件规定。</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3.2招标文件对证明文件无明确形式要求的，证明文件可以以文字资料、图纸和数据等形式提交。</w:t>
      </w:r>
      <w:bookmarkEnd w:id="101"/>
      <w:bookmarkEnd w:id="102"/>
      <w:r/>
    </w:p>
    <w:p>
      <w:pPr>
        <w:ind w:firstLine="480"/>
        <w:keepLines/>
        <w:keepNext/>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4、投标函和开标一览表</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 投标人应按照招标文件中提供的格式完整、正确填写投标函、开标一览表。</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 对于采用货币报价的项目，开标一览表中的投标总报价应与报价明细表中的投标总报价一致，如不一致不作为无效投标处理，但评标时按开标一览表中价格为准。</w:t>
      </w:r>
      <w:r/>
    </w:p>
    <w:p>
      <w:pPr>
        <w:ind w:firstLine="480"/>
        <w:keepLines/>
        <w:keepNext/>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5、报价明细表</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 投标人应按照招标文件规定格式填报报价明细表。</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 投标货币。投标文件中的单价和总价无特殊规定的采用人民币报价，以元为单位标注。招标文件中另有规定的按规定执行。</w:t>
      </w:r>
      <w:r/>
    </w:p>
    <w:p>
      <w:pPr>
        <w:ind w:firstLine="480"/>
        <w:keepLines/>
        <w:keepNext/>
        <w:spacing w:line="440" w:lineRule="exact"/>
        <w:rPr>
          <w:rFonts w:hint="eastAsia" w:ascii="宋体" w:hAnsi="宋体" w:cs="宋体"/>
          <w:color w:val="auto"/>
          <w:sz w:val="24"/>
          <w:szCs w:val="24"/>
          <w:highlight w:val="none"/>
        </w:rPr>
      </w:pPr>
      <w:r/>
      <w:bookmarkStart w:id="103" w:name="_Hlt26954846"/>
      <w:r/>
      <w:bookmarkEnd w:id="103"/>
      <w:r/>
      <w:bookmarkStart w:id="104" w:name="_Hlt26954848"/>
      <w:r/>
      <w:bookmarkEnd w:id="104"/>
      <w:r/>
      <w:bookmarkStart w:id="105" w:name="_Hlt26954731"/>
      <w:r/>
      <w:bookmarkEnd w:id="105"/>
      <w:r/>
      <w:bookmarkStart w:id="106" w:name="_Hlt26670482"/>
      <w:r/>
      <w:bookmarkEnd w:id="106"/>
      <w:r/>
      <w:bookmarkStart w:id="107" w:name="_Hlt26670486"/>
      <w:r/>
      <w:bookmarkEnd w:id="107"/>
      <w:r/>
      <w:bookmarkStart w:id="108" w:name="_Hlk155763835"/>
      <w:r>
        <w:rPr>
          <w:rFonts w:hint="eastAsia" w:ascii="宋体" w:hAnsi="宋体" w:cs="宋体"/>
          <w:color w:val="auto"/>
          <w:sz w:val="24"/>
          <w:szCs w:val="24"/>
          <w:highlight w:val="none"/>
        </w:rPr>
        <w:t xml:space="preserve">6、技术参数、商务要求响应及偏离表</w:t>
      </w:r>
      <w:r/>
    </w:p>
    <w:p>
      <w:pPr>
        <w:ind w:firstLine="789"/>
        <w:spacing w:line="44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6.1</w:t>
      </w:r>
      <w:r>
        <w:rPr>
          <w:rFonts w:hint="eastAsia" w:ascii="宋体" w:hAnsi="宋体" w:cs="宋体"/>
          <w:color w:val="auto"/>
          <w:sz w:val="24"/>
          <w:szCs w:val="24"/>
          <w:highlight w:val="none"/>
          <w:lang w:val="zh-CN"/>
        </w:rPr>
        <w:t xml:space="preserve"> 投标人需对招标文件中的技术参数与商务要求逐项作出响应或偏离，并说明原因。</w:t>
      </w:r>
      <w:r/>
    </w:p>
    <w:p>
      <w:pPr>
        <w:ind w:firstLine="789"/>
        <w:spacing w:line="44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6.2</w:t>
      </w:r>
      <w:r>
        <w:rPr>
          <w:rFonts w:hint="eastAsia" w:ascii="宋体" w:hAnsi="宋体" w:cs="宋体"/>
          <w:color w:val="auto"/>
          <w:sz w:val="24"/>
          <w:szCs w:val="24"/>
          <w:highlight w:val="none"/>
          <w:lang w:val="zh-CN"/>
        </w:rPr>
        <w:t xml:space="preserve"> 投标人需按照招标文件要求，在投标文件中提供与服务要求和商务要求相关的证明材料。</w:t>
      </w:r>
      <w:bookmarkEnd w:id="108"/>
      <w:r>
        <w:rPr>
          <w:rFonts w:hint="eastAsia" w:ascii="宋体" w:hAnsi="宋体" w:cs="宋体"/>
          <w:color w:val="auto"/>
          <w:sz w:val="24"/>
          <w:szCs w:val="24"/>
          <w:highlight w:val="none"/>
          <w:lang w:val="zh-CN"/>
        </w:rPr>
        <w:t xml:space="preserve">（如有）</w:t>
      </w:r>
      <w:r/>
    </w:p>
    <w:p>
      <w:pPr>
        <w:ind w:firstLine="480"/>
        <w:keepLines/>
        <w:keepNext/>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7、项目实施方案、质量保证及售后服务承诺、业绩情况</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 投标人需根据招标文件要求提供有关投标货物项目实施方案、质量保证及售后服务承诺等。</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 投标人需根据招标文件要求提供实施的类似项目业绩情况。</w:t>
      </w:r>
      <w:bookmarkStart w:id="109" w:name="_Toc49090510"/>
      <w:r/>
      <w:bookmarkStart w:id="110" w:name="_Toc14577359"/>
      <w:r/>
      <w:r/>
    </w:p>
    <w:p>
      <w:pPr>
        <w:ind w:firstLine="480"/>
        <w:keepLines/>
        <w:keepNext/>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8、其他</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 投标人需根据招标文件要求提供的其他证明材料。</w:t>
      </w:r>
      <w:bookmarkEnd w:id="109"/>
      <w:bookmarkEnd w:id="110"/>
      <w:r/>
    </w:p>
    <w:p>
      <w:pPr>
        <w:ind w:firstLine="480"/>
        <w:keepLines/>
        <w:keepNext/>
        <w:spacing w:line="440" w:lineRule="exact"/>
        <w:rPr>
          <w:rFonts w:hint="eastAsia" w:ascii="宋体" w:hAnsi="宋体" w:cs="宋体"/>
          <w:color w:val="auto"/>
          <w:sz w:val="24"/>
          <w:szCs w:val="24"/>
          <w:highlight w:val="none"/>
        </w:rPr>
      </w:pPr>
      <w:r/>
      <w:bookmarkStart w:id="111" w:name="_Toc49090511"/>
      <w:r/>
      <w:bookmarkStart w:id="112" w:name="_Toc14577360"/>
      <w:r>
        <w:rPr>
          <w:rFonts w:hint="eastAsia" w:ascii="宋体" w:hAnsi="宋体" w:cs="宋体"/>
          <w:color w:val="auto"/>
          <w:sz w:val="24"/>
          <w:szCs w:val="24"/>
          <w:highlight w:val="none"/>
        </w:rPr>
        <w:t xml:space="preserve">9、投标有效期</w:t>
      </w:r>
      <w:bookmarkEnd w:id="111"/>
      <w:r/>
      <w:bookmarkEnd w:id="112"/>
      <w:r/>
      <w:r/>
    </w:p>
    <w:p>
      <w:pPr>
        <w:ind w:firstLine="789"/>
        <w:spacing w:line="44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9.1投标有效期为代理机构</w:t>
      </w:r>
      <w:r>
        <w:rPr>
          <w:rFonts w:hint="eastAsia" w:ascii="宋体" w:hAnsi="宋体" w:cs="宋体"/>
          <w:bCs/>
          <w:color w:val="auto"/>
          <w:sz w:val="24"/>
          <w:szCs w:val="24"/>
          <w:highlight w:val="none"/>
        </w:rPr>
        <w:t xml:space="preserve">规定的开标之日后</w:t>
      </w:r>
      <w:r>
        <w:rPr>
          <w:rFonts w:hint="eastAsia" w:ascii="宋体" w:hAnsi="宋体" w:cs="宋体"/>
          <w:b/>
          <w:color w:val="auto"/>
          <w:sz w:val="24"/>
          <w:szCs w:val="24"/>
          <w:highlight w:val="none"/>
          <w:u w:val="single"/>
        </w:rPr>
        <w:t xml:space="preserve">六十（60）天</w:t>
      </w:r>
      <w:r>
        <w:rPr>
          <w:rFonts w:hint="eastAsia" w:ascii="宋体" w:hAnsi="宋体" w:cs="宋体"/>
          <w:bCs/>
          <w:color w:val="auto"/>
          <w:sz w:val="24"/>
          <w:szCs w:val="24"/>
          <w:highlight w:val="none"/>
        </w:rPr>
        <w:t xml:space="preserve">。投标有效期比规定短的将被视为未实质性响应招标文件而予以拒绝。</w:t>
      </w:r>
      <w:r/>
    </w:p>
    <w:p>
      <w:pPr>
        <w:ind w:firstLine="480"/>
        <w:keepLines/>
        <w:keepNext/>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10、投标有效期的延长</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firstLine="562"/>
        <w:keepLines/>
        <w:keepNext/>
        <w:spacing w:line="440" w:lineRule="exact"/>
        <w:rPr>
          <w:rFonts w:hint="eastAsia" w:ascii="宋体" w:hAnsi="宋体" w:cs="宋体"/>
          <w:b/>
          <w:bCs/>
          <w:color w:val="auto"/>
          <w:sz w:val="28"/>
          <w:szCs w:val="28"/>
          <w:highlight w:val="none"/>
        </w:rPr>
      </w:pPr>
      <w:r/>
      <w:bookmarkStart w:id="113" w:name="_Hlt26954739"/>
      <w:r/>
      <w:bookmarkEnd w:id="113"/>
      <w:r/>
      <w:bookmarkStart w:id="114" w:name="_Hlt26954852"/>
      <w:r/>
      <w:bookmarkEnd w:id="114"/>
      <w:r/>
      <w:bookmarkStart w:id="115" w:name="_Toc120614217"/>
      <w:r/>
      <w:bookmarkStart w:id="116" w:name="_Toc16938540"/>
      <w:r/>
      <w:bookmarkStart w:id="117" w:name="_Toc513029224"/>
      <w:r/>
      <w:bookmarkStart w:id="118" w:name="_Toc20823296"/>
      <w:r>
        <w:rPr>
          <w:rFonts w:hint="eastAsia" w:ascii="宋体" w:hAnsi="宋体" w:cs="宋体"/>
          <w:b/>
          <w:bCs/>
          <w:color w:val="auto"/>
          <w:sz w:val="28"/>
          <w:szCs w:val="28"/>
          <w:highlight w:val="none"/>
        </w:rPr>
        <w:t xml:space="preserve">四、投标文件的递交</w:t>
      </w:r>
      <w:bookmarkEnd w:id="115"/>
      <w:r/>
      <w:bookmarkEnd w:id="116"/>
      <w:r/>
      <w:bookmarkEnd w:id="117"/>
      <w:r/>
      <w:bookmarkEnd w:id="118"/>
      <w:r/>
      <w:r/>
    </w:p>
    <w:p>
      <w:pPr>
        <w:ind w:firstLine="480"/>
        <w:keepLines/>
        <w:keepNext/>
        <w:spacing w:line="440" w:lineRule="exact"/>
        <w:rPr>
          <w:rFonts w:hint="eastAsia" w:ascii="宋体" w:hAnsi="宋体" w:cs="宋体"/>
          <w:color w:val="auto"/>
          <w:sz w:val="24"/>
          <w:szCs w:val="24"/>
          <w:highlight w:val="none"/>
        </w:rPr>
      </w:pPr>
      <w:r/>
      <w:bookmarkStart w:id="119" w:name="_Toc16938541"/>
      <w:r/>
      <w:bookmarkStart w:id="120" w:name="_Toc513029225"/>
      <w:r/>
      <w:bookmarkStart w:id="121" w:name="_Toc462564084"/>
      <w:r/>
      <w:bookmarkStart w:id="122" w:name="_Toc20823297"/>
      <w:r>
        <w:rPr>
          <w:rFonts w:hint="eastAsia" w:ascii="宋体" w:hAnsi="宋体" w:cs="宋体"/>
          <w:color w:val="auto"/>
          <w:sz w:val="24"/>
          <w:szCs w:val="24"/>
          <w:highlight w:val="none"/>
        </w:rPr>
        <w:t xml:space="preserve">1、电子投标文件</w:t>
      </w:r>
      <w:bookmarkEnd w:id="119"/>
      <w:r/>
      <w:bookmarkEnd w:id="120"/>
      <w:r/>
      <w:bookmarkEnd w:id="121"/>
      <w:r/>
      <w:bookmarkEnd w:id="122"/>
      <w:r>
        <w:rPr>
          <w:rFonts w:hint="eastAsia" w:ascii="宋体" w:hAnsi="宋体" w:cs="宋体"/>
          <w:color w:val="auto"/>
          <w:sz w:val="24"/>
          <w:szCs w:val="24"/>
          <w:highlight w:val="none"/>
        </w:rPr>
        <w:t xml:space="preserve">的递交</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1.1投标人应当按照《苏采云系统供应商操作手册》规定，在投标截止时间前制作并上传电子投标文件。</w:t>
      </w:r>
      <w:bookmarkStart w:id="123" w:name="_Toc513029226"/>
      <w:r/>
      <w:bookmarkStart w:id="124" w:name="_Toc16938542"/>
      <w:r/>
      <w:bookmarkStart w:id="125" w:name="_Toc20823298"/>
      <w:r/>
      <w:r/>
    </w:p>
    <w:p>
      <w:pPr>
        <w:ind w:firstLine="480"/>
        <w:keepLines/>
        <w:keepNext/>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2、投标截止日期</w:t>
      </w:r>
      <w:bookmarkEnd w:id="123"/>
      <w:r/>
      <w:bookmarkEnd w:id="124"/>
      <w:r/>
      <w:bookmarkEnd w:id="125"/>
      <w:r/>
      <w:r/>
    </w:p>
    <w:p>
      <w:pPr>
        <w:ind w:firstLine="789"/>
        <w:spacing w:line="440" w:lineRule="exact"/>
        <w:rPr>
          <w:rFonts w:hint="eastAsia" w:ascii="宋体" w:hAnsi="宋体" w:cs="宋体"/>
          <w:bCs/>
          <w:iCs/>
          <w:color w:val="auto"/>
          <w:sz w:val="24"/>
          <w:szCs w:val="24"/>
          <w:highlight w:val="none"/>
          <w:u w:val="none"/>
        </w:rPr>
      </w:pPr>
      <w:r>
        <w:rPr>
          <w:rFonts w:hint="eastAsia" w:ascii="宋体" w:hAnsi="宋体" w:cs="宋体"/>
          <w:iCs/>
          <w:color w:val="auto"/>
          <w:sz w:val="24"/>
          <w:szCs w:val="24"/>
          <w:highlight w:val="none"/>
          <w:u w:val="none"/>
        </w:rPr>
        <w:t xml:space="preserve">2.1</w:t>
      </w:r>
      <w:r>
        <w:rPr>
          <w:rFonts w:hint="eastAsia" w:ascii="宋体" w:hAnsi="宋体" w:cs="宋体"/>
          <w:bCs/>
          <w:iCs/>
          <w:color w:val="auto"/>
          <w:sz w:val="24"/>
          <w:szCs w:val="24"/>
          <w:highlight w:val="none"/>
          <w:u w:val="none"/>
        </w:rPr>
        <w:t xml:space="preserve"> 投标人上传电子投标文件的时间不得迟于招标公告中规定的投标截止时间。</w:t>
      </w:r>
      <w:r/>
    </w:p>
    <w:p>
      <w:pPr>
        <w:ind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789"/>
        <w:spacing w:line="44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2.2</w:t>
      </w:r>
      <w:r>
        <w:rPr>
          <w:rFonts w:hint="eastAsia" w:ascii="宋体" w:hAnsi="宋体" w:cs="宋体"/>
          <w:bCs/>
          <w:color w:val="auto"/>
          <w:sz w:val="24"/>
          <w:szCs w:val="24"/>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80"/>
        <w:keepLines/>
        <w:keepNext/>
        <w:spacing w:line="440" w:lineRule="exact"/>
        <w:rPr>
          <w:rFonts w:hint="eastAsia" w:ascii="宋体" w:hAnsi="宋体" w:cs="宋体"/>
          <w:color w:val="auto"/>
          <w:sz w:val="24"/>
          <w:szCs w:val="24"/>
          <w:highlight w:val="none"/>
        </w:rPr>
      </w:pPr>
      <w:r/>
      <w:bookmarkStart w:id="126" w:name="_Toc20823299"/>
      <w:r/>
      <w:bookmarkStart w:id="127" w:name="_Toc16938543"/>
      <w:r/>
      <w:bookmarkStart w:id="128" w:name="_Toc513029227"/>
      <w:r>
        <w:rPr>
          <w:rFonts w:hint="eastAsia" w:ascii="宋体" w:hAnsi="宋体" w:cs="宋体"/>
          <w:color w:val="auto"/>
          <w:sz w:val="24"/>
          <w:szCs w:val="24"/>
          <w:highlight w:val="none"/>
        </w:rPr>
        <w:t xml:space="preserve">3、投标文件</w:t>
      </w:r>
      <w:bookmarkEnd w:id="126"/>
      <w:r/>
      <w:bookmarkEnd w:id="127"/>
      <w:r/>
      <w:bookmarkEnd w:id="128"/>
      <w:r>
        <w:rPr>
          <w:rFonts w:hint="eastAsia" w:ascii="宋体" w:hAnsi="宋体" w:cs="宋体"/>
          <w:color w:val="auto"/>
          <w:sz w:val="24"/>
          <w:szCs w:val="24"/>
          <w:highlight w:val="none"/>
        </w:rPr>
        <w:t xml:space="preserve">的拒收</w:t>
      </w:r>
      <w:r/>
    </w:p>
    <w:p>
      <w:pPr>
        <w:ind w:firstLine="789"/>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 代理机构拒绝接收在其规定的投标截止时间后上传的任何投标文件。</w:t>
      </w:r>
      <w:r/>
    </w:p>
    <w:p>
      <w:pPr>
        <w:ind w:firstLine="480"/>
        <w:keepLines/>
        <w:keepNext/>
        <w:spacing w:line="440" w:lineRule="exact"/>
        <w:rPr>
          <w:rFonts w:hint="eastAsia" w:ascii="宋体" w:hAnsi="宋体" w:cs="宋体"/>
          <w:color w:val="auto"/>
          <w:sz w:val="24"/>
          <w:szCs w:val="24"/>
          <w:highlight w:val="none"/>
        </w:rPr>
      </w:pPr>
      <w:r/>
      <w:bookmarkStart w:id="129" w:name="_Toc20823300"/>
      <w:r/>
      <w:bookmarkStart w:id="130" w:name="_Toc16938544"/>
      <w:r/>
      <w:bookmarkStart w:id="131" w:name="_Toc513029228"/>
      <w:r>
        <w:rPr>
          <w:rFonts w:hint="eastAsia" w:ascii="宋体" w:hAnsi="宋体" w:cs="宋体"/>
          <w:color w:val="auto"/>
          <w:sz w:val="24"/>
          <w:szCs w:val="24"/>
          <w:highlight w:val="none"/>
        </w:rPr>
        <w:t xml:space="preserve">4、投标文件的撤回和修改</w:t>
      </w:r>
      <w:bookmarkEnd w:id="129"/>
      <w:r/>
      <w:bookmarkEnd w:id="130"/>
      <w:r/>
      <w:bookmarkEnd w:id="131"/>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 投标文件的撤回</w:t>
      </w:r>
      <w:r/>
    </w:p>
    <w:p>
      <w:pPr>
        <w:ind w:firstLine="96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4.1.1 电子投标文件的撤回</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投标人可在投标截止时间前，撤回其电子投标文件，具体操作方法见《苏采云系统供应商操作手册》。</w:t>
      </w:r>
      <w:r/>
    </w:p>
    <w:p>
      <w:pPr>
        <w:ind w:firstLine="96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4.1.2 投标人撤回电子投标文件，则认为其不再参与本项目投标活动。</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 投标文件的修改</w:t>
      </w:r>
      <w:r/>
    </w:p>
    <w:p>
      <w:pPr>
        <w:ind w:firstLine="96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4.2.1投标人可在投标截止时间前，对其电子投标文件进行修改，具体操作方法见《苏采云系统供应商操作手册》。</w:t>
      </w:r>
      <w:r/>
    </w:p>
    <w:p>
      <w:pPr>
        <w:ind w:firstLine="96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4.2.2 在投标截止时间之后，投标人不得对其电子投标文件作任何修改。</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 在投标截止时间至招标文件中规定的投标有效期满之间的这段时间内，投标人不得撤回其投标。</w:t>
      </w:r>
      <w:r/>
    </w:p>
    <w:p>
      <w:pPr>
        <w:ind w:firstLine="562"/>
        <w:keepLines/>
        <w:keepNext/>
        <w:spacing w:line="440" w:lineRule="exact"/>
        <w:rPr>
          <w:rFonts w:hint="eastAsia" w:ascii="宋体" w:hAnsi="宋体" w:cs="宋体"/>
          <w:b/>
          <w:bCs/>
          <w:color w:val="auto"/>
          <w:sz w:val="28"/>
          <w:szCs w:val="28"/>
          <w:highlight w:val="none"/>
        </w:rPr>
      </w:pPr>
      <w:r/>
      <w:bookmarkStart w:id="132" w:name="_Toc16938545"/>
      <w:r/>
      <w:bookmarkStart w:id="133" w:name="_Toc20823301"/>
      <w:r/>
      <w:bookmarkStart w:id="134" w:name="_Toc120614218"/>
      <w:r/>
      <w:bookmarkStart w:id="135" w:name="_Toc513029229"/>
      <w:r>
        <w:rPr>
          <w:rFonts w:hint="eastAsia" w:ascii="宋体" w:hAnsi="宋体" w:cs="宋体"/>
          <w:b/>
          <w:bCs/>
          <w:color w:val="auto"/>
          <w:sz w:val="28"/>
          <w:szCs w:val="28"/>
          <w:highlight w:val="none"/>
        </w:rPr>
        <w:t xml:space="preserve">五、开标与评标</w:t>
      </w:r>
      <w:bookmarkEnd w:id="132"/>
      <w:r/>
      <w:bookmarkEnd w:id="133"/>
      <w:r/>
      <w:bookmarkEnd w:id="134"/>
      <w:r/>
      <w:bookmarkEnd w:id="135"/>
      <w:r/>
      <w:r/>
    </w:p>
    <w:p>
      <w:pPr>
        <w:ind w:firstLine="480"/>
        <w:keepLines/>
        <w:keepNext/>
        <w:spacing w:line="440" w:lineRule="exact"/>
        <w:rPr>
          <w:rFonts w:hint="eastAsia" w:ascii="宋体" w:hAnsi="宋体" w:cs="宋体"/>
          <w:color w:val="auto"/>
          <w:sz w:val="24"/>
          <w:szCs w:val="24"/>
          <w:highlight w:val="none"/>
        </w:rPr>
      </w:pPr>
      <w:r/>
      <w:bookmarkStart w:id="136" w:name="_Toc20823302"/>
      <w:r/>
      <w:bookmarkStart w:id="137" w:name="_Toc513029230"/>
      <w:r/>
      <w:bookmarkStart w:id="138" w:name="_Toc16938546"/>
      <w:r>
        <w:rPr>
          <w:rFonts w:hint="eastAsia" w:ascii="宋体" w:hAnsi="宋体" w:cs="宋体"/>
          <w:color w:val="auto"/>
          <w:sz w:val="24"/>
          <w:szCs w:val="24"/>
          <w:highlight w:val="none"/>
        </w:rPr>
        <w:t xml:space="preserve">1、开标</w:t>
      </w:r>
      <w:bookmarkEnd w:id="136"/>
      <w:r/>
      <w:bookmarkEnd w:id="137"/>
      <w:r/>
      <w:bookmarkEnd w:id="138"/>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代理机构将在招标公告中规定的时间和地点组织公开开标。投标人应当按照《苏采云系统供应商操作手册》规定，参加开标活动和在苏采云系统规定的时间内对投标文件进行解密。</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1.2开标仪式由代理机构组织。苏采云系统将自动对项目进行开标，并宣布各投标人名称和投标价格。</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1.3投标人在开标过程中涉及到的投标文件解密、开标结果确认等工作，应按照《苏采云系统供应商操作手册》规定执行。</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1.4投标人如果对开标过程和开标记录有疑义，应当根据《操作手册》规定提出，如苏采云系统中《开标记录表》宣布后5分钟内未提出的，视同认可开标结果。</w:t>
      </w:r>
      <w:r/>
    </w:p>
    <w:p>
      <w:pPr>
        <w:ind w:firstLine="480"/>
        <w:keepLines/>
        <w:keepNext/>
        <w:spacing w:line="440" w:lineRule="exact"/>
        <w:rPr>
          <w:rFonts w:hint="eastAsia" w:ascii="宋体" w:hAnsi="宋体" w:cs="宋体"/>
          <w:color w:val="auto"/>
          <w:sz w:val="24"/>
          <w:szCs w:val="24"/>
          <w:highlight w:val="none"/>
        </w:rPr>
      </w:pPr>
      <w:r/>
      <w:bookmarkStart w:id="139" w:name="_Toc513029231"/>
      <w:r/>
      <w:bookmarkStart w:id="140" w:name="_Toc20823303"/>
      <w:r/>
      <w:bookmarkStart w:id="141" w:name="_Toc16938547"/>
      <w:r>
        <w:rPr>
          <w:rFonts w:hint="eastAsia" w:ascii="宋体" w:hAnsi="宋体" w:cs="宋体"/>
          <w:color w:val="auto"/>
          <w:sz w:val="24"/>
          <w:szCs w:val="24"/>
          <w:highlight w:val="none"/>
        </w:rPr>
        <w:t xml:space="preserve">2、评标委员会</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 开标后，代理机构将立即组织评标委员会（以下简称评委会）进行评标。</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评委会由采购人代表和有关技术、经济等方面的专家组成，且人员构成符合政府采购有关规定。</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2.3评委会独立工作，负责评审所有投标文件并确定中标侯选人。</w:t>
      </w:r>
      <w:r/>
    </w:p>
    <w:p>
      <w:pPr>
        <w:ind w:firstLine="480"/>
        <w:keepLines/>
        <w:keepNext/>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3．评标过程的保密与公正</w:t>
      </w:r>
      <w:bookmarkEnd w:id="139"/>
      <w:bookmarkEnd w:id="140"/>
      <w:bookmarkEnd w:id="141"/>
      <w:r/>
    </w:p>
    <w:p>
      <w:pPr>
        <w:ind w:firstLine="789"/>
        <w:spacing w:line="44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3.1</w:t>
      </w:r>
      <w:r>
        <w:rPr>
          <w:rFonts w:hint="eastAsia" w:ascii="宋体" w:hAnsi="宋体" w:cs="宋体"/>
          <w:bCs/>
          <w:color w:val="auto"/>
          <w:sz w:val="24"/>
          <w:szCs w:val="24"/>
          <w:highlight w:val="none"/>
        </w:rPr>
        <w:t xml:space="preserve">凡是与审查、澄清、评价和比较投标的有关资料以及授标建议等，采购人、评委、代理机构均不得向投标人或与评标无关的其他人员透露。</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3.2在评标过程中，投标人不得以任何行为影响评标过程，否则其投标文件将被作为无效投标文件。</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 代理机构和评委会不向未中标的投标人解释未中标原因，也不公布评标过程中的相关细节。</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 采用综合评分法的项目，未中标的投标人可于中标结果公告期限届满之日起通过苏采云系统查看自己的评审得分及排序情况。</w:t>
      </w:r>
      <w:r/>
    </w:p>
    <w:p>
      <w:pPr>
        <w:ind w:firstLine="480"/>
        <w:keepLines/>
        <w:keepNext/>
        <w:spacing w:line="440" w:lineRule="exact"/>
        <w:rPr>
          <w:rFonts w:hint="eastAsia" w:ascii="宋体" w:hAnsi="宋体" w:cs="宋体"/>
          <w:color w:val="auto"/>
          <w:sz w:val="24"/>
          <w:szCs w:val="24"/>
          <w:highlight w:val="none"/>
        </w:rPr>
      </w:pPr>
      <w:r/>
      <w:bookmarkStart w:id="142" w:name="_Toc20823304"/>
      <w:r/>
      <w:bookmarkStart w:id="143" w:name="_Toc513029232"/>
      <w:r/>
      <w:bookmarkStart w:id="144" w:name="_Toc16938548"/>
      <w:r>
        <w:rPr>
          <w:rFonts w:hint="eastAsia" w:ascii="宋体" w:hAnsi="宋体" w:cs="宋体"/>
          <w:color w:val="auto"/>
          <w:sz w:val="24"/>
          <w:szCs w:val="24"/>
          <w:highlight w:val="none"/>
        </w:rPr>
        <w:t xml:space="preserve">4. 投标文件的澄清</w:t>
      </w:r>
      <w:bookmarkEnd w:id="142"/>
      <w:r/>
      <w:bookmarkEnd w:id="143"/>
      <w:r/>
      <w:bookmarkEnd w:id="144"/>
      <w:r/>
      <w:r/>
    </w:p>
    <w:p>
      <w:pPr>
        <w:ind w:firstLine="789"/>
        <w:spacing w:line="440" w:lineRule="exact"/>
        <w:rPr>
          <w:rFonts w:hint="eastAsia" w:ascii="宋体" w:hAnsi="宋体" w:cs="宋体"/>
          <w:color w:val="auto"/>
          <w:sz w:val="24"/>
          <w:szCs w:val="24"/>
          <w:highlight w:val="none"/>
        </w:rPr>
      </w:pPr>
      <w:r/>
      <w:bookmarkStart w:id="145" w:name="_Toc20823305"/>
      <w:r/>
      <w:bookmarkStart w:id="146" w:name="_Toc513029233"/>
      <w:r/>
      <w:bookmarkStart w:id="147" w:name="_Toc16938549"/>
      <w:r>
        <w:rPr>
          <w:rFonts w:hint="eastAsia" w:ascii="宋体" w:hAnsi="宋体" w:cs="宋体"/>
          <w:color w:val="auto"/>
          <w:sz w:val="24"/>
          <w:szCs w:val="24"/>
          <w:highlight w:val="none"/>
        </w:rPr>
        <w:t xml:space="preserve">4.1评标期间，评委会对投标文件中含义不明确、同类问题表述不一致或者有明显文字和计算错误的内容 ，有权要求投标人作出必要的澄清、说明或者补正。</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投标人的澄清、说明或者补正不得超出投标文件的范围或者改变投标文件的实质性内容。</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评标委员会并非对每个投标人都做澄清要求。</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 接到评委会澄清、说明和补正要求的投标人如未按规定做出澄清、说明和补正，其风险由投标人自行承担。</w:t>
      </w:r>
      <w:r/>
    </w:p>
    <w:p>
      <w:pPr>
        <w:ind w:firstLine="480"/>
        <w:keepLines/>
        <w:keepNext/>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 对投标文件的初审</w:t>
      </w:r>
      <w:bookmarkEnd w:id="145"/>
      <w:r/>
      <w:bookmarkEnd w:id="146"/>
      <w:r/>
      <w:bookmarkEnd w:id="147"/>
      <w:r/>
      <w:r/>
    </w:p>
    <w:p>
      <w:pPr>
        <w:ind w:firstLine="789"/>
        <w:spacing w:line="44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5.1</w:t>
      </w:r>
      <w:r>
        <w:rPr>
          <w:rFonts w:hint="eastAsia" w:ascii="宋体" w:hAnsi="宋体" w:cs="宋体"/>
          <w:bCs/>
          <w:color w:val="auto"/>
          <w:sz w:val="24"/>
          <w:szCs w:val="24"/>
          <w:highlight w:val="none"/>
        </w:rPr>
        <w:t xml:space="preserve">投标文件初审分为资格审查和符合性审查。</w:t>
      </w:r>
      <w:r/>
    </w:p>
    <w:p>
      <w:pPr>
        <w:ind w:firstLine="1027"/>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5.1.1 资格审查：依据法律法规和招标文件的规定，由采购人对投标文件中的资格证明文件进行审查。资格审查的结论，采购人以书面形式向评委会进行反馈。</w:t>
      </w:r>
      <w:r/>
    </w:p>
    <w:p>
      <w:pPr>
        <w:ind w:firstLine="789"/>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采购人在进行资格性审查的同时，将在信用中国 （ https://www.creditchina.gov.cn/ ）查询投标人的信用记录，以确定投标人是否具备投标资格,查询结果留存并归档。</w:t>
      </w:r>
      <w:r/>
    </w:p>
    <w:p>
      <w:pPr>
        <w:ind w:firstLine="789"/>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1027"/>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5.1.2 符合性审查：依据招标文件的规定，由评委会从投标文件的有效性、完整性和对招标文件的响应程度进行审查，以确定是否对招标文件的实质性要求作出响应。</w:t>
      </w:r>
      <w:r/>
    </w:p>
    <w:p>
      <w:pPr>
        <w:ind w:firstLine="1027"/>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5.1.3 未通过资格审查或符合性审查的投标人，代理机构将在苏采云系统中告知未通过资格审查或符合性审查的原因，评审结束后，代理机构将不再告知未通过资格审查或符合性审查的原因。</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auto"/>
          <w:sz w:val="24"/>
          <w:szCs w:val="24"/>
          <w:highlight w:val="none"/>
        </w:rPr>
        <w:t xml:space="preserve">评委决定投标文件的响应性只根据投标文件本身的内容，而不寻求外部的证据。</w:t>
      </w:r>
      <w:r/>
    </w:p>
    <w:p>
      <w:pPr>
        <w:ind w:firstLine="789"/>
        <w:spacing w:line="44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5.3</w:t>
      </w:r>
      <w:r>
        <w:rPr>
          <w:rFonts w:hint="eastAsia" w:ascii="宋体" w:hAnsi="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789"/>
        <w:spacing w:line="44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5.4</w:t>
      </w:r>
      <w:r>
        <w:rPr>
          <w:rFonts w:hint="eastAsia" w:ascii="宋体" w:hAnsi="宋体" w:cs="宋体"/>
          <w:bCs/>
          <w:color w:val="auto"/>
          <w:sz w:val="24"/>
          <w:szCs w:val="24"/>
          <w:highlight w:val="none"/>
        </w:rPr>
        <w:t xml:space="preserve">评委会将对确定为实质性响应的投标进行进一步审核，看其是否有计算上或累加上的算术错误，修正错误的原则如下：</w:t>
      </w:r>
      <w:r/>
    </w:p>
    <w:p>
      <w:pPr>
        <w:ind w:firstLine="789"/>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（1）投标文件中开标一览表内容与投标文件中相应内容不一致的，以开标一览表为准。</w:t>
      </w:r>
      <w:r/>
    </w:p>
    <w:p>
      <w:pPr>
        <w:ind w:firstLine="789"/>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（2）大写金额和小写金额不一致的，以大写金额为准。</w:t>
      </w:r>
      <w:r/>
    </w:p>
    <w:p>
      <w:pPr>
        <w:ind w:firstLine="789"/>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（3）单价金额小数点或者百分比有明显错位的，以开标一览表的总价为准，并修改单价。</w:t>
      </w:r>
      <w:r/>
    </w:p>
    <w:p>
      <w:pPr>
        <w:ind w:firstLine="789"/>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（4）总价金额与按单价汇总金额不一致的，以单价金额计算结果为准。</w:t>
      </w:r>
      <w:r/>
    </w:p>
    <w:p>
      <w:pPr>
        <w:ind w:firstLine="96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同时出现两种以上错误的，按照前款规定的顺序修正。</w:t>
      </w:r>
      <w:r/>
    </w:p>
    <w:p>
      <w:pPr>
        <w:ind w:firstLine="789"/>
        <w:spacing w:line="44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5.5</w:t>
      </w:r>
      <w:r>
        <w:rPr>
          <w:rFonts w:hint="eastAsia" w:ascii="宋体" w:hAnsi="宋体" w:cs="宋体"/>
          <w:bCs/>
          <w:color w:val="auto"/>
          <w:sz w:val="24"/>
          <w:szCs w:val="24"/>
          <w:highlight w:val="none"/>
        </w:rPr>
        <w:t xml:space="preserve">评委会将按上述修正错误的方法调整投标文件中的投标报价，并通过</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告知投标人，调整后的价格应对投标人具有约束力。如果投标人不接受修正后的价格，则其投标将被拒绝。</w:t>
      </w:r>
      <w:r/>
    </w:p>
    <w:p>
      <w:pPr>
        <w:ind w:firstLine="789"/>
        <w:spacing w:line="440" w:lineRule="exact"/>
        <w:rPr>
          <w:rFonts w:hint="eastAsia" w:ascii="宋体" w:hAnsi="宋体" w:cs="宋体"/>
          <w:color w:val="auto"/>
          <w:sz w:val="24"/>
          <w:szCs w:val="24"/>
          <w:highlight w:val="none"/>
        </w:rPr>
      </w:pPr>
      <w:r/>
      <w:bookmarkStart w:id="148" w:name="_Toc16938550"/>
      <w:r/>
      <w:bookmarkStart w:id="149" w:name="_Toc20823306"/>
      <w:r/>
      <w:bookmarkStart w:id="150" w:name="_Toc513029234"/>
      <w:r>
        <w:rPr>
          <w:rFonts w:hint="eastAsia" w:ascii="宋体" w:hAnsi="宋体" w:cs="宋体"/>
          <w:color w:val="auto"/>
          <w:sz w:val="24"/>
          <w:szCs w:val="24"/>
          <w:highlight w:val="none"/>
        </w:rPr>
        <w:t xml:space="preserve">5.6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非单一产品采购项目，招标文件中将载明其中的核心产品。多家投标人提供的核心产品品牌相同的，按前两款规定处理。</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5.7投标人在开、评标全过程中应保持通讯畅通，及时登录苏采云系统查阅、答复相关信息，并安排专人与代理机构及</w:t>
      </w:r>
      <w:r>
        <w:rPr>
          <w:rFonts w:hint="eastAsia" w:ascii="宋体" w:hAnsi="宋体" w:cs="宋体"/>
          <w:bCs/>
          <w:color w:val="auto"/>
          <w:sz w:val="24"/>
          <w:szCs w:val="24"/>
          <w:highlight w:val="none"/>
        </w:rPr>
        <w:t xml:space="preserve">评委会</w:t>
      </w:r>
      <w:r>
        <w:rPr>
          <w:rFonts w:hint="eastAsia" w:ascii="宋体" w:hAnsi="宋体" w:cs="宋体"/>
          <w:color w:val="auto"/>
          <w:sz w:val="24"/>
          <w:szCs w:val="24"/>
          <w:highlight w:val="none"/>
        </w:rPr>
        <w:t xml:space="preserve">联系。</w:t>
      </w:r>
      <w:r/>
    </w:p>
    <w:p>
      <w:pPr>
        <w:ind w:firstLine="480"/>
        <w:keepLines/>
        <w:keepNext/>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bookmarkEnd w:id="148"/>
      <w:r/>
      <w:bookmarkEnd w:id="149"/>
      <w:r/>
      <w:bookmarkEnd w:id="150"/>
      <w:r>
        <w:rPr>
          <w:rFonts w:hint="eastAsia" w:ascii="宋体" w:hAnsi="宋体" w:cs="宋体"/>
          <w:color w:val="auto"/>
          <w:sz w:val="24"/>
          <w:szCs w:val="24"/>
          <w:highlight w:val="none"/>
        </w:rPr>
        <w:t xml:space="preserve">.无效投标条款和废标条款</w:t>
      </w:r>
      <w:r/>
    </w:p>
    <w:p>
      <w:pPr>
        <w:ind w:firstLine="789"/>
        <w:spacing w:line="440" w:lineRule="exact"/>
        <w:rPr>
          <w:rFonts w:hint="eastAsia" w:ascii="宋体" w:hAnsi="宋体" w:cs="宋体"/>
          <w:color w:val="auto"/>
          <w:sz w:val="24"/>
          <w:szCs w:val="24"/>
          <w:highlight w:val="none"/>
        </w:rPr>
      </w:pPr>
      <w:r/>
      <w:bookmarkStart w:id="151" w:name="_Toc20823307"/>
      <w:r/>
      <w:bookmarkStart w:id="152" w:name="_Toc16938551"/>
      <w:r/>
      <w:bookmarkStart w:id="153" w:name="_Toc513029235"/>
      <w:r>
        <w:rPr>
          <w:rFonts w:hint="eastAsia" w:ascii="宋体" w:hAnsi="宋体" w:cs="宋体"/>
          <w:color w:val="auto"/>
          <w:sz w:val="24"/>
          <w:szCs w:val="24"/>
          <w:highlight w:val="none"/>
        </w:rPr>
        <w:t xml:space="preserve">6.1无效投标条款</w:t>
      </w:r>
      <w:r/>
    </w:p>
    <w:p>
      <w:pPr>
        <w:ind w:firstLine="1027"/>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6.1.1 投标人在苏采云系统规定的时间内未成功解密电子投标文件的。</w:t>
      </w:r>
      <w:r/>
    </w:p>
    <w:p>
      <w:pPr>
        <w:ind w:firstLine="1027"/>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6.1.2 投标人未按照招标文件要求上传电子投标文件的。</w:t>
      </w:r>
      <w:r/>
    </w:p>
    <w:p>
      <w:pPr>
        <w:ind w:firstLine="1027"/>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6.1.3同一投标人提交两个（含两个）以上不同的投标报价的。</w:t>
      </w:r>
      <w:r/>
    </w:p>
    <w:p>
      <w:pPr>
        <w:ind w:firstLine="1027"/>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6.1.4投标人不具备招标文件中规定资格要求的。</w:t>
      </w:r>
      <w:r/>
    </w:p>
    <w:p>
      <w:pPr>
        <w:ind w:firstLine="1027"/>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6.1.5投标人的报价超过了采购预算或最高限价的。</w:t>
      </w:r>
      <w:r/>
    </w:p>
    <w:p>
      <w:pPr>
        <w:ind w:firstLine="1027"/>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6.1.6未通过符合性审查的。</w:t>
      </w:r>
      <w:r/>
    </w:p>
    <w:p>
      <w:pPr>
        <w:ind w:firstLine="1027"/>
        <w:spacing w:line="440" w:lineRule="exact"/>
        <w:rPr>
          <w:rFonts w:hint="eastAsia" w:ascii="宋体" w:hAnsi="宋体" w:cs="宋体"/>
          <w:iCs/>
          <w:color w:val="auto"/>
          <w:sz w:val="24"/>
          <w:szCs w:val="24"/>
          <w:highlight w:val="none"/>
        </w:rPr>
      </w:pPr>
      <w:r>
        <w:rPr>
          <w:rFonts w:hint="eastAsia" w:ascii="宋体" w:hAnsi="宋体" w:cs="宋体"/>
          <w:bCs/>
          <w:color w:val="auto"/>
          <w:sz w:val="24"/>
          <w:szCs w:val="24"/>
          <w:highlight w:val="none"/>
        </w:rPr>
        <w:t xml:space="preserve">6.1.7不符合招标文件中规定的实质性要求和条件的</w:t>
      </w:r>
      <w:r>
        <w:rPr>
          <w:rFonts w:hint="eastAsia" w:ascii="宋体" w:hAnsi="宋体" w:cs="宋体"/>
          <w:iCs/>
          <w:color w:val="auto"/>
          <w:sz w:val="24"/>
          <w:szCs w:val="24"/>
          <w:highlight w:val="none"/>
        </w:rPr>
        <w:t xml:space="preserve">。</w:t>
      </w:r>
      <w:r/>
    </w:p>
    <w:p>
      <w:pPr>
        <w:ind w:firstLine="1027"/>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6.1.8 投标人在信用中国 （ https://www.creditchina.gov.cn/ ）等网站存在下列依法拒绝投标人参加政府采购的失信信息的。</w:t>
      </w:r>
      <w:r/>
    </w:p>
    <w:p>
      <w:pPr>
        <w:ind w:firstLine="72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（1）政府采购严重违法记录，即投标人被全国各级财政部门列入“政府采购严重违法失信行为记录名单”，且在处罚有效期内的。</w:t>
      </w:r>
      <w:r/>
    </w:p>
    <w:p>
      <w:pPr>
        <w:ind w:firstLine="72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p>
    <w:p>
      <w:pPr>
        <w:ind w:firstLine="1027"/>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6.1.9  投标文件含有采购人不能接受的附加条件的。</w:t>
      </w:r>
      <w:r/>
    </w:p>
    <w:p>
      <w:pPr>
        <w:ind w:firstLine="1027"/>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6.1.10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1027"/>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1027"/>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6.1.12 投标文件未按照招标文件要求加盖CA电子公章的。</w:t>
      </w:r>
      <w:r/>
    </w:p>
    <w:p>
      <w:pPr>
        <w:ind w:firstLine="1027"/>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6.1.13其他法律、法规及本招标文件规定的属无效投标的情形。</w:t>
      </w:r>
      <w:r/>
    </w:p>
    <w:p>
      <w:pPr>
        <w:ind w:left="479" w:firstLine="24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6.2废标条款</w:t>
      </w:r>
      <w:r/>
    </w:p>
    <w:p>
      <w:pPr>
        <w:ind w:left="479"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6.2.1符合专业条件的供应商或者对招标文件作实质响应的供应商不足三家的。</w:t>
      </w:r>
      <w:r/>
    </w:p>
    <w:p>
      <w:pPr>
        <w:ind w:left="479"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6.2.2出现影响采购公正的违法、违规行为的。</w:t>
      </w:r>
      <w:r/>
    </w:p>
    <w:p>
      <w:pPr>
        <w:ind w:left="479"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6.2.3因重大变故，采购任务取消的。</w:t>
      </w:r>
      <w:r/>
    </w:p>
    <w:p>
      <w:pPr>
        <w:ind w:left="479"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6.2.4评标委员会认定招标文件存在歧义、重大缺陷导致评审工作无法进行。</w:t>
      </w:r>
      <w:r/>
    </w:p>
    <w:p>
      <w:pPr>
        <w:ind w:left="479"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6.2.5 因</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系统故障原因造成开标不成功的。</w:t>
      </w:r>
      <w:r/>
    </w:p>
    <w:p>
      <w:pPr>
        <w:ind w:left="479" w:firstLine="24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6.3 投标截止时间结束后参加投标的供应商不足三家的处理：</w:t>
      </w:r>
      <w:r/>
    </w:p>
    <w:p>
      <w:pPr>
        <w:ind w:firstLine="1027"/>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6.3.1如出现投标截止时间结束后参加投标的供应商或者在评标期间对招标文件做出实质响应的供应商不足三家情况，按政府采购相关规定执行。</w:t>
      </w:r>
      <w:r/>
    </w:p>
    <w:p>
      <w:pPr>
        <w:ind w:firstLine="562"/>
        <w:keepLines/>
        <w:keepNext/>
        <w:spacing w:line="440" w:lineRule="exact"/>
        <w:rPr>
          <w:rFonts w:hint="eastAsia" w:ascii="宋体" w:hAnsi="宋体" w:cs="宋体"/>
          <w:b/>
          <w:bCs/>
          <w:color w:val="auto"/>
          <w:sz w:val="28"/>
          <w:szCs w:val="28"/>
          <w:highlight w:val="none"/>
        </w:rPr>
      </w:pPr>
      <w:r/>
      <w:bookmarkStart w:id="154" w:name="_Toc120614219"/>
      <w:r>
        <w:rPr>
          <w:rFonts w:hint="eastAsia" w:ascii="宋体" w:hAnsi="宋体" w:cs="宋体"/>
          <w:b/>
          <w:bCs/>
          <w:color w:val="auto"/>
          <w:sz w:val="28"/>
          <w:szCs w:val="28"/>
          <w:highlight w:val="none"/>
        </w:rPr>
        <w:t xml:space="preserve">六、</w:t>
      </w:r>
      <w:bookmarkEnd w:id="151"/>
      <w:r/>
      <w:bookmarkEnd w:id="152"/>
      <w:r/>
      <w:bookmarkEnd w:id="153"/>
      <w:r>
        <w:rPr>
          <w:rFonts w:hint="eastAsia" w:ascii="宋体" w:hAnsi="宋体" w:cs="宋体"/>
          <w:b/>
          <w:bCs/>
          <w:color w:val="auto"/>
          <w:sz w:val="28"/>
          <w:szCs w:val="28"/>
          <w:highlight w:val="none"/>
        </w:rPr>
        <w:t xml:space="preserve">定标</w:t>
      </w:r>
      <w:bookmarkEnd w:id="154"/>
      <w:r/>
      <w:r/>
    </w:p>
    <w:p>
      <w:pPr>
        <w:ind w:firstLine="480"/>
        <w:keepLines/>
        <w:keepNext/>
        <w:spacing w:line="440" w:lineRule="exact"/>
        <w:rPr>
          <w:rFonts w:hint="eastAsia" w:ascii="宋体" w:hAnsi="宋体" w:cs="宋体"/>
          <w:bCs/>
          <w:color w:val="auto"/>
          <w:sz w:val="24"/>
          <w:szCs w:val="24"/>
          <w:highlight w:val="none"/>
        </w:rPr>
      </w:pPr>
      <w:r/>
      <w:bookmarkStart w:id="155" w:name="_Toc513029238"/>
      <w:r/>
      <w:bookmarkStart w:id="156" w:name="_Toc16938554"/>
      <w:r/>
      <w:bookmarkStart w:id="157" w:name="_Toc20823310"/>
      <w:r>
        <w:rPr>
          <w:rFonts w:hint="eastAsia" w:ascii="宋体" w:hAnsi="宋体" w:cs="宋体"/>
          <w:bCs/>
          <w:color w:val="auto"/>
          <w:sz w:val="24"/>
          <w:szCs w:val="24"/>
          <w:highlight w:val="none"/>
        </w:rPr>
        <w:t xml:space="preserve">1、</w:t>
      </w:r>
      <w:bookmarkEnd w:id="155"/>
      <w:r>
        <w:rPr>
          <w:rFonts w:hint="eastAsia" w:ascii="宋体" w:hAnsi="宋体" w:cs="宋体"/>
          <w:bCs/>
          <w:color w:val="auto"/>
          <w:sz w:val="24"/>
          <w:szCs w:val="24"/>
          <w:highlight w:val="none"/>
        </w:rPr>
        <w:t xml:space="preserve">确定</w:t>
      </w:r>
      <w:bookmarkEnd w:id="156"/>
      <w:r/>
      <w:bookmarkEnd w:id="157"/>
      <w:r>
        <w:rPr>
          <w:rFonts w:hint="eastAsia" w:ascii="宋体" w:hAnsi="宋体" w:cs="宋体"/>
          <w:bCs/>
          <w:color w:val="auto"/>
          <w:sz w:val="24"/>
          <w:szCs w:val="24"/>
          <w:highlight w:val="none"/>
        </w:rPr>
        <w:t xml:space="preserve">中标单位</w:t>
      </w:r>
      <w:r/>
    </w:p>
    <w:p>
      <w:pPr>
        <w:ind w:firstLine="789"/>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1.1中标候选人的选取原则和数量见招标文件第五章规定。 </w:t>
      </w:r>
      <w:r/>
    </w:p>
    <w:p>
      <w:pPr>
        <w:ind w:firstLine="789"/>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 采购人应根据评委会推荐的中标候选人确定中标人。</w:t>
      </w:r>
      <w:r/>
    </w:p>
    <w:p>
      <w:pPr>
        <w:ind w:firstLine="789"/>
        <w:spacing w:line="44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1.3 </w:t>
      </w:r>
      <w:r>
        <w:rPr>
          <w:rFonts w:hint="eastAsia" w:ascii="宋体" w:hAnsi="宋体" w:cs="宋体"/>
          <w:color w:val="auto"/>
          <w:sz w:val="24"/>
          <w:szCs w:val="24"/>
          <w:highlight w:val="none"/>
        </w:rPr>
        <w:t xml:space="preserve">代理机构将在指定媒体上发布中标公告，公告期限为1个工作日。</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  若有充分证据证明，中标人出现下列情况之一的，一经查实，将被取消中标资格：</w:t>
      </w:r>
      <w:r/>
    </w:p>
    <w:p>
      <w:pPr>
        <w:ind w:firstLine="1027"/>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1.4.1提供虚假材料谋取中标的。</w:t>
      </w:r>
      <w:r/>
    </w:p>
    <w:p>
      <w:pPr>
        <w:ind w:firstLine="1027"/>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1.4.2向采购人、代理机构行贿或者提供其他不正当利益的。</w:t>
      </w:r>
      <w:r/>
    </w:p>
    <w:p>
      <w:pPr>
        <w:ind w:firstLine="1027"/>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1.4.3属于本文件规定的无效条件，但在评标过程中又未被评委会发现的。</w:t>
      </w:r>
      <w:r/>
    </w:p>
    <w:p>
      <w:pPr>
        <w:ind w:firstLine="1027"/>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1.4.4与采购人或者其他供应商恶意串通的。</w:t>
      </w:r>
      <w:r/>
    </w:p>
    <w:p>
      <w:pPr>
        <w:ind w:firstLine="1027"/>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1.4.5采取不正当手段诋毁、排挤其他供应商的。</w:t>
      </w:r>
      <w:r/>
    </w:p>
    <w:p>
      <w:pPr>
        <w:ind w:firstLine="789"/>
        <w:spacing w:line="440" w:lineRule="exact"/>
        <w:rPr>
          <w:rFonts w:hint="eastAsia" w:ascii="宋体" w:hAnsi="宋体" w:cs="宋体"/>
          <w:color w:val="auto"/>
          <w:sz w:val="24"/>
          <w:szCs w:val="24"/>
          <w:highlight w:val="none"/>
        </w:rPr>
      </w:pPr>
      <w:r/>
      <w:bookmarkStart w:id="158" w:name="_Toc200451960"/>
      <w:r>
        <w:rPr>
          <w:rFonts w:hint="eastAsia" w:ascii="宋体" w:hAnsi="宋体" w:cs="宋体"/>
          <w:color w:val="auto"/>
          <w:sz w:val="24"/>
          <w:szCs w:val="24"/>
          <w:highlight w:val="none"/>
        </w:rPr>
        <w:t xml:space="preserve">1.5. 有下列情形之一的，视为投标人串通投标，投标无效：</w:t>
      </w:r>
      <w:r/>
    </w:p>
    <w:p>
      <w:pPr>
        <w:ind w:firstLine="1027"/>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1.5.1不同投标人的投标文件由同一单位或者个人编制；</w:t>
      </w:r>
      <w:r/>
    </w:p>
    <w:p>
      <w:pPr>
        <w:ind w:firstLine="1027"/>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1.5.2不同投标人委托同一单位或者个人办理投标事宜；</w:t>
      </w:r>
      <w:r/>
    </w:p>
    <w:p>
      <w:pPr>
        <w:ind w:firstLine="1027"/>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 不同投标人的投标文件载明的项目管理成员或者联系人员为同一人；</w:t>
      </w:r>
      <w:r/>
    </w:p>
    <w:p>
      <w:pPr>
        <w:ind w:firstLine="1027"/>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1.5.4不同投标人的投标文件异常一致或者投标报价呈规律性差异；</w:t>
      </w:r>
      <w:r/>
    </w:p>
    <w:p>
      <w:pPr>
        <w:ind w:firstLine="480"/>
        <w:keepLines/>
        <w:keepNext/>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2、质疑处理</w:t>
      </w:r>
      <w:bookmarkEnd w:id="158"/>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 提出质疑的供应商应当是参与所质疑项目采购活动的供应商。潜在供应商依法获取其可质疑的采购文件的，可以对采购文件提出质疑。请将</w:t>
      </w:r>
      <w:bookmarkStart w:id="159" w:name="_Hlk98510751"/>
      <w:r>
        <w:rPr>
          <w:rFonts w:hint="eastAsia" w:ascii="宋体" w:hAnsi="宋体" w:cs="宋体"/>
          <w:color w:val="auto"/>
          <w:sz w:val="24"/>
          <w:szCs w:val="24"/>
          <w:highlight w:val="none"/>
        </w:rPr>
        <w:t xml:space="preserve">获取采购文件后打印留存的《投标供应商确认函》等</w:t>
      </w:r>
      <w:bookmarkEnd w:id="159"/>
      <w:r>
        <w:rPr>
          <w:rFonts w:hint="eastAsia" w:ascii="宋体" w:hAnsi="宋体" w:cs="宋体"/>
          <w:color w:val="auto"/>
          <w:sz w:val="24"/>
          <w:szCs w:val="24"/>
          <w:highlight w:val="none"/>
        </w:rPr>
        <w:t xml:space="preserve">必要的证明材料与质疑函一起递交，否则不予受理。</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2.2供应商认为采购文件、采购过程和采购结果使自己的权益受到损害的，可以在知道或应知其权益受到损害之日起七个工作日内，以书面形式提出质疑。上述应知其权益受到损害之日，是指：</w:t>
      </w:r>
      <w:r/>
    </w:p>
    <w:p>
      <w:pPr>
        <w:ind w:firstLine="1027"/>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2.2.1对可以质疑的采购文件提出质疑的，为收到采购文件之日或者采购文件公告期限届满之日；</w:t>
      </w:r>
      <w:r/>
    </w:p>
    <w:p>
      <w:pPr>
        <w:ind w:firstLine="1027"/>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2.2.2对采购过程提出质疑的，为各采购程序环节结束之日；</w:t>
      </w:r>
      <w:r/>
    </w:p>
    <w:p>
      <w:pPr>
        <w:ind w:firstLine="1027"/>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2.2.3对中标或者成交结果提出质疑的，为中标或者成交结果公告期限届满之日。</w:t>
      </w:r>
      <w:r/>
    </w:p>
    <w:p>
      <w:pPr>
        <w:ind w:firstLine="1027"/>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787"/>
        <w:spacing w:line="44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2.4代理机构只接收以纸质原件形式送达的质疑</w:t>
      </w:r>
      <w:r>
        <w:rPr>
          <w:rFonts w:hint="eastAsia" w:ascii="宋体" w:hAnsi="宋体" w:cs="宋体"/>
          <w:b/>
          <w:bCs/>
          <w:color w:val="auto"/>
          <w:sz w:val="24"/>
          <w:szCs w:val="24"/>
          <w:highlight w:val="none"/>
        </w:rPr>
        <w:t xml:space="preserve">（采购人和代理机构不接受未填写快递运单的快件），</w:t>
      </w:r>
      <w:r>
        <w:rPr>
          <w:rFonts w:hint="eastAsia" w:ascii="宋体" w:hAnsi="宋体" w:cs="宋体"/>
          <w:color w:val="auto"/>
          <w:sz w:val="24"/>
          <w:highlight w:val="none"/>
        </w:rPr>
        <w:t xml:space="preserve">质疑接收单位为涵熙（苏州）工程顾问有限公司，联系地址：常熟市山茶花路10号。质疑接收人及联系方式见招标文件“第一章 投标邀请”。潜在投标人提出书面质疑必须有理、有据，不得捏造事实、提供虚假材料进行恶意质疑。否则，一经查实，将报请监管部门对该供应商进行相应的处罚。</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 以下情形的质疑不予受理</w:t>
      </w:r>
      <w:r/>
    </w:p>
    <w:p>
      <w:pPr>
        <w:ind w:firstLine="1027"/>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 内容不符合《政府采购质疑和投诉办法》第十二条规定的质疑。</w:t>
      </w:r>
      <w:r/>
    </w:p>
    <w:p>
      <w:pPr>
        <w:ind w:firstLine="1027"/>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 超出政府采购法定期限的质疑。</w:t>
      </w:r>
      <w:r/>
    </w:p>
    <w:p>
      <w:pPr>
        <w:ind w:firstLine="1027"/>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 以传真、电子邮件等方式递交的非原件形式的质疑。</w:t>
      </w:r>
      <w:r/>
    </w:p>
    <w:p>
      <w:pPr>
        <w:ind w:firstLine="1027"/>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2.5.4 未参加投标活动的供应商或在投标活动中自身权益未受到损害的供应商所提出的质疑。</w:t>
      </w:r>
      <w:r/>
    </w:p>
    <w:p>
      <w:pPr>
        <w:ind w:firstLine="1027"/>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2.5.5供应商组成联合体参加投标，联合体中任何一方或多方未按要求签字、盖章、加盖公章的质疑。</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480"/>
        <w:keepLines/>
        <w:keepNext/>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3、中标通知书</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3.l</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2"/>
        <w:keepLines/>
        <w:keepNext/>
        <w:spacing w:line="440" w:lineRule="exact"/>
        <w:rPr>
          <w:rFonts w:hint="eastAsia" w:ascii="宋体" w:hAnsi="宋体" w:cs="宋体"/>
          <w:b/>
          <w:bCs/>
          <w:color w:val="auto"/>
          <w:sz w:val="28"/>
          <w:szCs w:val="28"/>
          <w:highlight w:val="none"/>
        </w:rPr>
      </w:pPr>
      <w:r/>
      <w:bookmarkStart w:id="160" w:name="_Toc120614220"/>
      <w:r/>
      <w:bookmarkStart w:id="161" w:name="_Toc16938552"/>
      <w:r/>
      <w:bookmarkStart w:id="162" w:name="_Toc20823308"/>
      <w:r/>
      <w:bookmarkStart w:id="163" w:name="_Toc513029236"/>
      <w:r>
        <w:rPr>
          <w:rFonts w:hint="eastAsia" w:ascii="宋体" w:hAnsi="宋体" w:cs="宋体"/>
          <w:b/>
          <w:bCs/>
          <w:color w:val="auto"/>
          <w:sz w:val="28"/>
          <w:szCs w:val="28"/>
          <w:highlight w:val="none"/>
        </w:rPr>
        <w:t xml:space="preserve">七、授予合同</w:t>
      </w:r>
      <w:bookmarkEnd w:id="160"/>
      <w:r/>
      <w:bookmarkEnd w:id="161"/>
      <w:bookmarkEnd w:id="162"/>
      <w:bookmarkEnd w:id="163"/>
      <w:r/>
    </w:p>
    <w:p>
      <w:pPr>
        <w:ind w:firstLine="480"/>
        <w:keepLines/>
        <w:keepNext/>
        <w:spacing w:line="440" w:lineRule="exact"/>
        <w:rPr>
          <w:rFonts w:hint="eastAsia" w:ascii="宋体" w:hAnsi="宋体" w:cs="宋体"/>
          <w:bCs/>
          <w:color w:val="auto"/>
          <w:sz w:val="24"/>
          <w:szCs w:val="24"/>
          <w:highlight w:val="none"/>
        </w:rPr>
      </w:pPr>
      <w:r/>
      <w:bookmarkStart w:id="164" w:name="_Toc513029237"/>
      <w:r/>
      <w:bookmarkStart w:id="165" w:name="_Toc16938553"/>
      <w:r/>
      <w:bookmarkStart w:id="166" w:name="_Toc20823309"/>
      <w:r>
        <w:rPr>
          <w:rFonts w:hint="eastAsia" w:ascii="宋体" w:hAnsi="宋体" w:cs="宋体"/>
          <w:bCs/>
          <w:color w:val="auto"/>
          <w:sz w:val="24"/>
          <w:szCs w:val="24"/>
          <w:highlight w:val="none"/>
        </w:rPr>
        <w:t xml:space="preserve">1、签订合同</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1.l中标人应当在中标通知书发出之日起三十日内，按照招标文件确定的事项与采购人签订政府采购合同。</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招标文件、中标人的投标文件及招标过程中有关澄清、承诺文件均应作为合同附件。</w:t>
      </w:r>
      <w:r/>
    </w:p>
    <w:p>
      <w:pPr>
        <w:ind w:firstLine="789"/>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 签订合同后，</w:t>
      </w:r>
      <w:r>
        <w:rPr>
          <w:rFonts w:hint="eastAsia" w:ascii="宋体" w:hAnsi="宋体" w:cs="宋体"/>
          <w:iCs/>
          <w:color w:val="auto"/>
          <w:sz w:val="24"/>
          <w:szCs w:val="24"/>
          <w:highlight w:val="none"/>
        </w:rPr>
        <w:t xml:space="preserve">中标人不得将合同标的进行转包</w:t>
      </w:r>
      <w:r>
        <w:rPr>
          <w:rFonts w:hint="eastAsia" w:ascii="宋体" w:hAnsi="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0"/>
        <w:keepLines/>
        <w:keepNext/>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2、服务（包含与项目有关的服务）的追加</w:t>
      </w:r>
      <w:r/>
    </w:p>
    <w:p>
      <w:pPr>
        <w:ind w:firstLine="1027"/>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2.1政府采购合同履行中，采购人需追加与合同标的相同的服务（包含与项目有关的服务）的，在不改变合同其他条款的前提下，可以与中标人协商签订补充合同，但所有补充合同的采购金额不超过原合同金额10%。</w:t>
      </w:r>
      <w:bookmarkEnd w:id="164"/>
      <w:bookmarkEnd w:id="165"/>
      <w:bookmarkEnd w:id="166"/>
      <w:r/>
    </w:p>
    <w:p>
      <w:pPr>
        <w:ind w:firstLine="480"/>
        <w:keepLines/>
        <w:keepNext/>
        <w:spacing w:line="440" w:lineRule="exact"/>
        <w:rPr>
          <w:rFonts w:hint="eastAsia" w:ascii="宋体" w:hAnsi="宋体" w:cs="宋体"/>
          <w:bCs/>
          <w:color w:val="auto"/>
          <w:sz w:val="24"/>
          <w:szCs w:val="24"/>
          <w:highlight w:val="none"/>
        </w:rPr>
      </w:pPr>
      <w:r/>
      <w:bookmarkStart w:id="167" w:name="_Toc479757207"/>
      <w:r/>
      <w:bookmarkStart w:id="168" w:name="_Toc20823314"/>
      <w:r/>
      <w:bookmarkStart w:id="169" w:name="_Toc120614221"/>
      <w:r/>
      <w:bookmarkStart w:id="170" w:name="_Toc513029242"/>
      <w:r/>
      <w:bookmarkStart w:id="171" w:name="_Toc16938558"/>
      <w:r>
        <w:rPr>
          <w:rFonts w:hint="eastAsia" w:ascii="宋体" w:hAnsi="宋体" w:cs="宋体"/>
          <w:bCs/>
          <w:color w:val="auto"/>
          <w:sz w:val="24"/>
          <w:szCs w:val="24"/>
          <w:highlight w:val="none"/>
        </w:rPr>
        <w:t xml:space="preserve">3、政府采购信用融资政策</w:t>
      </w:r>
      <w:r/>
    </w:p>
    <w:p>
      <w:pPr>
        <w:ind w:firstLine="1027"/>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中标供应商可凭政府采购合同办理融资贷款，详情请见苏州市政府采购网“政府采购合同信用融资”专栏。</w:t>
      </w:r>
      <w:r/>
    </w:p>
    <w:p>
      <w:pPr>
        <w:ind w:firstLine="480"/>
        <w:keepLines/>
        <w:keepNext/>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4、合同公示</w:t>
      </w:r>
      <w:r/>
    </w:p>
    <w:p>
      <w:pPr>
        <w:ind w:firstLine="1027"/>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4.1采购合同将在签订之日起2个工作日内在指定媒体公示，涉及国家秘密、商业秘密的内容除外。</w:t>
      </w:r>
      <w:r/>
    </w:p>
    <w:p>
      <w:pPr>
        <w:rPr>
          <w:rFonts w:hint="eastAsia" w:ascii="宋体" w:hAnsi="宋体" w:cs="宋体"/>
          <w:color w:val="auto"/>
          <w:highlight w:val="none"/>
        </w:rPr>
      </w:pPr>
      <w:r>
        <w:rPr>
          <w:rFonts w:hint="eastAsia" w:ascii="宋体" w:hAnsi="宋体" w:cs="宋体"/>
          <w:color w:val="auto"/>
          <w:highlight w:val="none"/>
        </w:rPr>
        <w:br w:type="page" w:clear="all"/>
      </w:r>
      <w:r/>
    </w:p>
    <w:p>
      <w:pPr>
        <w:ind w:firstLine="880"/>
        <w:jc w:val="center"/>
        <w:keepNext/>
        <w:rPr>
          <w:rFonts w:hint="eastAsia" w:ascii="宋体" w:hAnsi="宋体" w:cs="宋体"/>
          <w:b/>
          <w:bCs/>
          <w:color w:val="auto"/>
          <w:sz w:val="40"/>
          <w:szCs w:val="40"/>
          <w:highlight w:val="none"/>
        </w:rPr>
        <w:outlineLvl w:val="0"/>
      </w:pPr>
      <w:r/>
      <w:bookmarkStart w:id="172" w:name="_Toc610"/>
      <w:r>
        <w:rPr>
          <w:rFonts w:hint="eastAsia" w:ascii="宋体" w:hAnsi="宋体" w:cs="宋体"/>
          <w:b/>
          <w:bCs/>
          <w:color w:val="auto"/>
          <w:sz w:val="40"/>
          <w:szCs w:val="40"/>
          <w:highlight w:val="none"/>
        </w:rPr>
        <w:t xml:space="preserve">第三章  合同</w:t>
      </w:r>
      <w:bookmarkEnd w:id="167"/>
      <w:r/>
      <w:bookmarkEnd w:id="168"/>
      <w:r/>
      <w:bookmarkEnd w:id="169"/>
      <w:r/>
      <w:bookmarkEnd w:id="170"/>
      <w:r/>
      <w:bookmarkEnd w:id="171"/>
      <w:r>
        <w:rPr>
          <w:rFonts w:hint="eastAsia" w:ascii="宋体" w:hAnsi="宋体" w:cs="宋体"/>
          <w:b/>
          <w:bCs/>
          <w:color w:val="auto"/>
          <w:sz w:val="40"/>
          <w:szCs w:val="40"/>
          <w:highlight w:val="none"/>
        </w:rPr>
        <w:t xml:space="preserve">文本</w:t>
      </w:r>
      <w:bookmarkEnd w:id="172"/>
      <w:r/>
      <w:r/>
    </w:p>
    <w:p>
      <w:pPr>
        <w:ind w:right="105" w:firstLine="6720"/>
        <w:spacing w:before="240"/>
        <w:rPr>
          <w:rFonts w:hint="eastAsia" w:ascii="宋体" w:hAnsi="宋体" w:cs="宋体"/>
          <w:b/>
          <w:bCs/>
          <w:color w:val="auto"/>
          <w:sz w:val="72"/>
          <w:szCs w:val="72"/>
          <w:highlight w:val="none"/>
        </w:rPr>
      </w:pPr>
      <w:r/>
      <w:bookmarkStart w:id="173" w:name="_Hlt16619369"/>
      <w:r/>
      <w:bookmarkEnd w:id="173"/>
      <w:r/>
      <w:bookmarkStart w:id="174" w:name="_Hlt16619350"/>
      <w:r/>
      <w:bookmarkStart w:id="175" w:name="_Toc16938590"/>
      <w:r/>
      <w:bookmarkStart w:id="176" w:name="_Toc20823346"/>
      <w:r/>
      <w:bookmarkStart w:id="177" w:name="_Toc120614244"/>
      <w:r/>
      <w:bookmarkStart w:id="178" w:name="_Toc479757211"/>
      <w:r/>
      <w:bookmarkStart w:id="179" w:name="_Toc462564139"/>
      <w:r>
        <w:rPr>
          <w:rFonts w:hint="eastAsia" w:ascii="宋体" w:hAnsi="宋体" w:cs="宋体"/>
          <w:color w:val="auto"/>
          <w:sz w:val="24"/>
          <w:szCs w:val="24"/>
          <w:highlight w:val="none"/>
        </w:rPr>
        <w:t xml:space="preserve">合同编号：</w:t>
      </w:r>
      <w:r/>
    </w:p>
    <w:p>
      <w:pPr>
        <w:ind w:right="105" w:firstLine="2530"/>
        <w:spacing w:before="240"/>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r>
      <w:r/>
    </w:p>
    <w:p>
      <w:pPr>
        <w:ind w:right="105" w:firstLine="2530"/>
        <w:spacing w:before="240"/>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政府采购合同</w:t>
      </w:r>
      <w:r/>
    </w:p>
    <w:p>
      <w:pPr>
        <w:ind w:firstLine="1807"/>
        <w:spacing w:line="420" w:lineRule="exact"/>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r>
      <w:r/>
    </w:p>
    <w:p>
      <w:pPr>
        <w:ind w:firstLine="1807"/>
        <w:spacing w:line="420" w:lineRule="exact"/>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r>
      <w:r/>
    </w:p>
    <w:p>
      <w:pPr>
        <w:ind w:firstLine="200"/>
        <w:jc w:val="cente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第一部分 合同书</w:t>
      </w:r>
      <w:r/>
    </w:p>
    <w:p>
      <w:pPr>
        <w:spacing w:before="120" w:after="160" w:line="22" w:lineRule="atLeast"/>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pacing w:before="120" w:after="160" w:line="22" w:lineRule="atLeast"/>
        <w:widowControl/>
        <w:rPr>
          <w:rFonts w:hint="eastAsia" w:ascii="宋体" w:hAnsi="宋体" w:eastAsia="宋体" w:cs="宋体"/>
          <w:b/>
          <w:bCs/>
          <w:color w:val="auto"/>
          <w:sz w:val="36"/>
          <w:szCs w:val="36"/>
          <w:highlight w:val="none"/>
          <w:u w:val="single"/>
          <w:lang w:eastAsia="zh-CN"/>
        </w:rPr>
      </w:pPr>
      <w:r>
        <w:rPr>
          <w:rFonts w:hint="eastAsia" w:ascii="宋体" w:hAnsi="宋体" w:cs="宋体"/>
          <w:b/>
          <w:bCs/>
          <w:color w:val="auto"/>
          <w:sz w:val="36"/>
          <w:szCs w:val="36"/>
          <w:highlight w:val="none"/>
        </w:rPr>
        <w:t xml:space="preserve">项目名称：</w:t>
      </w:r>
      <w:r>
        <w:rPr>
          <w:rFonts w:hint="eastAsia" w:ascii="宋体" w:hAnsi="宋体" w:cs="宋体"/>
          <w:color w:val="auto"/>
          <w:sz w:val="36"/>
          <w:szCs w:val="36"/>
          <w:highlight w:val="none"/>
          <w:u w:val="single"/>
          <w:lang w:eastAsia="zh-CN"/>
        </w:rPr>
        <w:t xml:space="preserve">2025年中央粮油生产保障资金-小麦“一喷三防”项目</w:t>
      </w:r>
      <w:r/>
    </w:p>
    <w:p>
      <w:pPr>
        <w:ind w:firstLine="1807"/>
        <w:spacing w:before="120" w:after="160" w:line="22" w:lineRule="atLeast"/>
        <w:widowControl/>
        <w:rPr>
          <w:rFonts w:hint="eastAsia" w:ascii="宋体" w:hAnsi="宋体" w:eastAsia="宋体" w:cs="宋体"/>
          <w:b/>
          <w:bCs/>
          <w:color w:val="auto"/>
          <w:sz w:val="36"/>
          <w:szCs w:val="36"/>
          <w:highlight w:val="none"/>
          <w:lang w:eastAsia="zh-CN"/>
        </w:rPr>
      </w:pPr>
      <w:r>
        <w:rPr>
          <w:rFonts w:hint="eastAsia" w:ascii="宋体" w:hAnsi="宋体" w:cs="宋体"/>
          <w:b/>
          <w:bCs/>
          <w:color w:val="auto"/>
          <w:sz w:val="36"/>
          <w:szCs w:val="36"/>
          <w:highlight w:val="none"/>
        </w:rPr>
        <w:t xml:space="preserve">项目编号：</w:t>
      </w:r>
      <w:r>
        <w:rPr>
          <w:rFonts w:hint="eastAsia" w:ascii="宋体" w:hAnsi="宋体" w:cs="宋体"/>
          <w:color w:val="auto"/>
          <w:sz w:val="36"/>
          <w:szCs w:val="36"/>
          <w:highlight w:val="none"/>
          <w:u w:val="single"/>
          <w:lang w:eastAsia="zh-CN"/>
        </w:rPr>
        <w:t xml:space="preserve">JSZC-320581-HXGW-G2025-0022</w:t>
      </w:r>
      <w:r/>
    </w:p>
    <w:p>
      <w:pPr>
        <w:ind w:firstLine="1807"/>
        <w:spacing w:line="420" w:lineRule="exact"/>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r>
      <w:r/>
    </w:p>
    <w:p>
      <w:pPr>
        <w:ind w:left="960" w:firstLine="840"/>
        <w:spacing w:before="120"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left="960" w:firstLine="840"/>
        <w:spacing w:before="120"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left="960" w:firstLine="840"/>
        <w:spacing w:before="120"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left="960" w:firstLine="840"/>
        <w:spacing w:before="120" w:line="480" w:lineRule="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甲方（采  购  人）：</w:t>
      </w:r>
      <w:r>
        <w:rPr>
          <w:rFonts w:hint="eastAsia" w:ascii="宋体" w:hAnsi="宋体" w:cs="宋体"/>
          <w:bCs/>
          <w:color w:val="auto"/>
          <w:sz w:val="24"/>
          <w:szCs w:val="24"/>
          <w:highlight w:val="none"/>
          <w:u w:val="single"/>
        </w:rPr>
        <w:t xml:space="preserve">                                   </w:t>
      </w:r>
      <w:r/>
    </w:p>
    <w:p>
      <w:pPr>
        <w:ind w:left="960" w:firstLine="840"/>
        <w:spacing w:before="120" w:line="480" w:lineRule="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乙方（中  标  人）：</w:t>
      </w:r>
      <w:r>
        <w:rPr>
          <w:rFonts w:hint="eastAsia" w:ascii="宋体" w:hAnsi="宋体" w:cs="宋体"/>
          <w:bCs/>
          <w:color w:val="auto"/>
          <w:sz w:val="24"/>
          <w:szCs w:val="24"/>
          <w:highlight w:val="none"/>
          <w:u w:val="single"/>
        </w:rPr>
        <w:t xml:space="preserve">                                   </w:t>
      </w:r>
      <w:r/>
    </w:p>
    <w:p>
      <w:pPr>
        <w:ind w:left="960" w:firstLine="840"/>
        <w:spacing w:before="120" w:line="480" w:lineRule="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信用融资回款账户：</w:t>
      </w:r>
      <w:r>
        <w:rPr>
          <w:rFonts w:hint="eastAsia" w:ascii="宋体" w:hAnsi="宋体" w:cs="宋体"/>
          <w:bCs/>
          <w:color w:val="auto"/>
          <w:sz w:val="24"/>
          <w:szCs w:val="24"/>
          <w:highlight w:val="none"/>
          <w:u w:val="single"/>
        </w:rPr>
        <w:t xml:space="preserve">                                   </w:t>
      </w:r>
      <w:r/>
    </w:p>
    <w:p>
      <w:pPr>
        <w:ind w:left="960" w:firstLine="840"/>
        <w:spacing w:before="120"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开户银行：</w:t>
      </w:r>
      <w:r>
        <w:rPr>
          <w:rFonts w:hint="eastAsia" w:ascii="宋体" w:hAnsi="宋体" w:cs="宋体"/>
          <w:bCs/>
          <w:color w:val="auto"/>
          <w:sz w:val="24"/>
          <w:szCs w:val="24"/>
          <w:highlight w:val="none"/>
          <w:u w:val="single"/>
        </w:rPr>
        <w:t xml:space="preserve">                                   </w:t>
      </w:r>
      <w:r/>
    </w:p>
    <w:p>
      <w:pPr>
        <w:ind w:firstLine="1800"/>
        <w:spacing w:before="120" w:line="480" w:lineRule="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签 订 地：</w:t>
      </w:r>
      <w:r>
        <w:rPr>
          <w:rFonts w:hint="eastAsia" w:ascii="宋体" w:hAnsi="宋体" w:cs="宋体"/>
          <w:bCs/>
          <w:color w:val="auto"/>
          <w:sz w:val="24"/>
          <w:szCs w:val="24"/>
          <w:highlight w:val="none"/>
          <w:u w:val="single"/>
        </w:rPr>
        <w:t xml:space="preserve">            常熟市                </w:t>
      </w:r>
      <w:r/>
    </w:p>
    <w:p>
      <w:pPr>
        <w:ind w:firstLine="1800"/>
        <w:spacing w:before="120" w:line="480" w:lineRule="auto"/>
        <w:rPr>
          <w:rFonts w:hint="eastAsia" w:ascii="宋体" w:hAnsi="宋体" w:cs="宋体"/>
          <w:bCs/>
          <w:color w:val="auto"/>
          <w:sz w:val="24"/>
          <w:szCs w:val="24"/>
          <w:highlight w:val="none"/>
          <w:u w:val="single"/>
        </w:rPr>
      </w:pPr>
      <w:r>
        <w:rPr>
          <w:rFonts w:hint="eastAsia" w:ascii="宋体" w:hAnsi="宋体" w:cs="宋体"/>
          <w:color w:val="auto"/>
          <w:sz w:val="24"/>
          <w:szCs w:val="24"/>
          <w:highlight w:val="none"/>
        </w:rPr>
        <w:t xml:space="preserve">签订日期：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rPr>
          <w:rFonts w:hint="eastAsia" w:ascii="宋体" w:hAnsi="宋体" w:cs="宋体"/>
          <w:color w:val="auto"/>
          <w:sz w:val="24"/>
          <w:szCs w:val="24"/>
          <w:highlight w:val="none"/>
          <w:u w:val="single"/>
          <w:lang w:val="zh-CN"/>
        </w:rPr>
      </w:pPr>
      <w:r>
        <w:rPr>
          <w:rFonts w:hint="eastAsia" w:ascii="宋体" w:hAnsi="宋体" w:cs="宋体"/>
          <w:color w:val="auto"/>
          <w:sz w:val="24"/>
          <w:szCs w:val="24"/>
          <w:highlight w:val="none"/>
          <w:u w:val="single"/>
          <w:lang w:val="zh-CN"/>
        </w:rPr>
        <w:br w:type="page" w:clear="all"/>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年</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月</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日</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（采购人名称）   </w:t>
      </w:r>
      <w:r>
        <w:rPr>
          <w:rFonts w:hint="eastAsia" w:ascii="宋体" w:hAnsi="宋体" w:cs="宋体"/>
          <w:color w:val="auto"/>
          <w:sz w:val="24"/>
          <w:szCs w:val="24"/>
          <w:highlight w:val="none"/>
        </w:rPr>
        <w:t xml:space="preserve">以</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公开招标</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对</w:t>
      </w:r>
      <w:r>
        <w:rPr>
          <w:rFonts w:hint="eastAsia" w:ascii="宋体" w:hAnsi="宋体" w:cs="宋体"/>
          <w:color w:val="auto"/>
          <w:sz w:val="24"/>
          <w:szCs w:val="24"/>
          <w:highlight w:val="none"/>
          <w:u w:val="single"/>
        </w:rPr>
        <w:t xml:space="preserve">   （同前页项目名称）   </w:t>
      </w:r>
      <w:r>
        <w:rPr>
          <w:rFonts w:hint="eastAsia" w:ascii="宋体" w:hAnsi="宋体" w:cs="宋体"/>
          <w:color w:val="auto"/>
          <w:sz w:val="24"/>
          <w:szCs w:val="24"/>
          <w:highlight w:val="none"/>
        </w:rPr>
        <w:t xml:space="preserve">项目进行了采购。经</w:t>
      </w:r>
      <w:r>
        <w:rPr>
          <w:rFonts w:hint="eastAsia" w:ascii="宋体" w:hAnsi="宋体" w:cs="宋体"/>
          <w:color w:val="auto"/>
          <w:sz w:val="24"/>
          <w:szCs w:val="24"/>
          <w:highlight w:val="none"/>
          <w:u w:val="single"/>
        </w:rPr>
        <w:t xml:space="preserve">评标委员会</w:t>
      </w:r>
      <w:r>
        <w:rPr>
          <w:rFonts w:hint="eastAsia" w:ascii="宋体" w:hAnsi="宋体" w:cs="宋体"/>
          <w:color w:val="auto"/>
          <w:sz w:val="24"/>
          <w:szCs w:val="24"/>
          <w:highlight w:val="none"/>
        </w:rPr>
        <w:t xml:space="preserve">评定，</w:t>
      </w:r>
      <w:r>
        <w:rPr>
          <w:rFonts w:hint="eastAsia" w:ascii="宋体" w:hAnsi="宋体" w:cs="宋体"/>
          <w:color w:val="auto"/>
          <w:sz w:val="24"/>
          <w:szCs w:val="24"/>
          <w:highlight w:val="none"/>
          <w:u w:val="single"/>
        </w:rPr>
        <w:t xml:space="preserve">   （中标人名称） </w:t>
      </w:r>
      <w:r>
        <w:rPr>
          <w:rFonts w:hint="eastAsia" w:ascii="宋体" w:hAnsi="宋体" w:cs="宋体"/>
          <w:color w:val="auto"/>
          <w:sz w:val="24"/>
          <w:szCs w:val="24"/>
          <w:highlight w:val="none"/>
        </w:rPr>
        <w:t xml:space="preserve">为该项目中标人。现于中标通知书发出之日起三十日内，按照采购文件确定的事项签订本合同。</w:t>
      </w:r>
      <w:r/>
    </w:p>
    <w:p>
      <w:pPr>
        <w:ind w:firstLine="480"/>
        <w:spacing w:line="440" w:lineRule="exact"/>
        <w:rPr>
          <w:rFonts w:hint="eastAsia" w:ascii="宋体" w:hAnsi="宋体" w:cs="宋体"/>
          <w:color w:val="auto"/>
          <w:sz w:val="24"/>
          <w:szCs w:val="24"/>
          <w:highlight w:val="none"/>
        </w:rPr>
      </w:pPr>
      <w:r/>
      <w:bookmarkStart w:id="180" w:name="_Hlk63008672"/>
      <w:r/>
      <w:bookmarkStart w:id="181" w:name="_Hlk63008690"/>
      <w:r>
        <w:rPr>
          <w:rFonts w:hint="eastAsia" w:ascii="宋体" w:hAnsi="宋体" w:cs="宋体"/>
          <w:color w:val="auto"/>
          <w:sz w:val="24"/>
          <w:szCs w:val="24"/>
          <w:highlight w:val="none"/>
        </w:rPr>
        <w:t xml:space="preserve">根据《中华人民共和国政府采购法》及其实施条例、《中华人民共和国民法典》</w:t>
      </w:r>
      <w:bookmarkEnd w:id="180"/>
      <w:r>
        <w:rPr>
          <w:rFonts w:hint="eastAsia" w:ascii="宋体" w:hAnsi="宋体" w:cs="宋体"/>
          <w:color w:val="auto"/>
          <w:sz w:val="24"/>
          <w:szCs w:val="24"/>
          <w:highlight w:val="none"/>
        </w:rPr>
        <w:t xml:space="preserve">等法律法规的规定</w:t>
      </w:r>
      <w:bookmarkEnd w:id="181"/>
      <w:r>
        <w:rPr>
          <w:rFonts w:hint="eastAsia" w:ascii="宋体" w:hAnsi="宋体" w:cs="宋体"/>
          <w:color w:val="auto"/>
          <w:sz w:val="24"/>
          <w:szCs w:val="24"/>
          <w:highlight w:val="none"/>
          <w:lang w:val="zh-CN"/>
        </w:rPr>
        <w:t xml:space="preserve">，按照平等、自愿、公平和诚实信用的原则，经</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single"/>
          <w:lang w:eastAsia="zh-CN"/>
        </w:rPr>
        <w:t xml:space="preserve">常熟市农业技术推广中心</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（以下简称：甲方）和</w:t>
      </w:r>
      <w:r>
        <w:rPr>
          <w:rFonts w:hint="eastAsia" w:ascii="宋体" w:hAnsi="宋体" w:cs="宋体"/>
          <w:color w:val="auto"/>
          <w:sz w:val="24"/>
          <w:szCs w:val="24"/>
          <w:highlight w:val="none"/>
          <w:u w:val="single"/>
        </w:rPr>
        <w:t xml:space="preserve"> （中标人名称） </w:t>
      </w:r>
      <w:r>
        <w:rPr>
          <w:rFonts w:hint="eastAsia" w:ascii="宋体" w:hAnsi="宋体" w:cs="宋体"/>
          <w:color w:val="auto"/>
          <w:sz w:val="24"/>
          <w:szCs w:val="24"/>
          <w:highlight w:val="none"/>
          <w:lang w:val="zh-CN"/>
        </w:rPr>
        <w:t xml:space="preserve">（以下简称：乙方）协商一致，约定以下合同</w:t>
      </w:r>
      <w:r>
        <w:rPr>
          <w:rFonts w:hint="eastAsia" w:ascii="宋体" w:hAnsi="宋体" w:cs="宋体"/>
          <w:color w:val="auto"/>
          <w:sz w:val="24"/>
          <w:szCs w:val="24"/>
          <w:highlight w:val="none"/>
        </w:rPr>
        <w:t xml:space="preserve">条款，以兹共同遵守、全面履行。</w:t>
      </w:r>
      <w:r/>
    </w:p>
    <w:p>
      <w:pPr>
        <w:spacing w:line="440" w:lineRule="exact"/>
        <w:rPr>
          <w:rFonts w:hint="eastAsia" w:ascii="宋体" w:hAnsi="宋体" w:cs="宋体"/>
          <w:color w:val="auto"/>
          <w:sz w:val="24"/>
          <w:szCs w:val="24"/>
          <w:highlight w:val="none"/>
        </w:rPr>
      </w:pPr>
      <w:r/>
      <w:bookmarkStart w:id="182" w:name="_Toc20421"/>
      <w:r/>
      <w:bookmarkStart w:id="183" w:name="_Toc28855"/>
      <w:r/>
      <w:bookmarkStart w:id="184" w:name="_Toc15367"/>
      <w:r/>
      <w:bookmarkStart w:id="185" w:name="_Toc22967"/>
      <w:r/>
      <w:bookmarkStart w:id="186" w:name="_Toc19273"/>
      <w:r>
        <w:rPr>
          <w:rFonts w:hint="eastAsia" w:ascii="宋体" w:hAnsi="宋体" w:cs="宋体"/>
          <w:b/>
          <w:color w:val="auto"/>
          <w:sz w:val="24"/>
          <w:szCs w:val="24"/>
          <w:highlight w:val="none"/>
        </w:rPr>
        <w:t xml:space="preserve">1.1 合同组成部分</w:t>
      </w:r>
      <w:bookmarkEnd w:id="182"/>
      <w:r/>
      <w:bookmarkEnd w:id="183"/>
      <w:r/>
      <w:bookmarkEnd w:id="184"/>
      <w:r/>
      <w:bookmarkEnd w:id="185"/>
      <w:r/>
      <w:bookmarkEnd w:id="186"/>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中标通知书。</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 投标文件（含澄清或者说明文件）。</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 招标文件（含澄清或者修改文件）。</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spacing w:line="440" w:lineRule="exact"/>
        <w:rPr>
          <w:rFonts w:hint="eastAsia" w:ascii="宋体" w:hAnsi="宋体" w:eastAsia="宋体" w:cs="宋体"/>
          <w:b/>
          <w:color w:val="auto"/>
          <w:sz w:val="24"/>
          <w:szCs w:val="24"/>
          <w:highlight w:val="none"/>
          <w:lang w:val="en-US" w:eastAsia="zh-CN"/>
        </w:rPr>
      </w:pPr>
      <w:r/>
      <w:bookmarkStart w:id="187" w:name="_Toc2918"/>
      <w:r/>
      <w:bookmarkStart w:id="188" w:name="_Toc6773"/>
      <w:r/>
      <w:bookmarkStart w:id="189" w:name="_Toc6311"/>
      <w:r/>
      <w:bookmarkStart w:id="190" w:name="_Toc22185"/>
      <w:r/>
      <w:bookmarkStart w:id="191" w:name="_Toc18585"/>
      <w:r>
        <w:rPr>
          <w:rFonts w:hint="eastAsia" w:ascii="宋体" w:hAnsi="宋体" w:cs="宋体"/>
          <w:b/>
          <w:color w:val="auto"/>
          <w:sz w:val="24"/>
          <w:szCs w:val="24"/>
          <w:highlight w:val="none"/>
        </w:rPr>
        <w:t xml:space="preserve">1.2 </w:t>
      </w:r>
      <w:bookmarkEnd w:id="187"/>
      <w:r/>
      <w:bookmarkEnd w:id="188"/>
      <w:r/>
      <w:bookmarkEnd w:id="189"/>
      <w:r/>
      <w:bookmarkEnd w:id="190"/>
      <w:r/>
      <w:bookmarkEnd w:id="191"/>
      <w:r/>
      <w:bookmarkStart w:id="192" w:name="_Toc3654"/>
      <w:r/>
      <w:bookmarkStart w:id="193" w:name="_Toc26916"/>
      <w:r/>
      <w:bookmarkStart w:id="194" w:name="_Toc30506"/>
      <w:r/>
      <w:bookmarkStart w:id="195" w:name="_Toc30158"/>
      <w:r/>
      <w:bookmarkStart w:id="196" w:name="_Toc14993"/>
      <w:r>
        <w:rPr>
          <w:rFonts w:hint="eastAsia" w:ascii="宋体" w:hAnsi="宋体" w:cs="宋体"/>
          <w:b/>
          <w:color w:val="auto"/>
          <w:sz w:val="24"/>
          <w:szCs w:val="24"/>
          <w:highlight w:val="none"/>
        </w:rPr>
        <w:t xml:space="preserve">货物数量及价款</w:t>
      </w:r>
      <w:r/>
    </w:p>
    <w:tbl>
      <w:tblPr>
        <w:tblStyle w:val="789"/>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1706"/>
        <w:gridCol w:w="1560"/>
        <w:gridCol w:w="992"/>
        <w:gridCol w:w="1418"/>
        <w:gridCol w:w="2092"/>
      </w:tblGrid>
      <w:tr>
        <w:trPr>
          <w:cantSplit/>
          <w:trHeight w:val="668"/>
        </w:trPr>
        <w:tc>
          <w:tcPr>
            <w:tcW w:w="141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货物名称</w:t>
            </w:r>
            <w:r/>
          </w:p>
        </w:tc>
        <w:tc>
          <w:tcPr>
            <w:tcW w:w="1706"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商标品牌</w:t>
            </w:r>
            <w:r/>
          </w:p>
        </w:tc>
        <w:tc>
          <w:tcPr>
            <w:tcW w:w="1560"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规格型号</w:t>
            </w:r>
            <w:r/>
          </w:p>
        </w:tc>
        <w:tc>
          <w:tcPr>
            <w:tcW w:w="992"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数量</w:t>
            </w:r>
            <w:r/>
          </w:p>
        </w:tc>
        <w:tc>
          <w:tcPr>
            <w:tcW w:w="141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单价（元）</w:t>
            </w:r>
            <w:r/>
          </w:p>
        </w:tc>
        <w:tc>
          <w:tcPr>
            <w:tcW w:w="2092" w:type="dxa"/>
            <w:vAlign w:val="center"/>
            <w:textDirection w:val="lrTb"/>
            <w:noWrap w:val="false"/>
          </w:tcPr>
          <w:p>
            <w:pPr>
              <w:ind w:hanging="2"/>
              <w:jc w:val="center"/>
              <w:spacing w:line="440" w:lineRule="exact"/>
              <w:rPr>
                <w:rFonts w:hint="eastAsia" w:ascii="宋体" w:hAnsi="宋体" w:cs="宋体"/>
                <w:sz w:val="24"/>
                <w:szCs w:val="24"/>
              </w:rPr>
            </w:pPr>
            <w:r>
              <w:rPr>
                <w:rFonts w:hint="eastAsia" w:ascii="宋体" w:hAnsi="宋体" w:cs="宋体"/>
                <w:sz w:val="24"/>
                <w:szCs w:val="24"/>
              </w:rPr>
              <w:t xml:space="preserve">分类总价（元）</w:t>
            </w:r>
            <w:r/>
          </w:p>
        </w:tc>
      </w:tr>
      <w:tr>
        <w:trPr>
          <w:cantSplit/>
          <w:trHeight w:val="668"/>
        </w:trPr>
        <w:tc>
          <w:tcPr>
            <w:tcW w:w="141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706"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560"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992"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092" w:type="dxa"/>
            <w:vAlign w:val="center"/>
            <w:textDirection w:val="lrTb"/>
            <w:noWrap w:val="false"/>
          </w:tcPr>
          <w:p>
            <w:pPr>
              <w:ind w:hanging="2"/>
              <w:jc w:val="center"/>
              <w:spacing w:line="440" w:lineRule="exact"/>
              <w:rPr>
                <w:rFonts w:hint="eastAsia" w:ascii="宋体" w:hAnsi="宋体" w:cs="宋体"/>
                <w:sz w:val="24"/>
                <w:szCs w:val="24"/>
              </w:rPr>
            </w:pPr>
            <w:r>
              <w:rPr>
                <w:rFonts w:hint="eastAsia" w:ascii="宋体" w:hAnsi="宋体" w:cs="宋体"/>
                <w:sz w:val="24"/>
                <w:szCs w:val="24"/>
              </w:rPr>
            </w:r>
            <w:r/>
          </w:p>
        </w:tc>
      </w:tr>
      <w:tr>
        <w:trPr>
          <w:cantSplit/>
          <w:trHeight w:val="449"/>
        </w:trPr>
        <w:tc>
          <w:tcPr>
            <w:gridSpan w:val="6"/>
            <w:tcBorders>
              <w:top w:val="single" w:color="auto" w:sz="2" w:space="0"/>
            </w:tcBorders>
            <w:tcW w:w="9186" w:type="dxa"/>
            <w:vAlign w:val="center"/>
            <w:textDirection w:val="lrTb"/>
            <w:noWrap w:val="false"/>
          </w:tcPr>
          <w:p>
            <w:pPr>
              <w:spacing w:line="440" w:lineRule="exact"/>
              <w:rPr>
                <w:rFonts w:hint="eastAsia" w:ascii="宋体" w:hAnsi="宋体" w:cs="宋体"/>
                <w:sz w:val="24"/>
                <w:szCs w:val="24"/>
              </w:rPr>
            </w:pPr>
            <w:r>
              <w:rPr>
                <w:rFonts w:hint="eastAsia" w:ascii="宋体" w:hAnsi="宋体" w:cs="宋体"/>
                <w:b/>
                <w:bCs/>
                <w:sz w:val="24"/>
                <w:szCs w:val="24"/>
              </w:rPr>
              <w:t xml:space="preserve">合同总价：</w:t>
            </w:r>
            <w:r/>
          </w:p>
        </w:tc>
      </w:tr>
    </w:tbl>
    <w:p>
      <w:pPr>
        <w:ind w:firstLine="480"/>
        <w:spacing w:line="440" w:lineRule="exact"/>
        <w:rPr>
          <w:rFonts w:hint="eastAsia" w:ascii="宋体" w:hAnsi="宋体" w:cs="宋体"/>
          <w:sz w:val="24"/>
          <w:szCs w:val="24"/>
        </w:rPr>
      </w:pPr>
      <w:r>
        <w:rPr>
          <w:rFonts w:hint="eastAsia" w:ascii="宋体" w:hAnsi="宋体" w:cs="宋体"/>
          <w:sz w:val="24"/>
          <w:szCs w:val="24"/>
        </w:rPr>
        <w:t xml:space="preserve">本合同总价为：￥</w:t>
      </w:r>
      <w:r>
        <w:rPr>
          <w:rFonts w:hint="eastAsia" w:ascii="宋体" w:hAnsi="宋体" w:cs="宋体"/>
          <w:sz w:val="24"/>
          <w:szCs w:val="24"/>
          <w:u w:val="single"/>
        </w:rPr>
        <w:t xml:space="preserve">           </w:t>
      </w:r>
      <w:r>
        <w:rPr>
          <w:rFonts w:hint="eastAsia" w:ascii="宋体" w:hAnsi="宋体" w:cs="宋体"/>
          <w:sz w:val="24"/>
          <w:szCs w:val="24"/>
        </w:rPr>
        <w:t xml:space="preserve">元（大写：人民币</w:t>
      </w:r>
      <w:r>
        <w:rPr>
          <w:rFonts w:hint="eastAsia" w:ascii="宋体" w:hAnsi="宋体" w:cs="宋体"/>
          <w:sz w:val="24"/>
          <w:szCs w:val="24"/>
          <w:u w:val="single"/>
        </w:rPr>
        <w:t xml:space="preserve">                 </w:t>
      </w:r>
      <w:r>
        <w:rPr>
          <w:rFonts w:hint="eastAsia" w:ascii="宋体" w:hAnsi="宋体" w:cs="宋体"/>
          <w:sz w:val="24"/>
          <w:szCs w:val="24"/>
        </w:rPr>
        <w:t xml:space="preserve">元）。本合同为固定总价合同。</w:t>
      </w:r>
      <w:r/>
    </w:p>
    <w:p>
      <w:pP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1.3 付款方式和发票开具方式</w:t>
      </w:r>
      <w:bookmarkEnd w:id="192"/>
      <w:r/>
      <w:bookmarkEnd w:id="193"/>
      <w:r/>
      <w:bookmarkEnd w:id="194"/>
      <w:r/>
      <w:bookmarkEnd w:id="195"/>
      <w:r/>
      <w:bookmarkEnd w:id="196"/>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1.3.1本合同项下所有款项均以人民币支付。</w:t>
      </w:r>
      <w:bookmarkStart w:id="381" w:name="_GoBack"/>
      <w:r/>
      <w:bookmarkEnd w:id="381"/>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1.3.2付款方式：合同签订后一个月内，甲方向乙方一次性支付货款。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发票开具方式：</w:t>
      </w:r>
      <w:r>
        <w:rPr>
          <w:rFonts w:ascii="SimSun" w:hAnsi="SimSun" w:eastAsia="SimSun" w:cs="SimSun"/>
          <w:color w:val="000000"/>
          <w:sz w:val="24"/>
          <w:u w:val="single"/>
        </w:rPr>
        <w:t xml:space="preserve"> 增值税专用发票或增值税普通发票（具体以甲方要求为准）</w:t>
      </w:r>
      <w:r>
        <w:rPr>
          <w:rFonts w:ascii="SimSun" w:hAnsi="SimSun" w:eastAsia="SimSun" w:cs="SimSun"/>
          <w:color w:val="000000"/>
          <w:sz w:val="24"/>
        </w:rPr>
        <w:t xml:space="preserve">。</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注：以上每次付款前，乙方均应提供符合甲方要求的同等金额的合法有效发票。否则，甲方有权顺延付款时间，且不承担任何违约或赔偿责任。本项目支付方式支持数字人民币方式。</w:t>
      </w:r>
      <w:r/>
    </w:p>
    <w:p>
      <w:pP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1.4 交货时间和地点</w:t>
      </w:r>
      <w:bookmarkEnd w:id="197"/>
      <w:r/>
      <w:bookmarkEnd w:id="198"/>
      <w:r/>
      <w:bookmarkEnd w:id="199"/>
      <w:r/>
      <w:r/>
    </w:p>
    <w:p>
      <w:pPr>
        <w:ind w:firstLine="480"/>
        <w:spacing w:line="44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1.4.1 交货时间：</w:t>
      </w:r>
      <w:r>
        <w:rPr>
          <w:rFonts w:hint="eastAsia" w:ascii="宋体" w:hAnsi="宋体" w:cs="宋体"/>
          <w:color w:val="auto"/>
          <w:sz w:val="24"/>
          <w:szCs w:val="24"/>
          <w:highlight w:val="none"/>
          <w:u w:val="single"/>
          <w:lang w:eastAsia="zh-CN"/>
        </w:rPr>
        <w:t xml:space="preserve">接到采购人通知后30日历天内将货物配送至指定地点</w:t>
      </w:r>
      <w:r>
        <w:rPr>
          <w:rFonts w:hint="eastAsia" w:ascii="宋体" w:hAnsi="宋体" w:cs="宋体"/>
          <w:color w:val="auto"/>
          <w:sz w:val="24"/>
          <w:szCs w:val="24"/>
          <w:highlight w:val="none"/>
          <w:u w:val="single"/>
        </w:rPr>
        <w:t xml:space="preserve">。</w:t>
      </w:r>
      <w:r/>
    </w:p>
    <w:p>
      <w:pPr>
        <w:ind w:firstLine="480"/>
        <w:spacing w:line="44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1.4.2</w:t>
      </w:r>
      <w:r>
        <w:rPr>
          <w:rFonts w:hint="eastAsia" w:ascii="宋体" w:hAnsi="宋体" w:cs="宋体"/>
          <w:color w:val="auto"/>
          <w:sz w:val="24"/>
          <w:szCs w:val="24"/>
          <w:highlight w:val="none"/>
        </w:rPr>
        <w:t xml:space="preserve"> </w:t>
      </w:r>
      <w:r/>
      <w:r>
        <w:rPr>
          <w:rFonts w:hint="eastAsia" w:ascii="宋体" w:hAnsi="宋体" w:cs="宋体"/>
          <w:color w:val="auto"/>
          <w:sz w:val="24"/>
          <w:szCs w:val="24"/>
          <w:highlight w:val="none"/>
        </w:rPr>
        <w:t xml:space="preserve">交付地点：</w:t>
      </w:r>
      <w:r>
        <w:rPr>
          <w:rFonts w:hint="eastAsia" w:ascii="宋体" w:hAnsi="宋体" w:cs="宋体"/>
          <w:color w:val="auto"/>
          <w:sz w:val="24"/>
          <w:szCs w:val="24"/>
          <w:highlight w:val="none"/>
          <w:u w:val="single"/>
        </w:rPr>
        <w:t xml:space="preserve">常熟市范围内。乙方负责办理货物的运输、装卸和保险，一切费用均由乙方承担。</w:t>
      </w:r>
      <w:r/>
    </w:p>
    <w:p>
      <w:pPr>
        <w:spacing w:line="42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w:t>
      </w:r>
      <w:r>
        <w:rPr>
          <w:rFonts w:hint="eastAsia" w:ascii="宋体" w:hAnsi="宋体" w:cs="宋体"/>
          <w:b/>
          <w:bCs/>
          <w:color w:val="auto"/>
          <w:sz w:val="24"/>
          <w:highlight w:val="none"/>
        </w:rPr>
        <w:t xml:space="preserve">双方权利和义务</w:t>
      </w:r>
      <w:r/>
    </w:p>
    <w:p>
      <w:pPr>
        <w:ind w:firstLine="482"/>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1.5.1甲方权利义务</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（1）负责提供场地和有关设备的安装位置；</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（2）提供符合安装施工调试要求的电源和水源等；</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（3）配合乙方做好与安装调试有关的辅助性事务；</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（4）对乙方的安装调试工作进行监督管理。</w:t>
      </w:r>
      <w:r/>
    </w:p>
    <w:p>
      <w:pPr>
        <w:ind w:firstLine="48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（5）配合乙方协调。</w:t>
      </w:r>
      <w:r/>
    </w:p>
    <w:p>
      <w:pPr>
        <w:ind w:firstLine="482"/>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1.5.2乙方权利义务</w:t>
      </w:r>
      <w:r/>
    </w:p>
    <w:p>
      <w:pPr>
        <w:ind w:firstLine="480"/>
        <w:spacing w:line="440" w:lineRule="exact"/>
        <w:rPr>
          <w:rFonts w:hint="eastAsia" w:ascii="宋体" w:hAnsi="宋体" w:cs="宋体"/>
          <w:color w:val="auto"/>
          <w:sz w:val="24"/>
          <w:highlight w:val="none"/>
        </w:rPr>
      </w:pPr>
      <w:r/>
      <w:bookmarkStart w:id="200" w:name="_Toc19554"/>
      <w:r/>
      <w:bookmarkStart w:id="201" w:name="_Toc21423"/>
      <w:r/>
      <w:bookmarkStart w:id="202" w:name="_Toc27250"/>
      <w:r>
        <w:rPr>
          <w:rFonts w:hint="eastAsia" w:ascii="宋体" w:hAnsi="宋体" w:cs="宋体"/>
          <w:color w:val="auto"/>
          <w:sz w:val="24"/>
          <w:highlight w:val="none"/>
        </w:rPr>
        <w:t xml:space="preserve">（1）负责货物运抵指定地点后的搬运及看护保管；</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（2）在安装前负责派员前往现场进行勘测，确认现场条件，与甲方约定具体安装日期；</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（3）按照国家规定的相关安装规范和质量标准完成安装调试工作；</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（4）遵守施工现场的有关规章制度，文明施工，接受甲方的监督管理。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（5）配合甲方工作，参加现场施工协调会议；</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（6）负责现场施工人员的保险和一切安全责任；</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（7）负责安装质量的自检验收，配合甲方完成验收工作及项目的移交；</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（8）按照有关部门要求完成质量评定和安装施工记录；</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（9）负责安装施工调试期间由于乙方过错所造成的一切损失。</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（10）如涉及与其他单位共用堆放或安装场地的，乙方应与相关单位做好场地使用、安装中的配合、协调，分清各自使用及安装范围与责任，确保生产安全。 </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（11）货物的现场安装、施工、调试和/或启动监督； </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（12）就货物的安装、调试、启动、运行及维护等对甲方人员进行免费培训。</w:t>
      </w:r>
      <w:r/>
    </w:p>
    <w:p>
      <w:pP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1.6 违约责任</w:t>
      </w:r>
      <w:bookmarkEnd w:id="200"/>
      <w:r/>
      <w:bookmarkEnd w:id="201"/>
      <w:r/>
      <w:bookmarkEnd w:id="202"/>
      <w:r/>
      <w:r/>
    </w:p>
    <w:p>
      <w:pPr>
        <w:ind w:firstLine="480"/>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color w:val="auto"/>
          <w:sz w:val="24"/>
          <w:szCs w:val="24"/>
          <w:highlight w:val="none"/>
          <w:u w:val="single"/>
        </w:rPr>
        <w:t xml:space="preserve">1%</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10%</w:t>
      </w:r>
      <w:r>
        <w:rPr>
          <w:rFonts w:hint="eastAsia" w:ascii="宋体" w:hAnsi="宋体" w:cs="宋体"/>
          <w:color w:val="auto"/>
          <w:sz w:val="24"/>
          <w:szCs w:val="24"/>
          <w:highlight w:val="none"/>
        </w:rPr>
        <w:t xml:space="preserve">；迟延交付货物的违约金计算数额达到前述最高限额之日起，甲方有权在要求乙方支付违约金的同时，书面通知乙方解除本合同。但违约金不足补偿甲方实际损失及/或损害的，乙方还应赔偿甲方的实 际损失及/或损害。若乙方未经甲方书面同意不能按照本合同约定交货逾期超过 10 日，将视为严重违约， 甲方有权单方面解除本合同而不承担任何责任，本合同自甲方书面通知乙方之日起自动终止，同时乙方应 在甲方书面通知之日起 10 日内向甲方支付本合同货款总额的 30%，作为违约金。</w:t>
      </w:r>
      <w:r/>
    </w:p>
    <w:p>
      <w:pPr>
        <w:ind w:firstLine="48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highlight w:val="none"/>
          <w:u w:val="single"/>
        </w:rPr>
        <w:t xml:space="preserve">0.5%</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5%</w:t>
      </w:r>
      <w:r>
        <w:rPr>
          <w:rFonts w:hint="eastAsia" w:ascii="宋体" w:hAnsi="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spacing w:line="440" w:lineRule="exact"/>
        <w:rPr>
          <w:rFonts w:hint="eastAsia" w:ascii="宋体" w:hAnsi="宋体" w:cs="宋体"/>
          <w:b/>
          <w:color w:val="auto"/>
          <w:sz w:val="24"/>
          <w:highlight w:val="none"/>
        </w:rPr>
      </w:pPr>
      <w:r/>
      <w:bookmarkStart w:id="203" w:name="_Toc32454"/>
      <w:r/>
      <w:bookmarkStart w:id="204" w:name="_Toc26807"/>
      <w:r/>
      <w:bookmarkStart w:id="205" w:name="_Toc30329"/>
      <w:r/>
      <w:bookmarkStart w:id="206" w:name="_Toc9497"/>
      <w:r/>
      <w:bookmarkStart w:id="207" w:name="_Toc18683"/>
      <w:r>
        <w:rPr>
          <w:rFonts w:hint="eastAsia" w:ascii="宋体" w:hAnsi="宋体" w:cs="宋体"/>
          <w:b/>
          <w:color w:val="auto"/>
          <w:sz w:val="24"/>
          <w:highlight w:val="none"/>
        </w:rPr>
        <w:t xml:space="preserve">1.7 合同争议的解决</w:t>
      </w:r>
      <w:bookmarkEnd w:id="203"/>
      <w:r/>
      <w:bookmarkEnd w:id="204"/>
      <w:r/>
      <w:bookmarkEnd w:id="205"/>
      <w:r/>
      <w:bookmarkEnd w:id="206"/>
      <w:r/>
      <w:bookmarkEnd w:id="207"/>
      <w:r/>
      <w:r/>
    </w:p>
    <w:p>
      <w:pPr>
        <w:ind w:firstLine="480"/>
        <w:spacing w:line="440" w:lineRule="exact"/>
        <w:rPr>
          <w:rFonts w:hint="eastAsia" w:ascii="宋体" w:hAnsi="宋体" w:cs="宋体"/>
          <w:bCs/>
          <w:color w:val="auto"/>
          <w:sz w:val="24"/>
          <w:szCs w:val="24"/>
          <w:highlight w:val="none"/>
        </w:rPr>
      </w:pPr>
      <w:r/>
      <w:bookmarkStart w:id="208" w:name="_Toc12273"/>
      <w:r/>
      <w:bookmarkStart w:id="209" w:name="_Toc23784"/>
      <w:r/>
      <w:bookmarkStart w:id="210" w:name="_Toc16417"/>
      <w:r/>
      <w:bookmarkStart w:id="211" w:name="_Toc26227"/>
      <w:r/>
      <w:bookmarkStart w:id="212" w:name="_Toc15827"/>
      <w:r>
        <w:rPr>
          <w:rFonts w:hint="eastAsia" w:ascii="宋体" w:hAnsi="宋体" w:cs="宋体"/>
          <w:bCs/>
          <w:color w:val="auto"/>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bCs/>
          <w:color w:val="auto"/>
          <w:sz w:val="24"/>
          <w:szCs w:val="24"/>
          <w:highlight w:val="none"/>
          <w:u w:val="single"/>
        </w:rPr>
        <w:t xml:space="preserve">1.7.1</w:t>
      </w:r>
      <w:r>
        <w:rPr>
          <w:rFonts w:hint="eastAsia" w:ascii="宋体" w:hAnsi="宋体" w:cs="宋体"/>
          <w:bCs/>
          <w:color w:val="auto"/>
          <w:sz w:val="24"/>
          <w:szCs w:val="24"/>
          <w:highlight w:val="none"/>
        </w:rPr>
        <w:t xml:space="preserve">种方式解决：</w:t>
      </w:r>
      <w:r/>
    </w:p>
    <w:p>
      <w:pPr>
        <w:ind w:firstLine="480"/>
        <w:spacing w:line="43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1.7.1向</w:t>
      </w:r>
      <w:r>
        <w:rPr>
          <w:rFonts w:hint="eastAsia" w:ascii="宋体" w:hAnsi="宋体" w:cs="宋体"/>
          <w:bCs/>
          <w:color w:val="auto"/>
          <w:sz w:val="24"/>
          <w:szCs w:val="24"/>
          <w:highlight w:val="none"/>
          <w:u w:val="single"/>
        </w:rPr>
        <w:t xml:space="preserve">（项目所在地、合同履行地、标的物所在地等）</w:t>
      </w:r>
      <w:r>
        <w:rPr>
          <w:rFonts w:hint="eastAsia" w:ascii="宋体" w:hAnsi="宋体" w:cs="宋体"/>
          <w:bCs/>
          <w:color w:val="auto"/>
          <w:sz w:val="24"/>
          <w:szCs w:val="24"/>
          <w:highlight w:val="none"/>
        </w:rPr>
        <w:t xml:space="preserve">人民法院起诉。</w:t>
      </w:r>
      <w:r/>
    </w:p>
    <w:p>
      <w:pPr>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 合同生效</w:t>
      </w:r>
      <w:bookmarkEnd w:id="208"/>
      <w:r/>
      <w:bookmarkEnd w:id="209"/>
      <w:r/>
      <w:bookmarkEnd w:id="210"/>
      <w:r/>
      <w:bookmarkEnd w:id="211"/>
      <w:r/>
      <w:bookmarkEnd w:id="212"/>
      <w:r/>
      <w:r/>
    </w:p>
    <w:p>
      <w:pPr>
        <w:ind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1.8.1合同应在甲乙双方代表签字并加盖公章后生效。</w:t>
      </w:r>
      <w:r/>
    </w:p>
    <w:p>
      <w:pPr>
        <w:ind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1.8.2本合同一式五份，以简体中文书写，甲方两份、乙方两份、涵熙（苏州）工程顾问有限公司一份。</w:t>
      </w:r>
      <w:r/>
    </w:p>
    <w:p>
      <w:pPr>
        <w:ind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1.8.3本合同应按照中华人民共和国的现行法律进行解释。</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r>
      <w:r/>
    </w:p>
    <w:p>
      <w:pPr>
        <w:ind w:firstLine="200"/>
        <w:jc w:val="cente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第二部分 合同一般条款</w:t>
      </w:r>
      <w:r/>
    </w:p>
    <w:p>
      <w:pPr>
        <w:spacing w:line="440" w:lineRule="exact"/>
        <w:rPr>
          <w:rFonts w:hint="eastAsia" w:ascii="宋体" w:hAnsi="宋体" w:cs="宋体"/>
          <w:b/>
          <w:color w:val="auto"/>
          <w:sz w:val="24"/>
          <w:szCs w:val="24"/>
          <w:highlight w:val="none"/>
        </w:rPr>
      </w:pPr>
      <w:r/>
      <w:bookmarkStart w:id="213" w:name="_Ref467379094"/>
      <w:r/>
      <w:bookmarkStart w:id="214" w:name="_Toc28763"/>
      <w:r/>
      <w:bookmarkStart w:id="215" w:name="_Ref467378463"/>
      <w:r/>
      <w:bookmarkStart w:id="216" w:name="_Toc279701240"/>
      <w:r/>
      <w:bookmarkStart w:id="217" w:name="_Ref467379225"/>
      <w:r/>
      <w:bookmarkStart w:id="218" w:name="_Toc16917"/>
      <w:r/>
      <w:bookmarkStart w:id="219" w:name="_Ref467378499"/>
      <w:r/>
      <w:bookmarkStart w:id="220" w:name="_Ref467379195"/>
      <w:r/>
      <w:bookmarkStart w:id="221" w:name="_Toc487900349"/>
      <w:r/>
      <w:bookmarkStart w:id="222" w:name="_Ref467379205"/>
      <w:r/>
      <w:bookmarkStart w:id="223" w:name="_Ref467379214"/>
      <w:r/>
      <w:bookmarkStart w:id="224" w:name="_Toc259093669"/>
      <w:r/>
      <w:bookmarkStart w:id="225" w:name="_Ref467379109"/>
      <w:r/>
      <w:bookmarkStart w:id="226" w:name="_Ref467378404"/>
      <w:r/>
      <w:bookmarkStart w:id="227" w:name="_Toc19614"/>
      <w:r/>
      <w:bookmarkStart w:id="228" w:name="_Ref467379101"/>
      <w:r>
        <w:rPr>
          <w:rFonts w:hint="eastAsia" w:ascii="宋体" w:hAnsi="宋体" w:cs="宋体"/>
          <w:b/>
          <w:color w:val="auto"/>
          <w:sz w:val="24"/>
          <w:szCs w:val="24"/>
          <w:highlight w:val="none"/>
        </w:rPr>
        <w:t xml:space="preserve">2.1 定义</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2.1.1“合同”系指采购人和中标供应商签订的载明双方当事人所达成的协议，并包括所有的附件、附录和构成合同的其他文件。</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2.1.2“合同价”系指根据合同约定，中标供应商在完全履行合同义务后，采购人应支付给中标供应商的价格。</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2.1.3“货物”系指中标供应商根据合同约定应向采购人交付的一切各种形态和种类的物品，包括原材料、燃料、设备、机械、仪表、备件、计算机软件、产品等，并包括工具、手册等其他相关资料。</w:t>
      </w:r>
      <w:r/>
    </w:p>
    <w:p>
      <w:pPr>
        <w:ind w:firstLine="480"/>
        <w:spacing w:line="440" w:lineRule="exact"/>
        <w:rPr>
          <w:rFonts w:hint="eastAsia" w:ascii="宋体" w:hAnsi="宋体" w:cs="宋体"/>
          <w:color w:val="auto"/>
          <w:sz w:val="24"/>
          <w:szCs w:val="24"/>
          <w:highlight w:val="none"/>
        </w:rPr>
      </w:pPr>
      <w:r/>
      <w:bookmarkStart w:id="229" w:name="_Ref467378840"/>
      <w:r>
        <w:rPr>
          <w:rFonts w:hint="eastAsia" w:ascii="宋体" w:hAnsi="宋体" w:cs="宋体"/>
          <w:color w:val="auto"/>
          <w:sz w:val="24"/>
          <w:szCs w:val="24"/>
          <w:highlight w:val="none"/>
        </w:rPr>
        <w:t xml:space="preserve">2.1.4“甲方”系指与中标供应商签署合同的采购人</w:t>
      </w:r>
      <w:bookmarkEnd w:id="229"/>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440" w:lineRule="exact"/>
        <w:rPr>
          <w:rFonts w:hint="eastAsia" w:ascii="宋体" w:hAnsi="宋体" w:cs="宋体"/>
          <w:color w:val="auto"/>
          <w:sz w:val="24"/>
          <w:szCs w:val="24"/>
          <w:highlight w:val="none"/>
        </w:rPr>
      </w:pPr>
      <w:r/>
      <w:bookmarkStart w:id="230" w:name="_Ref467379400"/>
      <w:r>
        <w:rPr>
          <w:rFonts w:hint="eastAsia" w:ascii="宋体" w:hAnsi="宋体" w:cs="宋体"/>
          <w:color w:val="auto"/>
          <w:sz w:val="24"/>
          <w:szCs w:val="24"/>
          <w:highlight w:val="none"/>
        </w:rPr>
        <w:t xml:space="preserve">2.1.5“乙方”系指根据合同约定交付货物的中标供应商</w:t>
      </w:r>
      <w:bookmarkEnd w:id="230"/>
      <w:r>
        <w:rPr>
          <w:rFonts w:hint="eastAsia" w:ascii="宋体" w:hAnsi="宋体" w:cs="宋体"/>
          <w:color w:val="auto"/>
          <w:sz w:val="24"/>
          <w:szCs w:val="24"/>
          <w:highlight w:val="none"/>
        </w:rPr>
        <w:t xml:space="preserve">。</w:t>
      </w:r>
      <w:r/>
    </w:p>
    <w:p>
      <w:pPr>
        <w:ind w:firstLine="480"/>
        <w:spacing w:line="440" w:lineRule="exact"/>
        <w:rPr>
          <w:rFonts w:hint="eastAsia" w:ascii="宋体" w:hAnsi="宋体" w:cs="宋体"/>
          <w:color w:val="auto"/>
          <w:sz w:val="24"/>
          <w:szCs w:val="24"/>
          <w:highlight w:val="none"/>
        </w:rPr>
      </w:pPr>
      <w:r/>
      <w:bookmarkStart w:id="231" w:name="_Ref467379436"/>
      <w:r>
        <w:rPr>
          <w:rFonts w:hint="eastAsia" w:ascii="宋体" w:hAnsi="宋体" w:cs="宋体"/>
          <w:color w:val="auto"/>
          <w:sz w:val="24"/>
          <w:szCs w:val="24"/>
          <w:highlight w:val="none"/>
        </w:rPr>
        <w:t xml:space="preserve">2.1.6“现场”系指合同约定货物将要运至或者安装的地点。</w:t>
      </w:r>
      <w:bookmarkEnd w:id="231"/>
      <w:r/>
      <w:r/>
    </w:p>
    <w:p>
      <w:pPr>
        <w:spacing w:line="440" w:lineRule="exact"/>
        <w:rPr>
          <w:rFonts w:hint="eastAsia" w:ascii="宋体" w:hAnsi="宋体" w:cs="宋体"/>
          <w:b/>
          <w:color w:val="auto"/>
          <w:sz w:val="24"/>
          <w:szCs w:val="24"/>
          <w:highlight w:val="none"/>
        </w:rPr>
      </w:pPr>
      <w:r/>
      <w:bookmarkStart w:id="232" w:name="_Toc487900350"/>
      <w:r/>
      <w:bookmarkStart w:id="233" w:name="_Toc32504"/>
      <w:r/>
      <w:bookmarkStart w:id="234" w:name="_Toc259093670"/>
      <w:r/>
      <w:bookmarkStart w:id="235" w:name="_Toc27635"/>
      <w:r/>
      <w:bookmarkStart w:id="236" w:name="_Toc13336"/>
      <w:r/>
      <w:bookmarkStart w:id="237" w:name="_Toc279701241"/>
      <w:r>
        <w:rPr>
          <w:rFonts w:hint="eastAsia" w:ascii="宋体" w:hAnsi="宋体" w:cs="宋体"/>
          <w:b/>
          <w:color w:val="auto"/>
          <w:sz w:val="24"/>
          <w:szCs w:val="24"/>
          <w:highlight w:val="none"/>
        </w:rPr>
        <w:t xml:space="preserve">2.2 技术规范</w:t>
      </w:r>
      <w:bookmarkEnd w:id="232"/>
      <w:r/>
      <w:bookmarkEnd w:id="233"/>
      <w:r/>
      <w:bookmarkEnd w:id="234"/>
      <w:r/>
      <w:bookmarkEnd w:id="235"/>
      <w:r/>
      <w:bookmarkEnd w:id="236"/>
      <w:r/>
      <w:bookmarkEnd w:id="237"/>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spacing w:line="440" w:lineRule="exact"/>
        <w:rPr>
          <w:rFonts w:hint="eastAsia" w:ascii="宋体" w:hAnsi="宋体" w:cs="宋体"/>
          <w:b/>
          <w:color w:val="auto"/>
          <w:sz w:val="24"/>
          <w:szCs w:val="24"/>
          <w:highlight w:val="none"/>
        </w:rPr>
      </w:pPr>
      <w:r/>
      <w:bookmarkStart w:id="238" w:name="_Toc31634"/>
      <w:r/>
      <w:bookmarkStart w:id="239" w:name="_Toc27853"/>
      <w:r/>
      <w:bookmarkStart w:id="240" w:name="_Toc279701242"/>
      <w:r/>
      <w:bookmarkStart w:id="241" w:name="_Toc259093671"/>
      <w:r/>
      <w:bookmarkStart w:id="242" w:name="_Toc487900351"/>
      <w:r/>
      <w:bookmarkStart w:id="243" w:name="_Toc9829"/>
      <w:r>
        <w:rPr>
          <w:rFonts w:hint="eastAsia" w:ascii="宋体" w:hAnsi="宋体" w:cs="宋体"/>
          <w:b/>
          <w:color w:val="auto"/>
          <w:sz w:val="24"/>
          <w:szCs w:val="24"/>
          <w:highlight w:val="none"/>
        </w:rPr>
        <w:t xml:space="preserve">2.3 知识产权</w:t>
      </w:r>
      <w:bookmarkEnd w:id="238"/>
      <w:r/>
      <w:bookmarkEnd w:id="239"/>
      <w:r/>
      <w:bookmarkEnd w:id="240"/>
      <w:r/>
      <w:bookmarkEnd w:id="241"/>
      <w:r/>
      <w:bookmarkEnd w:id="242"/>
      <w:r/>
      <w:bookmarkEnd w:id="243"/>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spacing w:line="440" w:lineRule="exact"/>
        <w:rPr>
          <w:rFonts w:hint="eastAsia" w:ascii="宋体" w:hAnsi="宋体" w:cs="宋体"/>
          <w:b/>
          <w:color w:val="auto"/>
          <w:sz w:val="24"/>
          <w:szCs w:val="24"/>
          <w:highlight w:val="none"/>
        </w:rPr>
      </w:pPr>
      <w:r/>
      <w:bookmarkStart w:id="244" w:name="_Toc11932"/>
      <w:r/>
      <w:bookmarkStart w:id="245" w:name="_Toc4194"/>
      <w:r/>
      <w:bookmarkStart w:id="246" w:name="_Toc29149"/>
      <w:r>
        <w:rPr>
          <w:rFonts w:hint="eastAsia" w:ascii="宋体" w:hAnsi="宋体" w:cs="宋体"/>
          <w:b/>
          <w:color w:val="auto"/>
          <w:sz w:val="24"/>
          <w:szCs w:val="24"/>
          <w:highlight w:val="none"/>
        </w:rPr>
        <w:t xml:space="preserve">2.4 包装和装运</w:t>
      </w:r>
      <w:bookmarkEnd w:id="244"/>
      <w:r/>
      <w:bookmarkEnd w:id="245"/>
      <w:r/>
      <w:bookmarkEnd w:id="246"/>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2.4.2装运货物的要求和通知均应按照甲方的要求。</w:t>
      </w:r>
      <w:r/>
    </w:p>
    <w:p>
      <w:pPr>
        <w:spacing w:line="440" w:lineRule="exact"/>
        <w:rPr>
          <w:rFonts w:hint="eastAsia" w:ascii="宋体" w:hAnsi="宋体" w:cs="宋体"/>
          <w:b/>
          <w:color w:val="auto"/>
          <w:sz w:val="24"/>
          <w:szCs w:val="24"/>
          <w:highlight w:val="none"/>
        </w:rPr>
      </w:pPr>
      <w:r/>
      <w:bookmarkStart w:id="247" w:name="_Ref467379542"/>
      <w:r/>
      <w:bookmarkStart w:id="248" w:name="_Ref467378591"/>
      <w:r/>
      <w:bookmarkStart w:id="249" w:name="_Ref467378541"/>
      <w:r/>
      <w:bookmarkStart w:id="250" w:name="_Toc487900354"/>
      <w:r/>
      <w:bookmarkStart w:id="251" w:name="_Toc279701245"/>
      <w:r/>
      <w:bookmarkStart w:id="252" w:name="_Toc259093674"/>
      <w:r/>
      <w:bookmarkStart w:id="253" w:name="_Ref467379527"/>
      <w:r/>
      <w:bookmarkStart w:id="254" w:name="_Ref467379536"/>
      <w:r/>
      <w:bookmarkStart w:id="255" w:name="_Toc19074"/>
      <w:r/>
      <w:bookmarkStart w:id="256" w:name="_Toc26182"/>
      <w:r/>
      <w:bookmarkStart w:id="257" w:name="_Toc30272"/>
      <w:r>
        <w:rPr>
          <w:rFonts w:hint="eastAsia" w:ascii="宋体" w:hAnsi="宋体" w:cs="宋体"/>
          <w:b/>
          <w:color w:val="auto"/>
          <w:sz w:val="24"/>
          <w:szCs w:val="24"/>
          <w:highlight w:val="none"/>
        </w:rPr>
        <w:t xml:space="preserve">2.</w:t>
      </w:r>
      <w:bookmarkEnd w:id="247"/>
      <w:r/>
      <w:bookmarkEnd w:id="248"/>
      <w:r/>
      <w:bookmarkEnd w:id="249"/>
      <w:r/>
      <w:bookmarkEnd w:id="250"/>
      <w:r/>
      <w:bookmarkEnd w:id="251"/>
      <w:r/>
      <w:bookmarkEnd w:id="252"/>
      <w:r/>
      <w:bookmarkEnd w:id="253"/>
      <w:r/>
      <w:bookmarkEnd w:id="254"/>
      <w:r>
        <w:rPr>
          <w:rFonts w:hint="eastAsia" w:ascii="宋体" w:hAnsi="宋体" w:cs="宋体"/>
          <w:b/>
          <w:color w:val="auto"/>
          <w:sz w:val="24"/>
          <w:szCs w:val="24"/>
          <w:highlight w:val="none"/>
        </w:rPr>
        <w:t xml:space="preserve">5 履约检查和问题反馈</w:t>
      </w:r>
      <w:bookmarkEnd w:id="255"/>
      <w:r/>
      <w:bookmarkEnd w:id="256"/>
      <w:r/>
      <w:bookmarkEnd w:id="257"/>
      <w:r/>
      <w:r/>
    </w:p>
    <w:p>
      <w:pPr>
        <w:ind w:firstLine="480"/>
        <w:spacing w:line="440" w:lineRule="exact"/>
        <w:rPr>
          <w:rFonts w:hint="eastAsia" w:ascii="宋体" w:hAnsi="宋体" w:cs="宋体"/>
          <w:color w:val="auto"/>
          <w:sz w:val="24"/>
          <w:szCs w:val="24"/>
          <w:highlight w:val="none"/>
        </w:rPr>
      </w:pPr>
      <w:r/>
      <w:bookmarkStart w:id="258" w:name="_Ref467379657"/>
      <w:r>
        <w:rPr>
          <w:rFonts w:hint="eastAsia" w:ascii="宋体" w:hAnsi="宋体" w:cs="宋体"/>
          <w:color w:val="auto"/>
          <w:sz w:val="24"/>
          <w:szCs w:val="24"/>
          <w:highlight w:val="none"/>
        </w:rPr>
        <w:t xml:space="preserve">2.5.1</w:t>
      </w:r>
      <w:bookmarkEnd w:id="258"/>
      <w:r/>
      <w:bookmarkStart w:id="259" w:name="_Toc186431854"/>
      <w:r>
        <w:rPr>
          <w:rFonts w:hint="eastAsia" w:ascii="宋体" w:hAnsi="宋体" w:cs="宋体"/>
          <w:color w:val="auto"/>
          <w:sz w:val="24"/>
          <w:szCs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 合同履行期间，甲方有权将履行过程中出现的问题反馈给乙方，双方当事人应以书面形式约定需要完善和改进的内容</w:t>
      </w:r>
      <w:bookmarkEnd w:id="259"/>
      <w:r/>
      <w:bookmarkStart w:id="260" w:name="_Toc186431855"/>
      <w:r>
        <w:rPr>
          <w:rFonts w:hint="eastAsia" w:ascii="宋体" w:hAnsi="宋体" w:cs="宋体"/>
          <w:color w:val="auto"/>
          <w:sz w:val="24"/>
          <w:szCs w:val="24"/>
          <w:highlight w:val="none"/>
        </w:rPr>
        <w:t xml:space="preserve">。</w:t>
      </w:r>
      <w:bookmarkEnd w:id="260"/>
      <w:r/>
    </w:p>
    <w:p>
      <w:pPr>
        <w:spacing w:line="440" w:lineRule="exact"/>
        <w:rPr>
          <w:rFonts w:hint="eastAsia" w:ascii="宋体" w:hAnsi="宋体" w:cs="宋体"/>
          <w:b/>
          <w:color w:val="auto"/>
          <w:sz w:val="24"/>
          <w:szCs w:val="24"/>
          <w:highlight w:val="none"/>
        </w:rPr>
      </w:pPr>
      <w:r/>
      <w:bookmarkStart w:id="261" w:name="_Ref467379863"/>
      <w:r/>
      <w:bookmarkStart w:id="262" w:name="_Toc279701248"/>
      <w:r/>
      <w:bookmarkStart w:id="263" w:name="_Ref467379852"/>
      <w:r/>
      <w:bookmarkStart w:id="264" w:name="_Ref467379923"/>
      <w:r/>
      <w:bookmarkStart w:id="265" w:name="_Toc259093677"/>
      <w:r/>
      <w:bookmarkStart w:id="266" w:name="_Toc487900358"/>
      <w:r/>
      <w:bookmarkStart w:id="267" w:name="_Toc3225"/>
      <w:r/>
      <w:bookmarkStart w:id="268" w:name="_Toc16110"/>
      <w:r/>
      <w:bookmarkStart w:id="269" w:name="_Toc774"/>
      <w:r>
        <w:rPr>
          <w:rFonts w:hint="eastAsia" w:ascii="宋体" w:hAnsi="宋体" w:cs="宋体"/>
          <w:b/>
          <w:color w:val="auto"/>
          <w:sz w:val="24"/>
          <w:szCs w:val="24"/>
          <w:highlight w:val="none"/>
        </w:rPr>
        <w:t xml:space="preserve">2.6 技术资料</w:t>
      </w:r>
      <w:bookmarkEnd w:id="261"/>
      <w:r/>
      <w:bookmarkEnd w:id="262"/>
      <w:r/>
      <w:bookmarkEnd w:id="263"/>
      <w:r/>
      <w:bookmarkEnd w:id="264"/>
      <w:r/>
      <w:bookmarkEnd w:id="265"/>
      <w:r/>
      <w:bookmarkEnd w:id="266"/>
      <w:r>
        <w:rPr>
          <w:rFonts w:hint="eastAsia" w:ascii="宋体" w:hAnsi="宋体" w:cs="宋体"/>
          <w:b/>
          <w:color w:val="auto"/>
          <w:sz w:val="24"/>
          <w:szCs w:val="24"/>
          <w:highlight w:val="none"/>
        </w:rPr>
        <w:t xml:space="preserve">和保密义务</w:t>
      </w:r>
      <w:bookmarkEnd w:id="267"/>
      <w:r/>
      <w:bookmarkEnd w:id="268"/>
      <w:r/>
      <w:bookmarkEnd w:id="269"/>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 乙方有权依据合同约定和项目需要，向甲方了解有关情况，调阅有关资料等，甲方应予积极配合。</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 乙方有义务妥善保管和保护由甲方提供的前款信息和资料等。</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2.7 质量保证</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 乙方应建立和完善履行合同的内部质量保证体系，并提供相关内部规章制度给甲方，以便甲方进行监督检查。</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 乙方应保证履行合同的人员数量和素质、软件和硬件设备的配置、场地、环境和设施等满足全面履行合同的要求，并应接受甲方的监督检查。</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w:t>
      </w:r>
      <w:r>
        <w:rPr>
          <w:rFonts w:hint="eastAsia" w:ascii="宋体" w:hAnsi="宋体" w:cs="宋体"/>
          <w:bCs/>
          <w:color w:val="auto"/>
          <w:sz w:val="24"/>
          <w:szCs w:val="24"/>
          <w:highlight w:val="none"/>
        </w:rPr>
        <w:t xml:space="preserve">其他</w:t>
      </w:r>
      <w:r>
        <w:rPr>
          <w:rFonts w:hint="eastAsia" w:ascii="宋体" w:hAnsi="宋体" w:cs="宋体"/>
          <w:color w:val="auto"/>
          <w:sz w:val="24"/>
          <w:szCs w:val="24"/>
          <w:highlight w:val="none"/>
        </w:rPr>
        <w:t xml:space="preserve">各项服务承诺指标及所采取的措施符合“招标文件”要求及投标承诺。</w:t>
      </w:r>
      <w:r/>
    </w:p>
    <w:p>
      <w:pPr>
        <w:ind w:firstLine="480"/>
        <w:spacing w:line="42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2.7.4</w:t>
      </w:r>
      <w:r>
        <w:rPr>
          <w:rFonts w:hint="eastAsia" w:ascii="宋体" w:hAnsi="宋体" w:cs="宋体"/>
          <w:color w:val="auto"/>
          <w:sz w:val="24"/>
          <w:szCs w:val="24"/>
          <w:highlight w:val="none"/>
          <w:lang w:val="zh-CN"/>
        </w:rPr>
        <w:t xml:space="preserve">除合同特殊条款规定外，合同条款中标的物的质量保证期均自标的物通过最终验收之日起计算，且质量保证期不低于______年。</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2.7.5乙方应在接到甲方通知后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小时内维修完毕使货物恢复正常使用或根据甲方要求免费更换新货物。</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报修电话：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传真号码：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u w:val="single"/>
        </w:rPr>
        <w:t xml:space="preserve">                 </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2.7.6免费保修期内，乙方免收甲方所有费用，包括但不限于零部件费用、人工费、交通费、住宿费等。</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2.7.7若在免费保修期内，乙方拒绝维修或迟延维修的，甲方有权自行或委托第三方维修，因此产生的所有费用由乙方承担。</w:t>
      </w:r>
      <w:r/>
    </w:p>
    <w:p>
      <w:pPr>
        <w:ind w:firstLine="480"/>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2.7.8免费保修期满后，若甲方要求乙方提供维修的，甲方承担维修所需更换零部件/配件费用，乙方同意按成本价收费。</w:t>
      </w:r>
      <w:r/>
    </w:p>
    <w:p>
      <w:pPr>
        <w:spacing w:line="440" w:lineRule="exact"/>
        <w:rPr>
          <w:rFonts w:hint="eastAsia" w:ascii="宋体" w:hAnsi="宋体" w:cs="宋体"/>
          <w:b/>
          <w:color w:val="auto"/>
          <w:sz w:val="24"/>
          <w:szCs w:val="24"/>
          <w:highlight w:val="none"/>
        </w:rPr>
      </w:pPr>
      <w:r/>
      <w:bookmarkStart w:id="270" w:name="_Toc17244"/>
      <w:r>
        <w:rPr>
          <w:rFonts w:hint="eastAsia" w:ascii="宋体" w:hAnsi="宋体" w:cs="宋体"/>
          <w:b/>
          <w:color w:val="auto"/>
          <w:sz w:val="24"/>
          <w:szCs w:val="24"/>
          <w:highlight w:val="none"/>
        </w:rPr>
        <w:t xml:space="preserve">2.8 </w:t>
      </w:r>
      <w:bookmarkEnd w:id="270"/>
      <w:r/>
      <w:bookmarkStart w:id="271" w:name="_Toc7502"/>
      <w:r>
        <w:rPr>
          <w:rFonts w:hint="eastAsia" w:ascii="宋体" w:hAnsi="宋体" w:cs="宋体"/>
          <w:b/>
          <w:color w:val="auto"/>
          <w:sz w:val="24"/>
          <w:szCs w:val="24"/>
          <w:highlight w:val="none"/>
        </w:rPr>
        <w:t xml:space="preserve">合同变更</w:t>
      </w:r>
      <w:bookmarkEnd w:id="271"/>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.2 </w:t>
      </w:r>
      <w:r>
        <w:rPr>
          <w:rFonts w:hint="eastAsia" w:ascii="宋体" w:hAnsi="宋体" w:cs="宋体"/>
          <w:bCs/>
          <w:color w:val="auto"/>
          <w:sz w:val="24"/>
          <w:szCs w:val="24"/>
          <w:highlight w:val="none"/>
        </w:rPr>
        <w:t xml:space="preserve">合同继续履行将损害国家利益和社会公共利益的，甲方有权变更合同。有过错的一方应当承担赔偿责任，双方当事人都有过错的，各自承担相应的责任</w:t>
      </w:r>
      <w:r>
        <w:rPr>
          <w:rFonts w:hint="eastAsia" w:ascii="宋体" w:hAnsi="宋体" w:cs="宋体"/>
          <w:color w:val="auto"/>
          <w:sz w:val="24"/>
          <w:szCs w:val="24"/>
          <w:highlight w:val="none"/>
        </w:rPr>
        <w:t xml:space="preserve">。</w:t>
      </w:r>
      <w:r/>
    </w:p>
    <w:p>
      <w:pPr>
        <w:spacing w:line="440" w:lineRule="exact"/>
        <w:rPr>
          <w:rFonts w:hint="eastAsia" w:ascii="宋体" w:hAnsi="宋体" w:cs="宋体"/>
          <w:b/>
          <w:color w:val="auto"/>
          <w:sz w:val="24"/>
          <w:szCs w:val="24"/>
          <w:highlight w:val="none"/>
        </w:rPr>
      </w:pPr>
      <w:r/>
      <w:bookmarkStart w:id="272" w:name="_Toc15237"/>
      <w:r/>
      <w:bookmarkStart w:id="273" w:name="_Toc22955"/>
      <w:r/>
      <w:bookmarkStart w:id="274" w:name="_Toc10366"/>
      <w:r>
        <w:rPr>
          <w:rFonts w:hint="eastAsia" w:ascii="宋体" w:hAnsi="宋体" w:cs="宋体"/>
          <w:b/>
          <w:color w:val="auto"/>
          <w:sz w:val="24"/>
          <w:szCs w:val="24"/>
          <w:highlight w:val="none"/>
        </w:rPr>
        <w:t xml:space="preserve">2.</w:t>
      </w:r>
      <w:r>
        <w:rPr>
          <w:rFonts w:hint="eastAsia" w:ascii="宋体" w:hAnsi="宋体" w:cs="宋体"/>
          <w:b/>
          <w:color w:val="auto"/>
          <w:sz w:val="24"/>
          <w:szCs w:val="24"/>
          <w:highlight w:val="none"/>
          <w:lang w:val="en-US" w:eastAsia="zh-CN"/>
        </w:rPr>
        <w:t xml:space="preserve">9</w:t>
      </w:r>
      <w:r>
        <w:rPr>
          <w:rFonts w:hint="eastAsia" w:ascii="宋体" w:hAnsi="宋体" w:cs="宋体"/>
          <w:b/>
          <w:color w:val="auto"/>
          <w:sz w:val="24"/>
          <w:szCs w:val="24"/>
          <w:highlight w:val="none"/>
        </w:rPr>
        <w:t xml:space="preserve"> 合同转让和分包</w:t>
      </w:r>
      <w:bookmarkEnd w:id="272"/>
      <w:r/>
      <w:bookmarkEnd w:id="273"/>
      <w:r/>
      <w:bookmarkEnd w:id="274"/>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spacing w:line="440" w:lineRule="exact"/>
        <w:rPr>
          <w:rFonts w:hint="eastAsia" w:ascii="宋体" w:hAnsi="宋体" w:cs="宋体"/>
          <w:b/>
          <w:color w:val="auto"/>
          <w:sz w:val="24"/>
          <w:szCs w:val="24"/>
          <w:highlight w:val="none"/>
        </w:rPr>
      </w:pPr>
      <w:r/>
      <w:bookmarkStart w:id="275" w:name="_Toc25571"/>
      <w:r/>
      <w:bookmarkStart w:id="276" w:name="_Toc32494"/>
      <w:r/>
      <w:bookmarkStart w:id="277" w:name="_Toc4720"/>
      <w:r/>
      <w:bookmarkStart w:id="278" w:name="_Toc26633"/>
      <w:r/>
      <w:bookmarkStart w:id="279" w:name="_Toc14371"/>
      <w:r>
        <w:rPr>
          <w:rFonts w:hint="eastAsia" w:ascii="宋体" w:hAnsi="宋体" w:cs="宋体"/>
          <w:b/>
          <w:color w:val="auto"/>
          <w:sz w:val="24"/>
          <w:szCs w:val="24"/>
          <w:highlight w:val="none"/>
        </w:rPr>
        <w:t xml:space="preserve">2.1</w:t>
      </w:r>
      <w:r>
        <w:rPr>
          <w:rFonts w:hint="eastAsia" w:ascii="宋体" w:hAnsi="宋体" w:cs="宋体"/>
          <w:b/>
          <w:color w:val="auto"/>
          <w:sz w:val="24"/>
          <w:szCs w:val="24"/>
          <w:highlight w:val="none"/>
          <w:lang w:val="en-US" w:eastAsia="zh-CN"/>
        </w:rPr>
        <w:t xml:space="preserve">0</w:t>
      </w:r>
      <w:r>
        <w:rPr>
          <w:rFonts w:hint="eastAsia" w:ascii="宋体" w:hAnsi="宋体" w:cs="宋体"/>
          <w:b/>
          <w:color w:val="auto"/>
          <w:sz w:val="24"/>
          <w:szCs w:val="24"/>
          <w:highlight w:val="none"/>
        </w:rPr>
        <w:t xml:space="preserve"> 不可抗力</w:t>
      </w:r>
      <w:bookmarkEnd w:id="275"/>
      <w:r/>
      <w:bookmarkEnd w:id="276"/>
      <w:r/>
      <w:bookmarkEnd w:id="277"/>
      <w:r/>
      <w:bookmarkEnd w:id="278"/>
      <w:r/>
      <w:bookmarkEnd w:id="279"/>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.1如果任何一方遭遇法律规定的不可抗力，致使合同履行受阻时，履行合同的期限应予延长，延长的期限应相当于不可抗力所影响的时间。</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.2 因不可抗力致使不能实现合同目的的，当事人可以解除合同。</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.3 因不可抗力致使合同有变更必要的，双方当事人应在</w:t>
      </w:r>
      <w:r>
        <w:rPr>
          <w:rFonts w:hint="eastAsia" w:ascii="宋体" w:hAnsi="宋体" w:cs="宋体"/>
          <w:b/>
          <w:i/>
          <w:color w:val="auto"/>
          <w:sz w:val="24"/>
          <w:szCs w:val="24"/>
          <w:highlight w:val="none"/>
          <w:u w:val="single"/>
        </w:rPr>
        <w:t xml:space="preserve">7个工作日内</w:t>
      </w:r>
      <w:r>
        <w:rPr>
          <w:rFonts w:hint="eastAsia" w:ascii="宋体" w:hAnsi="宋体" w:cs="宋体"/>
          <w:color w:val="auto"/>
          <w:sz w:val="24"/>
          <w:szCs w:val="24"/>
          <w:highlight w:val="none"/>
        </w:rPr>
        <w:t xml:space="preserve">以书面形式变更合同。</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.4受不可抗力影响的一方在不可抗力发生后，应在</w:t>
      </w:r>
      <w:r>
        <w:rPr>
          <w:rFonts w:hint="eastAsia" w:ascii="宋体" w:hAnsi="宋体" w:cs="宋体"/>
          <w:b/>
          <w:i/>
          <w:color w:val="auto"/>
          <w:sz w:val="24"/>
          <w:szCs w:val="24"/>
          <w:highlight w:val="none"/>
          <w:u w:val="single"/>
        </w:rPr>
        <w:t xml:space="preserve">7个工作日</w:t>
      </w:r>
      <w:r>
        <w:rPr>
          <w:rFonts w:hint="eastAsia" w:ascii="宋体" w:hAnsi="宋体" w:cs="宋体"/>
          <w:color w:val="auto"/>
          <w:sz w:val="24"/>
          <w:szCs w:val="24"/>
          <w:highlight w:val="none"/>
        </w:rPr>
        <w:t xml:space="preserve">内以书面形式通知对方当事人，并在</w:t>
      </w:r>
      <w:r>
        <w:rPr>
          <w:rFonts w:hint="eastAsia" w:ascii="宋体" w:hAnsi="宋体" w:cs="宋体"/>
          <w:b/>
          <w:i/>
          <w:color w:val="auto"/>
          <w:sz w:val="24"/>
          <w:szCs w:val="24"/>
          <w:highlight w:val="none"/>
          <w:u w:val="single"/>
        </w:rPr>
        <w:t xml:space="preserve">7个工作日</w:t>
      </w:r>
      <w:r>
        <w:rPr>
          <w:rFonts w:hint="eastAsia" w:ascii="宋体" w:hAnsi="宋体" w:cs="宋体"/>
          <w:color w:val="auto"/>
          <w:sz w:val="24"/>
          <w:szCs w:val="24"/>
          <w:highlight w:val="none"/>
        </w:rPr>
        <w:t xml:space="preserve">内，将有关部门出具的证明文件送达对方当事人。</w:t>
      </w:r>
      <w:bookmarkStart w:id="280" w:name="_Toc6969"/>
      <w:r/>
      <w:bookmarkStart w:id="281" w:name="_Toc279701255"/>
      <w:r/>
      <w:bookmarkStart w:id="282" w:name="_Toc689"/>
      <w:r/>
      <w:bookmarkStart w:id="283" w:name="_Toc487900365"/>
      <w:r/>
      <w:bookmarkStart w:id="284" w:name="_Toc30676"/>
      <w:r/>
      <w:bookmarkStart w:id="285" w:name="_Toc259093684"/>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.5 任何一方因不可抗力不能履行本合同规定的全部或部分义务，应尽快以书面形式将不可抗力的 情况、原因及对履行本合同的影响等及时通知另一方。同时，遭受不可抗力影响的一方有义务尽可能及时 采取适当或必要措施减少或消除不可抗力的影响，因未尽本义务而造成的相关损失由其承担。 </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.6 发生不可抗力事件，任何一方均不对因不可抗力无法履行或迟延履行本合同义务而使另一方蒙 受的任何损失承担责任，法律另有规定的除外。</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.7 合同各方应根据不可抗力对本合同履行的影响程度，协商确定是否终止本合同或是继续履行本 合同。</w:t>
      </w:r>
      <w:r/>
    </w:p>
    <w:p>
      <w:pP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2.1</w:t>
      </w: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 税费</w:t>
      </w:r>
      <w:bookmarkEnd w:id="280"/>
      <w:r/>
      <w:bookmarkEnd w:id="281"/>
      <w:r/>
      <w:bookmarkEnd w:id="282"/>
      <w:r/>
      <w:bookmarkEnd w:id="283"/>
      <w:r/>
      <w:bookmarkEnd w:id="284"/>
      <w:r/>
      <w:bookmarkEnd w:id="285"/>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w:t>
      </w:r>
      <w:r/>
    </w:p>
    <w:p>
      <w:pPr>
        <w:spacing w:line="440" w:lineRule="exact"/>
        <w:rPr>
          <w:rFonts w:hint="eastAsia" w:ascii="宋体" w:hAnsi="宋体" w:cs="宋体"/>
          <w:b/>
          <w:color w:val="auto"/>
          <w:sz w:val="24"/>
          <w:szCs w:val="24"/>
          <w:highlight w:val="none"/>
        </w:rPr>
      </w:pPr>
      <w:r/>
      <w:bookmarkStart w:id="286" w:name="_Toc259093687"/>
      <w:r/>
      <w:bookmarkStart w:id="287" w:name="_Toc487900368"/>
      <w:r/>
      <w:bookmarkStart w:id="288" w:name="_Toc8298"/>
      <w:r/>
      <w:bookmarkStart w:id="289" w:name="_Toc279701258"/>
      <w:r/>
      <w:bookmarkStart w:id="290" w:name="_Toc7102"/>
      <w:r/>
      <w:bookmarkStart w:id="291" w:name="_Toc16959"/>
      <w:r>
        <w:rPr>
          <w:rFonts w:hint="eastAsia" w:ascii="宋体" w:hAnsi="宋体" w:cs="宋体"/>
          <w:b/>
          <w:color w:val="auto"/>
          <w:sz w:val="24"/>
          <w:szCs w:val="24"/>
          <w:highlight w:val="none"/>
        </w:rPr>
        <w:t xml:space="preserve">2.1</w:t>
      </w: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 乙方破产</w:t>
      </w:r>
      <w:bookmarkEnd w:id="286"/>
      <w:r/>
      <w:bookmarkEnd w:id="287"/>
      <w:r/>
      <w:bookmarkEnd w:id="288"/>
      <w:r/>
      <w:bookmarkEnd w:id="289"/>
      <w:r/>
      <w:bookmarkEnd w:id="290"/>
      <w:r/>
      <w:bookmarkEnd w:id="291"/>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spacing w:line="440" w:lineRule="exact"/>
        <w:rPr>
          <w:rFonts w:hint="eastAsia" w:ascii="宋体" w:hAnsi="宋体" w:cs="宋体"/>
          <w:b/>
          <w:color w:val="auto"/>
          <w:sz w:val="24"/>
          <w:szCs w:val="24"/>
          <w:highlight w:val="none"/>
        </w:rPr>
      </w:pPr>
      <w:r/>
      <w:bookmarkStart w:id="292" w:name="_Toc6134"/>
      <w:r/>
      <w:bookmarkStart w:id="293" w:name="_Toc29333"/>
      <w:r/>
      <w:bookmarkStart w:id="294" w:name="_Toc15387"/>
      <w:r>
        <w:rPr>
          <w:rFonts w:hint="eastAsia" w:ascii="宋体" w:hAnsi="宋体" w:cs="宋体"/>
          <w:b/>
          <w:color w:val="auto"/>
          <w:sz w:val="24"/>
          <w:szCs w:val="24"/>
          <w:highlight w:val="none"/>
        </w:rPr>
        <w:t xml:space="preserve">2.1</w:t>
      </w: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 合同中止、终止</w:t>
      </w:r>
      <w:bookmarkEnd w:id="292"/>
      <w:r/>
      <w:bookmarkEnd w:id="293"/>
      <w:r/>
      <w:bookmarkEnd w:id="294"/>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1 双方当事人不得擅自中止或者终止合同。</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.2</w:t>
      </w:r>
      <w:r>
        <w:rPr>
          <w:rFonts w:hint="eastAsia" w:ascii="宋体" w:hAnsi="宋体" w:cs="宋体"/>
          <w:bCs/>
          <w:color w:val="auto"/>
          <w:sz w:val="24"/>
          <w:szCs w:val="24"/>
          <w:highlight w:val="none"/>
        </w:rPr>
        <w:t xml:space="preserve">合同继续履行将损害国家利益和社会公共利益的，甲方有权中止或者终止、解除合同。有过错的一方应当承担赔偿责任，双方当事人都有过错的，各自承担相应的责任</w:t>
      </w:r>
      <w:r>
        <w:rPr>
          <w:rFonts w:hint="eastAsia" w:ascii="宋体" w:hAnsi="宋体" w:cs="宋体"/>
          <w:color w:val="auto"/>
          <w:sz w:val="24"/>
          <w:szCs w:val="24"/>
          <w:highlight w:val="none"/>
        </w:rPr>
        <w:t xml:space="preserve">。</w:t>
      </w:r>
      <w:r/>
    </w:p>
    <w:p>
      <w:pPr>
        <w:spacing w:line="440" w:lineRule="exact"/>
        <w:rPr>
          <w:rFonts w:hint="eastAsia" w:ascii="宋体" w:hAnsi="宋体" w:cs="宋体"/>
          <w:b/>
          <w:color w:val="auto"/>
          <w:sz w:val="24"/>
          <w:szCs w:val="24"/>
          <w:highlight w:val="none"/>
        </w:rPr>
      </w:pPr>
      <w:r/>
      <w:bookmarkStart w:id="295" w:name="_Toc6596"/>
      <w:r/>
      <w:bookmarkStart w:id="296" w:name="_Toc14563"/>
      <w:r/>
      <w:bookmarkStart w:id="297" w:name="_Toc1125"/>
      <w:r>
        <w:rPr>
          <w:rFonts w:hint="eastAsia" w:ascii="宋体" w:hAnsi="宋体" w:cs="宋体"/>
          <w:b/>
          <w:color w:val="auto"/>
          <w:sz w:val="24"/>
          <w:szCs w:val="24"/>
          <w:highlight w:val="none"/>
        </w:rPr>
        <w:t xml:space="preserve">2.1</w:t>
      </w:r>
      <w:r>
        <w:rPr>
          <w:rFonts w:hint="eastAsia" w:ascii="宋体" w:hAnsi="宋体" w:cs="宋体"/>
          <w:b/>
          <w:color w:val="auto"/>
          <w:sz w:val="24"/>
          <w:szCs w:val="24"/>
          <w:highlight w:val="none"/>
          <w:lang w:val="en-US" w:eastAsia="zh-CN"/>
        </w:rPr>
        <w:t xml:space="preserve">4</w:t>
      </w:r>
      <w:r>
        <w:rPr>
          <w:rFonts w:hint="eastAsia" w:ascii="宋体" w:hAnsi="宋体" w:cs="宋体"/>
          <w:b/>
          <w:color w:val="auto"/>
          <w:sz w:val="24"/>
          <w:szCs w:val="24"/>
          <w:highlight w:val="none"/>
        </w:rPr>
        <w:t xml:space="preserve"> 检验和验收</w:t>
      </w:r>
      <w:bookmarkEnd w:id="295"/>
      <w:r/>
      <w:bookmarkEnd w:id="296"/>
      <w:r/>
      <w:bookmarkEnd w:id="297"/>
      <w:r/>
      <w:r/>
    </w:p>
    <w:p>
      <w:pPr>
        <w:ind w:firstLine="480"/>
        <w:spacing w:line="440" w:lineRule="exact"/>
        <w:rPr>
          <w:rFonts w:hint="eastAsia" w:ascii="宋体" w:hAnsi="宋体" w:cs="宋体"/>
          <w:color w:val="auto"/>
          <w:sz w:val="24"/>
          <w:szCs w:val="24"/>
          <w:highlight w:val="none"/>
        </w:rPr>
      </w:pPr>
      <w:r/>
      <w:bookmarkStart w:id="298" w:name="_Toc259093690"/>
      <w:r/>
      <w:bookmarkStart w:id="299" w:name="_Toc487900371"/>
      <w:r/>
      <w:bookmarkStart w:id="300" w:name="_Toc279701261"/>
      <w:r/>
      <w:bookmarkStart w:id="301" w:name="_Toc9808"/>
      <w:r/>
      <w:bookmarkStart w:id="302" w:name="_Toc31892"/>
      <w:r/>
      <w:bookmarkStart w:id="303" w:name="_Toc12666"/>
      <w:r/>
      <w:bookmarkStart w:id="304" w:name="_Toc2308"/>
      <w:r/>
      <w:bookmarkStart w:id="305" w:name="_Toc25198"/>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.1 交付前验收 货物交付前，乙方应对货物的质量、数量等方面进行详细、全面的检验，并向甲方出具证明货物符合 合同约定的文件；</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.2 到货验收</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①货物全部到达甲方指定地点后，甲乙双方应派员共同对货物当场开箱验收，如乙方不能按时到达现 场又无电函通知的，甲方有权开箱检验。货物交付时，乙方在甲乙双方约定时间内组织验收，并可依法邀 请相关方参加，验收应出具验收书。 </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②乙方交付的货物应当完全符合本合同及招投标文件所规定的货物、数量和规格要求。乙方提供的货 物不符合合同及招投标文件规定及甲方要求的，甲方有权拒收货物，并由乙方承担相应的违约责任。</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③乙方应将所提供货物的装箱清单、用户手册、原厂保修卡、随机资料及配件、随机工具、质量合格 凭证、有效进口证明文件等交付给甲方；乙方不能完整交付上述规定的资料和工具的，视为未按合同约定 交货，乙方负责补齐，因此导致逾期交付的，由乙方承担相应的违约责任。</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④甲方有关货物质量、规格、性能、数量或重量的检验不应视为最终检验。 </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.3 最终验收</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①货物安装调试结束并取得质量监督部门验收合格证后，乙方应先用书面、电传等方式通告甲方及时对项目进行最终验收，甲方有权依法邀请国家认可的质量检测机构参加交付验收。即：按照合同约定的技 术、服务、安全标准，组织对每一项技术、服务、安全标准的履约情况的验收，验收合格的，由甲方签署 验收单并加盖单位公章。检验和验收标准、程序等具体内容以及前述验收书的效力由甲乙双方约定。</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②设备验收包括：数量、外观、质量、性能、质保单、包装和乙方承诺及甲方要求的其它指标。</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③如验收不合格或在质量保证期内发现货物是不合格的，包括货物有明显的或潜在的缺陷、使用不符 合要求的材料、运行效果达不到要求等，甲方有权提出书面异议，甲方向乙方提出书面异议后，乙方应在 甲方书面异议中限定的时间内根据甲方的要求进行调换或采取其他甲方同意的补救措施。由此产生的一切 费用包括但不限于拆卸/搬运/运输/保管费用及责任等均由乙方承担。</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④验收标准应遵循国家相关标准、行业通行标准、厂方出厂标准、招标文件要求和乙方投标文件的承 诺、甲方要求等。根据招标书要求及有关规定由招标代理机构、采购人到场，并按国家标准进行验收。</w:t>
      </w:r>
      <w:r/>
    </w:p>
    <w:p>
      <w:pP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2.1</w:t>
      </w:r>
      <w:r>
        <w:rPr>
          <w:rFonts w:hint="eastAsia" w:ascii="宋体" w:hAnsi="宋体" w:cs="宋体"/>
          <w:b/>
          <w:color w:val="auto"/>
          <w:sz w:val="24"/>
          <w:szCs w:val="24"/>
          <w:highlight w:val="none"/>
          <w:lang w:val="en-US" w:eastAsia="zh-CN"/>
        </w:rPr>
        <w:t xml:space="preserve">5</w:t>
      </w:r>
      <w:r>
        <w:rPr>
          <w:rFonts w:hint="eastAsia" w:ascii="宋体" w:hAnsi="宋体" w:cs="宋体"/>
          <w:b/>
          <w:color w:val="auto"/>
          <w:sz w:val="24"/>
          <w:szCs w:val="24"/>
          <w:highlight w:val="none"/>
        </w:rPr>
        <w:t xml:space="preserve"> 通知</w:t>
      </w:r>
      <w:bookmarkEnd w:id="298"/>
      <w:r/>
      <w:bookmarkEnd w:id="299"/>
      <w:r/>
      <w:bookmarkEnd w:id="300"/>
      <w:r>
        <w:rPr>
          <w:rFonts w:hint="eastAsia" w:ascii="宋体" w:hAnsi="宋体" w:cs="宋体"/>
          <w:b/>
          <w:color w:val="auto"/>
          <w:sz w:val="24"/>
          <w:szCs w:val="24"/>
          <w:highlight w:val="none"/>
        </w:rPr>
        <w:t xml:space="preserve">和送达</w:t>
      </w:r>
      <w:bookmarkEnd w:id="301"/>
      <w:r/>
      <w:bookmarkEnd w:id="302"/>
      <w:r/>
      <w:bookmarkEnd w:id="303"/>
      <w:r/>
      <w:bookmarkEnd w:id="304"/>
      <w:r/>
      <w:bookmarkEnd w:id="305"/>
      <w:r/>
      <w:r/>
    </w:p>
    <w:p>
      <w:pPr>
        <w:ind w:firstLine="480"/>
        <w:spacing w:line="440" w:lineRule="exact"/>
        <w:rPr>
          <w:rFonts w:hint="eastAsia" w:ascii="宋体" w:hAnsi="宋体" w:cs="宋体"/>
          <w:color w:val="auto"/>
          <w:sz w:val="24"/>
          <w:szCs w:val="24"/>
          <w:highlight w:val="none"/>
        </w:rPr>
      </w:pPr>
      <w:r/>
      <w:bookmarkStart w:id="306" w:name="_Toc29220"/>
      <w:r/>
      <w:bookmarkStart w:id="307" w:name="_Toc7073"/>
      <w:r/>
      <w:bookmarkStart w:id="308" w:name="_Toc487900372"/>
      <w:r/>
      <w:bookmarkStart w:id="309" w:name="_Toc279701262"/>
      <w:r/>
      <w:bookmarkStart w:id="310" w:name="_Toc259093691"/>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 任何一方因履行合同而以合同第一部分尾部所列明的</w:t>
      </w:r>
      <w:r>
        <w:rPr>
          <w:rFonts w:hint="eastAsia" w:ascii="宋体" w:hAnsi="宋体" w:cs="宋体"/>
          <w:b/>
          <w:i/>
          <w:color w:val="auto"/>
          <w:sz w:val="24"/>
          <w:szCs w:val="24"/>
          <w:highlight w:val="none"/>
          <w:u w:val="single"/>
        </w:rPr>
        <w:t xml:space="preserve">内容</w:t>
      </w:r>
      <w:r>
        <w:rPr>
          <w:rFonts w:hint="eastAsia" w:ascii="宋体" w:hAnsi="宋体" w:cs="宋体"/>
          <w:color w:val="auto"/>
          <w:sz w:val="24"/>
          <w:szCs w:val="24"/>
          <w:highlight w:val="none"/>
        </w:rPr>
        <w:t xml:space="preserve">发出的所有通知、文件、材料，均视为已向对方当事人送达；任何一方变更上述送达方式或者地址的，应于</w:t>
      </w:r>
      <w:r>
        <w:rPr>
          <w:rFonts w:hint="eastAsia" w:ascii="宋体" w:hAnsi="宋体" w:cs="宋体"/>
          <w:b/>
          <w:i/>
          <w:color w:val="auto"/>
          <w:sz w:val="24"/>
          <w:szCs w:val="24"/>
          <w:highlight w:val="none"/>
          <w:u w:val="single"/>
        </w:rPr>
        <w:t xml:space="preserve">5个工作日</w:t>
      </w:r>
      <w:r>
        <w:rPr>
          <w:rFonts w:hint="eastAsia" w:ascii="宋体" w:hAnsi="宋体" w:cs="宋体"/>
          <w:color w:val="auto"/>
          <w:sz w:val="24"/>
          <w:szCs w:val="24"/>
          <w:highlight w:val="none"/>
        </w:rPr>
        <w:t xml:space="preserve">内书面通知对方当事人，在对方当事人收到有关变更通知之前，变更前的约定送达方式或者地址仍视为有效。</w:t>
      </w:r>
      <w:bookmarkEnd w:id="306"/>
      <w:r/>
      <w:bookmarkEnd w:id="307"/>
      <w:r/>
      <w:r/>
    </w:p>
    <w:p>
      <w:pPr>
        <w:ind w:firstLine="480"/>
        <w:spacing w:line="440" w:lineRule="exact"/>
        <w:rPr>
          <w:rFonts w:hint="eastAsia" w:ascii="宋体" w:hAnsi="宋体" w:cs="宋体"/>
          <w:color w:val="auto"/>
          <w:sz w:val="24"/>
          <w:szCs w:val="24"/>
          <w:highlight w:val="none"/>
        </w:rPr>
      </w:pPr>
      <w:r/>
      <w:bookmarkStart w:id="311" w:name="_Toc18401"/>
      <w:r/>
      <w:bookmarkStart w:id="312" w:name="_Toc27674"/>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以当面交付方式送达的，交付之时视为送达；以电子邮件方式送达的，发出电子邮件之时视为送达；以传真方式送达的，发出传真之时视为送达；以邮寄方式送达的，邮件挂号寄出或者交邮之日之次日视为送达。</w:t>
      </w:r>
      <w:bookmarkEnd w:id="311"/>
      <w:r/>
      <w:bookmarkEnd w:id="312"/>
      <w:r/>
      <w:bookmarkEnd w:id="308"/>
      <w:bookmarkEnd w:id="309"/>
      <w:bookmarkEnd w:id="310"/>
      <w:r/>
    </w:p>
    <w:p>
      <w:pPr>
        <w:spacing w:line="440" w:lineRule="exact"/>
        <w:rPr>
          <w:rFonts w:hint="eastAsia" w:ascii="宋体" w:hAnsi="宋体" w:cs="宋体"/>
          <w:b/>
          <w:color w:val="auto"/>
          <w:sz w:val="24"/>
          <w:szCs w:val="24"/>
          <w:highlight w:val="none"/>
        </w:rPr>
      </w:pPr>
      <w:r/>
      <w:bookmarkStart w:id="313" w:name="_Toc18540"/>
      <w:r/>
      <w:bookmarkStart w:id="314" w:name="_Toc30599"/>
      <w:r/>
      <w:bookmarkStart w:id="315" w:name="_Toc4355"/>
      <w:r>
        <w:rPr>
          <w:rFonts w:hint="eastAsia" w:ascii="宋体" w:hAnsi="宋体" w:cs="宋体"/>
          <w:b/>
          <w:color w:val="auto"/>
          <w:sz w:val="24"/>
          <w:szCs w:val="24"/>
          <w:highlight w:val="none"/>
        </w:rPr>
        <w:t xml:space="preserve">2.1</w:t>
      </w:r>
      <w:r>
        <w:rPr>
          <w:rFonts w:hint="eastAsia" w:ascii="宋体" w:hAnsi="宋体" w:cs="宋体"/>
          <w:b/>
          <w:color w:val="auto"/>
          <w:sz w:val="24"/>
          <w:szCs w:val="24"/>
          <w:highlight w:val="none"/>
          <w:lang w:val="en-US" w:eastAsia="zh-CN"/>
        </w:rPr>
        <w:t xml:space="preserve">6</w:t>
      </w:r>
      <w:r>
        <w:rPr>
          <w:rFonts w:hint="eastAsia" w:ascii="宋体" w:hAnsi="宋体" w:cs="宋体"/>
          <w:b/>
          <w:color w:val="auto"/>
          <w:sz w:val="24"/>
          <w:szCs w:val="24"/>
          <w:highlight w:val="none"/>
        </w:rPr>
        <w:t xml:space="preserve"> 计量单位</w:t>
      </w:r>
      <w:bookmarkEnd w:id="313"/>
      <w:r/>
      <w:bookmarkEnd w:id="314"/>
      <w:r/>
      <w:bookmarkEnd w:id="315"/>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除技术规范中另有规定外，合同的计量单位均使用国家法定计量单位。</w:t>
      </w:r>
      <w:r/>
    </w:p>
    <w:p>
      <w:pPr>
        <w:spacing w:line="440" w:lineRule="exact"/>
        <w:rPr>
          <w:rFonts w:hint="eastAsia" w:ascii="宋体" w:hAnsi="宋体" w:cs="宋体"/>
          <w:b/>
          <w:color w:val="auto"/>
          <w:sz w:val="24"/>
          <w:highlight w:val="none"/>
        </w:rPr>
      </w:pPr>
      <w:r/>
      <w:bookmarkStart w:id="316" w:name="_Toc10330"/>
      <w:r/>
      <w:bookmarkStart w:id="317" w:name="_Toc18567"/>
      <w:r/>
      <w:bookmarkStart w:id="318" w:name="_Toc279701263"/>
      <w:r/>
      <w:bookmarkStart w:id="319" w:name="_Toc259093692"/>
      <w:r/>
      <w:bookmarkStart w:id="320" w:name="_Toc487900373"/>
      <w:r/>
      <w:bookmarkStart w:id="321" w:name="_Toc12773"/>
      <w:r>
        <w:rPr>
          <w:rFonts w:hint="eastAsia" w:ascii="宋体" w:hAnsi="宋体" w:cs="宋体"/>
          <w:b/>
          <w:color w:val="auto"/>
          <w:sz w:val="24"/>
          <w:highlight w:val="none"/>
        </w:rPr>
        <w:t xml:space="preserve">2.1</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 合同使用的文字和适用的法律</w:t>
      </w:r>
      <w:bookmarkEnd w:id="316"/>
      <w:r/>
      <w:bookmarkEnd w:id="317"/>
      <w:r/>
      <w:bookmarkEnd w:id="318"/>
      <w:r/>
      <w:bookmarkEnd w:id="319"/>
      <w:r/>
      <w:bookmarkEnd w:id="320"/>
      <w:r/>
      <w:bookmarkEnd w:id="321"/>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2.19.1 合同使用汉语书就、变更和解释。</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2.19.2 合同适用中华人民共和国法律。</w:t>
      </w:r>
      <w:r/>
    </w:p>
    <w:p>
      <w:pPr>
        <w:spacing w:line="440" w:lineRule="exact"/>
        <w:rPr>
          <w:rFonts w:hint="eastAsia" w:ascii="宋体" w:hAnsi="宋体" w:cs="宋体"/>
          <w:b/>
          <w:color w:val="auto"/>
          <w:sz w:val="24"/>
          <w:highlight w:val="none"/>
        </w:rPr>
      </w:pPr>
      <w:r/>
      <w:bookmarkStart w:id="322" w:name="_Toc22266"/>
      <w:r/>
      <w:bookmarkStart w:id="323" w:name="_Toc27403"/>
      <w:r/>
      <w:bookmarkStart w:id="324" w:name="_Toc259093693"/>
      <w:r/>
      <w:bookmarkStart w:id="325" w:name="_Toc27127"/>
      <w:r/>
      <w:bookmarkStart w:id="326" w:name="_Toc1492"/>
      <w:r/>
      <w:bookmarkStart w:id="327" w:name="_Toc279701264"/>
      <w:r/>
      <w:bookmarkStart w:id="328" w:name="_Toc30096"/>
      <w:r/>
      <w:bookmarkStart w:id="329" w:name="_Toc487900374"/>
      <w:r>
        <w:rPr>
          <w:rFonts w:hint="eastAsia" w:ascii="宋体" w:hAnsi="宋体" w:cs="宋体"/>
          <w:b/>
          <w:color w:val="auto"/>
          <w:sz w:val="24"/>
          <w:highlight w:val="none"/>
        </w:rPr>
        <w:t xml:space="preserve">2.</w:t>
      </w:r>
      <w:r>
        <w:rPr>
          <w:rFonts w:hint="eastAsia" w:ascii="宋体" w:hAnsi="宋体" w:cs="宋体"/>
          <w:b/>
          <w:color w:val="auto"/>
          <w:sz w:val="24"/>
          <w:highlight w:val="none"/>
          <w:lang w:val="en-US" w:eastAsia="zh-CN"/>
        </w:rPr>
        <w:t xml:space="preserve">18</w:t>
      </w:r>
      <w:r>
        <w:rPr>
          <w:rFonts w:hint="eastAsia" w:ascii="宋体" w:hAnsi="宋体" w:cs="宋体"/>
          <w:b/>
          <w:color w:val="auto"/>
          <w:sz w:val="24"/>
          <w:highlight w:val="none"/>
        </w:rPr>
        <w:t xml:space="preserve"> 履约保证金</w:t>
      </w:r>
      <w:bookmarkEnd w:id="322"/>
      <w:r/>
      <w:bookmarkEnd w:id="323"/>
      <w:r/>
      <w:bookmarkEnd w:id="324"/>
      <w:r/>
      <w:bookmarkEnd w:id="325"/>
      <w:r/>
      <w:bookmarkEnd w:id="326"/>
      <w:r/>
      <w:bookmarkEnd w:id="327"/>
      <w:r/>
      <w:bookmarkEnd w:id="328"/>
      <w:r/>
      <w:r/>
    </w:p>
    <w:p>
      <w:pPr>
        <w:ind w:firstLine="480"/>
        <w:spacing w:line="440" w:lineRule="exact"/>
        <w:rPr>
          <w:rFonts w:hint="eastAsia" w:ascii="宋体" w:hAnsi="宋体" w:cs="宋体"/>
          <w:color w:val="auto"/>
          <w:sz w:val="24"/>
          <w:highlight w:val="none"/>
          <w:lang w:val="zh-CN"/>
        </w:rPr>
      </w:pPr>
      <w:r>
        <w:rPr>
          <w:rFonts w:hint="eastAsia" w:ascii="宋体" w:hAnsi="宋体" w:cs="宋体"/>
          <w:color w:val="auto"/>
          <w:sz w:val="24"/>
          <w:highlight w:val="none"/>
        </w:rPr>
        <w:t xml:space="preserve">2.20.1</w:t>
      </w:r>
      <w:r>
        <w:rPr>
          <w:rFonts w:hint="eastAsia" w:ascii="宋体" w:hAnsi="宋体" w:cs="宋体"/>
          <w:color w:val="auto"/>
          <w:sz w:val="24"/>
          <w:highlight w:val="none"/>
          <w:lang w:val="zh-CN"/>
        </w:rPr>
        <w:t xml:space="preserve"> 本项目不收取履约保证金。</w:t>
      </w:r>
      <w:bookmarkEnd w:id="329"/>
      <w:r/>
    </w:p>
    <w:p>
      <w:pPr>
        <w:jc w:val="cente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第三部分  合同专用条款</w:t>
      </w:r>
      <w:r/>
    </w:p>
    <w:p>
      <w:pPr>
        <w:ind w:firstLine="480"/>
        <w:spacing w:line="440" w:lineRule="exact"/>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789"/>
        <w:tblW w:w="966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8505"/>
      </w:tblGrid>
      <w:tr>
        <w:trPr>
          <w:trHeight w:val="567"/>
        </w:trPr>
        <w:tc>
          <w:tcPr>
            <w:tcBorders>
              <w:left w:val="single" w:color="auto" w:sz="4" w:space="0"/>
            </w:tcBorders>
            <w:tcW w:w="1162" w:type="dxa"/>
            <w:vAlign w:val="center"/>
            <w:textDirection w:val="lrTb"/>
            <w:noWrap w:val="false"/>
          </w:tcPr>
          <w:p>
            <w:pPr>
              <w:jc w:val="center"/>
              <w:spacing w:line="48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条款号</w:t>
            </w:r>
            <w:r/>
          </w:p>
        </w:tc>
        <w:tc>
          <w:tcPr>
            <w:tcW w:w="8505" w:type="dxa"/>
            <w:vAlign w:val="center"/>
            <w:textDirection w:val="lrTb"/>
            <w:noWrap w:val="false"/>
          </w:tcPr>
          <w:p>
            <w:pPr>
              <w:jc w:val="center"/>
              <w:spacing w:line="48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约定内容</w:t>
            </w:r>
            <w:r/>
          </w:p>
        </w:tc>
      </w:tr>
      <w:tr>
        <w:trPr>
          <w:trHeight w:val="352"/>
        </w:trPr>
        <w:tc>
          <w:tcPr>
            <w:tcBorders>
              <w:left w:val="single" w:color="auto" w:sz="4" w:space="0"/>
            </w:tcBorders>
            <w:tcW w:w="1162" w:type="dxa"/>
            <w:vAlign w:val="center"/>
            <w:textDirection w:val="lrTb"/>
            <w:noWrap w:val="false"/>
          </w:tcPr>
          <w:p>
            <w:pPr>
              <w:jc w:val="center"/>
              <w:spacing w:line="480" w:lineRule="exact"/>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8505"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52"/>
        </w:trPr>
        <w:tc>
          <w:tcPr>
            <w:tcBorders>
              <w:left w:val="single" w:color="auto" w:sz="4" w:space="0"/>
            </w:tcBorders>
            <w:tcW w:w="1162" w:type="dxa"/>
            <w:vAlign w:val="center"/>
            <w:textDirection w:val="lrTb"/>
            <w:noWrap w:val="false"/>
          </w:tcPr>
          <w:p>
            <w:pPr>
              <w:jc w:val="center"/>
              <w:spacing w:line="480" w:lineRule="exact"/>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8505" w:type="dxa"/>
            <w:vAlign w:val="center"/>
            <w:textDirection w:val="lrTb"/>
            <w:noWrap w:val="false"/>
          </w:tcPr>
          <w:p>
            <w:pPr>
              <w:spacing w:line="4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440" w:lineRule="exact"/>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440" w:lineRule="exact"/>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甲方（盖章）：                         乙方（盖章）：</w:t>
      </w:r>
      <w:r/>
    </w:p>
    <w:p>
      <w:pPr>
        <w:spacing w:line="440" w:lineRule="exact"/>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法定代表人（签名）：                   法定代表人（签名）：</w:t>
      </w:r>
      <w:r/>
    </w:p>
    <w:p>
      <w:pPr>
        <w:spacing w:line="440" w:lineRule="exact"/>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或委托代理人（签名）：                 或委托代理人（签名）：</w:t>
      </w:r>
      <w:r/>
    </w:p>
    <w:p>
      <w:pPr>
        <w:spacing w:line="440" w:lineRule="exact"/>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联系人：                             </w:t>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zh-CN"/>
        </w:rPr>
        <w:t xml:space="preserve"> 联系人：</w:t>
      </w:r>
      <w:r/>
    </w:p>
    <w:p>
      <w:pPr>
        <w:spacing w:line="440" w:lineRule="exact"/>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地址：                                </w:t>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zh-CN"/>
        </w:rPr>
        <w:t xml:space="preserve">地址：</w:t>
      </w:r>
      <w:r/>
    </w:p>
    <w:p>
      <w:pPr>
        <w:spacing w:line="440" w:lineRule="exact"/>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电话：                                </w:t>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zh-CN"/>
        </w:rPr>
        <w:t xml:space="preserve">电话：</w:t>
      </w:r>
      <w:r/>
    </w:p>
    <w:p>
      <w:pPr>
        <w:spacing w:line="440" w:lineRule="exact"/>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传真：                                </w:t>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zh-CN"/>
        </w:rPr>
        <w:t xml:space="preserve">传真：</w:t>
      </w:r>
      <w:r/>
    </w:p>
    <w:p>
      <w:pPr>
        <w:spacing w:line="440" w:lineRule="exact"/>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开户银行：                            </w:t>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zh-CN"/>
        </w:rPr>
        <w:t xml:space="preserve">开户银行：</w:t>
      </w:r>
      <w:r/>
    </w:p>
    <w:p>
      <w:pPr>
        <w:spacing w:line="440" w:lineRule="exact"/>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银行账号：                            </w:t>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zh-CN"/>
        </w:rPr>
        <w:t xml:space="preserve">银行账号：</w:t>
      </w:r>
      <w:r/>
    </w:p>
    <w:p>
      <w:pPr>
        <w:rPr>
          <w:rFonts w:hint="eastAsia" w:ascii="宋体" w:hAnsi="宋体" w:cs="宋体"/>
          <w:color w:val="auto"/>
          <w:highlight w:val="none"/>
        </w:rPr>
      </w:pPr>
      <w:r>
        <w:rPr>
          <w:rFonts w:hint="eastAsia" w:ascii="宋体" w:hAnsi="宋体" w:cs="宋体"/>
          <w:bCs/>
          <w:color w:val="auto"/>
          <w:sz w:val="24"/>
          <w:szCs w:val="24"/>
          <w:highlight w:val="none"/>
          <w:lang w:val="zh-CN"/>
        </w:rPr>
        <w:t xml:space="preserve">社会统一信用代码:                      </w:t>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zh-CN"/>
        </w:rPr>
        <w:t xml:space="preserve">社会统一信用代码：</w:t>
      </w:r>
      <w:r/>
    </w:p>
    <w:p>
      <w:pPr>
        <w:ind w:firstLine="880"/>
        <w:jc w:val="center"/>
        <w:keepNext/>
        <w:rPr>
          <w:rFonts w:hint="eastAsia" w:ascii="宋体" w:hAnsi="宋体" w:cs="宋体"/>
          <w:b/>
          <w:bCs/>
          <w:color w:val="auto"/>
          <w:sz w:val="40"/>
          <w:szCs w:val="40"/>
          <w:highlight w:val="none"/>
        </w:rPr>
        <w:outlineLvl w:val="0"/>
      </w:pPr>
      <w:r>
        <w:rPr>
          <w:rFonts w:hint="eastAsia" w:ascii="宋体" w:hAnsi="宋体" w:cs="宋体"/>
          <w:bCs/>
          <w:color w:val="auto"/>
          <w:sz w:val="44"/>
          <w:szCs w:val="21"/>
          <w:highlight w:val="none"/>
        </w:rPr>
        <w:br w:type="page" w:clear="all"/>
      </w:r>
      <w:bookmarkStart w:id="330" w:name="_Toc11923"/>
      <w:r>
        <w:rPr>
          <w:rFonts w:hint="eastAsia" w:ascii="宋体" w:hAnsi="宋体" w:cs="宋体"/>
          <w:b/>
          <w:bCs/>
          <w:color w:val="auto"/>
          <w:sz w:val="40"/>
          <w:szCs w:val="40"/>
          <w:highlight w:val="none"/>
        </w:rPr>
        <w:t xml:space="preserve">第</w:t>
      </w:r>
      <w:bookmarkEnd w:id="174"/>
      <w:r>
        <w:rPr>
          <w:rFonts w:hint="eastAsia" w:ascii="宋体" w:hAnsi="宋体" w:cs="宋体"/>
          <w:b/>
          <w:bCs/>
          <w:color w:val="auto"/>
          <w:sz w:val="40"/>
          <w:szCs w:val="40"/>
          <w:highlight w:val="none"/>
        </w:rPr>
        <w:t xml:space="preserve">四章  采购需求</w:t>
      </w:r>
      <w:bookmarkEnd w:id="175"/>
      <w:r/>
      <w:bookmarkEnd w:id="176"/>
      <w:r/>
      <w:bookmarkEnd w:id="177"/>
      <w:r/>
      <w:bookmarkEnd w:id="330"/>
      <w:r/>
      <w:r/>
    </w:p>
    <w:p>
      <w:pPr>
        <w:spacing w:line="440" w:lineRule="exact"/>
        <w:rPr>
          <w:rFonts w:hint="eastAsia" w:ascii="宋体" w:hAnsi="宋体" w:cs="宋体"/>
          <w:b/>
          <w:bCs/>
          <w:color w:val="auto"/>
          <w:sz w:val="28"/>
          <w:szCs w:val="28"/>
          <w:highlight w:val="none"/>
          <w:lang w:val="zh-CN"/>
        </w:rPr>
      </w:pPr>
      <w:r/>
      <w:bookmarkStart w:id="331" w:name="_Toc157604637"/>
      <w:r/>
      <w:bookmarkStart w:id="332" w:name="_Toc49090575"/>
      <w:r/>
      <w:bookmarkStart w:id="333" w:name="_Toc120614281"/>
      <w:r/>
      <w:bookmarkStart w:id="334" w:name="_Toc26554093"/>
      <w:r>
        <w:rPr>
          <w:rFonts w:hint="eastAsia" w:ascii="宋体" w:hAnsi="宋体" w:cs="宋体"/>
          <w:b/>
          <w:bCs/>
          <w:color w:val="auto"/>
          <w:sz w:val="28"/>
          <w:szCs w:val="28"/>
          <w:highlight w:val="none"/>
          <w:lang w:val="zh-CN"/>
        </w:rPr>
        <w:t xml:space="preserve">项目名称：2025年中央粮油生产保障资金-小麦“一喷三防”项目</w:t>
      </w:r>
      <w:r/>
    </w:p>
    <w:p>
      <w:pPr>
        <w:spacing w:line="440" w:lineRule="exact"/>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项目编号：JSZC-320581-HXGW-G2025-0022</w:t>
      </w:r>
      <w:r/>
    </w:p>
    <w:p>
      <w:pPr>
        <w:spacing w:line="440" w:lineRule="exact"/>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采 购 人：常熟市农业技术推广中心</w:t>
      </w:r>
      <w:bookmarkEnd w:id="331"/>
      <w:r/>
    </w:p>
    <w:p>
      <w:pPr>
        <w:spacing w:line="440" w:lineRule="exact"/>
        <w:rPr>
          <w:rFonts w:hint="eastAsia" w:ascii="宋体" w:hAnsi="宋体" w:cs="宋体"/>
          <w:b/>
          <w:bCs/>
          <w:color w:val="auto"/>
          <w:sz w:val="28"/>
          <w:highlight w:val="none"/>
        </w:rPr>
        <w:outlineLvl w:val="1"/>
      </w:pPr>
      <w:r/>
      <w:bookmarkStart w:id="335" w:name="_Toc26668"/>
      <w:r/>
      <w:bookmarkStart w:id="336" w:name="_Toc132653370"/>
      <w:r/>
      <w:bookmarkStart w:id="337" w:name="OLE_LINK1"/>
      <w:r>
        <w:rPr>
          <w:rFonts w:hint="eastAsia" w:ascii="宋体" w:hAnsi="宋体" w:cs="宋体"/>
          <w:b/>
          <w:bCs/>
          <w:color w:val="auto"/>
          <w:sz w:val="28"/>
          <w:highlight w:val="none"/>
        </w:rPr>
        <w:t xml:space="preserve">一、项目说明：</w:t>
      </w:r>
      <w:bookmarkEnd w:id="335"/>
      <w:r/>
      <w:bookmarkEnd w:id="336"/>
      <w:r/>
      <w:r/>
    </w:p>
    <w:p>
      <w:pPr>
        <w:ind w:firstLine="480"/>
        <w:jc w:val="left"/>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1、本项目不接受进口产品投标（进口产品是指“通过中国海关报关验放进入中国境内且产自关境外的产品”）。</w:t>
      </w:r>
      <w:r/>
    </w:p>
    <w:p>
      <w:pPr>
        <w:ind w:firstLine="480"/>
        <w:jc w:val="left"/>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2、本项目采购内容为</w:t>
      </w:r>
      <w:r>
        <w:rPr>
          <w:rFonts w:hint="eastAsia" w:ascii="宋体" w:hAnsi="宋体" w:cs="宋体"/>
          <w:color w:val="auto"/>
          <w:sz w:val="24"/>
          <w:szCs w:val="24"/>
          <w:highlight w:val="none"/>
          <w:lang w:eastAsia="zh-CN"/>
        </w:rPr>
        <w:t xml:space="preserve">2025年中央粮油生产保障资金-小麦“一喷三防”项目，</w:t>
      </w:r>
      <w:r>
        <w:rPr>
          <w:rFonts w:hint="eastAsia" w:ascii="宋体" w:hAnsi="宋体" w:cs="宋体"/>
          <w:color w:val="auto"/>
          <w:sz w:val="24"/>
          <w:szCs w:val="24"/>
          <w:highlight w:val="none"/>
          <w:lang w:val="en-US" w:eastAsia="zh-CN"/>
        </w:rPr>
        <w:t xml:space="preserve">用于小麦“一喷三防”赤霉病防治农药</w:t>
      </w:r>
      <w:r>
        <w:rPr>
          <w:rFonts w:hint="eastAsia" w:ascii="宋体" w:hAnsi="宋体" w:cs="宋体"/>
          <w:color w:val="auto"/>
          <w:sz w:val="24"/>
          <w:szCs w:val="24"/>
          <w:highlight w:val="none"/>
        </w:rPr>
        <w:t xml:space="preserve">，主要内容为一批丙硫菌唑 480克/升悬浮剂的供货。</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3、投标人应对项目现场进行踏勘，但相关费用须自理。投标人在投标时应充分考虑现场实际情况，采购人不负担因投标人对项目现场情况考虑不周而产生的其他任何费用。</w:t>
      </w:r>
      <w:r/>
    </w:p>
    <w:p>
      <w:pPr>
        <w:ind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4、交货期或交付使用期：</w:t>
      </w:r>
      <w:r>
        <w:rPr>
          <w:rFonts w:hint="eastAsia" w:ascii="宋体" w:hAnsi="宋体" w:cs="宋体"/>
          <w:color w:val="auto"/>
          <w:sz w:val="24"/>
          <w:szCs w:val="24"/>
          <w:highlight w:val="none"/>
          <w:lang w:eastAsia="zh-CN"/>
        </w:rPr>
        <w:t xml:space="preserve">接到采购人通知后30日历天内将货物配送至指定地点</w:t>
      </w:r>
      <w:r>
        <w:rPr>
          <w:rFonts w:hint="eastAsia" w:ascii="宋体" w:hAnsi="宋体" w:cs="宋体"/>
          <w:color w:val="auto"/>
          <w:sz w:val="24"/>
          <w:szCs w:val="24"/>
          <w:highlight w:val="none"/>
        </w:rPr>
        <w:t xml:space="preserve">。</w:t>
      </w:r>
      <w:r/>
    </w:p>
    <w:p>
      <w:pPr>
        <w:ind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5、交付地点：常熟市范围内。</w:t>
      </w:r>
      <w:r/>
    </w:p>
    <w:p>
      <w:pPr>
        <w:ind w:firstLine="480"/>
        <w:spacing w:line="4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6、付款方式：合同签订</w:t>
      </w:r>
      <w:r>
        <w:rPr>
          <w:rFonts w:hint="eastAsia" w:ascii="宋体" w:hAnsi="宋体" w:cs="宋体"/>
          <w:color w:val="auto"/>
          <w:sz w:val="24"/>
          <w:szCs w:val="24"/>
          <w:highlight w:val="none"/>
          <w:lang w:eastAsia="zh-CN"/>
        </w:rPr>
        <w:t xml:space="preserve">后</w:t>
      </w:r>
      <w:r>
        <w:rPr>
          <w:rFonts w:hint="eastAsia" w:ascii="宋体" w:hAnsi="宋体" w:cs="宋体"/>
          <w:color w:val="auto"/>
          <w:sz w:val="24"/>
          <w:szCs w:val="24"/>
          <w:highlight w:val="none"/>
          <w:lang w:val="en-US" w:eastAsia="zh-CN"/>
        </w:rPr>
        <w:t xml:space="preserve">一个月</w:t>
      </w:r>
      <w:r>
        <w:rPr>
          <w:rFonts w:hint="eastAsia" w:ascii="宋体" w:hAnsi="宋体" w:cs="宋体"/>
          <w:color w:val="auto"/>
          <w:sz w:val="24"/>
          <w:szCs w:val="24"/>
          <w:highlight w:val="none"/>
          <w:lang w:eastAsia="zh-CN"/>
        </w:rPr>
        <w:t xml:space="preserve">内</w:t>
      </w:r>
      <w:r>
        <w:rPr>
          <w:rFonts w:hint="eastAsia" w:ascii="宋体" w:hAnsi="宋体" w:cs="宋体"/>
          <w:color w:val="auto"/>
          <w:sz w:val="24"/>
          <w:szCs w:val="24"/>
          <w:highlight w:val="none"/>
        </w:rPr>
        <w:t xml:space="preserve">，采购人向中标人一次性支付货款</w:t>
      </w:r>
      <w:r>
        <w:rPr>
          <w:rFonts w:hint="eastAsia" w:ascii="宋体" w:hAnsi="宋体" w:cs="宋体"/>
          <w:color w:val="auto"/>
          <w:sz w:val="24"/>
          <w:szCs w:val="24"/>
          <w:highlight w:val="none"/>
          <w:lang w:eastAsia="zh-CN"/>
        </w:rPr>
        <w:t xml:space="preserve">。</w:t>
      </w:r>
      <w:r/>
    </w:p>
    <w:p>
      <w:pPr>
        <w:ind w:firstLine="482"/>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注：付款前，中标人提供符合采购人要求的同等金额的合法有效发票。否则，采购人有权顺延付款时间，且不承担任何违约及赔偿责任。本项目支付方式支持数字人民币方式。</w:t>
      </w:r>
      <w:r/>
    </w:p>
    <w:p>
      <w:pPr>
        <w:ind w:firstLine="482"/>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不满足上述付款要求的作无效投标处理。</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7、结算方式：本项目以</w:t>
      </w:r>
      <w:r>
        <w:rPr>
          <w:rFonts w:hint="eastAsia" w:ascii="宋体" w:hAnsi="宋体" w:cs="宋体"/>
          <w:color w:val="auto"/>
          <w:sz w:val="24"/>
          <w:szCs w:val="24"/>
          <w:highlight w:val="none"/>
          <w:lang w:val="en-US" w:eastAsia="zh-CN"/>
        </w:rPr>
        <w:t xml:space="preserve">总价</w:t>
      </w:r>
      <w:r>
        <w:rPr>
          <w:rFonts w:hint="eastAsia" w:ascii="宋体" w:hAnsi="宋体" w:cs="宋体"/>
          <w:color w:val="auto"/>
          <w:sz w:val="24"/>
          <w:szCs w:val="24"/>
          <w:highlight w:val="none"/>
        </w:rPr>
        <w:t xml:space="preserve">合同方式结算。</w:t>
      </w:r>
      <w:r/>
    </w:p>
    <w:p>
      <w:pPr>
        <w:ind w:firstLine="480"/>
        <w:spacing w:line="480" w:lineRule="exact"/>
        <w:rPr>
          <w:rFonts w:hint="eastAsia" w:ascii="宋体" w:hAnsi="宋体" w:cs="宋体"/>
          <w:color w:val="auto"/>
          <w:sz w:val="24"/>
          <w:highlight w:val="none"/>
          <w:lang w:val="zh-CN"/>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lang w:val="zh-CN"/>
        </w:rPr>
        <w:t xml:space="preserve">、本项目不得以任何形式进行转包及分包。</w:t>
      </w:r>
      <w:bookmarkEnd w:id="337"/>
      <w:r/>
    </w:p>
    <w:p>
      <w:pPr>
        <w:spacing w:line="440" w:lineRule="exact"/>
        <w:rPr>
          <w:rFonts w:cs="宋体"/>
          <w:b/>
          <w:bCs/>
          <w:color w:val="auto"/>
          <w:sz w:val="28"/>
          <w:szCs w:val="28"/>
          <w:highlight w:val="none"/>
          <w:lang w:val="zh-CN"/>
        </w:rPr>
        <w:outlineLvl w:val="1"/>
      </w:pPr>
      <w:r/>
      <w:bookmarkStart w:id="338" w:name="_Toc30869"/>
      <w:r/>
      <w:bookmarkStart w:id="339" w:name="_Toc103781675"/>
      <w:r/>
      <w:bookmarkStart w:id="340" w:name="_Toc132653376"/>
      <w:r/>
      <w:bookmarkStart w:id="341" w:name="_Toc115443342"/>
      <w:r/>
      <w:bookmarkStart w:id="342" w:name="_Toc101375110"/>
      <w:r>
        <w:rPr>
          <w:rFonts w:hint="eastAsia" w:cs="宋体"/>
          <w:b/>
          <w:bCs/>
          <w:color w:val="auto"/>
          <w:sz w:val="28"/>
          <w:szCs w:val="28"/>
          <w:highlight w:val="none"/>
          <w:lang w:val="zh-CN"/>
        </w:rPr>
        <w:t xml:space="preserve">二、货物清单及技术规格要求：</w:t>
      </w:r>
      <w:bookmarkEnd w:id="338"/>
      <w:r/>
      <w:r/>
    </w:p>
    <w:tbl>
      <w:tblPr>
        <w:tblStyle w:val="789"/>
        <w:tblW w:w="103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2127"/>
        <w:gridCol w:w="3430"/>
        <w:gridCol w:w="1389"/>
        <w:gridCol w:w="1417"/>
        <w:gridCol w:w="1230"/>
      </w:tblGrid>
      <w:tr>
        <w:trPr>
          <w:jc w:val="center"/>
          <w:trHeight w:val="382"/>
        </w:trPr>
        <w:tc>
          <w:tcPr>
            <w:shd w:val="clear" w:color="auto" w:fill="ffffff"/>
            <w:tcW w:w="784"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序号</w:t>
            </w:r>
            <w:r/>
          </w:p>
        </w:tc>
        <w:tc>
          <w:tcPr>
            <w:shd w:val="clear" w:color="auto" w:fill="ffffff"/>
            <w:tcW w:w="2127"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货物名称</w:t>
            </w:r>
            <w:r/>
          </w:p>
        </w:tc>
        <w:tc>
          <w:tcPr>
            <w:shd w:val="clear" w:color="auto" w:fill="ffffff"/>
            <w:tcW w:w="3430"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技术规格要求（含量、</w:t>
            </w:r>
            <w:r>
              <w:rPr>
                <w:rFonts w:hint="eastAsia" w:ascii="宋体" w:hAnsi="宋体"/>
                <w:b/>
                <w:sz w:val="24"/>
                <w:szCs w:val="24"/>
                <w:lang w:val="en-US" w:eastAsia="zh-CN"/>
              </w:rPr>
              <w:t xml:space="preserve">规格</w:t>
            </w:r>
            <w:r>
              <w:rPr>
                <w:rFonts w:hint="eastAsia" w:ascii="宋体" w:hAnsi="宋体"/>
                <w:b/>
                <w:sz w:val="24"/>
                <w:szCs w:val="24"/>
              </w:rPr>
              <w:t xml:space="preserve">）</w:t>
            </w:r>
            <w:r/>
          </w:p>
        </w:tc>
        <w:tc>
          <w:tcPr>
            <w:shd w:val="clear" w:color="auto" w:fill="ffffff"/>
            <w:tcW w:w="1389" w:type="dxa"/>
            <w:vAlign w:val="center"/>
            <w:textDirection w:val="lrTb"/>
            <w:noWrap w:val="false"/>
          </w:tcPr>
          <w:p>
            <w:pPr>
              <w:jc w:val="center"/>
              <w:rPr>
                <w:rFonts w:hint="eastAsia" w:ascii="宋体" w:hAnsi="宋体" w:eastAsia="宋体"/>
                <w:b/>
                <w:sz w:val="24"/>
                <w:szCs w:val="24"/>
                <w:lang w:val="en-US" w:eastAsia="zh-CN"/>
              </w:rPr>
            </w:pPr>
            <w:r>
              <w:rPr>
                <w:rFonts w:hint="eastAsia" w:ascii="宋体" w:hAnsi="宋体"/>
                <w:b/>
                <w:sz w:val="24"/>
                <w:szCs w:val="24"/>
                <w:lang w:val="en-US" w:eastAsia="zh-CN"/>
              </w:rPr>
              <w:t xml:space="preserve">数量</w:t>
            </w:r>
            <w:r/>
          </w:p>
        </w:tc>
        <w:tc>
          <w:tcPr>
            <w:shd w:val="clear" w:color="auto" w:fill="ffffff"/>
            <w:tcW w:w="1417"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单位</w:t>
            </w:r>
            <w:r/>
          </w:p>
        </w:tc>
        <w:tc>
          <w:tcPr>
            <w:shd w:val="clear" w:color="auto" w:fill="ffffff"/>
            <w:tcW w:w="1230"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备注</w:t>
            </w:r>
            <w:r/>
          </w:p>
        </w:tc>
      </w:tr>
      <w:tr>
        <w:trPr>
          <w:jc w:val="center"/>
          <w:trHeight w:val="786"/>
        </w:trPr>
        <w:tc>
          <w:tcPr>
            <w:tcW w:w="784"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W w:w="2127" w:type="dxa"/>
            <w:vAlign w:val="center"/>
            <w:textDirection w:val="lrTb"/>
            <w:noWrap w:val="false"/>
          </w:tcPr>
          <w:p>
            <w:pPr>
              <w:jc w:val="center"/>
              <w:rPr>
                <w:rFonts w:ascii="宋体" w:hAnsi="宋体"/>
                <w:sz w:val="24"/>
                <w:szCs w:val="24"/>
              </w:rPr>
            </w:pPr>
            <w:r>
              <w:rPr>
                <w:rFonts w:hint="eastAsia" w:ascii="宋体" w:hAnsi="宋体"/>
                <w:sz w:val="24"/>
                <w:szCs w:val="24"/>
              </w:rPr>
              <w:t xml:space="preserve">丙硫菌唑</w:t>
            </w:r>
            <w:r/>
          </w:p>
        </w:tc>
        <w:tc>
          <w:tcPr>
            <w:tcW w:w="3430" w:type="dxa"/>
            <w:vAlign w:val="center"/>
            <w:textDirection w:val="lrTb"/>
            <w:noWrap w:val="false"/>
          </w:tcPr>
          <w:p>
            <w:pPr>
              <w:jc w:val="center"/>
              <w:rPr>
                <w:rFonts w:hint="eastAsia" w:ascii="宋体" w:hAnsi="宋体"/>
                <w:sz w:val="24"/>
                <w:szCs w:val="24"/>
                <w:lang w:eastAsia="zh-CN"/>
              </w:rPr>
            </w:pPr>
            <w:r>
              <w:rPr>
                <w:rFonts w:hint="eastAsia" w:ascii="宋体" w:hAnsi="宋体"/>
                <w:sz w:val="24"/>
                <w:szCs w:val="24"/>
              </w:rPr>
              <w:t xml:space="preserve">有效成分含量</w:t>
            </w:r>
            <w:r>
              <w:rPr>
                <w:rFonts w:hint="eastAsia" w:ascii="宋体" w:hAnsi="宋体"/>
                <w:sz w:val="24"/>
                <w:szCs w:val="24"/>
                <w:lang w:eastAsia="zh-CN"/>
              </w:rPr>
              <w:t xml:space="preserve">：</w:t>
            </w:r>
            <w:r>
              <w:rPr>
                <w:rFonts w:hint="eastAsia" w:ascii="宋体" w:hAnsi="宋体"/>
                <w:sz w:val="24"/>
                <w:szCs w:val="24"/>
              </w:rPr>
              <w:t xml:space="preserve">480克/升</w:t>
            </w:r>
            <w:r>
              <w:rPr>
                <w:rFonts w:hint="eastAsia" w:ascii="宋体" w:hAnsi="宋体"/>
                <w:sz w:val="24"/>
                <w:szCs w:val="24"/>
                <w:lang w:eastAsia="zh-CN"/>
              </w:rPr>
              <w:t xml:space="preserve">；</w:t>
            </w:r>
            <w:r/>
          </w:p>
          <w:p>
            <w:pPr>
              <w:jc w:val="center"/>
              <w:rPr>
                <w:rFonts w:ascii="宋体" w:hAnsi="宋体"/>
                <w:sz w:val="24"/>
                <w:szCs w:val="24"/>
              </w:rPr>
            </w:pPr>
            <w:r>
              <w:rPr>
                <w:rFonts w:hint="eastAsia" w:ascii="宋体" w:hAnsi="宋体"/>
                <w:sz w:val="24"/>
                <w:szCs w:val="24"/>
              </w:rPr>
              <w:t xml:space="preserve">规格：</w:t>
            </w:r>
            <w:r>
              <w:rPr>
                <w:rFonts w:hint="eastAsia" w:ascii="宋体" w:hAnsi="宋体"/>
                <w:sz w:val="24"/>
                <w:szCs w:val="24"/>
                <w:lang w:val="en-US" w:eastAsia="zh-CN"/>
              </w:rPr>
              <w:t xml:space="preserve">5</w:t>
            </w:r>
            <w:r>
              <w:rPr>
                <w:rFonts w:hint="eastAsia" w:ascii="宋体" w:hAnsi="宋体"/>
                <w:sz w:val="24"/>
                <w:szCs w:val="24"/>
              </w:rPr>
              <w:t xml:space="preserve">00ml/瓶。</w:t>
            </w:r>
            <w:r/>
          </w:p>
        </w:tc>
        <w:tc>
          <w:tcPr>
            <w:tcW w:w="1389"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11530</w:t>
            </w:r>
            <w:r/>
          </w:p>
        </w:tc>
        <w:tc>
          <w:tcPr>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瓶</w:t>
            </w:r>
            <w:r/>
          </w:p>
        </w:tc>
        <w:tc>
          <w:tcPr>
            <w:tcW w:w="1230" w:type="dxa"/>
            <w:vAlign w:val="center"/>
            <w:textDirection w:val="lrTb"/>
            <w:noWrap w:val="false"/>
          </w:tcPr>
          <w:p>
            <w:pPr>
              <w:jc w:val="center"/>
              <w:rPr>
                <w:rFonts w:ascii="宋体" w:hAnsi="宋体"/>
                <w:sz w:val="24"/>
                <w:szCs w:val="24"/>
              </w:rPr>
            </w:pPr>
            <w:r>
              <w:rPr>
                <w:rFonts w:ascii="宋体" w:hAnsi="宋体"/>
                <w:sz w:val="24"/>
                <w:szCs w:val="24"/>
              </w:rPr>
            </w:r>
            <w:r/>
          </w:p>
        </w:tc>
      </w:tr>
    </w:tbl>
    <w:p>
      <w:pPr>
        <w:jc w:val="left"/>
        <w:spacing w:line="450" w:lineRule="exact"/>
        <w:rPr>
          <w:rFonts w:ascii="宋体" w:hAnsi="宋体"/>
          <w:color w:val="auto"/>
          <w:sz w:val="24"/>
          <w:szCs w:val="24"/>
          <w:highlight w:val="none"/>
        </w:rPr>
      </w:pPr>
      <w:r>
        <w:rPr>
          <w:rFonts w:hint="eastAsia" w:ascii="宋体" w:hAnsi="宋体"/>
          <w:color w:val="auto"/>
          <w:sz w:val="24"/>
          <w:szCs w:val="24"/>
          <w:highlight w:val="none"/>
        </w:rPr>
        <w:t xml:space="preserve">注：（1）投标人需按采购人要求一次性供货至指定地点，供货时所提供的货物必须为包装完整、未经使用的原装正品，供货时必须附产品合格证及其他相关资料。</w:t>
      </w:r>
      <w:r/>
    </w:p>
    <w:p>
      <w:pPr>
        <w:ind w:firstLine="480"/>
        <w:jc w:val="left"/>
        <w:spacing w:line="450" w:lineRule="exact"/>
        <w:rPr>
          <w:rFonts w:ascii="宋体" w:hAnsi="宋体"/>
          <w:color w:val="auto"/>
          <w:sz w:val="24"/>
          <w:szCs w:val="24"/>
          <w:highlight w:val="none"/>
        </w:rPr>
      </w:pPr>
      <w:r>
        <w:rPr>
          <w:rFonts w:hint="eastAsia" w:ascii="宋体" w:hAnsi="宋体"/>
          <w:color w:val="auto"/>
          <w:sz w:val="24"/>
          <w:szCs w:val="24"/>
          <w:highlight w:val="none"/>
        </w:rPr>
        <w:t xml:space="preserve">（2）投标人提供的所有产品均应为非长期库存积压产品。</w:t>
      </w:r>
      <w:r/>
    </w:p>
    <w:p>
      <w:pPr>
        <w:ind w:firstLine="480"/>
        <w:jc w:val="left"/>
        <w:spacing w:line="450" w:lineRule="exact"/>
        <w:rPr>
          <w:rFonts w:ascii="宋体" w:hAnsi="宋体"/>
          <w:color w:val="auto"/>
          <w:sz w:val="24"/>
          <w:szCs w:val="24"/>
          <w:highlight w:val="none"/>
        </w:rPr>
      </w:pPr>
      <w:r>
        <w:rPr>
          <w:rFonts w:hint="eastAsia" w:ascii="宋体" w:hAnsi="宋体"/>
          <w:color w:val="auto"/>
          <w:sz w:val="24"/>
          <w:szCs w:val="24"/>
          <w:highlight w:val="none"/>
        </w:rPr>
        <w:t xml:space="preserve">（3）由投标人配送的农药，在采购人使用完毕后，投标人应负责回收上述已使用农药的包装（包括空瓶、空袋等），相关费用包含在报价中。</w:t>
      </w:r>
      <w:bookmarkEnd w:id="339"/>
      <w:r/>
    </w:p>
    <w:p>
      <w:pPr>
        <w:spacing w:line="440" w:lineRule="exact"/>
        <w:rPr>
          <w:rFonts w:cs="宋体"/>
          <w:b/>
          <w:bCs/>
          <w:color w:val="auto"/>
          <w:sz w:val="28"/>
          <w:szCs w:val="28"/>
          <w:highlight w:val="none"/>
          <w:lang w:val="zh-CN"/>
        </w:rPr>
        <w:outlineLvl w:val="1"/>
      </w:pPr>
      <w:r/>
      <w:bookmarkStart w:id="343" w:name="_Toc17137"/>
      <w:r>
        <w:rPr>
          <w:rFonts w:hint="eastAsia" w:cs="宋体"/>
          <w:b/>
          <w:bCs/>
          <w:color w:val="auto"/>
          <w:sz w:val="28"/>
          <w:szCs w:val="28"/>
          <w:highlight w:val="none"/>
          <w:lang w:val="zh-CN"/>
        </w:rPr>
        <w:t xml:space="preserve">三、质量保证和售后服务要求：</w:t>
      </w:r>
      <w:bookmarkEnd w:id="343"/>
      <w:r/>
      <w:r/>
    </w:p>
    <w:p>
      <w:pPr>
        <w:ind w:firstLine="480"/>
        <w:jc w:val="left"/>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1、所有货物的质量保证期不少于</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年，自该批农药经用户验收合格之日起计算。</w:t>
      </w:r>
      <w:r/>
    </w:p>
    <w:p>
      <w:pPr>
        <w:ind w:firstLine="480"/>
        <w:jc w:val="left"/>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2、对不符合质量要求的货物或在质量保证期内因货物自身原因出现任何质量问题的货物，投标人应无条件对货物进行更换，由此产生的一切费用由投标人承担。接到用户更换通知，投标人应在2小时内响应并提供上门更换服务。</w:t>
      </w:r>
      <w:r/>
    </w:p>
    <w:p>
      <w:pPr>
        <w:ind w:firstLine="480"/>
        <w:jc w:val="left"/>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3、投标人应向采购单位的使用人员提供必要的安全规范使用指导。</w:t>
      </w:r>
      <w:r/>
    </w:p>
    <w:p>
      <w:pPr>
        <w:ind w:firstLine="480"/>
        <w:jc w:val="left"/>
        <w:spacing w:line="430" w:lineRule="exact"/>
        <w:rPr>
          <w:rFonts w:ascii="宋体" w:hAnsi="宋体"/>
          <w:color w:val="auto"/>
          <w:sz w:val="24"/>
          <w:szCs w:val="24"/>
          <w:highlight w:val="none"/>
        </w:rPr>
      </w:pPr>
      <w:r>
        <w:rPr>
          <w:rFonts w:hint="eastAsia" w:ascii="宋体" w:hAnsi="宋体"/>
          <w:color w:val="auto"/>
          <w:sz w:val="24"/>
          <w:szCs w:val="24"/>
          <w:highlight w:val="none"/>
        </w:rPr>
        <w:t xml:space="preserve">4、如因货物质量原因给采购人造成各项损失的，由投标人承担全部经济和法律责任。</w:t>
      </w:r>
      <w:r/>
    </w:p>
    <w:p>
      <w:pPr>
        <w:spacing w:line="440" w:lineRule="exact"/>
        <w:rPr>
          <w:rFonts w:hint="eastAsia" w:ascii="宋体" w:hAnsi="宋体" w:cs="宋体"/>
          <w:b/>
          <w:bCs/>
          <w:color w:val="auto"/>
          <w:sz w:val="28"/>
          <w:highlight w:val="none"/>
        </w:rPr>
        <w:outlineLvl w:val="1"/>
      </w:pPr>
      <w:r/>
      <w:bookmarkStart w:id="344" w:name="_Toc6024"/>
      <w:r>
        <w:rPr>
          <w:rFonts w:hint="eastAsia" w:ascii="宋体" w:hAnsi="宋体" w:cs="宋体"/>
          <w:b/>
          <w:bCs/>
          <w:color w:val="auto"/>
          <w:sz w:val="28"/>
          <w:highlight w:val="none"/>
          <w:lang w:val="en-US" w:eastAsia="zh-CN"/>
        </w:rPr>
        <w:t xml:space="preserve">四</w:t>
      </w:r>
      <w:r>
        <w:rPr>
          <w:rFonts w:hint="eastAsia" w:ascii="宋体" w:hAnsi="宋体" w:cs="宋体"/>
          <w:b/>
          <w:bCs/>
          <w:color w:val="auto"/>
          <w:sz w:val="28"/>
          <w:highlight w:val="none"/>
        </w:rPr>
        <w:t xml:space="preserve">、投标报价要求：</w:t>
      </w:r>
      <w:bookmarkEnd w:id="340"/>
      <w:r/>
      <w:bookmarkEnd w:id="341"/>
      <w:r/>
      <w:bookmarkEnd w:id="342"/>
      <w:r/>
      <w:bookmarkEnd w:id="344"/>
      <w:r/>
      <w:r/>
    </w:p>
    <w:p>
      <w:pPr>
        <w:ind w:firstLine="482"/>
        <w:spacing w:line="440" w:lineRule="exact"/>
        <w:rPr>
          <w:rFonts w:hint="eastAsia" w:ascii="宋体" w:hAnsi="宋体"/>
          <w:b/>
          <w:bCs/>
          <w:color w:val="auto"/>
          <w:sz w:val="24"/>
          <w:highlight w:val="none"/>
        </w:rPr>
      </w:pPr>
      <w:r>
        <w:rPr>
          <w:rFonts w:hint="eastAsia" w:ascii="宋体" w:hAnsi="宋体" w:cs="宋体"/>
          <w:b/>
          <w:bCs/>
          <w:color w:val="auto"/>
          <w:sz w:val="24"/>
          <w:szCs w:val="24"/>
          <w:highlight w:val="none"/>
        </w:rPr>
        <w:t xml:space="preserve">1、本项目采购预算为¥</w:t>
      </w:r>
      <w:r>
        <w:rPr>
          <w:rFonts w:hint="eastAsia" w:ascii="宋体" w:hAnsi="宋体" w:cs="宋体"/>
          <w:b/>
          <w:bCs/>
          <w:color w:val="auto"/>
          <w:sz w:val="24"/>
          <w:szCs w:val="24"/>
          <w:highlight w:val="none"/>
          <w:lang w:eastAsia="zh-CN"/>
        </w:rPr>
        <w:t xml:space="preserve">1430000.00</w:t>
      </w:r>
      <w:r>
        <w:rPr>
          <w:rFonts w:hint="eastAsia" w:ascii="宋体" w:hAnsi="宋体" w:cs="宋体"/>
          <w:b/>
          <w:bCs/>
          <w:color w:val="auto"/>
          <w:sz w:val="24"/>
          <w:szCs w:val="24"/>
          <w:highlight w:val="none"/>
        </w:rPr>
        <w:t xml:space="preserve">元（人民币</w:t>
      </w:r>
      <w:r>
        <w:rPr>
          <w:rFonts w:hint="eastAsia" w:ascii="宋体" w:hAnsi="宋体" w:cs="宋体"/>
          <w:b/>
          <w:bCs/>
          <w:color w:val="auto"/>
          <w:sz w:val="24"/>
          <w:szCs w:val="24"/>
          <w:highlight w:val="none"/>
          <w:lang w:val="en-US" w:eastAsia="zh-CN"/>
        </w:rPr>
        <w:t xml:space="preserve">壹佰肆拾叁</w:t>
      </w:r>
      <w:r>
        <w:rPr>
          <w:rFonts w:hint="eastAsia" w:ascii="宋体" w:hAnsi="宋体" w:cs="宋体"/>
          <w:b/>
          <w:bCs/>
          <w:color w:val="auto"/>
          <w:sz w:val="24"/>
          <w:szCs w:val="24"/>
          <w:highlight w:val="none"/>
        </w:rPr>
        <w:t xml:space="preserve">万元整），投标人的投标总价不得超过采购预算，否则将作无效投标处理。</w:t>
      </w:r>
      <w:r/>
    </w:p>
    <w:p>
      <w:pPr>
        <w:ind w:firstLine="480"/>
        <w:jc w:val="left"/>
        <w:spacing w:line="45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2、以人民币报价，报价</w:t>
      </w:r>
      <w:r>
        <w:rPr>
          <w:rFonts w:hint="eastAsia" w:ascii="宋体" w:hAnsi="宋体" w:eastAsia="宋体" w:cs="宋体"/>
          <w:color w:val="auto"/>
          <w:sz w:val="24"/>
          <w:highlight w:val="none"/>
          <w:lang w:val="en-US" w:eastAsia="zh-CN"/>
        </w:rPr>
        <w:t xml:space="preserve">总价</w:t>
      </w:r>
      <w:r>
        <w:rPr>
          <w:rFonts w:hint="eastAsia" w:ascii="宋体" w:hAnsi="宋体" w:eastAsia="宋体" w:cs="宋体"/>
          <w:color w:val="auto"/>
          <w:sz w:val="24"/>
          <w:highlight w:val="none"/>
        </w:rPr>
        <w:t xml:space="preserve">包括货物费、包装费、运输费、装卸费、质量保证费、检测费、保险费、售后服务费、成交服务费、货物本身已支付或将支付的各种税费以及其他交付使用前所产生的所有费用。</w:t>
      </w:r>
      <w:r/>
    </w:p>
    <w:p>
      <w:pPr>
        <w:ind w:firstLine="480"/>
        <w:jc w:val="left"/>
        <w:spacing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szCs w:val="24"/>
          <w:highlight w:val="none"/>
        </w:rPr>
        <w:t xml:space="preserve">请投标人根据自身经验，充分考虑本项目的潜在风险，并自行承担由此而产生的一切费用，采购人不因项目不可预见的情况而支付任何费用。</w:t>
      </w:r>
      <w:r/>
    </w:p>
    <w:p>
      <w:pPr>
        <w:rPr>
          <w:rFonts w:hint="eastAsia" w:ascii="宋体" w:hAnsi="宋体" w:cs="宋体"/>
          <w:b/>
          <w:bCs/>
          <w:color w:val="auto"/>
          <w:sz w:val="40"/>
          <w:szCs w:val="40"/>
          <w:highlight w:val="none"/>
        </w:rPr>
      </w:pPr>
      <w:r>
        <w:rPr>
          <w:rFonts w:hint="eastAsia" w:ascii="宋体" w:hAnsi="宋体" w:cs="宋体"/>
          <w:b/>
          <w:bCs/>
          <w:color w:val="auto"/>
          <w:sz w:val="40"/>
          <w:szCs w:val="40"/>
          <w:highlight w:val="none"/>
        </w:rPr>
        <w:br w:type="page" w:clear="all"/>
      </w:r>
      <w:r/>
    </w:p>
    <w:p>
      <w:pPr>
        <w:ind w:firstLine="880"/>
        <w:jc w:val="center"/>
        <w:keepNext/>
        <w:rPr>
          <w:rFonts w:hint="eastAsia" w:ascii="宋体" w:hAnsi="宋体" w:cs="宋体"/>
          <w:b/>
          <w:bCs/>
          <w:color w:val="auto"/>
          <w:sz w:val="40"/>
          <w:szCs w:val="40"/>
          <w:highlight w:val="none"/>
        </w:rPr>
        <w:outlineLvl w:val="0"/>
      </w:pPr>
      <w:r/>
      <w:bookmarkStart w:id="345" w:name="_Toc19313"/>
      <w:r>
        <w:rPr>
          <w:rFonts w:hint="eastAsia" w:ascii="宋体" w:hAnsi="宋体" w:cs="宋体"/>
          <w:b/>
          <w:bCs/>
          <w:color w:val="auto"/>
          <w:sz w:val="40"/>
          <w:szCs w:val="40"/>
          <w:highlight w:val="none"/>
        </w:rPr>
        <w:t xml:space="preserve">第五章  评标方法与评标标准</w:t>
      </w:r>
      <w:bookmarkEnd w:id="345"/>
      <w:r/>
      <w:r/>
    </w:p>
    <w:p>
      <w:pPr>
        <w:rPr>
          <w:rFonts w:hint="eastAsia" w:ascii="宋体" w:hAnsi="宋体" w:cs="宋体"/>
          <w:color w:val="auto"/>
          <w:szCs w:val="21"/>
          <w:highlight w:val="none"/>
        </w:rPr>
      </w:pPr>
      <w:r>
        <w:rPr>
          <w:rFonts w:hint="eastAsia" w:ascii="宋体" w:hAnsi="宋体" w:cs="宋体"/>
          <w:color w:val="auto"/>
          <w:szCs w:val="21"/>
          <w:highlight w:val="none"/>
        </w:rPr>
      </w:r>
      <w:r/>
    </w:p>
    <w:p>
      <w:pPr>
        <w:spacing w:line="480" w:lineRule="exact"/>
        <w:rPr>
          <w:rFonts w:hint="eastAsia" w:ascii="宋体" w:hAnsi="宋体" w:cs="宋体"/>
          <w:b/>
          <w:bCs/>
          <w:color w:val="auto"/>
          <w:sz w:val="28"/>
          <w:highlight w:val="none"/>
        </w:rPr>
      </w:pPr>
      <w:r/>
      <w:bookmarkStart w:id="346" w:name="_Toc17476"/>
      <w:r/>
      <w:bookmarkStart w:id="347" w:name="_Toc16264"/>
      <w:r/>
      <w:bookmarkStart w:id="348" w:name="_Toc698"/>
      <w:r>
        <w:rPr>
          <w:rFonts w:hint="eastAsia" w:ascii="宋体" w:hAnsi="宋体" w:cs="宋体"/>
          <w:b/>
          <w:bCs/>
          <w:color w:val="auto"/>
          <w:sz w:val="28"/>
          <w:highlight w:val="none"/>
        </w:rPr>
        <w:t xml:space="preserve">一、评标办法：</w:t>
      </w:r>
      <w:bookmarkEnd w:id="346"/>
      <w:r/>
      <w:bookmarkEnd w:id="347"/>
      <w:r/>
      <w:bookmarkEnd w:id="348"/>
      <w:r/>
      <w:r/>
    </w:p>
    <w:p>
      <w:pPr>
        <w:ind w:firstLine="42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1、评标办法采用</w:t>
      </w:r>
      <w:r>
        <w:rPr>
          <w:rFonts w:hint="eastAsia" w:asciiTheme="minorEastAsia" w:hAnsiTheme="minorEastAsia" w:eastAsiaTheme="minorEastAsia" w:cstheme="minorEastAsia"/>
          <w:b/>
          <w:color w:val="auto"/>
          <w:sz w:val="24"/>
          <w:szCs w:val="24"/>
          <w:highlight w:val="none"/>
        </w:rPr>
        <w:t xml:space="preserve">综合评分法</w:t>
      </w:r>
      <w:r>
        <w:rPr>
          <w:rFonts w:hint="eastAsia" w:asciiTheme="minorEastAsia" w:hAnsiTheme="minorEastAsia" w:eastAsiaTheme="minorEastAsia" w:cstheme="minorEastAsia"/>
          <w:color w:val="auto"/>
          <w:sz w:val="24"/>
          <w:szCs w:val="24"/>
          <w:highlight w:val="none"/>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spacing w:line="48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二、评分标准：</w:t>
      </w:r>
      <w:r/>
    </w:p>
    <w:p>
      <w:pPr>
        <w:ind w:firstLine="482"/>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1、投标报价</w:t>
      </w:r>
      <w:r>
        <w:rPr>
          <w:rFonts w:hint="eastAsia" w:asciiTheme="minorEastAsia" w:hAnsiTheme="minorEastAsia" w:eastAsia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0分</w:t>
      </w:r>
      <w:r/>
    </w:p>
    <w:p>
      <w:pPr>
        <w:ind w:firstLine="470"/>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满足招标文件要求且投标价格最低的投标报价为评标基准价，其价格分为</w:t>
      </w:r>
      <w:r>
        <w:rPr>
          <w:rFonts w:hint="eastAsia" w:asciiTheme="minorEastAsia" w:hAnsiTheme="minorEastAsia" w:eastAsiaTheme="minorEastAsia" w:cstheme="minorEastAsia"/>
          <w:color w:val="auto"/>
          <w:sz w:val="24"/>
          <w:szCs w:val="24"/>
          <w:highlight w:val="none"/>
          <w:lang w:val="en-US" w:eastAsia="zh-CN"/>
        </w:rPr>
        <w:t xml:space="preserve">50</w:t>
      </w:r>
      <w:r>
        <w:rPr>
          <w:rFonts w:hint="eastAsia" w:asciiTheme="minorEastAsia" w:hAnsiTheme="minorEastAsia" w:eastAsiaTheme="minorEastAsia" w:cstheme="minorEastAsia"/>
          <w:color w:val="auto"/>
          <w:sz w:val="24"/>
          <w:szCs w:val="24"/>
          <w:highlight w:val="none"/>
        </w:rPr>
        <w:t xml:space="preserve">分；其他投标人的价格分按下列公式计算：投标报价得分＝（评标基准价／投标报价）×</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0分。</w:t>
      </w:r>
      <w:r/>
    </w:p>
    <w:p>
      <w:pPr>
        <w:ind w:firstLine="482"/>
        <w:spacing w:line="48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投标人的投标报价明显低于其他通过符合性审查投标人的报价，有可能影响产品质量或者不能诚信履约的，评标委员会可要求其在开评标现场合理的时间内提供书面说明，必要时提交相关证明材料；投标人不能证明其投标报价合理性的，评标委员会可将其作为无效投标处理。</w:t>
      </w:r>
      <w:r/>
    </w:p>
    <w:p>
      <w:pPr>
        <w:ind w:firstLine="482"/>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2、技术性能参数</w:t>
      </w:r>
      <w:r>
        <w:rPr>
          <w:rFonts w:hint="eastAsia" w:asciiTheme="minorEastAsia" w:hAnsiTheme="minorEastAsia" w:eastAsiaTheme="minorEastAsia" w:cstheme="minorEastAsia"/>
          <w:b/>
          <w:bCs/>
          <w:color w:val="auto"/>
          <w:sz w:val="24"/>
          <w:szCs w:val="24"/>
          <w:highlight w:val="none"/>
          <w:lang w:val="en-US" w:eastAsia="zh-CN"/>
        </w:rPr>
        <w:t xml:space="preserve">10</w:t>
      </w:r>
      <w:r>
        <w:rPr>
          <w:rFonts w:hint="eastAsia" w:asciiTheme="minorEastAsia" w:hAnsiTheme="minorEastAsia" w:eastAsiaTheme="minorEastAsia" w:cstheme="minorEastAsia"/>
          <w:b/>
          <w:bCs/>
          <w:color w:val="auto"/>
          <w:sz w:val="24"/>
          <w:szCs w:val="24"/>
          <w:highlight w:val="none"/>
        </w:rPr>
        <w:t xml:space="preserve">分</w:t>
      </w:r>
      <w:r/>
    </w:p>
    <w:tbl>
      <w:tblPr>
        <w:tblStyle w:val="7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941"/>
        <w:gridCol w:w="794"/>
        <w:gridCol w:w="6043"/>
      </w:tblGrid>
      <w:tr>
        <w:trPr>
          <w:jc w:val="center"/>
          <w:trHeight w:val="441"/>
        </w:trPr>
        <w:tc>
          <w:tcPr>
            <w:tcW w:w="73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1941"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评审因素</w:t>
            </w:r>
            <w:r/>
          </w:p>
        </w:tc>
        <w:tc>
          <w:tcPr>
            <w:tcW w:w="79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权值</w:t>
            </w:r>
            <w:r/>
          </w:p>
        </w:tc>
        <w:tc>
          <w:tcPr>
            <w:tcW w:w="6043"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评分标准</w:t>
            </w:r>
            <w:r/>
          </w:p>
        </w:tc>
      </w:tr>
      <w:tr>
        <w:trPr>
          <w:jc w:val="center"/>
          <w:trHeight w:val="2266"/>
        </w:trPr>
        <w:tc>
          <w:tcPr>
            <w:tcW w:w="73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1941"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性能参数</w:t>
            </w: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响应性</w:t>
            </w:r>
            <w:r/>
          </w:p>
        </w:tc>
        <w:tc>
          <w:tcPr>
            <w:tcW w:w="79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分</w:t>
            </w:r>
            <w:r/>
          </w:p>
        </w:tc>
        <w:tc>
          <w:tcPr>
            <w:tcW w:w="6043" w:type="dxa"/>
            <w:vAlign w:val="center"/>
            <w:textDirection w:val="lrTb"/>
            <w:noWrap w:val="false"/>
          </w:tcPr>
          <w:p>
            <w:pP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en-US" w:eastAsia="zh-CN"/>
              </w:rPr>
              <w:t xml:space="preserve">投标货物的技术规格要求</w:t>
            </w:r>
            <w:r>
              <w:rPr>
                <w:rFonts w:hint="eastAsia" w:asciiTheme="minorEastAsia" w:hAnsiTheme="minorEastAsia" w:eastAsiaTheme="minorEastAsia" w:cstheme="minorEastAsia"/>
                <w:b/>
                <w:bCs/>
                <w:color w:val="auto"/>
                <w:sz w:val="24"/>
                <w:szCs w:val="24"/>
                <w:highlight w:val="none"/>
                <w:lang w:val="en-US" w:eastAsia="zh-CN"/>
              </w:rPr>
              <w:t xml:space="preserve">（含量、规格）</w:t>
            </w:r>
            <w:r>
              <w:rPr>
                <w:rFonts w:hint="eastAsia" w:asciiTheme="minorEastAsia" w:hAnsiTheme="minorEastAsia" w:eastAsiaTheme="minorEastAsia" w:cstheme="minorEastAsia"/>
                <w:color w:val="auto"/>
                <w:sz w:val="24"/>
                <w:szCs w:val="24"/>
                <w:highlight w:val="none"/>
                <w:lang w:val="en-US" w:eastAsia="zh-CN"/>
              </w:rPr>
              <w:t xml:space="preserve">全部符合招标要求的得10分（2条）；有</w:t>
            </w:r>
            <w:r>
              <w:rPr>
                <w:rFonts w:hint="eastAsia" w:asciiTheme="minorEastAsia" w:hAnsiTheme="minorEastAsia" w:eastAsiaTheme="minorEastAsia" w:cstheme="minorEastAsia"/>
                <w:color w:val="auto"/>
                <w:sz w:val="24"/>
                <w:szCs w:val="24"/>
                <w:highlight w:val="none"/>
                <w:lang w:val="zh-CN"/>
              </w:rPr>
              <w:t xml:space="preserve">负偏离</w:t>
            </w:r>
            <w:r>
              <w:rPr>
                <w:rFonts w:hint="eastAsia" w:asciiTheme="minorEastAsia" w:hAnsiTheme="minorEastAsia" w:eastAsiaTheme="minorEastAsia" w:cstheme="minorEastAsia"/>
                <w:color w:val="auto"/>
                <w:sz w:val="24"/>
                <w:szCs w:val="24"/>
                <w:highlight w:val="none"/>
                <w:lang w:val="en-US" w:eastAsia="zh-CN"/>
              </w:rPr>
              <w:t xml:space="preserve">条款的</w:t>
            </w:r>
            <w:r>
              <w:rPr>
                <w:rFonts w:hint="eastAsia" w:asciiTheme="minorEastAsia" w:hAnsiTheme="minorEastAsia" w:eastAsiaTheme="minorEastAsia" w:cstheme="minorEastAsia"/>
                <w:color w:val="auto"/>
                <w:sz w:val="24"/>
                <w:szCs w:val="24"/>
                <w:highlight w:val="none"/>
                <w:lang w:val="zh-CN"/>
              </w:rPr>
              <w:t xml:space="preserve">，每负偏离一条扣</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zh-CN"/>
              </w:rPr>
              <w:t xml:space="preserve">分。</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val="zh-CN"/>
              </w:rPr>
              <w:t xml:space="preserve">注：投标文件中</w:t>
            </w:r>
            <w:r>
              <w:rPr>
                <w:rFonts w:hint="eastAsia" w:asciiTheme="minorEastAsia" w:hAnsiTheme="minorEastAsia" w:eastAsiaTheme="minorEastAsia" w:cstheme="minorEastAsia"/>
                <w:b/>
                <w:bCs/>
                <w:color w:val="auto"/>
                <w:sz w:val="24"/>
                <w:szCs w:val="24"/>
                <w:highlight w:val="none"/>
                <w:lang w:val="en-US" w:eastAsia="zh-CN"/>
              </w:rPr>
              <w:t xml:space="preserve">须</w:t>
            </w:r>
            <w:r>
              <w:rPr>
                <w:rFonts w:hint="eastAsia" w:asciiTheme="minorEastAsia" w:hAnsiTheme="minorEastAsia" w:eastAsiaTheme="minorEastAsia" w:cstheme="minorEastAsia"/>
                <w:b/>
                <w:bCs/>
                <w:color w:val="auto"/>
                <w:sz w:val="24"/>
                <w:szCs w:val="24"/>
                <w:highlight w:val="none"/>
                <w:lang w:val="zh-CN"/>
              </w:rPr>
              <w:t xml:space="preserve">提供相关产品</w:t>
            </w:r>
            <w:r>
              <w:rPr>
                <w:rFonts w:hint="eastAsia" w:asciiTheme="minorEastAsia" w:hAnsiTheme="minorEastAsia" w:eastAsiaTheme="minorEastAsia" w:cstheme="minorEastAsia"/>
                <w:b/>
                <w:bCs/>
                <w:color w:val="auto"/>
                <w:sz w:val="24"/>
                <w:szCs w:val="24"/>
                <w:highlight w:val="none"/>
                <w:lang w:val="en-US" w:eastAsia="zh-CN"/>
              </w:rPr>
              <w:t xml:space="preserve">①</w:t>
            </w:r>
            <w:r>
              <w:rPr>
                <w:rFonts w:hint="eastAsia" w:asciiTheme="minorEastAsia" w:hAnsiTheme="minorEastAsia" w:eastAsiaTheme="minorEastAsia" w:cstheme="minorEastAsia"/>
                <w:b/>
                <w:bCs/>
                <w:color w:val="auto"/>
                <w:sz w:val="24"/>
                <w:szCs w:val="24"/>
                <w:highlight w:val="none"/>
                <w:lang w:val="zh-CN"/>
              </w:rPr>
              <w:t xml:space="preserve">包装标识、</w:t>
            </w:r>
            <w:r>
              <w:rPr>
                <w:rFonts w:hint="eastAsia" w:asciiTheme="minorEastAsia" w:hAnsiTheme="minorEastAsia" w:eastAsiaTheme="minorEastAsia" w:cstheme="minorEastAsia"/>
                <w:b/>
                <w:bCs/>
                <w:color w:val="auto"/>
                <w:sz w:val="24"/>
                <w:szCs w:val="24"/>
                <w:highlight w:val="none"/>
                <w:lang w:val="en-US" w:eastAsia="zh-CN"/>
              </w:rPr>
              <w:t xml:space="preserve">②</w:t>
            </w:r>
            <w:r>
              <w:rPr>
                <w:rFonts w:hint="eastAsia" w:asciiTheme="minorEastAsia" w:hAnsiTheme="minorEastAsia" w:eastAsiaTheme="minorEastAsia" w:cstheme="minorEastAsia"/>
                <w:b/>
                <w:bCs/>
                <w:color w:val="auto"/>
                <w:sz w:val="24"/>
                <w:szCs w:val="24"/>
                <w:highlight w:val="none"/>
                <w:lang w:val="zh-CN"/>
              </w:rPr>
              <w:t xml:space="preserve">使用说明书证明材料扫描件（使用说明书应包括亩用量、用法、使用条件），未提供相关证明材料或提供的证明材料无法佐证的，相关技术性能参数视为负偏离。</w:t>
            </w:r>
            <w:r/>
          </w:p>
        </w:tc>
      </w:tr>
    </w:tbl>
    <w:p>
      <w:pPr>
        <w:ind w:firstLine="482"/>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3、项目实施方案2</w:t>
      </w:r>
      <w:r>
        <w:rPr>
          <w:rFonts w:hint="eastAsia" w:asciiTheme="minorEastAsia" w:hAnsiTheme="minorEastAsia" w:eastAsiaTheme="minorEastAsia" w:cstheme="minorEastAsia"/>
          <w:b/>
          <w:bCs/>
          <w:color w:val="auto"/>
          <w:sz w:val="24"/>
          <w:szCs w:val="24"/>
          <w:highlight w:val="none"/>
          <w:lang w:val="en-US" w:eastAsia="zh-CN"/>
        </w:rPr>
        <w:t xml:space="preserve">0</w:t>
      </w:r>
      <w:r>
        <w:rPr>
          <w:rFonts w:hint="eastAsia" w:asciiTheme="minorEastAsia" w:hAnsiTheme="minorEastAsia" w:eastAsiaTheme="minorEastAsia" w:cstheme="minorEastAsia"/>
          <w:b/>
          <w:bCs/>
          <w:color w:val="auto"/>
          <w:sz w:val="24"/>
          <w:szCs w:val="24"/>
          <w:highlight w:val="none"/>
        </w:rPr>
        <w:t xml:space="preserve">分</w:t>
      </w:r>
      <w:r/>
    </w:p>
    <w:tbl>
      <w:tblPr>
        <w:tblStyle w:val="789"/>
        <w:tblW w:w="94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935"/>
        <w:gridCol w:w="810"/>
        <w:gridCol w:w="6003"/>
      </w:tblGrid>
      <w:tr>
        <w:trPr>
          <w:jc w:val="center"/>
          <w:trHeight w:val="361"/>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权值</w:t>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评分标准</w:t>
            </w:r>
            <w:r/>
          </w:p>
        </w:tc>
      </w:tr>
      <w:tr>
        <w:trPr>
          <w:jc w:val="center"/>
          <w:trHeight w:val="1663"/>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项目实施方案</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t xml:space="preserve">根据投标人提供的</w:t>
            </w:r>
            <w:r>
              <w:rPr>
                <w:rFonts w:hint="eastAsia" w:asciiTheme="minorEastAsia" w:hAnsiTheme="minorEastAsia" w:eastAsiaTheme="minorEastAsia" w:cstheme="minorEastAsia"/>
                <w:b/>
                <w:bCs/>
                <w:color w:val="auto"/>
                <w:sz w:val="24"/>
                <w:szCs w:val="24"/>
                <w:highlight w:val="none"/>
                <w:shd w:val="clear" w:color="auto" w:fill="ffffff"/>
              </w:rPr>
              <w:t xml:space="preserve">项目实施方案</w:t>
            </w:r>
            <w:r>
              <w:rPr>
                <w:rFonts w:hint="eastAsia" w:asciiTheme="minorEastAsia" w:hAnsiTheme="minorEastAsia" w:eastAsiaTheme="minorEastAsia" w:cstheme="minorEastAsia"/>
                <w:b/>
                <w:bCs/>
                <w:color w:val="auto"/>
                <w:sz w:val="24"/>
                <w:szCs w:val="24"/>
                <w:highlight w:val="none"/>
                <w:shd w:val="clear" w:color="auto" w:fill="ffffff"/>
                <w:lang w:eastAsia="zh-CN"/>
              </w:rPr>
              <w:t xml:space="preserve">（</w:t>
            </w:r>
            <w:r>
              <w:rPr>
                <w:rFonts w:hint="eastAsia" w:asciiTheme="minorEastAsia" w:hAnsiTheme="minorEastAsia" w:eastAsiaTheme="minorEastAsia" w:cstheme="minorEastAsia"/>
                <w:b/>
                <w:bCs/>
                <w:color w:val="auto"/>
                <w:sz w:val="24"/>
                <w:szCs w:val="24"/>
                <w:highlight w:val="none"/>
                <w:shd w:val="clear" w:color="auto" w:fill="ffffff"/>
              </w:rPr>
              <w:t xml:space="preserve">涉及评审要点（共3项）①供货方案、②项目履约进度计划、③</w:t>
            </w:r>
            <w:r>
              <w:rPr>
                <w:rFonts w:hint="eastAsia" w:asciiTheme="minorEastAsia" w:hAnsiTheme="minorEastAsia" w:eastAsiaTheme="minorEastAsia" w:cstheme="minorEastAsia"/>
                <w:b/>
                <w:bCs/>
                <w:color w:val="auto"/>
                <w:sz w:val="24"/>
                <w:szCs w:val="24"/>
                <w:highlight w:val="none"/>
                <w:shd w:val="clear" w:color="auto" w:fill="ffffff"/>
                <w:lang w:val="en-US" w:eastAsia="zh-CN"/>
              </w:rPr>
              <w:t xml:space="preserve">配送方案</w:t>
            </w:r>
            <w:r>
              <w:rPr>
                <w:rFonts w:hint="eastAsia" w:asciiTheme="minorEastAsia" w:hAnsiTheme="minorEastAsia" w:eastAsiaTheme="minorEastAsia" w:cstheme="minorEastAsia"/>
                <w:b/>
                <w:bCs/>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rPr>
              <w:t xml:space="preserve">进行综合评定，</w:t>
            </w:r>
            <w:r>
              <w:rPr>
                <w:rFonts w:hint="eastAsia" w:ascii="宋体" w:hAnsi="宋体" w:eastAsia="宋体" w:cs="宋体"/>
                <w:b/>
                <w:bCs/>
                <w:color w:val="auto"/>
                <w:sz w:val="24"/>
                <w:szCs w:val="24"/>
                <w:highlight w:val="none"/>
              </w:rPr>
              <w:t xml:space="preserve">本项最高得</w:t>
            </w:r>
            <w:r>
              <w:rPr>
                <w:rFonts w:hint="eastAsia" w:ascii="宋体" w:hAnsi="宋体" w:eastAsia="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体现上述评审要点且内容贴合需求的，每有一项得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分；体现上述评审要点但内容无法完全贴合需求的，每有一项得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bCs/>
                <w:color w:val="auto"/>
                <w:sz w:val="24"/>
                <w:szCs w:val="24"/>
                <w:highlight w:val="none"/>
              </w:rPr>
              <w:t xml:space="preserve">不合理或者严重缺失的得0分。</w:t>
            </w:r>
            <w:r/>
          </w:p>
        </w:tc>
      </w:tr>
      <w:tr>
        <w:trPr>
          <w:jc w:val="center"/>
          <w:trHeight w:val="515"/>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售后服务</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003"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根据投标人提供详细的</w:t>
            </w:r>
            <w:r>
              <w:rPr>
                <w:rFonts w:hint="eastAsia" w:asciiTheme="minorEastAsia" w:hAnsiTheme="minorEastAsia" w:eastAsiaTheme="minorEastAsia" w:cstheme="minorEastAsia"/>
                <w:b/>
                <w:bCs/>
                <w:color w:val="auto"/>
                <w:sz w:val="24"/>
                <w:szCs w:val="24"/>
                <w:highlight w:val="none"/>
              </w:rPr>
              <w:t xml:space="preserve">售后服务方案</w:t>
            </w:r>
            <w:r>
              <w:rPr>
                <w:rFonts w:hint="eastAsia" w:asciiTheme="minorEastAsia" w:hAnsiTheme="minorEastAsia" w:eastAsiaTheme="minorEastAsia" w:cstheme="minorEastAsia"/>
                <w:b/>
                <w:bCs/>
                <w:color w:val="auto"/>
                <w:sz w:val="24"/>
                <w:szCs w:val="24"/>
                <w:highlight w:val="none"/>
                <w:shd w:val="clear" w:color="auto" w:fill="ffffff"/>
                <w:lang w:eastAsia="zh-CN"/>
              </w:rPr>
              <w:t xml:space="preserve">（</w:t>
            </w:r>
            <w:r>
              <w:rPr>
                <w:rFonts w:hint="eastAsia" w:asciiTheme="minorEastAsia" w:hAnsiTheme="minorEastAsia" w:eastAsiaTheme="minorEastAsia" w:cstheme="minorEastAsia"/>
                <w:b/>
                <w:bCs/>
                <w:color w:val="auto"/>
                <w:sz w:val="24"/>
                <w:szCs w:val="24"/>
                <w:highlight w:val="none"/>
                <w:shd w:val="clear" w:color="auto" w:fill="ffffff"/>
              </w:rPr>
              <w:t xml:space="preserve">涉及评审要点（共</w:t>
            </w:r>
            <w:r>
              <w:rPr>
                <w:rFonts w:hint="eastAsia" w:asciiTheme="minorEastAsia" w:hAnsiTheme="minorEastAsia" w:eastAsiaTheme="minorEastAsia" w:cstheme="minorEastAsia"/>
                <w:b/>
                <w:bCs/>
                <w:color w:val="auto"/>
                <w:sz w:val="24"/>
                <w:szCs w:val="24"/>
                <w:highlight w:val="none"/>
                <w:shd w:val="clear" w:color="auto" w:fill="ffffff"/>
                <w:lang w:val="en-US" w:eastAsia="zh-CN"/>
              </w:rPr>
              <w:t xml:space="preserve">2</w:t>
            </w:r>
            <w:r>
              <w:rPr>
                <w:rFonts w:hint="eastAsia" w:asciiTheme="minorEastAsia" w:hAnsiTheme="minorEastAsia" w:eastAsiaTheme="minorEastAsia" w:cstheme="minorEastAsia"/>
                <w:b/>
                <w:bCs/>
                <w:color w:val="auto"/>
                <w:sz w:val="24"/>
                <w:szCs w:val="24"/>
                <w:highlight w:val="none"/>
                <w:shd w:val="clear" w:color="auto" w:fill="ffffff"/>
              </w:rPr>
              <w:t xml:space="preserve">项）①售后服务体系、②售后服务的</w:t>
            </w:r>
            <w:r>
              <w:rPr>
                <w:rFonts w:hint="eastAsia" w:asciiTheme="minorEastAsia" w:hAnsiTheme="minorEastAsia" w:eastAsiaTheme="minorEastAsia" w:cstheme="minorEastAsia"/>
                <w:b/>
                <w:bCs/>
                <w:color w:val="auto"/>
                <w:sz w:val="24"/>
                <w:szCs w:val="24"/>
                <w:highlight w:val="none"/>
                <w:shd w:val="clear" w:color="auto" w:fill="ffffff"/>
                <w:lang w:val="en-US" w:eastAsia="zh-CN"/>
              </w:rPr>
              <w:t xml:space="preserve">人员配置</w:t>
            </w:r>
            <w:r>
              <w:rPr>
                <w:rFonts w:hint="eastAsia" w:asciiTheme="minorEastAsia" w:hAnsiTheme="minorEastAsia" w:eastAsiaTheme="minorEastAsia" w:cstheme="minorEastAsia"/>
                <w:b/>
                <w:bCs/>
                <w:color w:val="auto"/>
                <w:sz w:val="24"/>
                <w:szCs w:val="24"/>
                <w:highlight w:val="none"/>
                <w:shd w:val="clear" w:color="auto" w:fill="ffffff"/>
              </w:rPr>
              <w:t xml:space="preserve">方案</w:t>
            </w:r>
            <w:r>
              <w:rPr>
                <w:rFonts w:hint="eastAsia" w:asciiTheme="minorEastAsia" w:hAnsiTheme="minorEastAsia" w:eastAsiaTheme="minorEastAsia" w:cstheme="minorEastAsia"/>
                <w:b/>
                <w:bCs/>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rPr>
              <w:t xml:space="preserve">进行综合评定，</w:t>
            </w:r>
            <w:r>
              <w:rPr>
                <w:rFonts w:hint="eastAsia" w:ascii="宋体" w:hAnsi="宋体" w:eastAsia="宋体" w:cs="宋体"/>
                <w:b/>
                <w:bCs/>
                <w:color w:val="auto"/>
                <w:sz w:val="24"/>
                <w:szCs w:val="24"/>
                <w:highlight w:val="none"/>
              </w:rPr>
              <w:t xml:space="preserve">本项最高得</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体现上述评审要点且内容贴合需求的，每有一项得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分；体现上述评审要点但内容无法完全贴合需求的，每有一项得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bCs/>
                <w:color w:val="auto"/>
                <w:sz w:val="24"/>
                <w:szCs w:val="24"/>
                <w:highlight w:val="none"/>
              </w:rPr>
              <w:t xml:space="preserve">不合理或者严重缺失的得0分。</w:t>
            </w:r>
            <w:r/>
          </w:p>
        </w:tc>
      </w:tr>
    </w:tbl>
    <w:p>
      <w:pPr>
        <w:ind w:firstLine="482"/>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4、质量保证及服务承诺</w:t>
      </w:r>
      <w:r>
        <w:rPr>
          <w:rFonts w:hint="eastAsia" w:asciiTheme="minorEastAsia" w:hAnsiTheme="minorEastAsia" w:eastAsiaTheme="minorEastAsia" w:cstheme="minorEastAsia"/>
          <w:b/>
          <w:bCs/>
          <w:color w:val="auto"/>
          <w:sz w:val="24"/>
          <w:szCs w:val="24"/>
          <w:highlight w:val="none"/>
          <w:lang w:val="en-US" w:eastAsia="zh-CN"/>
        </w:rPr>
        <w:t xml:space="preserve">7</w:t>
      </w:r>
      <w:r>
        <w:rPr>
          <w:rFonts w:hint="eastAsia" w:asciiTheme="minorEastAsia" w:hAnsiTheme="minorEastAsia" w:eastAsiaTheme="minorEastAsia" w:cstheme="minorEastAsia"/>
          <w:b/>
          <w:bCs/>
          <w:color w:val="auto"/>
          <w:sz w:val="24"/>
          <w:szCs w:val="24"/>
          <w:highlight w:val="none"/>
        </w:rPr>
        <w:t xml:space="preserve">分</w:t>
      </w:r>
      <w:r/>
    </w:p>
    <w:tbl>
      <w:tblPr>
        <w:tblStyle w:val="7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844"/>
        <w:gridCol w:w="851"/>
        <w:gridCol w:w="6049"/>
      </w:tblGrid>
      <w:tr>
        <w:trPr>
          <w:jc w:val="center"/>
          <w:trHeight w:val="423"/>
        </w:trPr>
        <w:tc>
          <w:tcPr>
            <w:tcW w:w="851"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184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评审因素</w:t>
            </w:r>
            <w:r/>
          </w:p>
        </w:tc>
        <w:tc>
          <w:tcPr>
            <w:tcW w:w="851"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权值</w:t>
            </w:r>
            <w:r/>
          </w:p>
        </w:tc>
        <w:tc>
          <w:tcPr>
            <w:tcW w:w="604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评分标准</w:t>
            </w:r>
            <w:r/>
          </w:p>
        </w:tc>
      </w:tr>
      <w:tr>
        <w:trPr>
          <w:jc w:val="center"/>
          <w:trHeight w:val="803"/>
        </w:trPr>
        <w:tc>
          <w:tcPr>
            <w:tcW w:w="851"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1844" w:type="dxa"/>
            <w:vAlign w:val="center"/>
            <w:textDirection w:val="lrTb"/>
            <w:noWrap w:val="false"/>
          </w:tcPr>
          <w:p>
            <w:pPr>
              <w:pStyle w:val="793"/>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免费质量保证</w:t>
            </w:r>
            <w:r/>
          </w:p>
        </w:tc>
        <w:tc>
          <w:tcPr>
            <w:tcW w:w="851"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w:t>
            </w:r>
            <w:r/>
          </w:p>
        </w:tc>
        <w:tc>
          <w:tcPr>
            <w:tcW w:w="6049" w:type="dxa"/>
            <w:vAlign w:val="center"/>
            <w:textDirection w:val="lrTb"/>
            <w:noWrap w:val="false"/>
          </w:tcPr>
          <w:p>
            <w:pPr>
              <w:numPr>
                <w:ilvl w:val="0"/>
                <w:numId w:val="0"/>
              </w:num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投标货物</w:t>
            </w:r>
            <w:r>
              <w:rPr>
                <w:rFonts w:hint="eastAsia" w:asciiTheme="minorEastAsia" w:hAnsiTheme="minorEastAsia" w:eastAsiaTheme="minorEastAsia" w:cstheme="minorEastAsia"/>
                <w:color w:val="auto"/>
                <w:sz w:val="24"/>
                <w:szCs w:val="24"/>
                <w:highlight w:val="none"/>
              </w:rPr>
              <w:t xml:space="preserve">免费质保期满足招标文件要求的</w:t>
            </w:r>
            <w:r>
              <w:rPr>
                <w:rFonts w:hint="eastAsia" w:asciiTheme="minorEastAsia" w:hAnsiTheme="minorEastAsia" w:eastAsiaTheme="minorEastAsia" w:cstheme="minorEastAsia"/>
                <w:color w:val="auto"/>
                <w:sz w:val="24"/>
                <w:szCs w:val="24"/>
                <w:highlight w:val="none"/>
                <w:lang w:val="en-US" w:eastAsia="zh-CN"/>
              </w:rPr>
              <w:t xml:space="preserve">基础上</w:t>
            </w:r>
            <w:r>
              <w:rPr>
                <w:rFonts w:hint="eastAsia" w:asciiTheme="minorEastAsia" w:hAnsiTheme="minorEastAsia" w:eastAsiaTheme="minorEastAsia" w:cstheme="minorEastAsia"/>
                <w:color w:val="auto"/>
                <w:sz w:val="24"/>
                <w:szCs w:val="24"/>
                <w:highlight w:val="none"/>
              </w:rPr>
              <w:t xml:space="preserve">，每</w:t>
            </w:r>
            <w:r>
              <w:rPr>
                <w:rFonts w:hint="eastAsia" w:asciiTheme="minorEastAsia" w:hAnsiTheme="minorEastAsia" w:eastAsiaTheme="minorEastAsia" w:cstheme="minorEastAsia"/>
                <w:color w:val="auto"/>
                <w:sz w:val="24"/>
                <w:szCs w:val="24"/>
                <w:highlight w:val="none"/>
                <w:lang w:val="en-US" w:eastAsia="zh-CN"/>
              </w:rPr>
              <w:t xml:space="preserve">承诺增加</w:t>
            </w:r>
            <w:r>
              <w:rPr>
                <w:rFonts w:hint="eastAsia" w:asciiTheme="minorEastAsia" w:hAnsiTheme="minorEastAsia" w:eastAsiaTheme="minorEastAsia" w:cstheme="minorEastAsia"/>
                <w:color w:val="auto"/>
                <w:sz w:val="24"/>
                <w:szCs w:val="24"/>
                <w:highlight w:val="none"/>
              </w:rPr>
              <w:t xml:space="preserve">半年</w:t>
            </w:r>
            <w:r>
              <w:rPr>
                <w:rFonts w:hint="eastAsia" w:asciiTheme="minorEastAsia" w:hAnsiTheme="minorEastAsia" w:eastAsiaTheme="minorEastAsia" w:cstheme="minorEastAsia"/>
                <w:color w:val="auto"/>
                <w:sz w:val="24"/>
                <w:szCs w:val="24"/>
                <w:highlight w:val="none"/>
                <w:lang w:val="en-US" w:eastAsia="zh-CN"/>
              </w:rPr>
              <w:t xml:space="preserve">的</w:t>
            </w:r>
            <w:r>
              <w:rPr>
                <w:rFonts w:hint="eastAsia" w:asciiTheme="minorEastAsia" w:hAnsiTheme="minorEastAsia" w:eastAsiaTheme="minorEastAsia" w:cstheme="minorEastAsia"/>
                <w:color w:val="auto"/>
                <w:sz w:val="24"/>
                <w:szCs w:val="24"/>
                <w:highlight w:val="none"/>
              </w:rPr>
              <w:t xml:space="preserve">加</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分，最多</w:t>
            </w:r>
            <w:r>
              <w:rPr>
                <w:rFonts w:hint="eastAsia" w:asciiTheme="minorEastAsia" w:hAnsiTheme="minorEastAsia" w:eastAsiaTheme="minorEastAsia" w:cstheme="minorEastAsia"/>
                <w:color w:val="auto"/>
                <w:sz w:val="24"/>
                <w:szCs w:val="24"/>
                <w:highlight w:val="none"/>
                <w:lang w:val="en-US" w:eastAsia="zh-CN"/>
              </w:rPr>
              <w:t xml:space="preserve">得4</w:t>
            </w:r>
            <w:r>
              <w:rPr>
                <w:rFonts w:hint="eastAsia" w:asciiTheme="minorEastAsia" w:hAnsiTheme="minorEastAsia" w:eastAsiaTheme="minorEastAsia" w:cstheme="minorEastAsia"/>
                <w:color w:val="auto"/>
                <w:sz w:val="24"/>
                <w:szCs w:val="24"/>
                <w:highlight w:val="none"/>
              </w:rPr>
              <w:t xml:space="preserve">分；质保未达到招标文件要求或未作说明的不得分。</w:t>
            </w:r>
            <w:r/>
          </w:p>
          <w:p>
            <w:pPr>
              <w:rPr>
                <w:rFonts w:hint="eastAsia" w:asciiTheme="minorEastAsia" w:hAnsiTheme="minorEastAsia" w:eastAsiaTheme="minorEastAsia" w:cstheme="minorEastAsia"/>
                <w:color w:val="auto"/>
                <w:sz w:val="24"/>
                <w:szCs w:val="24"/>
                <w:highlight w:val="none"/>
              </w:rPr>
            </w:pPr>
            <w:r>
              <w:rPr>
                <w:rFonts w:hint="eastAsia"/>
                <w:b/>
                <w:bCs/>
                <w:color w:val="auto"/>
                <w:sz w:val="24"/>
                <w:szCs w:val="24"/>
                <w:highlight w:val="none"/>
              </w:rPr>
              <w:t xml:space="preserve">注：投标人需对项目整体做出承诺，承诺函格式自拟。</w:t>
            </w:r>
            <w:r/>
          </w:p>
        </w:tc>
      </w:tr>
      <w:tr>
        <w:trPr>
          <w:jc w:val="center"/>
          <w:trHeight w:val="1411"/>
        </w:trPr>
        <w:tc>
          <w:tcPr>
            <w:tcW w:w="851"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w:t>
            </w:r>
            <w:r/>
          </w:p>
        </w:tc>
        <w:tc>
          <w:tcPr>
            <w:tcW w:w="1844" w:type="dxa"/>
            <w:vAlign w:val="center"/>
            <w:textDirection w:val="lrTb"/>
            <w:noWrap w:val="false"/>
          </w:tcPr>
          <w:p>
            <w:pPr>
              <w:jc w:val="center"/>
              <w:spacing w:line="36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响应时间承诺</w:t>
            </w:r>
            <w:r/>
          </w:p>
        </w:tc>
        <w:tc>
          <w:tcPr>
            <w:tcW w:w="851" w:type="dxa"/>
            <w:vAlign w:val="center"/>
            <w:textDirection w:val="lrTb"/>
            <w:noWrap w:val="false"/>
          </w:tcPr>
          <w:p>
            <w:pPr>
              <w:jc w:val="center"/>
              <w:spacing w:line="44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3分</w:t>
            </w:r>
            <w:r/>
          </w:p>
        </w:tc>
        <w:tc>
          <w:tcPr>
            <w:tcW w:w="6049" w:type="dxa"/>
            <w:vAlign w:val="center"/>
            <w:textDirection w:val="lrTb"/>
            <w:noWrap w:val="false"/>
          </w:tcPr>
          <w:p>
            <w:pPr>
              <w:rPr>
                <w:rFonts w:hint="eastAsia" w:asciiTheme="minorEastAsia" w:hAnsiTheme="minorEastAsia" w:eastAsiaTheme="minorEastAsia" w:cstheme="minorEastAsia"/>
                <w:color w:val="auto"/>
                <w:sz w:val="24"/>
                <w:szCs w:val="24"/>
                <w:highlight w:val="none"/>
                <w:shd w:val="clear" w:color="auto" w:fill="ffffff"/>
                <w:lang w:val="zh-TW" w:eastAsia="zh-TW"/>
              </w:rPr>
            </w:pPr>
            <w:r>
              <w:rPr>
                <w:rFonts w:hint="eastAsia" w:asciiTheme="minorEastAsia" w:hAnsiTheme="minorEastAsia" w:eastAsiaTheme="minorEastAsia" w:cstheme="minorEastAsia"/>
                <w:color w:val="auto"/>
                <w:sz w:val="24"/>
                <w:szCs w:val="24"/>
                <w:highlight w:val="none"/>
                <w:shd w:val="clear" w:color="auto" w:fill="ffffff"/>
                <w:lang w:val="zh-TW" w:eastAsia="zh-TW"/>
              </w:rPr>
              <w:t xml:space="preserve">根据投标人针对本项目提供的服务响应时间进行评定：投标人承诺项目中标后，在接到采购人书面或口头通知工作指令后能在1小时内响应的，得</w:t>
            </w:r>
            <w:r>
              <w:rPr>
                <w:rFonts w:hint="eastAsia" w:asciiTheme="minorEastAsia" w:hAnsiTheme="minorEastAsia" w:eastAsiaTheme="minorEastAsia" w:cstheme="minorEastAsia"/>
                <w:color w:val="auto"/>
                <w:sz w:val="24"/>
                <w:szCs w:val="24"/>
                <w:highlight w:val="none"/>
                <w:shd w:val="clear" w:color="auto" w:fill="ffffff"/>
                <w:lang w:val="en-US" w:eastAsia="zh-CN"/>
              </w:rPr>
              <w:t xml:space="preserve">3</w:t>
            </w:r>
            <w:r>
              <w:rPr>
                <w:rFonts w:hint="eastAsia" w:asciiTheme="minorEastAsia" w:hAnsiTheme="minorEastAsia" w:eastAsiaTheme="minorEastAsia" w:cstheme="minorEastAsia"/>
                <w:color w:val="auto"/>
                <w:sz w:val="24"/>
                <w:szCs w:val="24"/>
                <w:highlight w:val="none"/>
                <w:shd w:val="clear" w:color="auto" w:fill="ffffff"/>
                <w:lang w:val="zh-TW" w:eastAsia="zh-TW"/>
              </w:rPr>
              <w:t xml:space="preserve">分；能在2小时内响应的，得1</w:t>
            </w:r>
            <w:r>
              <w:rPr>
                <w:rFonts w:hint="eastAsia" w:asciiTheme="minorEastAsia" w:hAnsiTheme="minorEastAsia" w:eastAsiaTheme="minorEastAsia" w:cstheme="minorEastAsia"/>
                <w:color w:val="auto"/>
                <w:sz w:val="24"/>
                <w:szCs w:val="24"/>
                <w:highlight w:val="none"/>
                <w:shd w:val="clear" w:color="auto" w:fill="ffffff"/>
                <w:lang w:val="en-US" w:eastAsia="zh-CN"/>
              </w:rPr>
              <w:t xml:space="preserve">.5</w:t>
            </w:r>
            <w:r>
              <w:rPr>
                <w:rFonts w:hint="eastAsia" w:asciiTheme="minorEastAsia" w:hAnsiTheme="minorEastAsia" w:eastAsiaTheme="minorEastAsia" w:cstheme="minorEastAsia"/>
                <w:color w:val="auto"/>
                <w:sz w:val="24"/>
                <w:szCs w:val="24"/>
                <w:highlight w:val="none"/>
                <w:shd w:val="clear" w:color="auto" w:fill="ffffff"/>
                <w:lang w:val="zh-TW" w:eastAsia="zh-TW"/>
              </w:rPr>
              <w:t xml:space="preserve">分。</w:t>
            </w:r>
            <w:r/>
          </w:p>
          <w:p>
            <w:pPr>
              <w:rPr>
                <w:rFonts w:hint="eastAsia" w:asciiTheme="minorEastAsia" w:hAnsiTheme="minorEastAsia" w:eastAsiaTheme="minorEastAsia" w:cstheme="minorEastAsia"/>
                <w:color w:val="auto"/>
                <w:sz w:val="24"/>
                <w:szCs w:val="24"/>
                <w:highlight w:val="none"/>
                <w:shd w:val="clear" w:color="auto" w:fill="ffffff"/>
                <w:lang w:val="zh-TW" w:eastAsia="zh-TW"/>
              </w:rPr>
            </w:pPr>
            <w:r>
              <w:rPr>
                <w:rFonts w:hint="eastAsia" w:asciiTheme="minorEastAsia" w:hAnsiTheme="minorEastAsia" w:eastAsiaTheme="minorEastAsia" w:cstheme="minorEastAsia"/>
                <w:b/>
                <w:bCs/>
                <w:color w:val="auto"/>
                <w:sz w:val="24"/>
                <w:szCs w:val="24"/>
                <w:highlight w:val="none"/>
                <w:shd w:val="clear" w:color="auto" w:fill="ffffff"/>
                <w:lang w:val="zh-TW" w:eastAsia="zh-TW"/>
              </w:rPr>
              <w:t xml:space="preserve">注：投标文件中须提供承诺书（格式自拟），未提供的或超过2小时响应的不得分。</w:t>
            </w:r>
            <w:r/>
          </w:p>
        </w:tc>
      </w:tr>
    </w:tbl>
    <w:p>
      <w:pPr>
        <w:ind w:firstLine="482"/>
        <w:spacing w:line="48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5、综合实力</w:t>
      </w:r>
      <w:r>
        <w:rPr>
          <w:rFonts w:hint="eastAsia" w:asciiTheme="minorEastAsia" w:hAnsiTheme="minorEastAsia" w:eastAsiaTheme="minorEastAsia" w:cstheme="minorEastAsia"/>
          <w:b/>
          <w:bCs/>
          <w:color w:val="auto"/>
          <w:sz w:val="24"/>
          <w:szCs w:val="24"/>
          <w:highlight w:val="none"/>
          <w:lang w:val="en-US" w:eastAsia="zh-CN"/>
        </w:rPr>
        <w:t xml:space="preserve">13</w:t>
      </w:r>
      <w:r>
        <w:rPr>
          <w:rFonts w:hint="eastAsia" w:asciiTheme="minorEastAsia" w:hAnsiTheme="minorEastAsia" w:eastAsiaTheme="minorEastAsia" w:cstheme="minorEastAsia"/>
          <w:b/>
          <w:bCs/>
          <w:color w:val="auto"/>
          <w:sz w:val="24"/>
          <w:szCs w:val="24"/>
          <w:highlight w:val="none"/>
        </w:rPr>
        <w:t xml:space="preserve">分</w:t>
      </w:r>
      <w:r/>
    </w:p>
    <w:tbl>
      <w:tblPr>
        <w:tblStyle w:val="7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842"/>
        <w:gridCol w:w="850"/>
        <w:gridCol w:w="6115"/>
      </w:tblGrid>
      <w:tr>
        <w:trPr>
          <w:jc w:val="center"/>
          <w:trHeight w:val="447"/>
        </w:trPr>
        <w:tc>
          <w:tcPr>
            <w:tcW w:w="851"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184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评审因素</w:t>
            </w:r>
            <w:r/>
          </w:p>
        </w:tc>
        <w:tc>
          <w:tcPr>
            <w:tcW w:w="85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权值</w:t>
            </w:r>
            <w:r/>
          </w:p>
        </w:tc>
        <w:tc>
          <w:tcPr>
            <w:tcW w:w="611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评分标准</w:t>
            </w:r>
            <w:r/>
          </w:p>
        </w:tc>
      </w:tr>
      <w:tr>
        <w:trPr>
          <w:jc w:val="center"/>
          <w:trHeight w:val="1918"/>
        </w:trPr>
        <w:tc>
          <w:tcPr>
            <w:tcW w:w="851"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1842" w:type="dxa"/>
            <w:vAlign w:val="center"/>
            <w:textDirection w:val="lrTb"/>
            <w:noWrap w:val="false"/>
          </w:tcPr>
          <w:p>
            <w:pPr>
              <w:pStyle w:val="793"/>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业绩情况</w:t>
            </w:r>
            <w:r/>
          </w:p>
        </w:tc>
        <w:tc>
          <w:tcPr>
            <w:tcW w:w="85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分</w:t>
            </w:r>
            <w:r/>
          </w:p>
        </w:tc>
        <w:tc>
          <w:tcPr>
            <w:tcW w:w="6115" w:type="dxa"/>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根据投标人202</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年1月1日至今（以签订合同日期为准）</w:t>
            </w:r>
            <w:r>
              <w:rPr>
                <w:rFonts w:hint="eastAsia" w:asciiTheme="minorEastAsia" w:hAnsiTheme="minorEastAsia" w:eastAsiaTheme="minorEastAsia" w:cstheme="minorEastAsia"/>
                <w:color w:val="auto"/>
                <w:sz w:val="24"/>
                <w:szCs w:val="24"/>
                <w:highlight w:val="none"/>
                <w:lang w:val="en-US" w:eastAsia="zh-CN"/>
              </w:rPr>
              <w:t xml:space="preserve">同产品供货</w:t>
            </w:r>
            <w:r>
              <w:rPr>
                <w:rFonts w:hint="eastAsia" w:asciiTheme="minorEastAsia" w:hAnsiTheme="minorEastAsia" w:eastAsiaTheme="minorEastAsia" w:cstheme="minorEastAsia"/>
                <w:color w:val="auto"/>
                <w:sz w:val="24"/>
                <w:szCs w:val="24"/>
                <w:highlight w:val="none"/>
              </w:rPr>
              <w:t xml:space="preserve">业绩情况进行评定：每提供一个得2分，最高得</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分。</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注：投标文件中须提供业绩相关合同证明材料（包括合同首页、标的金额所在页、签字盖章页）。未提供或资料提供不全的不得分。</w:t>
            </w:r>
            <w:r/>
          </w:p>
        </w:tc>
      </w:tr>
      <w:tr>
        <w:trPr>
          <w:jc w:val="center"/>
        </w:trPr>
        <w:tc>
          <w:tcPr>
            <w:tcW w:w="851"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w:t>
            </w:r>
            <w:r/>
          </w:p>
        </w:tc>
        <w:tc>
          <w:tcPr>
            <w:tcW w:w="184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商务条件响应性</w:t>
            </w:r>
            <w:r/>
          </w:p>
        </w:tc>
        <w:tc>
          <w:tcPr>
            <w:tcW w:w="85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分</w:t>
            </w:r>
            <w:r/>
          </w:p>
        </w:tc>
        <w:tc>
          <w:tcPr>
            <w:tcW w:w="6115"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投标人对招标文件中合同条款（共2</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条）商务条件完全响应的得</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分；有负偏离的条款，每条扣0.</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b/>
                <w:color w:val="auto"/>
                <w:sz w:val="24"/>
                <w:szCs w:val="24"/>
                <w:highlight w:val="none"/>
              </w:rPr>
              <w:t xml:space="preserve">（付款方式不响应的按无效投标处理）</w:t>
            </w:r>
            <w:r/>
          </w:p>
        </w:tc>
      </w:tr>
    </w:tbl>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注：（1）上述投标文件中提供的相关证明材料需为清晰完整的彩色扫描件（照片），如存在扫描件（照片）无效、不清晰、不完整等情形使得评委会无法准确评审的，相关评审风险由投标人自行承担。</w:t>
      </w:r>
      <w:r/>
    </w:p>
    <w:p>
      <w:pPr>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（2）投标人在制作投标文件时请按投标文件规定的顺序编制，要求简洁、明了，并添加投标文件目录、页码、书签，便于评标委员会评审查阅。</w:t>
      </w:r>
      <w:r/>
    </w:p>
    <w:p>
      <w:pPr>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（3）对应第五章评分中服务响应/商务条件响应性说明：负偏离【以（一）****(每条)1.1****(每项)】。</w:t>
      </w:r>
      <w:r/>
    </w:p>
    <w:p>
      <w:pPr>
        <w:spacing w:line="440" w:lineRule="exact"/>
        <w:rPr>
          <w:rFonts w:hint="eastAsia" w:hAnsi="宋体"/>
          <w:b/>
          <w:bCs/>
          <w:color w:val="auto"/>
          <w:sz w:val="28"/>
          <w:highlight w:val="none"/>
        </w:rPr>
      </w:pPr>
      <w:r>
        <w:rPr>
          <w:rFonts w:hint="eastAsia" w:hAnsi="宋体"/>
          <w:b/>
          <w:bCs/>
          <w:color w:val="auto"/>
          <w:sz w:val="28"/>
          <w:highlight w:val="none"/>
        </w:rPr>
        <w:t xml:space="preserve">三、政府采购政策：</w:t>
      </w:r>
      <w:r/>
    </w:p>
    <w:p>
      <w:pPr>
        <w:ind w:firstLine="482"/>
        <w:spacing w:line="440" w:lineRule="exact"/>
        <w:rPr>
          <w:rFonts w:hint="eastAsia" w:ascii="宋体" w:hAnsi="宋体" w:cs="宋体"/>
          <w:b/>
          <w:bCs/>
          <w:color w:val="auto"/>
          <w:sz w:val="24"/>
          <w:szCs w:val="24"/>
          <w:highlight w:val="none"/>
        </w:rPr>
      </w:pPr>
      <w:r/>
      <w:bookmarkStart w:id="349" w:name="_Toc22323"/>
      <w:r>
        <w:rPr>
          <w:rFonts w:hint="eastAsia" w:ascii="宋体" w:hAnsi="宋体" w:cs="宋体"/>
          <w:b/>
          <w:bCs/>
          <w:color w:val="auto"/>
          <w:sz w:val="24"/>
          <w:szCs w:val="24"/>
          <w:highlight w:val="none"/>
        </w:rPr>
        <w:t xml:space="preserve">1、落实政府采购政策需满足的资格要求：</w:t>
      </w:r>
      <w:r/>
    </w:p>
    <w:p>
      <w:pPr>
        <w:ind w:firstLine="482"/>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（1）本项目专门面向中小企业采购，所属行业为工业。</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（2）在投标文件中须提供《中小企业声明函》。（填报严格按工信部联企业〔2011〕300号通知中的《中小企业划型标准规定》进行）。</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（4）享受政府采购支持政策的残疾人福利性单位应当同时满足以下条件：</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中标、中标人享受中小企业扶持政策或者为残疾人福利性单位的，应当随中标、成交结果同时公告其《中小企业声明函》或《残疾人福利性单位声明函》，接受社会监督。若投标人提供的上述声明函为虚假声明则视同提供虚假材料，按“政府采购法”相关规定处理并报请政府监管部门给予行政处罚。</w:t>
      </w:r>
      <w:bookmarkEnd w:id="349"/>
      <w:r/>
    </w:p>
    <w:p>
      <w:pPr>
        <w:ind w:firstLine="241"/>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2、信用信息查询</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根据政府采购法及相关法规，以及《国务院关于建立完善守信联合激励和失信联合惩戒制度加快推进社会诚信体系建设的指导意见》（国发〔2016〕33 号）、财政部《关于在政府采购活动中查询及使用信用记录有关问题的通知》（财库〔2016〕125 号）、江苏省财政厅《关于做好政府采购信用信息查询使用及登记等工作的通知》（苏财购〔2016〕50 号）等文件的规定，我们将依法对投标人进行信用查询，凡经评标小组确认不符合政府采购相关法律法规规定的，将拒绝其参与政府采购活动。</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1、查询截止时点：投标文件递交截止时间。</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2、查询渠道：信用中国 （ https://www.creditchina.gov.cn/ ）查询相关主体信用记录，并采取必要方式做好信用信息报告等查询记录留存，信用信息报告等查询记录应当与其他招标文件一并保存。 </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3、查询证据留存方式：</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存在失信信息的投标人，评标委员会应填写《苏州市级政府采购投标人失信信息确认函》，由失信投标人确认。同时，采购代理机构工作人员应根据评标委员会确认的失信信息，登陆到来源网站页面进行复核并打印，作为证据留存。</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4、信用记录使用规则：</w:t>
      </w:r>
      <w:r/>
    </w:p>
    <w:p>
      <w:pPr>
        <w:ind w:firstLine="480"/>
        <w:rPr>
          <w:rFonts w:hint="eastAsia" w:ascii="宋体" w:hAnsi="宋体" w:cs="宋体"/>
          <w:b/>
          <w:color w:val="auto"/>
          <w:sz w:val="36"/>
          <w:highlight w:val="none"/>
        </w:rPr>
      </w:pPr>
      <w:r>
        <w:rPr>
          <w:rFonts w:hint="eastAsia" w:ascii="宋体" w:hAnsi="宋体" w:cs="宋体"/>
          <w:color w:val="auto"/>
          <w:sz w:val="24"/>
          <w:szCs w:val="24"/>
          <w:highlight w:val="none"/>
        </w:rPr>
        <w:t xml:space="preserve">评标委员会在对投标人进行资格性审查时，应根据查询结果对投标人的不良信用记录逐项甄别确认。</w:t>
      </w:r>
      <w:r/>
    </w:p>
    <w:p>
      <w:pPr>
        <w:ind w:firstLine="241"/>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3、节能产品和环境标志产品：</w:t>
      </w:r>
      <w:r/>
    </w:p>
    <w:p>
      <w:pPr>
        <w:ind w:firstLine="42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2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依据《节能产品政府采购品目清单》、《环境标志产品政府采购品目清单》和认</w:t>
      </w:r>
      <w:r>
        <w:rPr>
          <w:rFonts w:hint="eastAsia" w:ascii="宋体" w:hAnsi="宋体" w:cs="宋体"/>
          <w:color w:val="auto"/>
          <w:sz w:val="24"/>
          <w:szCs w:val="24"/>
          <w:highlight w:val="none"/>
        </w:rPr>
        <w:t xml:space="preserve">证证书实施政府优先采购和强制采购。《节能产品政府采购品目清单》、《环境标志产品政府采购品目清单》以“中国政府采购网”（http://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p>
    <w:p>
      <w:pPr>
        <w:ind w:firstLine="480"/>
        <w:jc w:val="center"/>
        <w:spacing w:line="440" w:lineRule="exact"/>
        <w:rPr>
          <w:rFonts w:hint="eastAsia" w:ascii="宋体" w:hAnsi="宋体" w:cs="宋体"/>
          <w:b/>
          <w:bCs/>
          <w:color w:val="auto"/>
          <w:sz w:val="40"/>
          <w:szCs w:val="40"/>
          <w:highlight w:val="none"/>
        </w:rPr>
        <w:outlineLvl w:val="0"/>
      </w:pPr>
      <w:r>
        <w:rPr>
          <w:rFonts w:hint="eastAsia" w:ascii="宋体" w:hAnsi="宋体" w:cs="宋体"/>
          <w:color w:val="auto"/>
          <w:sz w:val="24"/>
          <w:szCs w:val="24"/>
          <w:highlight w:val="none"/>
        </w:rPr>
        <w:br w:type="page" w:clear="all"/>
      </w:r>
      <w:bookmarkStart w:id="350" w:name="_Toc29851"/>
      <w:r>
        <w:rPr>
          <w:rFonts w:hint="eastAsia" w:ascii="宋体" w:hAnsi="宋体" w:cs="宋体"/>
          <w:b/>
          <w:bCs/>
          <w:color w:val="auto"/>
          <w:sz w:val="40"/>
          <w:szCs w:val="40"/>
          <w:highlight w:val="none"/>
        </w:rPr>
        <w:t xml:space="preserve">第六章  投标</w:t>
      </w:r>
      <w:bookmarkEnd w:id="332"/>
      <w:r/>
      <w:bookmarkEnd w:id="333"/>
      <w:r/>
      <w:bookmarkEnd w:id="334"/>
      <w:r>
        <w:rPr>
          <w:rFonts w:hint="eastAsia" w:ascii="宋体" w:hAnsi="宋体" w:cs="宋体"/>
          <w:b/>
          <w:bCs/>
          <w:color w:val="auto"/>
          <w:sz w:val="40"/>
          <w:szCs w:val="40"/>
          <w:highlight w:val="none"/>
        </w:rPr>
        <w:t xml:space="preserve">文件格式</w:t>
      </w:r>
      <w:bookmarkEnd w:id="350"/>
      <w:r>
        <w:rPr>
          <w:rFonts w:hint="eastAsia" w:ascii="宋体" w:hAnsi="宋体" w:cs="宋体"/>
          <w:b/>
          <w:bCs/>
          <w:color w:val="auto"/>
          <w:sz w:val="40"/>
          <w:szCs w:val="40"/>
          <w:highlight w:val="none"/>
        </w:rPr>
        <w:t xml:space="preserve"> </w:t>
      </w:r>
      <w:r/>
    </w:p>
    <w:p>
      <w:pPr>
        <w:ind w:firstLine="1446"/>
        <w:jc w:val="center"/>
        <w:rPr>
          <w:rFonts w:hint="eastAsia" w:ascii="宋体" w:hAnsi="宋体" w:cs="宋体"/>
          <w:b/>
          <w:color w:val="auto"/>
          <w:sz w:val="72"/>
          <w:szCs w:val="21"/>
          <w:highlight w:val="none"/>
        </w:rPr>
      </w:pPr>
      <w:r/>
      <w:bookmarkStart w:id="351" w:name="_Hlt26671244"/>
      <w:r/>
      <w:bookmarkEnd w:id="351"/>
      <w:r/>
      <w:bookmarkStart w:id="352" w:name="_Hlt26955039"/>
      <w:r/>
      <w:bookmarkEnd w:id="352"/>
      <w:r/>
      <w:bookmarkStart w:id="353" w:name="_Toc26554094"/>
      <w:r/>
      <w:bookmarkStart w:id="354" w:name="_Toc120614282"/>
      <w:r/>
      <w:bookmarkStart w:id="355" w:name="_Toc49090576"/>
      <w:r/>
      <w:r/>
    </w:p>
    <w:p>
      <w:pPr>
        <w:ind w:firstLine="1446"/>
        <w:jc w:val="center"/>
        <w:rPr>
          <w:rFonts w:hint="eastAsia" w:ascii="宋体" w:hAnsi="宋体" w:cs="宋体"/>
          <w:b/>
          <w:color w:val="auto"/>
          <w:sz w:val="72"/>
          <w:szCs w:val="21"/>
          <w:highlight w:val="none"/>
        </w:rPr>
      </w:pPr>
      <w:r>
        <w:rPr>
          <w:rFonts w:hint="eastAsia" w:ascii="宋体" w:hAnsi="宋体" w:cs="宋体"/>
          <w:b/>
          <w:color w:val="auto"/>
          <w:sz w:val="72"/>
          <w:szCs w:val="21"/>
          <w:highlight w:val="none"/>
        </w:rPr>
        <w:t xml:space="preserve">投  标  文  件</w:t>
      </w:r>
      <w:r/>
    </w:p>
    <w:p>
      <w:pPr>
        <w:ind w:firstLine="1446"/>
        <w:jc w:val="center"/>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ind w:firstLine="1446"/>
        <w:jc w:val="center"/>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ind w:firstLine="723"/>
        <w:jc w:val="center"/>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ind w:firstLine="723"/>
        <w:jc w:val="center"/>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ind w:firstLine="723"/>
        <w:jc w:val="center"/>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ind w:firstLine="803"/>
        <w:jc w:val="center"/>
        <w:spacing w:line="480" w:lineRule="exact"/>
        <w:rPr>
          <w:rFonts w:hint="eastAsia" w:ascii="宋体" w:hAnsi="宋体" w:eastAsia="宋体" w:cs="宋体"/>
          <w:b/>
          <w:color w:val="auto"/>
          <w:sz w:val="40"/>
          <w:highlight w:val="none"/>
          <w:lang w:eastAsia="zh-CN"/>
        </w:rPr>
      </w:pPr>
      <w:r>
        <w:rPr>
          <w:rFonts w:hint="eastAsia" w:ascii="宋体" w:hAnsi="宋体" w:cs="宋体"/>
          <w:b/>
          <w:color w:val="auto"/>
          <w:sz w:val="40"/>
          <w:highlight w:val="none"/>
        </w:rPr>
        <w:t xml:space="preserve">项 目 名 称：</w:t>
      </w:r>
      <w:r>
        <w:rPr>
          <w:rFonts w:hint="eastAsia" w:ascii="宋体" w:hAnsi="宋体" w:cs="宋体"/>
          <w:b/>
          <w:color w:val="auto"/>
          <w:sz w:val="36"/>
          <w:szCs w:val="24"/>
          <w:highlight w:val="none"/>
          <w:lang w:eastAsia="zh-CN"/>
        </w:rPr>
        <w:t xml:space="preserve">2025年中央粮油生产保障资金-小麦“一喷三防”项目</w:t>
      </w:r>
      <w:r/>
    </w:p>
    <w:p>
      <w:pPr>
        <w:ind w:firstLine="803"/>
        <w:spacing w:line="480" w:lineRule="exact"/>
        <w:rPr>
          <w:rFonts w:hint="eastAsia" w:ascii="宋体" w:hAnsi="宋体" w:cs="宋体"/>
          <w:b/>
          <w:color w:val="auto"/>
          <w:sz w:val="40"/>
          <w:highlight w:val="none"/>
        </w:rPr>
      </w:pPr>
      <w:r>
        <w:rPr>
          <w:rFonts w:hint="eastAsia" w:ascii="宋体" w:hAnsi="宋体" w:cs="宋体"/>
          <w:b/>
          <w:color w:val="auto"/>
          <w:sz w:val="40"/>
          <w:highlight w:val="none"/>
        </w:rPr>
      </w:r>
      <w:r/>
    </w:p>
    <w:p>
      <w:pPr>
        <w:ind w:firstLine="803"/>
        <w:spacing w:line="480" w:lineRule="exact"/>
        <w:rPr>
          <w:rFonts w:hint="eastAsia" w:ascii="宋体" w:hAnsi="宋体" w:eastAsia="宋体" w:cs="宋体"/>
          <w:b/>
          <w:color w:val="auto"/>
          <w:sz w:val="40"/>
          <w:highlight w:val="none"/>
          <w:u w:val="single"/>
          <w:lang w:eastAsia="zh-CN"/>
        </w:rPr>
      </w:pPr>
      <w:r>
        <w:rPr>
          <w:rFonts w:hint="eastAsia" w:ascii="宋体" w:hAnsi="宋体" w:cs="宋体"/>
          <w:b/>
          <w:color w:val="auto"/>
          <w:sz w:val="40"/>
          <w:highlight w:val="none"/>
        </w:rPr>
        <w:t xml:space="preserve">项 目 编 号：</w:t>
      </w:r>
      <w:r>
        <w:rPr>
          <w:rFonts w:hint="eastAsia" w:ascii="宋体" w:hAnsi="宋体" w:cs="宋体"/>
          <w:b/>
          <w:color w:val="auto"/>
          <w:sz w:val="36"/>
          <w:szCs w:val="24"/>
          <w:highlight w:val="none"/>
          <w:lang w:eastAsia="zh-CN"/>
        </w:rPr>
        <w:t xml:space="preserve">JSZC-320581-HXGW-G2025-0022</w:t>
      </w:r>
      <w:r/>
    </w:p>
    <w:p>
      <w:pPr>
        <w:ind w:firstLine="803"/>
        <w:spacing w:line="480" w:lineRule="exact"/>
        <w:rPr>
          <w:rFonts w:hint="eastAsia" w:ascii="宋体" w:hAnsi="宋体" w:cs="宋体"/>
          <w:b/>
          <w:color w:val="auto"/>
          <w:sz w:val="40"/>
          <w:highlight w:val="none"/>
        </w:rPr>
      </w:pPr>
      <w:r>
        <w:rPr>
          <w:rFonts w:hint="eastAsia" w:ascii="宋体" w:hAnsi="宋体" w:cs="宋体"/>
          <w:b/>
          <w:color w:val="auto"/>
          <w:sz w:val="40"/>
          <w:highlight w:val="none"/>
        </w:rPr>
      </w:r>
      <w:r/>
    </w:p>
    <w:p>
      <w:pPr>
        <w:ind w:firstLine="803"/>
        <w:spacing w:line="480" w:lineRule="exact"/>
        <w:rPr>
          <w:rFonts w:hint="eastAsia" w:ascii="宋体" w:hAnsi="宋体" w:cs="宋体"/>
          <w:b/>
          <w:color w:val="auto"/>
          <w:sz w:val="40"/>
          <w:highlight w:val="none"/>
        </w:rPr>
      </w:pPr>
      <w:r>
        <w:rPr>
          <w:rFonts w:hint="eastAsia" w:ascii="宋体" w:hAnsi="宋体" w:cs="宋体"/>
          <w:b/>
          <w:color w:val="auto"/>
          <w:sz w:val="40"/>
          <w:highlight w:val="none"/>
        </w:rPr>
      </w:r>
      <w:r/>
    </w:p>
    <w:p>
      <w:pPr>
        <w:ind w:firstLine="803"/>
        <w:spacing w:line="480" w:lineRule="exact"/>
        <w:rPr>
          <w:rFonts w:hint="eastAsia" w:ascii="宋体" w:hAnsi="宋体" w:cs="宋体"/>
          <w:b/>
          <w:color w:val="auto"/>
          <w:sz w:val="40"/>
          <w:highlight w:val="none"/>
        </w:rPr>
      </w:pPr>
      <w:r>
        <w:rPr>
          <w:rFonts w:hint="eastAsia" w:ascii="宋体" w:hAnsi="宋体" w:cs="宋体"/>
          <w:b/>
          <w:color w:val="auto"/>
          <w:sz w:val="40"/>
          <w:highlight w:val="none"/>
        </w:rPr>
      </w:r>
      <w:r/>
    </w:p>
    <w:p>
      <w:pPr>
        <w:ind w:firstLine="803"/>
        <w:spacing w:line="480" w:lineRule="exact"/>
        <w:rPr>
          <w:rFonts w:hint="eastAsia" w:ascii="宋体" w:hAnsi="宋体" w:cs="宋体"/>
          <w:b/>
          <w:color w:val="auto"/>
          <w:sz w:val="40"/>
          <w:highlight w:val="none"/>
        </w:rPr>
      </w:pPr>
      <w:r>
        <w:rPr>
          <w:rFonts w:hint="eastAsia" w:ascii="宋体" w:hAnsi="宋体" w:cs="宋体"/>
          <w:b/>
          <w:color w:val="auto"/>
          <w:sz w:val="40"/>
          <w:highlight w:val="none"/>
        </w:rPr>
      </w:r>
      <w:r/>
    </w:p>
    <w:p>
      <w:pPr>
        <w:ind w:firstLine="803"/>
        <w:spacing w:line="480" w:lineRule="exact"/>
        <w:rPr>
          <w:rFonts w:hint="eastAsia" w:ascii="宋体" w:hAnsi="宋体" w:cs="宋体"/>
          <w:b/>
          <w:color w:val="auto"/>
          <w:sz w:val="40"/>
          <w:highlight w:val="none"/>
        </w:rPr>
      </w:pPr>
      <w:r>
        <w:rPr>
          <w:rFonts w:hint="eastAsia" w:ascii="宋体" w:hAnsi="宋体" w:cs="宋体"/>
          <w:b/>
          <w:color w:val="auto"/>
          <w:sz w:val="40"/>
          <w:highlight w:val="none"/>
        </w:rPr>
      </w:r>
      <w:r/>
    </w:p>
    <w:p>
      <w:pPr>
        <w:ind w:firstLine="803"/>
        <w:spacing w:line="480" w:lineRule="exact"/>
        <w:rPr>
          <w:rFonts w:hint="eastAsia" w:ascii="宋体" w:hAnsi="宋体" w:cs="宋体"/>
          <w:b/>
          <w:color w:val="auto"/>
          <w:sz w:val="40"/>
          <w:highlight w:val="none"/>
        </w:rPr>
      </w:pPr>
      <w:r>
        <w:rPr>
          <w:rFonts w:hint="eastAsia" w:ascii="宋体" w:hAnsi="宋体" w:cs="宋体"/>
          <w:b/>
          <w:color w:val="auto"/>
          <w:sz w:val="40"/>
          <w:highlight w:val="none"/>
        </w:rPr>
      </w:r>
      <w:r/>
    </w:p>
    <w:p>
      <w:pPr>
        <w:ind w:firstLine="803"/>
        <w:spacing w:line="480" w:lineRule="exact"/>
        <w:rPr>
          <w:rFonts w:hint="eastAsia" w:ascii="宋体" w:hAnsi="宋体" w:cs="宋体"/>
          <w:b/>
          <w:color w:val="auto"/>
          <w:sz w:val="40"/>
          <w:highlight w:val="none"/>
        </w:rPr>
      </w:pPr>
      <w:r>
        <w:rPr>
          <w:rFonts w:hint="eastAsia" w:ascii="宋体" w:hAnsi="宋体" w:cs="宋体"/>
          <w:b/>
          <w:color w:val="auto"/>
          <w:sz w:val="40"/>
          <w:highlight w:val="none"/>
        </w:rPr>
      </w:r>
      <w:r/>
    </w:p>
    <w:p>
      <w:pPr>
        <w:ind w:firstLine="803"/>
        <w:spacing w:line="480" w:lineRule="exact"/>
        <w:rPr>
          <w:rFonts w:hint="eastAsia" w:ascii="宋体" w:hAnsi="宋体" w:cs="宋体"/>
          <w:b/>
          <w:color w:val="auto"/>
          <w:sz w:val="40"/>
          <w:highlight w:val="none"/>
        </w:rPr>
      </w:pPr>
      <w:r>
        <w:rPr>
          <w:rFonts w:hint="eastAsia" w:ascii="宋体" w:hAnsi="宋体" w:cs="宋体"/>
          <w:b/>
          <w:color w:val="auto"/>
          <w:sz w:val="40"/>
          <w:highlight w:val="none"/>
        </w:rPr>
      </w:r>
      <w:r/>
    </w:p>
    <w:p>
      <w:pPr>
        <w:ind w:firstLine="803"/>
        <w:jc w:val="center"/>
        <w:spacing w:line="480" w:lineRule="exact"/>
        <w:rPr>
          <w:rFonts w:hint="eastAsia" w:ascii="宋体" w:hAnsi="宋体" w:cs="宋体"/>
          <w:b/>
          <w:color w:val="auto"/>
          <w:sz w:val="40"/>
          <w:highlight w:val="none"/>
          <w:u w:val="single"/>
        </w:rPr>
      </w:pPr>
      <w:r>
        <w:rPr>
          <w:rFonts w:hint="eastAsia" w:ascii="宋体" w:hAnsi="宋体" w:cs="宋体"/>
          <w:b/>
          <w:color w:val="auto"/>
          <w:sz w:val="40"/>
          <w:highlight w:val="none"/>
        </w:rPr>
        <w:t xml:space="preserve">投标人名称 ：</w:t>
      </w:r>
      <w:r>
        <w:rPr>
          <w:rFonts w:hint="eastAsia" w:ascii="宋体" w:hAnsi="宋体" w:cs="宋体"/>
          <w:b/>
          <w:color w:val="auto"/>
          <w:sz w:val="40"/>
          <w:highlight w:val="none"/>
          <w:u w:val="single"/>
        </w:rPr>
        <w:t xml:space="preserve">（加盖CA电子公章）</w:t>
      </w:r>
      <w:r/>
    </w:p>
    <w:p>
      <w:pPr>
        <w:ind w:firstLine="803"/>
        <w:jc w:val="center"/>
        <w:spacing w:line="480" w:lineRule="exact"/>
        <w:rPr>
          <w:rFonts w:hint="eastAsia" w:ascii="宋体" w:hAnsi="宋体" w:cs="宋体"/>
          <w:b/>
          <w:color w:val="auto"/>
          <w:sz w:val="40"/>
          <w:highlight w:val="none"/>
        </w:rPr>
      </w:pPr>
      <w:r>
        <w:rPr>
          <w:rFonts w:hint="eastAsia" w:ascii="宋体" w:hAnsi="宋体" w:cs="宋体"/>
          <w:b/>
          <w:color w:val="auto"/>
          <w:sz w:val="40"/>
          <w:highlight w:val="none"/>
        </w:rPr>
      </w:r>
      <w:r/>
    </w:p>
    <w:p>
      <w:pPr>
        <w:ind w:firstLine="803"/>
        <w:jc w:val="center"/>
        <w:spacing w:line="480" w:lineRule="exact"/>
        <w:rPr>
          <w:rFonts w:hint="eastAsia" w:ascii="宋体" w:hAnsi="宋体" w:cs="宋体"/>
          <w:b/>
          <w:color w:val="auto"/>
          <w:sz w:val="40"/>
          <w:highlight w:val="none"/>
          <w:u w:val="single"/>
        </w:rPr>
      </w:pPr>
      <w:r>
        <w:rPr>
          <w:rFonts w:hint="eastAsia" w:ascii="宋体" w:hAnsi="宋体" w:cs="宋体"/>
          <w:b/>
          <w:color w:val="auto"/>
          <w:sz w:val="40"/>
          <w:highlight w:val="none"/>
        </w:rPr>
        <w:t xml:space="preserve">日      期 ：</w:t>
      </w:r>
      <w:r>
        <w:rPr>
          <w:rFonts w:hint="eastAsia" w:ascii="宋体" w:hAnsi="宋体" w:cs="宋体"/>
          <w:b/>
          <w:color w:val="auto"/>
          <w:sz w:val="36"/>
          <w:szCs w:val="24"/>
          <w:highlight w:val="none"/>
          <w:lang w:eastAsia="zh-CN"/>
        </w:rPr>
        <w:t xml:space="preserve">2025</w:t>
      </w:r>
      <w:r>
        <w:rPr>
          <w:rFonts w:hint="eastAsia" w:ascii="宋体" w:hAnsi="宋体" w:cs="宋体"/>
          <w:b/>
          <w:color w:val="auto"/>
          <w:sz w:val="40"/>
          <w:szCs w:val="40"/>
          <w:highlight w:val="none"/>
        </w:rPr>
        <w:t xml:space="preserve">年   月     日</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643"/>
        <w:jc w:val="lef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ind w:firstLine="643"/>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投标文件目录</w:t>
      </w:r>
      <w:r/>
    </w:p>
    <w:p>
      <w:pPr>
        <w:ind w:firstLine="482"/>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一、基本目录</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highlight w:val="none"/>
        </w:rPr>
        <w:t xml:space="preserve">开标一览表</w:t>
      </w:r>
      <w:r>
        <w:rPr>
          <w:rFonts w:hint="eastAsia" w:ascii="宋体" w:hAnsi="宋体"/>
          <w:color w:val="auto"/>
          <w:sz w:val="24"/>
          <w:szCs w:val="24"/>
          <w:highlight w:val="none"/>
        </w:rPr>
        <w:t xml:space="preserve">（格式见附件1）</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highlight w:val="none"/>
        </w:rPr>
        <w:t xml:space="preserve">报价明细表</w:t>
      </w:r>
      <w:r>
        <w:rPr>
          <w:rFonts w:hint="eastAsia" w:ascii="宋体" w:hAnsi="宋体"/>
          <w:color w:val="auto"/>
          <w:sz w:val="24"/>
          <w:szCs w:val="24"/>
          <w:highlight w:val="none"/>
        </w:rPr>
        <w:t xml:space="preserve">（格式见附件2）</w:t>
      </w:r>
      <w:r/>
    </w:p>
    <w:p>
      <w:pPr>
        <w:ind w:firstLine="482"/>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二、资格审查内容</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7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 法人或者其他组织的营业执照等证明文件；</w:t>
      </w:r>
      <w:r/>
    </w:p>
    <w:p>
      <w:pPr>
        <w:ind w:firstLine="7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 </w:t>
      </w:r>
      <w:r>
        <w:rPr>
          <w:rFonts w:hint="eastAsia" w:ascii="宋体" w:hAnsi="宋体" w:cs="宋体"/>
          <w:b/>
          <w:color w:val="auto"/>
          <w:sz w:val="24"/>
          <w:szCs w:val="24"/>
          <w:highlight w:val="none"/>
        </w:rPr>
        <w:t xml:space="preserve">202</w:t>
      </w: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年</w:t>
      </w:r>
      <w:r>
        <w:rPr>
          <w:rFonts w:hint="eastAsia" w:ascii="宋体" w:hAnsi="宋体" w:cs="宋体"/>
          <w:bCs/>
          <w:color w:val="auto"/>
          <w:sz w:val="24"/>
          <w:szCs w:val="24"/>
          <w:highlight w:val="none"/>
        </w:rPr>
        <w:t xml:space="preserve">至今任意一期</w:t>
      </w:r>
      <w:r>
        <w:rPr>
          <w:rFonts w:hint="eastAsia" w:ascii="宋体" w:hAnsi="宋体" w:cs="宋体"/>
          <w:b/>
          <w:color w:val="auto"/>
          <w:sz w:val="24"/>
          <w:szCs w:val="24"/>
          <w:highlight w:val="none"/>
        </w:rPr>
        <w:t xml:space="preserve">经审计</w:t>
      </w:r>
      <w:r>
        <w:rPr>
          <w:rFonts w:hint="eastAsia" w:ascii="宋体" w:hAnsi="宋体" w:cs="宋体"/>
          <w:bCs/>
          <w:color w:val="auto"/>
          <w:sz w:val="24"/>
          <w:szCs w:val="24"/>
          <w:highlight w:val="none"/>
        </w:rPr>
        <w:t xml:space="preserve">的财务报告或者近期由银行出具的资信证明</w:t>
      </w:r>
      <w:r>
        <w:rPr>
          <w:rFonts w:hint="eastAsia" w:ascii="宋体" w:hAnsi="宋体"/>
          <w:bCs/>
          <w:color w:val="auto"/>
          <w:sz w:val="24"/>
          <w:szCs w:val="24"/>
          <w:highlight w:val="none"/>
        </w:rPr>
        <w:t xml:space="preserve">；</w:t>
      </w:r>
      <w:r/>
    </w:p>
    <w:p>
      <w:pPr>
        <w:ind w:firstLine="7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 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p>
    <w:p>
      <w:pPr>
        <w:ind w:firstLine="7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 具备履行合同所必需的设备和专业技术能力的书面声明（格式见附件</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w:t>
      </w:r>
      <w:r/>
    </w:p>
    <w:p>
      <w:pPr>
        <w:ind w:firstLine="7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 参加政府采购活动前 3 年内在经营活动中没有重大违法记录的书面声明（格式见附件</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*2、中小企业声明函（格式见附件1</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）或残疾人福利性单位声明函（格式见附件1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）或省级以上监狱管理局、戒毒管理局（含新疆生产建设兵团）出具的属于监狱企业的证明文件</w:t>
      </w:r>
      <w:r/>
    </w:p>
    <w:p>
      <w:pPr>
        <w:ind w:firstLine="482"/>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注：其中加“*”项目若有缺失或无效，将导致其投标文件无效且不允许在投标文件开启时间后补正。</w:t>
      </w:r>
      <w:r/>
    </w:p>
    <w:p>
      <w:pPr>
        <w:ind w:firstLine="482"/>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三、符合性审查内容</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1.法人授权书（格式见附件</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）（如法定代表人签署投标文件的，法人授权书无需提供）</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2.投标函（格式见附件1</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3.技术参数响应及偏离表（格式见</w:t>
      </w:r>
      <w:r>
        <w:rPr>
          <w:rFonts w:ascii="宋体" w:hAnsi="宋体"/>
          <w:color w:val="auto"/>
          <w:sz w:val="24"/>
          <w:highlight w:val="none"/>
        </w:rPr>
        <w:t xml:space="preserve">附件</w:t>
      </w:r>
      <w:r>
        <w:rPr>
          <w:rFonts w:hint="eastAsia" w:ascii="宋体" w:hAnsi="宋体"/>
          <w:color w:val="auto"/>
          <w:sz w:val="24"/>
          <w:highlight w:val="none"/>
        </w:rPr>
        <w:t xml:space="preserve">3）</w:t>
      </w:r>
      <w:r/>
    </w:p>
    <w:p>
      <w:pPr>
        <w:ind w:firstLine="480"/>
        <w:spacing w:line="400" w:lineRule="exact"/>
        <w:rPr>
          <w:rFonts w:hint="eastAsia" w:ascii="宋体" w:hAnsi="宋体"/>
          <w:color w:val="auto"/>
          <w:sz w:val="24"/>
          <w:szCs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.商务要求响应及偏离表</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p>
    <w:p>
      <w:pPr>
        <w:ind w:firstLine="482"/>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四、综合评审文件</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1、项目实施方案（格式见附件</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、业绩一览表（格式见附件</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、其他证明文件（格式见附件1</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w:t>
      </w:r>
      <w:r/>
    </w:p>
    <w:p>
      <w:pPr>
        <w:ind w:firstLine="482"/>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备注：针对“二、资格审查内容”和“三</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符合性</w:t>
      </w:r>
      <w:r>
        <w:rPr>
          <w:rFonts w:ascii="宋体" w:hAnsi="宋体"/>
          <w:b/>
          <w:bCs/>
          <w:color w:val="auto"/>
          <w:sz w:val="24"/>
          <w:szCs w:val="24"/>
          <w:highlight w:val="none"/>
        </w:rPr>
        <w:t xml:space="preserve">审查内容</w:t>
      </w:r>
      <w:r>
        <w:rPr>
          <w:rFonts w:hint="eastAsia" w:ascii="宋体" w:hAnsi="宋体"/>
          <w:b/>
          <w:bCs/>
          <w:color w:val="auto"/>
          <w:sz w:val="24"/>
          <w:szCs w:val="24"/>
          <w:highlight w:val="none"/>
        </w:rPr>
        <w:t xml:space="preserve">”，投标人必须在投标文件中提供相关材料，</w:t>
      </w:r>
      <w:r>
        <w:rPr>
          <w:rFonts w:ascii="宋体" w:hAnsi="宋体"/>
          <w:b/>
          <w:bCs/>
          <w:color w:val="auto"/>
          <w:sz w:val="24"/>
          <w:szCs w:val="24"/>
          <w:highlight w:val="none"/>
        </w:rPr>
        <w:t xml:space="preserve">若有缺失或无效</w:t>
      </w:r>
      <w:r>
        <w:rPr>
          <w:rFonts w:hint="eastAsia" w:ascii="宋体" w:hAnsi="宋体"/>
          <w:b/>
          <w:bCs/>
          <w:color w:val="auto"/>
          <w:sz w:val="24"/>
          <w:szCs w:val="24"/>
          <w:highlight w:val="none"/>
        </w:rPr>
        <w:t xml:space="preserve">的</w:t>
      </w:r>
      <w:r>
        <w:rPr>
          <w:rFonts w:ascii="宋体" w:hAnsi="宋体"/>
          <w:b/>
          <w:bCs/>
          <w:color w:val="auto"/>
          <w:sz w:val="24"/>
          <w:szCs w:val="24"/>
          <w:highlight w:val="none"/>
        </w:rPr>
        <w:t xml:space="preserve">，将导致其投标</w:t>
      </w:r>
      <w:r>
        <w:rPr>
          <w:rFonts w:hint="eastAsia" w:ascii="宋体" w:hAnsi="宋体"/>
          <w:b/>
          <w:bCs/>
          <w:color w:val="auto"/>
          <w:sz w:val="24"/>
          <w:szCs w:val="24"/>
          <w:highlight w:val="none"/>
        </w:rPr>
        <w:t xml:space="preserve">无效。</w:t>
      </w:r>
      <w:r/>
    </w:p>
    <w:p>
      <w:pPr>
        <w:ind w:firstLine="482"/>
        <w:jc w:val="center"/>
        <w:spacing w:line="440" w:lineRule="exact"/>
        <w:rPr>
          <w:rFonts w:hint="eastAsia" w:ascii="宋体" w:hAnsi="宋体" w:cs="宋体"/>
          <w:b/>
          <w:bCs/>
          <w:color w:val="auto"/>
          <w:sz w:val="28"/>
          <w:szCs w:val="28"/>
          <w:highlight w:val="none"/>
        </w:rPr>
        <w:outlineLvl w:val="1"/>
      </w:pPr>
      <w:r>
        <w:rPr>
          <w:rFonts w:hint="eastAsia" w:ascii="宋体" w:hAnsi="宋体" w:cs="宋体"/>
          <w:b/>
          <w:color w:val="auto"/>
          <w:sz w:val="24"/>
          <w:szCs w:val="24"/>
          <w:highlight w:val="none"/>
        </w:rPr>
        <w:br w:type="page" w:clear="all"/>
      </w:r>
      <w:bookmarkStart w:id="356" w:name="_Toc23705"/>
      <w:r>
        <w:rPr>
          <w:rFonts w:hint="eastAsia" w:ascii="宋体" w:hAnsi="宋体" w:cs="宋体"/>
          <w:b/>
          <w:bCs/>
          <w:color w:val="auto"/>
          <w:sz w:val="28"/>
          <w:szCs w:val="28"/>
          <w:highlight w:val="none"/>
        </w:rPr>
        <w:t xml:space="preserve">附件1 开标一览表</w:t>
      </w:r>
      <w:bookmarkEnd w:id="356"/>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投标人全称（加盖CA电子签章）：</w:t>
      </w:r>
      <w:r/>
    </w:p>
    <w:p>
      <w:pPr>
        <w:ind w:firstLine="482"/>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2025年中央粮油生产保障资金-小麦“一喷三防”项目</w:t>
      </w:r>
      <w:r/>
    </w:p>
    <w:p>
      <w:pPr>
        <w:ind w:firstLine="482"/>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JSZC-320581-HXGW-G2025-0022</w:t>
      </w:r>
      <w:bookmarkEnd w:id="178"/>
      <w:bookmarkEnd w:id="179"/>
      <w:bookmarkEnd w:id="353"/>
      <w:bookmarkEnd w:id="354"/>
      <w:bookmarkEnd w:id="355"/>
      <w:r/>
    </w:p>
    <w:tbl>
      <w:tblPr>
        <w:tblStyle w:val="789"/>
        <w:tblW w:w="91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60"/>
      </w:tblGrid>
      <w:tr>
        <w:trPr>
          <w:cantSplit/>
          <w:jc w:val="center"/>
          <w:trHeight w:val="999"/>
        </w:trPr>
        <w:tc>
          <w:tcPr>
            <w:tcW w:w="916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投标总报价</w:t>
            </w:r>
            <w:r/>
          </w:p>
        </w:tc>
      </w:tr>
      <w:tr>
        <w:trPr>
          <w:cantSplit/>
          <w:jc w:val="center"/>
          <w:trHeight w:val="868"/>
        </w:trPr>
        <w:tc>
          <w:tcPr>
            <w:tcW w:w="9160" w:type="dxa"/>
            <w:vAlign w:val="center"/>
            <w:textDirection w:val="lrTb"/>
            <w:noWrap w:val="false"/>
          </w:tcPr>
          <w:p>
            <w:pPr>
              <w:spacing w:line="500" w:lineRule="exact"/>
              <w:rPr>
                <w:rFonts w:hint="eastAsia" w:ascii="宋体" w:hAnsi="宋体" w:cs="宋体"/>
                <w:sz w:val="24"/>
              </w:rPr>
            </w:pPr>
            <w:r>
              <w:rPr>
                <w:rFonts w:hint="eastAsia" w:ascii="宋体" w:hAnsi="宋体" w:cs="宋体"/>
                <w:sz w:val="24"/>
                <w:szCs w:val="24"/>
              </w:rPr>
              <w:t xml:space="preserve">小写：                    （人民币：        元）</w:t>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2"/>
        <w:jc w:val="center"/>
        <w:spacing w:line="440" w:lineRule="exact"/>
        <w:rPr>
          <w:rFonts w:hint="eastAsia" w:ascii="宋体" w:hAnsi="宋体" w:cs="宋体"/>
          <w:b/>
          <w:bCs/>
          <w:color w:val="auto"/>
          <w:sz w:val="28"/>
          <w:szCs w:val="28"/>
          <w:highlight w:val="none"/>
        </w:rPr>
        <w:outlineLvl w:val="1"/>
      </w:pPr>
      <w:r>
        <w:rPr>
          <w:rFonts w:hint="eastAsia" w:ascii="宋体" w:hAnsi="宋体" w:cs="宋体"/>
          <w:b/>
          <w:color w:val="auto"/>
          <w:sz w:val="24"/>
          <w:szCs w:val="24"/>
          <w:highlight w:val="none"/>
        </w:rPr>
        <w:br w:type="page" w:clear="all"/>
      </w:r>
      <w:bookmarkStart w:id="357" w:name="_Toc9118"/>
      <w:r>
        <w:rPr>
          <w:rFonts w:hint="eastAsia" w:ascii="宋体" w:hAnsi="宋体" w:cs="宋体"/>
          <w:b/>
          <w:bCs/>
          <w:color w:val="auto"/>
          <w:sz w:val="28"/>
          <w:szCs w:val="28"/>
          <w:highlight w:val="none"/>
        </w:rPr>
        <w:t xml:space="preserve">附件2 报价明细表</w:t>
      </w:r>
      <w:bookmarkEnd w:id="357"/>
      <w:r/>
      <w:r/>
    </w:p>
    <w:tbl>
      <w:tblPr>
        <w:tblStyle w:val="789"/>
        <w:tblW w:w="1025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4"/>
        <w:gridCol w:w="1777"/>
        <w:gridCol w:w="2255"/>
        <w:gridCol w:w="873"/>
        <w:gridCol w:w="888"/>
        <w:gridCol w:w="1283"/>
        <w:gridCol w:w="1325"/>
        <w:gridCol w:w="1099"/>
      </w:tblGrid>
      <w:tr>
        <w:trPr>
          <w:cantSplit/>
          <w:jc w:val="center"/>
          <w:trHeight w:val="915"/>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Borders>
              <w:top w:val="single" w:color="auto" w:sz="4" w:space="0"/>
              <w:left w:val="none" w:color="000000" w:sz="4" w:space="0"/>
              <w:bottom w:val="single" w:color="auto" w:sz="4" w:space="0"/>
              <w:right w:val="single" w:color="auto" w:sz="4" w:space="0"/>
            </w:tcBorders>
            <w:tcW w:w="177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0"/>
                <w:lang w:bidi="ar"/>
              </w:rPr>
              <w:t xml:space="preserve">货物/费用名称</w:t>
            </w:r>
            <w:r/>
          </w:p>
        </w:tc>
        <w:tc>
          <w:tcPr>
            <w:tcBorders>
              <w:top w:val="single" w:color="auto" w:sz="4" w:space="0"/>
              <w:left w:val="none" w:color="000000" w:sz="4" w:space="0"/>
              <w:bottom w:val="single" w:color="auto" w:sz="4" w:space="0"/>
              <w:right w:val="single" w:color="auto" w:sz="4" w:space="0"/>
            </w:tcBorders>
            <w:tcW w:w="225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0"/>
                <w:lang w:bidi="ar"/>
              </w:rPr>
              <w:t xml:space="preserve">品牌、规格及型号</w:t>
            </w:r>
            <w:r/>
          </w:p>
        </w:tc>
        <w:tc>
          <w:tcPr>
            <w:tcBorders>
              <w:top w:val="single" w:color="auto" w:sz="4" w:space="0"/>
              <w:left w:val="none" w:color="000000" w:sz="4" w:space="0"/>
              <w:bottom w:val="single" w:color="auto" w:sz="4" w:space="0"/>
              <w:right w:val="single" w:color="auto" w:sz="4" w:space="0"/>
            </w:tcBorders>
            <w:tcW w:w="87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单位</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数量</w:t>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单价（元）</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分类总价（元）</w:t>
            </w:r>
            <w:r/>
          </w:p>
        </w:tc>
        <w:tc>
          <w:tcPr>
            <w:tcBorders>
              <w:top w:val="single" w:color="auto" w:sz="4" w:space="0"/>
              <w:left w:val="none" w:color="000000" w:sz="4" w:space="0"/>
              <w:bottom w:val="single" w:color="auto" w:sz="4" w:space="0"/>
              <w:right w:val="single" w:color="auto" w:sz="4" w:space="0"/>
            </w:tcBorders>
            <w:tcW w:w="109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备注</w:t>
            </w:r>
            <w:r/>
          </w:p>
        </w:tc>
      </w:tr>
      <w:tr>
        <w:trPr>
          <w:cantSplit/>
          <w:jc w:val="center"/>
          <w:trHeight w:val="769"/>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W w:w="177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225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87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28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09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796"/>
        </w:trPr>
        <w:tc>
          <w:tcPr>
            <w:gridSpan w:val="5"/>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投标总报价（人民币：     元）</w:t>
            </w:r>
            <w:r/>
          </w:p>
        </w:tc>
        <w:tc>
          <w:tcPr>
            <w:gridSpan w:val="3"/>
            <w:tcBorders>
              <w:top w:val="single" w:color="auto" w:sz="4" w:space="0"/>
              <w:left w:val="none" w:color="000000" w:sz="4" w:space="0"/>
              <w:bottom w:val="single" w:color="auto" w:sz="4" w:space="0"/>
              <w:right w:val="single" w:color="auto" w:sz="4" w:space="0"/>
            </w:tcBorders>
            <w:tcW w:w="370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注：1、投标人应根据本项目货物的分项价格情况填写上述表格。</w:t>
      </w:r>
      <w:r/>
    </w:p>
    <w:p>
      <w:pPr>
        <w:ind w:firstLine="48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2、所有价格用人民币表示，保留小数点后两位。</w:t>
      </w:r>
      <w:r/>
    </w:p>
    <w:p>
      <w:pPr>
        <w:ind w:firstLine="480"/>
        <w:spacing w:line="44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3、表中“投标总报价”应与“开标一览表”中“投标总报价”相一致。</w:t>
      </w:r>
      <w:r/>
    </w:p>
    <w:p>
      <w:pPr>
        <w:ind w:firstLine="480"/>
        <w:spacing w:line="44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4、</w:t>
      </w:r>
      <w:r>
        <w:rPr>
          <w:rFonts w:hint="eastAsia" w:ascii="Times New Roman" w:hAnsi="Times New Roman" w:eastAsia="宋体"/>
          <w:bCs/>
          <w:color w:val="auto"/>
          <w:sz w:val="24"/>
          <w:szCs w:val="24"/>
          <w:highlight w:val="none"/>
        </w:rPr>
        <w:t xml:space="preserve">如有需要说明的事项，请在备注中列明</w:t>
      </w:r>
      <w:r>
        <w:rPr>
          <w:rFonts w:hint="eastAsia" w:ascii="宋体" w:hAnsi="宋体" w:cs="宋体"/>
          <w:bCs/>
          <w:color w:val="auto"/>
          <w:sz w:val="24"/>
          <w:szCs w:val="24"/>
          <w:highlight w:val="none"/>
        </w:rPr>
        <w:t xml:space="preserve">。</w:t>
      </w:r>
      <w:r/>
    </w:p>
    <w:p>
      <w:pPr>
        <w:rPr>
          <w:rFonts w:hint="eastAsia" w:ascii="宋体" w:hAnsi="宋体" w:cs="宋体"/>
          <w:b/>
          <w:bCs/>
          <w:color w:val="auto"/>
          <w:sz w:val="28"/>
          <w:szCs w:val="28"/>
          <w:highlight w:val="none"/>
        </w:rPr>
      </w:pPr>
      <w:r/>
      <w:bookmarkStart w:id="358" w:name="_Toc387400419"/>
      <w:r/>
      <w:bookmarkStart w:id="359" w:name="_Toc522610225"/>
      <w:r/>
      <w:bookmarkStart w:id="360" w:name="_Toc43821328"/>
      <w:r/>
      <w:bookmarkStart w:id="361" w:name="_Toc146524609"/>
      <w:r/>
      <w:bookmarkStart w:id="362" w:name="_Toc354834784"/>
      <w:r>
        <w:rPr>
          <w:rFonts w:hint="eastAsia" w:ascii="宋体" w:hAnsi="宋体" w:cs="宋体"/>
          <w:b/>
          <w:bCs/>
          <w:color w:val="auto"/>
          <w:sz w:val="28"/>
          <w:szCs w:val="28"/>
          <w:highlight w:val="none"/>
        </w:rPr>
        <w:br w:type="page" w:clear="all"/>
      </w:r>
      <w:r/>
    </w:p>
    <w:p>
      <w:pPr>
        <w:ind w:firstLine="482"/>
        <w:jc w:val="center"/>
        <w:spacing w:line="440" w:lineRule="exact"/>
        <w:rPr>
          <w:rFonts w:hint="eastAsia" w:ascii="宋体" w:hAnsi="宋体" w:cs="宋体"/>
          <w:b/>
          <w:color w:val="auto"/>
          <w:sz w:val="24"/>
          <w:szCs w:val="24"/>
          <w:highlight w:val="none"/>
        </w:rPr>
        <w:outlineLvl w:val="1"/>
      </w:pPr>
      <w:r/>
      <w:bookmarkStart w:id="363" w:name="_Toc5447"/>
      <w:r>
        <w:rPr>
          <w:rFonts w:hint="eastAsia" w:ascii="宋体" w:hAnsi="宋体" w:cs="宋体"/>
          <w:b/>
          <w:bCs/>
          <w:color w:val="auto"/>
          <w:sz w:val="28"/>
          <w:szCs w:val="28"/>
          <w:highlight w:val="none"/>
        </w:rPr>
        <w:t xml:space="preserve">附件3 技术参数响应及偏离表</w:t>
      </w:r>
      <w:bookmarkEnd w:id="363"/>
      <w:r/>
      <w:r/>
    </w:p>
    <w:tbl>
      <w:tblPr>
        <w:tblStyle w:val="789"/>
        <w:tblW w:w="10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1830"/>
        <w:gridCol w:w="1811"/>
        <w:gridCol w:w="1107"/>
        <w:gridCol w:w="938"/>
        <w:gridCol w:w="913"/>
        <w:gridCol w:w="2024"/>
        <w:gridCol w:w="1278"/>
      </w:tblGrid>
      <w:tr>
        <w:trPr>
          <w:jc w:val="center"/>
          <w:trHeight w:val="582"/>
        </w:trPr>
        <w:tc>
          <w:tcPr>
            <w:tcW w:w="635" w:type="dxa"/>
            <w:vAlign w:val="center"/>
            <w:vMerge w:val="restart"/>
            <w:textDirection w:val="lrTb"/>
            <w:noWrap w:val="false"/>
          </w:tcPr>
          <w:p>
            <w:pPr>
              <w:jc w:val="center"/>
              <w:rPr>
                <w:rFonts w:hint="eastAsia" w:ascii="宋体" w:hAnsi="宋体"/>
                <w:b/>
                <w:color w:val="auto"/>
                <w:sz w:val="24"/>
                <w:szCs w:val="24"/>
                <w:highlight w:val="none"/>
              </w:rPr>
            </w:pPr>
            <w:r>
              <w:rPr>
                <w:rFonts w:ascii="宋体" w:hAnsi="宋体"/>
                <w:b/>
                <w:color w:val="auto"/>
                <w:sz w:val="24"/>
                <w:szCs w:val="24"/>
                <w:highlight w:val="none"/>
              </w:rPr>
              <w:t xml:space="preserve">序号</w:t>
            </w:r>
            <w:r/>
          </w:p>
        </w:tc>
        <w:tc>
          <w:tcPr>
            <w:tcW w:w="1830" w:type="dxa"/>
            <w:vAlign w:val="center"/>
            <w:vMerge w:val="restart"/>
            <w:textDirection w:val="lrTb"/>
            <w:noWrap w:val="false"/>
          </w:tcPr>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 xml:space="preserve">招标货物</w:t>
            </w:r>
            <w:r/>
          </w:p>
          <w:p>
            <w:pPr>
              <w:jc w:val="center"/>
              <w:spacing w:line="440" w:lineRule="exact"/>
              <w:rPr>
                <w:rFonts w:hint="eastAsia" w:ascii="宋体" w:hAnsi="宋体"/>
                <w:b/>
                <w:color w:val="auto"/>
                <w:sz w:val="24"/>
                <w:szCs w:val="24"/>
                <w:highlight w:val="none"/>
              </w:rPr>
            </w:pPr>
            <w:r>
              <w:rPr>
                <w:rFonts w:hint="eastAsia" w:ascii="宋体" w:hAnsi="宋体" w:cs="宋体"/>
                <w:b/>
                <w:color w:val="auto"/>
                <w:sz w:val="24"/>
                <w:szCs w:val="24"/>
                <w:highlight w:val="none"/>
                <w:lang w:bidi="ar"/>
              </w:rPr>
              <w:t xml:space="preserve">配置及技术性能参数要求</w:t>
            </w:r>
            <w:r/>
          </w:p>
        </w:tc>
        <w:tc>
          <w:tcPr>
            <w:tcW w:w="1811" w:type="dxa"/>
            <w:vAlign w:val="center"/>
            <w:vMerge w:val="restart"/>
            <w:textDirection w:val="lrTb"/>
            <w:noWrap w:val="false"/>
          </w:tcPr>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 xml:space="preserve">投标货物</w:t>
            </w:r>
            <w:r/>
          </w:p>
          <w:p>
            <w:pPr>
              <w:jc w:val="center"/>
              <w:spacing w:line="440" w:lineRule="exact"/>
              <w:rPr>
                <w:rFonts w:hint="eastAsia" w:ascii="宋体" w:hAnsi="宋体"/>
                <w:b/>
                <w:color w:val="auto"/>
                <w:sz w:val="24"/>
                <w:szCs w:val="24"/>
                <w:highlight w:val="none"/>
              </w:rPr>
            </w:pPr>
            <w:r>
              <w:rPr>
                <w:rFonts w:hint="eastAsia" w:ascii="宋体" w:hAnsi="宋体" w:cs="宋体"/>
                <w:b/>
                <w:color w:val="auto"/>
                <w:sz w:val="24"/>
                <w:szCs w:val="24"/>
                <w:highlight w:val="none"/>
                <w:lang w:bidi="ar"/>
              </w:rPr>
              <w:t xml:space="preserve">配置及技术性能参数</w:t>
            </w:r>
            <w:r/>
          </w:p>
        </w:tc>
        <w:tc>
          <w:tcPr>
            <w:tcW w:w="1107" w:type="dxa"/>
            <w:vAlign w:val="center"/>
            <w:vMerge w:val="restart"/>
            <w:textDirection w:val="lrTb"/>
            <w:noWrap w:val="false"/>
          </w:tcPr>
          <w:p>
            <w:pPr>
              <w:jc w:val="center"/>
              <w:rPr>
                <w:rFonts w:hint="eastAsia" w:ascii="宋体" w:hAnsi="宋体"/>
                <w:b/>
                <w:color w:val="auto"/>
                <w:sz w:val="24"/>
                <w:szCs w:val="24"/>
                <w:highlight w:val="none"/>
              </w:rPr>
            </w:pPr>
            <w:r>
              <w:rPr>
                <w:rFonts w:ascii="宋体" w:hAnsi="宋体"/>
                <w:b/>
                <w:color w:val="auto"/>
                <w:sz w:val="24"/>
                <w:szCs w:val="24"/>
                <w:highlight w:val="none"/>
              </w:rPr>
              <w:t xml:space="preserve">有无偏离</w:t>
            </w:r>
            <w:r/>
          </w:p>
        </w:tc>
        <w:tc>
          <w:tcPr>
            <w:gridSpan w:val="2"/>
            <w:tcW w:w="1851" w:type="dxa"/>
            <w:vAlign w:val="center"/>
            <w:textDirection w:val="lrTb"/>
            <w:noWrap w:val="false"/>
          </w:tcPr>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有偏离</w:t>
            </w:r>
            <w:r/>
          </w:p>
        </w:tc>
        <w:tc>
          <w:tcPr>
            <w:tcW w:w="2024" w:type="dxa"/>
            <w:vAlign w:val="center"/>
            <w:textDirection w:val="lrTb"/>
            <w:noWrap w:val="false"/>
          </w:tcPr>
          <w:p>
            <w:pPr>
              <w:jc w:val="center"/>
              <w:rPr>
                <w:rFonts w:hint="eastAsia" w:ascii="宋体" w:hAnsi="宋体"/>
                <w:b/>
                <w:color w:val="auto"/>
                <w:sz w:val="24"/>
                <w:szCs w:val="24"/>
                <w:highlight w:val="none"/>
              </w:rPr>
            </w:pPr>
            <w:r>
              <w:rPr>
                <w:rFonts w:ascii="宋体" w:hAnsi="宋体"/>
                <w:b/>
                <w:color w:val="auto"/>
                <w:sz w:val="24"/>
                <w:szCs w:val="24"/>
                <w:highlight w:val="none"/>
              </w:rPr>
              <w:t xml:space="preserve">偏离内容</w:t>
            </w:r>
            <w:r/>
          </w:p>
        </w:tc>
        <w:tc>
          <w:tcPr>
            <w:tcW w:w="1278" w:type="dxa"/>
            <w:vAlign w:val="center"/>
            <w:textDirection w:val="lrTb"/>
            <w:noWrap w:val="false"/>
          </w:tcPr>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备注</w:t>
            </w:r>
            <w:r/>
          </w:p>
        </w:tc>
      </w:tr>
      <w:tr>
        <w:trPr>
          <w:jc w:val="center"/>
          <w:trHeight w:val="696"/>
        </w:trPr>
        <w:tc>
          <w:tcPr>
            <w:tcW w:w="635" w:type="dxa"/>
            <w:vAlign w:val="center"/>
            <w:vMerge w:val="continue"/>
            <w:textDirection w:val="lrTb"/>
            <w:noWrap w:val="false"/>
          </w:tcPr>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tc>
        <w:tc>
          <w:tcPr>
            <w:tcW w:w="1830" w:type="dxa"/>
            <w:vAlign w:val="center"/>
            <w:vMerge w:val="continue"/>
            <w:textDirection w:val="lrTb"/>
            <w:noWrap w:val="false"/>
          </w:tcPr>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tc>
        <w:tc>
          <w:tcPr>
            <w:tcW w:w="1811" w:type="dxa"/>
            <w:vAlign w:val="center"/>
            <w:vMerge w:val="continue"/>
            <w:textDirection w:val="lrTb"/>
            <w:noWrap w:val="false"/>
          </w:tcPr>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tc>
        <w:tc>
          <w:tcPr>
            <w:tcW w:w="1107" w:type="dxa"/>
            <w:vAlign w:val="center"/>
            <w:vMerge w:val="continue"/>
            <w:textDirection w:val="lrTb"/>
            <w:noWrap w:val="false"/>
          </w:tcPr>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tc>
        <w:tc>
          <w:tcPr>
            <w:tcW w:w="938" w:type="dxa"/>
            <w:vAlign w:val="center"/>
            <w:textDirection w:val="lrTb"/>
            <w:noWrap w:val="false"/>
          </w:tcPr>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正</w:t>
            </w:r>
            <w:r/>
          </w:p>
        </w:tc>
        <w:tc>
          <w:tcPr>
            <w:tcW w:w="913" w:type="dxa"/>
            <w:vAlign w:val="center"/>
            <w:textDirection w:val="lrTb"/>
            <w:noWrap w:val="false"/>
          </w:tcPr>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负</w:t>
            </w:r>
            <w:r/>
          </w:p>
        </w:tc>
        <w:tc>
          <w:tcPr>
            <w:tcW w:w="2024" w:type="dxa"/>
            <w:vAlign w:val="center"/>
            <w:textDirection w:val="lrTb"/>
            <w:noWrap w:val="false"/>
          </w:tcPr>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tc>
        <w:tc>
          <w:tcPr>
            <w:tcW w:w="1278" w:type="dxa"/>
            <w:vAlign w:val="center"/>
            <w:textDirection w:val="lrTb"/>
            <w:noWrap w:val="false"/>
          </w:tcPr>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tc>
      </w:tr>
      <w:tr>
        <w:trPr>
          <w:jc w:val="center"/>
          <w:trHeight w:val="464"/>
        </w:trPr>
        <w:tc>
          <w:tcPr>
            <w:tcW w:w="635"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1</w:t>
            </w:r>
            <w:r/>
          </w:p>
        </w:tc>
        <w:tc>
          <w:tcPr>
            <w:tcW w:w="183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81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3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1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02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4"/>
        </w:trPr>
        <w:tc>
          <w:tcPr>
            <w:tcW w:w="635"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2</w:t>
            </w:r>
            <w:r/>
          </w:p>
        </w:tc>
        <w:tc>
          <w:tcPr>
            <w:tcW w:w="183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1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3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1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02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546"/>
        </w:trPr>
        <w:tc>
          <w:tcPr>
            <w:tcW w:w="635"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highlight w:val="none"/>
              </w:rPr>
              <w:t xml:space="preserve">……</w:t>
            </w:r>
            <w:r/>
          </w:p>
        </w:tc>
        <w:tc>
          <w:tcPr>
            <w:tcW w:w="183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1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3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1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02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4"/>
        </w:trPr>
        <w:tc>
          <w:tcPr>
            <w:tcW w:w="63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83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1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3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1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02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4"/>
        </w:trPr>
        <w:tc>
          <w:tcPr>
            <w:tcW w:w="63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83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1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3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1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02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4"/>
        </w:trPr>
        <w:tc>
          <w:tcPr>
            <w:tcW w:w="63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83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1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3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1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02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464"/>
        </w:trPr>
        <w:tc>
          <w:tcPr>
            <w:tcW w:w="63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83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1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3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1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02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Height w:val="510"/>
        </w:trPr>
        <w:tc>
          <w:tcPr>
            <w:tcW w:w="63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83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81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107"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3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913"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2024"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27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bl>
    <w:p>
      <w:pPr>
        <w:ind w:firstLine="482"/>
        <w:spacing w:line="5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 xml:space="preserve">注：1、投标人应根据“采购需求”中的“</w:t>
      </w:r>
      <w:r>
        <w:rPr>
          <w:rFonts w:hint="eastAsia" w:ascii="宋体" w:hAnsi="宋体" w:cs="宋体"/>
          <w:b/>
          <w:color w:val="auto"/>
          <w:sz w:val="24"/>
          <w:szCs w:val="24"/>
          <w:highlight w:val="none"/>
          <w:lang w:val="en-US" w:eastAsia="zh-CN" w:bidi="ar"/>
        </w:rPr>
        <w:t xml:space="preserve">二</w:t>
      </w:r>
      <w:r>
        <w:rPr>
          <w:rFonts w:hint="eastAsia" w:ascii="宋体" w:hAnsi="宋体" w:cs="宋体"/>
          <w:b/>
          <w:color w:val="auto"/>
          <w:sz w:val="24"/>
          <w:szCs w:val="24"/>
          <w:highlight w:val="none"/>
          <w:lang w:bidi="ar"/>
        </w:rPr>
        <w:t xml:space="preserve">、</w:t>
      </w:r>
      <w:r>
        <w:rPr>
          <w:rFonts w:hint="eastAsia" w:ascii="宋体" w:hAnsi="宋体" w:cs="宋体"/>
          <w:b/>
          <w:color w:val="auto"/>
          <w:sz w:val="24"/>
          <w:szCs w:val="24"/>
          <w:highlight w:val="none"/>
          <w:lang w:val="zh-CN" w:bidi="ar"/>
        </w:rPr>
        <w:t xml:space="preserve">货物清单及技术规格要求</w:t>
      </w:r>
      <w:r>
        <w:rPr>
          <w:rFonts w:hint="eastAsia" w:ascii="宋体" w:hAnsi="宋体" w:cs="宋体"/>
          <w:b/>
          <w:color w:val="auto"/>
          <w:sz w:val="24"/>
          <w:szCs w:val="24"/>
          <w:highlight w:val="none"/>
          <w:lang w:bidi="ar"/>
        </w:rPr>
        <w:t xml:space="preserve">”对照所投报货物的技术性能参数进行逐项评议。</w:t>
      </w:r>
      <w:r/>
    </w:p>
    <w:p>
      <w:pPr>
        <w:ind w:firstLine="96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rPr>
          <w:rFonts w:hint="eastAsia"/>
          <w:color w:val="auto"/>
          <w:sz w:val="24"/>
          <w:szCs w:val="24"/>
          <w:highlight w:val="none"/>
        </w:rPr>
        <w:t xml:space="preserve">若无偏离，在“无偏离”栏中填写“无偏离”；若有偏离在“有偏离”栏中填写“正偏离”或“负偏离”，并在“偏离内容”栏中作出说明</w:t>
      </w:r>
      <w:r>
        <w:rPr>
          <w:color w:val="auto"/>
          <w:sz w:val="24"/>
          <w:szCs w:val="24"/>
          <w:highlight w:val="none"/>
        </w:rPr>
        <w:t xml:space="preserve">。</w:t>
      </w:r>
      <w:r/>
    </w:p>
    <w:p>
      <w:pPr>
        <w:ind w:firstLine="964"/>
        <w:spacing w:line="5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 xml:space="preserve">3、</w:t>
      </w:r>
      <w:r>
        <w:rPr>
          <w:rFonts w:hint="eastAsia" w:asciiTheme="minorEastAsia" w:hAnsiTheme="minorEastAsia" w:eastAsiaTheme="minorEastAsia" w:cstheme="minorEastAsia"/>
          <w:b/>
          <w:bCs/>
          <w:color w:val="auto"/>
          <w:sz w:val="24"/>
          <w:szCs w:val="24"/>
          <w:highlight w:val="none"/>
          <w:lang w:val="zh-CN"/>
        </w:rPr>
        <w:t xml:space="preserve">投标文件中</w:t>
      </w:r>
      <w:r>
        <w:rPr>
          <w:rFonts w:hint="eastAsia" w:asciiTheme="minorEastAsia" w:hAnsiTheme="minorEastAsia" w:eastAsiaTheme="minorEastAsia" w:cstheme="minorEastAsia"/>
          <w:b/>
          <w:bCs/>
          <w:color w:val="auto"/>
          <w:sz w:val="24"/>
          <w:szCs w:val="24"/>
          <w:highlight w:val="none"/>
          <w:lang w:val="en-US" w:eastAsia="zh-CN"/>
        </w:rPr>
        <w:t xml:space="preserve">须</w:t>
      </w:r>
      <w:r>
        <w:rPr>
          <w:rFonts w:hint="eastAsia" w:asciiTheme="minorEastAsia" w:hAnsiTheme="minorEastAsia" w:eastAsiaTheme="minorEastAsia" w:cstheme="minorEastAsia"/>
          <w:b/>
          <w:bCs/>
          <w:color w:val="auto"/>
          <w:sz w:val="24"/>
          <w:szCs w:val="24"/>
          <w:highlight w:val="none"/>
          <w:lang w:val="zh-CN"/>
        </w:rPr>
        <w:t xml:space="preserve">提供相关产品</w:t>
      </w:r>
      <w:r>
        <w:rPr>
          <w:rFonts w:hint="eastAsia" w:asciiTheme="minorEastAsia" w:hAnsiTheme="minorEastAsia" w:eastAsiaTheme="minorEastAsia" w:cstheme="minorEastAsia"/>
          <w:b/>
          <w:bCs/>
          <w:color w:val="auto"/>
          <w:sz w:val="24"/>
          <w:szCs w:val="24"/>
          <w:highlight w:val="none"/>
          <w:lang w:val="en-US" w:eastAsia="zh-CN"/>
        </w:rPr>
        <w:t xml:space="preserve">①</w:t>
      </w:r>
      <w:r>
        <w:rPr>
          <w:rFonts w:hint="eastAsia" w:asciiTheme="minorEastAsia" w:hAnsiTheme="minorEastAsia" w:eastAsiaTheme="minorEastAsia" w:cstheme="minorEastAsia"/>
          <w:b/>
          <w:bCs/>
          <w:color w:val="auto"/>
          <w:sz w:val="24"/>
          <w:szCs w:val="24"/>
          <w:highlight w:val="none"/>
          <w:lang w:val="zh-CN"/>
        </w:rPr>
        <w:t xml:space="preserve">包装标识、</w:t>
      </w:r>
      <w:r>
        <w:rPr>
          <w:rFonts w:hint="eastAsia" w:asciiTheme="minorEastAsia" w:hAnsiTheme="minorEastAsia" w:eastAsiaTheme="minorEastAsia" w:cstheme="minorEastAsia"/>
          <w:b/>
          <w:bCs/>
          <w:color w:val="auto"/>
          <w:sz w:val="24"/>
          <w:szCs w:val="24"/>
          <w:highlight w:val="none"/>
          <w:lang w:val="en-US" w:eastAsia="zh-CN"/>
        </w:rPr>
        <w:t xml:space="preserve">②</w:t>
      </w:r>
      <w:r>
        <w:rPr>
          <w:rFonts w:hint="eastAsia" w:asciiTheme="minorEastAsia" w:hAnsiTheme="minorEastAsia" w:eastAsiaTheme="minorEastAsia" w:cstheme="minorEastAsia"/>
          <w:b/>
          <w:bCs/>
          <w:color w:val="auto"/>
          <w:sz w:val="24"/>
          <w:szCs w:val="24"/>
          <w:highlight w:val="none"/>
          <w:lang w:val="zh-CN"/>
        </w:rPr>
        <w:t xml:space="preserve">使用说明书证明材料扫描件（使用说明书应包括亩用量、用法、使用条件），未提供相关证明材料或提供的证明材料无法佐证的，相关技术性能参数视为负偏离。</w:t>
      </w:r>
      <w:r>
        <w:rPr>
          <w:rFonts w:hint="eastAsia" w:ascii="宋体" w:hAnsi="宋体" w:cs="宋体"/>
          <w:b/>
          <w:color w:val="auto"/>
          <w:sz w:val="24"/>
          <w:szCs w:val="24"/>
          <w:highlight w:val="none"/>
          <w:lang w:bidi="ar"/>
        </w:rPr>
        <w:t xml:space="preserve">。</w:t>
      </w:r>
      <w:r/>
    </w:p>
    <w:p>
      <w:pPr>
        <w:ind w:firstLine="960"/>
        <w:spacing w:after="120" w:line="440" w:lineRule="exact"/>
        <w:rPr>
          <w:rFonts w:hint="eastAsia" w:ascii="宋体" w:hAnsi="宋体" w:cs="宋体"/>
          <w:color w:val="auto"/>
          <w:highlight w:val="none"/>
        </w:rPr>
      </w:pPr>
      <w:r>
        <w:rPr>
          <w:rFonts w:hint="eastAsia" w:ascii="宋体" w:hAnsi="宋体" w:cs="宋体"/>
          <w:color w:val="auto"/>
          <w:sz w:val="24"/>
          <w:szCs w:val="24"/>
          <w:highlight w:val="none"/>
          <w:lang w:bidi="ar"/>
        </w:rPr>
        <w:t xml:space="preserve">4、表格不够可另接。</w:t>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page" w:clear="all"/>
      </w:r>
      <w:r/>
    </w:p>
    <w:p>
      <w:pPr>
        <w:ind w:firstLine="482"/>
        <w:jc w:val="center"/>
        <w:spacing w:line="440" w:lineRule="exact"/>
        <w:rPr>
          <w:rFonts w:hint="eastAsia" w:ascii="宋体" w:hAnsi="宋体" w:cs="宋体"/>
          <w:b/>
          <w:bCs/>
          <w:color w:val="auto"/>
          <w:sz w:val="28"/>
          <w:szCs w:val="28"/>
          <w:highlight w:val="none"/>
        </w:rPr>
        <w:outlineLvl w:val="1"/>
      </w:pPr>
      <w:r/>
      <w:bookmarkStart w:id="364" w:name="_Toc24849"/>
      <w:r>
        <w:rPr>
          <w:rFonts w:hint="eastAsia" w:ascii="宋体" w:hAnsi="宋体" w:cs="宋体"/>
          <w:b/>
          <w:bCs/>
          <w:color w:val="auto"/>
          <w:sz w:val="28"/>
          <w:szCs w:val="28"/>
          <w:highlight w:val="none"/>
        </w:rPr>
        <w:t xml:space="preserve">附件4 </w:t>
      </w:r>
      <w:bookmarkEnd w:id="358"/>
      <w:r/>
      <w:bookmarkEnd w:id="359"/>
      <w:r/>
      <w:bookmarkEnd w:id="360"/>
      <w:r/>
      <w:bookmarkEnd w:id="361"/>
      <w:r/>
      <w:bookmarkEnd w:id="362"/>
      <w:r>
        <w:rPr>
          <w:rFonts w:hint="eastAsia" w:ascii="宋体" w:hAnsi="宋体" w:cs="宋体"/>
          <w:b/>
          <w:bCs/>
          <w:color w:val="auto"/>
          <w:sz w:val="28"/>
          <w:szCs w:val="28"/>
          <w:highlight w:val="none"/>
        </w:rPr>
        <w:t xml:space="preserve">项目实施方案</w:t>
      </w:r>
      <w:bookmarkEnd w:id="364"/>
      <w:r/>
      <w:r/>
    </w:p>
    <w:p>
      <w:pPr>
        <w:ind w:firstLine="480"/>
        <w:spacing w:line="440" w:lineRule="exact"/>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根据</w:t>
      </w:r>
      <w:r>
        <w:rPr>
          <w:rFonts w:hint="eastAsia" w:ascii="宋体" w:hAnsi="宋体" w:cs="宋体"/>
          <w:color w:val="auto"/>
          <w:sz w:val="24"/>
          <w:szCs w:val="24"/>
          <w:highlight w:val="none"/>
          <w:lang w:eastAsia="zh-CN" w:bidi="ar"/>
        </w:rPr>
        <w:t xml:space="preserve">“第四章 采购需求”、</w:t>
      </w:r>
      <w:r>
        <w:rPr>
          <w:rFonts w:hint="eastAsia" w:ascii="宋体" w:hAnsi="宋体" w:cs="宋体"/>
          <w:color w:val="auto"/>
          <w:sz w:val="24"/>
          <w:szCs w:val="24"/>
          <w:highlight w:val="none"/>
          <w:lang w:bidi="ar"/>
        </w:rPr>
        <w:t xml:space="preserve">“第五章  评标方法与评标标准”提供相关说明并提供证明材料</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如果有的话</w:t>
      </w:r>
      <w:r>
        <w:rPr>
          <w:rFonts w:hint="eastAsia" w:ascii="宋体" w:hAnsi="宋体" w:cs="宋体"/>
          <w:color w:val="auto"/>
          <w:sz w:val="24"/>
          <w:szCs w:val="24"/>
          <w:highlight w:val="none"/>
          <w:lang w:eastAsia="zh-CN" w:bidi="ar"/>
        </w:rPr>
        <w:t xml:space="preserve">）</w:t>
      </w:r>
      <w:r/>
    </w:p>
    <w:p>
      <w:pPr>
        <w:ind w:firstLine="222"/>
        <w:spacing w:line="440" w:lineRule="exact"/>
        <w:rPr>
          <w:rFonts w:hint="eastAsia" w:eastAsia="宋体"/>
          <w:color w:val="auto"/>
          <w:sz w:val="24"/>
          <w:szCs w:val="24"/>
          <w:highlight w:val="none"/>
          <w:lang w:eastAsia="zh-CN"/>
        </w:rPr>
      </w:pPr>
      <w:r>
        <w:rPr>
          <w:rFonts w:hint="eastAsia"/>
          <w:color w:val="auto"/>
          <w:sz w:val="24"/>
          <w:szCs w:val="24"/>
          <w:highlight w:val="none"/>
        </w:rPr>
        <w:t xml:space="preserve">包括但不限于项目实施方案</w:t>
      </w:r>
      <w:r>
        <w:rPr>
          <w:rFonts w:hint="eastAsia"/>
          <w:color w:val="auto"/>
          <w:sz w:val="24"/>
          <w:szCs w:val="24"/>
          <w:highlight w:val="none"/>
          <w:lang w:eastAsia="zh-CN"/>
        </w:rPr>
        <w:t xml:space="preserve">、</w:t>
      </w:r>
      <w:r>
        <w:rPr>
          <w:rFonts w:hint="eastAsia"/>
          <w:color w:val="auto"/>
          <w:sz w:val="24"/>
          <w:szCs w:val="24"/>
          <w:highlight w:val="none"/>
        </w:rPr>
        <w:t xml:space="preserve">售后服务</w:t>
      </w:r>
      <w:r>
        <w:rPr>
          <w:rFonts w:hint="eastAsia"/>
          <w:color w:val="auto"/>
          <w:sz w:val="24"/>
          <w:szCs w:val="24"/>
          <w:highlight w:val="none"/>
          <w:lang w:eastAsia="zh-CN"/>
        </w:rPr>
        <w:t xml:space="preserve">、免费质量保证、响应时间承诺</w:t>
      </w:r>
      <w:r/>
    </w:p>
    <w:p>
      <w:pPr>
        <w:ind w:firstLine="480"/>
        <w:spacing w:line="440" w:lineRule="exact"/>
        <w:rPr>
          <w:rFonts w:hint="eastAsia" w:ascii="宋体" w:hAnsi="宋体" w:cs="宋体"/>
          <w:color w:val="auto"/>
          <w:highlight w:val="none"/>
        </w:rPr>
      </w:pPr>
      <w:r>
        <w:rPr>
          <w:rFonts w:hint="eastAsia" w:ascii="宋体" w:hAnsi="宋体" w:cs="宋体"/>
          <w:color w:val="auto"/>
          <w:sz w:val="24"/>
          <w:szCs w:val="24"/>
          <w:highlight w:val="none"/>
        </w:rPr>
        <w:br w:type="page" w:clear="all"/>
      </w:r>
      <w:r/>
    </w:p>
    <w:p>
      <w:pPr>
        <w:ind w:firstLine="482"/>
        <w:jc w:val="center"/>
        <w:spacing w:line="440" w:lineRule="exact"/>
        <w:rPr>
          <w:rFonts w:hint="eastAsia" w:ascii="宋体" w:hAnsi="宋体" w:cs="宋体"/>
          <w:b/>
          <w:bCs/>
          <w:color w:val="auto"/>
          <w:sz w:val="28"/>
          <w:szCs w:val="28"/>
          <w:highlight w:val="none"/>
        </w:rPr>
        <w:outlineLvl w:val="1"/>
      </w:pPr>
      <w:r/>
      <w:bookmarkStart w:id="365" w:name="_Toc31888"/>
      <w:r>
        <w:rPr>
          <w:rFonts w:hint="eastAsia" w:ascii="宋体" w:hAnsi="宋体" w:cs="宋体"/>
          <w:b/>
          <w:bCs/>
          <w:color w:val="auto"/>
          <w:sz w:val="28"/>
          <w:szCs w:val="28"/>
          <w:highlight w:val="none"/>
        </w:rPr>
        <w:t xml:space="preserve">附件</w:t>
      </w:r>
      <w:r>
        <w:rPr>
          <w:rFonts w:hint="eastAsia" w:ascii="宋体" w:hAnsi="宋体" w:cs="宋体"/>
          <w:b/>
          <w:bCs/>
          <w:color w:val="auto"/>
          <w:sz w:val="28"/>
          <w:szCs w:val="28"/>
          <w:highlight w:val="none"/>
          <w:lang w:val="en-US" w:eastAsia="zh-CN"/>
        </w:rPr>
        <w:t xml:space="preserve">5</w:t>
      </w:r>
      <w:r>
        <w:rPr>
          <w:rFonts w:hint="eastAsia" w:ascii="宋体" w:hAnsi="宋体" w:cs="宋体"/>
          <w:b/>
          <w:bCs/>
          <w:color w:val="auto"/>
          <w:sz w:val="28"/>
          <w:szCs w:val="28"/>
          <w:highlight w:val="none"/>
        </w:rPr>
        <w:t xml:space="preserve"> 业绩一览表</w:t>
      </w:r>
      <w:bookmarkEnd w:id="365"/>
      <w:r/>
      <w:r/>
    </w:p>
    <w:tbl>
      <w:tblPr>
        <w:tblStyle w:val="789"/>
        <w:tblW w:w="10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3080"/>
        <w:gridCol w:w="1899"/>
        <w:gridCol w:w="1558"/>
        <w:gridCol w:w="1821"/>
        <w:gridCol w:w="1208"/>
      </w:tblGrid>
      <w:tr>
        <w:trPr>
          <w:jc w:val="center"/>
          <w:trHeight w:val="405"/>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pStyle w:val="814"/>
              <w:jc w:val="center"/>
              <w:spacing w:before="0" w:beforeAutospacing="0" w:after="0" w:afterAutospacing="0"/>
              <w:widowControl w:val="off"/>
              <w:rPr>
                <w:rFonts w:hint="eastAsia"/>
                <w:color w:val="auto"/>
                <w:szCs w:val="20"/>
                <w:highlight w:val="none"/>
              </w:rPr>
            </w:pPr>
            <w:r>
              <w:rPr>
                <w:rFonts w:hint="eastAsia"/>
                <w:color w:val="auto"/>
                <w:szCs w:val="20"/>
                <w:highlight w:val="none"/>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080" w:type="dxa"/>
            <w:vAlign w:val="center"/>
            <w:textDirection w:val="lrTb"/>
            <w:noWrap w:val="false"/>
          </w:tcPr>
          <w:p>
            <w:pPr>
              <w:pStyle w:val="814"/>
              <w:jc w:val="center"/>
              <w:spacing w:before="0" w:beforeAutospacing="0" w:after="0" w:afterAutospacing="0"/>
              <w:widowControl w:val="off"/>
              <w:rPr>
                <w:rFonts w:hint="eastAsia"/>
                <w:color w:val="auto"/>
                <w:szCs w:val="20"/>
                <w:highlight w:val="none"/>
              </w:rPr>
            </w:pPr>
            <w:r>
              <w:rPr>
                <w:rFonts w:hint="eastAsia"/>
                <w:color w:val="auto"/>
                <w:szCs w:val="20"/>
                <w:highlight w:val="none"/>
                <w:lang w:bidi="ar"/>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1899" w:type="dxa"/>
            <w:vAlign w:val="center"/>
            <w:textDirection w:val="lrTb"/>
            <w:noWrap w:val="false"/>
          </w:tcPr>
          <w:p>
            <w:pPr>
              <w:pStyle w:val="814"/>
              <w:jc w:val="center"/>
              <w:spacing w:before="0" w:beforeAutospacing="0" w:after="0" w:afterAutospacing="0"/>
              <w:widowControl w:val="off"/>
              <w:rPr>
                <w:rFonts w:hint="eastAsia"/>
                <w:color w:val="auto"/>
                <w:szCs w:val="20"/>
                <w:highlight w:val="none"/>
              </w:rPr>
            </w:pPr>
            <w:r>
              <w:rPr>
                <w:rFonts w:hint="eastAsia"/>
                <w:color w:val="auto"/>
                <w:szCs w:val="20"/>
                <w:highlight w:val="none"/>
                <w:lang w:bidi="ar"/>
              </w:rPr>
              <w:t xml:space="preserve">合同金额</w:t>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pStyle w:val="814"/>
              <w:jc w:val="center"/>
              <w:spacing w:before="0" w:beforeAutospacing="0" w:after="0" w:afterAutospacing="0"/>
              <w:widowControl w:val="off"/>
              <w:rPr>
                <w:rFonts w:hint="eastAsia"/>
                <w:color w:val="auto"/>
                <w:szCs w:val="20"/>
                <w:highlight w:val="none"/>
              </w:rPr>
            </w:pPr>
            <w:r>
              <w:rPr>
                <w:rFonts w:hint="eastAsia"/>
                <w:color w:val="auto"/>
                <w:szCs w:val="20"/>
                <w:highlight w:val="none"/>
                <w:lang w:bidi="ar"/>
              </w:rPr>
              <w:t xml:space="preserve">实施日期</w:t>
            </w:r>
            <w:r/>
          </w:p>
        </w:tc>
        <w:tc>
          <w:tcPr>
            <w:shd w:val="clear" w:color="auto" w:fill="auto"/>
            <w:tcBorders>
              <w:top w:val="single" w:color="auto" w:sz="4" w:space="0"/>
              <w:left w:val="single" w:color="auto" w:sz="4" w:space="0"/>
              <w:bottom w:val="single" w:color="auto" w:sz="4" w:space="0"/>
              <w:right w:val="single" w:color="auto" w:sz="4" w:space="0"/>
            </w:tcBorders>
            <w:tcW w:w="1821" w:type="dxa"/>
            <w:vAlign w:val="center"/>
            <w:textDirection w:val="lrTb"/>
            <w:noWrap w:val="false"/>
          </w:tcPr>
          <w:p>
            <w:pPr>
              <w:pStyle w:val="814"/>
              <w:jc w:val="center"/>
              <w:spacing w:before="0" w:beforeAutospacing="0" w:after="0" w:afterAutospacing="0"/>
              <w:widowControl w:val="off"/>
              <w:rPr>
                <w:rFonts w:hint="eastAsia"/>
                <w:color w:val="auto"/>
                <w:szCs w:val="20"/>
                <w:highlight w:val="none"/>
              </w:rPr>
            </w:pPr>
            <w:r>
              <w:rPr>
                <w:rFonts w:hint="eastAsia"/>
                <w:color w:val="auto"/>
                <w:szCs w:val="20"/>
                <w:highlight w:val="none"/>
                <w:lang w:bidi="ar"/>
              </w:rPr>
              <w:t xml:space="preserve">业主方联系人及联系电话</w:t>
            </w:r>
            <w:r/>
          </w:p>
        </w:tc>
        <w:tc>
          <w:tcPr>
            <w:shd w:val="clear" w:color="auto" w:fill="auto"/>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pStyle w:val="814"/>
              <w:jc w:val="center"/>
              <w:spacing w:before="0" w:beforeAutospacing="0" w:after="0" w:afterAutospacing="0"/>
              <w:widowControl w:val="off"/>
              <w:rPr>
                <w:rFonts w:hint="eastAsia"/>
                <w:color w:val="auto"/>
                <w:szCs w:val="20"/>
                <w:highlight w:val="none"/>
              </w:rPr>
            </w:pPr>
            <w:r>
              <w:rPr>
                <w:rFonts w:hint="eastAsia"/>
                <w:color w:val="auto"/>
                <w:szCs w:val="20"/>
                <w:highlight w:val="none"/>
                <w:lang w:bidi="ar"/>
              </w:rPr>
              <w:t xml:space="preserve">备注</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pStyle w:val="814"/>
              <w:jc w:val="center"/>
              <w:spacing w:before="0" w:beforeAutospacing="0" w:after="0" w:afterAutospacing="0" w:line="500" w:lineRule="exact"/>
              <w:widowControl w:val="off"/>
              <w:rPr>
                <w:rFonts w:hint="eastAsia"/>
                <w:color w:val="auto"/>
                <w:szCs w:val="20"/>
                <w:highlight w:val="none"/>
              </w:rPr>
            </w:pPr>
            <w:r>
              <w:rPr>
                <w:rFonts w:hint="eastAsia"/>
                <w:color w:val="auto"/>
                <w:szCs w:val="20"/>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080" w:type="dxa"/>
            <w:vAlign w:val="center"/>
            <w:textDirection w:val="lrTb"/>
            <w:noWrap w:val="false"/>
          </w:tcPr>
          <w:p>
            <w:pPr>
              <w:pStyle w:val="814"/>
              <w:jc w:val="center"/>
              <w:spacing w:before="0" w:beforeAutospacing="0" w:after="0" w:afterAutospacing="0" w:line="500" w:lineRule="exact"/>
              <w:widowControl w:val="off"/>
              <w:rPr>
                <w:rFonts w:hint="eastAsia"/>
                <w:color w:val="auto"/>
                <w:szCs w:val="20"/>
                <w:highlight w:val="none"/>
              </w:rPr>
            </w:pPr>
            <w:r>
              <w:rPr>
                <w:rFonts w:hint="eastAsia"/>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99" w:type="dxa"/>
            <w:vAlign w:val="center"/>
            <w:textDirection w:val="lrTb"/>
            <w:noWrap w:val="false"/>
          </w:tcPr>
          <w:p>
            <w:pPr>
              <w:pStyle w:val="814"/>
              <w:jc w:val="center"/>
              <w:spacing w:before="0" w:beforeAutospacing="0" w:after="0" w:afterAutospacing="0" w:line="500" w:lineRule="exact"/>
              <w:widowControl w:val="off"/>
              <w:rPr>
                <w:rFonts w:hint="eastAsia"/>
                <w:color w:val="auto"/>
                <w:szCs w:val="20"/>
                <w:highlight w:val="none"/>
              </w:rPr>
            </w:pPr>
            <w:r>
              <w:rPr>
                <w:rFonts w:hint="eastAsia"/>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pStyle w:val="814"/>
              <w:jc w:val="center"/>
              <w:spacing w:before="0" w:beforeAutospacing="0" w:after="0" w:afterAutospacing="0" w:line="500" w:lineRule="exact"/>
              <w:widowControl w:val="off"/>
              <w:rPr>
                <w:rFonts w:hint="eastAsia"/>
                <w:color w:val="auto"/>
                <w:szCs w:val="20"/>
                <w:highlight w:val="none"/>
              </w:rPr>
            </w:pPr>
            <w:r>
              <w:rPr>
                <w:rFonts w:hint="eastAsia"/>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21" w:type="dxa"/>
            <w:textDirection w:val="lrTb"/>
            <w:noWrap w:val="false"/>
          </w:tcPr>
          <w:p>
            <w:pPr>
              <w:pStyle w:val="814"/>
              <w:jc w:val="center"/>
              <w:spacing w:before="0" w:beforeAutospacing="0" w:after="0" w:afterAutospacing="0" w:line="500" w:lineRule="exact"/>
              <w:widowControl w:val="off"/>
              <w:rPr>
                <w:rFonts w:hint="eastAsia"/>
                <w:color w:val="auto"/>
                <w:szCs w:val="20"/>
                <w:highlight w:val="none"/>
              </w:rPr>
            </w:pPr>
            <w:r>
              <w:rPr>
                <w:rFonts w:hint="eastAsia"/>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pStyle w:val="814"/>
              <w:jc w:val="center"/>
              <w:spacing w:before="0" w:beforeAutospacing="0" w:after="0" w:afterAutospacing="0" w:line="500" w:lineRule="exact"/>
              <w:widowControl w:val="off"/>
              <w:rPr>
                <w:rFonts w:hint="eastAsia"/>
                <w:color w:val="auto"/>
                <w:szCs w:val="20"/>
                <w:highlight w:val="none"/>
              </w:rPr>
            </w:pPr>
            <w:r>
              <w:rPr>
                <w:rFonts w:hint="eastAsia"/>
                <w:color w:val="auto"/>
                <w:szCs w:val="20"/>
                <w:highlight w:val="none"/>
              </w:rPr>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pStyle w:val="814"/>
              <w:jc w:val="center"/>
              <w:spacing w:before="0" w:beforeAutospacing="0" w:after="0" w:afterAutospacing="0" w:line="500" w:lineRule="exact"/>
              <w:widowControl w:val="off"/>
              <w:rPr>
                <w:rFonts w:hint="eastAsia"/>
                <w:color w:val="auto"/>
                <w:szCs w:val="20"/>
                <w:highlight w:val="none"/>
              </w:rPr>
            </w:pPr>
            <w:r>
              <w:rPr>
                <w:rFonts w:hint="eastAsia"/>
                <w:color w:val="auto"/>
                <w:szCs w:val="20"/>
                <w:highlight w:val="none"/>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080" w:type="dxa"/>
            <w:vAlign w:val="center"/>
            <w:textDirection w:val="lrTb"/>
            <w:noWrap w:val="false"/>
          </w:tcPr>
          <w:p>
            <w:pPr>
              <w:pStyle w:val="814"/>
              <w:jc w:val="center"/>
              <w:spacing w:before="0" w:beforeAutospacing="0" w:after="0" w:afterAutospacing="0" w:line="500" w:lineRule="exact"/>
              <w:widowControl w:val="off"/>
              <w:rPr>
                <w:rFonts w:hint="eastAsia"/>
                <w:color w:val="auto"/>
                <w:szCs w:val="20"/>
                <w:highlight w:val="none"/>
              </w:rPr>
            </w:pPr>
            <w:r>
              <w:rPr>
                <w:rFonts w:hint="eastAsia"/>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99" w:type="dxa"/>
            <w:vAlign w:val="center"/>
            <w:textDirection w:val="lrTb"/>
            <w:noWrap w:val="false"/>
          </w:tcPr>
          <w:p>
            <w:pPr>
              <w:pStyle w:val="814"/>
              <w:jc w:val="center"/>
              <w:spacing w:before="0" w:beforeAutospacing="0" w:after="0" w:afterAutospacing="0" w:line="500" w:lineRule="exact"/>
              <w:widowControl w:val="off"/>
              <w:rPr>
                <w:rFonts w:hint="eastAsia"/>
                <w:color w:val="auto"/>
                <w:szCs w:val="20"/>
                <w:highlight w:val="none"/>
              </w:rPr>
            </w:pPr>
            <w:r>
              <w:rPr>
                <w:rFonts w:hint="eastAsia"/>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pStyle w:val="814"/>
              <w:jc w:val="center"/>
              <w:spacing w:before="0" w:beforeAutospacing="0" w:after="0" w:afterAutospacing="0" w:line="500" w:lineRule="exact"/>
              <w:widowControl w:val="off"/>
              <w:rPr>
                <w:rFonts w:hint="eastAsia"/>
                <w:color w:val="auto"/>
                <w:szCs w:val="20"/>
                <w:highlight w:val="none"/>
              </w:rPr>
            </w:pPr>
            <w:r>
              <w:rPr>
                <w:rFonts w:hint="eastAsia"/>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21" w:type="dxa"/>
            <w:textDirection w:val="lrTb"/>
            <w:noWrap w:val="false"/>
          </w:tcPr>
          <w:p>
            <w:pPr>
              <w:pStyle w:val="814"/>
              <w:jc w:val="center"/>
              <w:spacing w:before="0" w:beforeAutospacing="0" w:after="0" w:afterAutospacing="0" w:line="500" w:lineRule="exact"/>
              <w:widowControl w:val="off"/>
              <w:rPr>
                <w:rFonts w:hint="eastAsia"/>
                <w:color w:val="auto"/>
                <w:szCs w:val="20"/>
                <w:highlight w:val="none"/>
              </w:rPr>
            </w:pPr>
            <w:r>
              <w:rPr>
                <w:rFonts w:hint="eastAsia"/>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pStyle w:val="814"/>
              <w:jc w:val="center"/>
              <w:spacing w:before="0" w:beforeAutospacing="0" w:after="0" w:afterAutospacing="0" w:line="500" w:lineRule="exact"/>
              <w:widowControl w:val="off"/>
              <w:rPr>
                <w:rFonts w:hint="eastAsia"/>
                <w:color w:val="auto"/>
                <w:szCs w:val="20"/>
                <w:highlight w:val="none"/>
              </w:rPr>
            </w:pPr>
            <w:r>
              <w:rPr>
                <w:rFonts w:hint="eastAsia"/>
                <w:color w:val="auto"/>
                <w:szCs w:val="20"/>
                <w:highlight w:val="none"/>
              </w:rPr>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pStyle w:val="814"/>
              <w:jc w:val="center"/>
              <w:spacing w:before="0" w:beforeAutospacing="0" w:after="0" w:afterAutospacing="0" w:line="500" w:lineRule="exact"/>
              <w:widowControl w:val="off"/>
              <w:rPr>
                <w:rFonts w:hint="eastAsia"/>
                <w:color w:val="auto"/>
                <w:szCs w:val="20"/>
                <w:highlight w:val="none"/>
              </w:rPr>
            </w:pPr>
            <w:r>
              <w:rPr>
                <w:rFonts w:hint="eastAsia"/>
                <w:color w:val="auto"/>
                <w:szCs w:val="20"/>
                <w:highlight w:val="none"/>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080" w:type="dxa"/>
            <w:vAlign w:val="center"/>
            <w:textDirection w:val="lrTb"/>
            <w:noWrap w:val="false"/>
          </w:tcPr>
          <w:p>
            <w:pPr>
              <w:pStyle w:val="814"/>
              <w:jc w:val="center"/>
              <w:spacing w:before="0" w:beforeAutospacing="0" w:after="0" w:afterAutospacing="0" w:line="500" w:lineRule="exact"/>
              <w:widowControl w:val="off"/>
              <w:rPr>
                <w:rFonts w:hint="eastAsia"/>
                <w:color w:val="auto"/>
                <w:szCs w:val="20"/>
                <w:highlight w:val="none"/>
              </w:rPr>
            </w:pPr>
            <w:r>
              <w:rPr>
                <w:rFonts w:hint="eastAsia"/>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99" w:type="dxa"/>
            <w:vAlign w:val="center"/>
            <w:textDirection w:val="lrTb"/>
            <w:noWrap w:val="false"/>
          </w:tcPr>
          <w:p>
            <w:pPr>
              <w:pStyle w:val="814"/>
              <w:jc w:val="center"/>
              <w:spacing w:before="0" w:beforeAutospacing="0" w:after="0" w:afterAutospacing="0" w:line="500" w:lineRule="exact"/>
              <w:widowControl w:val="off"/>
              <w:rPr>
                <w:rFonts w:hint="eastAsia"/>
                <w:color w:val="auto"/>
                <w:szCs w:val="20"/>
                <w:highlight w:val="none"/>
              </w:rPr>
            </w:pPr>
            <w:r>
              <w:rPr>
                <w:rFonts w:hint="eastAsia"/>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pStyle w:val="814"/>
              <w:jc w:val="center"/>
              <w:spacing w:before="0" w:beforeAutospacing="0" w:after="0" w:afterAutospacing="0" w:line="500" w:lineRule="exact"/>
              <w:widowControl w:val="off"/>
              <w:rPr>
                <w:rFonts w:hint="eastAsia"/>
                <w:color w:val="auto"/>
                <w:szCs w:val="20"/>
                <w:highlight w:val="none"/>
              </w:rPr>
            </w:pPr>
            <w:r>
              <w:rPr>
                <w:rFonts w:hint="eastAsia"/>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21" w:type="dxa"/>
            <w:textDirection w:val="lrTb"/>
            <w:noWrap w:val="false"/>
          </w:tcPr>
          <w:p>
            <w:pPr>
              <w:pStyle w:val="814"/>
              <w:jc w:val="center"/>
              <w:spacing w:before="0" w:beforeAutospacing="0" w:after="0" w:afterAutospacing="0" w:line="500" w:lineRule="exact"/>
              <w:widowControl w:val="off"/>
              <w:rPr>
                <w:rFonts w:hint="eastAsia"/>
                <w:color w:val="auto"/>
                <w:szCs w:val="20"/>
                <w:highlight w:val="none"/>
              </w:rPr>
            </w:pPr>
            <w:r>
              <w:rPr>
                <w:rFonts w:hint="eastAsia"/>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pStyle w:val="814"/>
              <w:jc w:val="center"/>
              <w:spacing w:before="0" w:beforeAutospacing="0" w:after="0" w:afterAutospacing="0" w:line="500" w:lineRule="exact"/>
              <w:widowControl w:val="off"/>
              <w:rPr>
                <w:rFonts w:hint="eastAsia"/>
                <w:color w:val="auto"/>
                <w:szCs w:val="20"/>
                <w:highlight w:val="none"/>
              </w:rPr>
            </w:pPr>
            <w:r>
              <w:rPr>
                <w:rFonts w:hint="eastAsia"/>
                <w:color w:val="auto"/>
                <w:szCs w:val="20"/>
                <w:highlight w:val="none"/>
              </w:rPr>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pStyle w:val="814"/>
              <w:jc w:val="center"/>
              <w:spacing w:before="0" w:beforeAutospacing="0" w:after="0" w:afterAutospacing="0" w:line="500" w:lineRule="exact"/>
              <w:widowControl w:val="off"/>
              <w:rPr>
                <w:rFonts w:hint="eastAsia"/>
                <w:color w:val="auto"/>
                <w:szCs w:val="20"/>
                <w:highlight w:val="none"/>
              </w:rPr>
            </w:pPr>
            <w:r>
              <w:rPr>
                <w:rFonts w:hint="eastAsia"/>
                <w:color w:val="auto"/>
                <w:szCs w:val="20"/>
                <w:highlight w:val="none"/>
                <w:lang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080" w:type="dxa"/>
            <w:vAlign w:val="center"/>
            <w:textDirection w:val="lrTb"/>
            <w:noWrap w:val="false"/>
          </w:tcPr>
          <w:p>
            <w:pPr>
              <w:pStyle w:val="814"/>
              <w:jc w:val="center"/>
              <w:spacing w:before="0" w:beforeAutospacing="0" w:after="0" w:afterAutospacing="0" w:line="500" w:lineRule="exact"/>
              <w:widowControl w:val="off"/>
              <w:rPr>
                <w:rFonts w:hint="eastAsia"/>
                <w:color w:val="auto"/>
                <w:szCs w:val="20"/>
                <w:highlight w:val="none"/>
              </w:rPr>
            </w:pPr>
            <w:r>
              <w:rPr>
                <w:rFonts w:hint="eastAsia"/>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99" w:type="dxa"/>
            <w:vAlign w:val="center"/>
            <w:textDirection w:val="lrTb"/>
            <w:noWrap w:val="false"/>
          </w:tcPr>
          <w:p>
            <w:pPr>
              <w:pStyle w:val="814"/>
              <w:jc w:val="center"/>
              <w:spacing w:before="0" w:beforeAutospacing="0" w:after="0" w:afterAutospacing="0" w:line="500" w:lineRule="exact"/>
              <w:widowControl w:val="off"/>
              <w:rPr>
                <w:rFonts w:hint="eastAsia"/>
                <w:color w:val="auto"/>
                <w:szCs w:val="20"/>
                <w:highlight w:val="none"/>
              </w:rPr>
            </w:pPr>
            <w:r>
              <w:rPr>
                <w:rFonts w:hint="eastAsia"/>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pStyle w:val="814"/>
              <w:jc w:val="center"/>
              <w:spacing w:before="0" w:beforeAutospacing="0" w:after="0" w:afterAutospacing="0" w:line="500" w:lineRule="exact"/>
              <w:widowControl w:val="off"/>
              <w:rPr>
                <w:rFonts w:hint="eastAsia"/>
                <w:color w:val="auto"/>
                <w:szCs w:val="20"/>
                <w:highlight w:val="none"/>
              </w:rPr>
            </w:pPr>
            <w:r>
              <w:rPr>
                <w:rFonts w:hint="eastAsia"/>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821" w:type="dxa"/>
            <w:textDirection w:val="lrTb"/>
            <w:noWrap w:val="false"/>
          </w:tcPr>
          <w:p>
            <w:pPr>
              <w:pStyle w:val="814"/>
              <w:jc w:val="center"/>
              <w:spacing w:before="0" w:beforeAutospacing="0" w:after="0" w:afterAutospacing="0" w:line="500" w:lineRule="exact"/>
              <w:widowControl w:val="off"/>
              <w:rPr>
                <w:rFonts w:hint="eastAsia"/>
                <w:color w:val="auto"/>
                <w:szCs w:val="20"/>
                <w:highlight w:val="none"/>
              </w:rPr>
            </w:pPr>
            <w:r>
              <w:rPr>
                <w:rFonts w:hint="eastAsia"/>
                <w:color w:val="auto"/>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pStyle w:val="814"/>
              <w:jc w:val="center"/>
              <w:spacing w:before="0" w:beforeAutospacing="0" w:after="0" w:afterAutospacing="0" w:line="500" w:lineRule="exact"/>
              <w:widowControl w:val="off"/>
              <w:rPr>
                <w:rFonts w:hint="eastAsia"/>
                <w:color w:val="auto"/>
                <w:szCs w:val="20"/>
                <w:highlight w:val="none"/>
              </w:rPr>
            </w:pPr>
            <w:r>
              <w:rPr>
                <w:rFonts w:hint="eastAsia"/>
                <w:color w:val="auto"/>
                <w:szCs w:val="20"/>
                <w:highlight w:val="none"/>
              </w:rPr>
            </w:r>
            <w:r/>
          </w:p>
        </w:tc>
      </w:tr>
    </w:tbl>
    <w:p>
      <w:pPr>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注：1、根据“第五章  评标方法与评标标准”提供相关说明并提供证明材料。</w:t>
      </w:r>
      <w:r/>
    </w:p>
    <w:p>
      <w:pPr>
        <w:ind w:firstLine="480"/>
        <w:spacing w:line="360" w:lineRule="auto"/>
        <w:rPr>
          <w:rFonts w:hint="eastAsia" w:ascii="宋体" w:hAnsi="宋体" w:cs="宋体"/>
          <w:color w:val="auto"/>
          <w:highlight w:val="none"/>
        </w:rPr>
      </w:pP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、如有需要说明的事项，请在备注中列明。</w:t>
      </w:r>
      <w:r/>
    </w:p>
    <w:p>
      <w:pPr>
        <w:ind w:firstLine="720"/>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firstLine="482"/>
        <w:jc w:val="center"/>
        <w:spacing w:line="440" w:lineRule="exact"/>
        <w:rPr>
          <w:rFonts w:hint="eastAsia" w:ascii="宋体" w:hAnsi="宋体" w:cs="宋体"/>
          <w:b/>
          <w:bCs/>
          <w:color w:val="auto"/>
          <w:sz w:val="28"/>
          <w:szCs w:val="28"/>
          <w:highlight w:val="none"/>
        </w:rPr>
        <w:outlineLvl w:val="1"/>
      </w:pPr>
      <w:r>
        <w:rPr>
          <w:rFonts w:hint="eastAsia" w:ascii="宋体" w:hAnsi="宋体" w:cs="宋体"/>
          <w:b/>
          <w:color w:val="auto"/>
          <w:sz w:val="24"/>
          <w:szCs w:val="24"/>
          <w:highlight w:val="none"/>
        </w:rPr>
        <w:br w:type="page" w:clear="all"/>
      </w:r>
      <w:bookmarkStart w:id="366" w:name="_Toc18927"/>
      <w:r>
        <w:rPr>
          <w:rFonts w:hint="eastAsia" w:ascii="宋体" w:hAnsi="宋体" w:cs="宋体"/>
          <w:b/>
          <w:bCs/>
          <w:color w:val="auto"/>
          <w:sz w:val="28"/>
          <w:szCs w:val="28"/>
          <w:highlight w:val="none"/>
        </w:rPr>
        <w:t xml:space="preserve">附件</w:t>
      </w:r>
      <w:r>
        <w:rPr>
          <w:rFonts w:hint="eastAsia" w:ascii="宋体" w:hAnsi="宋体" w:cs="宋体"/>
          <w:b/>
          <w:bCs/>
          <w:color w:val="auto"/>
          <w:sz w:val="28"/>
          <w:szCs w:val="28"/>
          <w:highlight w:val="none"/>
          <w:lang w:val="en-US" w:eastAsia="zh-CN"/>
        </w:rPr>
        <w:t xml:space="preserve">6</w:t>
      </w:r>
      <w:r>
        <w:rPr>
          <w:rFonts w:hint="eastAsia" w:ascii="宋体" w:hAnsi="宋体" w:cs="宋体"/>
          <w:b/>
          <w:bCs/>
          <w:color w:val="auto"/>
          <w:sz w:val="28"/>
          <w:szCs w:val="28"/>
          <w:highlight w:val="none"/>
        </w:rPr>
        <w:t xml:space="preserve"> 商务要求响应及偏离表</w:t>
      </w:r>
      <w:bookmarkEnd w:id="366"/>
      <w:r/>
      <w:r/>
    </w:p>
    <w:tbl>
      <w:tblPr>
        <w:tblStyle w:val="7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85"/>
        <w:gridCol w:w="1905"/>
        <w:gridCol w:w="2940"/>
      </w:tblGrid>
      <w:tr>
        <w:trPr>
          <w:jc w:val="center"/>
          <w:trHeight w:val="340"/>
        </w:trPr>
        <w:tc>
          <w:tcPr>
            <w:tcW w:w="4185" w:type="dxa"/>
            <w:vAlign w:val="center"/>
            <w:textDirection w:val="lrTb"/>
            <w:noWrap w:val="false"/>
          </w:tcPr>
          <w:p>
            <w:pPr>
              <w:jc w:val="center"/>
              <w:spacing w:line="276" w:lineRule="auto"/>
              <w:rPr>
                <w:rFonts w:hint="eastAsia" w:ascii="宋体" w:hAnsi="宋体" w:cs="宋体"/>
                <w:b/>
                <w:color w:val="auto"/>
                <w:highlight w:val="none"/>
              </w:rPr>
            </w:pPr>
            <w:r>
              <w:rPr>
                <w:rFonts w:hint="eastAsia" w:ascii="宋体" w:hAnsi="宋体" w:cs="宋体"/>
                <w:b/>
                <w:color w:val="auto"/>
                <w:highlight w:val="none"/>
              </w:rPr>
              <w:t xml:space="preserve">合同条款号</w:t>
            </w:r>
            <w:r/>
          </w:p>
        </w:tc>
        <w:tc>
          <w:tcPr>
            <w:tcW w:w="1905" w:type="dxa"/>
            <w:vAlign w:val="center"/>
            <w:textDirection w:val="lrTb"/>
            <w:noWrap w:val="false"/>
          </w:tcPr>
          <w:p>
            <w:pPr>
              <w:jc w:val="center"/>
              <w:spacing w:line="276" w:lineRule="auto"/>
              <w:rPr>
                <w:rFonts w:hint="eastAsia" w:ascii="宋体" w:hAnsi="宋体" w:cs="宋体"/>
                <w:b/>
                <w:color w:val="auto"/>
                <w:highlight w:val="none"/>
              </w:rPr>
            </w:pPr>
            <w:r>
              <w:rPr>
                <w:rFonts w:hint="eastAsia" w:ascii="宋体" w:hAnsi="宋体" w:cs="宋体"/>
                <w:b/>
                <w:color w:val="auto"/>
                <w:highlight w:val="none"/>
              </w:rPr>
              <w:t xml:space="preserve">有无偏离</w:t>
            </w:r>
            <w:r/>
          </w:p>
        </w:tc>
        <w:tc>
          <w:tcPr>
            <w:tcW w:w="2940" w:type="dxa"/>
            <w:vAlign w:val="center"/>
            <w:textDirection w:val="lrTb"/>
            <w:noWrap w:val="false"/>
          </w:tcPr>
          <w:p>
            <w:pPr>
              <w:jc w:val="center"/>
              <w:spacing w:line="276" w:lineRule="auto"/>
              <w:rPr>
                <w:rFonts w:hint="eastAsia" w:ascii="宋体" w:hAnsi="宋体" w:cs="宋体"/>
                <w:b/>
                <w:color w:val="auto"/>
                <w:highlight w:val="none"/>
              </w:rPr>
            </w:pPr>
            <w:r>
              <w:rPr>
                <w:rFonts w:hint="eastAsia" w:ascii="宋体" w:hAnsi="宋体" w:cs="宋体"/>
                <w:b/>
                <w:color w:val="auto"/>
                <w:highlight w:val="none"/>
              </w:rPr>
              <w:t xml:space="preserve">偏离内容及原因</w:t>
            </w:r>
            <w:r/>
          </w:p>
        </w:tc>
      </w:tr>
      <w:tr>
        <w:trPr>
          <w:jc w:val="center"/>
          <w:trHeight w:val="340"/>
        </w:trPr>
        <w:tc>
          <w:tcPr>
            <w:tcW w:w="4185" w:type="dxa"/>
            <w:vAlign w:val="center"/>
            <w:textDirection w:val="lrTb"/>
            <w:noWrap w:val="false"/>
          </w:tcPr>
          <w:p>
            <w:pPr>
              <w:spacing w:line="276" w:lineRule="auto"/>
              <w:widowControl/>
              <w:rPr>
                <w:rFonts w:hint="eastAsia" w:ascii="宋体" w:hAnsi="宋体" w:cs="宋体"/>
                <w:color w:val="auto"/>
                <w:highlight w:val="none"/>
              </w:rPr>
            </w:pPr>
            <w:r>
              <w:rPr>
                <w:rFonts w:hint="eastAsia" w:ascii="宋体" w:hAnsi="宋体" w:cs="宋体"/>
                <w:color w:val="auto"/>
                <w:highlight w:val="none"/>
              </w:rPr>
              <w:t xml:space="preserve">1.1 合同组成部分</w:t>
            </w:r>
            <w:r/>
          </w:p>
        </w:tc>
        <w:tc>
          <w:tcPr>
            <w:tcW w:w="1905"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c>
          <w:tcPr>
            <w:tcW w:w="2940"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cs="宋体"/>
                <w:color w:val="auto"/>
                <w:highlight w:val="none"/>
              </w:rPr>
            </w:pPr>
            <w:r>
              <w:rPr>
                <w:rFonts w:hint="eastAsia" w:ascii="宋体" w:hAnsi="宋体" w:cs="宋体"/>
                <w:color w:val="auto"/>
                <w:highlight w:val="none"/>
              </w:rPr>
              <w:t xml:space="preserve">1.3 付款方式和发票开具方式</w:t>
            </w:r>
            <w:r/>
          </w:p>
        </w:tc>
        <w:tc>
          <w:tcPr>
            <w:tcW w:w="1905"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c>
          <w:tcPr>
            <w:tcW w:w="2940"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cs="宋体"/>
                <w:color w:val="auto"/>
                <w:highlight w:val="none"/>
              </w:rPr>
            </w:pPr>
            <w:r>
              <w:rPr>
                <w:rFonts w:hint="eastAsia" w:ascii="宋体" w:hAnsi="宋体" w:cs="宋体"/>
                <w:color w:val="auto"/>
                <w:highlight w:val="none"/>
              </w:rPr>
              <w:t xml:space="preserve">1.4</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交货时间和地点</w:t>
            </w:r>
            <w:r/>
          </w:p>
        </w:tc>
        <w:tc>
          <w:tcPr>
            <w:tcW w:w="1905"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c>
          <w:tcPr>
            <w:tcW w:w="2940"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340"/>
        </w:trPr>
        <w:tc>
          <w:tcPr>
            <w:tcW w:w="4185"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t xml:space="preserve">1.5</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双方权利和义务</w:t>
            </w:r>
            <w:r/>
          </w:p>
        </w:tc>
        <w:tc>
          <w:tcPr>
            <w:tcW w:w="1905"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c>
          <w:tcPr>
            <w:tcW w:w="2940"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340"/>
        </w:trPr>
        <w:tc>
          <w:tcPr>
            <w:tcW w:w="4185"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t xml:space="preserve">1.6 违约责任</w:t>
            </w:r>
            <w:r/>
          </w:p>
        </w:tc>
        <w:tc>
          <w:tcPr>
            <w:tcW w:w="1905"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c>
          <w:tcPr>
            <w:tcW w:w="2940"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cs="宋体"/>
                <w:color w:val="auto"/>
                <w:highlight w:val="none"/>
              </w:rPr>
            </w:pPr>
            <w:r>
              <w:rPr>
                <w:rFonts w:hint="eastAsia" w:ascii="宋体" w:hAnsi="宋体" w:cs="宋体"/>
                <w:color w:val="auto"/>
                <w:highlight w:val="none"/>
              </w:rPr>
              <w:t xml:space="preserve">1.7 合同争议的解决</w:t>
            </w:r>
            <w:r/>
          </w:p>
        </w:tc>
        <w:tc>
          <w:tcPr>
            <w:tcW w:w="1905"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c>
          <w:tcPr>
            <w:tcW w:w="2940"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cs="宋体"/>
                <w:color w:val="auto"/>
                <w:highlight w:val="none"/>
              </w:rPr>
            </w:pPr>
            <w:r>
              <w:rPr>
                <w:rFonts w:hint="eastAsia" w:ascii="宋体" w:hAnsi="宋体" w:cs="宋体"/>
                <w:color w:val="auto"/>
                <w:highlight w:val="none"/>
              </w:rPr>
              <w:t xml:space="preserve">1.8 合同生效</w:t>
            </w:r>
            <w:r/>
          </w:p>
        </w:tc>
        <w:tc>
          <w:tcPr>
            <w:tcW w:w="1905"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c>
          <w:tcPr>
            <w:tcW w:w="2940"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cs="宋体"/>
                <w:color w:val="auto"/>
                <w:highlight w:val="none"/>
              </w:rPr>
            </w:pPr>
            <w:r>
              <w:rPr>
                <w:rFonts w:hint="eastAsia" w:ascii="宋体" w:hAnsi="宋体" w:cs="宋体"/>
                <w:color w:val="auto"/>
                <w:highlight w:val="none"/>
              </w:rPr>
              <w:t xml:space="preserve">2.1 定义</w:t>
            </w:r>
            <w:r/>
          </w:p>
        </w:tc>
        <w:tc>
          <w:tcPr>
            <w:tcW w:w="1905" w:type="dxa"/>
            <w:vAlign w:val="center"/>
            <w:textDirection w:val="lrTb"/>
            <w:noWrap w:val="false"/>
          </w:tcPr>
          <w:p>
            <w:pPr>
              <w:jc w:val="left"/>
              <w:spacing w:line="276" w:lineRule="auto"/>
              <w:rPr>
                <w:rFonts w:hint="eastAsia" w:ascii="宋体" w:hAnsi="宋体" w:cs="宋体"/>
                <w:color w:val="auto"/>
                <w:highlight w:val="none"/>
              </w:rPr>
            </w:pPr>
            <w:r>
              <w:rPr>
                <w:rFonts w:hint="eastAsia" w:ascii="宋体" w:hAnsi="宋体" w:cs="宋体"/>
                <w:color w:val="auto"/>
                <w:highlight w:val="none"/>
              </w:rPr>
            </w:r>
            <w:r/>
          </w:p>
        </w:tc>
        <w:tc>
          <w:tcPr>
            <w:tcW w:w="2940"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cs="宋体"/>
                <w:color w:val="auto"/>
                <w:highlight w:val="none"/>
              </w:rPr>
            </w:pPr>
            <w:r>
              <w:rPr>
                <w:rFonts w:hint="eastAsia" w:ascii="宋体" w:hAnsi="宋体" w:cs="宋体"/>
                <w:color w:val="auto"/>
                <w:highlight w:val="none"/>
              </w:rPr>
              <w:t xml:space="preserve">2.2 技术规范</w:t>
            </w:r>
            <w:r/>
          </w:p>
        </w:tc>
        <w:tc>
          <w:tcPr>
            <w:tcW w:w="1905" w:type="dxa"/>
            <w:vAlign w:val="center"/>
            <w:textDirection w:val="lrTb"/>
            <w:noWrap w:val="false"/>
          </w:tcPr>
          <w:p>
            <w:pPr>
              <w:jc w:val="left"/>
              <w:spacing w:line="276" w:lineRule="auto"/>
              <w:rPr>
                <w:rFonts w:hint="eastAsia" w:ascii="宋体" w:hAnsi="宋体" w:cs="宋体"/>
                <w:color w:val="auto"/>
                <w:highlight w:val="none"/>
              </w:rPr>
            </w:pPr>
            <w:r>
              <w:rPr>
                <w:rFonts w:hint="eastAsia" w:ascii="宋体" w:hAnsi="宋体" w:cs="宋体"/>
                <w:color w:val="auto"/>
                <w:highlight w:val="none"/>
              </w:rPr>
            </w:r>
            <w:r/>
          </w:p>
        </w:tc>
        <w:tc>
          <w:tcPr>
            <w:tcW w:w="2940"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cs="宋体"/>
                <w:color w:val="auto"/>
                <w:highlight w:val="none"/>
              </w:rPr>
            </w:pPr>
            <w:r>
              <w:rPr>
                <w:rFonts w:hint="eastAsia" w:ascii="宋体" w:hAnsi="宋体" w:cs="宋体"/>
                <w:color w:val="auto"/>
                <w:highlight w:val="none"/>
              </w:rPr>
              <w:t xml:space="preserve">2.3 知识产权</w:t>
            </w:r>
            <w:r/>
          </w:p>
        </w:tc>
        <w:tc>
          <w:tcPr>
            <w:tcW w:w="1905" w:type="dxa"/>
            <w:vAlign w:val="center"/>
            <w:textDirection w:val="lrTb"/>
            <w:noWrap w:val="false"/>
          </w:tcPr>
          <w:p>
            <w:pPr>
              <w:jc w:val="left"/>
              <w:spacing w:line="276" w:lineRule="auto"/>
              <w:rPr>
                <w:rFonts w:hint="eastAsia" w:ascii="宋体" w:hAnsi="宋体" w:cs="宋体"/>
                <w:color w:val="auto"/>
                <w:highlight w:val="none"/>
              </w:rPr>
            </w:pPr>
            <w:r>
              <w:rPr>
                <w:rFonts w:hint="eastAsia" w:ascii="宋体" w:hAnsi="宋体" w:cs="宋体"/>
                <w:color w:val="auto"/>
                <w:highlight w:val="none"/>
              </w:rPr>
            </w:r>
            <w:r/>
          </w:p>
        </w:tc>
        <w:tc>
          <w:tcPr>
            <w:tcW w:w="2940"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cs="宋体"/>
                <w:color w:val="auto"/>
                <w:highlight w:val="none"/>
              </w:rPr>
            </w:pPr>
            <w:r>
              <w:rPr>
                <w:rFonts w:hint="eastAsia" w:ascii="宋体" w:hAnsi="宋体" w:cs="宋体"/>
                <w:color w:val="auto"/>
                <w:highlight w:val="none"/>
              </w:rPr>
              <w:t xml:space="preserve">2.4 包装和装运</w:t>
            </w:r>
            <w:r/>
          </w:p>
        </w:tc>
        <w:tc>
          <w:tcPr>
            <w:tcW w:w="1905"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c>
          <w:tcPr>
            <w:tcW w:w="2940"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cs="宋体"/>
                <w:color w:val="auto"/>
                <w:highlight w:val="none"/>
              </w:rPr>
            </w:pPr>
            <w:r>
              <w:rPr>
                <w:rFonts w:hint="eastAsia" w:ascii="宋体" w:hAnsi="宋体" w:cs="宋体"/>
                <w:color w:val="auto"/>
                <w:highlight w:val="none"/>
              </w:rPr>
              <w:t xml:space="preserve">2.5 履约检查和问题反馈</w:t>
            </w:r>
            <w:r/>
          </w:p>
        </w:tc>
        <w:tc>
          <w:tcPr>
            <w:tcW w:w="1905"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c>
          <w:tcPr>
            <w:tcW w:w="2940"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cs="宋体"/>
                <w:color w:val="auto"/>
                <w:highlight w:val="none"/>
              </w:rPr>
            </w:pPr>
            <w:r>
              <w:rPr>
                <w:rFonts w:hint="eastAsia" w:ascii="宋体" w:hAnsi="宋体" w:cs="宋体"/>
                <w:color w:val="auto"/>
                <w:highlight w:val="none"/>
              </w:rPr>
              <w:t xml:space="preserve">2.6 技术资料和保密义务</w:t>
            </w:r>
            <w:r/>
          </w:p>
        </w:tc>
        <w:tc>
          <w:tcPr>
            <w:tcW w:w="1905"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c>
          <w:tcPr>
            <w:tcW w:w="2940"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340"/>
        </w:trPr>
        <w:tc>
          <w:tcPr>
            <w:tcW w:w="4185"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t xml:space="preserve">2.7 质量保证</w:t>
            </w:r>
            <w:r/>
          </w:p>
        </w:tc>
        <w:tc>
          <w:tcPr>
            <w:tcW w:w="1905"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c>
          <w:tcPr>
            <w:tcW w:w="2940"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340"/>
        </w:trPr>
        <w:tc>
          <w:tcPr>
            <w:tcW w:w="4185"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 合同变更</w:t>
            </w:r>
            <w:r/>
          </w:p>
        </w:tc>
        <w:tc>
          <w:tcPr>
            <w:tcW w:w="1905"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c>
          <w:tcPr>
            <w:tcW w:w="2940"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340"/>
        </w:trPr>
        <w:tc>
          <w:tcPr>
            <w:tcW w:w="4185"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 合同转让和分包</w:t>
            </w:r>
            <w:r/>
          </w:p>
        </w:tc>
        <w:tc>
          <w:tcPr>
            <w:tcW w:w="1905"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c>
          <w:tcPr>
            <w:tcW w:w="2940"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cs="宋体"/>
                <w:color w:val="auto"/>
                <w:highlight w:val="none"/>
              </w:rPr>
            </w:pPr>
            <w:r>
              <w:rPr>
                <w:rFonts w:hint="eastAsia" w:ascii="宋体" w:hAnsi="宋体" w:cs="宋体"/>
                <w:color w:val="auto"/>
                <w:highlight w:val="none"/>
              </w:rPr>
              <w:t xml:space="preserve">2.1</w:t>
            </w:r>
            <w:r>
              <w:rPr>
                <w:rFonts w:hint="eastAsia" w:ascii="宋体" w:hAnsi="宋体" w:cs="宋体"/>
                <w:color w:val="auto"/>
                <w:highlight w:val="none"/>
                <w:lang w:val="en-US" w:eastAsia="zh-CN"/>
              </w:rPr>
              <w:t xml:space="preserve">0</w:t>
            </w:r>
            <w:r>
              <w:rPr>
                <w:rFonts w:hint="eastAsia" w:ascii="宋体" w:hAnsi="宋体" w:cs="宋体"/>
                <w:color w:val="auto"/>
                <w:highlight w:val="none"/>
              </w:rPr>
              <w:t xml:space="preserve"> 不可抗力</w:t>
            </w:r>
            <w:r/>
          </w:p>
        </w:tc>
        <w:tc>
          <w:tcPr>
            <w:tcW w:w="1905"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c>
          <w:tcPr>
            <w:tcW w:w="2940"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cs="宋体"/>
                <w:color w:val="auto"/>
                <w:highlight w:val="none"/>
              </w:rPr>
            </w:pPr>
            <w:r>
              <w:rPr>
                <w:rFonts w:hint="eastAsia" w:ascii="宋体" w:hAnsi="宋体" w:cs="宋体"/>
                <w:color w:val="auto"/>
                <w:highlight w:val="none"/>
              </w:rPr>
              <w:t xml:space="preserve">2.1</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 税费</w:t>
            </w:r>
            <w:r/>
          </w:p>
        </w:tc>
        <w:tc>
          <w:tcPr>
            <w:tcW w:w="1905"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c>
          <w:tcPr>
            <w:tcW w:w="2940"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cs="宋体"/>
                <w:color w:val="auto"/>
                <w:highlight w:val="none"/>
              </w:rPr>
            </w:pPr>
            <w:r>
              <w:rPr>
                <w:rFonts w:hint="eastAsia" w:ascii="宋体" w:hAnsi="宋体" w:cs="宋体"/>
                <w:color w:val="auto"/>
                <w:highlight w:val="none"/>
              </w:rPr>
              <w:t xml:space="preserve">2.1</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 乙方破产</w:t>
            </w:r>
            <w:r/>
          </w:p>
        </w:tc>
        <w:tc>
          <w:tcPr>
            <w:tcW w:w="1905"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c>
          <w:tcPr>
            <w:tcW w:w="2940"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cs="宋体"/>
                <w:color w:val="auto"/>
                <w:highlight w:val="none"/>
              </w:rPr>
            </w:pPr>
            <w:r>
              <w:rPr>
                <w:rFonts w:hint="eastAsia" w:ascii="宋体" w:hAnsi="宋体" w:cs="宋体"/>
                <w:color w:val="auto"/>
                <w:highlight w:val="none"/>
              </w:rPr>
              <w:t xml:space="preserve">2.1</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 合同中止、终止</w:t>
            </w:r>
            <w:r/>
          </w:p>
        </w:tc>
        <w:tc>
          <w:tcPr>
            <w:tcW w:w="1905"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c>
          <w:tcPr>
            <w:tcW w:w="2940"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cs="宋体"/>
                <w:color w:val="auto"/>
                <w:highlight w:val="none"/>
              </w:rPr>
            </w:pPr>
            <w:r>
              <w:rPr>
                <w:rFonts w:hint="eastAsia" w:ascii="宋体" w:hAnsi="宋体" w:cs="宋体"/>
                <w:color w:val="auto"/>
                <w:highlight w:val="none"/>
              </w:rPr>
              <w:t xml:space="preserve">2.1</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 检验和验收</w:t>
            </w:r>
            <w:r/>
          </w:p>
        </w:tc>
        <w:tc>
          <w:tcPr>
            <w:tcW w:w="1905"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c>
          <w:tcPr>
            <w:tcW w:w="2940"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cs="宋体"/>
                <w:color w:val="auto"/>
                <w:highlight w:val="none"/>
              </w:rPr>
            </w:pPr>
            <w:r>
              <w:rPr>
                <w:rFonts w:hint="eastAsia" w:ascii="宋体" w:hAnsi="宋体" w:cs="宋体"/>
                <w:color w:val="auto"/>
                <w:highlight w:val="none"/>
              </w:rPr>
              <w:t xml:space="preserve">2.1</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 通知和送达</w:t>
            </w:r>
            <w:r/>
          </w:p>
        </w:tc>
        <w:tc>
          <w:tcPr>
            <w:tcW w:w="1905"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c>
          <w:tcPr>
            <w:tcW w:w="2940"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cs="宋体"/>
                <w:color w:val="auto"/>
                <w:highlight w:val="none"/>
              </w:rPr>
            </w:pPr>
            <w:r>
              <w:rPr>
                <w:rFonts w:hint="eastAsia" w:ascii="宋体" w:hAnsi="宋体" w:cs="宋体"/>
                <w:color w:val="auto"/>
                <w:highlight w:val="none"/>
              </w:rPr>
              <w:t xml:space="preserve">2.1</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 计量单位</w:t>
            </w:r>
            <w:r/>
          </w:p>
        </w:tc>
        <w:tc>
          <w:tcPr>
            <w:tcW w:w="1905"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c>
          <w:tcPr>
            <w:tcW w:w="2940"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cs="宋体"/>
                <w:color w:val="auto"/>
                <w:highlight w:val="none"/>
              </w:rPr>
            </w:pPr>
            <w:r>
              <w:rPr>
                <w:rFonts w:hint="eastAsia" w:ascii="宋体" w:hAnsi="宋体" w:cs="宋体"/>
                <w:color w:val="auto"/>
                <w:highlight w:val="none"/>
              </w:rPr>
              <w:t xml:space="preserve">2.1</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 合同使用的文字和适用的法律</w:t>
            </w:r>
            <w:r/>
          </w:p>
        </w:tc>
        <w:tc>
          <w:tcPr>
            <w:tcW w:w="1905"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c>
          <w:tcPr>
            <w:tcW w:w="2940"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340"/>
        </w:trPr>
        <w:tc>
          <w:tcPr>
            <w:tcW w:w="4185" w:type="dxa"/>
            <w:vAlign w:val="center"/>
            <w:textDirection w:val="lrTb"/>
            <w:noWrap w:val="false"/>
          </w:tcPr>
          <w:p>
            <w:pPr>
              <w:spacing w:line="276" w:lineRule="auto"/>
              <w:widowControl/>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val="en-US" w:eastAsia="zh-CN"/>
              </w:rPr>
              <w:t xml:space="preserve">18</w:t>
            </w:r>
            <w:r>
              <w:rPr>
                <w:rFonts w:hint="eastAsia" w:ascii="宋体" w:hAnsi="宋体" w:cs="宋体"/>
                <w:color w:val="auto"/>
                <w:highlight w:val="none"/>
              </w:rPr>
              <w:t xml:space="preserve"> 履约保证金</w:t>
            </w:r>
            <w:r/>
          </w:p>
        </w:tc>
        <w:tc>
          <w:tcPr>
            <w:tcW w:w="1905"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c>
          <w:tcPr>
            <w:tcW w:w="2940"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r>
            <w:r/>
          </w:p>
        </w:tc>
      </w:tr>
    </w:tbl>
    <w:p>
      <w:pPr>
        <w:ind w:firstLine="240"/>
        <w:spacing w:line="440" w:lineRule="exact"/>
        <w:rPr>
          <w:color w:val="auto"/>
          <w:sz w:val="24"/>
          <w:szCs w:val="24"/>
          <w:highlight w:val="none"/>
        </w:rPr>
      </w:pPr>
      <w:r>
        <w:rPr>
          <w:color w:val="auto"/>
          <w:sz w:val="24"/>
          <w:szCs w:val="24"/>
          <w:highlight w:val="none"/>
        </w:rPr>
        <w:t xml:space="preserve">注：1、投标人应据实、详细填写上述表格，因表述含糊导致的评标风险将由投标人承担。</w:t>
      </w:r>
      <w:r/>
    </w:p>
    <w:p>
      <w:pPr>
        <w:ind w:firstLine="720"/>
        <w:spacing w:line="440" w:lineRule="exact"/>
        <w:rPr>
          <w:color w:val="auto"/>
          <w:sz w:val="24"/>
          <w:szCs w:val="24"/>
          <w:highlight w:val="none"/>
        </w:rPr>
      </w:pPr>
      <w:r>
        <w:rPr>
          <w:color w:val="auto"/>
          <w:sz w:val="24"/>
          <w:szCs w:val="24"/>
          <w:highlight w:val="none"/>
        </w:rPr>
        <w:t xml:space="preserve">2、若无偏离，在</w:t>
      </w:r>
      <w:r>
        <w:rPr>
          <w:rFonts w:hint="eastAsia"/>
          <w:color w:val="auto"/>
          <w:sz w:val="24"/>
          <w:szCs w:val="24"/>
          <w:highlight w:val="none"/>
        </w:rPr>
        <w:t xml:space="preserve">“</w:t>
      </w:r>
      <w:r>
        <w:rPr>
          <w:color w:val="auto"/>
          <w:sz w:val="24"/>
          <w:szCs w:val="24"/>
          <w:highlight w:val="none"/>
        </w:rPr>
        <w:t xml:space="preserve">有无偏离</w:t>
      </w:r>
      <w:r>
        <w:rPr>
          <w:rFonts w:hint="eastAsia"/>
          <w:color w:val="auto"/>
          <w:sz w:val="24"/>
          <w:szCs w:val="24"/>
          <w:highlight w:val="none"/>
        </w:rPr>
        <w:t xml:space="preserve">”</w:t>
      </w:r>
      <w:r>
        <w:rPr>
          <w:color w:val="auto"/>
          <w:sz w:val="24"/>
          <w:szCs w:val="24"/>
          <w:highlight w:val="none"/>
        </w:rPr>
        <w:t xml:space="preserve">栏中填写</w:t>
      </w:r>
      <w:r>
        <w:rPr>
          <w:rFonts w:hint="eastAsia"/>
          <w:color w:val="auto"/>
          <w:sz w:val="24"/>
          <w:szCs w:val="24"/>
          <w:highlight w:val="none"/>
        </w:rPr>
        <w:t xml:space="preserve">“</w:t>
      </w:r>
      <w:r>
        <w:rPr>
          <w:color w:val="auto"/>
          <w:sz w:val="24"/>
          <w:szCs w:val="24"/>
          <w:highlight w:val="none"/>
        </w:rPr>
        <w:t xml:space="preserve">无</w:t>
      </w:r>
      <w:r>
        <w:rPr>
          <w:rFonts w:hint="eastAsia"/>
          <w:color w:val="auto"/>
          <w:sz w:val="24"/>
          <w:szCs w:val="24"/>
          <w:highlight w:val="none"/>
        </w:rPr>
        <w:t xml:space="preserve">”</w:t>
      </w:r>
      <w:r>
        <w:rPr>
          <w:color w:val="auto"/>
          <w:sz w:val="24"/>
          <w:szCs w:val="24"/>
          <w:highlight w:val="none"/>
        </w:rPr>
        <w:t xml:space="preserve">；若有偏离在</w:t>
      </w:r>
      <w:r>
        <w:rPr>
          <w:rFonts w:hint="eastAsia"/>
          <w:color w:val="auto"/>
          <w:sz w:val="24"/>
          <w:szCs w:val="24"/>
          <w:highlight w:val="none"/>
        </w:rPr>
        <w:t xml:space="preserve">“</w:t>
      </w:r>
      <w:r>
        <w:rPr>
          <w:color w:val="auto"/>
          <w:sz w:val="24"/>
          <w:szCs w:val="24"/>
          <w:highlight w:val="none"/>
        </w:rPr>
        <w:t xml:space="preserve">有无偏离</w:t>
      </w:r>
      <w:r>
        <w:rPr>
          <w:rFonts w:hint="eastAsia"/>
          <w:color w:val="auto"/>
          <w:sz w:val="24"/>
          <w:szCs w:val="24"/>
          <w:highlight w:val="none"/>
        </w:rPr>
        <w:t xml:space="preserve">”</w:t>
      </w:r>
      <w:r>
        <w:rPr>
          <w:color w:val="auto"/>
          <w:sz w:val="24"/>
          <w:szCs w:val="24"/>
          <w:highlight w:val="none"/>
        </w:rPr>
        <w:t xml:space="preserve">栏中填写</w:t>
      </w:r>
      <w:r>
        <w:rPr>
          <w:rFonts w:hint="eastAsia"/>
          <w:color w:val="auto"/>
          <w:sz w:val="24"/>
          <w:szCs w:val="24"/>
          <w:highlight w:val="none"/>
        </w:rPr>
        <w:t xml:space="preserve">“</w:t>
      </w:r>
      <w:r>
        <w:rPr>
          <w:color w:val="auto"/>
          <w:sz w:val="24"/>
          <w:szCs w:val="24"/>
          <w:highlight w:val="none"/>
        </w:rPr>
        <w:t xml:space="preserve">有</w:t>
      </w:r>
      <w:r>
        <w:rPr>
          <w:rFonts w:hint="eastAsia"/>
          <w:color w:val="auto"/>
          <w:sz w:val="24"/>
          <w:szCs w:val="24"/>
          <w:highlight w:val="none"/>
        </w:rPr>
        <w:t xml:space="preserve">”</w:t>
      </w:r>
      <w:r>
        <w:rPr>
          <w:color w:val="auto"/>
          <w:sz w:val="24"/>
          <w:szCs w:val="24"/>
          <w:highlight w:val="none"/>
        </w:rPr>
        <w:t xml:space="preserve">并在</w:t>
      </w:r>
      <w:r>
        <w:rPr>
          <w:rFonts w:hint="eastAsia"/>
          <w:color w:val="auto"/>
          <w:sz w:val="24"/>
          <w:szCs w:val="24"/>
          <w:highlight w:val="none"/>
        </w:rPr>
        <w:t xml:space="preserve">“</w:t>
      </w:r>
      <w:r>
        <w:rPr>
          <w:color w:val="auto"/>
          <w:sz w:val="24"/>
          <w:szCs w:val="24"/>
          <w:highlight w:val="none"/>
        </w:rPr>
        <w:t xml:space="preserve">偏离内容及原因</w:t>
      </w:r>
      <w:r>
        <w:rPr>
          <w:rFonts w:hint="eastAsia"/>
          <w:color w:val="auto"/>
          <w:sz w:val="24"/>
          <w:szCs w:val="24"/>
          <w:highlight w:val="none"/>
        </w:rPr>
        <w:t xml:space="preserve">”</w:t>
      </w:r>
      <w:r>
        <w:rPr>
          <w:color w:val="auto"/>
          <w:sz w:val="24"/>
          <w:szCs w:val="24"/>
          <w:highlight w:val="none"/>
        </w:rPr>
        <w:t xml:space="preserve">栏中作出说明。</w:t>
      </w:r>
      <w:r/>
    </w:p>
    <w:p>
      <w:pPr>
        <w:ind w:firstLine="723"/>
        <w:spacing w:line="440" w:lineRule="exact"/>
        <w:rPr>
          <w:b/>
          <w:bCs/>
          <w:color w:val="auto"/>
          <w:sz w:val="24"/>
          <w:szCs w:val="24"/>
          <w:highlight w:val="none"/>
        </w:rPr>
      </w:pPr>
      <w:r>
        <w:rPr>
          <w:b/>
          <w:bCs/>
          <w:color w:val="auto"/>
          <w:sz w:val="24"/>
          <w:szCs w:val="24"/>
          <w:highlight w:val="none"/>
        </w:rPr>
        <w:t xml:space="preserve">3、</w:t>
      </w:r>
      <w:r>
        <w:rPr>
          <w:rFonts w:hint="eastAsia"/>
          <w:b/>
          <w:bCs/>
          <w:color w:val="auto"/>
          <w:sz w:val="24"/>
          <w:szCs w:val="24"/>
          <w:highlight w:val="none"/>
        </w:rPr>
        <w:t xml:space="preserve">投标人如不能满足项目付款方式要求，按无效投标处理</w:t>
      </w:r>
      <w:r>
        <w:rPr>
          <w:b/>
          <w:bCs/>
          <w:color w:val="auto"/>
          <w:sz w:val="24"/>
          <w:szCs w:val="24"/>
          <w:highlight w:val="none"/>
        </w:rPr>
        <w:t xml:space="preserve">。</w:t>
      </w:r>
      <w:r/>
    </w:p>
    <w:p>
      <w:pPr>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clear="all"/>
      </w:r>
      <w:r/>
    </w:p>
    <w:p>
      <w:pPr>
        <w:ind w:firstLine="482"/>
        <w:jc w:val="center"/>
        <w:spacing w:line="440" w:lineRule="exact"/>
        <w:rPr>
          <w:rFonts w:hint="eastAsia" w:ascii="宋体" w:hAnsi="宋体" w:cs="宋体"/>
          <w:b/>
          <w:bCs/>
          <w:color w:val="auto"/>
          <w:sz w:val="28"/>
          <w:szCs w:val="28"/>
          <w:highlight w:val="none"/>
        </w:rPr>
        <w:outlineLvl w:val="1"/>
      </w:pPr>
      <w:r/>
      <w:bookmarkStart w:id="367" w:name="_Toc27888"/>
      <w:r>
        <w:rPr>
          <w:rFonts w:hint="eastAsia" w:ascii="宋体" w:hAnsi="宋体" w:cs="宋体"/>
          <w:b/>
          <w:bCs/>
          <w:color w:val="auto"/>
          <w:sz w:val="28"/>
          <w:szCs w:val="28"/>
          <w:highlight w:val="none"/>
        </w:rPr>
        <w:t xml:space="preserve">附件</w:t>
      </w:r>
      <w:r>
        <w:rPr>
          <w:rFonts w:hint="eastAsia" w:ascii="宋体" w:hAnsi="宋体" w:cs="宋体"/>
          <w:b/>
          <w:bCs/>
          <w:color w:val="auto"/>
          <w:sz w:val="28"/>
          <w:szCs w:val="28"/>
          <w:highlight w:val="none"/>
          <w:lang w:val="en-US" w:eastAsia="zh-CN"/>
        </w:rPr>
        <w:t xml:space="preserve">7</w:t>
      </w:r>
      <w:r>
        <w:rPr>
          <w:rFonts w:hint="eastAsia" w:ascii="宋体" w:hAnsi="宋体" w:cs="宋体"/>
          <w:b/>
          <w:bCs/>
          <w:color w:val="auto"/>
          <w:sz w:val="28"/>
          <w:szCs w:val="28"/>
          <w:highlight w:val="none"/>
        </w:rPr>
        <w:t xml:space="preserve"> 具备履行合同所必需的人员和专业技术能力的书面声明</w:t>
      </w:r>
      <w:bookmarkEnd w:id="367"/>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我单位郑重声明：我单位具备履行本项采购合同所必需的人员和专业技术能力，为履行本项采购合同我公司具备如下主要人员和主要专业技术能力：</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主要人员有：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主要专业技术能力有：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left="480" w:firstLine="482"/>
        <w:jc w:val="center"/>
        <w:rPr>
          <w:rFonts w:hint="eastAsia" w:ascii="宋体" w:hAnsi="宋体" w:cs="宋体"/>
          <w:b/>
          <w:color w:val="auto"/>
          <w:sz w:val="24"/>
          <w:highlight w:val="none"/>
        </w:rPr>
      </w:pPr>
      <w:r>
        <w:rPr>
          <w:rFonts w:hint="eastAsia" w:ascii="宋体" w:hAnsi="宋体" w:cs="宋体"/>
          <w:b/>
          <w:color w:val="auto"/>
          <w:sz w:val="24"/>
          <w:highlight w:val="none"/>
        </w:rPr>
      </w:r>
      <w:r/>
    </w:p>
    <w:p>
      <w:pPr>
        <w:ind w:firstLine="482"/>
        <w:jc w:val="center"/>
        <w:spacing w:line="440" w:lineRule="exact"/>
        <w:rPr>
          <w:rFonts w:hint="eastAsia" w:ascii="宋体" w:hAnsi="宋体" w:cs="宋体"/>
          <w:b/>
          <w:bCs/>
          <w:color w:val="auto"/>
          <w:sz w:val="28"/>
          <w:szCs w:val="28"/>
          <w:highlight w:val="none"/>
        </w:rPr>
        <w:outlineLvl w:val="1"/>
      </w:pPr>
      <w:r>
        <w:rPr>
          <w:rFonts w:hint="eastAsia" w:ascii="宋体" w:hAnsi="宋体" w:cs="宋体"/>
          <w:b/>
          <w:color w:val="auto"/>
          <w:sz w:val="24"/>
          <w:szCs w:val="24"/>
          <w:highlight w:val="none"/>
        </w:rPr>
        <w:br w:type="page" w:clear="all"/>
      </w:r>
      <w:bookmarkStart w:id="368" w:name="_Toc25215"/>
      <w:r>
        <w:rPr>
          <w:rFonts w:hint="eastAsia" w:ascii="宋体" w:hAnsi="宋体" w:cs="宋体"/>
          <w:b/>
          <w:bCs/>
          <w:color w:val="auto"/>
          <w:sz w:val="28"/>
          <w:szCs w:val="28"/>
          <w:highlight w:val="none"/>
        </w:rPr>
        <w:t xml:space="preserve">附件</w:t>
      </w:r>
      <w:r>
        <w:rPr>
          <w:rFonts w:hint="eastAsia" w:ascii="宋体" w:hAnsi="宋体" w:cs="宋体"/>
          <w:b/>
          <w:bCs/>
          <w:color w:val="auto"/>
          <w:sz w:val="28"/>
          <w:szCs w:val="28"/>
          <w:highlight w:val="none"/>
          <w:lang w:val="en-US" w:eastAsia="zh-CN"/>
        </w:rPr>
        <w:t xml:space="preserve">8</w:t>
      </w:r>
      <w:r>
        <w:rPr>
          <w:rFonts w:hint="eastAsia" w:ascii="宋体" w:hAnsi="宋体" w:cs="宋体"/>
          <w:b/>
          <w:bCs/>
          <w:color w:val="auto"/>
          <w:sz w:val="28"/>
          <w:szCs w:val="28"/>
          <w:highlight w:val="none"/>
        </w:rPr>
        <w:t xml:space="preserve"> 参加政府采购活动前 3 年内在经营活动中没有重大违法记录的书面声明</w:t>
      </w:r>
      <w:bookmarkEnd w:id="368"/>
      <w:r/>
      <w:r/>
    </w:p>
    <w:p>
      <w:pPr>
        <w:ind w:firstLine="482"/>
        <w:jc w:val="center"/>
        <w:spacing w:line="4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jc w:val="center"/>
        <w:spacing w:line="4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声  明</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left="480" w:firstLine="482"/>
        <w:jc w:val="center"/>
        <w:rPr>
          <w:rFonts w:hint="eastAsia" w:ascii="宋体" w:hAnsi="宋体" w:cs="宋体"/>
          <w:b/>
          <w:color w:val="auto"/>
          <w:sz w:val="24"/>
          <w:highlight w:val="none"/>
        </w:rPr>
      </w:pPr>
      <w:r>
        <w:rPr>
          <w:rFonts w:hint="eastAsia" w:ascii="宋体" w:hAnsi="宋体" w:cs="宋体"/>
          <w:b/>
          <w:color w:val="auto"/>
          <w:sz w:val="24"/>
          <w:highlight w:val="none"/>
        </w:rPr>
      </w:r>
      <w:r/>
    </w:p>
    <w:p>
      <w:pPr>
        <w:ind w:firstLine="482"/>
        <w:spacing w:line="460" w:lineRule="exact"/>
        <w:rPr>
          <w:rFonts w:hint="eastAsia" w:ascii="宋体" w:hAnsi="宋体" w:cs="宋体"/>
          <w:bCs/>
          <w:color w:val="auto"/>
          <w:sz w:val="24"/>
          <w:szCs w:val="21"/>
          <w:highlight w:val="none"/>
        </w:rPr>
      </w:pPr>
      <w:r>
        <w:rPr>
          <w:rFonts w:hint="eastAsia" w:ascii="宋体" w:hAnsi="宋体" w:cs="宋体"/>
          <w:b/>
          <w:color w:val="auto"/>
          <w:sz w:val="24"/>
          <w:szCs w:val="24"/>
          <w:highlight w:val="none"/>
        </w:rPr>
        <w:br w:type="page" w:clear="all"/>
      </w:r>
      <w:r/>
    </w:p>
    <w:p>
      <w:pPr>
        <w:ind w:firstLine="562"/>
        <w:jc w:val="center"/>
        <w:spacing w:line="440" w:lineRule="exact"/>
        <w:rPr>
          <w:rFonts w:hint="eastAsia" w:ascii="宋体" w:hAnsi="宋体" w:cs="宋体"/>
          <w:b/>
          <w:bCs/>
          <w:color w:val="auto"/>
          <w:sz w:val="28"/>
          <w:szCs w:val="28"/>
          <w:highlight w:val="none"/>
        </w:rPr>
        <w:outlineLvl w:val="1"/>
      </w:pPr>
      <w:r/>
      <w:bookmarkStart w:id="369" w:name="_Toc9803"/>
      <w:r>
        <w:rPr>
          <w:rFonts w:hint="eastAsia" w:ascii="宋体" w:hAnsi="宋体" w:cs="宋体"/>
          <w:b/>
          <w:bCs/>
          <w:color w:val="auto"/>
          <w:sz w:val="28"/>
          <w:szCs w:val="28"/>
          <w:highlight w:val="none"/>
        </w:rPr>
        <w:t xml:space="preserve">附件</w:t>
      </w:r>
      <w:r>
        <w:rPr>
          <w:rFonts w:hint="eastAsia" w:ascii="宋体" w:hAnsi="宋体" w:cs="宋体"/>
          <w:b/>
          <w:bCs/>
          <w:color w:val="auto"/>
          <w:sz w:val="28"/>
          <w:szCs w:val="28"/>
          <w:highlight w:val="none"/>
          <w:lang w:val="en-US" w:eastAsia="zh-CN"/>
        </w:rPr>
        <w:t xml:space="preserve">9</w:t>
      </w:r>
      <w:r>
        <w:rPr>
          <w:rFonts w:hint="eastAsia" w:ascii="宋体" w:hAnsi="宋体" w:cs="宋体"/>
          <w:b/>
          <w:bCs/>
          <w:color w:val="auto"/>
          <w:sz w:val="28"/>
          <w:szCs w:val="28"/>
          <w:highlight w:val="none"/>
        </w:rPr>
        <w:t xml:space="preserve"> 法人授权书</w:t>
      </w:r>
      <w:bookmarkEnd w:id="369"/>
      <w:r/>
      <w:r/>
    </w:p>
    <w:p>
      <w:pPr>
        <w:ind w:firstLine="480"/>
        <w:spacing w:line="440" w:lineRule="exact"/>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本授权书声明：____________（投标人名称）授权________________（被授权人的姓名）为我方就</w:t>
      </w:r>
      <w:r>
        <w:rPr>
          <w:rFonts w:hint="eastAsia" w:ascii="宋体" w:hAnsi="宋体" w:cs="宋体"/>
          <w:color w:val="auto"/>
          <w:sz w:val="24"/>
          <w:szCs w:val="24"/>
          <w:highlight w:val="none"/>
          <w:lang w:eastAsia="zh-CN"/>
        </w:rPr>
        <w:t xml:space="preserve">JSZC-320581-HXGW-G2025-0022</w:t>
      </w:r>
      <w:r>
        <w:rPr>
          <w:rFonts w:hint="eastAsia" w:ascii="宋体" w:hAnsi="宋体" w:cs="宋体"/>
          <w:color w:val="auto"/>
          <w:sz w:val="24"/>
          <w:szCs w:val="24"/>
          <w:highlight w:val="none"/>
        </w:rPr>
        <w:t xml:space="preserve">号项目采购活动的合法代理人，以本单位名义全权处理一切与该项目采购有关的事务。</w:t>
      </w:r>
      <w:r/>
    </w:p>
    <w:p>
      <w:pPr>
        <w:ind w:firstLine="480"/>
        <w:spacing w:line="440" w:lineRule="exact"/>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本授权书于</w:t>
      </w:r>
      <w:r>
        <w:rPr>
          <w:rFonts w:hint="eastAsia" w:ascii="宋体" w:hAnsi="宋体" w:cs="宋体"/>
          <w:color w:val="auto"/>
          <w:sz w:val="24"/>
          <w:szCs w:val="24"/>
          <w:highlight w:val="none"/>
          <w:u w:val="single"/>
          <w:lang w:eastAsia="zh-CN"/>
        </w:rPr>
        <w:t xml:space="preserve">2025</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年____月____日起生效，特此声明。</w:t>
      </w:r>
      <w:r/>
    </w:p>
    <w:p>
      <w:pPr>
        <w:ind w:firstLine="480"/>
        <w:spacing w:line="440" w:lineRule="exact"/>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440" w:lineRule="exact"/>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440" w:lineRule="exact"/>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被授权人身份证号码：</w:t>
      </w:r>
      <w:r>
        <w:rPr>
          <w:rFonts w:hint="eastAsia" w:ascii="宋体" w:hAnsi="宋体" w:cs="宋体"/>
          <w:color w:val="auto"/>
          <w:sz w:val="24"/>
          <w:szCs w:val="24"/>
          <w:highlight w:val="none"/>
          <w:u w:val="single"/>
        </w:rPr>
        <w:t xml:space="preserve">                              </w:t>
      </w:r>
      <w:r/>
    </w:p>
    <w:p>
      <w:pPr>
        <w:ind w:firstLine="480"/>
        <w:spacing w:line="440" w:lineRule="exact"/>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被授权人联系电话：（手机）</w:t>
      </w:r>
      <w:r>
        <w:rPr>
          <w:rFonts w:hint="eastAsia" w:ascii="宋体" w:hAnsi="宋体" w:cs="宋体"/>
          <w:color w:val="auto"/>
          <w:sz w:val="24"/>
          <w:szCs w:val="24"/>
          <w:highlight w:val="none"/>
          <w:u w:val="single"/>
        </w:rPr>
        <w:t xml:space="preserve">                          </w:t>
      </w:r>
      <w:r/>
    </w:p>
    <w:p>
      <w:pPr>
        <w:ind w:firstLine="480"/>
        <w:spacing w:line="440" w:lineRule="exact"/>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授权单位名称：</w:t>
      </w:r>
      <w:r>
        <w:rPr>
          <w:rFonts w:hint="eastAsia" w:ascii="宋体" w:hAnsi="宋体" w:cs="宋体"/>
          <w:color w:val="auto"/>
          <w:sz w:val="24"/>
          <w:szCs w:val="24"/>
          <w:highlight w:val="none"/>
          <w:u w:val="single"/>
        </w:rPr>
        <w:t xml:space="preserve">（加盖CA电子公章）</w:t>
      </w:r>
      <w:r/>
    </w:p>
    <w:p>
      <w:pPr>
        <w:ind w:firstLine="480"/>
        <w:spacing w:line="440" w:lineRule="exact"/>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单位地址：</w:t>
      </w:r>
      <w:r>
        <w:rPr>
          <w:rFonts w:hint="eastAsia" w:ascii="宋体" w:hAnsi="宋体" w:cs="宋体"/>
          <w:color w:val="auto"/>
          <w:sz w:val="24"/>
          <w:szCs w:val="24"/>
          <w:highlight w:val="none"/>
          <w:u w:val="single"/>
        </w:rPr>
        <w:t xml:space="preserve">                                         </w:t>
      </w:r>
      <w:r/>
    </w:p>
    <w:p>
      <w:pPr>
        <w:ind w:firstLine="480"/>
        <w:spacing w:line="440" w:lineRule="exact"/>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u w:val="single"/>
        </w:rPr>
        <w:t xml:space="preserve">                                         </w:t>
      </w:r>
      <w:r/>
    </w:p>
    <w:p>
      <w:pPr>
        <w:ind w:firstLine="4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400" w:lineRule="exact"/>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注：如法定代表人参加投标，“法人授权书”可不提供，但需提供法人代表人身份证正反面扫描件。</w:t>
      </w:r>
      <w:r/>
    </w:p>
    <w:p>
      <w:pPr>
        <w:ind w:firstLine="482"/>
        <w:jc w:val="center"/>
        <w:spacing w:line="440" w:lineRule="exact"/>
        <w:rPr>
          <w:rFonts w:hint="eastAsia" w:ascii="宋体" w:hAnsi="宋体" w:cs="宋体"/>
          <w:b/>
          <w:bCs/>
          <w:color w:val="auto"/>
          <w:sz w:val="28"/>
          <w:szCs w:val="28"/>
          <w:highlight w:val="none"/>
        </w:rPr>
        <w:outlineLvl w:val="1"/>
      </w:pPr>
      <w:r>
        <w:rPr>
          <w:rFonts w:hint="eastAsia" w:ascii="宋体" w:hAnsi="宋体" w:cs="宋体"/>
          <w:b/>
          <w:color w:val="auto"/>
          <w:sz w:val="24"/>
          <w:szCs w:val="44"/>
          <w:highlight w:val="none"/>
        </w:rPr>
        <w:br w:type="page" w:clear="all"/>
      </w:r>
      <w:bookmarkStart w:id="370" w:name="_Toc27885"/>
      <w:r>
        <w:rPr>
          <w:rFonts w:hint="eastAsia" w:ascii="宋体" w:hAnsi="宋体" w:cs="宋体"/>
          <w:b/>
          <w:bCs/>
          <w:color w:val="auto"/>
          <w:sz w:val="28"/>
          <w:szCs w:val="28"/>
          <w:highlight w:val="none"/>
        </w:rPr>
        <w:t xml:space="preserve">附件1</w:t>
      </w:r>
      <w:r>
        <w:rPr>
          <w:rFonts w:hint="eastAsia" w:ascii="宋体" w:hAnsi="宋体" w:cs="宋体"/>
          <w:b/>
          <w:bCs/>
          <w:color w:val="auto"/>
          <w:sz w:val="28"/>
          <w:szCs w:val="28"/>
          <w:highlight w:val="none"/>
          <w:lang w:val="en-US" w:eastAsia="zh-CN"/>
        </w:rPr>
        <w:t xml:space="preserve">0</w:t>
      </w:r>
      <w:r>
        <w:rPr>
          <w:rFonts w:hint="eastAsia" w:ascii="宋体" w:hAnsi="宋体" w:cs="宋体"/>
          <w:b/>
          <w:bCs/>
          <w:color w:val="auto"/>
          <w:sz w:val="28"/>
          <w:szCs w:val="28"/>
          <w:highlight w:val="none"/>
        </w:rPr>
        <w:t xml:space="preserve"> 中小企业声明函</w:t>
      </w:r>
      <w:bookmarkEnd w:id="370"/>
      <w:r/>
      <w:r/>
    </w:p>
    <w:p>
      <w:pPr>
        <w:pStyle w:val="1147"/>
        <w:spacing w:line="460" w:lineRule="exact"/>
        <w:widowControl/>
        <w:rPr>
          <w:rFonts w:hAnsi="宋体" w:eastAsia="宋体" w:cs="宋体"/>
          <w:color w:val="auto"/>
          <w:sz w:val="24"/>
          <w:szCs w:val="24"/>
          <w:highlight w:val="none"/>
          <w:lang w:val="zh-CN"/>
        </w:rPr>
      </w:pPr>
      <w:r>
        <w:rPr>
          <w:rFonts w:hAnsi="宋体" w:eastAsia="宋体" w:cs="宋体"/>
          <w:color w:val="auto"/>
          <w:sz w:val="24"/>
          <w:szCs w:val="24"/>
          <w:highlight w:val="none"/>
          <w:lang w:val="zh-CN"/>
        </w:rPr>
        <w:t xml:space="preserve">涵熙（苏州）工程顾问有限公司：</w:t>
      </w:r>
      <w:r/>
    </w:p>
    <w:p>
      <w:pPr>
        <w:ind w:firstLine="360"/>
        <w:spacing w:line="460" w:lineRule="exact"/>
        <w:rPr>
          <w:rFonts w:hint="eastAsia" w:ascii="宋体" w:hAnsi="宋体" w:cs="宋体"/>
          <w:color w:val="auto"/>
          <w:sz w:val="24"/>
          <w:szCs w:val="21"/>
          <w:highlight w:val="none"/>
        </w:rPr>
      </w:pPr>
      <w:r/>
      <w:bookmarkStart w:id="371" w:name="_Toc3097"/>
      <w:r>
        <w:rPr>
          <w:rFonts w:hint="eastAsia" w:ascii="宋体" w:hAnsi="宋体" w:cs="宋体"/>
          <w:color w:val="auto"/>
          <w:sz w:val="24"/>
          <w:szCs w:val="21"/>
          <w:highlight w:val="none"/>
          <w:lang w:bidi="ar"/>
        </w:rPr>
        <w:t xml:space="preserve">本公司郑重声明，根据《政府采购促进中小企业发展管理办法》（财库[2020]46号）的规定，本公司参加</w:t>
      </w:r>
      <w:r>
        <w:rPr>
          <w:rFonts w:hint="eastAsia" w:ascii="宋体" w:hAnsi="宋体" w:cs="宋体"/>
          <w:color w:val="auto"/>
          <w:sz w:val="24"/>
          <w:szCs w:val="21"/>
          <w:highlight w:val="none"/>
          <w:u w:val="single"/>
          <w:lang w:eastAsia="zh-CN" w:bidi="ar"/>
        </w:rPr>
        <w:t xml:space="preserve">常熟市农业技术推广中心</w:t>
      </w:r>
      <w:r>
        <w:rPr>
          <w:rFonts w:hint="eastAsia" w:ascii="宋体" w:hAnsi="宋体" w:cs="宋体"/>
          <w:color w:val="auto"/>
          <w:sz w:val="24"/>
          <w:szCs w:val="21"/>
          <w:highlight w:val="none"/>
          <w:lang w:val="zh-CN" w:bidi="ar"/>
        </w:rPr>
        <w:t xml:space="preserve">的</w:t>
      </w:r>
      <w:r>
        <w:rPr>
          <w:rFonts w:hint="eastAsia" w:ascii="宋体" w:hAnsi="宋体" w:cs="宋体"/>
          <w:color w:val="auto"/>
          <w:sz w:val="24"/>
          <w:szCs w:val="21"/>
          <w:highlight w:val="none"/>
          <w:u w:val="single"/>
          <w:lang w:val="zh-CN" w:bidi="ar"/>
        </w:rPr>
        <w:t xml:space="preserve">2025年中央粮油生产保障资金-小麦“一喷三防”项目</w:t>
      </w:r>
      <w:r>
        <w:rPr>
          <w:rFonts w:hint="eastAsia" w:ascii="宋体" w:hAnsi="宋体" w:cs="宋体"/>
          <w:color w:val="auto"/>
          <w:sz w:val="24"/>
          <w:szCs w:val="21"/>
          <w:highlight w:val="none"/>
          <w:lang w:bidi="ar"/>
        </w:rPr>
        <w:t xml:space="preserve">采购活动，提供的货物全部由符合政策要求的中小企业制造。相关企业的具体情况如下：</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u w:val="none"/>
          <w:lang w:val="en-US" w:eastAsia="zh-CN" w:bidi="ar"/>
        </w:rPr>
        <w:t xml:space="preserve">1、</w:t>
      </w:r>
      <w:r>
        <w:rPr>
          <w:rFonts w:hint="eastAsia" w:ascii="宋体" w:hAnsi="宋体" w:cs="宋体"/>
          <w:color w:val="auto"/>
          <w:sz w:val="24"/>
          <w:szCs w:val="24"/>
          <w:highlight w:val="none"/>
          <w:u w:val="single"/>
          <w:lang w:val="en-US" w:eastAsia="zh-CN" w:bidi="ar"/>
        </w:rPr>
        <w:t xml:space="preserve"> 丙硫菌唑 480克/升悬浮剂</w:t>
      </w:r>
      <w:r>
        <w:rPr>
          <w:rFonts w:hint="eastAsia" w:ascii="宋体" w:hAnsi="宋体" w:cs="宋体"/>
          <w:color w:val="auto"/>
          <w:sz w:val="24"/>
          <w:szCs w:val="24"/>
          <w:highlight w:val="none"/>
          <w:lang w:val="zh-CN" w:bidi="ar"/>
        </w:rPr>
        <w:t xml:space="preserve">，</w:t>
      </w:r>
      <w:r>
        <w:rPr>
          <w:rFonts w:hint="eastAsia" w:ascii="宋体" w:hAnsi="宋体" w:cs="宋体"/>
          <w:color w:val="auto"/>
          <w:sz w:val="24"/>
          <w:szCs w:val="24"/>
          <w:highlight w:val="none"/>
          <w:lang w:bidi="ar"/>
        </w:rPr>
        <w:t xml:space="preserve">属于</w:t>
      </w:r>
      <w:r>
        <w:rPr>
          <w:rFonts w:hint="eastAsia" w:ascii="宋体" w:hAnsi="宋体" w:cs="宋体"/>
          <w:color w:val="auto"/>
          <w:sz w:val="24"/>
          <w:szCs w:val="24"/>
          <w:highlight w:val="none"/>
          <w:u w:val="single"/>
          <w:lang w:bidi="ar"/>
        </w:rPr>
        <w:t xml:space="preserve">工业</w:t>
      </w:r>
      <w:r>
        <w:rPr>
          <w:rFonts w:hint="eastAsia" w:ascii="宋体" w:hAnsi="宋体" w:cs="宋体"/>
          <w:color w:val="auto"/>
          <w:sz w:val="24"/>
          <w:szCs w:val="24"/>
          <w:highlight w:val="none"/>
          <w:lang w:bidi="ar"/>
        </w:rPr>
        <w:t xml:space="preserve">；制造商为</w:t>
      </w:r>
      <w:r>
        <w:rPr>
          <w:rFonts w:hint="eastAsia" w:ascii="宋体" w:hAnsi="宋体" w:cs="宋体"/>
          <w:color w:val="auto"/>
          <w:sz w:val="24"/>
          <w:szCs w:val="24"/>
          <w:highlight w:val="none"/>
          <w:u w:val="single"/>
          <w:lang w:bidi="ar"/>
        </w:rPr>
        <w:t xml:space="preserve">（企业名称）</w:t>
      </w:r>
      <w:r>
        <w:rPr>
          <w:rFonts w:hint="eastAsia" w:ascii="宋体" w:hAnsi="宋体" w:cs="宋体"/>
          <w:color w:val="auto"/>
          <w:sz w:val="24"/>
          <w:szCs w:val="24"/>
          <w:highlight w:val="none"/>
          <w:lang w:bidi="ar"/>
        </w:rPr>
        <w:t xml:space="preserve">，从业人员</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人，营业收入为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万元，资产总额为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万元，属于</w:t>
      </w:r>
      <w:r>
        <w:rPr>
          <w:rFonts w:hint="eastAsia" w:ascii="宋体" w:hAnsi="宋体" w:cs="宋体"/>
          <w:color w:val="auto"/>
          <w:sz w:val="24"/>
          <w:szCs w:val="24"/>
          <w:highlight w:val="none"/>
          <w:u w:val="single"/>
          <w:lang w:bidi="ar"/>
        </w:rPr>
        <w:t xml:space="preserve">（中型企业、小型企业、微型企业）</w:t>
      </w:r>
      <w:r>
        <w:rPr>
          <w:rFonts w:hint="eastAsia" w:ascii="宋体" w:hAnsi="宋体" w:cs="宋体"/>
          <w:color w:val="auto"/>
          <w:sz w:val="24"/>
          <w:szCs w:val="24"/>
          <w:highlight w:val="none"/>
          <w:lang w:bidi="ar"/>
        </w:rPr>
        <w:t xml:space="preserve">；</w:t>
      </w:r>
      <w:r/>
    </w:p>
    <w:p>
      <w:pPr>
        <w:ind w:firstLine="482"/>
        <w:jc w:val="left"/>
        <w:spacing w:line="400" w:lineRule="exact"/>
        <w:widowControl/>
        <w:rPr>
          <w:rFonts w:hint="eastAsia" w:ascii="宋体" w:hAnsi="宋体" w:cs="宋体"/>
          <w:b/>
          <w:color w:val="auto"/>
          <w:sz w:val="24"/>
          <w:szCs w:val="24"/>
          <w:highlight w:val="none"/>
          <w:lang w:bidi="ar"/>
        </w:rPr>
      </w:pPr>
      <w:r>
        <w:rPr>
          <w:rFonts w:hint="eastAsia" w:ascii="宋体" w:hAnsi="宋体" w:cs="宋体"/>
          <w:b/>
          <w:color w:val="auto"/>
          <w:sz w:val="24"/>
          <w:szCs w:val="24"/>
          <w:highlight w:val="none"/>
          <w:lang w:bidi="ar"/>
        </w:rPr>
      </w:r>
      <w:r/>
    </w:p>
    <w:p>
      <w:pPr>
        <w:ind w:firstLine="482"/>
        <w:jc w:val="left"/>
        <w:spacing w:line="40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 xml:space="preserve">以上企业，不属于大企业的分支机构，不存在控股股东为大企业的情形，也不存在与大企业的负责人为同一人的情形。</w:t>
      </w:r>
      <w:r/>
    </w:p>
    <w:p>
      <w:pPr>
        <w:ind w:firstLine="60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本企业对上述声明内容的真实性负责。如有虚假，将依法承担相应责任。</w:t>
      </w:r>
      <w:r/>
    </w:p>
    <w:p>
      <w:pPr>
        <w:ind w:firstLine="5760"/>
        <w:spacing w:line="300" w:lineRule="exact"/>
        <w:rPr>
          <w:rFonts w:hint="eastAsia" w:ascii="宋体" w:hAnsi="宋体" w:cs="宋体"/>
          <w:color w:val="auto"/>
          <w:sz w:val="24"/>
          <w:szCs w:val="20"/>
          <w:highlight w:val="none"/>
          <w:lang w:bidi="ar"/>
        </w:rPr>
      </w:pPr>
      <w:r>
        <w:rPr>
          <w:rFonts w:hint="eastAsia" w:ascii="宋体" w:hAnsi="宋体" w:cs="宋体"/>
          <w:color w:val="auto"/>
          <w:sz w:val="24"/>
          <w:szCs w:val="20"/>
          <w:highlight w:val="none"/>
          <w:lang w:bidi="ar"/>
        </w:rPr>
      </w:r>
      <w:r/>
    </w:p>
    <w:p>
      <w:pPr>
        <w:ind w:firstLine="5760"/>
        <w:spacing w:line="300" w:lineRule="exact"/>
        <w:rPr>
          <w:rFonts w:hint="eastAsia" w:ascii="宋体" w:hAnsi="宋体" w:cs="宋体"/>
          <w:color w:val="auto"/>
          <w:sz w:val="24"/>
          <w:szCs w:val="20"/>
          <w:highlight w:val="none"/>
        </w:rPr>
      </w:pPr>
      <w:r>
        <w:rPr>
          <w:rFonts w:hint="eastAsia" w:ascii="宋体" w:hAnsi="宋体" w:cs="宋体"/>
          <w:color w:val="auto"/>
          <w:sz w:val="24"/>
          <w:szCs w:val="20"/>
          <w:highlight w:val="none"/>
          <w:lang w:bidi="ar"/>
        </w:rPr>
        <w:t xml:space="preserve">企业名称：</w:t>
      </w:r>
      <w:r/>
    </w:p>
    <w:p>
      <w:pPr>
        <w:spacing w:line="460" w:lineRule="exact"/>
        <w:rPr>
          <w:rFonts w:hint="eastAsia" w:ascii="宋体" w:hAnsi="宋体" w:cs="宋体"/>
          <w:color w:val="auto"/>
          <w:sz w:val="24"/>
          <w:szCs w:val="20"/>
          <w:highlight w:val="none"/>
        </w:rPr>
      </w:pPr>
      <w:r>
        <w:rPr>
          <w:rFonts w:hint="eastAsia" w:ascii="宋体" w:hAnsi="宋体" w:cs="宋体"/>
          <w:color w:val="auto"/>
          <w:sz w:val="24"/>
          <w:szCs w:val="20"/>
          <w:highlight w:val="none"/>
          <w:lang w:bidi="ar"/>
        </w:rPr>
        <w:t xml:space="preserve">                                                日  期：</w:t>
      </w:r>
      <w:r/>
    </w:p>
    <w:p>
      <w:pPr>
        <w:spacing w:line="460" w:lineRule="exact"/>
        <w:rPr>
          <w:rFonts w:hint="eastAsia" w:ascii="宋体" w:hAnsi="宋体" w:cs="宋体"/>
          <w:color w:val="auto"/>
          <w:sz w:val="24"/>
          <w:szCs w:val="24"/>
          <w:highlight w:val="none"/>
          <w:lang w:val="zh-CN" w:bidi="ar"/>
        </w:rPr>
      </w:pPr>
      <w:r>
        <w:rPr>
          <w:rFonts w:hint="eastAsia" w:ascii="宋体" w:hAnsi="宋体" w:cs="宋体"/>
          <w:color w:val="auto"/>
          <w:sz w:val="24"/>
          <w:szCs w:val="24"/>
          <w:highlight w:val="none"/>
          <w:lang w:val="zh-CN" w:bidi="ar"/>
        </w:rPr>
      </w:r>
      <w:r/>
    </w:p>
    <w:p>
      <w:pPr>
        <w:spacing w:line="4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 xml:space="preserve">备注：</w:t>
      </w:r>
      <w:bookmarkEnd w:id="371"/>
      <w:r/>
    </w:p>
    <w:p>
      <w:pPr>
        <w:ind w:firstLine="600"/>
        <w:spacing w:line="4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bidi="ar"/>
        </w:rPr>
        <w:t xml:space="preserve">1、中小企业的认定：</w:t>
      </w:r>
      <w:r/>
    </w:p>
    <w:p>
      <w:pPr>
        <w:ind w:firstLine="843"/>
        <w:spacing w:line="460" w:lineRule="exact"/>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bidi="ar"/>
        </w:rPr>
        <w:t xml:space="preserve">1.1请投标人在投标文件中提供中小企业声明函</w:t>
      </w:r>
      <w:r>
        <w:rPr>
          <w:rFonts w:hint="eastAsia" w:ascii="宋体" w:hAnsi="宋体" w:cs="宋体"/>
          <w:b/>
          <w:color w:val="auto"/>
          <w:sz w:val="24"/>
          <w:highlight w:val="none"/>
          <w:lang w:bidi="ar"/>
        </w:rPr>
        <w:t xml:space="preserve">。未按</w:t>
      </w:r>
      <w:r>
        <w:rPr>
          <w:rFonts w:hint="eastAsia" w:ascii="宋体" w:hAnsi="宋体" w:cs="宋体"/>
          <w:b/>
          <w:color w:val="auto"/>
          <w:sz w:val="24"/>
          <w:szCs w:val="24"/>
          <w:highlight w:val="none"/>
          <w:lang w:bidi="ar"/>
        </w:rPr>
        <w:t xml:space="preserve">招标</w:t>
      </w:r>
      <w:r>
        <w:rPr>
          <w:rFonts w:hint="eastAsia" w:ascii="宋体" w:hAnsi="宋体" w:cs="宋体"/>
          <w:b/>
          <w:color w:val="auto"/>
          <w:sz w:val="24"/>
          <w:highlight w:val="none"/>
          <w:lang w:bidi="ar"/>
        </w:rPr>
        <w:t xml:space="preserve">文件的规定在</w:t>
      </w:r>
      <w:r>
        <w:rPr>
          <w:rFonts w:hint="eastAsia" w:ascii="宋体" w:hAnsi="宋体" w:cs="宋体"/>
          <w:b/>
          <w:color w:val="auto"/>
          <w:sz w:val="24"/>
          <w:szCs w:val="24"/>
          <w:highlight w:val="none"/>
          <w:lang w:bidi="ar"/>
        </w:rPr>
        <w:t xml:space="preserve">投标文件</w:t>
      </w:r>
      <w:r>
        <w:rPr>
          <w:rFonts w:hint="eastAsia" w:ascii="宋体" w:hAnsi="宋体" w:cs="宋体"/>
          <w:b/>
          <w:color w:val="auto"/>
          <w:sz w:val="24"/>
          <w:highlight w:val="none"/>
          <w:lang w:bidi="ar"/>
        </w:rPr>
        <w:t xml:space="preserve">中</w:t>
      </w:r>
      <w:r>
        <w:rPr>
          <w:rFonts w:hint="eastAsia" w:ascii="宋体" w:hAnsi="宋体" w:cs="宋体"/>
          <w:b/>
          <w:color w:val="auto"/>
          <w:sz w:val="24"/>
          <w:szCs w:val="24"/>
          <w:highlight w:val="none"/>
          <w:lang w:bidi="ar"/>
        </w:rPr>
        <w:t xml:space="preserve">提供有效的中小企业声明函的，不享受促进</w:t>
      </w:r>
      <w:r>
        <w:rPr>
          <w:rFonts w:hint="eastAsia" w:ascii="宋体" w:hAnsi="宋体" w:cs="宋体"/>
          <w:b/>
          <w:color w:val="auto"/>
          <w:sz w:val="24"/>
          <w:szCs w:val="24"/>
          <w:highlight w:val="none"/>
          <w:lang w:val="zh-CN" w:bidi="ar"/>
        </w:rPr>
        <w:t xml:space="preserve">中小企业</w:t>
      </w:r>
      <w:r>
        <w:rPr>
          <w:rFonts w:hint="eastAsia" w:ascii="宋体" w:hAnsi="宋体" w:cs="宋体"/>
          <w:b/>
          <w:color w:val="auto"/>
          <w:sz w:val="24"/>
          <w:szCs w:val="24"/>
          <w:highlight w:val="none"/>
          <w:lang w:bidi="ar"/>
        </w:rPr>
        <w:t xml:space="preserve">发展的相关政府采购政策</w:t>
      </w:r>
      <w:r>
        <w:rPr>
          <w:rFonts w:hint="eastAsia" w:ascii="宋体" w:hAnsi="宋体" w:cs="宋体"/>
          <w:b/>
          <w:color w:val="auto"/>
          <w:sz w:val="24"/>
          <w:szCs w:val="24"/>
          <w:highlight w:val="none"/>
          <w:lang w:val="zh-CN" w:bidi="ar"/>
        </w:rPr>
        <w:t xml:space="preserve">。</w:t>
      </w:r>
      <w:r/>
    </w:p>
    <w:p>
      <w:pPr>
        <w:ind w:firstLine="843"/>
        <w:spacing w:line="4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 xml:space="preserve">1.2如未对上述声明函内（中型企业、小型企业、微型企业）进行勾选或明确，引起的评审风险由投标人自行承担。</w:t>
      </w:r>
      <w:r/>
    </w:p>
    <w:p>
      <w:pPr>
        <w:ind w:firstLine="843"/>
        <w:spacing w:line="4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bidi="ar"/>
        </w:rPr>
        <w:t xml:space="preserve">1.3</w:t>
      </w:r>
      <w:r>
        <w:rPr>
          <w:rFonts w:hint="eastAsia" w:ascii="宋体" w:hAnsi="宋体" w:cs="宋体"/>
          <w:b/>
          <w:color w:val="auto"/>
          <w:sz w:val="24"/>
          <w:szCs w:val="24"/>
          <w:highlight w:val="none"/>
          <w:lang w:val="zh-CN" w:bidi="ar"/>
        </w:rPr>
        <w:t xml:space="preserve">上述“中小企业声明函”格式原则上不得改动，因擅自改动引起的评审风险由投标人自行承担。</w:t>
      </w:r>
      <w:r/>
    </w:p>
    <w:p>
      <w:pPr>
        <w:ind w:firstLine="600"/>
        <w:spacing w:line="4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bidi="ar"/>
        </w:rPr>
        <w:t xml:space="preserve">2、</w:t>
      </w:r>
      <w:r>
        <w:rPr>
          <w:rFonts w:hint="eastAsia" w:ascii="宋体" w:hAnsi="宋体" w:cs="宋体"/>
          <w:color w:val="auto"/>
          <w:sz w:val="24"/>
          <w:szCs w:val="24"/>
          <w:highlight w:val="none"/>
          <w:lang w:val="zh-CN" w:bidi="ar"/>
        </w:rPr>
        <w:t xml:space="preserve">从业人员、营业收入、资产总额填报上一年度数据，无上一年度数据的新成立企业可不填报。</w:t>
      </w:r>
      <w:r/>
    </w:p>
    <w:p>
      <w:pPr>
        <w:ind w:firstLine="602"/>
        <w:spacing w:line="460" w:lineRule="exac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3、本项目所属行业为：工业</w:t>
      </w:r>
      <w:r>
        <w:rPr>
          <w:rFonts w:hint="eastAsia" w:ascii="宋体" w:hAnsi="宋体" w:cs="宋体"/>
          <w:b/>
          <w:bCs/>
          <w:color w:val="auto"/>
          <w:sz w:val="24"/>
          <w:szCs w:val="24"/>
          <w:highlight w:val="none"/>
          <w:lang w:val="zh-CN" w:bidi="ar"/>
        </w:rPr>
        <w:t xml:space="preserve">。</w:t>
      </w:r>
      <w:r/>
    </w:p>
    <w:p>
      <w:pPr>
        <w:ind w:firstLine="482"/>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page" w:clear="all"/>
      </w:r>
      <w:r/>
    </w:p>
    <w:p>
      <w:pPr>
        <w:jc w:val="center"/>
        <w:spacing w:line="440" w:lineRule="exact"/>
        <w:rPr>
          <w:rFonts w:hint="eastAsia" w:ascii="宋体" w:hAnsi="宋体" w:cs="宋体"/>
          <w:b/>
          <w:bCs/>
          <w:color w:val="auto"/>
          <w:sz w:val="28"/>
          <w:szCs w:val="28"/>
          <w:highlight w:val="none"/>
        </w:rPr>
        <w:outlineLvl w:val="1"/>
      </w:pPr>
      <w:r/>
      <w:bookmarkStart w:id="372" w:name="_Toc9384"/>
      <w:r>
        <w:rPr>
          <w:rFonts w:hint="eastAsia" w:ascii="宋体" w:hAnsi="宋体" w:cs="宋体"/>
          <w:b/>
          <w:bCs/>
          <w:color w:val="auto"/>
          <w:sz w:val="28"/>
          <w:szCs w:val="28"/>
          <w:highlight w:val="none"/>
        </w:rPr>
        <w:t xml:space="preserve">附件1</w:t>
      </w:r>
      <w:r>
        <w:rPr>
          <w:rFonts w:hint="eastAsia" w:ascii="宋体" w:hAnsi="宋体" w:cs="宋体"/>
          <w:b/>
          <w:bCs/>
          <w:color w:val="auto"/>
          <w:sz w:val="28"/>
          <w:szCs w:val="28"/>
          <w:highlight w:val="none"/>
          <w:lang w:val="en-US" w:eastAsia="zh-CN"/>
        </w:rPr>
        <w:t xml:space="preserve">1</w:t>
      </w:r>
      <w:r>
        <w:rPr>
          <w:rFonts w:hint="eastAsia" w:ascii="宋体" w:hAnsi="宋体" w:cs="宋体"/>
          <w:b/>
          <w:bCs/>
          <w:color w:val="auto"/>
          <w:sz w:val="28"/>
          <w:szCs w:val="28"/>
          <w:highlight w:val="none"/>
        </w:rPr>
        <w:t xml:space="preserve"> 残疾人福利性单位声明函</w:t>
      </w:r>
      <w:bookmarkEnd w:id="372"/>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项目采购活动提供本单位制造的货物</w:t>
      </w:r>
      <w:r>
        <w:rPr>
          <w:rFonts w:hint="eastAsia" w:ascii="宋体" w:hAnsi="宋体" w:cs="宋体"/>
          <w:color w:val="auto"/>
          <w:sz w:val="24"/>
          <w:szCs w:val="21"/>
          <w:highlight w:val="none"/>
          <w:lang w:val="zh-CN" w:bidi="ar"/>
        </w:rPr>
        <w:t xml:space="preserve">（由本单位承担工程/提供服务）</w:t>
      </w:r>
      <w:r>
        <w:rPr>
          <w:rFonts w:hint="eastAsia" w:ascii="宋体" w:hAnsi="宋体" w:cs="宋体"/>
          <w:color w:val="auto"/>
          <w:sz w:val="24"/>
          <w:szCs w:val="21"/>
          <w:highlight w:val="none"/>
        </w:rPr>
        <w:t xml:space="preserve">，或者提供其他残疾人福利性单位制造的货物（不包括使用非残疾人福利性单位注册商标的货物）。</w:t>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（备注：1、投标人如不提供此声明函，价格将不做相应扣除。2、中标人为残疾人福利单位的，此声明函将随中标结果同时公告，接受社会监督）</w:t>
      </w:r>
      <w:r/>
    </w:p>
    <w:p>
      <w:pPr>
        <w:ind w:firstLine="624"/>
        <w:spacing w:line="588"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cs="宋体"/>
          <w:color w:val="auto"/>
          <w:sz w:val="24"/>
          <w:szCs w:val="21"/>
          <w:highlight w:val="none"/>
        </w:rPr>
      </w:pPr>
      <w:r>
        <w:rPr>
          <w:rFonts w:hint="eastAsia" w:ascii="宋体" w:hAnsi="宋体" w:cs="宋体"/>
          <w:color w:val="auto"/>
          <w:spacing w:val="6"/>
          <w:sz w:val="30"/>
          <w:szCs w:val="30"/>
          <w:highlight w:val="none"/>
        </w:rPr>
        <w:t xml:space="preserve">             </w:t>
      </w:r>
      <w:r>
        <w:rPr>
          <w:rFonts w:hint="eastAsia" w:ascii="宋体" w:hAnsi="宋体" w:cs="宋体"/>
          <w:color w:val="auto"/>
          <w:sz w:val="24"/>
          <w:szCs w:val="21"/>
          <w:highlight w:val="none"/>
        </w:rPr>
        <w:t xml:space="preserve">          投标人全称（加盖CA电子公章）：</w:t>
      </w:r>
      <w:r/>
    </w:p>
    <w:p>
      <w:pPr>
        <w:ind w:right="1560" w:firstLine="480"/>
        <w:jc w:val="center"/>
        <w:spacing w:line="588" w:lineRule="exact"/>
        <w:tabs>
          <w:tab w:val="left" w:pos="4860" w:leader="none"/>
        </w:tabs>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日  期：</w:t>
      </w:r>
      <w:r/>
    </w:p>
    <w:p>
      <w:pPr>
        <w:spacing w:line="420" w:lineRule="exact"/>
        <w:rPr>
          <w:rFonts w:hint="eastAsia" w:ascii="宋体" w:hAnsi="宋体" w:cs="宋体"/>
          <w:b/>
          <w:color w:val="auto"/>
          <w:szCs w:val="21"/>
          <w:highlight w:val="none"/>
          <w:lang w:val="zh-CN"/>
        </w:rPr>
      </w:pPr>
      <w:r>
        <w:rPr>
          <w:rFonts w:hint="eastAsia" w:ascii="宋体" w:hAnsi="宋体" w:cs="宋体"/>
          <w:b/>
          <w:color w:val="auto"/>
          <w:szCs w:val="21"/>
          <w:highlight w:val="none"/>
          <w:lang w:val="zh-CN" w:bidi="ar"/>
        </w:rPr>
        <w:t xml:space="preserve">请</w:t>
      </w:r>
      <w:r>
        <w:rPr>
          <w:rFonts w:hint="eastAsia" w:ascii="宋体" w:hAnsi="宋体" w:cs="宋体"/>
          <w:b/>
          <w:color w:val="auto"/>
          <w:szCs w:val="21"/>
          <w:highlight w:val="none"/>
          <w:lang w:bidi="ar"/>
        </w:rPr>
        <w:t xml:space="preserve">投标人</w:t>
      </w:r>
      <w:r>
        <w:rPr>
          <w:rFonts w:hint="eastAsia" w:ascii="宋体" w:hAnsi="宋体" w:cs="宋体"/>
          <w:b/>
          <w:color w:val="auto"/>
          <w:szCs w:val="21"/>
          <w:highlight w:val="none"/>
          <w:lang w:val="zh-CN" w:bidi="ar"/>
        </w:rPr>
        <w:t xml:space="preserve">认真阅读如下内容：</w:t>
      </w:r>
      <w:r/>
    </w:p>
    <w:p>
      <w:pPr>
        <w:spacing w:line="42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bidi="ar"/>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20" w:lineRule="exact"/>
        <w:rPr>
          <w:rFonts w:hint="eastAsia" w:ascii="宋体" w:hAnsi="宋体" w:cs="宋体"/>
          <w:color w:val="auto"/>
          <w:szCs w:val="21"/>
          <w:highlight w:val="none"/>
          <w:lang w:val="zh-CN"/>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zh-CN" w:bidi="ar"/>
        </w:rPr>
        <w:t xml:space="preserve">安置的残疾人占本单位在职职工人数的比例不低于25%（含25%），并且安置的残疾人人数不少于10人（含10人）；</w:t>
      </w:r>
      <w:r/>
    </w:p>
    <w:p>
      <w:pPr>
        <w:ind w:firstLine="420"/>
        <w:spacing w:line="420" w:lineRule="exact"/>
        <w:rPr>
          <w:rFonts w:hint="eastAsia" w:ascii="宋体" w:hAnsi="宋体" w:cs="宋体"/>
          <w:color w:val="auto"/>
          <w:szCs w:val="21"/>
          <w:highlight w:val="none"/>
          <w:lang w:bidi="ar"/>
        </w:rPr>
      </w:pPr>
      <w:r>
        <w:rPr>
          <w:rFonts w:hint="eastAsia" w:ascii="宋体" w:hAnsi="宋体" w:cs="宋体"/>
          <w:color w:val="auto"/>
          <w:szCs w:val="21"/>
          <w:highlight w:val="none"/>
          <w:lang w:val="zh-CN" w:bidi="ar"/>
        </w:rPr>
        <w:t xml:space="preserve">2、依法与安置的每位残疾人签订了一年以上（含一年）的劳动合同或服务协议；</w:t>
      </w:r>
      <w:r/>
    </w:p>
    <w:p>
      <w:pPr>
        <w:ind w:firstLine="420"/>
        <w:spacing w:line="420" w:lineRule="exact"/>
        <w:rPr>
          <w:rFonts w:hint="eastAsia" w:ascii="宋体" w:hAnsi="宋体" w:cs="宋体"/>
          <w:color w:val="auto"/>
          <w:szCs w:val="21"/>
          <w:highlight w:val="none"/>
          <w:lang w:val="zh-CN" w:bidi="ar"/>
        </w:rPr>
      </w:pPr>
      <w:r>
        <w:rPr>
          <w:rFonts w:hint="eastAsia" w:ascii="宋体" w:hAnsi="宋体" w:cs="宋体"/>
          <w:color w:val="auto"/>
          <w:szCs w:val="21"/>
          <w:highlight w:val="none"/>
          <w:lang w:val="zh-CN" w:bidi="ar"/>
        </w:rPr>
        <w:t xml:space="preserve">3、为安置的每位残疾人按月足额缴纳了基本养老保险、基本医疗保险、失业保险、工伤保险和生育保险等社会保险费；</w:t>
      </w:r>
      <w:r/>
    </w:p>
    <w:p>
      <w:pPr>
        <w:ind w:firstLine="420"/>
        <w:spacing w:line="42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    </w:t>
      </w:r>
      <w:r>
        <w:rPr>
          <w:rFonts w:hint="eastAsia" w:ascii="宋体" w:hAnsi="宋体" w:cs="宋体"/>
          <w:color w:val="auto"/>
          <w:szCs w:val="21"/>
          <w:highlight w:val="none"/>
          <w:lang w:val="zh-CN" w:bidi="ar"/>
        </w:rPr>
        <w:t xml:space="preserve">4、通过银行等金融机构向安置的每位残疾人，按月支付了不低于单位所在区县适用的经省级人民政府批准的月最低工资标准的工资；</w:t>
      </w:r>
      <w:r/>
    </w:p>
    <w:p>
      <w:pPr>
        <w:ind w:firstLine="420"/>
        <w:spacing w:line="420" w:lineRule="exact"/>
        <w:rPr>
          <w:rFonts w:hint="eastAsia" w:ascii="宋体" w:hAnsi="宋体" w:cs="宋体"/>
          <w:color w:val="auto"/>
          <w:szCs w:val="21"/>
          <w:highlight w:val="none"/>
          <w:lang w:bidi="ar"/>
        </w:rPr>
      </w:pPr>
      <w:r>
        <w:rPr>
          <w:rFonts w:hint="eastAsia" w:ascii="宋体" w:hAnsi="宋体" w:cs="宋体"/>
          <w:color w:val="auto"/>
          <w:szCs w:val="21"/>
          <w:highlight w:val="none"/>
          <w:lang w:val="zh-CN" w:bidi="ar"/>
        </w:rPr>
        <w:t xml:space="preserve">5、提供本单位制造的货物、承担的工程或者服务（以下简称产品），或者提供其他残疾人福利性单位制造的货物（不包括使用非残疾人福利性单位注册商标的货物）。</w:t>
      </w:r>
      <w:r/>
    </w:p>
    <w:p>
      <w:pPr>
        <w:ind w:firstLine="420"/>
        <w:spacing w:line="420" w:lineRule="exact"/>
        <w:rPr>
          <w:rFonts w:hint="eastAsia" w:ascii="宋体" w:hAnsi="宋体" w:cs="宋体"/>
          <w:color w:val="auto"/>
          <w:szCs w:val="21"/>
          <w:highlight w:val="none"/>
          <w:lang w:val="zh-CN" w:bidi="ar"/>
        </w:rPr>
      </w:pPr>
      <w:r>
        <w:rPr>
          <w:rFonts w:hint="eastAsia" w:ascii="宋体" w:hAnsi="宋体" w:cs="宋体"/>
          <w:color w:val="auto"/>
          <w:szCs w:val="21"/>
          <w:highlight w:val="none"/>
          <w:lang w:val="zh-CN" w:bidi="ar"/>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bookmarkStart w:id="373" w:name="_Toc155086474"/>
      <w:r/>
      <w:bookmarkStart w:id="374" w:name="_Toc17235"/>
      <w:r/>
      <w:bookmarkStart w:id="375" w:name="_Toc155086574"/>
      <w:r/>
      <w:r/>
    </w:p>
    <w:p>
      <w:pPr>
        <w:ind w:firstLine="420"/>
        <w:spacing w:line="420" w:lineRule="exact"/>
        <w:rPr>
          <w:rFonts w:hint="eastAsia" w:ascii="宋体" w:hAnsi="宋体" w:cs="宋体"/>
          <w:color w:val="auto"/>
          <w:highlight w:val="none"/>
        </w:rPr>
      </w:pPr>
      <w:r>
        <w:rPr>
          <w:rFonts w:hint="eastAsia" w:ascii="宋体" w:hAnsi="宋体" w:cs="宋体"/>
          <w:color w:val="auto"/>
          <w:szCs w:val="21"/>
          <w:highlight w:val="none"/>
          <w:lang w:val="zh-CN" w:bidi="ar"/>
        </w:rPr>
        <w:br w:type="page" w:clear="all"/>
      </w:r>
      <w:r/>
    </w:p>
    <w:p>
      <w:pPr>
        <w:ind w:firstLine="562"/>
        <w:jc w:val="center"/>
        <w:spacing w:line="440" w:lineRule="exact"/>
        <w:rPr>
          <w:rFonts w:hint="eastAsia" w:ascii="宋体" w:hAnsi="宋体" w:cs="宋体"/>
          <w:b/>
          <w:bCs/>
          <w:color w:val="auto"/>
          <w:sz w:val="28"/>
          <w:szCs w:val="28"/>
          <w:highlight w:val="none"/>
        </w:rPr>
        <w:outlineLvl w:val="1"/>
      </w:pPr>
      <w:r/>
      <w:bookmarkStart w:id="376" w:name="_Toc21888"/>
      <w:r>
        <w:rPr>
          <w:rFonts w:hint="eastAsia" w:ascii="宋体" w:hAnsi="宋体" w:cs="宋体"/>
          <w:b/>
          <w:bCs/>
          <w:color w:val="auto"/>
          <w:sz w:val="28"/>
          <w:szCs w:val="28"/>
          <w:highlight w:val="none"/>
        </w:rPr>
        <w:t xml:space="preserve">附件1</w:t>
      </w:r>
      <w:r>
        <w:rPr>
          <w:rFonts w:hint="eastAsia" w:ascii="宋体" w:hAnsi="宋体" w:cs="宋体"/>
          <w:b/>
          <w:bCs/>
          <w:color w:val="auto"/>
          <w:sz w:val="28"/>
          <w:szCs w:val="28"/>
          <w:highlight w:val="none"/>
          <w:lang w:val="en-US" w:eastAsia="zh-CN"/>
        </w:rPr>
        <w:t xml:space="preserve">2</w:t>
      </w:r>
      <w:r>
        <w:rPr>
          <w:rFonts w:hint="eastAsia" w:ascii="宋体" w:hAnsi="宋体" w:cs="宋体"/>
          <w:b/>
          <w:bCs/>
          <w:color w:val="auto"/>
          <w:sz w:val="28"/>
          <w:szCs w:val="28"/>
          <w:highlight w:val="none"/>
        </w:rPr>
        <w:t xml:space="preserve"> 投标函</w:t>
      </w:r>
      <w:bookmarkEnd w:id="373"/>
      <w:r/>
      <w:bookmarkEnd w:id="374"/>
      <w:r/>
      <w:bookmarkEnd w:id="375"/>
      <w:r/>
      <w:bookmarkEnd w:id="376"/>
      <w:r/>
      <w:r/>
    </w:p>
    <w:p>
      <w:pPr>
        <w:jc w:val="left"/>
        <w:spacing w:line="42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spacing w:line="44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致：</w:t>
      </w:r>
      <w:r>
        <w:rPr>
          <w:rFonts w:hint="eastAsia" w:ascii="宋体" w:hAnsi="宋体" w:cs="宋体"/>
          <w:color w:val="auto"/>
          <w:sz w:val="24"/>
          <w:szCs w:val="24"/>
          <w:highlight w:val="none"/>
          <w:u w:val="single"/>
          <w:lang w:val="zh-CN"/>
        </w:rPr>
        <w:t xml:space="preserve">涵熙（苏州）工程顾问有限公司</w:t>
      </w:r>
      <w:r/>
    </w:p>
    <w:p>
      <w:pPr>
        <w:pStyle w:val="1019"/>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根据贵方的</w:t>
      </w:r>
      <w:r>
        <w:rPr>
          <w:rFonts w:hint="eastAsia" w:ascii="宋体" w:hAnsi="宋体" w:cs="宋体"/>
          <w:color w:val="auto"/>
          <w:szCs w:val="21"/>
          <w:highlight w:val="none"/>
          <w:lang w:eastAsia="zh-CN"/>
        </w:rPr>
        <w:t xml:space="preserve">JSZC-320581-HXGW-G2025-0022</w:t>
      </w:r>
      <w:r>
        <w:rPr>
          <w:rFonts w:hint="eastAsia" w:ascii="宋体" w:hAnsi="宋体" w:cs="宋体"/>
          <w:color w:val="auto"/>
          <w:szCs w:val="21"/>
          <w:highlight w:val="none"/>
        </w:rPr>
        <w:t xml:space="preserve">号招标文件，正式授权下述签字人______(姓名)代表我方______________（投标人的名称），全权处理本次项目投标的有关事宜。</w:t>
      </w:r>
      <w:r/>
    </w:p>
    <w:p>
      <w:pPr>
        <w:pStyle w:val="1019"/>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据此函，__________签字人兹宣布同意如下：</w:t>
      </w:r>
      <w:r/>
    </w:p>
    <w:p>
      <w:pPr>
        <w:pStyle w:val="1019"/>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1.按招标文件规定的各项要求，向买方提供所需货物（包含与货物相关的服务）。</w:t>
      </w:r>
      <w:r/>
    </w:p>
    <w:p>
      <w:pPr>
        <w:pStyle w:val="1019"/>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2.我们完全理解贵方不一定将合同授予最低报价的投标人。</w:t>
      </w:r>
      <w:r/>
    </w:p>
    <w:p>
      <w:pPr>
        <w:pStyle w:val="1019"/>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3.我们已详细审核全部招标文件及其有效补充文件，我们知道必须放弃提出含糊不清或误解问题的权利。</w:t>
      </w:r>
      <w:r/>
    </w:p>
    <w:p>
      <w:pPr>
        <w:pStyle w:val="1019"/>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4.我方同意投标有效期为开标之日后六十（60）天。</w:t>
      </w:r>
      <w:r/>
    </w:p>
    <w:p>
      <w:pPr>
        <w:pStyle w:val="1019"/>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5.我们同意从规定的开标日期起遵循本投标文件，并在规定的投标有效期期满之前均具有约束力。</w:t>
      </w:r>
      <w:r/>
    </w:p>
    <w:p>
      <w:pPr>
        <w:pStyle w:val="1019"/>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6.同意向贵方提供贵方可能另外要求的与投标有关的任何证据或资料，并保证我方已提供和将要提供的文件是真实的、准确的。</w:t>
      </w:r>
      <w:r/>
    </w:p>
    <w:p>
      <w:pPr>
        <w:pStyle w:val="1019"/>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7.一旦我方中标,我方将根据招标文件的规定，严格履行合同的责任和义务,并保证在招标文件规定的时间完成项目，交付采购人验收、使用。</w:t>
      </w:r>
      <w:r/>
    </w:p>
    <w:p>
      <w:pPr>
        <w:pStyle w:val="1019"/>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8.与本投标有关的正式通讯地址为：</w:t>
      </w:r>
      <w:r/>
    </w:p>
    <w:p>
      <w:pPr>
        <w:pStyle w:val="1019"/>
        <w:ind w:left="420"/>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          址：</w:t>
      </w:r>
      <w:r/>
    </w:p>
    <w:p>
      <w:pPr>
        <w:pStyle w:val="1019"/>
        <w:ind w:left="420"/>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邮          编：</w:t>
      </w:r>
      <w:r/>
    </w:p>
    <w:p>
      <w:pPr>
        <w:pStyle w:val="1019"/>
        <w:ind w:left="420"/>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电          话：</w:t>
      </w:r>
      <w:r/>
    </w:p>
    <w:p>
      <w:pPr>
        <w:pStyle w:val="1019"/>
        <w:ind w:left="420"/>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传          真：</w:t>
      </w:r>
      <w:r/>
    </w:p>
    <w:p>
      <w:pPr>
        <w:pStyle w:val="1019"/>
        <w:ind w:left="420"/>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 标 人开户行：</w:t>
      </w:r>
      <w:r/>
    </w:p>
    <w:p>
      <w:pPr>
        <w:pStyle w:val="1019"/>
        <w:ind w:left="420"/>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账          号： </w:t>
      </w:r>
      <w:r/>
    </w:p>
    <w:p>
      <w:pPr>
        <w:pStyle w:val="1019"/>
        <w:ind w:left="420"/>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          期：________年____月____日</w:t>
      </w:r>
      <w:r/>
    </w:p>
    <w:p>
      <w:pPr>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r>
      <w:r/>
    </w:p>
    <w:p>
      <w:pPr>
        <w:pStyle w:val="793"/>
        <w:ind w:firstLine="482"/>
        <w:rPr>
          <w:rFonts w:hint="eastAsia" w:ascii="宋体" w:hAnsi="宋体" w:eastAsia="宋体" w:cs="宋体"/>
          <w:color w:val="auto"/>
          <w:highlight w:val="none"/>
        </w:rPr>
      </w:pPr>
      <w:r>
        <w:rPr>
          <w:rFonts w:hint="eastAsia" w:ascii="宋体" w:hAnsi="宋体" w:eastAsia="宋体" w:cs="宋体"/>
          <w:b/>
          <w:color w:val="auto"/>
          <w:sz w:val="24"/>
          <w:szCs w:val="44"/>
          <w:highlight w:val="none"/>
        </w:rPr>
        <w:br w:type="page" w:clear="all"/>
      </w:r>
      <w:r/>
    </w:p>
    <w:p>
      <w:pPr>
        <w:ind w:firstLine="562"/>
        <w:jc w:val="center"/>
        <w:spacing w:line="440" w:lineRule="exact"/>
        <w:rPr>
          <w:rFonts w:hint="eastAsia" w:ascii="宋体" w:hAnsi="宋体" w:cs="宋体"/>
          <w:b/>
          <w:bCs/>
          <w:color w:val="auto"/>
          <w:sz w:val="28"/>
          <w:szCs w:val="28"/>
          <w:highlight w:val="none"/>
        </w:rPr>
        <w:outlineLvl w:val="1"/>
      </w:pPr>
      <w:r/>
      <w:bookmarkStart w:id="377" w:name="_Toc2571"/>
      <w:r>
        <w:rPr>
          <w:rFonts w:hint="eastAsia" w:ascii="宋体" w:hAnsi="宋体" w:cs="宋体"/>
          <w:b/>
          <w:bCs/>
          <w:color w:val="auto"/>
          <w:sz w:val="28"/>
          <w:szCs w:val="28"/>
          <w:highlight w:val="none"/>
        </w:rPr>
        <w:t xml:space="preserve">附件1</w:t>
      </w:r>
      <w:r>
        <w:rPr>
          <w:rFonts w:hint="eastAsia" w:ascii="宋体" w:hAnsi="宋体" w:cs="宋体"/>
          <w:b/>
          <w:bCs/>
          <w:color w:val="auto"/>
          <w:sz w:val="28"/>
          <w:szCs w:val="28"/>
          <w:highlight w:val="none"/>
          <w:lang w:val="en-US" w:eastAsia="zh-CN"/>
        </w:rPr>
        <w:t xml:space="preserve">3</w:t>
      </w:r>
      <w:r>
        <w:rPr>
          <w:rFonts w:hint="eastAsia" w:ascii="宋体" w:hAnsi="宋体" w:cs="宋体"/>
          <w:b/>
          <w:bCs/>
          <w:color w:val="auto"/>
          <w:sz w:val="28"/>
          <w:szCs w:val="28"/>
          <w:highlight w:val="none"/>
        </w:rPr>
        <w:t xml:space="preserve"> </w:t>
      </w:r>
      <w:bookmarkStart w:id="378" w:name="_Toc31580"/>
      <w:r/>
      <w:bookmarkStart w:id="379" w:name="_Toc9014"/>
      <w:r/>
      <w:bookmarkStart w:id="380" w:name="_Toc42157468"/>
      <w:r>
        <w:rPr>
          <w:rFonts w:hint="eastAsia" w:ascii="宋体" w:hAnsi="宋体" w:cs="宋体"/>
          <w:b/>
          <w:bCs/>
          <w:color w:val="auto"/>
          <w:sz w:val="28"/>
          <w:szCs w:val="28"/>
          <w:highlight w:val="none"/>
        </w:rPr>
        <w:t xml:space="preserve">其他证明文件</w:t>
      </w:r>
      <w:bookmarkEnd w:id="377"/>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投标人认为需要提供的其他证明文件（如有）</w:t>
      </w:r>
      <w:bookmarkEnd w:id="378"/>
      <w:bookmarkEnd w:id="379"/>
      <w:bookmarkEnd w:id="380"/>
      <w:r/>
    </w:p>
    <w:p>
      <w:pPr>
        <w:ind w:firstLine="480"/>
        <w:spacing w:line="400" w:lineRule="exact"/>
        <w:rPr>
          <w:rFonts w:hint="eastAsia" w:ascii="宋体" w:hAnsi="宋体" w:cs="宋体"/>
          <w:sz w:val="24"/>
          <w:szCs w:val="24"/>
        </w:rPr>
      </w:pPr>
      <w:r>
        <w:rPr>
          <w:rFonts w:hint="eastAsia" w:ascii="宋体" w:hAnsi="宋体" w:cs="宋体"/>
          <w:sz w:val="24"/>
          <w:szCs w:val="24"/>
        </w:rPr>
      </w:r>
      <w:r/>
    </w:p>
    <w:sectPr>
      <w:footerReference w:type="default" r:id="rId13"/>
      <w:footerReference w:type="first" r:id="rId14"/>
      <w:footnotePr/>
      <w:endnotePr/>
      <w:type w:val="nextPage"/>
      <w:pgSz w:w="11906" w:h="16838" w:orient="portrait"/>
      <w:pgMar w:top="771" w:right="720" w:bottom="527" w:left="720" w:header="231" w:footer="20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ind w:firstLine="360"/>
      <w:rPr>
        <w:rStyle w:val="997"/>
      </w:rPr>
      <w:framePr w:wrap="around" w:vAnchor="text" w:hAnchor="margin" w:xAlign="center" w:y="1"/>
    </w:pPr>
    <w:r>
      <w:fldChar w:fldCharType="begin"/>
    </w:r>
    <w:r>
      <w:rPr>
        <w:rStyle w:val="997"/>
      </w:rPr>
      <w:instrText xml:space="preserve">PAGE  </w:instrText>
    </w:r>
    <w:r>
      <w:fldChar w:fldCharType="separate"/>
    </w:r>
    <w:r>
      <w:rPr>
        <w:rStyle w:val="997"/>
      </w:rPr>
      <w:t xml:space="preserve">1</w:t>
    </w:r>
    <w:r>
      <w:fldChar w:fldCharType="end"/>
    </w:r>
    <w:r/>
  </w:p>
  <w:p>
    <w:pPr>
      <w:pStyle w:val="1072"/>
      <w:ind w:firstLine="360"/>
    </w:pPr>
    <w:r/>
    <w:r/>
  </w:p>
  <w:p>
    <w:r/>
    <w:r/>
  </w:p>
  <w:p>
    <w:r/>
    <w:r/>
  </w:p>
  <w:p>
    <w:r/>
    <w:r/>
  </w:p>
  <w:p>
    <w:r/>
    <w:r/>
  </w:p>
  <w:p>
    <w:r/>
    <w:r/>
  </w:p>
  <w:p>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pPr>
                    <w:r>
                      <w:fldChar w:fldCharType="begin"/>
                    </w:r>
                    <w:r>
                      <w:instrText xml:space="preserve"> PAGE  \* MERGEFORMAT </w:instrText>
                    </w:r>
                    <w:r>
                      <w:fldChar w:fldCharType="separate"/>
                    </w:r>
                    <w:r>
                      <w:t xml:space="preserve">4</w:t>
                    </w:r>
                    <w:r>
                      <w:fldChar w:fldCharType="end"/>
                    </w:r>
                    <w:r/>
                  </w:p>
                </w:txbxContent>
              </v:textbox>
            </v:shape>
          </w:pict>
        </mc:Fallback>
      </mc:AlternateContent>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left"/>
      <w:rPr>
        <w:sz w:val="21"/>
        <w:szCs w:val="21"/>
      </w:rPr>
    </w:pPr>
    <w:r>
      <w:rPr>
        <w:rFonts w:hint="eastAsia" w:ascii="宋体" w:hAnsi="宋体" w:cs="宋体"/>
        <w:color w:val="000000" w:themeColor="text1"/>
        <w:sz w:val="21"/>
        <w:szCs w:val="21"/>
        <w14:textFill>
          <w14:solidFill>
            <w14:schemeClr w14:val="tx1"/>
          </w14:solidFill>
        </w14:textFill>
      </w:rPr>
      <w:t xml:space="preserve">涵熙（苏州）工程顾问有限公司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left"/>
      <w:rPr>
        <w:sz w:val="21"/>
        <w:szCs w:val="21"/>
      </w:rPr>
    </w:pPr>
    <w:r>
      <w:rPr>
        <w:rFonts w:hint="eastAsia" w:ascii="宋体" w:hAnsi="宋体" w:cs="宋体"/>
        <w:color w:val="000000" w:themeColor="text1"/>
        <w:sz w:val="21"/>
        <w:szCs w:val="21"/>
        <w14:textFill>
          <w14:solidFill>
            <w14:schemeClr w14:val="tx1"/>
          </w14:solidFill>
        </w14:textFill>
      </w:rPr>
      <w:t xml:space="preserve">涵熙（苏州）工程顾问有限公司</w:t>
    </w:r>
    <w:r/>
  </w:p>
  <w:p>
    <w:pPr>
      <w:pStyle w:val="80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6"/>
      <w:isLgl w:val="false"/>
      <w:suff w:val="nothing"/>
      <w:lvlText w:val=""/>
      <w:lvlJc w:val="left"/>
      <w:pPr>
        <w:ind w:left="0" w:firstLine="0"/>
      </w:pPr>
      <w:rPr>
        <w:rFonts w:hint="eastAsia"/>
      </w:rPr>
    </w:lvl>
    <w:lvl w:ilvl="6">
      <w:start w:val="1"/>
      <w:numFmt w:val="decimal"/>
      <w:pStyle w:val="977"/>
      <w:isLgl w:val="false"/>
      <w:suff w:val="nothing"/>
      <w:lvlText w:val=""/>
      <w:lvlJc w:val="left"/>
      <w:pPr>
        <w:ind w:left="0" w:firstLine="0"/>
      </w:pPr>
      <w:rPr>
        <w:rFonts w:hint="eastAsia"/>
      </w:rPr>
    </w:lvl>
    <w:lvl w:ilvl="7">
      <w:start w:val="1"/>
      <w:numFmt w:val="decimal"/>
      <w:pStyle w:val="978"/>
      <w:isLgl w:val="false"/>
      <w:suff w:val="nothing"/>
      <w:lvlText w:val=""/>
      <w:lvlJc w:val="left"/>
      <w:pPr>
        <w:ind w:left="0" w:firstLine="0"/>
      </w:pPr>
      <w:rPr>
        <w:rFonts w:hint="eastAsia"/>
      </w:rPr>
    </w:lvl>
    <w:lvl w:ilvl="8">
      <w:start w:val="1"/>
      <w:numFmt w:val="decimal"/>
      <w:pStyle w:val="979"/>
      <w:isLgl w:val="false"/>
      <w:suff w:val="nothing"/>
      <w:lvlText w:val=""/>
      <w:lvlJc w:val="left"/>
      <w:pPr>
        <w:ind w:left="0" w:firstLine="0"/>
      </w:pPr>
      <w:rPr>
        <w:rFonts w:hint="eastAsia"/>
      </w:rPr>
    </w:lvl>
  </w:abstractNum>
  <w:abstractNum w:abstractNumId="1">
    <w:multiLevelType w:val="hybridMultilevel"/>
    <w:lvl w:ilvl="0">
      <w:start w:val="1"/>
      <w:numFmt w:val="decimal"/>
      <w:pStyle w:val="10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pStyle w:val="1116"/>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2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8"/>
    <w:link w:val="779"/>
    <w:uiPriority w:val="9"/>
    <w:rPr>
      <w:rFonts w:ascii="Arial" w:hAnsi="Arial" w:eastAsia="Arial" w:cs="Arial"/>
      <w:sz w:val="40"/>
      <w:szCs w:val="40"/>
    </w:rPr>
  </w:style>
  <w:style w:type="character" w:styleId="15">
    <w:name w:val="Heading 2 Char"/>
    <w:basedOn w:val="788"/>
    <w:link w:val="780"/>
    <w:uiPriority w:val="9"/>
    <w:rPr>
      <w:rFonts w:ascii="Arial" w:hAnsi="Arial" w:eastAsia="Arial" w:cs="Arial"/>
      <w:sz w:val="34"/>
    </w:rPr>
  </w:style>
  <w:style w:type="character" w:styleId="17">
    <w:name w:val="Heading 3 Char"/>
    <w:basedOn w:val="788"/>
    <w:link w:val="781"/>
    <w:uiPriority w:val="9"/>
    <w:rPr>
      <w:rFonts w:ascii="Arial" w:hAnsi="Arial" w:eastAsia="Arial" w:cs="Arial"/>
      <w:sz w:val="30"/>
      <w:szCs w:val="30"/>
    </w:rPr>
  </w:style>
  <w:style w:type="character" w:styleId="19">
    <w:name w:val="Heading 4 Char"/>
    <w:basedOn w:val="788"/>
    <w:link w:val="782"/>
    <w:uiPriority w:val="9"/>
    <w:rPr>
      <w:rFonts w:ascii="Arial" w:hAnsi="Arial" w:eastAsia="Arial" w:cs="Arial"/>
      <w:b/>
      <w:bCs/>
      <w:sz w:val="26"/>
      <w:szCs w:val="26"/>
    </w:rPr>
  </w:style>
  <w:style w:type="character" w:styleId="21">
    <w:name w:val="Heading 5 Char"/>
    <w:basedOn w:val="788"/>
    <w:link w:val="783"/>
    <w:uiPriority w:val="9"/>
    <w:rPr>
      <w:rFonts w:ascii="Arial" w:hAnsi="Arial" w:eastAsia="Arial" w:cs="Arial"/>
      <w:b/>
      <w:bCs/>
      <w:sz w:val="24"/>
      <w:szCs w:val="24"/>
    </w:rPr>
  </w:style>
  <w:style w:type="character" w:styleId="23">
    <w:name w:val="Heading 6 Char"/>
    <w:basedOn w:val="788"/>
    <w:link w:val="784"/>
    <w:uiPriority w:val="9"/>
    <w:rPr>
      <w:rFonts w:ascii="Arial" w:hAnsi="Arial" w:eastAsia="Arial" w:cs="Arial"/>
      <w:b/>
      <w:bCs/>
      <w:sz w:val="22"/>
      <w:szCs w:val="22"/>
    </w:rPr>
  </w:style>
  <w:style w:type="character" w:styleId="25">
    <w:name w:val="Heading 7 Char"/>
    <w:basedOn w:val="788"/>
    <w:link w:val="785"/>
    <w:uiPriority w:val="9"/>
    <w:rPr>
      <w:rFonts w:ascii="Arial" w:hAnsi="Arial" w:eastAsia="Arial" w:cs="Arial"/>
      <w:b/>
      <w:bCs/>
      <w:i/>
      <w:iCs/>
      <w:sz w:val="22"/>
      <w:szCs w:val="22"/>
    </w:rPr>
  </w:style>
  <w:style w:type="character" w:styleId="27">
    <w:name w:val="Heading 8 Char"/>
    <w:basedOn w:val="788"/>
    <w:link w:val="786"/>
    <w:uiPriority w:val="9"/>
    <w:rPr>
      <w:rFonts w:ascii="Arial" w:hAnsi="Arial" w:eastAsia="Arial" w:cs="Arial"/>
      <w:i/>
      <w:iCs/>
      <w:sz w:val="22"/>
      <w:szCs w:val="22"/>
    </w:rPr>
  </w:style>
  <w:style w:type="character" w:styleId="29">
    <w:name w:val="Heading 9 Char"/>
    <w:basedOn w:val="788"/>
    <w:link w:val="787"/>
    <w:uiPriority w:val="9"/>
    <w:rPr>
      <w:rFonts w:ascii="Arial" w:hAnsi="Arial" w:eastAsia="Arial" w:cs="Arial"/>
      <w:i/>
      <w:iCs/>
      <w:sz w:val="21"/>
      <w:szCs w:val="21"/>
    </w:rPr>
  </w:style>
  <w:style w:type="character" w:styleId="34">
    <w:name w:val="Title Char"/>
    <w:basedOn w:val="788"/>
    <w:link w:val="815"/>
    <w:uiPriority w:val="10"/>
    <w:rPr>
      <w:sz w:val="48"/>
      <w:szCs w:val="48"/>
    </w:rPr>
  </w:style>
  <w:style w:type="character" w:styleId="36">
    <w:name w:val="Subtitle Char"/>
    <w:basedOn w:val="788"/>
    <w:link w:val="808"/>
    <w:uiPriority w:val="11"/>
    <w:rPr>
      <w:sz w:val="24"/>
      <w:szCs w:val="24"/>
    </w:rPr>
  </w:style>
  <w:style w:type="character" w:styleId="38">
    <w:name w:val="Quote Char"/>
    <w:link w:val="835"/>
    <w:uiPriority w:val="29"/>
    <w:rPr>
      <w:i/>
    </w:rPr>
  </w:style>
  <w:style w:type="character" w:styleId="40">
    <w:name w:val="Intense Quote Char"/>
    <w:link w:val="837"/>
    <w:uiPriority w:val="30"/>
    <w:rPr>
      <w:i/>
    </w:rPr>
  </w:style>
  <w:style w:type="character" w:styleId="42">
    <w:name w:val="Header Char"/>
    <w:basedOn w:val="788"/>
    <w:link w:val="805"/>
    <w:uiPriority w:val="99"/>
  </w:style>
  <w:style w:type="character" w:styleId="46">
    <w:name w:val="Caption Char"/>
    <w:basedOn w:val="791"/>
    <w:link w:val="804"/>
    <w:uiPriority w:val="99"/>
  </w:style>
  <w:style w:type="table" w:styleId="49">
    <w:name w:val="Plain Table 1"/>
    <w:basedOn w:val="7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09"/>
    <w:uiPriority w:val="99"/>
    <w:rPr>
      <w:sz w:val="18"/>
    </w:rPr>
  </w:style>
  <w:style w:type="character" w:styleId="178">
    <w:name w:val="Endnote Text Char"/>
    <w:link w:val="802"/>
    <w:uiPriority w:val="99"/>
    <w:rPr>
      <w:sz w:val="20"/>
    </w:rPr>
  </w:style>
  <w:style w:type="paragraph" w:styleId="189">
    <w:name w:val="TOC Heading"/>
    <w:uiPriority w:val="39"/>
    <w:unhideWhenUsed/>
  </w:style>
  <w:style w:type="paragraph" w:styleId="77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79">
    <w:name w:val="Heading 1"/>
    <w:basedOn w:val="778"/>
    <w:next w:val="778"/>
    <w:link w:val="822"/>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78"/>
    <w:link w:val="823"/>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link w:val="824"/>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link w:val="825"/>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link w:val="826"/>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27"/>
    <w:uiPriority w:val="9"/>
    <w:unhideWhenUsed/>
    <w:qFormat/>
    <w:pPr>
      <w:keepLines/>
      <w:keepNext/>
      <w:spacing w:before="320" w:after="200"/>
      <w:outlineLvl w:val="5"/>
    </w:pPr>
    <w:rPr>
      <w:rFonts w:ascii="Arial" w:hAnsi="Arial" w:eastAsia="Arial" w:cs="Arial"/>
      <w:b/>
      <w:bCs/>
      <w:sz w:val="22"/>
    </w:rPr>
  </w:style>
  <w:style w:type="paragraph" w:styleId="785">
    <w:name w:val="Heading 7"/>
    <w:basedOn w:val="778"/>
    <w:next w:val="778"/>
    <w:link w:val="828"/>
    <w:uiPriority w:val="9"/>
    <w:unhideWhenUsed/>
    <w:qFormat/>
    <w:pPr>
      <w:keepLines/>
      <w:keepNext/>
      <w:spacing w:before="320" w:after="200"/>
      <w:outlineLvl w:val="6"/>
    </w:pPr>
    <w:rPr>
      <w:rFonts w:ascii="Arial" w:hAnsi="Arial" w:eastAsia="Arial" w:cs="Arial"/>
      <w:b/>
      <w:bCs/>
      <w:i/>
      <w:iCs/>
      <w:sz w:val="22"/>
    </w:rPr>
  </w:style>
  <w:style w:type="paragraph" w:styleId="786">
    <w:name w:val="Heading 8"/>
    <w:basedOn w:val="778"/>
    <w:next w:val="778"/>
    <w:link w:val="829"/>
    <w:uiPriority w:val="9"/>
    <w:unhideWhenUsed/>
    <w:qFormat/>
    <w:pPr>
      <w:keepLines/>
      <w:keepNext/>
      <w:spacing w:before="320" w:after="200"/>
      <w:outlineLvl w:val="7"/>
    </w:pPr>
    <w:rPr>
      <w:rFonts w:ascii="Arial" w:hAnsi="Arial" w:eastAsia="Arial" w:cs="Arial"/>
      <w:i/>
      <w:iCs/>
      <w:sz w:val="22"/>
    </w:rPr>
  </w:style>
  <w:style w:type="paragraph" w:styleId="787">
    <w:name w:val="Heading 9"/>
    <w:basedOn w:val="778"/>
    <w:next w:val="778"/>
    <w:link w:val="830"/>
    <w:uiPriority w:val="9"/>
    <w:unhideWhenUsed/>
    <w:qFormat/>
    <w:pPr>
      <w:keepLines/>
      <w:keepNext/>
      <w:spacing w:before="320" w:after="200"/>
      <w:outlineLvl w:val="8"/>
    </w:pPr>
    <w:rPr>
      <w:rFonts w:ascii="Arial" w:hAnsi="Arial" w:eastAsia="Arial" w:cs="Arial"/>
      <w:i/>
      <w:iCs/>
      <w:szCs w:val="21"/>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toc 7"/>
    <w:basedOn w:val="778"/>
    <w:next w:val="778"/>
    <w:uiPriority w:val="39"/>
    <w:unhideWhenUsed/>
    <w:qFormat/>
    <w:pPr>
      <w:ind w:left="1701"/>
      <w:spacing w:after="57"/>
    </w:pPr>
  </w:style>
  <w:style w:type="paragraph" w:styleId="791">
    <w:name w:val="Caption"/>
    <w:basedOn w:val="778"/>
    <w:next w:val="7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2">
    <w:name w:val="annotation text"/>
    <w:basedOn w:val="778"/>
    <w:link w:val="1139"/>
    <w:uiPriority w:val="99"/>
    <w:semiHidden/>
    <w:unhideWhenUsed/>
    <w:qFormat/>
    <w:pPr>
      <w:jc w:val="left"/>
    </w:pPr>
  </w:style>
  <w:style w:type="paragraph" w:styleId="793">
    <w:name w:val="Body Text"/>
    <w:basedOn w:val="778"/>
    <w:next w:val="794"/>
    <w:uiPriority w:val="0"/>
    <w:qFormat/>
    <w:rPr>
      <w:rFonts w:ascii="楷体_GB2312" w:hAnsi="Arial" w:eastAsia="楷体_GB2312"/>
      <w:sz w:val="28"/>
    </w:rPr>
  </w:style>
  <w:style w:type="paragraph" w:styleId="794">
    <w:name w:val="Body Text First Indent"/>
    <w:basedOn w:val="793"/>
    <w:next w:val="795"/>
    <w:uiPriority w:val="99"/>
    <w:unhideWhenUsed/>
    <w:qFormat/>
    <w:pPr>
      <w:ind w:firstLine="420"/>
    </w:pPr>
  </w:style>
  <w:style w:type="paragraph" w:styleId="795">
    <w:name w:val="Body Text First Indent 2"/>
    <w:basedOn w:val="796"/>
    <w:next w:val="794"/>
    <w:uiPriority w:val="0"/>
    <w:qFormat/>
    <w:pPr>
      <w:ind w:firstLine="420"/>
    </w:pPr>
  </w:style>
  <w:style w:type="paragraph" w:styleId="796">
    <w:name w:val="Body Text Indent"/>
    <w:basedOn w:val="778"/>
    <w:next w:val="797"/>
    <w:uiPriority w:val="0"/>
    <w:qFormat/>
    <w:pPr>
      <w:ind w:firstLine="574"/>
      <w:spacing w:line="312" w:lineRule="atLeast"/>
    </w:pPr>
    <w:rPr>
      <w:rFonts w:ascii="宋体"/>
      <w:sz w:val="28"/>
    </w:rPr>
  </w:style>
  <w:style w:type="paragraph" w:styleId="797">
    <w:name w:val="envelope return"/>
    <w:basedOn w:val="778"/>
    <w:uiPriority w:val="0"/>
    <w:qFormat/>
    <w:rPr>
      <w:rFonts w:ascii="Arial" w:hAnsi="Arial"/>
    </w:rPr>
  </w:style>
  <w:style w:type="paragraph" w:styleId="798">
    <w:name w:val="toc 5"/>
    <w:basedOn w:val="778"/>
    <w:next w:val="778"/>
    <w:uiPriority w:val="39"/>
    <w:unhideWhenUsed/>
    <w:qFormat/>
    <w:pPr>
      <w:ind w:left="1134"/>
      <w:spacing w:after="57"/>
    </w:pPr>
  </w:style>
  <w:style w:type="paragraph" w:styleId="799">
    <w:name w:val="toc 3"/>
    <w:basedOn w:val="778"/>
    <w:next w:val="778"/>
    <w:uiPriority w:val="39"/>
    <w:unhideWhenUsed/>
    <w:qFormat/>
    <w:pPr>
      <w:ind w:left="567"/>
      <w:spacing w:after="57"/>
    </w:pPr>
  </w:style>
  <w:style w:type="paragraph" w:styleId="800">
    <w:name w:val="Plain Text"/>
    <w:basedOn w:val="778"/>
    <w:uiPriority w:val="0"/>
    <w:qFormat/>
    <w:rPr>
      <w:rFonts w:hAnsi="Courier New"/>
      <w:sz w:val="24"/>
    </w:rPr>
  </w:style>
  <w:style w:type="paragraph" w:styleId="801">
    <w:name w:val="toc 8"/>
    <w:basedOn w:val="778"/>
    <w:next w:val="778"/>
    <w:uiPriority w:val="39"/>
    <w:unhideWhenUsed/>
    <w:qFormat/>
    <w:pPr>
      <w:ind w:left="1984"/>
      <w:spacing w:after="57"/>
    </w:pPr>
  </w:style>
  <w:style w:type="paragraph" w:styleId="802">
    <w:name w:val="endnote text"/>
    <w:basedOn w:val="778"/>
    <w:link w:val="968"/>
    <w:uiPriority w:val="99"/>
    <w:semiHidden/>
    <w:unhideWhenUsed/>
    <w:qFormat/>
    <w:rPr>
      <w:sz w:val="20"/>
    </w:rPr>
  </w:style>
  <w:style w:type="paragraph" w:styleId="803">
    <w:name w:val="Balloon Text"/>
    <w:basedOn w:val="778"/>
    <w:link w:val="1141"/>
    <w:uiPriority w:val="99"/>
    <w:semiHidden/>
    <w:unhideWhenUsed/>
    <w:qFormat/>
    <w:rPr>
      <w:sz w:val="18"/>
      <w:szCs w:val="18"/>
    </w:rPr>
  </w:style>
  <w:style w:type="paragraph" w:styleId="804">
    <w:name w:val="Footer"/>
    <w:basedOn w:val="778"/>
    <w:link w:val="841"/>
    <w:uiPriority w:val="99"/>
    <w:unhideWhenUsed/>
    <w:qFormat/>
    <w:pPr>
      <w:tabs>
        <w:tab w:val="center" w:pos="7143" w:leader="none"/>
        <w:tab w:val="right" w:pos="14287" w:leader="none"/>
      </w:tabs>
    </w:pPr>
  </w:style>
  <w:style w:type="paragraph" w:styleId="805">
    <w:name w:val="Header"/>
    <w:basedOn w:val="778"/>
    <w:link w:val="839"/>
    <w:uiPriority w:val="99"/>
    <w:unhideWhenUsed/>
    <w:qFormat/>
    <w:pPr>
      <w:tabs>
        <w:tab w:val="center" w:pos="7143" w:leader="none"/>
        <w:tab w:val="right" w:pos="14287" w:leader="none"/>
      </w:tabs>
    </w:pPr>
  </w:style>
  <w:style w:type="paragraph" w:styleId="806">
    <w:name w:val="toc 1"/>
    <w:basedOn w:val="778"/>
    <w:next w:val="778"/>
    <w:uiPriority w:val="39"/>
    <w:unhideWhenUsed/>
    <w:qFormat/>
    <w:pPr>
      <w:spacing w:after="57"/>
    </w:pPr>
  </w:style>
  <w:style w:type="paragraph" w:styleId="807">
    <w:name w:val="toc 4"/>
    <w:basedOn w:val="778"/>
    <w:next w:val="778"/>
    <w:uiPriority w:val="39"/>
    <w:unhideWhenUsed/>
    <w:qFormat/>
    <w:pPr>
      <w:ind w:left="850"/>
      <w:spacing w:after="57"/>
    </w:pPr>
  </w:style>
  <w:style w:type="paragraph" w:styleId="808">
    <w:name w:val="Subtitle"/>
    <w:basedOn w:val="778"/>
    <w:next w:val="778"/>
    <w:link w:val="834"/>
    <w:uiPriority w:val="11"/>
    <w:qFormat/>
    <w:pPr>
      <w:spacing w:before="200" w:after="200"/>
    </w:pPr>
    <w:rPr>
      <w:sz w:val="24"/>
      <w:szCs w:val="24"/>
    </w:rPr>
  </w:style>
  <w:style w:type="paragraph" w:styleId="809">
    <w:name w:val="footnote text"/>
    <w:basedOn w:val="778"/>
    <w:link w:val="967"/>
    <w:uiPriority w:val="99"/>
    <w:semiHidden/>
    <w:unhideWhenUsed/>
    <w:qFormat/>
    <w:pPr>
      <w:spacing w:after="40"/>
    </w:pPr>
    <w:rPr>
      <w:sz w:val="18"/>
    </w:rPr>
  </w:style>
  <w:style w:type="paragraph" w:styleId="810">
    <w:name w:val="toc 6"/>
    <w:basedOn w:val="778"/>
    <w:next w:val="778"/>
    <w:uiPriority w:val="39"/>
    <w:unhideWhenUsed/>
    <w:qFormat/>
    <w:pPr>
      <w:ind w:left="1417"/>
      <w:spacing w:after="57"/>
    </w:pPr>
  </w:style>
  <w:style w:type="paragraph" w:styleId="811">
    <w:name w:val="table of figures"/>
    <w:basedOn w:val="778"/>
    <w:next w:val="778"/>
    <w:uiPriority w:val="99"/>
    <w:unhideWhenUsed/>
    <w:qFormat/>
  </w:style>
  <w:style w:type="paragraph" w:styleId="812">
    <w:name w:val="toc 2"/>
    <w:basedOn w:val="778"/>
    <w:next w:val="778"/>
    <w:uiPriority w:val="39"/>
    <w:unhideWhenUsed/>
    <w:qFormat/>
    <w:pPr>
      <w:ind w:left="283"/>
      <w:spacing w:after="57"/>
    </w:pPr>
  </w:style>
  <w:style w:type="paragraph" w:styleId="813">
    <w:name w:val="toc 9"/>
    <w:basedOn w:val="778"/>
    <w:next w:val="778"/>
    <w:uiPriority w:val="39"/>
    <w:unhideWhenUsed/>
    <w:qFormat/>
    <w:pPr>
      <w:ind w:left="2268"/>
      <w:spacing w:after="57"/>
    </w:pPr>
  </w:style>
  <w:style w:type="paragraph" w:styleId="814">
    <w:name w:val="Normal (Web)"/>
    <w:basedOn w:val="778"/>
    <w:link w:val="1146"/>
    <w:uiPriority w:val="99"/>
    <w:unhideWhenUsed/>
    <w:qFormat/>
    <w:pPr>
      <w:jc w:val="left"/>
      <w:spacing w:before="100" w:beforeAutospacing="1" w:after="100" w:afterAutospacing="1"/>
      <w:widowControl/>
    </w:pPr>
    <w:rPr>
      <w:rFonts w:ascii="宋体" w:hAnsi="宋体" w:cs="宋体"/>
      <w:sz w:val="24"/>
      <w:szCs w:val="24"/>
    </w:rPr>
  </w:style>
  <w:style w:type="paragraph" w:styleId="815">
    <w:name w:val="Title"/>
    <w:basedOn w:val="778"/>
    <w:next w:val="778"/>
    <w:link w:val="833"/>
    <w:uiPriority w:val="10"/>
    <w:qFormat/>
    <w:pPr>
      <w:contextualSpacing/>
      <w:spacing w:before="300" w:after="200"/>
    </w:pPr>
    <w:rPr>
      <w:sz w:val="48"/>
      <w:szCs w:val="48"/>
    </w:rPr>
  </w:style>
  <w:style w:type="paragraph" w:styleId="816">
    <w:name w:val="annotation subject"/>
    <w:basedOn w:val="792"/>
    <w:next w:val="792"/>
    <w:link w:val="1140"/>
    <w:uiPriority w:val="99"/>
    <w:semiHidden/>
    <w:unhideWhenUsed/>
    <w:qFormat/>
    <w:rPr>
      <w:b/>
      <w:bCs/>
    </w:rPr>
  </w:style>
  <w:style w:type="table" w:styleId="81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8">
    <w:name w:val="endnote reference"/>
    <w:uiPriority w:val="99"/>
    <w:semiHidden/>
    <w:unhideWhenUsed/>
    <w:qFormat/>
    <w:rPr>
      <w:vertAlign w:val="superscript"/>
    </w:rPr>
  </w:style>
  <w:style w:type="character" w:styleId="819">
    <w:name w:val="Hyperlink"/>
    <w:uiPriority w:val="99"/>
    <w:unhideWhenUsed/>
    <w:qFormat/>
    <w:rPr>
      <w:color w:val="0000ff" w:themeColor="hyperlink"/>
      <w:u w:val="single"/>
      <w14:textFill>
        <w14:solidFill>
          <w14:schemeClr w14:val="hlink"/>
        </w14:solidFill>
      </w14:textFill>
    </w:rPr>
  </w:style>
  <w:style w:type="character" w:styleId="820">
    <w:name w:val="annotation reference"/>
    <w:basedOn w:val="788"/>
    <w:uiPriority w:val="99"/>
    <w:semiHidden/>
    <w:unhideWhenUsed/>
    <w:qFormat/>
    <w:rPr>
      <w:sz w:val="21"/>
      <w:szCs w:val="21"/>
    </w:rPr>
  </w:style>
  <w:style w:type="character" w:styleId="821">
    <w:name w:val="footnote reference"/>
    <w:uiPriority w:val="99"/>
    <w:unhideWhenUsed/>
    <w:qFormat/>
    <w:rPr>
      <w:vertAlign w:val="superscript"/>
    </w:rPr>
  </w:style>
  <w:style w:type="character" w:styleId="822" w:customStyle="1">
    <w:name w:val="标题 1 字符1"/>
    <w:link w:val="779"/>
    <w:uiPriority w:val="9"/>
    <w:qFormat/>
    <w:rPr>
      <w:rFonts w:ascii="Arial" w:hAnsi="Arial" w:eastAsia="Arial" w:cs="Arial"/>
      <w:sz w:val="40"/>
      <w:szCs w:val="40"/>
    </w:rPr>
  </w:style>
  <w:style w:type="character" w:styleId="823" w:customStyle="1">
    <w:name w:val="标题 2 字符3"/>
    <w:link w:val="780"/>
    <w:uiPriority w:val="9"/>
    <w:qFormat/>
    <w:rPr>
      <w:rFonts w:ascii="Arial" w:hAnsi="Arial" w:eastAsia="Arial" w:cs="Arial"/>
      <w:sz w:val="34"/>
    </w:rPr>
  </w:style>
  <w:style w:type="character" w:styleId="824" w:customStyle="1">
    <w:name w:val="标题 3 字符"/>
    <w:link w:val="781"/>
    <w:uiPriority w:val="9"/>
    <w:qFormat/>
    <w:rPr>
      <w:rFonts w:ascii="Arial" w:hAnsi="Arial" w:eastAsia="Arial" w:cs="Arial"/>
      <w:sz w:val="30"/>
      <w:szCs w:val="30"/>
    </w:rPr>
  </w:style>
  <w:style w:type="character" w:styleId="825" w:customStyle="1">
    <w:name w:val="标题 4 字符"/>
    <w:link w:val="782"/>
    <w:uiPriority w:val="9"/>
    <w:qFormat/>
    <w:rPr>
      <w:rFonts w:ascii="Arial" w:hAnsi="Arial" w:eastAsia="Arial" w:cs="Arial"/>
      <w:b/>
      <w:bCs/>
      <w:sz w:val="26"/>
      <w:szCs w:val="26"/>
    </w:rPr>
  </w:style>
  <w:style w:type="character" w:styleId="826" w:customStyle="1">
    <w:name w:val="标题 5 字符"/>
    <w:link w:val="783"/>
    <w:uiPriority w:val="9"/>
    <w:qFormat/>
    <w:rPr>
      <w:rFonts w:ascii="Arial" w:hAnsi="Arial" w:eastAsia="Arial" w:cs="Arial"/>
      <w:b/>
      <w:bCs/>
      <w:sz w:val="24"/>
      <w:szCs w:val="24"/>
    </w:rPr>
  </w:style>
  <w:style w:type="character" w:styleId="827" w:customStyle="1">
    <w:name w:val="标题 6 字符"/>
    <w:link w:val="784"/>
    <w:uiPriority w:val="9"/>
    <w:qFormat/>
    <w:rPr>
      <w:rFonts w:ascii="Arial" w:hAnsi="Arial" w:eastAsia="Arial" w:cs="Arial"/>
      <w:b/>
      <w:bCs/>
      <w:sz w:val="22"/>
      <w:szCs w:val="22"/>
    </w:rPr>
  </w:style>
  <w:style w:type="character" w:styleId="828" w:customStyle="1">
    <w:name w:val="标题 7 字符"/>
    <w:link w:val="785"/>
    <w:uiPriority w:val="9"/>
    <w:qFormat/>
    <w:rPr>
      <w:rFonts w:ascii="Arial" w:hAnsi="Arial" w:eastAsia="Arial" w:cs="Arial"/>
      <w:b/>
      <w:bCs/>
      <w:i/>
      <w:iCs/>
      <w:sz w:val="22"/>
      <w:szCs w:val="22"/>
    </w:rPr>
  </w:style>
  <w:style w:type="character" w:styleId="829" w:customStyle="1">
    <w:name w:val="标题 8 字符"/>
    <w:link w:val="786"/>
    <w:uiPriority w:val="9"/>
    <w:qFormat/>
    <w:rPr>
      <w:rFonts w:ascii="Arial" w:hAnsi="Arial" w:eastAsia="Arial" w:cs="Arial"/>
      <w:i/>
      <w:iCs/>
      <w:sz w:val="22"/>
      <w:szCs w:val="22"/>
    </w:rPr>
  </w:style>
  <w:style w:type="character" w:styleId="830" w:customStyle="1">
    <w:name w:val="标题 9 字符"/>
    <w:link w:val="787"/>
    <w:uiPriority w:val="9"/>
    <w:qFormat/>
    <w:rPr>
      <w:rFonts w:ascii="Arial" w:hAnsi="Arial" w:eastAsia="Arial" w:cs="Arial"/>
      <w:i/>
      <w:iCs/>
      <w:sz w:val="21"/>
      <w:szCs w:val="21"/>
    </w:rPr>
  </w:style>
  <w:style w:type="paragraph" w:styleId="831">
    <w:name w:val="List Paragraph"/>
    <w:basedOn w:val="778"/>
    <w:uiPriority w:val="34"/>
    <w:qFormat/>
    <w:pPr>
      <w:contextualSpacing/>
      <w:ind w:left="720"/>
    </w:pPr>
  </w:style>
  <w:style w:type="paragraph" w:styleId="832">
    <w:name w:val="No Spacing"/>
    <w:uiPriority w:val="1"/>
    <w:qFormat/>
    <w:rPr>
      <w:rFonts w:ascii="Calibri" w:hAnsi="Calibri" w:eastAsia="宋体" w:cs="Times New Roman"/>
      <w:lang w:val="en-US" w:eastAsia="zh-CN" w:bidi="ar-SA"/>
    </w:rPr>
  </w:style>
  <w:style w:type="character" w:styleId="833" w:customStyle="1">
    <w:name w:val="标题 字符"/>
    <w:link w:val="815"/>
    <w:uiPriority w:val="10"/>
    <w:qFormat/>
    <w:rPr>
      <w:sz w:val="48"/>
      <w:szCs w:val="48"/>
    </w:rPr>
  </w:style>
  <w:style w:type="character" w:styleId="834" w:customStyle="1">
    <w:name w:val="副标题 字符"/>
    <w:link w:val="808"/>
    <w:uiPriority w:val="11"/>
    <w:qFormat/>
    <w:rPr>
      <w:sz w:val="24"/>
      <w:szCs w:val="24"/>
    </w:rPr>
  </w:style>
  <w:style w:type="paragraph" w:styleId="835">
    <w:name w:val="Quote"/>
    <w:basedOn w:val="778"/>
    <w:next w:val="778"/>
    <w:link w:val="836"/>
    <w:uiPriority w:val="29"/>
    <w:qFormat/>
    <w:pPr>
      <w:ind w:left="720" w:right="720"/>
    </w:pPr>
    <w:rPr>
      <w:i/>
    </w:rPr>
  </w:style>
  <w:style w:type="character" w:styleId="836" w:customStyle="1">
    <w:name w:val="引用 字符"/>
    <w:link w:val="835"/>
    <w:uiPriority w:val="29"/>
    <w:qFormat/>
    <w:rPr>
      <w:i/>
    </w:rPr>
  </w:style>
  <w:style w:type="paragraph" w:styleId="837">
    <w:name w:val="Intense Quote"/>
    <w:basedOn w:val="778"/>
    <w:next w:val="778"/>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明显引用 字符"/>
    <w:link w:val="837"/>
    <w:uiPriority w:val="30"/>
    <w:qFormat/>
    <w:rPr>
      <w:i/>
    </w:rPr>
  </w:style>
  <w:style w:type="character" w:styleId="839" w:customStyle="1">
    <w:name w:val="页眉 字符"/>
    <w:link w:val="805"/>
    <w:uiPriority w:val="99"/>
    <w:qFormat/>
  </w:style>
  <w:style w:type="character" w:styleId="840" w:customStyle="1">
    <w:name w:val="Footer Char"/>
    <w:uiPriority w:val="99"/>
    <w:qFormat/>
  </w:style>
  <w:style w:type="character" w:styleId="841" w:customStyle="1">
    <w:name w:val="页脚 字符"/>
    <w:link w:val="804"/>
    <w:uiPriority w:val="99"/>
    <w:qFormat/>
  </w:style>
  <w:style w:type="table" w:styleId="84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7" w:customStyle="1">
    <w:name w:val="脚注文本 字符1"/>
    <w:link w:val="809"/>
    <w:uiPriority w:val="99"/>
    <w:qFormat/>
    <w:rPr>
      <w:sz w:val="18"/>
    </w:rPr>
  </w:style>
  <w:style w:type="character" w:styleId="968" w:customStyle="1">
    <w:name w:val="尾注文本 字符"/>
    <w:link w:val="802"/>
    <w:uiPriority w:val="99"/>
    <w:qFormat/>
    <w:rPr>
      <w:sz w:val="20"/>
    </w:rPr>
  </w:style>
  <w:style w:type="paragraph" w:styleId="969" w:customStyle="1">
    <w:name w:val="TOC 标题1"/>
    <w:uiPriority w:val="39"/>
    <w:unhideWhenUsed/>
    <w:qFormat/>
    <w:rPr>
      <w:rFonts w:ascii="Calibri" w:hAnsi="Calibri" w:eastAsia="宋体" w:cs="Times New Roman"/>
      <w:lang w:val="en-US" w:eastAsia="zh-CN" w:bidi="ar-SA"/>
    </w:rPr>
  </w:style>
  <w:style w:type="paragraph" w:styleId="970" w:customStyle="1">
    <w:name w:val="标题 11"/>
    <w:basedOn w:val="778"/>
    <w:next w:val="778"/>
    <w:link w:val="982"/>
    <w:uiPriority w:val="9"/>
    <w:qFormat/>
    <w:pPr>
      <w:jc w:val="center"/>
      <w:keepNext/>
      <w:outlineLvl w:val="0"/>
    </w:pPr>
    <w:rPr>
      <w:rFonts w:ascii="楷体_GB2312" w:hAnsi="Times New Roman" w:eastAsia="楷体_GB2312"/>
      <w:sz w:val="28"/>
      <w:szCs w:val="28"/>
    </w:rPr>
  </w:style>
  <w:style w:type="paragraph" w:styleId="971" w:customStyle="1">
    <w:name w:val="标题 21"/>
    <w:basedOn w:val="778"/>
    <w:next w:val="972"/>
    <w:link w:val="98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2" w:customStyle="1">
    <w:name w:val="正文缩进1"/>
    <w:basedOn w:val="778"/>
    <w:link w:val="993"/>
    <w:uiPriority w:val="0"/>
    <w:qFormat/>
    <w:pPr>
      <w:ind w:firstLine="420"/>
    </w:pPr>
    <w:rPr>
      <w:szCs w:val="21"/>
    </w:rPr>
  </w:style>
  <w:style w:type="paragraph" w:styleId="973" w:customStyle="1">
    <w:name w:val="标题 31"/>
    <w:basedOn w:val="778"/>
    <w:next w:val="972"/>
    <w:link w:val="984"/>
    <w:uiPriority w:val="0"/>
    <w:qFormat/>
    <w:pPr>
      <w:keepLines/>
      <w:keepNext/>
      <w:spacing w:before="260" w:after="260" w:line="416" w:lineRule="auto"/>
      <w:outlineLvl w:val="2"/>
    </w:pPr>
    <w:rPr>
      <w:rFonts w:ascii="Times New Roman" w:hAnsi="Times New Roman"/>
      <w:b/>
      <w:bCs/>
      <w:sz w:val="32"/>
      <w:szCs w:val="32"/>
    </w:rPr>
  </w:style>
  <w:style w:type="paragraph" w:styleId="974" w:customStyle="1">
    <w:name w:val="标题 41"/>
    <w:basedOn w:val="778"/>
    <w:next w:val="972"/>
    <w:link w:val="985"/>
    <w:uiPriority w:val="0"/>
    <w:qFormat/>
    <w:pPr>
      <w:keepLines/>
      <w:keepNext/>
      <w:spacing w:before="280" w:after="290" w:line="376" w:lineRule="auto"/>
      <w:outlineLvl w:val="3"/>
    </w:pPr>
    <w:rPr>
      <w:rFonts w:ascii="Arial" w:hAnsi="Arial" w:eastAsia="黑体" w:cs="Arial"/>
      <w:b/>
      <w:bCs/>
      <w:sz w:val="28"/>
      <w:szCs w:val="28"/>
    </w:rPr>
  </w:style>
  <w:style w:type="paragraph" w:styleId="975" w:customStyle="1">
    <w:name w:val="标题 51"/>
    <w:basedOn w:val="778"/>
    <w:next w:val="972"/>
    <w:link w:val="986"/>
    <w:uiPriority w:val="0"/>
    <w:qFormat/>
    <w:pPr>
      <w:keepNext/>
      <w:outlineLvl w:val="4"/>
    </w:pPr>
    <w:rPr>
      <w:rFonts w:ascii="宋体" w:hAnsi="Times New Roman"/>
      <w:color w:val="000000"/>
      <w:sz w:val="28"/>
      <w:szCs w:val="28"/>
    </w:rPr>
  </w:style>
  <w:style w:type="paragraph" w:styleId="976" w:customStyle="1">
    <w:name w:val="标题 61"/>
    <w:basedOn w:val="778"/>
    <w:next w:val="778"/>
    <w:link w:val="98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77" w:customStyle="1">
    <w:name w:val="标题 71"/>
    <w:basedOn w:val="778"/>
    <w:next w:val="778"/>
    <w:link w:val="988"/>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78" w:customStyle="1">
    <w:name w:val="标题 81"/>
    <w:basedOn w:val="778"/>
    <w:next w:val="778"/>
    <w:link w:val="98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79" w:customStyle="1">
    <w:name w:val="标题 91"/>
    <w:basedOn w:val="778"/>
    <w:next w:val="778"/>
    <w:link w:val="990"/>
    <w:uiPriority w:val="0"/>
    <w:qFormat/>
    <w:pPr>
      <w:numPr>
        <w:ilvl w:val="8"/>
        <w:numId w:val="1"/>
      </w:numPr>
      <w:keepLines/>
      <w:keepNext/>
      <w:spacing w:before="240" w:after="64" w:line="320" w:lineRule="auto"/>
      <w:outlineLvl w:val="8"/>
    </w:pPr>
    <w:rPr>
      <w:rFonts w:ascii="Arial" w:hAnsi="Arial" w:eastAsia="黑体"/>
      <w:szCs w:val="21"/>
    </w:rPr>
  </w:style>
  <w:style w:type="character" w:styleId="980" w:customStyle="1">
    <w:name w:val="默认段落字体1"/>
    <w:uiPriority w:val="1"/>
    <w:semiHidden/>
    <w:unhideWhenUsed/>
    <w:qFormat/>
  </w:style>
  <w:style w:type="table" w:styleId="981" w:customStyle="1">
    <w:name w:val="普通表格1"/>
    <w:uiPriority w:val="99"/>
    <w:semiHidden/>
    <w:unhideWhenUsed/>
    <w:qFormat/>
    <w:tblPr>
      <w:tblCellMar>
        <w:left w:w="0" w:type="dxa"/>
        <w:top w:w="0" w:type="dxa"/>
        <w:right w:w="0" w:type="dxa"/>
        <w:bottom w:w="0" w:type="dxa"/>
      </w:tblCellMar>
    </w:tblPr>
  </w:style>
  <w:style w:type="character" w:styleId="982" w:customStyle="1">
    <w:name w:val="标题 1 Char"/>
    <w:link w:val="970"/>
    <w:uiPriority w:val="0"/>
    <w:qFormat/>
    <w:rPr>
      <w:rFonts w:ascii="楷体_GB2312" w:hAnsi="Times New Roman" w:eastAsia="楷体_GB2312" w:cs="Times New Roman"/>
      <w:sz w:val="28"/>
      <w:szCs w:val="28"/>
    </w:rPr>
  </w:style>
  <w:style w:type="character" w:styleId="983" w:customStyle="1">
    <w:name w:val="标题 2 Char"/>
    <w:link w:val="971"/>
    <w:uiPriority w:val="0"/>
    <w:qFormat/>
    <w:rPr>
      <w:rFonts w:ascii="Arial" w:hAnsi="Arial" w:eastAsia="幼圆" w:cs="Arial"/>
      <w:b/>
      <w:bCs/>
      <w:sz w:val="44"/>
      <w:szCs w:val="44"/>
    </w:rPr>
  </w:style>
  <w:style w:type="character" w:styleId="984" w:customStyle="1">
    <w:name w:val="标题 3 Char"/>
    <w:link w:val="973"/>
    <w:uiPriority w:val="0"/>
    <w:qFormat/>
    <w:rPr>
      <w:rFonts w:ascii="Times New Roman" w:hAnsi="Times New Roman" w:eastAsia="宋体" w:cs="Times New Roman"/>
      <w:b/>
      <w:bCs/>
      <w:sz w:val="32"/>
      <w:szCs w:val="32"/>
    </w:rPr>
  </w:style>
  <w:style w:type="character" w:styleId="985" w:customStyle="1">
    <w:name w:val="标题 4 Char"/>
    <w:link w:val="974"/>
    <w:uiPriority w:val="0"/>
    <w:qFormat/>
    <w:rPr>
      <w:rFonts w:ascii="Arial" w:hAnsi="Arial" w:eastAsia="黑体" w:cs="Arial"/>
      <w:b/>
      <w:bCs/>
      <w:sz w:val="28"/>
      <w:szCs w:val="28"/>
    </w:rPr>
  </w:style>
  <w:style w:type="character" w:styleId="986" w:customStyle="1">
    <w:name w:val="标题 5 Char"/>
    <w:link w:val="975"/>
    <w:uiPriority w:val="0"/>
    <w:qFormat/>
    <w:rPr>
      <w:rFonts w:ascii="宋体" w:hAnsi="Times New Roman" w:eastAsia="宋体" w:cs="Times New Roman"/>
      <w:color w:val="000000"/>
      <w:sz w:val="28"/>
      <w:szCs w:val="28"/>
    </w:rPr>
  </w:style>
  <w:style w:type="character" w:styleId="987" w:customStyle="1">
    <w:name w:val="标题 6 Char"/>
    <w:link w:val="976"/>
    <w:uiPriority w:val="0"/>
    <w:qFormat/>
    <w:rPr>
      <w:rFonts w:ascii="Arial" w:hAnsi="Arial" w:eastAsia="黑体" w:cs="Times New Roman"/>
      <w:b/>
      <w:bCs/>
      <w:sz w:val="24"/>
      <w:szCs w:val="24"/>
    </w:rPr>
  </w:style>
  <w:style w:type="character" w:styleId="988" w:customStyle="1">
    <w:name w:val="标题 7 Char"/>
    <w:link w:val="977"/>
    <w:uiPriority w:val="0"/>
    <w:qFormat/>
    <w:rPr>
      <w:rFonts w:ascii="Times New Roman" w:hAnsi="Times New Roman" w:eastAsia="宋体" w:cs="Times New Roman"/>
      <w:b/>
      <w:bCs/>
      <w:sz w:val="24"/>
      <w:szCs w:val="24"/>
    </w:rPr>
  </w:style>
  <w:style w:type="character" w:styleId="989" w:customStyle="1">
    <w:name w:val="标题 8 Char"/>
    <w:link w:val="978"/>
    <w:uiPriority w:val="0"/>
    <w:qFormat/>
    <w:rPr>
      <w:rFonts w:ascii="Arial" w:hAnsi="Arial" w:eastAsia="黑体" w:cs="Times New Roman"/>
      <w:sz w:val="24"/>
      <w:szCs w:val="24"/>
    </w:rPr>
  </w:style>
  <w:style w:type="character" w:styleId="990" w:customStyle="1">
    <w:name w:val="标题 9 Char"/>
    <w:link w:val="979"/>
    <w:uiPriority w:val="0"/>
    <w:qFormat/>
    <w:rPr>
      <w:rFonts w:ascii="Arial" w:hAnsi="Arial" w:eastAsia="黑体" w:cs="Times New Roman"/>
      <w:szCs w:val="21"/>
    </w:rPr>
  </w:style>
  <w:style w:type="character" w:styleId="991" w:customStyle="1">
    <w:name w:val="访问过的超链接1"/>
    <w:uiPriority w:val="0"/>
    <w:qFormat/>
    <w:rPr>
      <w:color w:val="800080"/>
      <w:u w:val="single"/>
    </w:rPr>
  </w:style>
  <w:style w:type="character" w:styleId="992" w:customStyle="1">
    <w:name w:val="font5 Char"/>
    <w:uiPriority w:val="0"/>
    <w:qFormat/>
    <w:rPr>
      <w:rFonts w:ascii="宋体" w:hAnsi="宋体" w:eastAsia="宋体"/>
      <w:sz w:val="28"/>
      <w:szCs w:val="28"/>
      <w:lang w:val="en-US" w:eastAsia="zh-CN" w:bidi="ar-SA"/>
    </w:rPr>
  </w:style>
  <w:style w:type="character" w:styleId="993" w:customStyle="1">
    <w:name w:val="正文缩进 Char"/>
    <w:link w:val="972"/>
    <w:uiPriority w:val="0"/>
    <w:qFormat/>
    <w:rPr>
      <w:szCs w:val="21"/>
    </w:rPr>
  </w:style>
  <w:style w:type="character" w:styleId="994" w:customStyle="1">
    <w:name w:val="批注引用1"/>
    <w:uiPriority w:val="0"/>
    <w:qFormat/>
    <w:rPr>
      <w:sz w:val="21"/>
      <w:szCs w:val="21"/>
    </w:rPr>
  </w:style>
  <w:style w:type="character" w:styleId="995" w:customStyle="1">
    <w:name w:val="要点1"/>
    <w:uiPriority w:val="22"/>
    <w:qFormat/>
    <w:rPr>
      <w:b/>
      <w:bCs/>
    </w:rPr>
  </w:style>
  <w:style w:type="character" w:styleId="996" w:customStyle="1">
    <w:name w:val="超链接1"/>
    <w:uiPriority w:val="99"/>
    <w:qFormat/>
    <w:rPr>
      <w:color w:val="0000ff"/>
      <w:u w:val="single"/>
    </w:rPr>
  </w:style>
  <w:style w:type="character" w:styleId="997" w:customStyle="1">
    <w:name w:val="页码1"/>
    <w:uiPriority w:val="0"/>
    <w:qFormat/>
  </w:style>
  <w:style w:type="character" w:styleId="998" w:customStyle="1">
    <w:name w:val="二级目录 Char"/>
    <w:link w:val="999"/>
    <w:uiPriority w:val="0"/>
    <w:qFormat/>
    <w:rPr>
      <w:b/>
      <w:sz w:val="30"/>
      <w:szCs w:val="28"/>
    </w:rPr>
  </w:style>
  <w:style w:type="paragraph" w:styleId="999" w:customStyle="1">
    <w:name w:val="二级目录"/>
    <w:next w:val="778"/>
    <w:link w:val="998"/>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00" w:customStyle="1">
    <w:name w:val="列出段落 Char"/>
    <w:link w:val="1001"/>
    <w:uiPriority w:val="0"/>
    <w:qFormat/>
    <w:rPr>
      <w:rFonts w:ascii="Calibri" w:hAnsi="Calibri"/>
      <w:sz w:val="24"/>
      <w:szCs w:val="24"/>
      <w:lang w:eastAsia="en-US" w:bidi="en-US"/>
    </w:rPr>
  </w:style>
  <w:style w:type="paragraph" w:styleId="1001" w:customStyle="1">
    <w:name w:val="列出段落1"/>
    <w:basedOn w:val="778"/>
    <w:link w:val="1000"/>
    <w:uiPriority w:val="0"/>
    <w:qFormat/>
    <w:pPr>
      <w:contextualSpacing/>
      <w:ind w:left="720"/>
      <w:jc w:val="left"/>
      <w:widowControl/>
    </w:pPr>
    <w:rPr>
      <w:sz w:val="24"/>
      <w:szCs w:val="24"/>
      <w:lang w:eastAsia="en-US" w:bidi="en-US"/>
    </w:rPr>
  </w:style>
  <w:style w:type="paragraph" w:styleId="1002" w:customStyle="1">
    <w:name w:val="Body Text(ch)"/>
    <w:basedOn w:val="778"/>
    <w:next w:val="1003"/>
    <w:uiPriority w:val="0"/>
    <w:qFormat/>
    <w:pPr>
      <w:spacing w:after="120"/>
    </w:pPr>
    <w:rPr>
      <w:rFonts w:ascii="宋体" w:hAnsi="Arial"/>
      <w:bCs/>
      <w:iCs/>
      <w:szCs w:val="24"/>
    </w:rPr>
  </w:style>
  <w:style w:type="paragraph" w:styleId="1003" w:customStyle="1">
    <w:name w:val="正文文本1"/>
    <w:basedOn w:val="778"/>
    <w:link w:val="1008"/>
    <w:uiPriority w:val="0"/>
    <w:qFormat/>
    <w:rPr>
      <w:rFonts w:ascii="楷体_GB2312" w:hAnsi="Arial" w:eastAsia="楷体_GB2312"/>
      <w:sz w:val="28"/>
      <w:szCs w:val="28"/>
    </w:rPr>
  </w:style>
  <w:style w:type="paragraph" w:styleId="1004" w:customStyle="1">
    <w:name w:val="目录 91"/>
    <w:basedOn w:val="778"/>
    <w:next w:val="778"/>
    <w:uiPriority w:val="0"/>
    <w:semiHidden/>
    <w:qFormat/>
    <w:pPr>
      <w:ind w:left="1680"/>
      <w:jc w:val="left"/>
    </w:pPr>
    <w:rPr>
      <w:rFonts w:ascii="Times New Roman" w:hAnsi="Times New Roman"/>
      <w:szCs w:val="21"/>
    </w:rPr>
  </w:style>
  <w:style w:type="paragraph" w:styleId="1005" w:customStyle="1">
    <w:name w:val="xl27"/>
    <w:basedOn w:val="7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6" w:customStyle="1">
    <w:name w:val="正文文本缩进 21"/>
    <w:basedOn w:val="778"/>
    <w:link w:val="1007"/>
    <w:uiPriority w:val="0"/>
    <w:qFormat/>
    <w:pPr>
      <w:ind w:left="630" w:firstLine="645"/>
    </w:pPr>
    <w:rPr>
      <w:rFonts w:ascii="Arial" w:hAnsi="Arial" w:eastAsia="仿宋_GB2312" w:cs="Arial"/>
      <w:sz w:val="32"/>
      <w:szCs w:val="32"/>
    </w:rPr>
  </w:style>
  <w:style w:type="character" w:styleId="1007" w:customStyle="1">
    <w:name w:val="正文文本缩进 2 Char"/>
    <w:link w:val="1006"/>
    <w:uiPriority w:val="0"/>
    <w:qFormat/>
    <w:rPr>
      <w:rFonts w:ascii="Arial" w:hAnsi="Arial" w:eastAsia="仿宋_GB2312" w:cs="Arial"/>
      <w:sz w:val="32"/>
      <w:szCs w:val="32"/>
    </w:rPr>
  </w:style>
  <w:style w:type="character" w:styleId="1008" w:customStyle="1">
    <w:name w:val="正文文本 Char"/>
    <w:link w:val="1003"/>
    <w:uiPriority w:val="0"/>
    <w:qFormat/>
    <w:rPr>
      <w:rFonts w:ascii="楷体_GB2312" w:hAnsi="Arial" w:eastAsia="楷体_GB2312" w:cs="Times New Roman"/>
      <w:sz w:val="28"/>
      <w:szCs w:val="28"/>
    </w:rPr>
  </w:style>
  <w:style w:type="paragraph" w:styleId="1009" w:customStyle="1">
    <w:name w:val="图表目录1"/>
    <w:basedOn w:val="778"/>
    <w:next w:val="778"/>
    <w:uiPriority w:val="0"/>
    <w:semiHidden/>
    <w:qFormat/>
    <w:pPr>
      <w:ind w:left="840" w:hanging="420"/>
    </w:pPr>
    <w:rPr>
      <w:rFonts w:ascii="Times New Roman" w:hAnsi="Times New Roman"/>
      <w:szCs w:val="21"/>
    </w:rPr>
  </w:style>
  <w:style w:type="paragraph" w:styleId="1010" w:customStyle="1">
    <w:name w:val="xl26"/>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1" w:customStyle="1">
    <w:name w:val="Char"/>
    <w:basedOn w:val="778"/>
    <w:uiPriority w:val="0"/>
    <w:qFormat/>
    <w:pPr>
      <w:ind w:firstLine="200"/>
      <w:tabs>
        <w:tab w:val="left" w:pos="360" w:leader="none"/>
      </w:tabs>
    </w:pPr>
    <w:rPr>
      <w:rFonts w:ascii="Times New Roman" w:hAnsi="Times New Roman"/>
      <w:sz w:val="28"/>
      <w:szCs w:val="30"/>
    </w:rPr>
  </w:style>
  <w:style w:type="paragraph" w:styleId="1012" w:customStyle="1">
    <w:name w:val="Char1"/>
    <w:basedOn w:val="1013"/>
    <w:uiPriority w:val="0"/>
    <w:qFormat/>
    <w:rPr>
      <w:rFonts w:ascii="Tahoma" w:hAnsi="Tahoma"/>
      <w:sz w:val="24"/>
      <w:szCs w:val="24"/>
    </w:rPr>
  </w:style>
  <w:style w:type="paragraph" w:styleId="1013" w:customStyle="1">
    <w:name w:val="文档结构图1"/>
    <w:basedOn w:val="778"/>
    <w:link w:val="1037"/>
    <w:uiPriority w:val="0"/>
    <w:semiHidden/>
    <w:qFormat/>
    <w:pPr>
      <w:shd w:val="clear" w:color="auto" w:fill="000080"/>
    </w:pPr>
    <w:rPr>
      <w:rFonts w:ascii="Times New Roman" w:hAnsi="Times New Roman"/>
      <w:szCs w:val="21"/>
    </w:rPr>
  </w:style>
  <w:style w:type="paragraph" w:styleId="1014" w:customStyle="1">
    <w:name w:val="批注文字1"/>
    <w:basedOn w:val="778"/>
    <w:link w:val="1015"/>
    <w:uiPriority w:val="0"/>
    <w:unhideWhenUsed/>
    <w:qFormat/>
    <w:pPr>
      <w:jc w:val="left"/>
    </w:pPr>
  </w:style>
  <w:style w:type="character" w:styleId="1015" w:customStyle="1">
    <w:name w:val="批注文字 Char"/>
    <w:basedOn w:val="980"/>
    <w:link w:val="1014"/>
    <w:uiPriority w:val="0"/>
    <w:qFormat/>
  </w:style>
  <w:style w:type="paragraph" w:styleId="1016" w:customStyle="1">
    <w:name w:val="批注主题1"/>
    <w:basedOn w:val="1014"/>
    <w:next w:val="1014"/>
    <w:link w:val="1017"/>
    <w:uiPriority w:val="0"/>
    <w:qFormat/>
    <w:rPr>
      <w:rFonts w:ascii="Times New Roman" w:hAnsi="Times New Roman"/>
      <w:b/>
      <w:bCs/>
      <w:szCs w:val="21"/>
    </w:rPr>
  </w:style>
  <w:style w:type="character" w:styleId="1017" w:customStyle="1">
    <w:name w:val="批注主题 Char"/>
    <w:link w:val="1016"/>
    <w:uiPriority w:val="0"/>
    <w:semiHidden/>
    <w:qFormat/>
    <w:rPr>
      <w:rFonts w:ascii="Times New Roman" w:hAnsi="Times New Roman" w:eastAsia="宋体" w:cs="Times New Roman"/>
      <w:b/>
      <w:bCs/>
      <w:szCs w:val="21"/>
    </w:rPr>
  </w:style>
  <w:style w:type="paragraph" w:styleId="1018" w:customStyle="1">
    <w:name w:val="索引 11"/>
    <w:basedOn w:val="778"/>
    <w:next w:val="778"/>
    <w:uiPriority w:val="0"/>
    <w:semiHidden/>
    <w:qFormat/>
    <w:pPr>
      <w:spacing w:line="240" w:lineRule="atLeast"/>
    </w:pPr>
    <w:rPr>
      <w:rFonts w:ascii="Times New Roman" w:hAnsi="Times New Roman"/>
      <w:b/>
      <w:bCs/>
      <w:szCs w:val="21"/>
    </w:rPr>
  </w:style>
  <w:style w:type="paragraph" w:styleId="1019" w:customStyle="1">
    <w:name w:val="普通正文"/>
    <w:basedOn w:val="778"/>
    <w:link w:val="1138"/>
    <w:uiPriority w:val="0"/>
    <w:qFormat/>
    <w:pPr>
      <w:ind w:firstLine="480"/>
      <w:jc w:val="left"/>
      <w:spacing w:before="120" w:after="120" w:line="360" w:lineRule="auto"/>
    </w:pPr>
    <w:rPr>
      <w:rFonts w:ascii="Arial" w:hAnsi="Arial"/>
      <w:sz w:val="24"/>
      <w:szCs w:val="24"/>
    </w:rPr>
  </w:style>
  <w:style w:type="paragraph" w:styleId="1020" w:customStyle="1">
    <w:name w:val="table_lines"/>
    <w:basedOn w:val="778"/>
    <w:uiPriority w:val="0"/>
    <w:qFormat/>
    <w:pPr>
      <w:jc w:val="left"/>
      <w:widowControl/>
    </w:pPr>
    <w:rPr>
      <w:rFonts w:ascii="Times New Roman" w:hAnsi="Times New Roman"/>
      <w:sz w:val="20"/>
      <w:szCs w:val="20"/>
      <w:lang w:val="de-DE" w:eastAsia="de-DE"/>
    </w:rPr>
  </w:style>
  <w:style w:type="paragraph" w:styleId="1021"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22" w:customStyle="1">
    <w:name w:val="目录 31"/>
    <w:basedOn w:val="778"/>
    <w:next w:val="778"/>
    <w:uiPriority w:val="39"/>
    <w:qFormat/>
    <w:pPr>
      <w:ind w:left="420"/>
      <w:jc w:val="left"/>
    </w:pPr>
    <w:rPr>
      <w:rFonts w:ascii="Times New Roman" w:hAnsi="Times New Roman"/>
      <w:i/>
      <w:iCs/>
      <w:szCs w:val="24"/>
    </w:rPr>
  </w:style>
  <w:style w:type="paragraph" w:styleId="1023" w:customStyle="1">
    <w:name w:val="正文文本缩进1"/>
    <w:basedOn w:val="778"/>
    <w:link w:val="1024"/>
    <w:uiPriority w:val="0"/>
    <w:unhideWhenUsed/>
    <w:qFormat/>
    <w:pPr>
      <w:ind w:left="420"/>
      <w:spacing w:after="120"/>
    </w:pPr>
  </w:style>
  <w:style w:type="character" w:styleId="1024" w:customStyle="1">
    <w:name w:val="正文文本缩进 Char"/>
    <w:basedOn w:val="980"/>
    <w:link w:val="1023"/>
    <w:uiPriority w:val="99"/>
    <w:semiHidden/>
    <w:qFormat/>
  </w:style>
  <w:style w:type="paragraph" w:styleId="1025" w:customStyle="1">
    <w:name w:val="正文首行缩进 21"/>
    <w:basedOn w:val="1023"/>
    <w:link w:val="1026"/>
    <w:uiPriority w:val="0"/>
    <w:qFormat/>
    <w:pPr>
      <w:ind w:left="0" w:firstLine="420"/>
      <w:spacing w:after="0" w:line="360" w:lineRule="auto"/>
    </w:pPr>
    <w:rPr>
      <w:rFonts w:ascii="宋体" w:hAnsi="宋体"/>
      <w:szCs w:val="20"/>
    </w:rPr>
  </w:style>
  <w:style w:type="character" w:styleId="1026" w:customStyle="1">
    <w:name w:val="正文首行缩进 2 Char"/>
    <w:link w:val="1025"/>
    <w:uiPriority w:val="0"/>
    <w:qFormat/>
    <w:rPr>
      <w:rFonts w:ascii="宋体" w:hAnsi="宋体" w:eastAsia="宋体" w:cs="Times New Roman"/>
      <w:szCs w:val="20"/>
    </w:rPr>
  </w:style>
  <w:style w:type="paragraph" w:styleId="1027" w:customStyle="1">
    <w:name w:val="正文文本缩进 31"/>
    <w:basedOn w:val="778"/>
    <w:link w:val="1028"/>
    <w:uiPriority w:val="0"/>
    <w:qFormat/>
    <w:pPr>
      <w:ind w:left="645" w:firstLine="645"/>
    </w:pPr>
    <w:rPr>
      <w:rFonts w:ascii="Arial" w:hAnsi="Arial" w:eastAsia="仿宋_GB2312" w:cs="Arial"/>
      <w:color w:val="ffff00"/>
      <w:sz w:val="32"/>
      <w:szCs w:val="32"/>
    </w:rPr>
  </w:style>
  <w:style w:type="character" w:styleId="1028" w:customStyle="1">
    <w:name w:val="正文文本缩进 3 Char"/>
    <w:link w:val="1027"/>
    <w:uiPriority w:val="0"/>
    <w:qFormat/>
    <w:rPr>
      <w:rFonts w:ascii="Arial" w:hAnsi="Arial" w:eastAsia="仿宋_GB2312" w:cs="Arial"/>
      <w:color w:val="ffff00"/>
      <w:sz w:val="32"/>
      <w:szCs w:val="32"/>
    </w:rPr>
  </w:style>
  <w:style w:type="paragraph" w:styleId="1029" w:customStyle="1">
    <w:name w:val="目录 61"/>
    <w:basedOn w:val="778"/>
    <w:next w:val="778"/>
    <w:uiPriority w:val="0"/>
    <w:semiHidden/>
    <w:qFormat/>
    <w:pPr>
      <w:ind w:left="1050"/>
      <w:jc w:val="left"/>
    </w:pPr>
    <w:rPr>
      <w:rFonts w:ascii="Times New Roman" w:hAnsi="Times New Roman"/>
      <w:szCs w:val="21"/>
    </w:rPr>
  </w:style>
  <w:style w:type="paragraph" w:styleId="1030" w:customStyle="1">
    <w:name w:val="font7"/>
    <w:basedOn w:val="778"/>
    <w:uiPriority w:val="0"/>
    <w:qFormat/>
    <w:pPr>
      <w:jc w:val="left"/>
      <w:spacing w:before="100" w:beforeAutospacing="1" w:after="100" w:afterAutospacing="1"/>
      <w:widowControl/>
    </w:pPr>
    <w:rPr>
      <w:rFonts w:hint="eastAsia" w:ascii="宋体" w:hAnsi="宋体"/>
      <w:sz w:val="18"/>
      <w:szCs w:val="18"/>
    </w:rPr>
  </w:style>
  <w:style w:type="paragraph" w:styleId="1031" w:customStyle="1">
    <w:name w:val="Char Char Char Char"/>
    <w:basedOn w:val="1013"/>
    <w:uiPriority w:val="0"/>
    <w:qFormat/>
    <w:pPr>
      <w:spacing w:line="360" w:lineRule="auto"/>
    </w:pPr>
    <w:rPr>
      <w:rFonts w:ascii="Tahoma" w:hAnsi="Tahoma"/>
      <w:sz w:val="24"/>
      <w:szCs w:val="24"/>
    </w:rPr>
  </w:style>
  <w:style w:type="paragraph" w:styleId="1032" w:customStyle="1">
    <w:name w:val="正文文本 31"/>
    <w:basedOn w:val="778"/>
    <w:link w:val="1033"/>
    <w:uiPriority w:val="0"/>
    <w:qFormat/>
    <w:rPr>
      <w:rFonts w:ascii="仿宋_GB2312" w:hAnsi="Arial" w:eastAsia="仿宋_GB2312"/>
      <w:sz w:val="32"/>
      <w:szCs w:val="32"/>
    </w:rPr>
  </w:style>
  <w:style w:type="character" w:styleId="1033" w:customStyle="1">
    <w:name w:val="正文文本 3 Char"/>
    <w:link w:val="1032"/>
    <w:uiPriority w:val="0"/>
    <w:qFormat/>
    <w:rPr>
      <w:rFonts w:ascii="仿宋_GB2312" w:hAnsi="Arial" w:eastAsia="仿宋_GB2312" w:cs="Times New Roman"/>
      <w:sz w:val="32"/>
      <w:szCs w:val="32"/>
    </w:rPr>
  </w:style>
  <w:style w:type="paragraph" w:styleId="1034" w:customStyle="1">
    <w:name w:val="普通(网站)1"/>
    <w:basedOn w:val="778"/>
    <w:uiPriority w:val="99"/>
    <w:qFormat/>
    <w:pPr>
      <w:jc w:val="left"/>
      <w:spacing w:before="100" w:beforeAutospacing="1" w:after="100" w:afterAutospacing="1"/>
      <w:widowControl/>
    </w:pPr>
    <w:rPr>
      <w:rFonts w:ascii="宋体" w:hAnsi="宋体" w:cs="宋体"/>
      <w:sz w:val="24"/>
      <w:szCs w:val="24"/>
    </w:rPr>
  </w:style>
  <w:style w:type="paragraph" w:styleId="1035" w:customStyle="1">
    <w:name w:val="目录 41"/>
    <w:basedOn w:val="778"/>
    <w:next w:val="778"/>
    <w:uiPriority w:val="0"/>
    <w:semiHidden/>
    <w:qFormat/>
    <w:pPr>
      <w:ind w:left="630"/>
      <w:jc w:val="left"/>
    </w:pPr>
    <w:rPr>
      <w:rFonts w:ascii="Times New Roman" w:hAnsi="Times New Roman"/>
      <w:szCs w:val="21"/>
    </w:rPr>
  </w:style>
  <w:style w:type="paragraph" w:styleId="1036" w:customStyle="1">
    <w:name w:val="列出段落2"/>
    <w:basedOn w:val="778"/>
    <w:link w:val="1115"/>
    <w:uiPriority w:val="34"/>
    <w:qFormat/>
    <w:pPr>
      <w:contextualSpacing/>
      <w:ind w:left="720"/>
      <w:jc w:val="left"/>
      <w:widowControl/>
    </w:pPr>
    <w:rPr>
      <w:sz w:val="24"/>
      <w:szCs w:val="24"/>
      <w:lang w:eastAsia="en-US" w:bidi="en-US"/>
    </w:rPr>
  </w:style>
  <w:style w:type="character" w:styleId="1037" w:customStyle="1">
    <w:name w:val="文档结构图 Char"/>
    <w:link w:val="1013"/>
    <w:uiPriority w:val="0"/>
    <w:semiHidden/>
    <w:qFormat/>
    <w:rPr>
      <w:rFonts w:ascii="Times New Roman" w:hAnsi="Times New Roman" w:eastAsia="宋体" w:cs="Times New Roman"/>
      <w:szCs w:val="21"/>
      <w:shd w:val="clear" w:color="auto" w:fill="000080"/>
    </w:rPr>
  </w:style>
  <w:style w:type="paragraph" w:styleId="1038" w:customStyle="1">
    <w:name w:val="4"/>
    <w:basedOn w:val="778"/>
    <w:next w:val="1027"/>
    <w:uiPriority w:val="0"/>
    <w:qFormat/>
    <w:pPr>
      <w:ind w:firstLine="420"/>
      <w:spacing w:line="360" w:lineRule="auto"/>
    </w:pPr>
    <w:rPr>
      <w:rFonts w:ascii="Times New Roman" w:hAnsi="Times New Roman"/>
      <w:color w:val="ff0000"/>
      <w:sz w:val="24"/>
      <w:szCs w:val="24"/>
    </w:rPr>
  </w:style>
  <w:style w:type="paragraph" w:styleId="1039" w:customStyle="1">
    <w:name w:val="普通 (Web)"/>
    <w:basedOn w:val="778"/>
    <w:uiPriority w:val="0"/>
    <w:qFormat/>
    <w:pPr>
      <w:jc w:val="left"/>
      <w:spacing w:before="100" w:beforeAutospacing="1" w:after="100" w:afterAutospacing="1"/>
      <w:widowControl/>
    </w:pPr>
    <w:rPr>
      <w:rFonts w:ascii="宋体" w:hAnsi="宋体"/>
      <w:sz w:val="24"/>
      <w:szCs w:val="24"/>
    </w:rPr>
  </w:style>
  <w:style w:type="paragraph" w:styleId="1040" w:customStyle="1">
    <w:name w:val="Char Char Char Char Char Char Char Char Char Char"/>
    <w:basedOn w:val="778"/>
    <w:uiPriority w:val="0"/>
    <w:qFormat/>
    <w:pPr>
      <w:spacing w:line="360" w:lineRule="auto"/>
    </w:pPr>
    <w:rPr>
      <w:rFonts w:ascii="Times New Roman" w:hAnsi="Times New Roman"/>
      <w:sz w:val="24"/>
      <w:szCs w:val="20"/>
    </w:rPr>
  </w:style>
  <w:style w:type="paragraph" w:styleId="1041" w:customStyle="1">
    <w:name w:val="列表 21"/>
    <w:basedOn w:val="778"/>
    <w:uiPriority w:val="0"/>
    <w:qFormat/>
    <w:pPr>
      <w:ind w:left="100" w:hanging="200"/>
    </w:pPr>
    <w:rPr>
      <w:rFonts w:ascii="Times New Roman" w:hAnsi="Times New Roman"/>
      <w:szCs w:val="21"/>
    </w:rPr>
  </w:style>
  <w:style w:type="paragraph" w:styleId="1042" w:customStyle="1">
    <w:name w:val="正文首行缩进1"/>
    <w:basedOn w:val="778"/>
    <w:link w:val="1043"/>
    <w:uiPriority w:val="0"/>
    <w:qFormat/>
    <w:pPr>
      <w:ind w:firstLine="200"/>
      <w:spacing w:line="360" w:lineRule="auto"/>
    </w:pPr>
    <w:rPr>
      <w:rFonts w:ascii="仿宋_GB2312" w:hAnsi="Times New Roman" w:eastAsia="仿宋_GB2312"/>
      <w:sz w:val="30"/>
      <w:szCs w:val="30"/>
    </w:rPr>
  </w:style>
  <w:style w:type="character" w:styleId="1043" w:customStyle="1">
    <w:name w:val="正文首行缩进 Char"/>
    <w:link w:val="1042"/>
    <w:uiPriority w:val="0"/>
    <w:qFormat/>
    <w:rPr>
      <w:rFonts w:ascii="仿宋_GB2312" w:hAnsi="Times New Roman" w:eastAsia="仿宋_GB2312" w:cs="Times New Roman"/>
      <w:sz w:val="30"/>
      <w:szCs w:val="30"/>
    </w:rPr>
  </w:style>
  <w:style w:type="paragraph" w:styleId="1044" w:customStyle="1">
    <w:name w:val="样式1"/>
    <w:basedOn w:val="778"/>
    <w:uiPriority w:val="0"/>
    <w:qFormat/>
    <w:pPr>
      <w:numPr>
        <w:ilvl w:val="0"/>
        <w:numId w:val="3"/>
      </w:numPr>
    </w:pPr>
    <w:rPr>
      <w:rFonts w:ascii="宋体" w:hAnsi="宋体"/>
      <w:szCs w:val="21"/>
    </w:rPr>
  </w:style>
  <w:style w:type="paragraph" w:styleId="1045" w:customStyle="1">
    <w:name w:val="font6"/>
    <w:basedOn w:val="778"/>
    <w:uiPriority w:val="0"/>
    <w:qFormat/>
    <w:pPr>
      <w:jc w:val="left"/>
      <w:spacing w:before="100" w:beforeAutospacing="1" w:after="100" w:afterAutospacing="1"/>
      <w:widowControl/>
    </w:pPr>
    <w:rPr>
      <w:rFonts w:hint="eastAsia" w:ascii="宋体" w:hAnsi="宋体"/>
      <w:sz w:val="28"/>
      <w:szCs w:val="28"/>
      <w:u w:val="single"/>
    </w:rPr>
  </w:style>
  <w:style w:type="paragraph" w:styleId="1046" w:customStyle="1">
    <w:name w:val="目录 51"/>
    <w:basedOn w:val="778"/>
    <w:next w:val="778"/>
    <w:uiPriority w:val="0"/>
    <w:semiHidden/>
    <w:qFormat/>
    <w:pPr>
      <w:ind w:left="840"/>
      <w:jc w:val="left"/>
    </w:pPr>
    <w:rPr>
      <w:rFonts w:ascii="Times New Roman" w:hAnsi="Times New Roman"/>
      <w:szCs w:val="21"/>
    </w:rPr>
  </w:style>
  <w:style w:type="paragraph" w:styleId="1047" w:customStyle="1">
    <w:name w:val="目录 11"/>
    <w:basedOn w:val="1048"/>
    <w:next w:val="1050"/>
    <w:uiPriority w:val="39"/>
    <w:qFormat/>
    <w:pPr>
      <w:jc w:val="left"/>
      <w:spacing w:before="120" w:after="120" w:line="400" w:lineRule="exact"/>
      <w:tabs>
        <w:tab w:val="right" w:pos="8720" w:leader="dot"/>
      </w:tabs>
    </w:pPr>
    <w:rPr>
      <w:rFonts w:ascii="宋体" w:hAnsi="宋体"/>
      <w:caps/>
      <w:sz w:val="24"/>
    </w:rPr>
  </w:style>
  <w:style w:type="paragraph" w:styleId="1048" w:customStyle="1">
    <w:name w:val="正文11"/>
    <w:next w:val="1049"/>
    <w:uiPriority w:val="0"/>
    <w:qFormat/>
    <w:pPr>
      <w:jc w:val="both"/>
      <w:widowControl w:val="off"/>
    </w:pPr>
    <w:rPr>
      <w:rFonts w:ascii="Times New Roman" w:hAnsi="Times New Roman" w:eastAsia="宋体" w:cs="Times New Roman"/>
      <w:sz w:val="21"/>
      <w:szCs w:val="24"/>
      <w:lang w:val="en-US" w:eastAsia="zh-CN" w:bidi="ar-SA"/>
    </w:rPr>
  </w:style>
  <w:style w:type="paragraph" w:styleId="1049" w:customStyle="1">
    <w:name w:val="无间隔11"/>
    <w:uiPriority w:val="0"/>
    <w:qFormat/>
    <w:rPr>
      <w:rFonts w:ascii="Times New Roman" w:hAnsi="Times New Roman" w:eastAsia="宋体" w:cs="Times New Roman"/>
      <w:sz w:val="22"/>
      <w:szCs w:val="22"/>
      <w:lang w:val="en-US" w:eastAsia="en-US" w:bidi="ar-SA"/>
    </w:rPr>
  </w:style>
  <w:style w:type="paragraph" w:styleId="1050" w:customStyle="1">
    <w:name w:val="正文1"/>
    <w:next w:val="1047"/>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51" w:customStyle="1">
    <w:name w:val="纯文本1"/>
    <w:basedOn w:val="778"/>
    <w:link w:val="1052"/>
    <w:uiPriority w:val="0"/>
    <w:qFormat/>
    <w:rPr>
      <w:rFonts w:ascii="宋体" w:hAnsi="Courier New" w:cs="Courier New"/>
      <w:szCs w:val="21"/>
    </w:rPr>
  </w:style>
  <w:style w:type="character" w:styleId="1052" w:customStyle="1">
    <w:name w:val="纯文本 Char"/>
    <w:link w:val="1051"/>
    <w:uiPriority w:val="0"/>
    <w:qFormat/>
    <w:rPr>
      <w:rFonts w:ascii="宋体" w:hAnsi="Courier New" w:eastAsia="宋体" w:cs="Courier New"/>
      <w:szCs w:val="21"/>
    </w:rPr>
  </w:style>
  <w:style w:type="paragraph" w:styleId="1053" w:customStyle="1">
    <w:name w:val="批注框文本1"/>
    <w:basedOn w:val="778"/>
    <w:link w:val="1054"/>
    <w:uiPriority w:val="0"/>
    <w:qFormat/>
    <w:rPr>
      <w:rFonts w:ascii="Times New Roman" w:hAnsi="Times New Roman"/>
      <w:sz w:val="18"/>
      <w:szCs w:val="18"/>
    </w:rPr>
  </w:style>
  <w:style w:type="character" w:styleId="1054" w:customStyle="1">
    <w:name w:val="批注框文本 Char"/>
    <w:link w:val="1053"/>
    <w:uiPriority w:val="0"/>
    <w:semiHidden/>
    <w:qFormat/>
    <w:rPr>
      <w:rFonts w:ascii="Times New Roman" w:hAnsi="Times New Roman" w:eastAsia="宋体" w:cs="Times New Roman"/>
      <w:sz w:val="18"/>
      <w:szCs w:val="18"/>
    </w:rPr>
  </w:style>
  <w:style w:type="paragraph" w:styleId="1055" w:customStyle="1">
    <w:name w:val="xl25"/>
    <w:basedOn w:val="77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6" w:customStyle="1">
    <w:name w:val="列表1"/>
    <w:basedOn w:val="778"/>
    <w:uiPriority w:val="0"/>
    <w:qFormat/>
    <w:pPr>
      <w:ind w:left="200" w:hanging="200"/>
    </w:pPr>
    <w:rPr>
      <w:rFonts w:ascii="Times New Roman" w:hAnsi="Times New Roman"/>
      <w:szCs w:val="21"/>
    </w:rPr>
  </w:style>
  <w:style w:type="paragraph" w:styleId="1057" w:customStyle="1">
    <w:name w:val="图标"/>
    <w:basedOn w:val="778"/>
    <w:next w:val="77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58" w:customStyle="1">
    <w:name w:val="日期1"/>
    <w:basedOn w:val="778"/>
    <w:next w:val="778"/>
    <w:link w:val="1059"/>
    <w:uiPriority w:val="0"/>
    <w:qFormat/>
    <w:rPr>
      <w:rFonts w:ascii="Times New Roman" w:hAnsi="Times New Roman"/>
      <w:sz w:val="24"/>
      <w:szCs w:val="24"/>
    </w:rPr>
  </w:style>
  <w:style w:type="character" w:styleId="1059" w:customStyle="1">
    <w:name w:val="日期 Char"/>
    <w:link w:val="1058"/>
    <w:uiPriority w:val="0"/>
    <w:qFormat/>
    <w:rPr>
      <w:rFonts w:ascii="Times New Roman" w:hAnsi="Times New Roman" w:eastAsia="宋体" w:cs="Times New Roman"/>
      <w:sz w:val="24"/>
      <w:szCs w:val="24"/>
    </w:rPr>
  </w:style>
  <w:style w:type="paragraph" w:styleId="1060" w:customStyle="1">
    <w:name w:val="标题3"/>
    <w:basedOn w:val="778"/>
    <w:next w:val="778"/>
    <w:uiPriority w:val="0"/>
    <w:qFormat/>
    <w:pPr>
      <w:ind w:firstLine="624"/>
      <w:spacing w:line="590" w:lineRule="atLeast"/>
    </w:pPr>
    <w:rPr>
      <w:rFonts w:ascii="方正黑体_GBK" w:hAnsi="Times New Roman" w:eastAsia="方正黑体_GBK"/>
      <w:sz w:val="32"/>
      <w:szCs w:val="32"/>
    </w:rPr>
  </w:style>
  <w:style w:type="paragraph" w:styleId="1061" w:customStyle="1">
    <w:name w:val="xl24"/>
    <w:basedOn w:val="7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2" w:customStyle="1">
    <w:name w:val="xl29"/>
    <w:basedOn w:val="77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3" w:customStyle="1">
    <w:name w:val="Char Char Char Char Char Char Char Char"/>
    <w:basedOn w:val="778"/>
    <w:uiPriority w:val="0"/>
    <w:qFormat/>
    <w:pPr>
      <w:jc w:val="left"/>
      <w:spacing w:after="160" w:line="240" w:lineRule="exact"/>
      <w:widowControl/>
    </w:pPr>
    <w:rPr>
      <w:rFonts w:ascii="Verdana" w:hAnsi="Verdana"/>
      <w:sz w:val="20"/>
      <w:szCs w:val="20"/>
      <w:lang w:eastAsia="en-US"/>
    </w:rPr>
  </w:style>
  <w:style w:type="paragraph" w:styleId="1064" w:customStyle="1">
    <w:name w:val="正文文本 21"/>
    <w:basedOn w:val="778"/>
    <w:link w:val="1065"/>
    <w:uiPriority w:val="0"/>
    <w:qFormat/>
    <w:pPr>
      <w:jc w:val="center"/>
      <w:widowControl/>
    </w:pPr>
    <w:rPr>
      <w:rFonts w:ascii="楷体_GB2312" w:hAnsi="Times New Roman" w:eastAsia="楷体_GB2312"/>
      <w:sz w:val="28"/>
      <w:szCs w:val="28"/>
    </w:rPr>
  </w:style>
  <w:style w:type="character" w:styleId="1065" w:customStyle="1">
    <w:name w:val="正文文本 2 Char"/>
    <w:link w:val="1064"/>
    <w:uiPriority w:val="0"/>
    <w:qFormat/>
    <w:rPr>
      <w:rFonts w:ascii="楷体_GB2312" w:hAnsi="Times New Roman" w:eastAsia="楷体_GB2312" w:cs="Times New Roman"/>
      <w:sz w:val="28"/>
      <w:szCs w:val="28"/>
    </w:rPr>
  </w:style>
  <w:style w:type="paragraph" w:styleId="1066" w:customStyle="1">
    <w:name w:val="列表 31"/>
    <w:basedOn w:val="778"/>
    <w:uiPriority w:val="0"/>
    <w:qFormat/>
    <w:pPr>
      <w:ind w:left="100" w:hanging="200"/>
    </w:pPr>
    <w:rPr>
      <w:rFonts w:ascii="Times New Roman" w:hAnsi="Times New Roman"/>
      <w:szCs w:val="21"/>
    </w:rPr>
  </w:style>
  <w:style w:type="paragraph" w:styleId="1067" w:customStyle="1">
    <w:name w:val="目录 71"/>
    <w:basedOn w:val="778"/>
    <w:next w:val="778"/>
    <w:uiPriority w:val="0"/>
    <w:semiHidden/>
    <w:qFormat/>
    <w:pPr>
      <w:ind w:left="1260"/>
      <w:jc w:val="left"/>
    </w:pPr>
    <w:rPr>
      <w:rFonts w:ascii="Times New Roman" w:hAnsi="Times New Roman"/>
      <w:szCs w:val="21"/>
    </w:rPr>
  </w:style>
  <w:style w:type="paragraph" w:styleId="1068" w:customStyle="1">
    <w:name w:val="目录 21"/>
    <w:basedOn w:val="778"/>
    <w:next w:val="778"/>
    <w:uiPriority w:val="39"/>
    <w:qFormat/>
    <w:pPr>
      <w:ind w:left="210"/>
      <w:jc w:val="left"/>
      <w:tabs>
        <w:tab w:val="right" w:pos="8719" w:leader="none"/>
      </w:tabs>
    </w:pPr>
    <w:rPr>
      <w:rFonts w:ascii="Times New Roman" w:hAnsi="Times New Roman"/>
      <w:smallCaps/>
      <w:szCs w:val="24"/>
    </w:rPr>
  </w:style>
  <w:style w:type="paragraph" w:styleId="1069" w:customStyle="1">
    <w:name w:val="xl28"/>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0" w:customStyle="1">
    <w:name w:val="页眉1"/>
    <w:basedOn w:val="778"/>
    <w:link w:val="1071"/>
    <w:uiPriority w:val="0"/>
    <w:qFormat/>
    <w:pPr>
      <w:ind w:firstLine="361"/>
      <w:jc w:val="right"/>
      <w:tabs>
        <w:tab w:val="center" w:pos="4153" w:leader="none"/>
        <w:tab w:val="right" w:pos="8306" w:leader="none"/>
      </w:tabs>
      <w:pBdr>
        <w:bottom w:val="none" w:color="000000" w:sz="0" w:space="0"/>
      </w:pBdr>
    </w:pPr>
    <w:rPr>
      <w:rFonts w:ascii="Times New Roman" w:hAnsi="Times New Roman"/>
      <w:sz w:val="18"/>
      <w:szCs w:val="18"/>
    </w:rPr>
  </w:style>
  <w:style w:type="character" w:styleId="1071" w:customStyle="1">
    <w:name w:val="页眉 Char"/>
    <w:link w:val="1070"/>
    <w:uiPriority w:val="0"/>
    <w:qFormat/>
    <w:rPr>
      <w:rFonts w:ascii="Times New Roman" w:hAnsi="Times New Roman"/>
      <w:sz w:val="18"/>
      <w:szCs w:val="18"/>
    </w:rPr>
  </w:style>
  <w:style w:type="paragraph" w:styleId="1072" w:customStyle="1">
    <w:name w:val="页脚1"/>
    <w:basedOn w:val="778"/>
    <w:link w:val="1073"/>
    <w:uiPriority w:val="0"/>
    <w:qFormat/>
    <w:pPr>
      <w:jc w:val="left"/>
      <w:tabs>
        <w:tab w:val="center" w:pos="4153" w:leader="none"/>
        <w:tab w:val="right" w:pos="8306" w:leader="none"/>
      </w:tabs>
    </w:pPr>
    <w:rPr>
      <w:rFonts w:ascii="Times New Roman" w:hAnsi="Times New Roman"/>
      <w:sz w:val="18"/>
      <w:szCs w:val="18"/>
    </w:rPr>
  </w:style>
  <w:style w:type="character" w:styleId="1073" w:customStyle="1">
    <w:name w:val="页脚 Char"/>
    <w:link w:val="1072"/>
    <w:uiPriority w:val="0"/>
    <w:qFormat/>
    <w:rPr>
      <w:rFonts w:ascii="Times New Roman" w:hAnsi="Times New Roman" w:eastAsia="宋体" w:cs="Times New Roman"/>
      <w:sz w:val="18"/>
      <w:szCs w:val="18"/>
    </w:rPr>
  </w:style>
  <w:style w:type="paragraph" w:styleId="1074" w:customStyle="1">
    <w:name w:val="Char Char Char Char Char Char Char Char1"/>
    <w:basedOn w:val="778"/>
    <w:uiPriority w:val="0"/>
    <w:qFormat/>
    <w:pPr>
      <w:jc w:val="left"/>
      <w:spacing w:after="160" w:line="240" w:lineRule="exact"/>
      <w:widowControl/>
    </w:pPr>
    <w:rPr>
      <w:rFonts w:ascii="Verdana" w:hAnsi="Verdana"/>
      <w:sz w:val="20"/>
      <w:szCs w:val="20"/>
      <w:lang w:eastAsia="en-US"/>
    </w:rPr>
  </w:style>
  <w:style w:type="paragraph" w:styleId="1075" w:customStyle="1">
    <w:name w:val="目录 81"/>
    <w:basedOn w:val="778"/>
    <w:next w:val="778"/>
    <w:uiPriority w:val="0"/>
    <w:semiHidden/>
    <w:qFormat/>
    <w:pPr>
      <w:ind w:left="1470"/>
      <w:jc w:val="left"/>
    </w:pPr>
    <w:rPr>
      <w:rFonts w:ascii="Times New Roman" w:hAnsi="Times New Roman"/>
      <w:szCs w:val="21"/>
    </w:rPr>
  </w:style>
  <w:style w:type="paragraph" w:styleId="1076" w:customStyle="1">
    <w:name w:val="xl30"/>
    <w:basedOn w:val="778"/>
    <w:uiPriority w:val="0"/>
    <w:qFormat/>
    <w:pPr>
      <w:jc w:val="center"/>
      <w:spacing w:before="100" w:beforeAutospacing="1" w:after="100" w:afterAutospacing="1"/>
      <w:widowControl/>
    </w:pPr>
    <w:rPr>
      <w:rFonts w:ascii="宋体" w:hAnsi="宋体"/>
      <w:b/>
      <w:bCs/>
      <w:sz w:val="36"/>
      <w:szCs w:val="36"/>
    </w:rPr>
  </w:style>
  <w:style w:type="paragraph" w:styleId="1077" w:customStyle="1">
    <w:name w:val="Char Char Char Char1"/>
    <w:basedOn w:val="1013"/>
    <w:uiPriority w:val="0"/>
    <w:qFormat/>
    <w:pPr>
      <w:spacing w:line="360" w:lineRule="auto"/>
    </w:pPr>
    <w:rPr>
      <w:rFonts w:ascii="Tahoma" w:hAnsi="Tahoma"/>
      <w:sz w:val="24"/>
      <w:szCs w:val="24"/>
    </w:rPr>
  </w:style>
  <w:style w:type="paragraph" w:styleId="1078" w:customStyle="1">
    <w:name w:val="table_1stline"/>
    <w:basedOn w:val="778"/>
    <w:uiPriority w:val="0"/>
    <w:qFormat/>
    <w:pPr>
      <w:jc w:val="left"/>
      <w:spacing w:before="120"/>
      <w:widowControl/>
    </w:pPr>
    <w:rPr>
      <w:rFonts w:ascii="Times New Roman" w:hAnsi="Times New Roman"/>
      <w:bCs/>
      <w:sz w:val="20"/>
      <w:szCs w:val="20"/>
      <w:lang w:val="de-DE" w:eastAsia="de-DE"/>
    </w:rPr>
  </w:style>
  <w:style w:type="paragraph" w:styleId="1079" w:customStyle="1">
    <w:name w:val="font5"/>
    <w:basedOn w:val="778"/>
    <w:uiPriority w:val="0"/>
    <w:qFormat/>
    <w:pPr>
      <w:jc w:val="left"/>
      <w:spacing w:before="100" w:beforeAutospacing="1" w:after="100" w:afterAutospacing="1"/>
      <w:widowControl/>
    </w:pPr>
    <w:rPr>
      <w:rFonts w:hint="eastAsia" w:ascii="宋体" w:hAnsi="宋体"/>
      <w:sz w:val="28"/>
      <w:szCs w:val="28"/>
    </w:rPr>
  </w:style>
  <w:style w:type="paragraph" w:styleId="1080" w:customStyle="1">
    <w:name w:val="标题1"/>
    <w:basedOn w:val="778"/>
    <w:next w:val="77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81" w:customStyle="1">
    <w:name w:val="修订1"/>
    <w:uiPriority w:val="99"/>
    <w:semiHidden/>
    <w:qFormat/>
    <w:rPr>
      <w:rFonts w:ascii="Times New Roman" w:hAnsi="Times New Roman" w:eastAsia="宋体" w:cs="Times New Roman"/>
      <w:sz w:val="21"/>
      <w:szCs w:val="21"/>
      <w:lang w:val="en-US" w:eastAsia="zh-CN" w:bidi="ar-SA"/>
    </w:rPr>
  </w:style>
  <w:style w:type="table" w:styleId="1082" w:customStyle="1">
    <w:name w:val="网格型1"/>
    <w:basedOn w:val="981"/>
    <w:uiPriority w:val="0"/>
    <w:qFormat/>
    <w:pPr>
      <w:jc w:val="both"/>
      <w:widowControl w:val="off"/>
    </w:pPr>
    <w:tblPr/>
  </w:style>
  <w:style w:type="paragraph" w:styleId="1083"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84" w:customStyle="1">
    <w:name w:val="索引 81"/>
    <w:basedOn w:val="778"/>
    <w:next w:val="778"/>
    <w:uiPriority w:val="0"/>
    <w:semiHidden/>
    <w:qFormat/>
    <w:pPr>
      <w:ind w:left="1400"/>
    </w:pPr>
    <w:rPr>
      <w:rFonts w:ascii="Times New Roman" w:hAnsi="Times New Roman"/>
      <w:szCs w:val="20"/>
    </w:rPr>
  </w:style>
  <w:style w:type="paragraph" w:styleId="1085" w:customStyle="1">
    <w:name w:val="索引 51"/>
    <w:basedOn w:val="778"/>
    <w:next w:val="778"/>
    <w:uiPriority w:val="0"/>
    <w:semiHidden/>
    <w:qFormat/>
    <w:pPr>
      <w:ind w:left="800"/>
    </w:pPr>
    <w:rPr>
      <w:rFonts w:ascii="Times New Roman" w:hAnsi="Times New Roman"/>
      <w:szCs w:val="20"/>
    </w:rPr>
  </w:style>
  <w:style w:type="paragraph" w:styleId="1086" w:customStyle="1">
    <w:name w:val="索引 61"/>
    <w:basedOn w:val="778"/>
    <w:next w:val="778"/>
    <w:uiPriority w:val="0"/>
    <w:semiHidden/>
    <w:qFormat/>
    <w:pPr>
      <w:ind w:left="1000"/>
    </w:pPr>
    <w:rPr>
      <w:rFonts w:ascii="Times New Roman" w:hAnsi="Times New Roman"/>
      <w:szCs w:val="20"/>
    </w:rPr>
  </w:style>
  <w:style w:type="paragraph" w:styleId="1087" w:customStyle="1">
    <w:name w:val="寄信人地址1"/>
    <w:basedOn w:val="778"/>
    <w:uiPriority w:val="0"/>
    <w:qFormat/>
    <w:rPr>
      <w:rFonts w:ascii="Arial" w:hAnsi="Arial"/>
      <w:szCs w:val="20"/>
    </w:rPr>
  </w:style>
  <w:style w:type="paragraph" w:styleId="1088" w:customStyle="1">
    <w:name w:val="文本块1"/>
    <w:basedOn w:val="778"/>
    <w:uiPriority w:val="0"/>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1089" w:customStyle="1">
    <w:name w:val="索引 41"/>
    <w:basedOn w:val="778"/>
    <w:next w:val="778"/>
    <w:uiPriority w:val="0"/>
    <w:semiHidden/>
    <w:qFormat/>
    <w:pPr>
      <w:ind w:left="600"/>
    </w:pPr>
    <w:rPr>
      <w:rFonts w:ascii="Times New Roman" w:hAnsi="Times New Roman"/>
      <w:szCs w:val="20"/>
    </w:rPr>
  </w:style>
  <w:style w:type="paragraph" w:styleId="1090" w:customStyle="1">
    <w:name w:val="索引 31"/>
    <w:basedOn w:val="778"/>
    <w:next w:val="778"/>
    <w:uiPriority w:val="0"/>
    <w:semiHidden/>
    <w:qFormat/>
    <w:pPr>
      <w:ind w:left="400"/>
    </w:pPr>
    <w:rPr>
      <w:rFonts w:ascii="Times New Roman" w:hAnsi="Times New Roman"/>
      <w:szCs w:val="20"/>
    </w:rPr>
  </w:style>
  <w:style w:type="paragraph" w:styleId="1091" w:customStyle="1">
    <w:name w:val="签名1"/>
    <w:basedOn w:val="778"/>
    <w:link w:val="1112"/>
    <w:uiPriority w:val="0"/>
    <w:qFormat/>
    <w:pPr>
      <w:jc w:val="center"/>
      <w:spacing w:after="600" w:line="312" w:lineRule="atLeast"/>
    </w:pPr>
    <w:rPr>
      <w:rFonts w:ascii="Times New Roman" w:hAnsi="Times New Roman" w:eastAsia="仿宋_GB2312"/>
      <w:sz w:val="24"/>
      <w:szCs w:val="20"/>
    </w:rPr>
  </w:style>
  <w:style w:type="character" w:styleId="1092" w:customStyle="1">
    <w:name w:val="签名 字符"/>
    <w:uiPriority w:val="0"/>
    <w:qFormat/>
    <w:rPr>
      <w:sz w:val="21"/>
      <w:szCs w:val="22"/>
    </w:rPr>
  </w:style>
  <w:style w:type="paragraph" w:styleId="1093" w:customStyle="1">
    <w:name w:val="索引标题1"/>
    <w:basedOn w:val="778"/>
    <w:next w:val="1018"/>
    <w:uiPriority w:val="0"/>
    <w:semiHidden/>
    <w:qFormat/>
    <w:rPr>
      <w:rFonts w:ascii="Times New Roman" w:hAnsi="Times New Roman"/>
      <w:szCs w:val="20"/>
    </w:rPr>
  </w:style>
  <w:style w:type="paragraph" w:styleId="1094" w:customStyle="1">
    <w:name w:val="脚注文本1"/>
    <w:basedOn w:val="778"/>
    <w:link w:val="1095"/>
    <w:uiPriority w:val="0"/>
    <w:qFormat/>
    <w:pPr>
      <w:jc w:val="left"/>
    </w:pPr>
    <w:rPr>
      <w:rFonts w:ascii="Times New Roman" w:hAnsi="Times New Roman"/>
      <w:sz w:val="18"/>
      <w:szCs w:val="18"/>
    </w:rPr>
  </w:style>
  <w:style w:type="character" w:styleId="1095" w:customStyle="1">
    <w:name w:val="脚注文本 字符"/>
    <w:link w:val="1094"/>
    <w:uiPriority w:val="0"/>
    <w:qFormat/>
    <w:rPr>
      <w:rFonts w:ascii="Times New Roman" w:hAnsi="Times New Roman"/>
      <w:sz w:val="18"/>
      <w:szCs w:val="18"/>
    </w:rPr>
  </w:style>
  <w:style w:type="paragraph" w:styleId="1096" w:customStyle="1">
    <w:name w:val="索引 71"/>
    <w:basedOn w:val="778"/>
    <w:next w:val="778"/>
    <w:uiPriority w:val="0"/>
    <w:semiHidden/>
    <w:qFormat/>
    <w:pPr>
      <w:ind w:left="1200"/>
    </w:pPr>
    <w:rPr>
      <w:rFonts w:ascii="Times New Roman" w:hAnsi="Times New Roman"/>
      <w:szCs w:val="20"/>
    </w:rPr>
  </w:style>
  <w:style w:type="paragraph" w:styleId="1097" w:customStyle="1">
    <w:name w:val="索引 91"/>
    <w:basedOn w:val="778"/>
    <w:next w:val="778"/>
    <w:uiPriority w:val="0"/>
    <w:semiHidden/>
    <w:qFormat/>
    <w:pPr>
      <w:ind w:left="1600"/>
    </w:pPr>
    <w:rPr>
      <w:rFonts w:ascii="Times New Roman" w:hAnsi="Times New Roman"/>
      <w:szCs w:val="20"/>
    </w:rPr>
  </w:style>
  <w:style w:type="paragraph" w:styleId="1098" w:customStyle="1">
    <w:name w:val="HTML 预设格式1"/>
    <w:basedOn w:val="778"/>
    <w:link w:val="10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1099" w:customStyle="1">
    <w:name w:val="HTML 预设格式 字符"/>
    <w:link w:val="1098"/>
    <w:uiPriority w:val="0"/>
    <w:qFormat/>
    <w:rPr>
      <w:rFonts w:ascii="Arial" w:hAnsi="Arial"/>
      <w:sz w:val="24"/>
      <w:szCs w:val="24"/>
    </w:rPr>
  </w:style>
  <w:style w:type="paragraph" w:styleId="1100" w:customStyle="1">
    <w:name w:val="索引 21"/>
    <w:basedOn w:val="778"/>
    <w:next w:val="778"/>
    <w:uiPriority w:val="0"/>
    <w:semiHidden/>
    <w:qFormat/>
    <w:pPr>
      <w:ind w:left="200"/>
    </w:pPr>
    <w:rPr>
      <w:rFonts w:ascii="Times New Roman" w:hAnsi="Times New Roman"/>
      <w:szCs w:val="20"/>
    </w:rPr>
  </w:style>
  <w:style w:type="character" w:styleId="1101" w:customStyle="1">
    <w:name w:val="强调1"/>
    <w:uiPriority w:val="20"/>
    <w:qFormat/>
    <w:rPr>
      <w:i/>
      <w:iCs/>
    </w:rPr>
  </w:style>
  <w:style w:type="character" w:styleId="1102" w:customStyle="1">
    <w:name w:val="脚注引用1"/>
    <w:uiPriority w:val="0"/>
    <w:unhideWhenUsed/>
    <w:qFormat/>
    <w:rPr>
      <w:vertAlign w:val="superscript"/>
    </w:rPr>
  </w:style>
  <w:style w:type="character" w:styleId="1103" w:customStyle="1">
    <w:name w:val="标题 1 字符"/>
    <w:uiPriority w:val="9"/>
    <w:qFormat/>
    <w:rPr>
      <w:rFonts w:ascii="宋体" w:hAnsi="宋体"/>
      <w:b/>
      <w:sz w:val="36"/>
    </w:rPr>
  </w:style>
  <w:style w:type="character" w:styleId="1104" w:customStyle="1">
    <w:name w:val="标题 2 字符2"/>
    <w:uiPriority w:val="0"/>
    <w:qFormat/>
    <w:rPr>
      <w:rFonts w:eastAsia="楷体_GB2312"/>
      <w:b/>
      <w:bCs/>
      <w:sz w:val="28"/>
      <w:szCs w:val="28"/>
    </w:rPr>
  </w:style>
  <w:style w:type="character" w:styleId="1105" w:customStyle="1">
    <w:name w:val="正文缩进 字符"/>
    <w:uiPriority w:val="0"/>
    <w:qFormat/>
    <w:rPr>
      <w:sz w:val="21"/>
    </w:rPr>
  </w:style>
  <w:style w:type="character" w:styleId="1106" w:customStyle="1">
    <w:name w:val="批注文字 字符1"/>
    <w:uiPriority w:val="0"/>
    <w:qFormat/>
    <w:rPr>
      <w:sz w:val="21"/>
    </w:rPr>
  </w:style>
  <w:style w:type="character" w:styleId="1107" w:customStyle="1">
    <w:name w:val="正文文本 字符2"/>
    <w:uiPriority w:val="0"/>
    <w:qFormat/>
    <w:rPr>
      <w:rFonts w:ascii="楷体_GB2312" w:hAnsi="Arial" w:eastAsia="楷体_GB2312"/>
      <w:sz w:val="28"/>
    </w:rPr>
  </w:style>
  <w:style w:type="character" w:styleId="1108" w:customStyle="1">
    <w:name w:val="正文文本缩进 字符"/>
    <w:uiPriority w:val="0"/>
    <w:qFormat/>
    <w:rPr>
      <w:rFonts w:ascii="宋体"/>
      <w:sz w:val="28"/>
    </w:rPr>
  </w:style>
  <w:style w:type="character" w:styleId="1109" w:customStyle="1">
    <w:name w:val="纯文本 字符"/>
    <w:uiPriority w:val="0"/>
    <w:qFormat/>
    <w:rPr>
      <w:rFonts w:ascii="宋体" w:hAnsi="Courier New"/>
      <w:sz w:val="21"/>
    </w:rPr>
  </w:style>
  <w:style w:type="character" w:styleId="1110" w:customStyle="1">
    <w:name w:val="日期 字符1"/>
    <w:uiPriority w:val="0"/>
    <w:qFormat/>
    <w:rPr>
      <w:rFonts w:ascii="宋体"/>
      <w:sz w:val="28"/>
    </w:rPr>
  </w:style>
  <w:style w:type="character" w:styleId="1111" w:customStyle="1">
    <w:name w:val="批注框文本 字符"/>
    <w:uiPriority w:val="0"/>
    <w:qFormat/>
    <w:rPr>
      <w:sz w:val="18"/>
      <w:szCs w:val="18"/>
    </w:rPr>
  </w:style>
  <w:style w:type="character" w:styleId="1112" w:customStyle="1">
    <w:name w:val="签名 字符1"/>
    <w:link w:val="1091"/>
    <w:uiPriority w:val="0"/>
    <w:qFormat/>
    <w:rPr>
      <w:rFonts w:ascii="Times New Roman" w:hAnsi="Times New Roman" w:eastAsia="仿宋_GB2312"/>
      <w:sz w:val="24"/>
    </w:rPr>
  </w:style>
  <w:style w:type="character" w:styleId="1113" w:customStyle="1">
    <w:name w:val="批注主题 字符"/>
    <w:uiPriority w:val="0"/>
    <w:qFormat/>
    <w:rPr>
      <w:b/>
      <w:bCs/>
      <w:sz w:val="21"/>
    </w:rPr>
  </w:style>
  <w:style w:type="character" w:styleId="1114" w:customStyle="1">
    <w:name w:val="正文文本 字符"/>
    <w:uiPriority w:val="0"/>
    <w:qFormat/>
    <w:rPr>
      <w:rFonts w:ascii="楷体_GB2312" w:hAnsi="Arial" w:eastAsia="楷体_GB2312"/>
      <w:sz w:val="28"/>
    </w:rPr>
  </w:style>
  <w:style w:type="character" w:styleId="1115" w:customStyle="1">
    <w:name w:val="列表段落 字符"/>
    <w:link w:val="1036"/>
    <w:uiPriority w:val="34"/>
    <w:qFormat/>
    <w:rPr>
      <w:sz w:val="24"/>
      <w:szCs w:val="24"/>
      <w:lang w:eastAsia="en-US" w:bidi="en-US"/>
    </w:rPr>
  </w:style>
  <w:style w:type="paragraph" w:styleId="1116" w:customStyle="1">
    <w:name w:val="Char Char Char"/>
    <w:basedOn w:val="778"/>
    <w:uiPriority w:val="0"/>
    <w:qFormat/>
    <w:pPr>
      <w:numPr>
        <w:ilvl w:val="0"/>
        <w:numId w:val="4"/>
      </w:numPr>
      <w:tabs>
        <w:tab w:val="left" w:pos="1545" w:leader="none"/>
      </w:tabs>
    </w:pPr>
    <w:rPr>
      <w:rFonts w:ascii="Times New Roman" w:hAnsi="Times New Roman"/>
      <w:szCs w:val="20"/>
    </w:rPr>
  </w:style>
  <w:style w:type="paragraph" w:styleId="1117" w:customStyle="1">
    <w:name w:val="Plain Text1"/>
    <w:basedOn w:val="778"/>
    <w:uiPriority w:val="0"/>
    <w:qFormat/>
    <w:rPr>
      <w:rFonts w:ascii="宋体" w:hAnsi="Courier New" w:eastAsia="楷体_GB2312"/>
      <w:sz w:val="28"/>
      <w:szCs w:val="20"/>
    </w:rPr>
  </w:style>
  <w:style w:type="paragraph" w:styleId="1118"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119" w:customStyle="1">
    <w:name w:val="Char1 Char Char Char"/>
    <w:basedOn w:val="778"/>
    <w:uiPriority w:val="0"/>
    <w:qFormat/>
    <w:rPr>
      <w:rFonts w:ascii="Tahoma" w:hAnsi="Tahoma"/>
      <w:sz w:val="24"/>
      <w:szCs w:val="20"/>
    </w:rPr>
  </w:style>
  <w:style w:type="paragraph" w:styleId="1120" w:customStyle="1">
    <w:name w:val="Char Char1 Char Char Char Char Char Char Char"/>
    <w:basedOn w:val="778"/>
    <w:uiPriority w:val="0"/>
    <w:qFormat/>
    <w:rPr>
      <w:rFonts w:ascii="Calibri Light" w:hAnsi="Calibri Light" w:cs="Berlin Sans FB Demi"/>
      <w:sz w:val="24"/>
      <w:szCs w:val="20"/>
    </w:rPr>
  </w:style>
  <w:style w:type="paragraph" w:styleId="1121" w:customStyle="1">
    <w:name w:val="Char Char"/>
    <w:basedOn w:val="778"/>
    <w:uiPriority w:val="0"/>
    <w:qFormat/>
    <w:rPr>
      <w:rFonts w:ascii="Times New Roman" w:hAnsi="Times New Roman"/>
      <w:szCs w:val="21"/>
    </w:rPr>
  </w:style>
  <w:style w:type="paragraph" w:styleId="1122" w:customStyle="1">
    <w:name w:val="_Style 12"/>
    <w:basedOn w:val="1013"/>
    <w:uiPriority w:val="0"/>
    <w:qFormat/>
    <w:pPr>
      <w:jc w:val="left"/>
      <w:spacing w:line="360" w:lineRule="auto"/>
      <w:widowControl/>
    </w:pPr>
    <w:rPr>
      <w:sz w:val="24"/>
      <w:szCs w:val="24"/>
    </w:rPr>
  </w:style>
  <w:style w:type="character" w:styleId="1123" w:customStyle="1">
    <w:name w:val="正文缩进 Char1"/>
    <w:uiPriority w:val="0"/>
    <w:qFormat/>
    <w:rPr>
      <w:rFonts w:eastAsia="楷体_GB2312"/>
      <w:sz w:val="24"/>
    </w:rPr>
  </w:style>
  <w:style w:type="character" w:styleId="1124" w:customStyle="1">
    <w:name w:val="纯文本 字符1"/>
    <w:uiPriority w:val="0"/>
    <w:qFormat/>
    <w:rPr>
      <w:rFonts w:ascii="宋体" w:hAnsi="Courier New"/>
    </w:rPr>
  </w:style>
  <w:style w:type="character" w:styleId="1125" w:customStyle="1">
    <w:name w:val="未处理的提及1"/>
    <w:uiPriority w:val="99"/>
    <w:unhideWhenUsed/>
    <w:qFormat/>
    <w:rPr>
      <w:color w:val="605e5c"/>
      <w:shd w:val="clear" w:color="auto" w:fill="e1dfdd"/>
    </w:rPr>
  </w:style>
  <w:style w:type="character" w:styleId="1126" w:customStyle="1">
    <w:name w:val="批注文字 字符"/>
    <w:uiPriority w:val="0"/>
    <w:qFormat/>
    <w:rPr>
      <w:sz w:val="21"/>
    </w:rPr>
  </w:style>
  <w:style w:type="character" w:styleId="1127" w:customStyle="1">
    <w:name w:val="标题 2 字符"/>
    <w:uiPriority w:val="0"/>
    <w:qFormat/>
    <w:rPr>
      <w:rFonts w:eastAsia="楷体_GB2312"/>
      <w:b/>
      <w:bCs/>
      <w:sz w:val="28"/>
      <w:szCs w:val="28"/>
    </w:rPr>
  </w:style>
  <w:style w:type="character" w:styleId="1128" w:customStyle="1">
    <w:name w:val="日期 字符"/>
    <w:uiPriority w:val="0"/>
    <w:qFormat/>
    <w:rPr>
      <w:rFonts w:ascii="宋体"/>
      <w:sz w:val="28"/>
    </w:rPr>
  </w:style>
  <w:style w:type="character" w:styleId="1129" w:customStyle="1">
    <w:name w:val="正文文本 字符1"/>
    <w:uiPriority w:val="0"/>
    <w:qFormat/>
    <w:rPr>
      <w:rFonts w:ascii="楷体_GB2312" w:hAnsi="Arial" w:eastAsia="楷体_GB2312"/>
      <w:sz w:val="28"/>
    </w:rPr>
  </w:style>
  <w:style w:type="paragraph" w:styleId="1130" w:customStyle="1">
    <w:name w:val="_正文段落"/>
    <w:basedOn w:val="778"/>
    <w:link w:val="1131"/>
    <w:uiPriority w:val="0"/>
    <w:qFormat/>
    <w:pPr>
      <w:ind w:firstLine="480"/>
      <w:spacing w:line="360" w:lineRule="auto"/>
    </w:pPr>
    <w:rPr>
      <w:rFonts w:ascii="宋体" w:hAnsi="宋体"/>
      <w:sz w:val="24"/>
      <w:szCs w:val="24"/>
    </w:rPr>
  </w:style>
  <w:style w:type="character" w:styleId="1131" w:customStyle="1">
    <w:name w:val="_正文段落 Char"/>
    <w:link w:val="1130"/>
    <w:uiPriority w:val="0"/>
    <w:qFormat/>
    <w:rPr>
      <w:rFonts w:ascii="宋体" w:hAnsi="宋体"/>
      <w:sz w:val="24"/>
      <w:szCs w:val="24"/>
    </w:rPr>
  </w:style>
  <w:style w:type="character" w:styleId="1132" w:customStyle="1">
    <w:name w:val="cf01"/>
    <w:uiPriority w:val="0"/>
    <w:qFormat/>
    <w:rPr>
      <w:rFonts w:hint="eastAsia" w:ascii="Microsoft YaHei UI" w:hAnsi="Microsoft YaHei UI" w:eastAsia="Microsoft YaHei UI"/>
      <w:b/>
      <w:bCs/>
      <w:sz w:val="18"/>
      <w:szCs w:val="18"/>
    </w:rPr>
  </w:style>
  <w:style w:type="character" w:styleId="1133" w:customStyle="1">
    <w:name w:val="标题 2 字符1"/>
    <w:uiPriority w:val="0"/>
    <w:qFormat/>
    <w:rPr>
      <w:rFonts w:eastAsia="楷体_GB2312"/>
      <w:b/>
      <w:bCs/>
      <w:sz w:val="28"/>
      <w:szCs w:val="28"/>
    </w:rPr>
  </w:style>
  <w:style w:type="paragraph" w:styleId="1134" w:customStyle="1">
    <w:name w:val="pf0"/>
    <w:basedOn w:val="778"/>
    <w:uiPriority w:val="0"/>
    <w:qFormat/>
    <w:pPr>
      <w:jc w:val="left"/>
      <w:spacing w:before="100" w:beforeAutospacing="1" w:after="100" w:afterAutospacing="1"/>
      <w:widowControl/>
    </w:pPr>
    <w:rPr>
      <w:rFonts w:ascii="宋体" w:hAnsi="宋体" w:cs="宋体"/>
      <w:sz w:val="24"/>
      <w:szCs w:val="24"/>
    </w:rPr>
  </w:style>
  <w:style w:type="character" w:styleId="1135" w:customStyle="1">
    <w:name w:val="cf11"/>
    <w:uiPriority w:val="0"/>
    <w:qFormat/>
    <w:rPr>
      <w:rFonts w:hint="eastAsia" w:ascii="Microsoft YaHei UI" w:hAnsi="Microsoft YaHei UI" w:eastAsia="Microsoft YaHei UI"/>
      <w:sz w:val="18"/>
      <w:szCs w:val="18"/>
    </w:rPr>
  </w:style>
  <w:style w:type="character" w:styleId="1136" w:customStyle="1">
    <w:name w:val="cf21"/>
    <w:uiPriority w:val="0"/>
    <w:qFormat/>
    <w:rPr>
      <w:rFonts w:hint="eastAsia" w:ascii="Microsoft YaHei UI" w:hAnsi="Microsoft YaHei UI" w:eastAsia="Microsoft YaHei UI"/>
      <w:b/>
      <w:bCs/>
      <w:sz w:val="18"/>
      <w:szCs w:val="18"/>
    </w:rPr>
  </w:style>
  <w:style w:type="paragraph" w:styleId="1137" w:customStyle="1">
    <w:name w:val="TOC 标题11"/>
    <w:basedOn w:val="970"/>
    <w:next w:val="778"/>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1138" w:customStyle="1">
    <w:name w:val="普通正文 Char"/>
    <w:link w:val="1019"/>
    <w:uiPriority w:val="0"/>
    <w:qFormat/>
    <w:rPr>
      <w:rFonts w:ascii="Arial" w:hAnsi="Arial"/>
      <w:sz w:val="24"/>
      <w:szCs w:val="24"/>
    </w:rPr>
  </w:style>
  <w:style w:type="character" w:styleId="1139" w:customStyle="1">
    <w:name w:val="批注文字 字符2"/>
    <w:basedOn w:val="788"/>
    <w:link w:val="792"/>
    <w:uiPriority w:val="99"/>
    <w:semiHidden/>
    <w:qFormat/>
    <w:rPr>
      <w:sz w:val="21"/>
      <w:szCs w:val="22"/>
    </w:rPr>
  </w:style>
  <w:style w:type="character" w:styleId="1140" w:customStyle="1">
    <w:name w:val="批注主题 字符1"/>
    <w:basedOn w:val="1139"/>
    <w:link w:val="816"/>
    <w:uiPriority w:val="99"/>
    <w:semiHidden/>
    <w:qFormat/>
    <w:rPr>
      <w:b/>
      <w:bCs/>
      <w:sz w:val="21"/>
      <w:szCs w:val="22"/>
    </w:rPr>
  </w:style>
  <w:style w:type="character" w:styleId="1141" w:customStyle="1">
    <w:name w:val="批注框文本 字符1"/>
    <w:basedOn w:val="788"/>
    <w:link w:val="803"/>
    <w:uiPriority w:val="99"/>
    <w:semiHidden/>
    <w:qFormat/>
    <w:rPr>
      <w:sz w:val="18"/>
      <w:szCs w:val="18"/>
    </w:rPr>
  </w:style>
  <w:style w:type="character" w:styleId="1142" w:customStyle="1">
    <w:name w:val="1、 字符"/>
    <w:link w:val="1143"/>
    <w:uiPriority w:val="0"/>
    <w:qFormat/>
    <w:rPr>
      <w:sz w:val="24"/>
      <w:szCs w:val="24"/>
    </w:rPr>
  </w:style>
  <w:style w:type="paragraph" w:styleId="1143" w:customStyle="1">
    <w:name w:val="1、"/>
    <w:basedOn w:val="778"/>
    <w:link w:val="1142"/>
    <w:uiPriority w:val="0"/>
    <w:qFormat/>
    <w:pPr>
      <w:ind w:firstLine="200"/>
      <w:spacing w:line="440" w:lineRule="exact"/>
    </w:pPr>
    <w:rPr>
      <w:sz w:val="24"/>
      <w:szCs w:val="24"/>
    </w:rPr>
  </w:style>
  <w:style w:type="paragraph" w:styleId="1144" w:customStyle="1">
    <w:name w:val="段"/>
    <w:next w:val="778"/>
    <w:uiPriority w:val="0"/>
    <w:qFormat/>
    <w:pPr>
      <w:ind w:firstLine="200"/>
      <w:jc w:val="both"/>
      <w:spacing w:line="360" w:lineRule="auto"/>
    </w:pPr>
    <w:rPr>
      <w:rFonts w:ascii="宋体" w:hAnsi="Calibri" w:eastAsia="宋体" w:cs="Times New Roman"/>
      <w:sz w:val="24"/>
      <w:szCs w:val="22"/>
      <w:lang w:val="en-US" w:eastAsia="zh-CN" w:bidi="ar-SA"/>
    </w:rPr>
  </w:style>
  <w:style w:type="character" w:styleId="1145" w:customStyle="1">
    <w:name w:val="15"/>
    <w:basedOn w:val="788"/>
    <w:uiPriority w:val="0"/>
    <w:qFormat/>
    <w:rPr>
      <w:rFonts w:hint="default" w:ascii="Calibri" w:hAnsi="Calibri" w:cs="Calibri"/>
    </w:rPr>
  </w:style>
  <w:style w:type="character" w:styleId="1146" w:customStyle="1">
    <w:name w:val="普通(网站) 字符"/>
    <w:link w:val="814"/>
    <w:uiPriority w:val="99"/>
    <w:qFormat/>
    <w:rPr>
      <w:rFonts w:ascii="宋体" w:hAnsi="宋体" w:cs="宋体"/>
      <w:sz w:val="24"/>
      <w:szCs w:val="24"/>
    </w:rPr>
  </w:style>
  <w:style w:type="paragraph" w:styleId="1147" w:customStyle="1">
    <w:name w:val="纯文本2"/>
    <w:basedOn w:val="778"/>
    <w:uiPriority w:val="0"/>
    <w:qFormat/>
    <w:rPr>
      <w:rFonts w:hint="eastAsia" w:ascii="宋体" w:hAnsi="Courier New" w:eastAsia="楷体_GB2312"/>
      <w:sz w:val="28"/>
      <w:szCs w:val="20"/>
    </w:rPr>
  </w:style>
  <w:style w:type="table" w:styleId="1148" w:customStyle="1">
    <w:name w:val="Table Normal"/>
    <w:uiPriority w:val="0"/>
    <w:unhideWhenUsed/>
    <w:qFormat/>
    <w:tblPr>
      <w:tblCellMar>
        <w:left w:w="0" w:type="dxa"/>
        <w:top w:w="0" w:type="dxa"/>
        <w:right w:w="0" w:type="dxa"/>
        <w:bottom w:w="0" w:type="dxa"/>
      </w:tblCellMar>
    </w:tblPr>
  </w:style>
  <w:style w:type="paragraph" w:styleId="1149" w:customStyle="1">
    <w:name w:val="Table Text"/>
    <w:basedOn w:val="778"/>
    <w:uiPriority w:val="0"/>
    <w:semiHidden/>
    <w:qFormat/>
    <w:rPr>
      <w:rFonts w:ascii="宋体" w:hAnsi="宋体" w:cs="宋体"/>
      <w:szCs w:val="21"/>
      <w:lang w:eastAsia="en-US"/>
    </w:rPr>
  </w:style>
  <w:style w:type="paragraph" w:styleId="1150" w:customStyle="1">
    <w:name w:val="正文！！！"/>
    <w:basedOn w:val="778"/>
    <w:uiPriority w:val="0"/>
    <w:qFormat/>
    <w:pPr>
      <w:ind w:firstLine="200"/>
      <w:spacing w:line="440" w:lineRule="exact"/>
    </w:pPr>
    <w:rPr>
      <w:sz w:val="24"/>
      <w:szCs w:val="24"/>
    </w:rPr>
  </w:style>
  <w:style w:type="paragraph" w:styleId="1151" w:customStyle="1">
    <w:name w:val="标题 3.1"/>
    <w:basedOn w:val="781"/>
    <w:uiPriority w:val="0"/>
    <w:qFormat/>
    <w:pPr>
      <w:spacing w:before="260" w:after="260" w:line="600" w:lineRule="exact"/>
      <w:tabs>
        <w:tab w:val="left" w:pos="1440" w:leader="none"/>
        <w:tab w:val="left" w:pos="1620" w:leader="none"/>
      </w:tabs>
    </w:pPr>
    <w:rPr>
      <w:b/>
      <w:color w:val="ff0000"/>
      <w:sz w:val="32"/>
    </w:rPr>
  </w:style>
  <w:style w:type="paragraph" w:styleId="1152" w:customStyle="1">
    <w:name w:val="Table Paragraph"/>
    <w:basedOn w:val="778"/>
    <w:uiPriority w:val="1"/>
    <w:qFormat/>
    <w:rPr>
      <w:rFonts w:ascii="宋体" w:hAnsi="宋体" w:cs="宋体"/>
      <w:lang w:val="zh-CN" w:bidi="zh-CN"/>
    </w:rPr>
  </w:style>
  <w:style w:type="paragraph" w:styleId="1153" w:customStyle="1">
    <w:name w:val="首行缩进"/>
    <w:basedOn w:val="1050"/>
    <w:uiPriority w:val="0"/>
    <w:qFormat/>
    <w:pPr>
      <w:ind w:firstLine="200"/>
    </w:pPr>
    <w:rPr>
      <w:sz w:val="20"/>
    </w:rPr>
  </w:style>
  <w:style w:type="character" w:styleId="1154" w:customStyle="1">
    <w:name w:val="font11"/>
    <w:uiPriority w:val="0"/>
    <w:qFormat/>
    <w:rPr>
      <w:rFonts w:hint="eastAsia" w:ascii="微软雅黑" w:hAnsi="微软雅黑" w:eastAsia="微软雅黑" w:cs="微软雅黑"/>
      <w:color w:val="000000"/>
      <w:sz w:val="20"/>
      <w:szCs w:val="20"/>
      <w:u w:val="none"/>
    </w:rPr>
  </w:style>
  <w:style w:type="paragraph" w:styleId="1155" w:customStyle="1">
    <w:name w:val="正文111"/>
    <w:next w:val="778"/>
    <w:uiPriority w:val="0"/>
    <w:qFormat/>
    <w:pPr>
      <w:jc w:val="both"/>
      <w:widowControl w:val="off"/>
    </w:pPr>
    <w:rPr>
      <w:rFonts w:ascii="Times New Roman" w:hAnsi="Times New Roman" w:eastAsia="宋体" w:cs="Times New Roman"/>
      <w:sz w:val="21"/>
      <w:szCs w:val="24"/>
      <w:lang w:val="en-US" w:eastAsia="zh-CN" w:bidi="ar-SA"/>
    </w:rPr>
  </w:style>
  <w:style w:type="numbering" w:styleId="95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王蔼玲</cp:lastModifiedBy>
  <cp:revision>3</cp:revision>
  <dcterms:created xsi:type="dcterms:W3CDTF">2024-10-31T18:51:00Z</dcterms:created>
  <dcterms:modified xsi:type="dcterms:W3CDTF">2025-03-21T05:46:22Z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4F9EBB67B1CF465FBF3FD21C8C145A20_13</vt:lpwstr>
  </property>
  <property fmtid="{D5CDD505-2E9C-101B-9397-08002B2CF9AE}" pid="4" name="KSOTemplateDocerSaveRecord">
    <vt:lpwstr>eyJoZGlkIjoiYzc2ODQ5ZjVhOWM2ZDA2MGQ2ZjM3ZWM1NzNlYWMyOTIiLCJ1c2VySWQiOiI1NDgyNzE2ODUifQ==</vt:lpwstr>
  </property>
</Properties>
</file>