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6"/>
        <w:ind w:firstLine="0"/>
        <w:pageBreakBefore w:val="0"/>
        <w:spacing w:before="0" w:after="0" w:line="240" w:lineRule="auto"/>
        <w:rPr>
          <w:rFonts w:hint="eastAsia" w:eastAsia="黑体"/>
          <w:b/>
          <w:bCs/>
          <w:sz w:val="84"/>
        </w:rPr>
      </w:pPr>
      <w:r>
        <w:rPr>
          <w:rFonts w:hint="eastAsia" w:eastAsia="黑体"/>
          <w:b/>
          <w:bCs/>
          <w:sz w:val="84"/>
        </w:rPr>
      </w:r>
      <w:r/>
    </w:p>
    <w:p>
      <w:pPr>
        <w:pStyle w:val="1136"/>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136"/>
        <w:ind w:firstLine="2249"/>
        <w:pageBreakBefore w:val="0"/>
        <w:spacing w:before="0" w:after="0" w:line="240" w:lineRule="auto"/>
        <w:rPr>
          <w:rFonts w:hint="eastAsia"/>
          <w:b/>
          <w:bCs/>
          <w:sz w:val="32"/>
        </w:rPr>
      </w:pPr>
      <w:r>
        <w:rPr>
          <w:rFonts w:hint="eastAsia"/>
          <w:b/>
          <w:bCs/>
          <w:sz w:val="32"/>
        </w:rPr>
      </w:r>
      <w:r/>
    </w:p>
    <w:p>
      <w:pPr>
        <w:pStyle w:val="1136"/>
        <w:ind w:left="0" w:firstLine="643"/>
        <w:pageBreakBefore w:val="0"/>
        <w:spacing w:before="0" w:after="0" w:line="240" w:lineRule="auto"/>
        <w:rPr>
          <w:rFonts w:hint="eastAsia"/>
          <w:b/>
          <w:bCs/>
          <w:sz w:val="32"/>
        </w:rPr>
      </w:pPr>
      <w:r>
        <w:rPr>
          <w:rFonts w:hint="eastAsia"/>
          <w:b/>
          <w:bCs/>
          <w:sz w:val="32"/>
        </w:rPr>
        <w:t xml:space="preserve">项目名称：江苏省常州技师学院工业互联网实训站</w:t>
      </w:r>
      <w:r>
        <w:rPr>
          <w:rFonts w:hint="eastAsia"/>
          <w:b/>
          <w:bCs/>
          <w:sz w:val="32"/>
        </w:rPr>
      </w:r>
      <w:r/>
    </w:p>
    <w:p>
      <w:pPr>
        <w:pStyle w:val="1136"/>
        <w:ind w:left="0" w:firstLine="2249"/>
        <w:pageBreakBefore w:val="0"/>
        <w:spacing w:before="0" w:after="0" w:line="240" w:lineRule="auto"/>
        <w:rPr>
          <w:rFonts w:hint="eastAsia"/>
          <w:b/>
          <w:bCs/>
          <w:sz w:val="32"/>
        </w:rPr>
      </w:pPr>
      <w:r>
        <w:rPr>
          <w:rFonts w:hint="eastAsia"/>
          <w:b/>
          <w:bCs/>
          <w:sz w:val="32"/>
        </w:rPr>
        <w:t xml:space="preserve">多媒体硬件采购与安装项目</w:t>
      </w:r>
      <w:r>
        <w:rPr>
          <w:rFonts w:hint="eastAsia"/>
          <w:b/>
          <w:bCs/>
          <w:sz w:val="32"/>
        </w:rPr>
      </w:r>
      <w:r/>
    </w:p>
    <w:p>
      <w:pPr>
        <w:pStyle w:val="1019"/>
        <w:ind w:firstLine="643"/>
        <w:pageBreakBefore w:val="0"/>
        <w:spacing w:line="240" w:lineRule="auto"/>
        <w:rPr>
          <w:b/>
          <w:color w:val="ff0000"/>
          <w:sz w:val="30"/>
          <w:szCs w:val="30"/>
        </w:rPr>
      </w:pPr>
      <w:r>
        <w:rPr>
          <w:rFonts w:hint="eastAsia"/>
          <w:b/>
          <w:bCs/>
          <w:color w:val="ff0000"/>
          <w:sz w:val="32"/>
        </w:rPr>
        <w:t xml:space="preserve">项目编号：JSZC-320400-JZCG-G2025-0378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1019"/>
        <w:jc w:val="center"/>
        <w:pageBreakBefore w:val="0"/>
        <w:spacing w:line="240" w:lineRule="auto"/>
        <w:rPr>
          <w:rFonts w:hint="eastAsia"/>
          <w:b/>
          <w:color w:val="ff0000"/>
          <w:sz w:val="24"/>
          <w:szCs w:val="24"/>
        </w:rPr>
      </w:pPr>
      <w:r>
        <w:rPr>
          <w:rFonts w:hint="eastAsia"/>
          <w:b/>
          <w:color w:val="ff0000"/>
          <w:sz w:val="24"/>
          <w:szCs w:val="24"/>
        </w:rPr>
      </w:r>
      <w:r/>
    </w:p>
    <w:p>
      <w:pPr>
        <w:pStyle w:val="1019"/>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30"/>
          <w:szCs w:val="30"/>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pageBreakBefore w:val="0"/>
        <w:spacing w:before="0" w:after="0" w:line="240" w:lineRule="auto"/>
        <w:rPr>
          <w:rFonts w:hint="eastAsia" w:ascii="宋体" w:hAnsi="宋体"/>
        </w:rPr>
      </w:pPr>
      <w:r>
        <w:rPr>
          <w:rFonts w:hint="eastAsia" w:ascii="宋体" w:hAnsi="宋体"/>
        </w:rPr>
      </w:r>
      <w:r/>
    </w:p>
    <w:p>
      <w:pPr>
        <w:pStyle w:val="1136"/>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136"/>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6</w:t>
      </w:r>
      <w:r>
        <w:rPr>
          <w:rFonts w:hint="eastAsia"/>
          <w:b/>
          <w:bCs/>
          <w:sz w:val="32"/>
        </w:rPr>
        <w:t xml:space="preserve">日</w:t>
      </w:r>
      <w:r>
        <w:rPr>
          <w:rFonts w:hint="eastAsia"/>
          <w:b/>
          <w:bCs/>
          <w:sz w:val="32"/>
        </w:rPr>
      </w:r>
      <w:r/>
    </w:p>
    <w:p>
      <w:pPr>
        <w:pStyle w:val="1136"/>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136"/>
        <w:ind w:firstLine="0"/>
        <w:jc w:val="center"/>
        <w:pageBreakBefore w:val="0"/>
        <w:spacing w:before="0" w:after="0" w:line="240" w:lineRule="auto"/>
        <w:rPr>
          <w:rFonts w:hint="eastAsia"/>
        </w:rPr>
      </w:pPr>
      <w:r>
        <w:rPr>
          <w:rFonts w:hint="eastAsia"/>
        </w:rPr>
      </w:r>
      <w:r/>
    </w:p>
    <w:p>
      <w:pPr>
        <w:pStyle w:val="1019"/>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1019"/>
        <w:ind w:left="0" w:right="0" w:firstLine="0"/>
        <w:jc w:val="center"/>
        <w:spacing w:before="0" w:after="0" w:line="240" w:lineRule="auto"/>
      </w:pPr>
      <w:r/>
      <w:bookmarkStart w:id="6" w:name="_Toc22622_WPSOffice_Type1"/>
      <w:r/>
      <w:r/>
    </w:p>
    <w:p>
      <w:pPr>
        <w:pStyle w:val="1138"/>
        <w:tabs>
          <w:tab w:val="right" w:pos="8306" w:leader="dot"/>
        </w:tabs>
        <w:rPr>
          <w:sz w:val="36"/>
          <w:szCs w:val="36"/>
        </w:rPr>
      </w:pPr>
      <w:r>
        <w:rPr>
          <w:sz w:val="36"/>
          <w:szCs w:val="36"/>
        </w:rPr>
        <w:fldChar w:fldCharType="begin"/>
      </w:r>
      <w:r>
        <w:rPr>
          <w:sz w:val="36"/>
          <w:szCs w:val="36"/>
        </w:rPr>
        <w:instrText xml:space="preserve"> HYPERLINK \l _Toc1212_WPSOffice_Level1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212_WPSOffice_Level1Page"/>
      <w:r>
        <w:rPr>
          <w:sz w:val="36"/>
          <w:szCs w:val="36"/>
        </w:rPr>
        <w:t xml:space="preserve">3</w:t>
      </w:r>
      <w:bookmarkEnd w:id="7"/>
      <w:r>
        <w:rPr>
          <w:sz w:val="36"/>
          <w:szCs w:val="36"/>
        </w:rPr>
        <w:fldChar w:fldCharType="end"/>
      </w:r>
      <w:r>
        <w:rPr>
          <w:sz w:val="36"/>
          <w:szCs w:val="36"/>
        </w:rPr>
      </w:r>
      <w:r/>
    </w:p>
    <w:p>
      <w:pPr>
        <w:pStyle w:val="1138"/>
        <w:tabs>
          <w:tab w:val="right" w:pos="8306" w:leader="dot"/>
        </w:tabs>
        <w:rPr>
          <w:sz w:val="36"/>
          <w:szCs w:val="36"/>
        </w:rPr>
      </w:pPr>
      <w:r>
        <w:rPr>
          <w:sz w:val="36"/>
          <w:szCs w:val="36"/>
        </w:rPr>
        <w:fldChar w:fldCharType="begin"/>
      </w:r>
      <w:r>
        <w:rPr>
          <w:sz w:val="36"/>
          <w:szCs w:val="36"/>
        </w:rPr>
        <w:instrText xml:space="preserve"> HYPERLINK \l _Toc4297_WPSOffice_Level1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4297_WPSOffice_Level1Page"/>
      <w:r>
        <w:rPr>
          <w:sz w:val="36"/>
          <w:szCs w:val="36"/>
        </w:rPr>
        <w:t xml:space="preserve">5</w:t>
      </w:r>
      <w:bookmarkEnd w:id="8"/>
      <w:r>
        <w:rPr>
          <w:sz w:val="36"/>
          <w:szCs w:val="36"/>
        </w:rPr>
        <w:fldChar w:fldCharType="end"/>
      </w:r>
      <w:r>
        <w:rPr>
          <w:sz w:val="36"/>
          <w:szCs w:val="36"/>
        </w:rPr>
      </w:r>
      <w:r/>
    </w:p>
    <w:p>
      <w:pPr>
        <w:pStyle w:val="1138"/>
        <w:tabs>
          <w:tab w:val="right" w:pos="8306" w:leader="dot"/>
        </w:tabs>
        <w:rPr>
          <w:sz w:val="36"/>
          <w:szCs w:val="36"/>
        </w:rPr>
      </w:pPr>
      <w:r>
        <w:rPr>
          <w:sz w:val="36"/>
          <w:szCs w:val="36"/>
        </w:rPr>
        <w:fldChar w:fldCharType="begin"/>
      </w:r>
      <w:r>
        <w:rPr>
          <w:sz w:val="36"/>
          <w:szCs w:val="36"/>
        </w:rPr>
        <w:instrText xml:space="preserve"> HYPERLINK \l _Toc9234_WPSOffice_Level1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9234_WPSOffice_Level1Page"/>
      <w:r>
        <w:rPr>
          <w:sz w:val="36"/>
          <w:szCs w:val="36"/>
        </w:rPr>
        <w:t xml:space="preserve">17</w:t>
      </w:r>
      <w:bookmarkEnd w:id="9"/>
      <w:r>
        <w:rPr>
          <w:sz w:val="36"/>
          <w:szCs w:val="36"/>
        </w:rPr>
        <w:fldChar w:fldCharType="end"/>
      </w:r>
      <w:r>
        <w:rPr>
          <w:sz w:val="36"/>
          <w:szCs w:val="36"/>
        </w:rPr>
      </w:r>
      <w:r/>
    </w:p>
    <w:p>
      <w:pPr>
        <w:pStyle w:val="1138"/>
        <w:tabs>
          <w:tab w:val="right" w:pos="8306" w:leader="dot"/>
        </w:tabs>
        <w:rPr>
          <w:sz w:val="36"/>
          <w:szCs w:val="36"/>
        </w:rPr>
      </w:pPr>
      <w:r>
        <w:rPr>
          <w:sz w:val="36"/>
          <w:szCs w:val="36"/>
        </w:rPr>
        <w:fldChar w:fldCharType="begin"/>
      </w:r>
      <w:r>
        <w:rPr>
          <w:sz w:val="36"/>
          <w:szCs w:val="36"/>
        </w:rPr>
        <w:instrText xml:space="preserve"> HYPERLINK \l _Toc23707_WPSOffice_Level1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23707_WPSOffice_Level1Page"/>
      <w:r>
        <w:rPr>
          <w:sz w:val="36"/>
          <w:szCs w:val="36"/>
        </w:rPr>
        <w:t xml:space="preserve">30</w:t>
      </w:r>
      <w:bookmarkEnd w:id="10"/>
      <w:r>
        <w:rPr>
          <w:sz w:val="36"/>
          <w:szCs w:val="36"/>
        </w:rPr>
        <w:fldChar w:fldCharType="end"/>
      </w:r>
      <w:r>
        <w:rPr>
          <w:sz w:val="36"/>
          <w:szCs w:val="36"/>
        </w:rPr>
      </w:r>
      <w:r/>
    </w:p>
    <w:p>
      <w:pPr>
        <w:pStyle w:val="1138"/>
        <w:tabs>
          <w:tab w:val="right" w:pos="8306" w:leader="dot"/>
        </w:tabs>
        <w:rPr>
          <w:sz w:val="36"/>
          <w:szCs w:val="36"/>
        </w:rPr>
      </w:pPr>
      <w:r>
        <w:rPr>
          <w:sz w:val="36"/>
          <w:szCs w:val="36"/>
        </w:rPr>
        <w:fldChar w:fldCharType="begin"/>
      </w:r>
      <w:r>
        <w:rPr>
          <w:sz w:val="36"/>
          <w:szCs w:val="36"/>
        </w:rPr>
        <w:instrText xml:space="preserve"> HYPERLINK \l _Toc20931_WPSOffice_Level1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20931_WPSOffice_Level1Page"/>
      <w:r>
        <w:rPr>
          <w:sz w:val="36"/>
          <w:szCs w:val="36"/>
        </w:rPr>
        <w:t xml:space="preserve">59</w:t>
      </w:r>
      <w:bookmarkEnd w:id="11"/>
      <w:r>
        <w:rPr>
          <w:sz w:val="36"/>
          <w:szCs w:val="36"/>
        </w:rPr>
        <w:fldChar w:fldCharType="end"/>
      </w:r>
      <w:r>
        <w:rPr>
          <w:sz w:val="36"/>
          <w:szCs w:val="36"/>
        </w:rPr>
      </w:r>
      <w:r/>
    </w:p>
    <w:p>
      <w:pPr>
        <w:pStyle w:val="1138"/>
        <w:tabs>
          <w:tab w:val="right" w:pos="8306" w:leader="dot"/>
        </w:tabs>
      </w:pPr>
      <w:r>
        <w:rPr>
          <w:sz w:val="36"/>
          <w:szCs w:val="36"/>
        </w:rPr>
        <w:fldChar w:fldCharType="begin"/>
      </w:r>
      <w:r>
        <w:rPr>
          <w:sz w:val="36"/>
          <w:szCs w:val="36"/>
        </w:rPr>
        <w:instrText xml:space="preserve"> HYPERLINK \l _Toc29747_WPSOffice_Level1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29747_WPSOffice_Level1Page"/>
      <w:r>
        <w:rPr>
          <w:sz w:val="36"/>
          <w:szCs w:val="36"/>
        </w:rPr>
        <w:t xml:space="preserve">64</w:t>
      </w:r>
      <w:bookmarkEnd w:id="12"/>
      <w:r>
        <w:rPr>
          <w:sz w:val="36"/>
          <w:szCs w:val="36"/>
        </w:rPr>
        <w:fldChar w:fldCharType="end"/>
      </w:r>
      <w:r/>
    </w:p>
    <w:p>
      <w:pPr>
        <w:pStyle w:val="1138"/>
        <w:tabs>
          <w:tab w:val="right" w:pos="8306" w:leader="dot"/>
        </w:tabs>
      </w:pPr>
      <w:r/>
      <w:bookmarkEnd w:id="6"/>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87"/>
        <w:rPr>
          <w:rFonts w:hint="eastAsia"/>
        </w:rPr>
      </w:pPr>
      <w:r>
        <w:rPr>
          <w:rFonts w:hint="eastAsia"/>
        </w:rPr>
      </w:r>
      <w:r/>
    </w:p>
    <w:p>
      <w:pPr>
        <w:pStyle w:val="1019"/>
        <w:rPr>
          <w:rFonts w:hint="eastAsia"/>
        </w:rPr>
      </w:pPr>
      <w:r>
        <w:rPr>
          <w:rFonts w:hint="eastAsia"/>
        </w:rPr>
      </w:r>
      <w:r/>
    </w:p>
    <w:p>
      <w:pPr>
        <w:pStyle w:val="1087"/>
        <w:rPr>
          <w:rFonts w:hint="eastAsia"/>
        </w:rPr>
      </w:pPr>
      <w:r>
        <w:rPr>
          <w:rFonts w:hint="eastAsia"/>
        </w:rPr>
      </w:r>
      <w:r/>
    </w:p>
    <w:p>
      <w:pPr>
        <w:pStyle w:val="1019"/>
        <w:rPr>
          <w:rFonts w:hint="eastAsia"/>
        </w:rPr>
      </w:pPr>
      <w:r>
        <w:rPr>
          <w:rFonts w:hint="eastAsia"/>
        </w:rPr>
      </w:r>
      <w:r/>
    </w:p>
    <w:p>
      <w:pPr>
        <w:pStyle w:val="1087"/>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20"/>
        <w:pageBreakBefore w:val="0"/>
        <w:spacing w:line="240" w:lineRule="auto"/>
        <w:rPr>
          <w:rFonts w:hint="eastAsia" w:ascii="黑体" w:eastAsia="黑体"/>
          <w:bCs/>
          <w:sz w:val="44"/>
          <w:szCs w:val="44"/>
        </w:rPr>
      </w:pPr>
      <w:r/>
      <w:bookmarkStart w:id="13" w:name="_Toc1212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受江苏省常州技师学院的委托，常州市政府采购中心就江苏省常州技师学院工业互联网实训站多媒体硬件采购与安装项目(JSZC-320400-JZCG-G2025-0378)进行公开招标采购，欢迎符合条件的供应商投标。</w:t>
      </w:r>
      <w:r>
        <w:rPr>
          <w:rFonts w:ascii="宋体" w:hAnsi="宋体"/>
          <w:sz w:val="24"/>
          <w:szCs w:val="24"/>
        </w:rPr>
      </w:r>
      <w:r/>
    </w:p>
    <w:p>
      <w:pPr>
        <w:pStyle w:val="1022"/>
        <w:ind w:firstLine="498"/>
        <w:pageBreakBefore w:val="0"/>
        <w:spacing w:before="0" w:after="0" w:line="240" w:lineRule="auto"/>
      </w:pPr>
      <w:r/>
      <w:bookmarkStart w:id="14" w:name="_Toc28359002"/>
      <w:r/>
      <w:bookmarkStart w:id="15" w:name="_Toc35393621"/>
      <w:r/>
      <w:bookmarkStart w:id="16" w:name="_Toc38985263"/>
      <w:r/>
      <w:bookmarkStart w:id="17" w:name="_Toc35393790"/>
      <w:r/>
      <w:bookmarkStart w:id="18" w:name="_Toc28359079"/>
      <w:r/>
      <w:bookmarkStart w:id="19" w:name="_Hlk24379207"/>
      <w:r>
        <w:rPr>
          <w:rFonts w:hint="eastAsia"/>
        </w:rPr>
        <w:t xml:space="preserve">一、项目基本情况</w:t>
      </w:r>
      <w:bookmarkEnd w:id="14"/>
      <w:r/>
      <w:bookmarkEnd w:id="15"/>
      <w:r/>
      <w:bookmarkEnd w:id="16"/>
      <w:r/>
      <w:bookmarkEnd w:id="17"/>
      <w:r/>
      <w:bookmarkEnd w:id="18"/>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1.项目编号：JSZC-320400-JZCG-G2025-0378</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2.项目名称：江苏省常州技师学院工业互联网实训站多媒体硬件采购与安装项目</w:t>
      </w:r>
      <w:r>
        <w:rPr>
          <w:rFonts w:ascii="宋体" w:hAnsi="宋体"/>
          <w:sz w:val="24"/>
          <w:szCs w:val="24"/>
        </w:rPr>
      </w:r>
      <w:r/>
    </w:p>
    <w:p>
      <w:pPr>
        <w:pStyle w:val="1019"/>
        <w:ind w:firstLine="480"/>
        <w:pageBreakBefore w:val="0"/>
        <w:spacing w:line="240" w:lineRule="auto"/>
        <w:rPr>
          <w:rFonts w:ascii="宋体" w:hAnsi="宋体" w:eastAsia="宋体"/>
          <w:sz w:val="24"/>
          <w:szCs w:val="24"/>
          <w:lang w:val="en-US" w:eastAsia="zh-CN"/>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120万元</w:t>
      </w:r>
      <w:r>
        <w:rPr>
          <w:rFonts w:ascii="宋体" w:hAnsi="宋体" w:eastAsia="宋体"/>
          <w:sz w:val="24"/>
          <w:szCs w:val="24"/>
          <w:lang w:val="en-US" w:eastAsia="zh-CN"/>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lang w:val="en-US" w:eastAsia="zh-CN"/>
        </w:rPr>
        <w:t xml:space="preserve">120万元。</w:t>
      </w:r>
      <w:r>
        <w:rPr>
          <w:rFonts w:ascii="宋体" w:hAnsi="宋体"/>
          <w:sz w:val="24"/>
          <w:szCs w:val="24"/>
        </w:rPr>
      </w:r>
      <w:r/>
    </w:p>
    <w:p>
      <w:pPr>
        <w:pStyle w:val="1019"/>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是江苏省常州技师学院工业互联网实训站多媒体集成硬件采购与安装项目。为贯彻落实国家关于推动工业互联网创新发展的战略，培养符合新时代要求的工业互联网技术技能人才，拟建设一个集教学、实训、演示、创新于一体的现代化工业互联网实训站。本项目旨在采购一套先进、稳定、可靠的多媒体集成硬件系统，以支撑工业互联网数据可视化、远程运维、人机交互、智能监控等核心课程的实训教学与展示。包括但不限于设备的制造（采购）、运输、装卸、安装、调试、测试、售后服务、技术培训等，直至通过招标人的验收以及负责质量保修、免费维保等全部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1019"/>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签订合同后50日内完成供货、安装及调试并通过招标人验收。免费保修期要求不低于三年。</w:t>
      </w:r>
      <w:r>
        <w:rPr>
          <w:rFonts w:ascii="宋体" w:hAnsi="宋体"/>
          <w:sz w:val="24"/>
          <w:szCs w:val="24"/>
          <w:u w:val="single"/>
        </w:rPr>
      </w:r>
      <w:r/>
    </w:p>
    <w:p>
      <w:pPr>
        <w:pStyle w:val="1022"/>
        <w:ind w:firstLine="498"/>
        <w:pageBreakBefore w:val="0"/>
        <w:spacing w:before="0" w:after="0" w:line="240" w:lineRule="auto"/>
      </w:pPr>
      <w:r/>
      <w:bookmarkStart w:id="20" w:name="_Toc28359003"/>
      <w:r/>
      <w:bookmarkStart w:id="21" w:name="_Toc35393622"/>
      <w:r/>
      <w:bookmarkStart w:id="22" w:name="_Toc35393791"/>
      <w:r/>
      <w:bookmarkStart w:id="23" w:name="_Toc38985264"/>
      <w:r/>
      <w:bookmarkStart w:id="24" w:name="_Toc28359080"/>
      <w:r>
        <w:rPr>
          <w:rFonts w:hint="eastAsia"/>
        </w:rPr>
        <w:t xml:space="preserve">二、申请人的资格要求：</w:t>
      </w:r>
      <w:bookmarkEnd w:id="20"/>
      <w:r/>
      <w:bookmarkEnd w:id="21"/>
      <w:r/>
      <w:bookmarkEnd w:id="22"/>
      <w:r/>
      <w:bookmarkEnd w:id="23"/>
      <w:r/>
      <w:bookmarkEnd w:id="24"/>
      <w:r/>
      <w:r/>
    </w:p>
    <w:p>
      <w:pPr>
        <w:pStyle w:val="1019"/>
        <w:ind w:firstLine="480"/>
        <w:pageBreakBefore w:val="0"/>
        <w:spacing w:line="240" w:lineRule="auto"/>
        <w:rPr>
          <w:rFonts w:hint="eastAsia" w:ascii="宋体" w:hAnsi="宋体"/>
          <w:sz w:val="24"/>
          <w:szCs w:val="24"/>
        </w:rPr>
      </w:pPr>
      <w:r/>
      <w:bookmarkStart w:id="25" w:name="_Toc38985265"/>
      <w:r/>
      <w:bookmarkStart w:id="26" w:name="_Toc28359004"/>
      <w:r/>
      <w:bookmarkStart w:id="27" w:name="_Toc35393792"/>
      <w:r/>
      <w:bookmarkStart w:id="28" w:name="_Toc28359081"/>
      <w:r/>
      <w:bookmarkStart w:id="29"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1019"/>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1019"/>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1019"/>
        <w:ind w:firstLine="480"/>
        <w:pageBreakBefore w:val="0"/>
        <w:spacing w:line="240" w:lineRule="auto"/>
        <w:rPr>
          <w:rFonts w:hint="eastAsia" w:ascii="宋体" w:hAnsi="宋体" w:eastAsia="宋体" w:cs="宋体"/>
          <w:sz w:val="24"/>
          <w:szCs w:val="24"/>
          <w:lang w:eastAsia="zh-CN"/>
        </w:rPr>
      </w:pPr>
      <w:r>
        <w:rPr>
          <w:rFonts w:hint="eastAsia" w:ascii="宋体" w:hAnsi="宋体"/>
          <w:sz w:val="24"/>
          <w:szCs w:val="24"/>
        </w:rPr>
        <w:t xml:space="preserve">4.本项目不接受联合体投标</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1019"/>
        <w:ind w:firstLine="480"/>
        <w:pageBreakBefore w:val="0"/>
        <w:spacing w:line="240" w:lineRule="auto"/>
        <w:rPr>
          <w:rFonts w:ascii="宋体" w:hAnsi="宋体" w:cs="宋体"/>
          <w:sz w:val="24"/>
          <w:szCs w:val="24"/>
        </w:rPr>
      </w:pPr>
      <w:r>
        <w:rPr>
          <w:rFonts w:hint="eastAsia"/>
          <w:sz w:val="24"/>
          <w:lang w:val="en-US" w:eastAsia="zh-CN"/>
        </w:rPr>
        <w:t xml:space="preserve">无</w:t>
      </w:r>
      <w:r>
        <w:rPr>
          <w:rFonts w:ascii="宋体" w:hAnsi="宋体" w:cs="宋体"/>
          <w:sz w:val="24"/>
          <w:szCs w:val="24"/>
        </w:rPr>
      </w:r>
      <w:r/>
    </w:p>
    <w:p>
      <w:pPr>
        <w:pStyle w:val="1022"/>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1019"/>
        <w:ind w:firstLine="540"/>
        <w:pageBreakBefore w:val="0"/>
        <w:spacing w:line="240" w:lineRule="auto"/>
        <w:rPr>
          <w:rFonts w:ascii="宋体" w:hAnsi="宋体" w:cs="宋体"/>
          <w:sz w:val="24"/>
          <w:szCs w:val="24"/>
        </w:rPr>
      </w:pPr>
      <w:r/>
      <w:bookmarkStart w:id="30" w:name="_Toc35393793"/>
      <w:r/>
      <w:bookmarkStart w:id="31" w:name="_Toc28359082"/>
      <w:r/>
      <w:bookmarkStart w:id="32" w:name="_Toc28359005"/>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1019"/>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1022"/>
        <w:ind w:firstLine="498"/>
        <w:pageBreakBefore w:val="0"/>
        <w:spacing w:before="0" w:after="0" w:line="240" w:lineRule="auto"/>
      </w:pPr>
      <w:r/>
      <w:bookmarkEnd w:id="30"/>
      <w:r/>
      <w:bookmarkEnd w:id="31"/>
      <w:r/>
      <w:bookmarkEnd w:id="32"/>
      <w:r/>
      <w:bookmarkEnd w:id="33"/>
      <w:r/>
      <w:bookmarkEnd w:id="34"/>
      <w:r/>
      <w:bookmarkStart w:id="35" w:name="_Toc28359084"/>
      <w:r/>
      <w:bookmarkStart w:id="36" w:name="_Toc38985267"/>
      <w:r/>
      <w:bookmarkStart w:id="37" w:name="_Toc28359007"/>
      <w:r/>
      <w:bookmarkStart w:id="38" w:name="_Toc35393794"/>
      <w:r/>
      <w:bookmarkStart w:id="39" w:name="_Toc35393625"/>
      <w:r>
        <w:rPr>
          <w:rFonts w:hint="eastAsia"/>
        </w:rPr>
        <w:t xml:space="preserve">四、投标文件提交</w:t>
      </w:r>
      <w:r/>
    </w:p>
    <w:p>
      <w:pPr>
        <w:pStyle w:val="101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101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1022"/>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1019"/>
        <w:ind w:firstLine="480"/>
        <w:pageBreakBefore w:val="0"/>
        <w:spacing w:line="240" w:lineRule="auto"/>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22"/>
        <w:ind w:firstLine="498"/>
        <w:pageBreakBefore w:val="0"/>
        <w:spacing w:before="0" w:after="0" w:line="240" w:lineRule="auto"/>
      </w:pPr>
      <w:r>
        <w:rPr>
          <w:rFonts w:hint="eastAsia"/>
        </w:rPr>
        <w:t xml:space="preserve">六、其他补充事宜</w:t>
      </w:r>
      <w:bookmarkEnd w:id="40"/>
      <w:r/>
      <w:bookmarkEnd w:id="41"/>
      <w:r/>
      <w:bookmarkEnd w:id="42"/>
      <w:r/>
      <w:r/>
    </w:p>
    <w:p>
      <w:pPr>
        <w:pStyle w:val="1019"/>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22"/>
        <w:ind w:firstLine="498"/>
        <w:pageBreakBefore w:val="0"/>
        <w:spacing w:before="0" w:after="0" w:line="240" w:lineRule="auto"/>
      </w:pPr>
      <w:r/>
      <w:bookmarkStart w:id="43" w:name="_Toc38985269"/>
      <w:r/>
      <w:bookmarkStart w:id="44" w:name="_Toc35393627"/>
      <w:r/>
      <w:bookmarkStart w:id="45" w:name="_Toc35393796"/>
      <w:r/>
      <w:bookmarkStart w:id="46" w:name="_Toc28359008"/>
      <w:r/>
      <w:bookmarkStart w:id="47" w:name="_Toc28359085"/>
      <w:r>
        <w:rPr>
          <w:rFonts w:hint="eastAsia"/>
        </w:rPr>
        <w:t xml:space="preserve">七、本次招标联系方式</w:t>
      </w:r>
      <w:bookmarkEnd w:id="43"/>
      <w:r/>
      <w:bookmarkEnd w:id="44"/>
      <w:r/>
      <w:bookmarkEnd w:id="45"/>
      <w:r/>
      <w:bookmarkEnd w:id="46"/>
      <w:r/>
      <w:bookmarkEnd w:id="47"/>
      <w:r/>
      <w:r/>
    </w:p>
    <w:p>
      <w:pPr>
        <w:pStyle w:val="1019"/>
        <w:jc w:val="left"/>
        <w:pageBreakBefore w:val="0"/>
        <w:spacing w:line="240" w:lineRule="auto"/>
        <w:widowControl/>
        <w:rPr>
          <w:rFonts w:ascii="宋体" w:hAnsi="宋体"/>
          <w:sz w:val="24"/>
          <w:szCs w:val="24"/>
          <w:highlight w:val="none"/>
          <w:u w:val="none"/>
        </w:rPr>
      </w:pPr>
      <w:r>
        <w:rPr>
          <w:rFonts w:hint="eastAsia" w:ascii="仿宋" w:hAnsi="仿宋" w:eastAsia="仿宋" w:cs="宋体"/>
          <w:sz w:val="28"/>
          <w:szCs w:val="28"/>
        </w:rPr>
        <w:t xml:space="preserve">　　　</w:t>
      </w:r>
      <w:r>
        <w:rPr>
          <w:rFonts w:hint="eastAsia" w:ascii="宋体" w:hAnsi="宋体" w:cs="宋体"/>
          <w:sz w:val="24"/>
          <w:szCs w:val="24"/>
          <w:highlight w:val="none"/>
          <w:u w:val="none"/>
        </w:rPr>
        <w:t xml:space="preserve">1.采购人信息</w:t>
      </w:r>
      <w:r>
        <w:rPr>
          <w:rFonts w:ascii="宋体" w:hAnsi="宋体"/>
          <w:sz w:val="24"/>
          <w:szCs w:val="24"/>
          <w:highlight w:val="none"/>
          <w:u w:val="none"/>
        </w:rPr>
      </w:r>
      <w:r/>
    </w:p>
    <w:p>
      <w:pPr>
        <w:pStyle w:val="1019"/>
        <w:ind w:left="1079" w:hanging="300"/>
        <w:jc w:val="left"/>
        <w:pageBreakBefore w:val="0"/>
        <w:spacing w:line="240" w:lineRule="auto"/>
        <w:rPr>
          <w:rFonts w:ascii="宋体" w:hAnsi="宋体"/>
          <w:sz w:val="24"/>
          <w:szCs w:val="24"/>
          <w:highlight w:val="none"/>
          <w:u w:val="none"/>
        </w:rPr>
      </w:pPr>
      <w:r>
        <w:rPr>
          <w:rFonts w:hint="eastAsia" w:ascii="宋体" w:hAnsi="宋体"/>
          <w:sz w:val="24"/>
          <w:szCs w:val="24"/>
          <w:highlight w:val="none"/>
          <w:u w:val="none"/>
        </w:rPr>
        <w:t xml:space="preserve">名</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t xml:space="preserve"> 称：</w:t>
      </w:r>
      <w:r>
        <w:rPr>
          <w:rFonts w:hint="eastAsia" w:ascii="宋体" w:hAnsi="宋体" w:eastAsia="宋体" w:cs="Times New Roman"/>
          <w:sz w:val="24"/>
          <w:szCs w:val="24"/>
          <w:highlight w:val="none"/>
          <w:u w:val="none"/>
        </w:rPr>
        <w:t xml:space="preserve">江苏省常州技师学院　　</w:t>
      </w:r>
      <w:r>
        <w:rPr>
          <w:rFonts w:hint="eastAsia" w:ascii="宋体" w:hAnsi="宋体"/>
          <w:sz w:val="24"/>
          <w:szCs w:val="24"/>
          <w:highlight w:val="none"/>
          <w:u w:val="none"/>
        </w:rPr>
        <w:t xml:space="preserve">　</w:t>
      </w:r>
      <w:r>
        <w:rPr>
          <w:rFonts w:ascii="宋体" w:hAnsi="宋体"/>
          <w:sz w:val="24"/>
          <w:szCs w:val="24"/>
          <w:highlight w:val="none"/>
          <w:u w:val="none"/>
        </w:rPr>
      </w:r>
      <w:r/>
    </w:p>
    <w:p>
      <w:pPr>
        <w:pStyle w:val="1019"/>
        <w:ind w:left="1079" w:hanging="300"/>
        <w:jc w:val="left"/>
        <w:pageBreakBefore w:val="0"/>
        <w:spacing w:line="240" w:lineRule="auto"/>
        <w:rPr>
          <w:rFonts w:ascii="宋体" w:hAnsi="宋体"/>
          <w:sz w:val="24"/>
          <w:szCs w:val="24"/>
          <w:highlight w:val="none"/>
          <w:u w:val="none"/>
        </w:rPr>
      </w:pPr>
      <w:r>
        <w:rPr>
          <w:rFonts w:hint="eastAsia" w:ascii="宋体" w:hAnsi="宋体"/>
          <w:sz w:val="24"/>
          <w:szCs w:val="24"/>
          <w:highlight w:val="none"/>
          <w:u w:val="none"/>
        </w:rPr>
        <w:t xml:space="preserve">地</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t xml:space="preserve">址：</w:t>
      </w:r>
      <w:r>
        <w:rPr>
          <w:rFonts w:hint="eastAsia" w:ascii="宋体" w:hAnsi="宋体" w:eastAsia="宋体" w:cs="Times New Roman"/>
          <w:sz w:val="24"/>
          <w:szCs w:val="24"/>
          <w:highlight w:val="none"/>
          <w:u w:val="none"/>
        </w:rPr>
        <w:t xml:space="preserve">常州市嫩江路8号　　</w:t>
      </w:r>
      <w:r>
        <w:rPr>
          <w:rFonts w:hint="eastAsia" w:ascii="宋体" w:hAnsi="宋体"/>
          <w:sz w:val="24"/>
          <w:szCs w:val="24"/>
          <w:highlight w:val="none"/>
          <w:u w:val="none"/>
        </w:rPr>
        <w:t xml:space="preserve">　　</w:t>
      </w:r>
      <w:r>
        <w:rPr>
          <w:rFonts w:ascii="宋体" w:hAnsi="宋体"/>
          <w:sz w:val="24"/>
          <w:szCs w:val="24"/>
          <w:highlight w:val="none"/>
          <w:u w:val="none"/>
        </w:rPr>
      </w:r>
      <w:r/>
    </w:p>
    <w:p>
      <w:pPr>
        <w:pStyle w:val="1019"/>
        <w:ind w:left="1079" w:hanging="300"/>
        <w:jc w:val="left"/>
        <w:pageBreakBefore w:val="0"/>
        <w:spacing w:line="240" w:lineRule="auto"/>
        <w:rPr>
          <w:rFonts w:ascii="宋体" w:hAnsi="宋体"/>
          <w:sz w:val="24"/>
          <w:szCs w:val="24"/>
          <w:highlight w:val="none"/>
          <w:u w:val="none"/>
        </w:rPr>
      </w:pPr>
      <w:r>
        <w:rPr>
          <w:rFonts w:hint="eastAsia" w:ascii="宋体" w:hAnsi="宋体"/>
          <w:sz w:val="24"/>
          <w:szCs w:val="24"/>
          <w:highlight w:val="none"/>
          <w:u w:val="none"/>
        </w:rPr>
        <w:t xml:space="preserve">联</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t xml:space="preserve">系</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t xml:space="preserve">人：</w:t>
      </w:r>
      <w:r>
        <w:rPr>
          <w:rFonts w:hint="eastAsia" w:ascii="宋体" w:hAnsi="宋体" w:eastAsia="宋体" w:cs="Times New Roman"/>
          <w:sz w:val="24"/>
          <w:szCs w:val="24"/>
          <w:highlight w:val="none"/>
          <w:u w:val="none"/>
        </w:rPr>
        <w:t xml:space="preserve">邹先生 </w:t>
      </w:r>
      <w:r>
        <w:rPr>
          <w:rFonts w:hint="eastAsia" w:ascii="宋体" w:hAnsi="宋体"/>
          <w:sz w:val="24"/>
          <w:szCs w:val="24"/>
          <w:highlight w:val="none"/>
          <w:u w:val="none"/>
        </w:rPr>
        <w:t xml:space="preserve">              </w:t>
      </w:r>
      <w:r>
        <w:rPr>
          <w:rFonts w:ascii="宋体" w:hAnsi="宋体"/>
          <w:sz w:val="24"/>
          <w:szCs w:val="24"/>
          <w:highlight w:val="none"/>
          <w:u w:val="none"/>
        </w:rPr>
      </w:r>
      <w:r/>
    </w:p>
    <w:p>
      <w:pPr>
        <w:pStyle w:val="1019"/>
        <w:ind w:left="1079" w:hanging="300"/>
        <w:jc w:val="left"/>
        <w:pageBreakBefore w:val="0"/>
        <w:spacing w:line="240" w:lineRule="auto"/>
        <w:rPr>
          <w:rFonts w:ascii="宋体" w:hAnsi="宋体"/>
          <w:sz w:val="24"/>
          <w:szCs w:val="24"/>
          <w:highlight w:val="none"/>
          <w:u w:val="none"/>
        </w:rPr>
      </w:pPr>
      <w:r>
        <w:rPr>
          <w:rFonts w:hint="eastAsia" w:ascii="宋体" w:hAnsi="宋体"/>
          <w:sz w:val="24"/>
          <w:szCs w:val="24"/>
          <w:highlight w:val="none"/>
          <w:u w:val="none"/>
        </w:rPr>
        <w:t xml:space="preserve">联系方式：</w:t>
      </w:r>
      <w:r>
        <w:rPr>
          <w:rFonts w:hint="eastAsia" w:ascii="宋体" w:hAnsi="宋体" w:eastAsia="宋体" w:cs="Times New Roman"/>
          <w:sz w:val="24"/>
          <w:szCs w:val="24"/>
          <w:highlight w:val="none"/>
          <w:u w:val="none"/>
        </w:rPr>
        <w:t xml:space="preserve">0519-81162172　</w:t>
      </w:r>
      <w:r>
        <w:rPr>
          <w:rFonts w:hint="eastAsia" w:ascii="宋体" w:hAnsi="宋体"/>
          <w:sz w:val="24"/>
          <w:szCs w:val="24"/>
          <w:highlight w:val="none"/>
          <w:u w:val="none"/>
        </w:rPr>
        <w:t xml:space="preserve">　　 </w:t>
      </w:r>
      <w:bookmarkStart w:id="48" w:name="_Toc28359086"/>
      <w:r/>
      <w:bookmarkStart w:id="49" w:name="_Toc28359009"/>
      <w:r>
        <w:rPr>
          <w:rFonts w:ascii="宋体" w:hAnsi="宋体"/>
          <w:sz w:val="24"/>
          <w:szCs w:val="24"/>
          <w:highlight w:val="none"/>
          <w:u w:val="none"/>
        </w:rPr>
      </w:r>
      <w:r/>
    </w:p>
    <w:p>
      <w:pPr>
        <w:pStyle w:val="1019"/>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1019"/>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1019"/>
        <w:ind w:firstLine="720"/>
        <w:pageBreakBefore w:val="0"/>
        <w:spacing w:line="240" w:lineRule="auto"/>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101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话：0519-85588</w:t>
      </w:r>
      <w:r>
        <w:rPr>
          <w:rFonts w:hint="eastAsia" w:ascii="宋体" w:hAnsi="宋体"/>
          <w:sz w:val="24"/>
          <w:szCs w:val="24"/>
          <w:lang w:val="en-US" w:eastAsia="zh-CN"/>
        </w:rPr>
        <w:t xml:space="preserve">161</w:t>
      </w:r>
      <w:r>
        <w:rPr>
          <w:rFonts w:ascii="宋体" w:hAnsi="宋体" w:eastAsia="宋体"/>
          <w:sz w:val="24"/>
          <w:szCs w:val="24"/>
          <w:lang w:val="en-US" w:eastAsia="zh-CN"/>
        </w:rPr>
      </w:r>
      <w:r/>
    </w:p>
    <w:p>
      <w:pPr>
        <w:pStyle w:val="1019"/>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101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话：0519-85588</w:t>
      </w:r>
      <w:r>
        <w:rPr>
          <w:rFonts w:hint="eastAsia" w:ascii="宋体" w:hAnsi="宋体"/>
          <w:sz w:val="24"/>
          <w:szCs w:val="24"/>
          <w:lang w:val="en-US" w:eastAsia="zh-CN"/>
        </w:rPr>
        <w:t xml:space="preserve">165</w:t>
      </w:r>
      <w:r>
        <w:rPr>
          <w:rFonts w:ascii="宋体" w:hAnsi="宋体" w:eastAsia="宋体"/>
          <w:sz w:val="24"/>
          <w:szCs w:val="24"/>
          <w:lang w:val="en-US" w:eastAsia="zh-CN"/>
        </w:rPr>
      </w:r>
      <w:r/>
    </w:p>
    <w:p>
      <w:pPr>
        <w:pStyle w:val="1019"/>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1019"/>
        <w:ind w:firstLine="720"/>
        <w:pageBreakBefore w:val="0"/>
        <w:spacing w:line="240" w:lineRule="auto"/>
        <w:rPr>
          <w:rFonts w:ascii="宋体" w:hAnsi="宋体"/>
          <w:sz w:val="24"/>
          <w:szCs w:val="24"/>
        </w:rPr>
      </w:pPr>
      <w:r>
        <w:rPr>
          <w:rFonts w:ascii="宋体" w:hAnsi="宋体"/>
          <w:sz w:val="24"/>
          <w:szCs w:val="24"/>
        </w:rPr>
      </w:r>
      <w:r/>
    </w:p>
    <w:p>
      <w:pPr>
        <w:pStyle w:val="1022"/>
        <w:ind w:firstLine="498"/>
        <w:pageBreakBefore w:val="0"/>
        <w:spacing w:before="0" w:after="0" w:line="240" w:lineRule="auto"/>
      </w:pPr>
      <w:r/>
      <w:bookmarkEnd w:id="50"/>
      <w:r/>
      <w:bookmarkEnd w:id="51"/>
      <w:r>
        <w:rPr>
          <w:rFonts w:hint="eastAsia"/>
        </w:rPr>
        <w:t xml:space="preserve">八、其他</w:t>
      </w:r>
      <w:r/>
    </w:p>
    <w:p>
      <w:pPr>
        <w:pStyle w:val="1019"/>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1019"/>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101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101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right="840"/>
        <w:pageBreakBefore w:val="0"/>
        <w:spacing w:line="240" w:lineRule="auto"/>
        <w:rPr>
          <w:rFonts w:hint="eastAsia" w:ascii="宋体" w:hAnsi="宋体"/>
          <w:sz w:val="24"/>
          <w:szCs w:val="24"/>
        </w:rPr>
      </w:pPr>
      <w:r>
        <w:rPr>
          <w:rFonts w:hint="eastAsia" w:ascii="宋体" w:hAnsi="宋体"/>
          <w:sz w:val="24"/>
          <w:szCs w:val="24"/>
        </w:rPr>
      </w:r>
      <w:r/>
    </w:p>
    <w:p>
      <w:pPr>
        <w:pStyle w:val="1019"/>
        <w:ind w:right="840"/>
        <w:pageBreakBefore w:val="0"/>
        <w:spacing w:line="240" w:lineRule="auto"/>
        <w:rPr>
          <w:rFonts w:hint="eastAsia" w:ascii="宋体" w:hAnsi="宋体"/>
          <w:sz w:val="24"/>
          <w:szCs w:val="24"/>
        </w:rPr>
      </w:pPr>
      <w:r>
        <w:rPr>
          <w:rFonts w:hint="eastAsia" w:ascii="宋体" w:hAnsi="宋体"/>
          <w:sz w:val="24"/>
          <w:szCs w:val="24"/>
        </w:rPr>
      </w:r>
      <w:r/>
    </w:p>
    <w:p>
      <w:pPr>
        <w:pStyle w:val="1019"/>
        <w:ind w:right="840"/>
        <w:pageBreakBefore w:val="0"/>
        <w:spacing w:line="240" w:lineRule="auto"/>
        <w:rPr>
          <w:rFonts w:hint="eastAsia" w:ascii="宋体" w:hAnsi="宋体"/>
          <w:sz w:val="24"/>
          <w:szCs w:val="24"/>
        </w:rPr>
      </w:pPr>
      <w:r>
        <w:rPr>
          <w:rFonts w:hint="eastAsia" w:ascii="宋体" w:hAnsi="宋体"/>
          <w:sz w:val="24"/>
          <w:szCs w:val="24"/>
        </w:rPr>
      </w:r>
      <w:r/>
    </w:p>
    <w:p>
      <w:pPr>
        <w:pStyle w:val="1019"/>
        <w:ind w:right="840"/>
        <w:pageBreakBefore w:val="0"/>
        <w:spacing w:line="240" w:lineRule="auto"/>
        <w:rPr>
          <w:rFonts w:hint="eastAsia" w:ascii="宋体" w:hAnsi="宋体"/>
          <w:sz w:val="24"/>
          <w:szCs w:val="24"/>
        </w:rPr>
      </w:pPr>
      <w:r>
        <w:rPr>
          <w:rFonts w:hint="eastAsia" w:ascii="宋体" w:hAnsi="宋体"/>
          <w:sz w:val="24"/>
          <w:szCs w:val="24"/>
        </w:rPr>
      </w:r>
      <w:r/>
    </w:p>
    <w:p>
      <w:pPr>
        <w:pStyle w:val="1019"/>
        <w:ind w:right="840"/>
        <w:pageBreakBefore w:val="0"/>
        <w:spacing w:line="240" w:lineRule="auto"/>
        <w:rPr>
          <w:rFonts w:hint="eastAsia" w:ascii="宋体" w:hAnsi="宋体"/>
          <w:sz w:val="24"/>
          <w:szCs w:val="24"/>
        </w:rPr>
      </w:pPr>
      <w:r>
        <w:rPr>
          <w:rFonts w:hint="eastAsia" w:ascii="宋体" w:hAnsi="宋体"/>
          <w:sz w:val="24"/>
          <w:szCs w:val="24"/>
        </w:rPr>
      </w:r>
      <w:r/>
    </w:p>
    <w:p>
      <w:pPr>
        <w:pStyle w:val="1020"/>
        <w:pageBreakBefore w:val="0"/>
        <w:spacing w:line="240" w:lineRule="auto"/>
        <w:rPr>
          <w:rFonts w:hint="eastAsia" w:ascii="黑体" w:eastAsia="黑体" w:cs="Times New Roman"/>
          <w:sz w:val="44"/>
          <w:szCs w:val="44"/>
        </w:rPr>
      </w:pPr>
      <w:r/>
      <w:bookmarkStart w:id="52" w:name="_Toc120614211"/>
      <w:r/>
      <w:bookmarkStart w:id="53" w:name="_Toc4297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2"/>
      <w:r/>
      <w:bookmarkStart w:id="54" w:name="_Toc120614213"/>
      <w:r/>
      <w:bookmarkStart w:id="55" w:name="_Toc513029202"/>
      <w:r/>
      <w:bookmarkStart w:id="56" w:name="_Toc20823274"/>
      <w:r/>
      <w:bookmarkStart w:id="57" w:name="_Toc16938518"/>
      <w:r>
        <w:rPr>
          <w:rFonts w:hint="eastAsia" w:ascii="黑体" w:eastAsia="黑体" w:cs="Times New Roman"/>
          <w:sz w:val="44"/>
          <w:szCs w:val="44"/>
        </w:rPr>
        <w:t xml:space="preserve">投标人须知</w:t>
      </w:r>
      <w:bookmarkEnd w:id="53"/>
      <w:r/>
      <w:bookmarkEnd w:id="54"/>
      <w:r/>
      <w:bookmarkEnd w:id="55"/>
      <w:r/>
      <w:bookmarkEnd w:id="56"/>
      <w:r/>
      <w:bookmarkEnd w:id="57"/>
      <w:r>
        <w:rPr>
          <w:rFonts w:hint="eastAsia" w:ascii="黑体" w:eastAsia="黑体" w:cs="Times New Roman"/>
          <w:sz w:val="44"/>
          <w:szCs w:val="44"/>
        </w:rPr>
      </w:r>
      <w:r/>
    </w:p>
    <w:p>
      <w:pPr>
        <w:pStyle w:val="1022"/>
        <w:ind w:firstLine="498"/>
        <w:pageBreakBefore w:val="0"/>
        <w:spacing w:before="0" w:after="0" w:line="240" w:lineRule="auto"/>
        <w:rPr>
          <w:rFonts w:hint="eastAsia"/>
        </w:rPr>
      </w:pPr>
      <w:r/>
      <w:bookmarkStart w:id="58" w:name="_Toc120614214"/>
      <w:r/>
      <w:bookmarkStart w:id="59" w:name="_Toc20823275"/>
      <w:r/>
      <w:bookmarkStart w:id="60" w:name="_Toc16938519"/>
      <w:r/>
      <w:bookmarkStart w:id="61" w:name="_Toc513029203"/>
      <w:r>
        <w:rPr>
          <w:rFonts w:hint="eastAsia"/>
        </w:rPr>
        <w:t xml:space="preserve">一、总则</w:t>
      </w:r>
      <w:bookmarkEnd w:id="58"/>
      <w:r/>
      <w:bookmarkEnd w:id="59"/>
      <w:r/>
      <w:bookmarkEnd w:id="60"/>
      <w:r/>
      <w:bookmarkEnd w:id="61"/>
      <w:r>
        <w:rPr>
          <w:rFonts w:hint="eastAsia"/>
        </w:rPr>
      </w:r>
      <w:r/>
    </w:p>
    <w:p>
      <w:pPr>
        <w:pStyle w:val="1023"/>
        <w:ind w:firstLine="420"/>
        <w:pageBreakBefore w:val="0"/>
        <w:spacing w:before="0" w:after="0" w:line="240" w:lineRule="auto"/>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1023"/>
        <w:ind w:firstLine="420"/>
        <w:pageBreakBefore w:val="0"/>
        <w:spacing w:before="0" w:after="0" w:line="240" w:lineRule="auto"/>
        <w:rPr>
          <w:rFonts w:hint="eastAsia"/>
          <w:b w:val="0"/>
          <w:bCs w:val="0"/>
        </w:rPr>
      </w:pPr>
      <w:r/>
      <w:bookmarkStart w:id="67" w:name="_Toc20823277"/>
      <w:r/>
      <w:bookmarkStart w:id="68" w:name="_Toc16938521"/>
      <w:r/>
      <w:bookmarkStart w:id="69" w:name="_Toc513029205"/>
      <w:r>
        <w:rPr>
          <w:rFonts w:hint="eastAsia"/>
          <w:b w:val="0"/>
          <w:bCs w:val="0"/>
        </w:rPr>
        <w:t xml:space="preserve">2、合格的投标人</w:t>
      </w:r>
      <w:bookmarkEnd w:id="67"/>
      <w:r/>
      <w:bookmarkEnd w:id="68"/>
      <w:r/>
      <w:bookmarkEnd w:id="69"/>
      <w:r>
        <w:rPr>
          <w:rFonts w:hint="eastAsia"/>
          <w:b w:val="0"/>
          <w:bCs w:val="0"/>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1023"/>
        <w:ind w:firstLine="420"/>
        <w:pageBreakBefore w:val="0"/>
        <w:spacing w:before="0" w:after="0" w:line="240" w:lineRule="auto"/>
        <w:rPr>
          <w:rFonts w:hint="eastAsia"/>
          <w:b w:val="0"/>
          <w:bCs w:val="0"/>
        </w:rPr>
      </w:pPr>
      <w:r/>
      <w:bookmarkStart w:id="70" w:name="_Toc16938522"/>
      <w:r/>
      <w:bookmarkStart w:id="71" w:name="_Toc513029206"/>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1019"/>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1023"/>
        <w:ind w:firstLine="420"/>
        <w:pageBreakBefore w:val="0"/>
        <w:spacing w:before="0" w:after="0" w:line="240" w:lineRule="auto"/>
        <w:rPr>
          <w:rFonts w:hint="eastAsia"/>
          <w:b w:val="0"/>
          <w:bCs w:val="0"/>
        </w:rPr>
      </w:pPr>
      <w:r/>
      <w:bookmarkStart w:id="73" w:name="_Toc462564067"/>
      <w:r/>
      <w:bookmarkStart w:id="74" w:name="_Toc16938523"/>
      <w:r/>
      <w:bookmarkStart w:id="75" w:name="_Toc20823279"/>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1023"/>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1019"/>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1022"/>
        <w:ind w:firstLine="321"/>
        <w:pageBreakBefore w:val="0"/>
        <w:spacing w:before="0" w:after="0" w:line="240" w:lineRule="auto"/>
        <w:rPr>
          <w:rFonts w:hint="eastAsia"/>
        </w:rPr>
      </w:pPr>
      <w:r/>
      <w:bookmarkStart w:id="77" w:name="_Toc20823281"/>
      <w:r/>
      <w:bookmarkStart w:id="78" w:name="_Toc120614215"/>
      <w:r/>
      <w:bookmarkStart w:id="79" w:name="_Toc513029209"/>
      <w:r/>
      <w:bookmarkStart w:id="80" w:name="_Toc16938525"/>
      <w:r>
        <w:rPr>
          <w:rFonts w:hint="eastAsia"/>
        </w:rPr>
        <w:t xml:space="preserve">二、招标文件</w:t>
      </w:r>
      <w:bookmarkEnd w:id="77"/>
      <w:r/>
      <w:bookmarkEnd w:id="78"/>
      <w:r/>
      <w:bookmarkEnd w:id="79"/>
      <w:r/>
      <w:bookmarkEnd w:id="80"/>
      <w:r>
        <w:rPr>
          <w:rFonts w:hint="eastAsia"/>
        </w:rPr>
      </w:r>
      <w:r/>
    </w:p>
    <w:p>
      <w:pPr>
        <w:pStyle w:val="1023"/>
        <w:ind w:firstLine="420"/>
        <w:pageBreakBefore w:val="0"/>
        <w:spacing w:before="0" w:after="0" w:line="240" w:lineRule="auto"/>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19"/>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23"/>
        <w:ind w:firstLine="560"/>
        <w:pageBreakBefore w:val="0"/>
        <w:spacing w:before="0" w:after="0" w:line="240" w:lineRule="auto"/>
        <w:rPr>
          <w:rFonts w:hint="eastAsia"/>
          <w:b w:val="0"/>
          <w:bCs w:val="0"/>
        </w:rPr>
      </w:pPr>
      <w:r/>
      <w:bookmarkStart w:id="84" w:name="_Toc513029211"/>
      <w:r/>
      <w:bookmarkStart w:id="85" w:name="_Toc20823283"/>
      <w:r/>
      <w:bookmarkStart w:id="86" w:name="_Toc462564070"/>
      <w:r/>
      <w:bookmarkStart w:id="87" w:name="_Toc16938527"/>
      <w:r>
        <w:rPr>
          <w:rFonts w:hint="eastAsia"/>
          <w:b w:val="0"/>
          <w:bCs w:val="0"/>
        </w:rPr>
        <w:t xml:space="preserve">7、招标文件的澄清</w:t>
      </w:r>
      <w:bookmarkEnd w:id="84"/>
      <w:r/>
      <w:bookmarkEnd w:id="85"/>
      <w:r/>
      <w:bookmarkEnd w:id="86"/>
      <w:r/>
      <w:bookmarkEnd w:id="87"/>
      <w:r>
        <w:rPr>
          <w:rFonts w:hint="eastAsia"/>
          <w:b w:val="0"/>
          <w:bCs w:val="0"/>
        </w:rPr>
      </w:r>
      <w:r/>
    </w:p>
    <w:p>
      <w:pPr>
        <w:pStyle w:val="1019"/>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1023"/>
        <w:ind w:firstLine="560"/>
        <w:pageBreakBefore w:val="0"/>
        <w:spacing w:before="0" w:after="0" w:line="240" w:lineRule="auto"/>
        <w:rPr>
          <w:rFonts w:hint="eastAsia"/>
          <w:b w:val="0"/>
          <w:bCs w:val="0"/>
        </w:rPr>
      </w:pPr>
      <w:r/>
      <w:bookmarkStart w:id="88" w:name="_Toc16938528"/>
      <w:r/>
      <w:bookmarkStart w:id="89" w:name="_Toc462564071"/>
      <w:r/>
      <w:bookmarkStart w:id="90" w:name="_Toc20823284"/>
      <w:r/>
      <w:bookmarkStart w:id="91" w:name="_Toc513029212"/>
      <w:r>
        <w:rPr>
          <w:rFonts w:hint="eastAsia"/>
          <w:b w:val="0"/>
          <w:bCs w:val="0"/>
        </w:rPr>
        <w:t xml:space="preserve">8、招标文件的修改</w:t>
      </w:r>
      <w:bookmarkEnd w:id="88"/>
      <w:r/>
      <w:bookmarkEnd w:id="89"/>
      <w:r/>
      <w:bookmarkEnd w:id="90"/>
      <w:r/>
      <w:bookmarkEnd w:id="91"/>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1019"/>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1022"/>
        <w:ind w:firstLine="482"/>
        <w:pageBreakBefore w:val="0"/>
        <w:spacing w:before="0" w:after="0" w:line="240" w:lineRule="auto"/>
        <w:rPr>
          <w:rFonts w:hint="eastAsia"/>
        </w:rPr>
      </w:pPr>
      <w:r/>
      <w:bookmarkStart w:id="92" w:name="_Toc20823285"/>
      <w:r/>
      <w:bookmarkStart w:id="93" w:name="_Toc120614216"/>
      <w:r/>
      <w:bookmarkStart w:id="94" w:name="_Toc462564072"/>
      <w:r/>
      <w:bookmarkStart w:id="95" w:name="_Toc513029213"/>
      <w:r/>
      <w:bookmarkStart w:id="96" w:name="_Toc16938529"/>
      <w:r>
        <w:rPr>
          <w:rFonts w:hint="eastAsia"/>
        </w:rPr>
        <w:t xml:space="preserve">三、投标文件的编制</w:t>
      </w:r>
      <w:bookmarkEnd w:id="92"/>
      <w:r/>
      <w:bookmarkEnd w:id="93"/>
      <w:r/>
      <w:bookmarkEnd w:id="94"/>
      <w:r/>
      <w:bookmarkEnd w:id="95"/>
      <w:r/>
      <w:bookmarkEnd w:id="96"/>
      <w:r>
        <w:rPr>
          <w:rFonts w:hint="eastAsia"/>
        </w:rPr>
      </w:r>
      <w:r/>
    </w:p>
    <w:p>
      <w:pPr>
        <w:pStyle w:val="1023"/>
        <w:ind w:firstLine="560"/>
        <w:pageBreakBefore w:val="0"/>
        <w:spacing w:before="0" w:after="0" w:line="240" w:lineRule="auto"/>
        <w:rPr>
          <w:rFonts w:hint="eastAsia"/>
          <w:bCs w:val="0"/>
        </w:rPr>
      </w:pPr>
      <w:r/>
      <w:bookmarkStart w:id="97" w:name="_Toc462564073"/>
      <w:r/>
      <w:bookmarkStart w:id="98" w:name="_Toc513029214"/>
      <w:r/>
      <w:bookmarkStart w:id="99" w:name="_Toc20823286"/>
      <w:r/>
      <w:bookmarkStart w:id="100" w:name="_Toc16938530"/>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1023"/>
        <w:ind w:firstLine="420"/>
        <w:pageBreakBefore w:val="0"/>
        <w:spacing w:before="0" w:after="0" w:line="240" w:lineRule="auto"/>
        <w:rPr>
          <w:rFonts w:hint="eastAsia"/>
          <w:b w:val="0"/>
          <w:bCs w:val="0"/>
        </w:rPr>
      </w:pPr>
      <w:r/>
      <w:bookmarkStart w:id="101" w:name="_Toc513029215"/>
      <w:r/>
      <w:bookmarkStart w:id="102" w:name="_Toc462564074"/>
      <w:r/>
      <w:bookmarkStart w:id="103" w:name="_Toc20823287"/>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1019"/>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1023"/>
        <w:ind w:firstLine="420"/>
        <w:pageBreakBefore w:val="0"/>
        <w:spacing w:before="0" w:after="0" w:line="240" w:lineRule="auto"/>
        <w:rPr>
          <w:rFonts w:hint="eastAsia"/>
          <w:b w:val="0"/>
          <w:bCs w:val="0"/>
        </w:rPr>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513029219"/>
      <w:r/>
      <w:bookmarkStart w:id="110" w:name="_Toc14577357"/>
      <w:r/>
      <w:bookmarkStart w:id="111" w:name="_Toc49090507"/>
      <w:r/>
      <w:bookmarkStart w:id="112" w:name="_Toc14577354"/>
      <w:r/>
      <w:bookmarkStart w:id="113" w:name="_Toc513029216"/>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1019"/>
        <w:pageBreakBefore w:val="0"/>
        <w:spacing w:line="240" w:lineRule="auto"/>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1023"/>
        <w:ind w:firstLine="420"/>
        <w:pageBreakBefore w:val="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23"/>
        <w:ind w:firstLine="420"/>
        <w:pageBreakBefore w:val="0"/>
        <w:spacing w:before="0" w:after="0" w:line="240" w:lineRule="auto"/>
        <w:rPr>
          <w:rFonts w:hint="eastAsia"/>
          <w:b w:val="0"/>
          <w:bCs w:val="0"/>
        </w:rPr>
      </w:pPr>
      <w:r/>
      <w:bookmarkStart w:id="119" w:name="_Hlt26954848"/>
      <w:r/>
      <w:bookmarkEnd w:id="119"/>
      <w:r/>
      <w:bookmarkStart w:id="120" w:name="_Hlt26954731"/>
      <w:r/>
      <w:bookmarkEnd w:id="120"/>
      <w:r/>
      <w:bookmarkStart w:id="121" w:name="_Hlt26668983"/>
      <w:r/>
      <w:bookmarkEnd w:id="121"/>
      <w:r/>
      <w:bookmarkStart w:id="122" w:name="_Hlt26954844"/>
      <w:r/>
      <w:bookmarkEnd w:id="122"/>
      <w:r/>
      <w:bookmarkStart w:id="123" w:name="_Hlt26670486"/>
      <w:r/>
      <w:bookmarkEnd w:id="123"/>
      <w:r/>
      <w:bookmarkStart w:id="124" w:name="_Hlt26954842"/>
      <w:r/>
      <w:bookmarkEnd w:id="124"/>
      <w:r/>
      <w:bookmarkStart w:id="125" w:name="_Hlt26670425"/>
      <w:r/>
      <w:bookmarkEnd w:id="125"/>
      <w:r/>
      <w:bookmarkStart w:id="126" w:name="_Hlt26670403"/>
      <w:r/>
      <w:bookmarkEnd w:id="126"/>
      <w:r/>
      <w:bookmarkStart w:id="127" w:name="_Hlt26954846"/>
      <w:r/>
      <w:bookmarkEnd w:id="127"/>
      <w:r/>
      <w:bookmarkStart w:id="128" w:name="_Hlt26670482"/>
      <w:r/>
      <w:bookmarkEnd w:id="128"/>
      <w:r>
        <w:rPr>
          <w:rFonts w:hint="eastAsia"/>
          <w:b w:val="0"/>
          <w:bCs w:val="0"/>
        </w:rPr>
        <w:t xml:space="preserve">13.1、技术要求响应及偏离表、商务要求响应及偏离表</w:t>
      </w:r>
      <w:r>
        <w:rPr>
          <w:rFonts w:hint="eastAsia"/>
          <w:b w:val="0"/>
          <w:bCs w:val="0"/>
        </w:rPr>
      </w:r>
      <w:r/>
    </w:p>
    <w:p>
      <w:pPr>
        <w:pStyle w:val="1019"/>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1019"/>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1019"/>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101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101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1019"/>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1019"/>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1023"/>
        <w:ind w:firstLine="420"/>
        <w:pageBreakBefore w:val="0"/>
        <w:spacing w:before="0" w:after="0" w:line="240" w:lineRule="auto"/>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23"/>
        <w:ind w:firstLine="420"/>
        <w:pageBreakBefore w:val="0"/>
        <w:spacing w:before="0" w:after="0" w:line="240" w:lineRule="auto"/>
        <w:rPr>
          <w:rFonts w:hint="eastAsia"/>
          <w:b w:val="0"/>
          <w:bCs w:val="0"/>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23"/>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22"/>
        <w:ind w:firstLine="482"/>
        <w:pageBreakBefore w:val="0"/>
        <w:spacing w:before="0" w:after="0" w:line="240" w:lineRule="auto"/>
        <w:rPr>
          <w:rFonts w:hint="eastAsia"/>
        </w:rPr>
      </w:pPr>
      <w:r/>
      <w:bookmarkStart w:id="136" w:name="_Hlt26954852"/>
      <w:r/>
      <w:bookmarkEnd w:id="136"/>
      <w:r/>
      <w:bookmarkStart w:id="137" w:name="_Hlt26954739"/>
      <w:r/>
      <w:bookmarkEnd w:id="137"/>
      <w:r/>
      <w:bookmarkStart w:id="138" w:name="_Toc120614217"/>
      <w:r/>
      <w:bookmarkStart w:id="139" w:name="_Toc20823296"/>
      <w:r/>
      <w:bookmarkStart w:id="140" w:name="_Toc16938540"/>
      <w:r/>
      <w:bookmarkStart w:id="141" w:name="_Toc513029224"/>
      <w:r>
        <w:rPr>
          <w:rFonts w:hint="eastAsia"/>
        </w:rPr>
        <w:t xml:space="preserve">四、投标文件的递交</w:t>
      </w:r>
      <w:bookmarkEnd w:id="138"/>
      <w:r/>
      <w:bookmarkEnd w:id="139"/>
      <w:r/>
      <w:bookmarkEnd w:id="140"/>
      <w:r/>
      <w:bookmarkEnd w:id="141"/>
      <w:r>
        <w:rPr>
          <w:rFonts w:hint="eastAsia"/>
        </w:rPr>
      </w:r>
      <w:r/>
    </w:p>
    <w:p>
      <w:pPr>
        <w:pStyle w:val="1023"/>
        <w:ind w:firstLine="560"/>
        <w:pageBreakBefore w:val="0"/>
        <w:spacing w:before="0" w:after="0" w:line="240" w:lineRule="auto"/>
        <w:rPr>
          <w:rFonts w:hint="eastAsia" w:ascii="黑体"/>
          <w:b w:val="0"/>
          <w:bCs w:val="0"/>
        </w:rPr>
      </w:pPr>
      <w:r/>
      <w:bookmarkStart w:id="142" w:name="_Toc16938541"/>
      <w:r/>
      <w:bookmarkStart w:id="143" w:name="_Toc20823297"/>
      <w:r/>
      <w:bookmarkStart w:id="144" w:name="_Toc513029225"/>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128"/>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20823298"/>
      <w:r/>
      <w:bookmarkStart w:id="147" w:name="_Toc16938542"/>
      <w:r/>
      <w:bookmarkStart w:id="148" w:name="_Toc513029226"/>
      <w:r>
        <w:rPr>
          <w:rFonts w:hint="eastAsia" w:ascii="宋体" w:hAnsi="宋体"/>
          <w:bCs/>
          <w:sz w:val="24"/>
        </w:rPr>
      </w:r>
      <w:r/>
    </w:p>
    <w:p>
      <w:pPr>
        <w:pStyle w:val="1023"/>
        <w:ind w:firstLine="420"/>
        <w:pageBreakBefore w:val="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1019"/>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1023"/>
        <w:ind w:firstLine="420"/>
        <w:pageBreakBefore w:val="0"/>
        <w:spacing w:before="0" w:after="0" w:line="240" w:lineRule="auto"/>
        <w:rPr>
          <w:rFonts w:hint="eastAsia"/>
          <w:b w:val="0"/>
          <w:bCs w:val="0"/>
        </w:rPr>
      </w:pPr>
      <w:r/>
      <w:bookmarkStart w:id="149" w:name="_Toc513029227"/>
      <w:r/>
      <w:bookmarkStart w:id="150" w:name="_Toc16938543"/>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1023"/>
        <w:ind w:firstLine="420"/>
        <w:pageBreakBefore w:val="0"/>
        <w:spacing w:before="0" w:after="0" w:line="240" w:lineRule="auto"/>
        <w:rPr>
          <w:rFonts w:hint="eastAsia"/>
          <w:b w:val="0"/>
          <w:bCs w:val="0"/>
        </w:rPr>
      </w:pPr>
      <w:r/>
      <w:bookmarkStart w:id="152" w:name="_Toc16938544"/>
      <w:r/>
      <w:bookmarkStart w:id="153" w:name="_Toc20823300"/>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1019"/>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1022"/>
        <w:ind w:firstLine="482"/>
        <w:pageBreakBefore w:val="0"/>
        <w:spacing w:before="0" w:after="0" w:line="240" w:lineRule="auto"/>
        <w:rPr>
          <w:rFonts w:hint="eastAsia"/>
        </w:rPr>
      </w:pPr>
      <w:r/>
      <w:bookmarkStart w:id="155" w:name="_Toc513029229"/>
      <w:r/>
      <w:bookmarkStart w:id="156" w:name="_Toc120614218"/>
      <w:r/>
      <w:bookmarkStart w:id="157" w:name="_Toc20823301"/>
      <w:r/>
      <w:bookmarkStart w:id="158" w:name="_Toc16938545"/>
      <w:r>
        <w:rPr>
          <w:rFonts w:hint="eastAsia"/>
        </w:rPr>
        <w:t xml:space="preserve">五、开标与评标</w:t>
      </w:r>
      <w:bookmarkEnd w:id="155"/>
      <w:r/>
      <w:bookmarkEnd w:id="156"/>
      <w:r/>
      <w:bookmarkEnd w:id="157"/>
      <w:r/>
      <w:bookmarkEnd w:id="158"/>
      <w:r>
        <w:rPr>
          <w:rFonts w:hint="eastAsia"/>
        </w:rPr>
      </w:r>
      <w:r/>
    </w:p>
    <w:p>
      <w:pPr>
        <w:pStyle w:val="1023"/>
        <w:ind w:firstLine="420"/>
        <w:pageBreakBefore w:val="0"/>
        <w:spacing w:before="0" w:after="0" w:line="240" w:lineRule="auto"/>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1019"/>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1019"/>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023"/>
        <w:ind w:firstLine="420"/>
        <w:pageBreakBefore w:val="0"/>
        <w:spacing w:before="0" w:after="0" w:line="240" w:lineRule="auto"/>
        <w:rPr>
          <w:rFonts w:hint="eastAsia"/>
          <w:b w:val="0"/>
          <w:bCs w:val="0"/>
        </w:rPr>
      </w:pPr>
      <w:r/>
      <w:bookmarkStart w:id="162" w:name="_Toc513029231"/>
      <w:r/>
      <w:bookmarkStart w:id="163" w:name="_Toc16938547"/>
      <w:r/>
      <w:bookmarkStart w:id="164" w:name="_Toc20823303"/>
      <w:r>
        <w:rPr>
          <w:rFonts w:hint="eastAsia"/>
          <w:b w:val="0"/>
          <w:bCs w:val="0"/>
        </w:rPr>
        <w:t xml:space="preserve">22、评标委员会</w:t>
      </w:r>
      <w:r>
        <w:rPr>
          <w:rFonts w:hint="eastAsia"/>
          <w:b w:val="0"/>
          <w:bCs w:val="0"/>
        </w:rPr>
      </w:r>
      <w:r/>
    </w:p>
    <w:p>
      <w:pPr>
        <w:pStyle w:val="1019"/>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101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101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1023"/>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1019"/>
        <w:ind w:firstLine="480"/>
        <w:pageBreakBefore w:val="0"/>
        <w:spacing w:line="240" w:lineRule="auto"/>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1019"/>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23"/>
        <w:ind w:firstLine="420"/>
        <w:pageBreakBefore w:val="0"/>
        <w:spacing w:before="0" w:after="0" w:line="240" w:lineRule="auto"/>
        <w:rPr>
          <w:rFonts w:hint="eastAsia"/>
          <w:b w:val="0"/>
          <w:bCs w:val="0"/>
        </w:rPr>
      </w:pPr>
      <w:r/>
      <w:bookmarkStart w:id="165" w:name="_Toc16938548"/>
      <w:r/>
      <w:bookmarkStart w:id="166" w:name="_Toc20823304"/>
      <w:r/>
      <w:bookmarkStart w:id="167" w:name="_Toc513029232"/>
      <w:r>
        <w:rPr>
          <w:rFonts w:hint="eastAsia"/>
          <w:b w:val="0"/>
          <w:bCs w:val="0"/>
        </w:rPr>
        <w:t xml:space="preserve">24、投标文件的澄清</w:t>
      </w:r>
      <w:bookmarkEnd w:id="165"/>
      <w:r/>
      <w:bookmarkEnd w:id="166"/>
      <w:r/>
      <w:bookmarkEnd w:id="167"/>
      <w:r>
        <w:rPr>
          <w:rFonts w:hint="eastAsia"/>
          <w:b w:val="0"/>
          <w:bCs w:val="0"/>
        </w:rPr>
      </w:r>
      <w:r/>
    </w:p>
    <w:p>
      <w:pPr>
        <w:pStyle w:val="1019"/>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1019"/>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1023"/>
        <w:ind w:firstLine="420"/>
        <w:pageBreakBefore w:val="0"/>
        <w:spacing w:before="0" w:after="0" w:line="240" w:lineRule="auto"/>
        <w:rPr>
          <w:rFonts w:hint="eastAsia"/>
          <w:b w:val="0"/>
          <w:bCs w:val="0"/>
        </w:rPr>
      </w:pPr>
      <w:r/>
      <w:bookmarkStart w:id="168" w:name="_Toc16938549"/>
      <w:r/>
      <w:bookmarkStart w:id="169" w:name="_Toc513029233"/>
      <w:r/>
      <w:bookmarkStart w:id="170" w:name="_Toc20823305"/>
      <w:r>
        <w:rPr>
          <w:rFonts w:hint="eastAsia"/>
          <w:b w:val="0"/>
          <w:bCs w:val="0"/>
        </w:rPr>
        <w:t xml:space="preserve">25、对投标文件的初审</w:t>
      </w:r>
      <w:bookmarkEnd w:id="168"/>
      <w:r/>
      <w:bookmarkEnd w:id="169"/>
      <w:r/>
      <w:bookmarkEnd w:id="170"/>
      <w:r>
        <w:rPr>
          <w:rFonts w:hint="eastAsia"/>
          <w:b w:val="0"/>
          <w:bCs w:val="0"/>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1019"/>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1019"/>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19"/>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19"/>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1019"/>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1019"/>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1019"/>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1019"/>
        <w:ind w:firstLine="420"/>
        <w:pageBreakBefore w:val="0"/>
        <w:spacing w:line="240" w:lineRule="auto"/>
        <w:rPr>
          <w:rFonts w:hint="eastAsia" w:ascii="宋体" w:hAnsi="宋体"/>
          <w:sz w:val="24"/>
        </w:rPr>
      </w:pPr>
      <w:r/>
      <w:bookmarkStart w:id="171" w:name="_Toc20823306"/>
      <w:r/>
      <w:bookmarkStart w:id="172" w:name="_Toc16938550"/>
      <w:r/>
      <w:bookmarkStart w:id="173"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1023"/>
        <w:ind w:firstLine="420"/>
        <w:pageBreakBefore w:val="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1019"/>
        <w:ind w:left="479"/>
        <w:pageBreakBefore w:val="0"/>
        <w:spacing w:line="240" w:lineRule="auto"/>
        <w:rPr>
          <w:rFonts w:hint="eastAsia" w:ascii="宋体" w:hAnsi="宋体"/>
          <w:bCs/>
          <w:sz w:val="24"/>
        </w:rPr>
      </w:pPr>
      <w:r/>
      <w:bookmarkStart w:id="174" w:name="_Toc16938551"/>
      <w:r/>
      <w:bookmarkStart w:id="175" w:name="_Toc513029235"/>
      <w:r/>
      <w:bookmarkStart w:id="176" w:name="_Toc20823307"/>
      <w:r>
        <w:rPr>
          <w:rFonts w:hint="eastAsia" w:ascii="宋体" w:hAnsi="宋体"/>
          <w:bCs/>
          <w:sz w:val="24"/>
        </w:rPr>
        <w:t xml:space="preserve">26.1无效投标条款</w:t>
      </w:r>
      <w:r>
        <w:rPr>
          <w:rFonts w:hint="eastAsia" w:ascii="宋体" w:hAnsi="宋体"/>
          <w:bCs/>
          <w:sz w:val="24"/>
        </w:rPr>
      </w:r>
      <w:r/>
    </w:p>
    <w:p>
      <w:pPr>
        <w:pStyle w:val="1019"/>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1019"/>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1019"/>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1019"/>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19"/>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019"/>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22"/>
        <w:ind w:firstLine="482"/>
        <w:pageBreakBefore w:val="0"/>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1023"/>
        <w:ind w:firstLine="600"/>
        <w:pageBreakBefore w:val="0"/>
        <w:spacing w:before="0" w:after="0" w:line="240" w:lineRule="auto"/>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1019"/>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1019"/>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1019"/>
        <w:ind w:firstLine="480"/>
        <w:pageBreakBefore w:val="0"/>
        <w:spacing w:line="240" w:lineRule="auto"/>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2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1019"/>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1019"/>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1019"/>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1019"/>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1019"/>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1019"/>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2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1019"/>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1019"/>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1022"/>
        <w:pageBreakBefore w:val="0"/>
        <w:spacing w:before="0" w:after="0" w:line="240" w:lineRule="auto"/>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1023"/>
        <w:ind w:firstLine="600"/>
        <w:pageBreakBefore w:val="0"/>
        <w:spacing w:before="0" w:after="0" w:line="240" w:lineRule="auto"/>
        <w:rPr>
          <w:rFonts w:hint="eastAsia" w:ascii="黑体" w:hAnsi="宋体" w:cs="Times New Roman"/>
          <w:b w:val="0"/>
          <w:sz w:val="30"/>
          <w:szCs w:val="30"/>
        </w:rPr>
      </w:pPr>
      <w:r/>
      <w:bookmarkEnd w:id="183"/>
      <w:r/>
      <w:bookmarkEnd w:id="184"/>
      <w:r/>
      <w:bookmarkEnd w:id="185"/>
      <w:r/>
      <w:bookmarkStart w:id="186" w:name="_Toc20823309"/>
      <w:r/>
      <w:bookmarkStart w:id="187" w:name="_Toc513029237"/>
      <w:r/>
      <w:bookmarkStart w:id="188"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1019"/>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1019"/>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1019"/>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102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1023"/>
        <w:ind w:firstLine="600"/>
        <w:pageBreakBefore w:val="0"/>
        <w:spacing w:before="0" w:after="0" w:line="240" w:lineRule="auto"/>
        <w:rPr>
          <w:rFonts w:hint="eastAsia" w:ascii="黑体" w:hAnsi="宋体" w:cs="Times New Roman"/>
          <w:b w:val="0"/>
          <w:sz w:val="30"/>
          <w:szCs w:val="30"/>
        </w:rPr>
      </w:pPr>
      <w:r/>
      <w:bookmarkEnd w:id="186"/>
      <w:r/>
      <w:bookmarkEnd w:id="187"/>
      <w:r/>
      <w:bookmarkEnd w:id="188"/>
      <w:r/>
      <w:bookmarkStart w:id="189" w:name="_Toc16938558"/>
      <w:r/>
      <w:bookmarkStart w:id="190" w:name="_Toc513029242"/>
      <w:r/>
      <w:bookmarkStart w:id="191" w:name="_Toc20823314"/>
      <w:r/>
      <w:bookmarkStart w:id="192" w:name="_Toc120614221"/>
      <w:r/>
      <w:bookmarkStart w:id="193"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1019"/>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1019"/>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1019"/>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019"/>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1019"/>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1019"/>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1019"/>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1019"/>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1019"/>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1019"/>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019"/>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1019"/>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1019"/>
        <w:ind w:firstLine="480"/>
        <w:pageBreakBefore w:val="0"/>
        <w:spacing w:line="240" w:lineRule="auto"/>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1019"/>
        <w:ind w:firstLine="482"/>
        <w:pageBreakBefore w:val="0"/>
        <w:spacing w:line="240" w:lineRule="auto"/>
        <w:rPr>
          <w:rFonts w:hint="eastAsia"/>
          <w:color w:val="000000"/>
        </w:rPr>
      </w:pPr>
      <w:r>
        <w:rPr>
          <w:rFonts w:hint="eastAsia"/>
          <w:color w:val="000000"/>
        </w:rPr>
      </w:r>
      <w:r/>
    </w:p>
    <w:p>
      <w:pPr>
        <w:pStyle w:val="1019"/>
        <w:ind w:firstLine="482"/>
        <w:pageBreakBefore w:val="0"/>
        <w:spacing w:line="240" w:lineRule="auto"/>
        <w:rPr>
          <w:rFonts w:hint="eastAsia"/>
          <w:color w:val="000000"/>
        </w:rPr>
      </w:pPr>
      <w:r>
        <w:rPr>
          <w:rFonts w:hint="eastAsia"/>
          <w:color w:val="000000"/>
        </w:rPr>
      </w:r>
      <w:r/>
    </w:p>
    <w:p>
      <w:pPr>
        <w:pStyle w:val="1019"/>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101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101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88"/>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20"/>
        <w:pageBreakBefore w:val="0"/>
        <w:spacing w:line="240" w:lineRule="auto"/>
        <w:rPr>
          <w:rFonts w:hint="eastAsia" w:ascii="黑体" w:eastAsia="黑体"/>
          <w:bCs/>
          <w:sz w:val="44"/>
        </w:rPr>
      </w:pPr>
      <w:r/>
      <w:bookmarkStart w:id="194" w:name="_Toc9234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1019"/>
        <w:ind w:firstLine="480"/>
        <w:pageBreakBefore w:val="0"/>
        <w:spacing w:line="240" w:lineRule="auto"/>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pPr>
      <w:r/>
      <w:r/>
    </w:p>
    <w:p>
      <w:pPr>
        <w:pStyle w:val="1087"/>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1087"/>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101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9"/>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1019"/>
        <w:ind w:left="420"/>
        <w:pageBreakBefore w:val="0"/>
        <w:spacing w:line="24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1019"/>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1019"/>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1019"/>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019"/>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1019"/>
        <w:pageBreakBefore w:val="0"/>
        <w:spacing w:line="240" w:lineRule="auto"/>
      </w:pPr>
      <w:r/>
      <w:r/>
    </w:p>
    <w:p>
      <w:pPr>
        <w:pStyle w:val="1019"/>
        <w:pageBreakBefore w:val="0"/>
        <w:spacing w:line="240" w:lineRule="auto"/>
        <w:rPr>
          <w:rFonts w:eastAsia="黑体"/>
          <w:sz w:val="44"/>
          <w:szCs w:val="44"/>
        </w:rPr>
      </w:pPr>
      <w:r>
        <w:rPr>
          <w:rFonts w:eastAsia="黑体"/>
          <w:sz w:val="44"/>
          <w:szCs w:val="44"/>
        </w:rPr>
        <w:br w:type="page" w:clear="all"/>
      </w:r>
      <w:r>
        <w:rPr>
          <w:rFonts w:eastAsia="黑体"/>
          <w:sz w:val="44"/>
          <w:szCs w:val="44"/>
        </w:rPr>
      </w:r>
      <w:r/>
    </w:p>
    <w:p>
      <w:pPr>
        <w:pStyle w:val="1019"/>
        <w:pageBreakBefore w:val="0"/>
        <w:spacing w:line="240" w:lineRule="auto"/>
        <w:rPr>
          <w:rFonts w:eastAsia="黑体"/>
          <w:sz w:val="44"/>
          <w:szCs w:val="44"/>
        </w:rPr>
      </w:pPr>
      <w:r>
        <w:rPr>
          <w:rFonts w:eastAsia="黑体"/>
          <w:sz w:val="44"/>
          <w:szCs w:val="44"/>
        </w:rPr>
      </w:r>
      <w:r/>
    </w:p>
    <w:p>
      <w:pPr>
        <w:pStyle w:val="1019"/>
        <w:pageBreakBefore w:val="0"/>
        <w:spacing w:line="240" w:lineRule="auto"/>
        <w:rPr>
          <w:rFonts w:eastAsia="黑体"/>
          <w:sz w:val="44"/>
          <w:szCs w:val="44"/>
        </w:rPr>
      </w:pPr>
      <w:r>
        <w:rPr>
          <w:rFonts w:eastAsia="黑体"/>
          <w:sz w:val="44"/>
          <w:szCs w:val="44"/>
        </w:rPr>
      </w:r>
      <w:r/>
    </w:p>
    <w:p>
      <w:pPr>
        <w:pStyle w:val="1019"/>
        <w:jc w:val="center"/>
        <w:pageBreakBefore w:val="0"/>
        <w:spacing w:line="240" w:lineRule="auto"/>
        <w:rPr>
          <w:rFonts w:eastAsia="黑体"/>
          <w:sz w:val="44"/>
          <w:szCs w:val="44"/>
        </w:rPr>
      </w:pPr>
      <w:r>
        <w:rPr>
          <w:rFonts w:hint="eastAsia" w:eastAsia="黑体"/>
          <w:sz w:val="44"/>
          <w:szCs w:val="44"/>
        </w:rPr>
        <w:t xml:space="preserve">使 用 说 明</w:t>
      </w:r>
      <w:r>
        <w:rPr>
          <w:rFonts w:eastAsia="黑体"/>
          <w:sz w:val="44"/>
          <w:szCs w:val="44"/>
        </w:rPr>
      </w:r>
      <w:r/>
    </w:p>
    <w:p>
      <w:pPr>
        <w:pStyle w:val="1019"/>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019"/>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1019"/>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1019"/>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1019"/>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1021"/>
        <w:pageBreakBefore w:val="0"/>
        <w:spacing w:before="0" w:after="0" w:line="240" w:lineRule="auto"/>
        <w:tabs>
          <w:tab w:val="left" w:pos="360" w:leader="none"/>
        </w:tabs>
        <w:rPr>
          <w:rFonts w:ascii="宋体" w:hAnsi="宋体" w:eastAsia="宋体"/>
          <w:b w:val="0"/>
          <w:bCs w:val="0"/>
          <w:sz w:val="28"/>
          <w:szCs w:val="28"/>
        </w:rPr>
      </w:pPr>
      <w:r/>
      <w:bookmarkStart w:id="198" w:name="_Toc22209"/>
      <w:r>
        <w:rPr>
          <w:rFonts w:hint="eastAsia" w:ascii="宋体" w:hAnsi="宋体" w:eastAsia="宋体"/>
          <w:b w:val="0"/>
          <w:sz w:val="28"/>
          <w:szCs w:val="28"/>
        </w:rPr>
        <w:t xml:space="preserve">第一节 政府采购合同协议书</w:t>
      </w:r>
      <w:bookmarkEnd w:id="198"/>
      <w:r>
        <w:rPr>
          <w:rFonts w:ascii="宋体" w:hAnsi="宋体" w:eastAsia="宋体"/>
          <w:b w:val="0"/>
          <w:bCs w:val="0"/>
          <w:sz w:val="28"/>
          <w:szCs w:val="28"/>
        </w:rPr>
      </w:r>
      <w:r/>
    </w:p>
    <w:p>
      <w:pPr>
        <w:pStyle w:val="1021"/>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1019"/>
        <w:pageBreakBefore w:val="0"/>
        <w:spacing w:line="240" w:lineRule="auto"/>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1019"/>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1019"/>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19"/>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1019"/>
        <w:pageBreakBefore w:val="0"/>
        <w:spacing w:line="240" w:lineRule="auto"/>
        <w:rPr>
          <w:rFonts w:ascii="宋体" w:hAnsi="宋体"/>
        </w:rPr>
      </w:pPr>
      <w:r>
        <w:rPr>
          <w:rFonts w:ascii="宋体" w:hAnsi="宋体"/>
        </w:rPr>
      </w:r>
      <w:r/>
    </w:p>
    <w:p>
      <w:pPr>
        <w:pStyle w:val="1089"/>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项目信息</w:t>
      </w:r>
      <w:r>
        <w:rPr>
          <w:rFonts w:ascii="宋体" w:hAnsi="宋体"/>
          <w:b/>
        </w:rPr>
      </w:r>
      <w:r/>
    </w:p>
    <w:p>
      <w:pPr>
        <w:pStyle w:val="1089"/>
        <w:numPr>
          <w:ilvl w:val="0"/>
          <w:numId w:val="6"/>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1089"/>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1089"/>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1019"/>
        <w:ind w:firstLine="420"/>
        <w:pageBreakBefore w:val="0"/>
        <w:spacing w:line="240" w:lineRule="auto"/>
        <w:rPr>
          <w:rFonts w:ascii="宋体" w:hAnsi="宋体"/>
        </w:rPr>
      </w:pPr>
      <w:r>
        <w:rPr>
          <w:rFonts w:hint="eastAsia" w:ascii="宋体" w:hAnsi="宋体"/>
        </w:rPr>
        <w:t xml:space="preserve">（3）项目内容：</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1019"/>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1019"/>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1019"/>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1019"/>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1019"/>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111"/>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111"/>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111"/>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111"/>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111"/>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111"/>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111"/>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111"/>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111"/>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1019"/>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9"/>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9"/>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1019"/>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1019"/>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1019"/>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1019"/>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1019"/>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1019"/>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1019"/>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1019"/>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111"/>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1019"/>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1019"/>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1019"/>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1019"/>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19"/>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1019"/>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101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19"/>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19"/>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1019"/>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101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19"/>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111"/>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111"/>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1019"/>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111"/>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1019"/>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1019"/>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合同金额</w:t>
      </w:r>
      <w:r>
        <w:rPr>
          <w:rFonts w:ascii="宋体" w:hAnsi="宋体"/>
          <w:b/>
        </w:rPr>
      </w:r>
      <w:r/>
    </w:p>
    <w:p>
      <w:pPr>
        <w:pStyle w:val="1019"/>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1019"/>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19"/>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1019"/>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1019"/>
        <w:pageBreakBefore w:val="0"/>
        <w:spacing w:line="240" w:lineRule="auto"/>
        <w:rPr>
          <w:rFonts w:ascii="宋体" w:hAnsi="宋体"/>
        </w:rPr>
      </w:pPr>
      <w:r>
        <w:rPr>
          <w:rFonts w:hint="eastAsia" w:ascii="宋体" w:hAnsi="宋体"/>
        </w:rPr>
        <w:t xml:space="preserve">    （注：固定单价合同应填写单价和最高限价）</w:t>
      </w:r>
      <w:r>
        <w:rPr>
          <w:rFonts w:ascii="宋体" w:hAnsi="宋体"/>
        </w:rPr>
      </w:r>
      <w:r/>
    </w:p>
    <w:p>
      <w:pPr>
        <w:pStyle w:val="1019"/>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rPr>
          <w:rFonts w:ascii="宋体" w:hAnsi="宋体"/>
        </w:rPr>
      </w:r>
      <w:r/>
    </w:p>
    <w:p>
      <w:pPr>
        <w:pStyle w:val="1019"/>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125"/>
        <w:pageBreakBefore w:val="0"/>
        <w:spacing w:line="240" w:lineRule="auto"/>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1019"/>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1019"/>
        <w:ind w:firstLine="630"/>
        <w:pageBreakBefore w:val="0"/>
        <w:spacing w:line="240" w:lineRule="auto"/>
        <w:rPr>
          <w:rFonts w:hint="eastAsia" w:ascii="宋体" w:hAnsi="宋体"/>
          <w:lang w:val="en-US" w:eastAsia="zh-CN"/>
        </w:rPr>
      </w:pPr>
      <w:r>
        <w:rPr>
          <w:rFonts w:ascii="Wingdings" w:hAnsi="Wingdings" w:eastAsia="Wingdings" w:cs="Wingdings"/>
        </w:rPr>
        <w:t xml:space="preserve">þ</w:t>
      </w:r>
      <w:r>
        <w:rPr>
          <w:rFonts w:hint="eastAsia" w:ascii="宋体" w:hAnsi="宋体"/>
        </w:rPr>
        <w:t xml:space="preserve">分期付款：</w:t>
      </w:r>
      <w:r>
        <w:rPr>
          <w:rFonts w:hint="eastAsia" w:ascii="宋体" w:hAnsi="宋体"/>
          <w:lang w:val="en-US" w:eastAsia="zh-CN"/>
        </w:rPr>
        <w:t xml:space="preserve">预付款支付时间：合同签订后，预付款支付比例：合同金额的30%；尾款支付时间：服务结束并验收合格，尾款支付比例：合同金额的70%。</w:t>
      </w:r>
      <w:r>
        <w:rPr>
          <w:rFonts w:hint="eastAsia" w:ascii="宋体" w:hAnsi="宋体"/>
          <w:b/>
          <w:bCs/>
          <w:lang w:val="en-US" w:eastAsia="zh-CN"/>
        </w:rPr>
        <w:t xml:space="preserve">满足合同约定支付条件的，自收到发票后10个工作日内支付。</w:t>
      </w:r>
      <w:r>
        <w:rPr>
          <w:rFonts w:hint="eastAsia" w:ascii="宋体" w:hAnsi="宋体"/>
          <w:lang w:val="en-US" w:eastAsia="zh-CN"/>
        </w:rPr>
      </w:r>
      <w:r/>
    </w:p>
    <w:p>
      <w:pPr>
        <w:pStyle w:val="1019"/>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1019"/>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1019"/>
        <w:numPr>
          <w:ilvl w:val="0"/>
          <w:numId w:val="5"/>
        </w:numPr>
        <w:ind w:firstLine="422"/>
        <w:pageBreakBefore w:val="0"/>
        <w:spacing w:line="240" w:lineRule="auto"/>
        <w:rPr>
          <w:rFonts w:ascii="宋体" w:hAnsi="宋体"/>
          <w:b/>
          <w:u w:val="single"/>
        </w:rPr>
      </w:pPr>
      <w:r>
        <w:rPr>
          <w:rFonts w:hint="eastAsia" w:ascii="宋体" w:hAnsi="宋体"/>
          <w:b/>
        </w:rPr>
        <w:t xml:space="preserve">合同履行</w:t>
      </w:r>
      <w:r>
        <w:rPr>
          <w:rFonts w:ascii="宋体" w:hAnsi="宋体"/>
          <w:b/>
          <w:u w:val="single"/>
        </w:rPr>
      </w:r>
      <w:r/>
    </w:p>
    <w:p>
      <w:pPr>
        <w:pStyle w:val="1019"/>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1019"/>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1019"/>
        <w:ind w:firstLine="420"/>
        <w:pageBreakBefore w:val="0"/>
        <w:spacing w:line="240" w:lineRule="auto"/>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highlight w:val="yellow"/>
        </w:rPr>
        <w:t xml:space="preserve">（根据财政部门优化营商环境相关文件要求，原则上不收取履约保证金，如实际情况确实需要收取的，必须在【政府采购合同专用条款】将相关内容填写完整）</w:t>
      </w:r>
      <w:r>
        <w:rPr>
          <w:rFonts w:ascii="宋体" w:hAnsi="宋体" w:cs="宋体"/>
          <w:bCs/>
          <w:highlight w:val="yellow"/>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1019"/>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1019"/>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1019"/>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合同验收</w:t>
      </w:r>
      <w:r>
        <w:rPr>
          <w:rFonts w:ascii="宋体" w:hAnsi="宋体"/>
          <w:b/>
        </w:rPr>
      </w:r>
      <w:r/>
    </w:p>
    <w:p>
      <w:pPr>
        <w:pStyle w:val="1019"/>
        <w:numPr>
          <w:ilvl w:val="0"/>
          <w:numId w:val="7"/>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1019"/>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1019"/>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1019"/>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1019"/>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1019"/>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1019"/>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1019"/>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1019"/>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1019"/>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1019"/>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1019"/>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组成合同的文件</w:t>
      </w:r>
      <w:r>
        <w:rPr>
          <w:rFonts w:ascii="宋体" w:hAnsi="宋体"/>
          <w:b/>
        </w:rPr>
      </w:r>
      <w:r/>
    </w:p>
    <w:p>
      <w:pPr>
        <w:pStyle w:val="1019"/>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（1）政府采购合同协议书及其变更、补充协议</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（2）政府采购合同专用条款</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（3）政府采购合同通用条款</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（4）中标（成交）通知书</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（5）投标（响应）文件</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（6）采购文件</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（7）有关技术文件，图纸</w:t>
      </w:r>
      <w:r>
        <w:rPr>
          <w:rFonts w:ascii="宋体" w:hAnsi="宋体"/>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合同生效</w:t>
      </w:r>
      <w:r>
        <w:rPr>
          <w:rFonts w:ascii="宋体" w:hAnsi="宋体"/>
          <w:b/>
        </w:rPr>
      </w:r>
      <w:r/>
    </w:p>
    <w:p>
      <w:pPr>
        <w:pStyle w:val="1019"/>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1019"/>
        <w:numPr>
          <w:ilvl w:val="0"/>
          <w:numId w:val="5"/>
        </w:numPr>
        <w:ind w:firstLine="422"/>
        <w:pageBreakBefore w:val="0"/>
        <w:spacing w:line="240" w:lineRule="auto"/>
        <w:rPr>
          <w:rFonts w:ascii="宋体" w:hAnsi="宋体"/>
          <w:b/>
        </w:rPr>
      </w:pPr>
      <w:r>
        <w:rPr>
          <w:rFonts w:hint="eastAsia" w:ascii="宋体" w:hAnsi="宋体"/>
          <w:b/>
        </w:rPr>
        <w:t xml:space="preserve">合同份数</w:t>
      </w:r>
      <w:r>
        <w:rPr>
          <w:rFonts w:ascii="宋体" w:hAnsi="宋体"/>
          <w:b/>
        </w:rPr>
      </w:r>
      <w:r/>
    </w:p>
    <w:p>
      <w:pPr>
        <w:pStyle w:val="1019"/>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p>
      <w:pPr>
        <w:pStyle w:val="1125"/>
        <w:pageBreakBefore w:val="0"/>
        <w:spacing w:line="240" w:lineRule="auto"/>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1019"/>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19"/>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1019"/>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1019"/>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1019"/>
              <w:jc w:val="center"/>
              <w:pageBreakBefore w:val="0"/>
              <w:spacing w:line="240" w:lineRule="auto"/>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1019"/>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1089"/>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1021"/>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9" w:name="_Toc27624"/>
      <w:r>
        <w:rPr>
          <w:rFonts w:hint="eastAsia" w:ascii="宋体" w:hAnsi="宋体" w:eastAsia="宋体"/>
          <w:b w:val="0"/>
          <w:sz w:val="28"/>
          <w:szCs w:val="28"/>
        </w:rPr>
        <w:t xml:space="preserve">第二节 政府采购合同通用条款</w:t>
      </w:r>
      <w:bookmarkEnd w:id="199"/>
      <w:r>
        <w:rPr>
          <w:rFonts w:ascii="宋体" w:hAnsi="宋体" w:eastAsia="宋体"/>
          <w:sz w:val="28"/>
          <w:szCs w:val="28"/>
        </w:rPr>
      </w:r>
      <w:r/>
    </w:p>
    <w:p>
      <w:pPr>
        <w:pStyle w:val="1019"/>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1019"/>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1019"/>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1019"/>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101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1019"/>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1019"/>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101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9"/>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1019"/>
        <w:numPr>
          <w:ilvl w:val="0"/>
          <w:numId w:val="8"/>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1019"/>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1019"/>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1019"/>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1019"/>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1019"/>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1019"/>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1087"/>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1087"/>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1019"/>
        <w:numPr>
          <w:ilvl w:val="0"/>
          <w:numId w:val="9"/>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1019"/>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1019"/>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111"/>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1019"/>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84"/>
        <w:ind w:firstLine="420"/>
        <w:jc w:val="left"/>
        <w:pageBreakBefore w:val="0"/>
        <w:spacing w:line="240" w:lineRule="auto"/>
        <w:rPr>
          <w:rFonts w:hAnsi="宋体"/>
          <w:b/>
        </w:rPr>
      </w:pPr>
      <w:r>
        <w:rPr>
          <w:rFonts w:hint="eastAsia" w:hAnsi="宋体"/>
        </w:rPr>
        <w:t xml:space="preserve">8.1 质量标准</w:t>
      </w:r>
      <w:r>
        <w:rPr>
          <w:rFonts w:hAnsi="宋体"/>
          <w:b/>
        </w:rPr>
      </w:r>
      <w:r/>
    </w:p>
    <w:p>
      <w:pPr>
        <w:pStyle w:val="1019"/>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1084"/>
        <w:ind w:firstLine="420"/>
        <w:jc w:val="left"/>
        <w:pageBreakBefore w:val="0"/>
        <w:spacing w:line="240" w:lineRule="auto"/>
        <w:rPr>
          <w:rFonts w:hAnsi="宋体"/>
        </w:rPr>
      </w:pPr>
      <w:r>
        <w:rPr>
          <w:rFonts w:hint="eastAsia" w:hAnsi="宋体"/>
        </w:rPr>
        <w:t xml:space="preserve">（2）采用中华人民共和国法定计量单位。</w:t>
      </w:r>
      <w:r>
        <w:rPr>
          <w:rFonts w:hAnsi="宋体"/>
        </w:rPr>
      </w:r>
      <w:r/>
    </w:p>
    <w:p>
      <w:pPr>
        <w:pStyle w:val="1019"/>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8.2 保证</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1019"/>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1019"/>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1019"/>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1019"/>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0"/>
      <w:r>
        <w:rPr>
          <w:rFonts w:hint="eastAsia" w:ascii="宋体" w:hAnsi="宋体"/>
        </w:rPr>
        <w:t xml:space="preserve">。</w:t>
      </w:r>
      <w:r>
        <w:rPr>
          <w:rFonts w:ascii="宋体" w:hAnsi="宋体"/>
        </w:rPr>
      </w:r>
      <w:r/>
    </w:p>
    <w:p>
      <w:pPr>
        <w:pStyle w:val="1019"/>
        <w:jc w:val="left"/>
        <w:pageBreakBefore w:val="0"/>
        <w:spacing w:line="24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1019"/>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1019"/>
        <w:jc w:val="left"/>
        <w:pageBreakBefore w:val="0"/>
        <w:spacing w:line="24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1019"/>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1021"/>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1087"/>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1019"/>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1019"/>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1019"/>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1019"/>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111"/>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1019"/>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1019"/>
        <w:jc w:val="left"/>
        <w:pageBreakBefore w:val="0"/>
        <w:spacing w:line="24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1019"/>
        <w:ind w:firstLine="420"/>
        <w:jc w:val="left"/>
        <w:pageBreakBefore w:val="0"/>
        <w:spacing w:line="240" w:lineRule="auto"/>
        <w:rPr>
          <w:rFonts w:ascii="宋体" w:hAnsi="宋体"/>
          <w:bCs/>
        </w:rPr>
      </w:pPr>
      <w:r>
        <w:rPr>
          <w:rFonts w:hint="eastAsia" w:ascii="宋体" w:hAnsi="宋体"/>
          <w:bCs/>
        </w:rPr>
        <w:t xml:space="preserve">15.1质量瑕疵的违约责任</w:t>
      </w:r>
      <w:r>
        <w:rPr>
          <w:rFonts w:ascii="宋体" w:hAnsi="宋体"/>
          <w:bCs/>
        </w:rPr>
      </w:r>
      <w:r/>
    </w:p>
    <w:p>
      <w:pPr>
        <w:pStyle w:val="1019"/>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1019"/>
        <w:ind w:firstLine="420"/>
        <w:jc w:val="left"/>
        <w:pageBreakBefore w:val="0"/>
        <w:spacing w:line="240" w:lineRule="auto"/>
        <w:rPr>
          <w:rFonts w:ascii="宋体" w:hAnsi="宋体"/>
          <w:bCs/>
        </w:rPr>
      </w:pPr>
      <w:r>
        <w:rPr>
          <w:rFonts w:hint="eastAsia" w:ascii="宋体" w:hAnsi="宋体"/>
          <w:bCs/>
        </w:rPr>
        <w:t xml:space="preserve">15.2 迟延交货的违约责任</w:t>
      </w:r>
      <w:r>
        <w:rPr>
          <w:rFonts w:ascii="宋体" w:hAnsi="宋体"/>
          <w:bCs/>
        </w:rPr>
      </w:r>
      <w:r/>
    </w:p>
    <w:p>
      <w:pPr>
        <w:pStyle w:val="1019"/>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15.3 迟延支付的违约责任</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1019"/>
        <w:numPr>
          <w:ilvl w:val="0"/>
          <w:numId w:val="10"/>
        </w:numPr>
        <w:jc w:val="left"/>
        <w:pageBreakBefore w:val="0"/>
        <w:spacing w:line="24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1019"/>
        <w:jc w:val="left"/>
        <w:pageBreakBefore w:val="0"/>
        <w:spacing w:line="240" w:lineRule="auto"/>
        <w:rPr>
          <w:rFonts w:ascii="宋体" w:hAnsi="宋体"/>
        </w:rPr>
      </w:pPr>
      <w:r>
        <w:rPr>
          <w:rFonts w:hint="eastAsia" w:ascii="宋体" w:hAnsi="宋体"/>
        </w:rPr>
        <w:t xml:space="preserve">    16.1合同的变更</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16.2合同的中止</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111"/>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1019"/>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16.3合同的终止</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（1）合同因有效期限届满而终止；</w:t>
      </w:r>
      <w:r>
        <w:rPr>
          <w:rFonts w:ascii="宋体" w:hAnsi="宋体"/>
        </w:rPr>
      </w:r>
      <w:r/>
    </w:p>
    <w:p>
      <w:pPr>
        <w:pStyle w:val="1019"/>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111"/>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111"/>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1019"/>
        <w:jc w:val="left"/>
        <w:pageBreakBefore w:val="0"/>
        <w:spacing w:line="24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1019"/>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1019"/>
        <w:jc w:val="left"/>
        <w:pageBreakBefore w:val="0"/>
        <w:spacing w:line="24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1019"/>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1019"/>
        <w:jc w:val="left"/>
        <w:pageBreakBefore w:val="0"/>
        <w:spacing w:line="24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1019"/>
        <w:jc w:val="left"/>
        <w:pageBreakBefore w:val="0"/>
        <w:spacing w:line="24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1019"/>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1019"/>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1087"/>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1019"/>
        <w:jc w:val="left"/>
        <w:pageBreakBefore w:val="0"/>
        <w:spacing w:line="24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1019"/>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rPr>
          <w:rFonts w:ascii="宋体" w:hAnsi="宋体"/>
          <w:b/>
          <w:sz w:val="24"/>
        </w:rPr>
      </w:r>
      <w:r/>
    </w:p>
    <w:p>
      <w:pPr>
        <w:pStyle w:val="1111"/>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111"/>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1019"/>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1019"/>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1019"/>
        <w:numPr>
          <w:ilvl w:val="0"/>
          <w:numId w:val="11"/>
        </w:numPr>
        <w:jc w:val="left"/>
        <w:pageBreakBefore w:val="0"/>
        <w:spacing w:line="24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1019"/>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1019"/>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1" w:name="_Toc20313"/>
      <w:r>
        <w:rPr>
          <w:rFonts w:ascii="宋体" w:hAnsi="宋体"/>
          <w:sz w:val="28"/>
          <w:szCs w:val="28"/>
        </w:rPr>
      </w:r>
      <w:r/>
    </w:p>
    <w:p>
      <w:pPr>
        <w:pStyle w:val="1019"/>
        <w:jc w:val="center"/>
        <w:pageBreakBefore w:val="0"/>
        <w:spacing w:line="240" w:lineRule="auto"/>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1021"/>
        <w:pageBreakBefore w:val="0"/>
        <w:spacing w:before="0" w:after="0" w:line="240"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201"/>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1019"/>
              <w:pageBreakBefore w:val="0"/>
              <w:spacing w:line="240" w:lineRule="auto"/>
            </w:pPr>
            <w:r/>
            <w:r/>
          </w:p>
        </w:tc>
      </w:tr>
      <w:tr>
        <w:trPr>
          <w:trHeight w:val="667"/>
        </w:trPr>
        <w:tc>
          <w:tcPr>
            <w:tcW w:w="1607" w:type="dxa"/>
            <w:vAlign w:val="center"/>
            <w:vMerge w:val="continue"/>
            <w:textDirection w:val="lrTb"/>
            <w:noWrap w:val="false"/>
          </w:tcPr>
          <w:p>
            <w:pPr>
              <w:pStyle w:val="1019"/>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1019"/>
              <w:pageBreakBefore w:val="0"/>
              <w:spacing w:line="240" w:lineRule="auto"/>
            </w:pPr>
            <w:r/>
            <w:r/>
          </w:p>
        </w:tc>
      </w:tr>
      <w:tr>
        <w:trPr>
          <w:trHeight w:val="772"/>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1019"/>
              <w:pageBreakBefore w:val="0"/>
              <w:spacing w:line="240" w:lineRule="auto"/>
            </w:pPr>
            <w:r/>
            <w:r/>
          </w:p>
        </w:tc>
      </w:tr>
      <w:tr>
        <w:trPr>
          <w:trHeight w:val="667"/>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1019"/>
              <w:pageBreakBefore w:val="0"/>
              <w:spacing w:line="240" w:lineRule="auto"/>
            </w:p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1019"/>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货物质量缺陷</w:t>
            </w:r>
            <w:r>
              <w:rPr>
                <w:rFonts w:ascii="宋体" w:hAnsi="宋体"/>
              </w:rPr>
            </w:r>
            <w:r/>
          </w:p>
          <w:p>
            <w:pPr>
              <w:pStyle w:val="1019"/>
              <w:jc w:val="left"/>
              <w:pageBreakBefore w:val="0"/>
              <w:spacing w:line="240" w:lineRule="auto"/>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cs="宋体"/>
              </w:rPr>
            </w:pPr>
            <w:r>
              <w:rPr>
                <w:rFonts w:hint="eastAsia" w:ascii="宋体" w:hAnsi="宋体" w:cs="宋体"/>
              </w:rPr>
              <w:t xml:space="preserve">第二节</w:t>
            </w:r>
            <w:r>
              <w:rPr>
                <w:rFonts w:ascii="宋体" w:hAnsi="宋体" w:cs="宋体"/>
              </w:rPr>
            </w:r>
            <w:r/>
          </w:p>
          <w:p>
            <w:pPr>
              <w:pStyle w:val="1111"/>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1019"/>
              <w:pageBreakBefore w:val="0"/>
              <w:spacing w:line="240" w:lineRule="auto"/>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1019"/>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1019"/>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1019"/>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1019"/>
              <w:jc w:val="center"/>
              <w:pageBreakBefore w:val="0"/>
              <w:spacing w:line="240" w:lineRule="auto"/>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1019"/>
              <w:jc w:val="left"/>
              <w:pageBreakBefore w:val="0"/>
              <w:spacing w:line="240" w:lineRule="auto"/>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1019"/>
              <w:jc w:val="left"/>
              <w:pageBreakBefore w:val="0"/>
              <w:spacing w:line="240" w:lineRule="auto"/>
              <w:rPr>
                <w:rFonts w:ascii="宋体" w:hAnsi="宋体"/>
              </w:rPr>
            </w:pPr>
            <w:r>
              <w:rPr>
                <w:rFonts w:ascii="宋体" w:hAnsi="宋体"/>
              </w:rPr>
            </w:r>
            <w:r/>
          </w:p>
        </w:tc>
      </w:tr>
    </w:tbl>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1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1020"/>
        <w:pageBreakBefore w:val="0"/>
        <w:spacing w:line="240" w:lineRule="auto"/>
        <w:rPr>
          <w:rFonts w:hint="eastAsia" w:ascii="黑体" w:eastAsia="黑体"/>
          <w:b/>
          <w:bCs/>
          <w:sz w:val="44"/>
        </w:rPr>
      </w:pPr>
      <w:r/>
      <w:bookmarkEnd w:id="195"/>
      <w:r/>
      <w:bookmarkEnd w:id="196"/>
      <w:r/>
      <w:bookmarkEnd w:id="197"/>
      <w:r/>
      <w:bookmarkStart w:id="202" w:name="_Toc23707_WPSOffice_Level1"/>
      <w:r/>
      <w:bookmarkStart w:id="203" w:name="_Toc479757211"/>
      <w:r/>
      <w:bookmarkStart w:id="204" w:name="_Toc120614281"/>
      <w:r/>
      <w:bookmarkStart w:id="205" w:name="_Toc49090575"/>
      <w:r/>
      <w:bookmarkStart w:id="206" w:name="_Toc26554093"/>
      <w:r/>
      <w:bookmarkStart w:id="207" w:name="_Toc462564139"/>
      <w:r>
        <w:rPr>
          <w:rFonts w:hint="eastAsia" w:ascii="黑体" w:eastAsia="黑体"/>
          <w:b/>
          <w:bCs/>
          <w:sz w:val="44"/>
        </w:rPr>
        <w:t xml:space="preserve">第四章 采购需求</w:t>
      </w:r>
      <w:bookmarkEnd w:id="202"/>
      <w:r>
        <w:rPr>
          <w:rFonts w:hint="eastAsia" w:ascii="黑体" w:eastAsia="黑体"/>
          <w:b/>
          <w:bCs/>
          <w:sz w:val="44"/>
        </w:rPr>
      </w:r>
      <w:r/>
    </w:p>
    <w:p>
      <w:pPr>
        <w:pStyle w:val="1113"/>
        <w:numPr>
          <w:ilvl w:val="0"/>
          <w:numId w:val="12"/>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1019"/>
        <w:contextualSpacing/>
        <w:pageBreakBefore w:val="0"/>
        <w:spacing w:line="240" w:lineRule="auto"/>
        <w:rPr>
          <w:rFonts w:hint="eastAsia" w:ascii="宋体" w:hAnsi="宋体" w:eastAsia="宋体" w:cs="Times New Roman"/>
          <w:sz w:val="24"/>
          <w:lang w:val="en-US" w:eastAsia="zh-CN"/>
        </w:rPr>
      </w:pPr>
      <w:r>
        <w:rPr>
          <w:bCs/>
          <w:sz w:val="24"/>
        </w:rPr>
        <w:t xml:space="preserve">1.</w:t>
      </w:r>
      <w:r>
        <w:rPr>
          <w:rFonts w:hint="eastAsia"/>
          <w:bCs/>
          <w:sz w:val="24"/>
        </w:rPr>
        <w:t xml:space="preserve">项目名称：</w:t>
      </w:r>
      <w:r>
        <w:rPr>
          <w:rFonts w:hint="eastAsia" w:ascii="宋体" w:hAnsi="宋体" w:eastAsia="宋体" w:cs="Times New Roman"/>
          <w:sz w:val="24"/>
          <w:lang w:val="en-US" w:eastAsia="zh-CN"/>
        </w:rPr>
        <w:t xml:space="preserve">江苏省常州技师学院工业互联网实训站多媒体硬件采购与安装项目 </w:t>
      </w:r>
      <w:r>
        <w:rPr>
          <w:rFonts w:hint="eastAsia" w:ascii="宋体" w:hAnsi="宋体" w:eastAsia="宋体" w:cs="Times New Roman"/>
          <w:sz w:val="24"/>
          <w:lang w:val="en-US" w:eastAsia="zh-CN"/>
        </w:rPr>
      </w:r>
      <w:r/>
    </w:p>
    <w:p>
      <w:pPr>
        <w:pStyle w:val="1019"/>
        <w:pageBreakBefore w:val="0"/>
        <w:spacing w:line="240" w:lineRule="auto"/>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120万元</w:t>
      </w:r>
      <w:r>
        <w:rPr>
          <w:rFonts w:ascii="宋体" w:hAnsi="宋体"/>
          <w:sz w:val="24"/>
        </w:rPr>
        <w:t xml:space="preserve"> </w:t>
      </w:r>
      <w:r>
        <w:rPr>
          <w:rFonts w:ascii="宋体" w:hAnsi="宋体"/>
          <w:sz w:val="24"/>
        </w:rPr>
      </w:r>
      <w:r/>
    </w:p>
    <w:p>
      <w:pPr>
        <w:pStyle w:val="1019"/>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120万元</w:t>
      </w:r>
      <w:r>
        <w:rPr>
          <w:rFonts w:ascii="宋体" w:hAnsi="宋体"/>
          <w:sz w:val="24"/>
        </w:rPr>
      </w:r>
      <w:r/>
    </w:p>
    <w:p>
      <w:pPr>
        <w:pStyle w:val="1019"/>
        <w:pageBreakBefore w:val="0"/>
        <w:spacing w:line="240" w:lineRule="auto"/>
        <w:rPr>
          <w:rFonts w:hint="eastAsia" w:ascii="宋体" w:hAnsi="宋体" w:eastAsia="宋体" w:cs="Times New Roman"/>
          <w:sz w:val="24"/>
          <w:lang w:val="en-US" w:eastAsia="zh-CN"/>
        </w:rPr>
      </w:pPr>
      <w:r>
        <w:rPr>
          <w:rFonts w:hint="eastAsia" w:ascii="宋体" w:hAnsi="宋体"/>
          <w:sz w:val="24"/>
        </w:rPr>
        <w:t xml:space="preserve">4.采购项目概况（简介）：</w:t>
      </w:r>
      <w:r>
        <w:rPr>
          <w:rFonts w:hint="eastAsia" w:ascii="宋体" w:hAnsi="宋体" w:eastAsia="宋体" w:cs="Times New Roman"/>
          <w:sz w:val="24"/>
          <w:lang w:val="en-US" w:eastAsia="zh-CN"/>
        </w:rPr>
        <w:t xml:space="preserve">本</w:t>
      </w:r>
      <w:r>
        <w:rPr>
          <w:rFonts w:hint="eastAsia" w:ascii="宋体" w:hAnsi="宋体" w:eastAsia="宋体" w:cs="Times New Roman"/>
          <w:sz w:val="24"/>
          <w:lang w:val="en-US" w:eastAsia="zh-CN"/>
        </w:rPr>
        <w:t xml:space="preserve">项目是江苏省常州技师学院工业互联网实训站多媒体集成硬件采购与安装项目。为贯彻落实国家关于推动工业互联网创新发展的战略，培养符合新时代要求的工业互联网技术技能人才，拟建设一个集教学、实训、演示、创新于一体的现代化工业互联网实训站。本项目旨在采购一套先进、稳定、可靠的多媒体集成硬件系统，以支撑工业互联网数据可视化、远程运维、人机交互、智能监控等核心课程的实训教学与展示。包括但不限于设备的制造（采购）、运输、装卸、安装、调试、测试、售后服务、技术培训等，直至通过招标人的验收以及负责质量保修、免费维保等全部工作。 </w:t>
      </w:r>
      <w:r>
        <w:rPr>
          <w:rFonts w:hint="eastAsia" w:ascii="宋体" w:hAnsi="宋体" w:eastAsia="宋体" w:cs="Times New Roman"/>
          <w:sz w:val="24"/>
          <w:lang w:val="en-US" w:eastAsia="zh-CN"/>
        </w:rPr>
      </w:r>
      <w:r/>
    </w:p>
    <w:p>
      <w:pPr>
        <w:pStyle w:val="1019"/>
        <w:pageBreakBefore w:val="0"/>
        <w:spacing w:line="240" w:lineRule="auto"/>
        <w:rPr>
          <w:rFonts w:hint="eastAsia" w:ascii="宋体" w:hAnsi="宋体" w:eastAsia="宋体" w:cs="Times New Roman"/>
          <w:sz w:val="24"/>
          <w:lang w:val="en-US" w:eastAsia="zh-CN"/>
        </w:rPr>
      </w:pPr>
      <w:r>
        <w:rPr>
          <w:rFonts w:hint="eastAsia" w:ascii="宋体" w:hAnsi="宋体"/>
          <w:sz w:val="24"/>
        </w:rPr>
        <w:t xml:space="preserve">5.合同履行</w:t>
      </w:r>
      <w:r>
        <w:rPr>
          <w:rFonts w:hint="eastAsia" w:ascii="宋体" w:hAnsi="宋体" w:eastAsia="宋体" w:cs="Times New Roman"/>
          <w:sz w:val="24"/>
          <w:lang w:val="en-US" w:eastAsia="zh-CN"/>
        </w:rPr>
        <w:t xml:space="preserve">期限：签订合同后50日内完成供货、安装及调试并通过招标人验收。免费保修期要求不低于三年。</w:t>
      </w:r>
      <w:r>
        <w:rPr>
          <w:rFonts w:hint="eastAsia" w:ascii="宋体" w:hAnsi="宋体" w:eastAsia="宋体" w:cs="Times New Roman"/>
          <w:sz w:val="24"/>
          <w:lang w:val="en-US" w:eastAsia="zh-CN"/>
        </w:rPr>
      </w:r>
      <w:r/>
    </w:p>
    <w:p>
      <w:pPr>
        <w:pStyle w:val="1019"/>
        <w:pageBreakBefore w:val="0"/>
        <w:spacing w:line="240" w:lineRule="auto"/>
        <w:rPr>
          <w:rFonts w:hint="eastAsia" w:ascii="宋体" w:hAnsi="宋体"/>
          <w:sz w:val="24"/>
        </w:rPr>
      </w:pPr>
      <w:r>
        <w:rPr>
          <w:rFonts w:hint="eastAsia" w:ascii="宋体" w:hAnsi="宋体"/>
          <w:sz w:val="24"/>
        </w:rPr>
        <w:t xml:space="preserve">6.是/否接受联合体投标：</w:t>
      </w:r>
      <w:r>
        <w:rPr>
          <w:rFonts w:hint="eastAsia" w:ascii="宋体" w:hAnsi="宋体"/>
          <w:sz w:val="24"/>
          <w:lang w:val="en-US" w:eastAsia="zh-CN"/>
        </w:rPr>
        <w:t xml:space="preserve">否</w:t>
      </w:r>
      <w:r>
        <w:rPr>
          <w:rFonts w:hint="eastAsia" w:ascii="宋体" w:hAnsi="宋体"/>
          <w:sz w:val="24"/>
        </w:rPr>
        <w:t xml:space="preserve">；</w:t>
      </w:r>
      <w:r>
        <w:rPr>
          <w:rFonts w:hint="eastAsia" w:ascii="宋体" w:hAnsi="宋体"/>
          <w:sz w:val="24"/>
        </w:rPr>
      </w:r>
      <w:r/>
    </w:p>
    <w:p>
      <w:pPr>
        <w:pStyle w:val="1019"/>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否</w:t>
      </w:r>
      <w:r>
        <w:rPr>
          <w:rFonts w:hint="eastAsia" w:ascii="宋体" w:hAnsi="宋体"/>
          <w:bCs/>
          <w:sz w:val="24"/>
          <w:highlight w:val="yellow"/>
        </w:rPr>
      </w:r>
      <w:r/>
    </w:p>
    <w:p>
      <w:pPr>
        <w:pStyle w:val="1019"/>
        <w:pageBreakBefore w:val="0"/>
        <w:spacing w:line="240" w:lineRule="auto"/>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否</w:t>
      </w:r>
      <w:r>
        <w:rPr>
          <w:rFonts w:hint="eastAsia" w:ascii="宋体" w:hAnsi="宋体" w:eastAsia="宋体"/>
          <w:sz w:val="24"/>
          <w:lang w:val="en-US" w:eastAsia="zh-CN"/>
        </w:rPr>
      </w:r>
      <w:r/>
    </w:p>
    <w:p>
      <w:pPr>
        <w:pStyle w:val="1019"/>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lang w:val="en-US" w:eastAsia="zh-CN"/>
        </w:rPr>
        <w:t xml:space="preserve">否</w:t>
      </w:r>
      <w:r>
        <w:rPr>
          <w:rFonts w:hint="eastAsia"/>
          <w:sz w:val="24"/>
        </w:rPr>
      </w:r>
      <w:r/>
    </w:p>
    <w:p>
      <w:pPr>
        <w:pStyle w:val="1019"/>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lang w:val="en-US" w:eastAsia="zh-CN"/>
        </w:rPr>
        <w:t xml:space="preserve">否</w:t>
      </w:r>
      <w:r>
        <w:rPr>
          <w:rFonts w:hint="eastAsia"/>
          <w:sz w:val="24"/>
        </w:rPr>
      </w:r>
      <w:r/>
    </w:p>
    <w:p>
      <w:pPr>
        <w:pStyle w:val="1019"/>
        <w:pageBreakBefore w:val="0"/>
        <w:spacing w:line="240" w:lineRule="auto"/>
        <w:rPr>
          <w:rFonts w:hint="eastAsia" w:ascii="宋体" w:hAnsi="宋体"/>
          <w:bCs/>
          <w:sz w:val="24"/>
        </w:rPr>
      </w:pPr>
      <w:r>
        <w:rPr>
          <w:rFonts w:hint="eastAsia"/>
          <w:sz w:val="24"/>
        </w:rPr>
        <w:t xml:space="preserve">11.本项目的特定资格要求：</w:t>
      </w:r>
      <w:r>
        <w:rPr>
          <w:rFonts w:hint="eastAsia"/>
          <w:sz w:val="24"/>
          <w:lang w:val="en-US" w:eastAsia="zh-CN"/>
        </w:rPr>
        <w:t xml:space="preserve">无</w:t>
      </w:r>
      <w:r>
        <w:rPr>
          <w:rFonts w:hint="eastAsia" w:ascii="宋体" w:hAnsi="宋体"/>
          <w:bCs/>
          <w:sz w:val="24"/>
        </w:rPr>
      </w:r>
      <w:r/>
    </w:p>
    <w:p>
      <w:pPr>
        <w:pStyle w:val="1019"/>
        <w:pageBreakBefore w:val="0"/>
        <w:spacing w:line="240" w:lineRule="auto"/>
        <w:rPr>
          <w:rFonts w:hint="eastAsia" w:ascii="宋体" w:hAnsi="宋体"/>
          <w:bCs/>
          <w:sz w:val="24"/>
        </w:rPr>
      </w:pPr>
      <w:r>
        <w:rPr>
          <w:rFonts w:hint="eastAsia" w:ascii="宋体" w:hAnsi="宋体"/>
          <w:bCs/>
          <w:sz w:val="24"/>
        </w:rPr>
        <w:t xml:space="preserve">12.项目类别：</w:t>
      </w:r>
      <w:r>
        <w:rPr>
          <w:rFonts w:hint="eastAsia" w:ascii="宋体" w:hAnsi="宋体"/>
          <w:bCs/>
          <w:sz w:val="24"/>
          <w:lang w:val="en-US" w:eastAsia="zh-CN"/>
        </w:rPr>
        <w:t xml:space="preserve">货物类</w:t>
      </w:r>
      <w:r>
        <w:rPr>
          <w:rFonts w:hint="eastAsia" w:ascii="宋体" w:hAnsi="宋体"/>
          <w:bCs/>
          <w:sz w:val="24"/>
        </w:rPr>
      </w:r>
      <w:r/>
    </w:p>
    <w:p>
      <w:pPr>
        <w:pStyle w:val="1019"/>
        <w:pageBreakBefore w:val="0"/>
        <w:spacing w:line="240" w:lineRule="auto"/>
        <w:rPr>
          <w:rFonts w:ascii="宋体" w:hAnsi="宋体"/>
          <w:sz w:val="24"/>
        </w:rPr>
      </w:pPr>
      <w:r>
        <w:rPr>
          <w:rFonts w:ascii="宋体" w:hAnsi="宋体"/>
          <w:sz w:val="24"/>
        </w:rPr>
      </w:r>
      <w:r/>
    </w:p>
    <w:p>
      <w:pPr>
        <w:pStyle w:val="1113"/>
        <w:numPr>
          <w:ilvl w:val="0"/>
          <w:numId w:val="12"/>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1019"/>
        <w:contextualSpacing/>
        <w:pageBreakBefore w:val="0"/>
        <w:spacing w:line="240" w:lineRule="auto"/>
        <w:rPr>
          <w:i/>
          <w:sz w:val="24"/>
        </w:rPr>
      </w:pPr>
      <w:r>
        <w:rPr>
          <w:sz w:val="24"/>
        </w:rPr>
        <w:t xml:space="preserve">1. 交付（实施）的时间（期限）和地点（范围）</w:t>
      </w:r>
      <w:r>
        <w:rPr>
          <w:i/>
          <w:sz w:val="24"/>
        </w:rPr>
      </w:r>
      <w:r/>
    </w:p>
    <w:p>
      <w:pPr>
        <w:pStyle w:val="1019"/>
        <w:contextualSpacing/>
        <w:ind w:firstLine="480"/>
        <w:pageBreakBefore w:val="0"/>
        <w:spacing w:line="240" w:lineRule="auto"/>
        <w:rPr>
          <w:rFonts w:hint="eastAsia" w:ascii="Times New Roman" w:hAnsi="Times New Roman" w:eastAsia="宋体" w:cs="Times New Roman"/>
          <w:bCs/>
          <w:sz w:val="24"/>
        </w:rPr>
      </w:pPr>
      <w:r>
        <w:rPr>
          <w:rFonts w:hint="eastAsia"/>
          <w:sz w:val="24"/>
          <w:lang w:val="en-US" w:eastAsia="zh-CN"/>
        </w:rPr>
        <w:t xml:space="preserve">1.1</w:t>
      </w:r>
      <w:r>
        <w:rPr>
          <w:sz w:val="24"/>
        </w:rPr>
        <w:t xml:space="preserve">交付（实施）的时间（期限）</w:t>
      </w:r>
      <w:r>
        <w:rPr>
          <w:rFonts w:hint="eastAsia" w:ascii="Times New Roman" w:hAnsi="Times New Roman" w:eastAsia="宋体" w:cs="Times New Roman"/>
          <w:bCs/>
          <w:sz w:val="24"/>
        </w:rPr>
        <w:t xml:space="preserve">签订合同后50日内完成供货、安装及调试并通过招标人验收。免费保修期要求不低于三年。</w:t>
      </w:r>
      <w:r>
        <w:rPr>
          <w:rFonts w:hint="eastAsia" w:ascii="Times New Roman" w:hAnsi="Times New Roman" w:eastAsia="宋体" w:cs="Times New Roman"/>
          <w:bCs/>
          <w:sz w:val="24"/>
        </w:rPr>
      </w:r>
      <w:r/>
    </w:p>
    <w:p>
      <w:pPr>
        <w:pStyle w:val="1019"/>
        <w:contextualSpacing/>
        <w:ind w:firstLine="480"/>
        <w:pageBreakBefore w:val="0"/>
        <w:spacing w:line="240" w:lineRule="auto"/>
        <w:rPr>
          <w:bCs/>
          <w:sz w:val="24"/>
        </w:rPr>
      </w:pPr>
      <w:r>
        <w:rPr>
          <w:rFonts w:hint="eastAsia" w:ascii="Times New Roman" w:hAnsi="Times New Roman" w:eastAsia="宋体" w:cs="Times New Roman"/>
          <w:bCs/>
          <w:sz w:val="24"/>
          <w:lang w:val="en-US" w:eastAsia="zh-CN"/>
        </w:rPr>
        <w:t xml:space="preserve">1.2</w:t>
      </w:r>
      <w:r>
        <w:rPr>
          <w:rFonts w:ascii="Times New Roman" w:hAnsi="Times New Roman" w:eastAsia="宋体" w:cs="Times New Roman"/>
          <w:bCs/>
          <w:sz w:val="24"/>
        </w:rPr>
        <w:t xml:space="preserve">交货地点：</w:t>
      </w:r>
      <w:r>
        <w:rPr>
          <w:rFonts w:hint="eastAsia" w:ascii="Times New Roman" w:hAnsi="Times New Roman" w:eastAsia="宋体" w:cs="Times New Roman"/>
          <w:bCs/>
          <w:sz w:val="24"/>
          <w:lang w:val="en-US" w:eastAsia="zh-CN"/>
        </w:rPr>
        <w:t xml:space="preserve">投标人</w:t>
      </w:r>
      <w:r>
        <w:rPr>
          <w:rFonts w:ascii="Times New Roman" w:hAnsi="Times New Roman" w:eastAsia="宋体" w:cs="Times New Roman"/>
          <w:bCs/>
          <w:sz w:val="24"/>
        </w:rPr>
        <w:t xml:space="preserve">负责将货品运到</w:t>
      </w:r>
      <w:r>
        <w:rPr>
          <w:rFonts w:hint="eastAsia" w:ascii="Times New Roman" w:hAnsi="Times New Roman" w:eastAsia="宋体" w:cs="Times New Roman"/>
          <w:bCs/>
          <w:sz w:val="24"/>
        </w:rPr>
        <w:t xml:space="preserve">招标人</w:t>
      </w:r>
      <w:r>
        <w:rPr>
          <w:rFonts w:ascii="Times New Roman" w:hAnsi="Times New Roman" w:eastAsia="宋体" w:cs="Times New Roman"/>
          <w:bCs/>
          <w:sz w:val="24"/>
        </w:rPr>
        <w:t xml:space="preserve">指定地点，并负责办理运输和装卸及货品安</w:t>
      </w:r>
      <w:r>
        <w:rPr>
          <w:bCs/>
          <w:sz w:val="24"/>
        </w:rPr>
        <w:t xml:space="preserve">装后的调试等。</w:t>
      </w:r>
      <w:r>
        <w:rPr>
          <w:bCs/>
          <w:sz w:val="24"/>
        </w:rPr>
      </w:r>
      <w:r/>
    </w:p>
    <w:p>
      <w:pPr>
        <w:pStyle w:val="1080"/>
      </w:pPr>
      <w:r/>
      <w:r/>
    </w:p>
    <w:p>
      <w:pPr>
        <w:pStyle w:val="1019"/>
        <w:numPr>
          <w:ilvl w:val="0"/>
          <w:numId w:val="13"/>
        </w:numPr>
        <w:contextualSpacing/>
        <w:pageBreakBefore w:val="0"/>
        <w:spacing w:line="240" w:lineRule="auto"/>
        <w:rPr>
          <w:sz w:val="24"/>
        </w:rPr>
      </w:pPr>
      <w:r>
        <w:rPr>
          <w:sz w:val="24"/>
        </w:rPr>
        <w:t xml:space="preserve">付款条件（进度和方式）</w:t>
      </w:r>
      <w:r>
        <w:rPr>
          <w:sz w:val="24"/>
        </w:rPr>
      </w:r>
      <w:r/>
    </w:p>
    <w:p>
      <w:pPr>
        <w:pStyle w:val="1019"/>
        <w:contextualSpacing/>
        <w:ind w:firstLine="480"/>
        <w:pageBreakBefore w:val="0"/>
        <w:spacing w:line="24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预付款支付时间：合同签订后，预付款支付比例：合同金额的30%。满足合同约定支付条件的，自收到发票后10个工作日内支付。</w:t>
      </w:r>
      <w:r>
        <w:rPr>
          <w:rFonts w:hint="eastAsia" w:ascii="Times New Roman" w:hAnsi="Times New Roman" w:eastAsia="宋体" w:cs="Times New Roman"/>
          <w:sz w:val="24"/>
          <w:lang w:val="en-US" w:eastAsia="zh-CN"/>
        </w:rPr>
      </w:r>
      <w:r/>
    </w:p>
    <w:p>
      <w:pPr>
        <w:pStyle w:val="1019"/>
        <w:contextualSpacing/>
        <w:ind w:firstLine="480"/>
        <w:pageBreakBefore w:val="0"/>
        <w:spacing w:line="24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尾款支付时间：服务结束并验收合格，尾款支付比例：合同金额的70%。满足合同约定支付条件的，自收到发票后10个工作日内支付。</w:t>
      </w:r>
      <w:r>
        <w:rPr>
          <w:rFonts w:hint="eastAsia" w:ascii="Times New Roman" w:hAnsi="Times New Roman" w:eastAsia="宋体" w:cs="Times New Roman"/>
          <w:sz w:val="24"/>
          <w:lang w:val="en-US" w:eastAsia="zh-CN"/>
        </w:rPr>
      </w:r>
      <w:r/>
    </w:p>
    <w:p>
      <w:pPr>
        <w:pStyle w:val="1019"/>
        <w:contextualSpacing/>
        <w:ind w:firstLine="480"/>
        <w:pageBreakBefore w:val="0"/>
        <w:spacing w:line="24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r>
      <w:r/>
    </w:p>
    <w:p>
      <w:pPr>
        <w:pStyle w:val="1019"/>
        <w:numPr>
          <w:ilvl w:val="0"/>
          <w:numId w:val="13"/>
        </w:numPr>
        <w:contextualSpacing/>
        <w:ind w:left="0" w:firstLine="0"/>
        <w:pageBreakBefore w:val="0"/>
        <w:spacing w:line="240" w:lineRule="auto"/>
        <w:rPr>
          <w:rFonts w:hint="eastAsia" w:eastAsia="宋体"/>
          <w:lang w:val="en-US" w:eastAsia="zh-CN"/>
        </w:rPr>
      </w:pPr>
      <w:r>
        <w:rPr>
          <w:sz w:val="24"/>
        </w:rPr>
        <w:t xml:space="preserve">包装和运输</w:t>
      </w:r>
      <w:r>
        <w:rPr>
          <w:rFonts w:hint="eastAsia" w:eastAsia="宋体"/>
          <w:lang w:val="en-US" w:eastAsia="zh-CN"/>
        </w:rPr>
      </w:r>
      <w:r/>
    </w:p>
    <w:p>
      <w:pPr>
        <w:pStyle w:val="1019"/>
        <w:contextualSpacing/>
        <w:ind w:firstLine="480"/>
        <w:pageBreakBefore w:val="0"/>
        <w:spacing w:line="240" w:lineRule="auto"/>
        <w:rPr>
          <w:rFonts w:hint="eastAsia" w:eastAsia="宋体"/>
          <w:sz w:val="24"/>
          <w:lang w:eastAsia="zh-CN"/>
        </w:rPr>
      </w:pPr>
      <w:r>
        <w:rPr>
          <w:rFonts w:hint="eastAsia"/>
          <w:sz w:val="24"/>
          <w:highlight w:val="none"/>
        </w:rPr>
        <w:t xml:space="preserve">货物类必须要求供应商</w:t>
      </w:r>
      <w:r>
        <w:rPr>
          <w:sz w:val="24"/>
          <w:highlight w:val="none"/>
        </w:rPr>
        <w:t xml:space="preserve">满足《关于印发〈商品包装政府采购需求标准（试行）〉、〈快递包装政府采购需求标准（试行）〉的通知》（财办库﹝2020﹞123号））</w:t>
      </w:r>
      <w:r>
        <w:rPr>
          <w:rFonts w:hint="eastAsia"/>
          <w:sz w:val="24"/>
          <w:highlight w:val="none"/>
        </w:rPr>
        <w:t xml:space="preserve">的规定</w:t>
      </w:r>
      <w:r>
        <w:rPr>
          <w:rFonts w:hint="eastAsia"/>
          <w:sz w:val="24"/>
          <w:highlight w:val="none"/>
          <w:lang w:eastAsia="zh-CN"/>
        </w:rPr>
        <w:t xml:space="preserve">。</w:t>
      </w:r>
      <w:r>
        <w:rPr>
          <w:rFonts w:hint="eastAsia" w:eastAsia="宋体"/>
          <w:sz w:val="24"/>
          <w:lang w:eastAsia="zh-CN"/>
        </w:rPr>
      </w:r>
      <w:r/>
    </w:p>
    <w:p>
      <w:pPr>
        <w:pStyle w:val="1019"/>
        <w:contextualSpacing/>
        <w:pageBreakBefore w:val="0"/>
        <w:spacing w:line="240" w:lineRule="auto"/>
        <w:rPr>
          <w:sz w:val="24"/>
        </w:rPr>
      </w:pPr>
      <w:r>
        <w:rPr>
          <w:sz w:val="24"/>
        </w:rPr>
      </w:r>
      <w:r/>
    </w:p>
    <w:p>
      <w:pPr>
        <w:pStyle w:val="1019"/>
        <w:contextualSpacing/>
        <w:pageBreakBefore w:val="0"/>
        <w:spacing w:line="240" w:lineRule="auto"/>
        <w:rPr>
          <w:sz w:val="24"/>
        </w:rPr>
      </w:pPr>
      <w:r>
        <w:rPr>
          <w:sz w:val="24"/>
        </w:rPr>
        <w:t xml:space="preserve">4. 售后服务（质保期</w:t>
      </w:r>
      <w:r>
        <w:rPr>
          <w:rFonts w:hint="eastAsia"/>
          <w:sz w:val="24"/>
        </w:rPr>
        <w:t xml:space="preserve">等</w:t>
      </w:r>
      <w:r>
        <w:rPr>
          <w:sz w:val="24"/>
        </w:rPr>
        <w:t xml:space="preserve">）</w:t>
      </w:r>
      <w:r>
        <w:rPr>
          <w:sz w:val="24"/>
        </w:rPr>
      </w:r>
      <w:r/>
    </w:p>
    <w:p>
      <w:pPr>
        <w:pStyle w:val="1019"/>
        <w:contextualSpacing/>
        <w:ind w:firstLine="480"/>
        <w:pageBreakBefore w:val="0"/>
        <w:spacing w:line="240" w:lineRule="auto"/>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4</w:t>
      </w:r>
      <w:r>
        <w:rPr>
          <w:rFonts w:hint="eastAsia" w:ascii="Times New Roman" w:hAnsi="Times New Roman" w:eastAsia="宋体" w:cs="Times New Roman"/>
          <w:bCs/>
          <w:sz w:val="24"/>
        </w:rPr>
        <w:t xml:space="preserve">.1本项目免费质保期</w:t>
      </w:r>
      <w:r>
        <w:rPr>
          <w:rFonts w:hint="eastAsia" w:ascii="Times New Roman" w:hAnsi="Times New Roman" w:eastAsia="宋体" w:cs="Times New Roman"/>
          <w:bCs/>
          <w:sz w:val="24"/>
          <w:u w:val="single"/>
        </w:rPr>
        <w:t xml:space="preserve"> 3 </w:t>
      </w:r>
      <w:r>
        <w:rPr>
          <w:rFonts w:hint="eastAsia" w:ascii="Times New Roman" w:hAnsi="Times New Roman" w:eastAsia="宋体" w:cs="Times New Roman"/>
          <w:bCs/>
          <w:sz w:val="24"/>
        </w:rPr>
        <w:t xml:space="preserve">年（自交货验收合格之日起计）。</w:t>
      </w:r>
      <w:r>
        <w:rPr>
          <w:rFonts w:hint="eastAsia" w:ascii="Times New Roman" w:hAnsi="Times New Roman" w:eastAsia="宋体" w:cs="Times New Roman"/>
          <w:bCs/>
          <w:sz w:val="24"/>
        </w:rPr>
      </w:r>
      <w:r/>
    </w:p>
    <w:p>
      <w:pPr>
        <w:pStyle w:val="1019"/>
        <w:contextualSpacing/>
        <w:ind w:firstLine="480"/>
        <w:pageBreakBefore w:val="0"/>
        <w:spacing w:line="240" w:lineRule="auto"/>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4</w:t>
      </w:r>
      <w:r>
        <w:rPr>
          <w:rFonts w:hint="eastAsia" w:ascii="Times New Roman" w:hAnsi="Times New Roman" w:eastAsia="宋体" w:cs="Times New Roman"/>
          <w:bCs/>
          <w:sz w:val="24"/>
        </w:rPr>
        <w:t xml:space="preserve">.2在免费质保期内，中标人应对货物出现的质量及安全问题负责处理解决并承担一切费用，因人为因素出现的故障不在免费保修范围内。</w:t>
      </w:r>
      <w:r>
        <w:rPr>
          <w:rFonts w:hint="eastAsia" w:ascii="Times New Roman" w:hAnsi="Times New Roman" w:eastAsia="宋体" w:cs="Times New Roman"/>
          <w:bCs/>
          <w:sz w:val="24"/>
        </w:rPr>
      </w:r>
      <w:r/>
    </w:p>
    <w:p>
      <w:pPr>
        <w:pStyle w:val="1019"/>
        <w:contextualSpacing/>
        <w:ind w:firstLine="480"/>
        <w:pageBreakBefore w:val="0"/>
        <w:spacing w:line="240" w:lineRule="auto"/>
        <w:rPr>
          <w:rFonts w:hint="eastAsia"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4</w:t>
      </w:r>
      <w:r>
        <w:rPr>
          <w:rFonts w:hint="eastAsia" w:ascii="Times New Roman" w:hAnsi="Times New Roman" w:eastAsia="宋体" w:cs="Times New Roman"/>
          <w:bCs/>
          <w:sz w:val="24"/>
        </w:rPr>
        <w:t xml:space="preserve">.3根据服务响应、保修内容、备品备件、售后服务人员、服务承诺及售后服务力量的配备情况等编制详细、合理可行的售后服务方案。提供及时有效的售后服务。</w:t>
      </w:r>
      <w:r>
        <w:rPr>
          <w:rFonts w:hint="eastAsia" w:ascii="Times New Roman" w:hAnsi="Times New Roman" w:eastAsia="宋体" w:cs="Times New Roman"/>
          <w:bCs/>
          <w:sz w:val="24"/>
        </w:rPr>
      </w:r>
      <w:r/>
    </w:p>
    <w:p>
      <w:pPr>
        <w:pStyle w:val="1080"/>
      </w:pPr>
      <w:r/>
      <w:r/>
    </w:p>
    <w:p>
      <w:pPr>
        <w:pStyle w:val="1019"/>
        <w:contextualSpacing/>
        <w:pageBreakBefore w:val="0"/>
        <w:spacing w:line="240" w:lineRule="auto"/>
        <w:rPr>
          <w:rFonts w:hint="eastAsia"/>
          <w:sz w:val="24"/>
        </w:rPr>
      </w:pPr>
      <w:r>
        <w:rPr>
          <w:sz w:val="24"/>
        </w:rPr>
        <w:t xml:space="preserve">5. 保险</w:t>
      </w:r>
      <w:r>
        <w:rPr>
          <w:rFonts w:hint="eastAsia"/>
          <w:sz w:val="24"/>
        </w:rPr>
      </w:r>
      <w:r/>
    </w:p>
    <w:p>
      <w:pPr>
        <w:pStyle w:val="1019"/>
        <w:pageBreakBefore w:val="0"/>
        <w:spacing w:line="240" w:lineRule="auto"/>
        <w:rPr>
          <w:b/>
          <w:i/>
          <w:sz w:val="24"/>
        </w:rPr>
      </w:pPr>
      <w:r>
        <w:rPr>
          <w:rFonts w:hint="eastAsia"/>
          <w:sz w:val="24"/>
          <w:lang w:val="en-US" w:eastAsia="zh-CN"/>
        </w:rPr>
        <w:t xml:space="preserve">无</w:t>
      </w:r>
      <w:r>
        <w:rPr>
          <w:b/>
          <w:i/>
          <w:sz w:val="24"/>
        </w:rPr>
      </w:r>
      <w:r/>
    </w:p>
    <w:p>
      <w:pPr>
        <w:pStyle w:val="1019"/>
        <w:pageBreakBefore w:val="0"/>
        <w:spacing w:line="240" w:lineRule="auto"/>
        <w:rPr>
          <w:b/>
          <w:i/>
          <w:sz w:val="24"/>
        </w:rPr>
      </w:pPr>
      <w:r>
        <w:rPr>
          <w:b/>
          <w:i/>
          <w:sz w:val="24"/>
        </w:rPr>
      </w:r>
      <w:r/>
    </w:p>
    <w:p>
      <w:pPr>
        <w:pStyle w:val="1113"/>
        <w:numPr>
          <w:ilvl w:val="0"/>
          <w:numId w:val="12"/>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19"/>
        <w:contextualSpacing/>
        <w:pageBreakBefore w:val="0"/>
        <w:spacing w:line="240" w:lineRule="auto"/>
        <w:rPr>
          <w:sz w:val="24"/>
          <w:highlight w:val="none"/>
        </w:rPr>
      </w:pPr>
      <w:r>
        <w:rPr>
          <w:sz w:val="24"/>
          <w:highlight w:val="none"/>
        </w:rPr>
        <w:t xml:space="preserve">1. 基本要求</w:t>
      </w:r>
      <w:r>
        <w:rPr>
          <w:sz w:val="24"/>
          <w:highlight w:val="none"/>
        </w:rPr>
      </w:r>
      <w:r/>
    </w:p>
    <w:p>
      <w:pPr>
        <w:pStyle w:val="1019"/>
        <w:contextualSpacing/>
        <w:ind w:firstLine="480"/>
        <w:pageBreakBefore w:val="0"/>
        <w:spacing w:line="240" w:lineRule="auto"/>
        <w:rPr>
          <w:sz w:val="24"/>
          <w:highlight w:val="none"/>
        </w:rPr>
      </w:pPr>
      <w:r>
        <w:rPr>
          <w:sz w:val="24"/>
          <w:highlight w:val="none"/>
        </w:rPr>
        <w:t xml:space="preserve">1.1 采购标的需实现的功能或者目标</w:t>
      </w:r>
      <w:r>
        <w:rPr>
          <w:sz w:val="24"/>
          <w:highlight w:val="none"/>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1.1.1投标人根据招投标文件的要求，生产制作符合要求的产品，并按照要求的时间和地点保质保量完成送货和安装，确保正常使用。</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1.1.2通过本次采购，构建一个高度集成、功能完备的多媒体硬件环境，实现以下目标：</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沉浸式教学：提供大尺寸、高清晰度的主显示系统，用于展示工业互联网平台数据、三维模型、教学视频等。</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数据可视化：实现对工业现场实时数据、设备状态、生产看板等信息的多屏、联动、动态展示。</w:t>
      </w:r>
      <w:r>
        <w:rPr>
          <w:rFonts w:ascii="宋体" w:hAnsi="宋体" w:cs="宋体"/>
          <w:color w:val="000000"/>
          <w:sz w:val="24"/>
        </w:rPr>
      </w:r>
      <w:r/>
    </w:p>
    <w:p>
      <w:pPr>
        <w:pStyle w:val="101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远程交互协作：支持与异地工厂、专家进行高清音视频远程协作与指导。</w:t>
      </w:r>
      <w:r>
        <w:rPr>
          <w:rFonts w:hint="eastAsia" w:ascii="宋体" w:hAnsi="宋体" w:eastAsia="宋体" w:cs="宋体"/>
          <w:color w:val="000000"/>
          <w:sz w:val="24"/>
        </w:rPr>
      </w:r>
      <w:r/>
    </w:p>
    <w:p>
      <w:pPr>
        <w:pStyle w:val="101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集中控制管理：通过一套中控系统，实现对实训室内所有视听设备的智能化、一键式管控，降低操作复杂度，提升教学效率。</w:t>
      </w:r>
      <w:r>
        <w:rPr>
          <w:rFonts w:hint="eastAsia" w:ascii="宋体" w:hAnsi="宋体" w:eastAsia="宋体" w:cs="宋体"/>
          <w:color w:val="000000"/>
          <w:sz w:val="24"/>
        </w:rPr>
      </w:r>
      <w:r/>
    </w:p>
    <w:p>
      <w:pPr>
        <w:pStyle w:val="101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扩展性与稳定性：系统需具备良好的扩展接口，满足未来技术升级需求，并保证长期稳定运行。</w:t>
      </w:r>
      <w:r>
        <w:rPr>
          <w:rFonts w:hint="eastAsia" w:ascii="宋体" w:hAnsi="宋体" w:eastAsia="宋体" w:cs="宋体"/>
          <w:color w:val="000000"/>
          <w:sz w:val="24"/>
        </w:rPr>
      </w:r>
      <w:r/>
    </w:p>
    <w:p>
      <w:pPr>
        <w:pStyle w:val="1019"/>
        <w:contextualSpacing/>
        <w:ind w:firstLine="480"/>
        <w:pageBreakBefore w:val="0"/>
        <w:spacing w:line="240" w:lineRule="auto"/>
        <w:rPr>
          <w:sz w:val="24"/>
          <w:highlight w:val="none"/>
        </w:rPr>
      </w:pPr>
      <w:r>
        <w:rPr>
          <w:sz w:val="24"/>
          <w:highlight w:val="none"/>
        </w:rPr>
        <w:t xml:space="preserve">1.2 需执行的国家相关标准、行业标准、地方标准或者其他标准、规范</w:t>
      </w:r>
      <w:r>
        <w:rPr>
          <w:sz w:val="24"/>
          <w:highlight w:val="none"/>
        </w:rPr>
      </w:r>
      <w:r/>
    </w:p>
    <w:p>
      <w:pPr>
        <w:pStyle w:val="101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eastAsia="宋体" w:cs="宋体"/>
          <w:color w:val="000000"/>
          <w:sz w:val="24"/>
        </w:rPr>
      </w:r>
      <w:r/>
    </w:p>
    <w:p>
      <w:pPr>
        <w:pStyle w:val="1080"/>
      </w:pPr>
      <w:r/>
      <w:r/>
    </w:p>
    <w:p>
      <w:pPr>
        <w:pStyle w:val="1019"/>
        <w:contextualSpacing/>
        <w:pageBreakBefore w:val="0"/>
        <w:spacing w:line="240" w:lineRule="auto"/>
        <w:rPr>
          <w:rFonts w:hint="eastAsia"/>
          <w:sz w:val="24"/>
        </w:rPr>
      </w:pPr>
      <w:r>
        <w:rPr>
          <w:sz w:val="24"/>
        </w:rPr>
        <w:t xml:space="preserve">2. 服务内容及要求/货物技术要求</w:t>
      </w:r>
      <w:r>
        <w:rPr>
          <w:rFonts w:hint="eastAsia"/>
          <w:sz w:val="24"/>
        </w:rPr>
      </w:r>
      <w:r/>
    </w:p>
    <w:p>
      <w:pPr>
        <w:pStyle w:val="1019"/>
        <w:contextualSpacing/>
        <w:ind w:firstLine="480"/>
        <w:pageBreakBefore w:val="0"/>
        <w:spacing w:line="240" w:lineRule="auto"/>
        <w:widowControl/>
        <w:rPr>
          <w:rFonts w:hint="eastAsia" w:ascii="宋体" w:hAnsi="宋体" w:eastAsia="宋体" w:cs="宋体"/>
          <w:color w:val="000000"/>
          <w:sz w:val="24"/>
          <w:highlight w:val="none"/>
        </w:rPr>
      </w:pPr>
      <w:r>
        <w:rPr>
          <w:sz w:val="24"/>
          <w:highlight w:val="none"/>
        </w:rPr>
        <w:t xml:space="preserve">2.1</w:t>
      </w:r>
      <w:r>
        <w:rPr>
          <w:rFonts w:hint="eastAsia" w:ascii="宋体" w:hAnsi="宋体" w:eastAsia="宋体" w:cs="宋体"/>
          <w:color w:val="000000"/>
          <w:sz w:val="24"/>
          <w:highlight w:val="none"/>
        </w:rPr>
        <w:t xml:space="preserve">投标人应保证货物原材料为全新、未使用过的原装合格正品，并完全符合招标文件规定的质量、规格和技术参数要求。投标人应保证其提供的货物在正确安装、正常使用和保养条件下，具有良好的品质保证。</w:t>
      </w:r>
      <w:r>
        <w:rPr>
          <w:rFonts w:hint="eastAsia" w:ascii="宋体" w:hAnsi="宋体" w:eastAsia="宋体" w:cs="宋体"/>
          <w:color w:val="000000"/>
          <w:sz w:val="24"/>
          <w:highlight w:val="none"/>
        </w:rPr>
      </w:r>
      <w:r/>
    </w:p>
    <w:p>
      <w:pPr>
        <w:pStyle w:val="1019"/>
        <w:rPr>
          <w:highlight w:val="none"/>
        </w:rPr>
      </w:pPr>
      <w:r>
        <w:rPr>
          <w:highlight w:val="none"/>
        </w:rPr>
      </w:r>
      <w:r/>
    </w:p>
    <w:p>
      <w:pPr>
        <w:pStyle w:val="1019"/>
        <w:contextualSpacing/>
        <w:ind w:firstLine="480"/>
        <w:pageBreakBefore w:val="0"/>
        <w:spacing w:line="240" w:lineRule="auto"/>
        <w:widowControl/>
        <w:rPr>
          <w:rFonts w:hint="eastAsia"/>
          <w:sz w:val="24"/>
          <w:highlight w:val="none"/>
        </w:rPr>
      </w:pPr>
      <w:r>
        <w:rPr>
          <w:sz w:val="24"/>
          <w:highlight w:val="none"/>
        </w:rPr>
        <w:t xml:space="preserve">2.2</w:t>
      </w:r>
      <w:r>
        <w:rPr>
          <w:rFonts w:hint="eastAsia"/>
          <w:sz w:val="24"/>
          <w:highlight w:val="none"/>
        </w:rPr>
        <w:t xml:space="preserve">产品清单</w:t>
      </w:r>
      <w:r>
        <w:rPr>
          <w:rFonts w:hint="eastAsia"/>
          <w:sz w:val="24"/>
          <w:highlight w:val="none"/>
          <w:lang w:val="en-US" w:eastAsia="zh-CN"/>
        </w:rPr>
        <w:t xml:space="preserve">及技术参数要求</w:t>
      </w:r>
      <w:r>
        <w:rPr>
          <w:rFonts w:hint="eastAsia"/>
          <w:sz w:val="24"/>
          <w:highlight w:val="none"/>
        </w:rPr>
        <w:t xml:space="preserve">；</w:t>
      </w:r>
      <w:r>
        <w:rPr>
          <w:rFonts w:hint="eastAsia"/>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91"/>
        <w:gridCol w:w="759"/>
        <w:gridCol w:w="1100"/>
        <w:gridCol w:w="5173"/>
        <w:gridCol w:w="716"/>
        <w:gridCol w:w="793"/>
      </w:tblGrid>
      <w:tr>
        <w:trPr>
          <w:trHeight w:val="327"/>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pStyle w:val="1019"/>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759" w:type="dxa"/>
            <w:vAlign w:val="center"/>
            <w:textDirection w:val="lrTb"/>
            <w:noWrap w:val="false"/>
          </w:tcPr>
          <w:p>
            <w:pPr>
              <w:pStyle w:val="1019"/>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项目名称</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bidi="ar"/>
              </w:rPr>
              <w:t xml:space="preserve">产品</w:t>
            </w:r>
            <w:r>
              <w:rPr>
                <w:rFonts w:hint="eastAsia" w:ascii="宋体" w:hAnsi="宋体" w:cs="宋体"/>
                <w:b/>
                <w:bCs/>
                <w:color w:val="000000"/>
                <w:sz w:val="22"/>
                <w:szCs w:val="22"/>
                <w:highlight w:val="none"/>
                <w:lang w:bidi="ar"/>
              </w:rPr>
              <w:t xml:space="preserve">名称</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eastAsia="宋体" w:cs="宋体"/>
                <w:b/>
                <w:bCs/>
                <w:color w:val="000000"/>
                <w:sz w:val="22"/>
                <w:szCs w:val="22"/>
                <w:highlight w:val="none"/>
                <w:lang w:bidi="ar"/>
              </w:rPr>
              <w:t xml:space="preserve">规格和技术参数要求</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单位</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SA"/>
              </w:rPr>
            </w:pPr>
            <w:r>
              <w:rPr>
                <w:rFonts w:hint="eastAsia" w:ascii="宋体" w:hAnsi="宋体" w:cs="宋体"/>
                <w:b/>
                <w:bCs/>
                <w:color w:val="000000"/>
                <w:sz w:val="22"/>
                <w:szCs w:val="22"/>
                <w:highlight w:val="none"/>
                <w:lang w:bidi="ar"/>
              </w:rPr>
              <w:t xml:space="preserve">数量</w:t>
            </w:r>
            <w:r>
              <w:rPr>
                <w:rFonts w:hint="eastAsia" w:ascii="宋体" w:hAnsi="宋体" w:cs="宋体"/>
                <w:b/>
                <w:bCs/>
                <w:color w:val="000000"/>
                <w:sz w:val="22"/>
                <w:szCs w:val="22"/>
                <w:highlight w:val="none"/>
                <w:lang w:val="en-US" w:eastAsia="zh-CN" w:bidi="ar-SA"/>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1</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序厅：展厅宣传片</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LED屏（P2）</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1.显示尺寸为宽≥ 7.04m，高≥ 3.2m；屏幕分辨率：≥3520 *1600。</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2.▲像素点间距：≤2mm，像素构成：表贴三合一，像素密度：≥250000，模组尺寸(W×H）：320×160mm。提供具有CMA标志的第三方检测机构出具的检验报告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3.材质：塑胶底壳，模块采用高强度塑胶+纤套件，产品轻巧安装精度高。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4.白平衡亮度（nits）≥800，对比度≥8500∶1，刷新率≥3840H。</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5.色温（K）：1000～30000可调，色度均匀性在±0.001Cx，Cy 之内。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6.水平视角 ≥170°，垂直视角≥170°。</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7.亮度均匀性≥98%，亮度鉴别等级C级。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8.亮度可调：支持通过配套软件 0-100%无级调节，256级手动/自动调节，屏幕亮度具有随环境照度的变化任意调整功能。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9.像素失控率≤0.00001，出厂时为0，无连续失控点。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10.驱动方式：带PWM功能的恒流驱动43S。</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11.像素中心距相对偏差、水平相对错位等级、垂直相对错位等级应符合SJ/T 11141-2017要求的等级C级。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12.最大功耗≤300W/㎡，平均功耗≤100W/㎡,支持动态节能，采用节能驱动技术设计，单模组纯功耗低于15W。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13.模组机械强度：模组机械强度≥30MPa；抗拉强度&gt;230Mpa；屈服强度&gt;170Mpa；单模块磁吸强度&gt;10kg，高强度磁吸能力能避免发生掉落事故。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14.稳定性：平均使用寿命≥150000小时，平均失效间隔时间MTBF≥150000小时，设备在正常工作条件下，连续工作168h，不出现电、机械或操作系统的故障，支持7×24h连续工作。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15.IP防护等级：达到IP40或以上防护等级；PCB阻燃试验：塑料面板、PCB、塑胶件、内部线材应满足V-0阻燃等级要求。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16.雾度：可见光投射比≥89.89%，因磨耗引起的雾度≤1.30%，抗磨性能符合标准中的技术要求。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防护功能：具备防尘、防水、防盐雾、防反光、防静电、耐高温高湿、耐黄变、散热均匀等功能特点具有防潮，完全防尘，防腐蚀，防虫，防静电、抗震动、防电磁干扰、防撞、防摔、抗UV、抗雷击、抗冲击、抗挤碰等功能，具有电源过压、过流、短路、过压、欠压保护、断电保护、分布上电措施，具有实时监控温度、故障报警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18.屏幕温升（运行状态）：显示屏在点亮5分钟后的温度升幅&lt;5℃，点亮15分钟后的温度升幅&lt;10℃，点亮30分钟以上温度&lt;15℃，最大亮度白色连续工作2小时，表面温升&lt;20℃，符合标准要求。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19.安全特性：符合SJ/T11141-2017发光二极管(LED)显示屏通用规范标准对安全的要求。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20.电路板采用多层PCB设计，一体化驱动控制,电路采用多层设计应符合国家标准CQC13-471301-2018的要求；PCB焊盘采用沉金工艺处理，无电感效应，不花屏，具备消隐、节能功能。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21.所投LED显示屏通过168小时老化测试、跌落测试，振动试验，冷热冲击试验。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22.所投LED显示屏通过GB/T6587-2012规定的三级流通条件进行运输试验。需提供具有CMA标志的第三方检测机构出具的检验报告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23.观看舒适度：1级，基本无疲劳感,支持HDR显示效果。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24.光生物安全：符合GB/T 20145-2006标准要求,无危害类。</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25.EMF：符合EN62311标准降低电磁辐射对人体身体健康的影响。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26.安全特性：符合SJ/T 11141-2017 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为保证产品的绿色环保性能，对人体不产生危害，LED显示屏的设计生产活动中，所有电子元器件、组装件、相关物料和过程通过国际电工委员会质量评定体系(IECQ)标准要求，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28.▲所投LED显示屏型号具有CCC认证证书。提供证书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29.▲所投LED显示屏型号具有中国节能产品认证证书。提供证书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30.色彩品质：符合色彩品质A级的要求。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31.视觉健康：符合视觉健康认证技术规范认证规则的要求。</w:t>
            </w:r>
            <w:r>
              <w:rPr>
                <w:rFonts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22.53</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开关电源</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1.额定输入电压：200VAC—240VAC</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2.输入频率：50Hz</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3.额定输出电压：4.5Vdc</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4.额定输出电流：40A</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5.稳压精度：±3%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6.负载调整率：±2%</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7.温度系数：±0.03%/℃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8.电压过冲：&lt;5.0%</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9.纹波噪声：&lt;250mV</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10.短路保护：可长期短路，消除短路后自动恢复工作，过流保护。</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11.散热方式：自然对流散热。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12.为保证系统兼容性以及售后服务稳定性，电源品牌与显示屏为同一品牌。提供CQC认证证书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74</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接收卡</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1.超大带载：自带12个以上HUB75接口，最大支持带载≥512×512，RGB并行数据组≥24组。</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2.支持1~64扫任意扫描方式，支持各种PWM芯片、双锁存芯片、通用芯片。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3.支持多种主流色域、自定义色域一键调节。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4.支持通过接收卡自带按钮进入测试模式(红、绿、蓝、白、斜扫、灰度渐变等模式)，用于模组显示测试。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5.支持修改HUB接口数据组交换，并固化到接收卡中，支持本地、云配置文件/固件一键导入。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6.灵活带载，单卡支持8组、16组、24组、32组数据输出模式。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7.集成网络变压器—全面解决hublayout难度大,产品一致性差，误码率等问题，让信号传输更稳定。</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8.支持逐点亮色度校正，可以对每个灯点的亮度和色度进行校正，有效消除色差，使整屏的亮度和色度达到高度均匀一致，提高显示屏的画质。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9.快速亮暗线调节在调试软件上进行快速亮暗线调节快速解决因箱体及模组拼接造成的显示屏亮暗线，调节过程中即时生效，简单易用。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10.配合支持3D功能的独立主控，在软件或独立主控的操作面板上开启3D功能，并设置3D参数，使画面显示3D效果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11.支持画面90度倍数旋转，配合控制器可以实现任意角度旋转。</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12.支持智能模组，无需监控卡，可以实现温度/电压/排线/灯点检测制造日期/制造商信息检测(定制程序支持)。</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13.支持接收卡预存画面设置，可以将指定图片设置为显示屏的开机画面、网线断开或无视频源信号时的画面。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14.支持灯板flash管理，校正系数双备份，更换灯板后，无需重新上传校正系数，屏体重新断上电即可使用对应灯板校正系数。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15.支持5pin液晶模块，用于显示接收卡的温度、电压、单次运行时间和总运行时间。</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16.接收卡电源接口与灯板电源接口一致(与灯板电源一致)，无需单独配线，安装方便。</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17.RGB独立Gamma调节技术增加调节维度，通过对“红Gamma”、“绿Gamma”、“蓝Gamma”分别进行调节有效控制显示屏低灰不均匀、白平衡漂移等问题，使画面更加真实，提高色彩调节的灵活性。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18.支持Mapping功能，启用Mapping功能后，目标箱体上会显示接收卡编号和网口信息，可以清晰获取接收卡的位置和走线方式。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19.支持监测自身的温度和电压，无需其他外设，在软件上可以查看接收卡的温度和电压。</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20.▲支持检测发送设备与接收卡间或接收卡与接收卡间的网络通讯质量，记录错误包数，协助排除网络通讯隐患。需提供具有CMA标志的第三方检测机构出具的检验报告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21.支持可以回读接收卡的固件程序、配置参数并保存到本地。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22.通过主备冗余机制增加接收卡间网线级联的可靠性。主备级联线路中，当其中一条线路出现故障时，另一条线路会即时工作，保证显示屏正常工作。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23.接收卡出厂时保存了两份应用程序，以防程序更新过程异常导致的接收卡死锁问题，通过软件在接收卡上保存两份接收卡配置参数，其中一份作为备份参数。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24.可配合多功能卡，实现当温度高于设定值时，自动断电，或打开风扇空调降低温度，保证屏体安全。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25.电源插头或电源引入端子与外壳裸露金属部件之间的绝缘电阻在正常大气条件下应≥100MΩ，湿热条件下应≥2MΩ。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26.产品支持热插拔，接收卡维护无需断电。</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27.超宽电压输入，支持DC：3.3V~5.5V电压输入，额度功率≤2.5W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28.工作极限环境：支持温度-20℃~70℃,环境工作湿度10%RH~90%RH环境。</w:t>
            </w:r>
            <w:r>
              <w:rPr>
                <w:rFonts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张</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44</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LED视频处理器</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1.单台具备不少于10路千兆网口输出，带载能力可达690万像素、最宽4096像素、最高2160像素，网口带载没有矩形带载限制，支持自由走线，最大化提高网口带载利用率。</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2.二合一设计理念，集视频处理器和发送卡功能于一体，系统连线更少，稳定性和兼容性大大提升。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3.拥有完备的视频输入接口：1路HDMI2.0，1路DP1.2，（可根据实际需求选配）。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 HDR 功能，支持主动式 3D。</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5.支持个性化的画质缩放：支持不少于三种画面缩放模式，包括点对点模式、全屏缩放、自定义缩放。搭载superview画质处理技术，画面可无极缩放。</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6.支持对LED显示屏输出画面的画质调节，包括但不限于：亮度、饱和度、对比度等。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7.支持多画面同时显示，不少于6画面的任意布局，至少包含2路4K画面+4路2K画面。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8.支持OSD字幕功能，字幕背景，内容可通过软件自定义编辑。</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9.支持高位深信号输入源输入，可支持8bit、10bit、12bit信号输入。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10.支持伴随音频和独立音频，支持音量大小调节。音频可随视频随路切换。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11.支持场景预设功能，可创建不低于10个用户场景作为模板保存，方便直接调用。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 HDMI、DP 输入分辨率自定义调节，最大可支持 4096*2160@60 信号输入，并向下兼容。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13.支持选择 HDMI 输入源或 DP 输入源作为同步信号,达到输出的场级同步。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14.支持配合多功能卡，实现对屏体电源的手动控制，自动控制，以及软件控制，灵活简单。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15.▲所投视频控制器具有CCC认证证书。提供证书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16.▲为保证系统兼容性以及售后服务稳定性，视频控制器品牌与显示屏为同一品牌。</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LED钢架</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定制显示屏安装框架结构及装饰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22.53</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LED显示屏控制软件</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1.可实现对LED显示屏、配电柜、拼接处理器等设备进行集中管理和控制,操作端在网络内可灵活部署。</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2.支持显示素材多样化，各种视频文件、图片、字幕、流媒体、IP桌面、超大分辨率图像等的任意开窗、叠加显示。</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3.系统支持PC端触控操作，支持在线、离线场景编辑，支持多权限、多用户同时操作、分区操作，数据库实时数据更新。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4.C/S或B/S架构，操作平台和服务分离，控制便捷、执行效率高。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5.支持LED显示屏等系统设备工作状态实时监控、故障智能诊断。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6.支持自动的场景、节目播放、开关控制，适应各时段、多类型显示需求。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LED显示屏播放系统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按照用户需求控制LED大屏幕显示系统，可以通过云端系统控制各个LED终端，与控制系统其他分项无缝兼容，完全满足控制系统性能需求。可实现同异步显示，超大带载，可实现多画面及远程上电功能，封装材料,辅助材料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图形工作站</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高配工控服务器：CPU ：</w:t>
            </w:r>
            <w:r>
              <w:rPr>
                <w:rFonts w:hint="eastAsia" w:ascii="宋体" w:hAnsi="宋体" w:cs="宋体"/>
                <w:color w:val="000000"/>
                <w:sz w:val="22"/>
                <w:szCs w:val="22"/>
                <w:highlight w:val="none"/>
                <w:lang w:val="en-US" w:eastAsia="zh-CN" w:bidi="ar"/>
              </w:rPr>
              <w:t xml:space="preserve">主频≥3.6G，核心数量≥12，线程数量≥20</w:t>
            </w:r>
            <w:r>
              <w:rPr>
                <w:rFonts w:hint="eastAsia" w:ascii="宋体" w:hAnsi="宋体" w:cs="宋体"/>
                <w:color w:val="000000"/>
                <w:sz w:val="22"/>
                <w:szCs w:val="22"/>
                <w:highlight w:val="none"/>
                <w:lang w:bidi="ar"/>
              </w:rPr>
              <w:t xml:space="preserve">，主板 ：</w:t>
            </w:r>
            <w:r>
              <w:rPr>
                <w:rFonts w:ascii="Segoe UI" w:hAnsi="Segoe UI" w:eastAsia="Segoe UI" w:cs="Segoe UI"/>
                <w:i w:val="0"/>
                <w:caps w:val="0"/>
                <w:spacing w:val="0"/>
                <w:sz w:val="21"/>
                <w:szCs w:val="21"/>
                <w:highlight w:val="none"/>
                <w:shd w:val="clear" w:color="auto" w:fill="ffffff"/>
              </w:rPr>
              <w:t xml:space="preserve">主板需支持第12代或更新的Intel芯片组，或等效性能的其他品牌芯片组</w:t>
            </w:r>
            <w:r>
              <w:rPr>
                <w:rFonts w:hint="eastAsia" w:ascii="宋体" w:hAnsi="宋体" w:cs="宋体"/>
                <w:color w:val="000000"/>
                <w:sz w:val="22"/>
                <w:szCs w:val="22"/>
                <w:highlight w:val="none"/>
                <w:lang w:bidi="ar"/>
              </w:rPr>
              <w:t xml:space="preserve">，内存：8G，硬盘：240Gm2,独立显卡：</w:t>
            </w:r>
            <w:r>
              <w:rPr>
                <w:rFonts w:hint="eastAsia" w:ascii="宋体" w:hAnsi="宋体" w:cs="宋体"/>
                <w:color w:val="000000"/>
                <w:sz w:val="22"/>
                <w:szCs w:val="22"/>
                <w:highlight w:val="none"/>
                <w:lang w:val="en-US" w:eastAsia="zh-CN" w:bidi="ar"/>
              </w:rPr>
              <w:t xml:space="preserve">显存≥16G</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输出接口≥4DP,</w:t>
            </w:r>
            <w:r>
              <w:rPr>
                <w:rFonts w:hint="eastAsia" w:ascii="宋体" w:hAnsi="宋体" w:eastAsia="宋体" w:cs="宋体"/>
                <w:i w:val="0"/>
                <w:caps w:val="0"/>
                <w:spacing w:val="0"/>
                <w:sz w:val="22"/>
                <w:szCs w:val="22"/>
                <w:highlight w:val="none"/>
                <w:shd w:val="clear" w:color="auto" w:fill="ffffff"/>
              </w:rPr>
              <w:t xml:space="preserve">显卡性能不低于NVIDIA A4000的水平</w:t>
            </w:r>
            <w:r>
              <w:rPr>
                <w:rFonts w:hint="eastAsia" w:ascii="宋体" w:hAnsi="宋体" w:eastAsia="宋体" w:cs="宋体"/>
                <w:i w:val="0"/>
                <w:caps w:val="0"/>
                <w:spacing w:val="0"/>
                <w:sz w:val="22"/>
                <w:szCs w:val="22"/>
                <w:highlight w:val="none"/>
                <w:shd w:val="clear" w:color="auto" w:fill="ffffff"/>
                <w:lang w:val="en-US" w:eastAsia="zh-CN"/>
              </w:rPr>
              <w:t xml:space="preserve">；</w:t>
            </w:r>
            <w:r>
              <w:rPr>
                <w:rFonts w:hint="eastAsia" w:ascii="宋体" w:hAnsi="宋体" w:cs="宋体"/>
                <w:color w:val="000000"/>
                <w:sz w:val="22"/>
                <w:szCs w:val="22"/>
                <w:highlight w:val="none"/>
                <w:lang w:bidi="ar"/>
              </w:rPr>
              <w:t xml:space="preserve">电源：800W电源；操作系统：WINdows10</w:t>
            </w:r>
            <w:r>
              <w:rPr>
                <w:rStyle w:val="1064"/>
                <w:color w:val="000000"/>
                <w:highlight w:val="none"/>
              </w:rPr>
              <w:t xml:space="preserve">或更高版本，或兼容的其他操作系统，满足系统稳定运行需求</w:t>
            </w:r>
            <w:r>
              <w:rPr>
                <w:rStyle w:val="1064"/>
                <w:rFonts w:hint="eastAsia" w:eastAsia="宋体"/>
                <w:color w:val="000000"/>
                <w:highlight w:val="none"/>
                <w:lang w:eastAsia="zh-CN"/>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壁挂音箱</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同轴喇叭，同磁钢双回路技术，高音和低音声音同步，无时间差，声音清晰，声场分布均匀， 低音单元防水圆锥形；高音单元液冷平衡球形；输入功率：30W-80W；灵敏度 85-87 dB/2.83 V/1m</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功放</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配备蓝牙、 双声道强劲环绕声；兼容HD音频的CINEMA DSP；蓝牙压缩音质增强功能；短路，断路、热和RF保护 、对直流帮助和负载保护冷却系统。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2</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路演中心</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红外触控一体机（75寸）</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尺寸：75inch；分辨率：3840×2160；显示比例：16:9；亮度：450cd/C㎡；对比度：5000：1；采样率：≥60Hz；响应速度：点击：8ms 连续：3ms定位精度：≤±2mm；可视角度：178°(V)/178°(H) （典型）；使用寿命：60000(hrs)；CPU ：</w:t>
            </w:r>
            <w:r>
              <w:rPr>
                <w:rFonts w:hint="eastAsia" w:ascii="宋体" w:hAnsi="宋体" w:cs="宋体"/>
                <w:color w:val="000000"/>
                <w:sz w:val="22"/>
                <w:szCs w:val="22"/>
                <w:highlight w:val="none"/>
                <w:lang w:val="en-US" w:eastAsia="zh-CN" w:bidi="ar"/>
              </w:rPr>
              <w:t xml:space="preserve">主频≥2.8G，核心数量≥10</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内存≥</w:t>
            </w:r>
            <w:r>
              <w:rPr>
                <w:rFonts w:hint="eastAsia" w:ascii="宋体" w:hAnsi="宋体" w:cs="宋体"/>
                <w:color w:val="000000"/>
                <w:sz w:val="22"/>
                <w:szCs w:val="22"/>
                <w:highlight w:val="none"/>
                <w:lang w:bidi="ar"/>
              </w:rPr>
              <w:t xml:space="preserve">8g，</w:t>
            </w:r>
            <w:r>
              <w:rPr>
                <w:rFonts w:hint="eastAsia" w:ascii="宋体" w:hAnsi="宋体" w:cs="宋体"/>
                <w:color w:val="000000"/>
                <w:sz w:val="22"/>
                <w:szCs w:val="22"/>
                <w:highlight w:val="none"/>
                <w:lang w:val="en-US" w:eastAsia="zh-CN" w:bidi="ar"/>
              </w:rPr>
              <w:t xml:space="preserve">硬盘≥</w:t>
            </w:r>
            <w:r>
              <w:rPr>
                <w:rFonts w:hint="eastAsia" w:ascii="宋体" w:hAnsi="宋体" w:cs="宋体"/>
                <w:color w:val="000000"/>
                <w:sz w:val="22"/>
                <w:szCs w:val="22"/>
                <w:highlight w:val="none"/>
                <w:lang w:bidi="ar"/>
              </w:rPr>
              <w:t xml:space="preserve">128G；红外触摸。</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显示器安装支架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配套显示器安装支架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3</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工业互联</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红外触控一体机（65寸）</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86"/>
              <w:rPr>
                <w:rStyle w:val="1064"/>
                <w:rFonts w:hint="eastAsia" w:eastAsia="宋体"/>
                <w:color w:val="000000"/>
                <w:highlight w:val="none"/>
                <w:lang w:val="en-US" w:eastAsia="zh-CN"/>
              </w:rPr>
            </w:pPr>
            <w:r>
              <w:rPr>
                <w:rFonts w:hint="eastAsia" w:ascii="宋体" w:hAnsi="宋体" w:cs="宋体"/>
                <w:color w:val="ff0000"/>
                <w:sz w:val="22"/>
                <w:szCs w:val="22"/>
                <w:highlight w:val="none"/>
                <w:lang w:bidi="ar"/>
              </w:rPr>
              <w:t xml:space="preserve">尺寸：65inch；分辨率：1920*1080；显示面积：714(H)*411(V)MM；显示比例：16:9；亮度：300cd/C㎡；对比度：1400：1；可视角度：178°(V)/178°(H) （典型）；使用寿命：60000(hrs)；机身尺寸：759.4*453.8*96.5MM（长*宽*厚度）；外壳材料：铝型材、钣金、刚化玻璃；主机配置：CPU ：</w:t>
            </w:r>
            <w:r>
              <w:rPr>
                <w:rFonts w:hint="eastAsia" w:ascii="宋体" w:hAnsi="宋体" w:cs="宋体"/>
                <w:color w:val="ff0000"/>
                <w:sz w:val="22"/>
                <w:szCs w:val="22"/>
                <w:highlight w:val="none"/>
                <w:lang w:val="en-US" w:eastAsia="zh-CN" w:bidi="ar"/>
              </w:rPr>
              <w:t xml:space="preserve">主频≥2.8G，核心数量≥10</w:t>
            </w:r>
            <w:r>
              <w:rPr>
                <w:rFonts w:hint="eastAsia" w:ascii="宋体" w:hAnsi="宋体" w:cs="宋体"/>
                <w:color w:val="ff0000"/>
                <w:sz w:val="22"/>
                <w:szCs w:val="22"/>
                <w:highlight w:val="none"/>
                <w:lang w:bidi="ar"/>
              </w:rPr>
              <w:t xml:space="preserve">,</w:t>
            </w:r>
            <w:r>
              <w:rPr>
                <w:rFonts w:hint="eastAsia" w:ascii="宋体" w:hAnsi="宋体" w:cs="宋体"/>
                <w:color w:val="ff0000"/>
                <w:sz w:val="22"/>
                <w:szCs w:val="22"/>
                <w:highlight w:val="none"/>
                <w:lang w:val="en-US" w:eastAsia="zh-CN" w:bidi="ar"/>
              </w:rPr>
              <w:t xml:space="preserve">内存≥</w:t>
            </w:r>
            <w:r>
              <w:rPr>
                <w:rFonts w:hint="eastAsia" w:ascii="宋体" w:hAnsi="宋体" w:cs="宋体"/>
                <w:color w:val="ff0000"/>
                <w:sz w:val="22"/>
                <w:szCs w:val="22"/>
                <w:highlight w:val="none"/>
                <w:lang w:bidi="ar"/>
              </w:rPr>
              <w:t xml:space="preserve">8g，</w:t>
            </w:r>
            <w:r>
              <w:rPr>
                <w:rFonts w:hint="eastAsia" w:ascii="宋体" w:hAnsi="宋体" w:cs="宋体"/>
                <w:color w:val="ff0000"/>
                <w:sz w:val="22"/>
                <w:szCs w:val="22"/>
                <w:highlight w:val="none"/>
                <w:lang w:val="en-US" w:eastAsia="zh-CN" w:bidi="ar"/>
              </w:rPr>
              <w:t xml:space="preserve">硬盘≥</w:t>
            </w:r>
            <w:r>
              <w:rPr>
                <w:rFonts w:hint="eastAsia" w:ascii="宋体" w:hAnsi="宋体" w:cs="宋体"/>
                <w:color w:val="ff0000"/>
                <w:sz w:val="22"/>
                <w:szCs w:val="22"/>
                <w:highlight w:val="none"/>
                <w:lang w:bidi="ar"/>
              </w:rPr>
              <w:t xml:space="preserve">128G；系统：</w:t>
            </w:r>
            <w:r>
              <w:rPr>
                <w:rStyle w:val="1064"/>
                <w:color w:val="000000"/>
                <w:highlight w:val="none"/>
              </w:rPr>
              <w:t xml:space="preserve">操作系统需为Windows 10或更高版本，或兼容的其他操作系统，满足系统稳定运行需求</w:t>
            </w:r>
            <w:r>
              <w:rPr>
                <w:rStyle w:val="1064"/>
                <w:rFonts w:hint="eastAsia" w:eastAsia="宋体"/>
                <w:color w:val="000000"/>
                <w:highlight w:val="none"/>
                <w:lang w:eastAsia="zh-CN"/>
              </w:rPr>
              <w:t xml:space="preserve">；</w:t>
            </w:r>
            <w:r>
              <w:rPr>
                <w:rStyle w:val="1064"/>
                <w:rFonts w:hint="eastAsia" w:eastAsia="宋体"/>
                <w:color w:val="000000"/>
                <w:highlight w:val="none"/>
                <w:lang w:val="en-US" w:eastAsia="zh-CN"/>
              </w:rPr>
            </w:r>
            <w:r/>
          </w:p>
          <w:p>
            <w:pPr>
              <w:pStyle w:val="1019"/>
              <w:jc w:val="left"/>
              <w:widowControl/>
              <w:rPr>
                <w:rFonts w:ascii="宋体" w:hAnsi="宋体" w:cs="宋体"/>
                <w:color w:val="000000"/>
                <w:sz w:val="22"/>
                <w:szCs w:val="22"/>
                <w:highlight w:val="none"/>
                <w:lang w:bidi="ar"/>
              </w:rPr>
            </w:pPr>
            <w:r>
              <w:rPr>
                <w:rFonts w:hint="eastAsia" w:ascii="宋体" w:hAnsi="宋体" w:cs="宋体"/>
                <w:color w:val="ff0000"/>
                <w:sz w:val="22"/>
                <w:szCs w:val="22"/>
                <w:highlight w:val="none"/>
                <w:lang w:bidi="ar"/>
              </w:rPr>
              <w:t xml:space="preserve">触摸技术：红外触摸；书写方式：手指、触摸笔。</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显示器安装支架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配套显示器安装支架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互动查询软件许可证</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单屏许可证，系统标准功能包包含：滑页展示、转场动态特效、视频播放、海报、LOGO重点展示。对触控模块每个收发单位进行毫秒级光线轮播查询、数据反馈、实现准确的前端程序与硬件系统的定位交互。</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吸顶音箱</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同轴喇叭，同磁钢双回路技术，高音和低音声音同步，无时间差，声音清晰，声场分布均匀。油漆音箱框架和防尘罩；灵敏度：88 dB/2.83 V/1 m；输入功率(大/额定)：150W / 50W；阻抗：8 Ohms。</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r>
            <w:r/>
          </w:p>
        </w:tc>
      </w:tr>
      <w:tr>
        <w:trPr>
          <w:trHeight w:val="67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功放</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配备蓝牙、 双声道强劲环绕声；兼容HD音频的</w:t>
            </w:r>
            <w:r>
              <w:rPr>
                <w:rStyle w:val="1064"/>
                <w:color w:val="000000"/>
                <w:highlight w:val="none"/>
              </w:rPr>
              <w:t xml:space="preserve">支持高清音频处理技术</w:t>
            </w:r>
            <w:r>
              <w:rPr>
                <w:rFonts w:hint="eastAsia" w:ascii="宋体" w:hAnsi="宋体" w:cs="宋体"/>
                <w:color w:val="000000"/>
                <w:sz w:val="22"/>
                <w:szCs w:val="22"/>
                <w:highlight w:val="none"/>
                <w:lang w:bidi="ar"/>
              </w:rPr>
              <w:t xml:space="preserve">；蓝牙压缩音质增强功能；短路，断路、热和RF保护 、对直流帮助和负载保护冷却系统。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4</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魔屏互动</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拼接显示屏（55寸）</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尺寸：55寸；拼接缝隙：3.5mm；分辨率：1920 x1080；屏幕亮度：500cd/m²；丰富的接口：支持DVI、HDMI、VGA等信号格式；对比度：1400：1；开窗方式：单屏显示、窗口组合显示、全屏显示；可视频角度：178°（H）/178°（V）。</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拼接屏安装支架</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超薄支架，支架配有上下/左右/前后共六方位微调装置，屏体拼逢平整。</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9</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超高清图像拼接系统</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采用自主研发上位机控制调试软件，可视化调试自定义各种不同的超清分辨率；采用自研同步算法，可达动态视频帧同步；含定制拼接系统、拼接控制卡,配套LVDS线，电源线等。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9</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拼接显示系统控制软件</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大屏幕拼接系统专用控制管理软件；采用目前行业最领先的图像处理技术，加之最新图像引擎处理算法，显示效果佳。具有超强超距离信号处理功能，支持后期升级。</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二维结构光触控系统</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根据现场尺寸定制触控框。</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多屏扩展装置（3通道）</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多屏扩展仪（3通道）。</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图形工作站</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高配工控服务器：CPU ：</w:t>
            </w:r>
            <w:r>
              <w:rPr>
                <w:rFonts w:hint="eastAsia" w:ascii="宋体" w:hAnsi="宋体" w:cs="宋体"/>
                <w:color w:val="000000"/>
                <w:sz w:val="22"/>
                <w:szCs w:val="22"/>
                <w:highlight w:val="none"/>
                <w:lang w:val="en-US" w:eastAsia="zh-CN" w:bidi="ar"/>
              </w:rPr>
              <w:t xml:space="preserve">主频≥3.6G，核心数量≥12，线程数量≥20</w:t>
            </w:r>
            <w:r>
              <w:rPr>
                <w:rFonts w:hint="eastAsia" w:ascii="宋体" w:hAnsi="宋体" w:cs="宋体"/>
                <w:color w:val="000000"/>
                <w:sz w:val="22"/>
                <w:szCs w:val="22"/>
                <w:highlight w:val="none"/>
                <w:lang w:bidi="ar"/>
              </w:rPr>
              <w:t xml:space="preserve">，主板 ：</w:t>
            </w:r>
            <w:r>
              <w:rPr>
                <w:rFonts w:ascii="Segoe UI" w:hAnsi="Segoe UI" w:eastAsia="Segoe UI" w:cs="Segoe UI"/>
                <w:i w:val="0"/>
                <w:caps w:val="0"/>
                <w:spacing w:val="0"/>
                <w:sz w:val="21"/>
                <w:szCs w:val="21"/>
                <w:highlight w:val="none"/>
                <w:shd w:val="clear" w:color="auto" w:fill="ffffff"/>
              </w:rPr>
              <w:t xml:space="preserve">主板需支持第12代或更新的Intel芯片组，或等效性能的其他品牌芯片组</w:t>
            </w:r>
            <w:r>
              <w:rPr>
                <w:rFonts w:hint="eastAsia" w:ascii="宋体" w:hAnsi="宋体" w:cs="宋体"/>
                <w:color w:val="000000"/>
                <w:sz w:val="22"/>
                <w:szCs w:val="22"/>
                <w:highlight w:val="none"/>
                <w:lang w:bidi="ar"/>
              </w:rPr>
              <w:t xml:space="preserve">，内存：8G，硬盘：240Gm2,独立显卡：</w:t>
            </w:r>
            <w:r>
              <w:rPr>
                <w:rFonts w:hint="eastAsia" w:ascii="宋体" w:hAnsi="宋体" w:cs="宋体"/>
                <w:color w:val="000000"/>
                <w:sz w:val="22"/>
                <w:szCs w:val="22"/>
                <w:highlight w:val="none"/>
                <w:lang w:val="en-US" w:eastAsia="zh-CN" w:bidi="ar"/>
              </w:rPr>
              <w:t xml:space="preserve">显存≥16G</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输出接口≥4DP,</w:t>
            </w:r>
            <w:r>
              <w:rPr>
                <w:rFonts w:ascii="Segoe UI" w:hAnsi="Segoe UI" w:eastAsia="Segoe UI" w:cs="Segoe UI"/>
                <w:i w:val="0"/>
                <w:caps w:val="0"/>
                <w:spacing w:val="0"/>
                <w:sz w:val="21"/>
                <w:szCs w:val="21"/>
                <w:highlight w:val="none"/>
                <w:shd w:val="clear" w:color="auto" w:fill="ffffff"/>
              </w:rPr>
              <w:t xml:space="preserve">显卡性能不低于NVIDIA A4000的水平</w:t>
            </w:r>
            <w:r>
              <w:rPr>
                <w:rFonts w:hint="eastAsia" w:ascii="Segoe UI" w:hAnsi="Segoe UI" w:eastAsia="宋体" w:cs="Segoe UI"/>
                <w:i w:val="0"/>
                <w:caps w:val="0"/>
                <w:spacing w:val="0"/>
                <w:sz w:val="21"/>
                <w:szCs w:val="21"/>
                <w:highlight w:val="none"/>
                <w:shd w:val="clear" w:color="auto" w:fill="ffffff"/>
                <w:lang w:val="en-US" w:eastAsia="zh-CN"/>
              </w:rPr>
              <w:t xml:space="preserve">；</w:t>
            </w:r>
            <w:r>
              <w:rPr>
                <w:rFonts w:hint="eastAsia" w:ascii="宋体" w:hAnsi="宋体" w:cs="宋体"/>
                <w:color w:val="000000"/>
                <w:sz w:val="22"/>
                <w:szCs w:val="22"/>
                <w:highlight w:val="none"/>
                <w:lang w:bidi="ar"/>
              </w:rPr>
              <w:t xml:space="preserve">电源：800W电源；操作系统：WINdows10</w:t>
            </w:r>
            <w:r>
              <w:rPr>
                <w:rStyle w:val="1064"/>
                <w:color w:val="000000"/>
                <w:highlight w:val="none"/>
              </w:rPr>
              <w:t xml:space="preserve">或更高版本，或兼容的其他操作系统，满足系统稳定运行需求</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壁挂音箱</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同轴喇叭，同磁钢双回路技术，高音和低音声音同步，无时间差，声音清晰，声场分布均匀， 低音单元防水圆锥形；高音单元液冷平衡球形；输入功率：30W-80W；灵敏度 85-87 dB/2.83 V/1m。</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功放</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4"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配备蓝牙、 双声道强劲环绕声；兼容HD音频的CINEMA DSP；蓝牙压缩音质增强功能；短路，断路、热和RF保护 、对直流帮助和负载保护冷却系统。</w:t>
            </w:r>
            <w:r>
              <w:rPr>
                <w:rFonts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魔屏互动智能系统</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动态图片展示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无人操作或手动选择时，显示适应全屏的动态图片。</w:t>
            </w:r>
            <w:r>
              <w:rPr>
                <w:rFonts w:ascii="宋体" w:hAnsi="宋体" w:cs="宋体"/>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16" w:type="dxa"/>
            <w:vAlign w:val="center"/>
            <w:vMerge w:val="restart"/>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93" w:type="dxa"/>
            <w:vAlign w:val="center"/>
            <w:vMerge w:val="restart"/>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点赞功能</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点击爱心按钮，可对当前展品点赞。系统可以统计点赞数量，并进行排名。</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动态文本展示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无人操作或手动选择时，会有独立动态文本内容展示。</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独立图片窗口</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在小窗口中展示展品的名称、简介和图片，可以左右滑动进行切换。</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后台数据更新程序</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在线维护所有后台数据，包括内容的增加、修改、删除等。</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界面切换特效</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画面切换时会有各种动态特效展示。</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类别切换功能</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画面切换时会有各种动态特效展示。</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窗口视频播放功能</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独立窗口中播放展品视频，并控制视频的进度条、播放和暂停。</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窗口海报展示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独立窗口中展示相应海报，可以左右滑动进行切换。</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图文突出展示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在大屏中突出显示重点项目的图文或视频。</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全屏动态海报</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无人操作或手动选择时，显示适应全屏的动态海报。</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多人交互系统</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通过超高清图形编码、动态同步显示技术与多人交互技术。</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多屏拼接系统</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实现拼接大屏超高分辨率魔屏互动展示程序。</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产品信息展示</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显示展品的详细文字介绍。</w:t>
            </w: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全屏视频播放功能</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在无人操作或手动选择播放时，播放适应全屏的视频。</w:t>
            </w:r>
            <w:r>
              <w:rPr>
                <w:rFonts w:ascii="宋体" w:hAnsi="宋体" w:cs="宋体"/>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16" w:type="dxa"/>
            <w:vAlign w:val="center"/>
            <w:vMerge w:val="continue"/>
            <w:textDirection w:val="lrTb"/>
            <w:noWrap w:val="false"/>
          </w:tcPr>
          <w:p>
            <w:pPr>
              <w:pStyle w:val="1019"/>
              <w:jc w:val="center"/>
              <w:widowControl/>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93" w:type="dxa"/>
            <w:vAlign w:val="center"/>
            <w:vMerge w:val="continue"/>
            <w:textDirection w:val="lrTb"/>
            <w:noWrap w:val="false"/>
          </w:tcPr>
          <w:p>
            <w:pPr>
              <w:pStyle w:val="1019"/>
              <w:jc w:val="center"/>
              <w:widowControl/>
              <w:rPr>
                <w:rFonts w:ascii="宋体" w:hAnsi="宋体" w:cs="宋体"/>
                <w:color w:val="000000"/>
                <w:sz w:val="22"/>
                <w:szCs w:val="22"/>
                <w:highlight w:val="none"/>
                <w:lang w:val="en-US" w:eastAsia="zh-CN" w:bidi="ar"/>
              </w:rPr>
            </w:pPr>
            <w:r>
              <w:rPr>
                <w:rFonts w:ascii="宋体" w:hAnsi="宋体" w:cs="宋体"/>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5</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拓维教室</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LED屏（P2）</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1.显示尺寸为宽≥ 5.12m，高≥ 2.24m；屏幕分辨率：≥2560 *1120。</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2.▲像素点间距：≤2mm，像素构成：表贴三合一，像素密度：≥250000，模组尺寸(W×H）：320×160mm。提供具有CMA标志的第三方检测机构出具的检验报告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3.材质：塑胶底壳，模块采用高强度塑胶+纤套件，产品轻巧安装精度高。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4.白平衡亮度（nits）≥800，对比度≥8500∶1，刷新率≥3840H。</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5.色温（K）：1000～30000可调，色度均匀性在±0.001Cx，Cy 之内。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6.水平视角 ≥170°，垂直视角≥170°。需提供具有CMA标志的第三方检测机构出具的检验报告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7.亮度均匀性≥98%，亮度鉴别等级C级。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8.亮度可调：支持通过配套软件 0-100%无级调节，256级手动/自动调节，屏幕亮度具有随环境照度的变化任意调整功能。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9.像素失控率≤0.00001，出厂时为0，无连续失控点。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10.驱动方式：带PWM功能的恒流驱动43S。</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11.像素中心距相对偏差、水平相对错位等级、垂直相对错位等级应符合SJ/T 11141-2017要求的等级C级。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12.最大功耗≤300W/㎡，平均功耗≤100W/㎡,支持动态节能，采用节能驱动技术设计，单模组纯功耗低于15W。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13.模组机械强度：模组机械强度≥30MPa；抗拉强度&gt;230Mpa；屈服强度&gt;170Mpa；单模块磁吸强度&gt;10kg，高强度磁吸能力能避免发生掉落事故。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14.稳定性：平均使用寿命≥150000小时，平均失效间隔时间MTBF≥150000小时，设备在正常工作条件下，连续工作168h，不出现电、机械或操作系统的故障，支持7×24h连续工作。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15.IP防护等级：达到IP40或以上防护等级；PCB阻燃试验：塑料面板、PCB、塑胶件、内部线材应满足V-0阻燃等级要求。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16.雾度：可见光投射比≥89.89%，因磨耗引起的雾度≤1.30%，抗磨性能符合标准中的技术要求。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防护功能：具备防尘、防水、防盐雾、防反光、防静电、耐高温高湿、耐黄变、散热均匀等功能特点具有防潮，完全防尘，防腐蚀，防虫，防静电、抗震动、防电磁干扰、防撞、防摔、抗UV、抗雷击、抗冲击、抗挤碰等功能，具有电源过压、过流、短路、过压、欠压保护、断电保护、分布上电措施，具有实时监控温度、故障报警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18.屏幕温升（运行状态）：显示屏在点亮5分钟后的温度升幅&lt;5℃，点亮15分钟后的温度升幅&lt;10℃，点亮30分钟以上温度&lt;15℃，最大亮度白色连续工作2小时，表面温升&lt;20℃，符合标准要求。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19.安全特性：符合SJ/T11141-2017发光二极管(LED)显示屏通用规范标准对安全的要求。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20.电路板采用多层PCB设计，一体化驱动控制,电路采用多层设计应符合国家标准CQC13-471301-2018的要求;PCB焊盘采用沉金工艺处理，无电感效应，不花屏，具备消隐、节能功能。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21.所投LED显示屏通过168小时老化测试、跌落测试，振动试验，冷热冲击试验。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22.所投LED显示屏通过GB/T6587-2012规定的三级流通条件进行运输试验。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23.观看舒适度：1级，基本无疲劳感,支持HDR显示效果。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24.光生物安全：符合GB/T 20145-2006标准要求,无危害类。</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25.EMF：符合EN62311标准降低电磁辐射对人体身体健康的影响。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26.安全特性：符合SJ/T 11141-2017 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27.▲为保证产品的绿色环保性能，对人体不产生危害，LED显示屏的设计生产活动中，所有电子元器件、组装件、相关物料和过程，需提供具有CMA标志的第三方检测机构出具的检验报告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28.▲所投LED显示屏型号具有CCC认证证书。提供证书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29.▲所投LED显示屏型号具有中国节能产品认证证书。提供证书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30.色彩品质：符合色彩品质A级的要求。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31.视觉健康：符合视觉健康认证技术规范认证规则的要求。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11.47</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LED视频处理器</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信号处理器背景LED与墙面LED需点对点；支持EDID配置管理：无需外接电脑，直接在设备上更改EDID，自定义输入分辨率；可通过LCD面板查看当前设备图层数量、接入信号状态、拼接方式、屏幕参数、输出分辨率、帧率等信息。可对整屏输出画面进行亮度、对比度调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开关电源</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val="en-US" w:eastAsia="zh-CN" w:bidi="ar"/>
              </w:rPr>
              <w:t xml:space="preserve">1.</w:t>
            </w:r>
            <w:r>
              <w:rPr>
                <w:rFonts w:hint="eastAsia" w:ascii="宋体" w:hAnsi="宋体" w:cs="宋体"/>
                <w:color w:val="000000"/>
                <w:sz w:val="22"/>
                <w:szCs w:val="22"/>
                <w:highlight w:val="none"/>
                <w:lang w:bidi="ar"/>
              </w:rPr>
              <w:t xml:space="preserve">额定输入电压：200VAC—240VAC</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bidi="ar"/>
              </w:rPr>
              <w:t xml:space="preserve">2.</w:t>
            </w:r>
            <w:r>
              <w:rPr>
                <w:rFonts w:hint="eastAsia" w:ascii="宋体" w:hAnsi="宋体" w:cs="宋体"/>
                <w:color w:val="000000"/>
                <w:sz w:val="22"/>
                <w:szCs w:val="22"/>
                <w:highlight w:val="none"/>
                <w:lang w:bidi="ar"/>
              </w:rPr>
              <w:t xml:space="preserve">输入频率：50Hz</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额定输出电压：4.5Vdc</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额定输出电流：40A</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稳压精度：±3%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负载调整率：±2%</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温度系数：±0.03%/℃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电压过冲：&lt;5.0%</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纹波噪声：&lt;250mV</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短路保护：可长期短路，消除短路后自动恢复工作，过流保护。</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散热方式：自然对流散热。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12.为保证系统兼容性以及售后服务稳定性。提供CQC认证证书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38</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接收卡</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1.超大带载：自带12个HUB75接口，最大支持带载512×512，RGB并行数据组24组。</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2.支持1~64扫任意扫描方式，支持各种PWM芯片、双锁存芯片、通用芯片。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3.支持多种主流色域、自定义色域一键调节。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4.支持通过接收卡自带按钮进入测试模式(红、绿、蓝、白、斜扫、灰度渐变等模式)，用于模组显示测试。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5.支持修改HUB接口数据组交换，并固化到接收卡中，支持本地、云配置文件/固件一键导入。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6.灵活带载，单卡支持8组、16组、24组、32组数据输出模式。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7.集成网络变压器—全面解决hublayout难度大,产品一致性差，误码率等问题，让信号传输更稳定。</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8.支持逐点亮色度校正，可以对每个灯点的亮度和色度进行校正，有效消除色差，使整屏的亮度和色度达到高度均匀一致，提高显示屏的画质。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9.快速亮暗线调节在调试软件上进行快速亮暗线调节快速解决因箱体及模组拼接造成的显示屏亮暗线，调节过程中即时生效，简单易用。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10.配合支持3D功能的独立主控，在软件或独立主控的操作面板上开启3D功能，并设置3D参数，使画面显示3D效果。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11.支持画面90度倍数旋转，配合控制器可以实现任意角度旋转。</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12.支持智能模组，无需监控卡，可以实现温度/电压/排线/灯点检测制造日期/制造商信息检测(定制程序支持)。</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13.支持接收卡预存画面设置，可以将指定图片设置为显示屏的开机画面、网线断开或无视频源信号时的画面。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14.支持灯板flash管理，校正系数双备份，更换灯板后，无需重新上传校正系数，屏体重新断上电即可使用对应灯板校正系数。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15.支持5pin液晶模块，用于显示接收卡的温度、电压、单次运行时间和总运行时间。</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16.接收卡电源接口与灯板电源接口一致(与灯板电源一致)，无需单独配线，安装方便。</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17.RGB独立Gamma调节技术增加调节维度，通过对“红Gamma”、“绿Gamma”、“蓝Gamma”分别进行调节有效控制显示屏低灰不均匀、白平衡漂移等问题，使画面更加真实，提高色彩调节的灵活性。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18.支持Mapping功能，启用Mapping功能后，目标箱体上会显示接收卡编号和网口信息，可以清晰获取接收卡的位置和走线方式。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19.支持监测自身的温度和电压，无需其他外设，在软件上可以查看接收卡的温度和电压。</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20.▲支持检测发送设备与接收卡间或接收卡与接收卡间的网络通讯质量，记录错误包数，协助排除网络通讯隐患。需提供具有CMA标志的第三方检测机构出具的检验报告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21.支持可以回读接收卡的固件程序、配置参数并保存到本地。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22.通过主备冗余机制增加接收卡间网线级联的可靠性。主备级联线路中，当其中一条线路出现故障时，另一条线路会即时工作，保证显示屏正常工作。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23.接收卡出厂时保存了两份应用程序，以防程序更新过程异常导致的接收卡死锁问题，通过软件在接收卡上保存两份接收卡配置参数，其中一份作为备份参数。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24.可配合多功能卡，实现当温度高于设定值时，自动断电，或打开风扇空调降低温度，保证屏体安全。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25.电源插头或电源引入端子与外壳裸露金属部件之间的绝缘电阻在正常大气条件下应≥100MΩ，湿热条件下应≥2MΩ。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26.产品支持热插拔，接收卡维护无需断电。</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27.超宽电压输入，支持DC:3.3V~5.5V电压输入，额度功率≤2.5W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28.工作极限环境：支持温度-20℃~70℃,环境工作湿度10%RH~90%RH环境。</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张</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32</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LED显示屏控制软件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1、可实现对LED显示屏、配电柜、拼接处理器等设备进行集中管理和控制,操作端在网络内可灵活部署。</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2、支持显示素材多样化，各种视频文件、图片、字幕、流媒体、IP桌面、超大分辨率图像等的任意开窗、叠加显示。</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3、系统支持PC端触控操作，支持在线、离线场景编辑，支持多权限、多用户同时操作、分区操作，数据库实时数据更新。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4、C/S或B/S架构，操作平台和服务分离，控制便捷、执行效率高。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5、支持LED显示屏等系统设备工作状态实时监控、故障智能诊断。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6、支持自动的场景、节目播放、开关控制，适应各时段、多类型显示需求。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LED显示屏播放系统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按照用户需求控制LED大屏幕显示系统，可以通过云端系统控制各个LED终端，与控制系统其他分项无缝兼容，完全满足控制系统性能需求。可实现同异步显示，超大带载，可实现多画面及远程上电功能，封装材料,辅助材料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LED钢架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定制显示屏安装框架结构及装饰。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11.47</w:t>
            </w:r>
            <w:r>
              <w:rPr>
                <w:rFonts w:hint="eastAsia" w:ascii="宋体" w:hAnsi="宋体" w:cs="宋体"/>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图形工作站</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高配工控服务器：CPU ：</w:t>
            </w:r>
            <w:r>
              <w:rPr>
                <w:rFonts w:hint="eastAsia" w:ascii="宋体" w:hAnsi="宋体" w:cs="宋体"/>
                <w:color w:val="000000"/>
                <w:sz w:val="22"/>
                <w:szCs w:val="22"/>
                <w:highlight w:val="none"/>
                <w:lang w:val="en-US" w:eastAsia="zh-CN" w:bidi="ar"/>
              </w:rPr>
              <w:t xml:space="preserve">主频≥3.6G，核心数量≥12，线程数量≥20</w:t>
            </w:r>
            <w:r>
              <w:rPr>
                <w:rFonts w:hint="eastAsia" w:ascii="宋体" w:hAnsi="宋体" w:cs="宋体"/>
                <w:color w:val="000000"/>
                <w:sz w:val="22"/>
                <w:szCs w:val="22"/>
                <w:highlight w:val="none"/>
                <w:lang w:bidi="ar"/>
              </w:rPr>
              <w:t xml:space="preserve">，主板 ：</w:t>
            </w:r>
            <w:r>
              <w:rPr>
                <w:rFonts w:ascii="Segoe UI" w:hAnsi="Segoe UI" w:eastAsia="Segoe UI" w:cs="Segoe UI"/>
                <w:i w:val="0"/>
                <w:caps w:val="0"/>
                <w:spacing w:val="0"/>
                <w:sz w:val="21"/>
                <w:szCs w:val="21"/>
                <w:highlight w:val="none"/>
                <w:shd w:val="clear" w:color="auto" w:fill="ffffff"/>
              </w:rPr>
              <w:t xml:space="preserve">主板需支持第12代或更新的Intel芯片组，或等效性能的其他品牌芯片组</w:t>
            </w:r>
            <w:r>
              <w:rPr>
                <w:rFonts w:hint="eastAsia" w:ascii="宋体" w:hAnsi="宋体" w:cs="宋体"/>
                <w:color w:val="000000"/>
                <w:sz w:val="22"/>
                <w:szCs w:val="22"/>
                <w:highlight w:val="none"/>
                <w:lang w:bidi="ar"/>
              </w:rPr>
              <w:t xml:space="preserve">，内存：8G，硬盘：240Gm2,独立显卡：</w:t>
            </w:r>
            <w:r>
              <w:rPr>
                <w:rFonts w:hint="eastAsia" w:ascii="宋体" w:hAnsi="宋体" w:cs="宋体"/>
                <w:color w:val="000000"/>
                <w:sz w:val="22"/>
                <w:szCs w:val="22"/>
                <w:highlight w:val="none"/>
                <w:lang w:val="en-US" w:eastAsia="zh-CN" w:bidi="ar"/>
              </w:rPr>
              <w:t xml:space="preserve">显存≥16G</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输出接口≥4DP</w:t>
            </w:r>
            <w:r>
              <w:rPr>
                <w:rFonts w:hint="eastAsia" w:ascii="宋体" w:hAnsi="宋体" w:cs="宋体"/>
                <w:color w:val="000000"/>
                <w:sz w:val="22"/>
                <w:szCs w:val="22"/>
                <w:highlight w:val="none"/>
                <w:lang w:bidi="ar"/>
              </w:rPr>
              <w:t xml:space="preserve">，</w:t>
            </w:r>
            <w:r>
              <w:rPr>
                <w:rFonts w:hint="eastAsia" w:ascii="宋体" w:hAnsi="宋体" w:eastAsia="宋体" w:cs="宋体"/>
                <w:i w:val="0"/>
                <w:caps w:val="0"/>
                <w:spacing w:val="0"/>
                <w:sz w:val="22"/>
                <w:szCs w:val="22"/>
                <w:highlight w:val="none"/>
                <w:shd w:val="clear" w:color="auto" w:fill="ffffff"/>
              </w:rPr>
              <w:t xml:space="preserve">显卡性能不低于NVIDIA A4000的水平</w:t>
            </w:r>
            <w:r>
              <w:rPr>
                <w:rFonts w:hint="eastAsia" w:ascii="宋体" w:hAnsi="宋体" w:eastAsia="宋体" w:cs="宋体"/>
                <w:i w:val="0"/>
                <w:caps w:val="0"/>
                <w:spacing w:val="0"/>
                <w:sz w:val="22"/>
                <w:szCs w:val="22"/>
                <w:highlight w:val="none"/>
                <w:shd w:val="clear" w:color="auto" w:fill="ffffff"/>
                <w:lang w:val="en-US" w:eastAsia="zh-CN"/>
              </w:rPr>
              <w:t xml:space="preserve">；</w:t>
            </w:r>
            <w:r>
              <w:rPr>
                <w:rFonts w:hint="eastAsia" w:ascii="宋体" w:hAnsi="宋体" w:cs="宋体"/>
                <w:color w:val="000000"/>
                <w:sz w:val="22"/>
                <w:szCs w:val="22"/>
                <w:highlight w:val="none"/>
                <w:lang w:bidi="ar"/>
              </w:rPr>
              <w:t xml:space="preserve">电源：800W电源；操作系统</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bidi="ar"/>
              </w:rPr>
              <w:t xml:space="preserve">WINdows10</w:t>
            </w:r>
            <w:r>
              <w:rPr>
                <w:rStyle w:val="1064"/>
                <w:color w:val="000000"/>
                <w:highlight w:val="none"/>
              </w:rPr>
              <w:t xml:space="preserve">或更高版本，或兼容的其他操作系统，满足系统稳定运行需求</w:t>
            </w:r>
            <w:r>
              <w:rPr>
                <w:rStyle w:val="1064"/>
                <w:rFonts w:hint="eastAsia" w:eastAsia="宋体"/>
                <w:color w:val="000000"/>
                <w:highlight w:val="none"/>
                <w:lang w:eastAsia="zh-CN"/>
              </w:rPr>
              <w:t xml:space="preserve">。</w:t>
            </w:r>
            <w:r>
              <w:rPr>
                <w:rFonts w:hint="eastAsia" w:ascii="宋体" w:hAnsi="宋体" w:eastAsia="宋体" w:cs="宋体"/>
                <w:color w:val="000000"/>
                <w:sz w:val="22"/>
                <w:szCs w:val="22"/>
                <w:highlight w:val="none"/>
                <w:lang w:eastAsia="zh-CN"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6</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智枢教室LED</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LED屏（P2）</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1.显示尺寸为宽≥6.08m，高≥2.08 m；屏幕分辨率：≥3040*1040。</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▲2.像素点间距：≤2mm，像素构成：表贴三合一，像素密度：≥250000，模组尺寸(W×H）：320×160mm。需提供具有CMA标志的第三方检测机构出具的检验报告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3.材质：塑胶底壳，模块采用高强度塑胶+纤套件，产品轻巧安装精度高。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4.白平衡亮度（nits）≥800，对比度≥8500∶1，刷新率≥3840H。</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5.色温（K）：1000～30000可调，色度均匀性在±0.001Cx，Cy 之内。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6.水平视角 ≥170°，垂直视角≥170°。需提供具有CMA标志的第三方检测机构出具的检验报告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7.亮度均匀性≥98%，亮度鉴别等级C级。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8.亮度可调：支持通过配套软件 0-100%无级调节，256级手动/自动调节，屏幕亮度具有随环境照度的变化任意调整功能。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9.像素失控率≤0.00001，出厂时为0，无连续失控点。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10.驱动方式：带PWM功能的恒流驱动43S。</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11.像素中心距相对偏差、水平相对错位等级、垂直相对错位等级应符合SJ/T 11141-2017要求的等级C级。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12.最大功耗≤300W/㎡，平均功耗≤100W/㎡,支持动态节能，采用节能驱动技术设计，单模组纯功耗低于15W。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13.模组机械强度：模组机械强度≥30MPa；抗拉强度&gt;230Mpa；屈服强度&gt;170Mpa；单模块磁吸强度&gt;10kg，高强度磁吸能力能避免发生掉落事故。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14.稳定性：平均使用寿命≥150000小时，平均失效间隔时间MTBF≥150000小时，设备在正常工作条件下，连续工作168h，不出现电、机械或操作系统的故障，支持7×24h连续工作。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15.IP防护等级：达到IP40或以上防护等级；PCB阻燃试验：塑料面板、PCB、塑胶件、内部线材应满足V-0阻燃等级要求。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16.雾度：可见光投射比≥89.89%，因磨耗引起的雾度≤1.30%，抗磨性能符合标准中的技术要求。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防护功能：具备防尘、防水、防盐雾、防反光、防静电、耐高温高湿、耐黄变、散热均匀等功能特点具有防潮，完全防尘，防腐蚀，防虫，防静电、抗震动、防电磁干扰、防撞、防摔、抗UV、抗雷击、抗冲击、抗挤碰等功能，具有电源过压、过流、短路、过压、欠压保护、断电保护、分布上电措施，具有实时监控温度、故障报警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18.屏幕温升（运行状态）：显示屏在点亮5分钟后的温度升幅&lt;5℃，点亮15分钟后的温度升幅&lt;10℃，点亮30分钟以上温度&lt;15℃，最大亮度白色连续工作2小时，表面温升&lt;20℃，符合标准要求。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19.安全特性：符合SJ/T11141-2017发光二极管(LED)显示屏通用规范标准对安全的要求。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20.电路板采用多层PCB设计，一体化驱动控制,电路采用多层设计应符合国家标准CQC13-471301-2018的要求;PCB焊盘采用沉金工艺处理，无电感效应，不花屏，具备消隐、节能功能。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21.所投LED显示屏通过168小时老化测试、跌落测试，振动试验，冷热冲击试验。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22.所投LED显示屏通过GB/T6587-2012规定的三级流通条件进行运输试验。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23.观看舒适度：1级，基本无疲劳感,支持HDR显示效果。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24.光生物安全：符合GB/T 20145-2006标准要求,无危害类。</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25.EMF：符合EN62311标准降低电磁辐射对人体身体健康的影响。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26.安全特性：符合SJ/T 11141-2017 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为保证产品的绿色环保性能，对人体不产生危害，LED显示屏的设计生产活动中，所有电子元器件、组装件、相关物料和过程通过国际电工委员会质量评定体系(IECQ)标准要求，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28.▲所投LED显示屏型号具有CCC认证证书。提供证书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29.▲所投LED显示屏型号具有中国节能产品认证证书。提供证书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30.色彩品质:符合色彩品质A级的要求。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31.视觉健康:符合视觉健康认证技术规范认证规则的要求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12.65</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开关电源</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1.额定输入电压：200VAC—240VAC</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2.输入频率：50Hz</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3.额定输出电压：4.5Vdc</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4.额定输出电流：40A</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5.稳压精度：±3%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6.负载调整率：±2%</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7.温度系数：±0.03%/℃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8.电压过冲：&lt;5.0%</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9.纹波噪声：&lt;250mV</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10.短路保护：可长期短路，消除短路后自动恢复工作，过流保护。</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11.散热方式：自然对流散热。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12.为保证系统兼容性以及售后服务稳定性，电源品牌与显示屏为同一品牌。提供CQC认证证书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42</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接收卡</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1.超大带载：自带12个HUB75接口，最大支持带载512×512，RGB并行数据组24组。</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2.支持1~64扫任意扫描方式，支持各种PWM芯片、双锁存芯片、通用芯片。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3.支持多种主流色域、自定义色域一键调节。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4.支持通过接收卡自带按钮进入测试模式(红、绿、蓝、白、斜扫、灰度渐变等模式)，用于模组显示测试。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5.支持修改HUB接口数据组交换，并固化到接收卡中，支持本地、云配置文件/固件一键导入。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6.灵活带载，单卡支持8组、16组、24组、32组数据输出模式。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7.集成网络变压器—全面解决hublayout难度大,产品一致性差，误码率等问题，让信号传输更稳定。</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8.支持逐点亮色度校正，可以对每个灯点的亮度和色度进行校正，有效消除色差，使整屏的亮度和色度达到高度均匀一致，提高显示屏的画质。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9.快速亮暗线调节在调试软件上进行快速亮暗线调节快速解决因箱体及模组拼接造成的显示屏亮暗线，调节过程中即时生效，简单易用。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10.配合支持3D功能的独立主控，在软件或独立主控的操作面板上开启3D功能，并设置3D参数，使画面显示3D效果。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11.支持画面90度倍数旋转，配合控制器可以实现任意角度旋转。</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12.支持智能模组，无需监控卡，可以实现温度/电压/排线/灯点检测制造日期/制造商信息检测(定制程序支持)。</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13.支持接收卡预存画面设置，可以将指定图片设置为显示屏的开机画面、网线断开或无视频源信号时的画面。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14.支持灯板flash管理，校正系数双备份，更换灯板后，无需重新上传校正系数，屏体重新断上电即可使用对应灯板校正系数。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15.支持5pin液晶模块，用于显示接收卡的温度、电压、单次运行时间和总运行时间。</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16.接收卡电源接口与灯板电源接口一致(与灯板电源一致)，无需单独配线，安装方便。</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17.RGB独立Gamma调节技术增加调节维度，通过对“红Gamma”、“绿Gamma”、“蓝Gamma”分别进行调节有效控制显示屏低灰不均匀、白平衡漂移等问题，使画面更加真实，提高色彩调节的灵活性。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18.支持Mapping功能，启用Mapping功能后，目标箱体上会显示接收卡编号和网口信息，可以清晰获取接收卡的位置和走线方式。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19.支持监测自身的温度和电压，无需其他外设，在软件上可以查看接收卡的温度和电压。</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▲20.支持检测发送设备与接收卡间或接收卡与接收卡间的网络通讯质量，记录错误包数，协助排除网络通讯隐患。需提供具有CMA标志的第三方检测机构出具的检验报告</w:t>
            </w:r>
            <w:r>
              <w:rPr>
                <w:rFonts w:hint="eastAsia"/>
                <w:highlight w:val="none"/>
                <w:lang w:val="en-US" w:eastAsia="zh-CN"/>
              </w:rPr>
              <w:t xml:space="preserve">扫描件加盖投标人公章。</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21.支持可以回读接收卡的固件程序、配置参数并保存到本地。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22.通过主备冗余机制增加接收卡间网线级联的可靠性。主备级联线路中，当其中一条线路出现故障时，另一条线路会即时工作，保证显示屏正常工作。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23.接收卡出厂时保存了两份应用程序，以防程序更新过程异常导致的接收卡死锁问题，通过软件在接收卡上保存两份接收卡配置参数，其中一份作为备份参数。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24.可配合多功能卡，实现当温度高于设定值时，自动断电，或打开风扇空调降低温度，保证屏体安全。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25.电源插头或电源引入端子与外壳裸露金属部件之间的绝缘电阻在正常大气条件下应≥100MΩ，湿热条件下应≥2MΩ。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26.产品支持热插拔，接收卡维护无需断电。</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27.超宽电压输入，支持DC:3.3V~5.5V电压输入，额度功率≤2.5W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28.工作极限环境:支持温度-20℃~70℃,环境工作湿度10%RH~90%RH环境。</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张</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38</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LED视频处理器</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1.单台具备不少于10路千兆网口输出，带载能力可达690万像素、最宽4096像素、最高2160像素，网口带载没有矩形带载限制，支持自由走线，最大化提高网口带载利用率。</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2.二合一设计理念，集视频处理器和发送卡功能于一体，系统连线更少，稳定性和兼容性大大提升。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3.拥有完备的视频输入接口：1路HDMI2.0，1路DP1.2，（可根据实际需求选配）。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 HDR 功能，支持主动式 3D。</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5.支持个性化的画质缩放：支持不少于三种画面缩放模式，包括点对点模式、全屏缩放、自定义缩放。搭载superview画质处理技术，画面可无极缩放。</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6.支持对LED显示屏输出画面的画质调节，包括但不限于：亮度、饱和度、对比度等。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7.支持多画面同时显示，不少于6画面的任意布局，至少包含2路4K画面+4路2K画面。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8.支持OSD字幕功能，字幕背景，内容可通过软件自定义编辑。</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9.支持高位深信号输入源输入，可支持8bit、10bit、12bit信号输入。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10.支持伴随音频和独立音频，支持音量大小调节。音频可随视频随路切换。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11.支持场景预设功能，可创建不低于10个用户场景作为模板保存，方便直接调用。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 HDMI、DP 输入分辨率自定义调节，最大可支持 4096*2160@60 信号输入，并向下兼容。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13.支持选择 HDMI 输入源或 DP 输入源作为同步信号,达到输出的场级同步。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14.支持配合多功能卡，实现对屏体电源的手动控制，自动控制，以及软件控制，灵活简单。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15.▲所投视频控制器具有CCC认证证书。提供证书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16.▲为保证系统兼容性以及售后服务稳定性，视频控制器品牌与显示屏为同一品牌。</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LED显示屏控制软件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1.可实现对LED显示屏、配电柜、拼接处理器等设备进行集中管理和控制,操作端在网络内可灵活部署。</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2.支持显示素材多样化，各种视频文件、图片、字幕、流媒体、IP桌面、超大分辨率图像等的任意开窗、叠加显示。</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3.系统支持PC端触控操作，支持在线、离线场景编辑，支持多权限、多用户同时操作、分区操作，数据库实时数据更新。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4.C/S或B/S架构，操作平台和服务分离，控制便捷、执行效率高。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5.支持LED显示屏等系统设备工作状态实时监控、故障智能诊断。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6.支持自动的场景、节目播放、开关控制，适应各时段、多类型显示需求。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LED显示屏播放系统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按照用户需求控制LED大屏幕显示系统，可以通过云端系统控制各个LED终端，与控制系统其他分项无缝兼容，完全满足控制系统性能需求。可实现同异步显示，超大带载，可实现多画面及远程上电功能，封装材料,辅助材料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LED钢架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定制显示屏安装框架结构及装饰。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12.65</w:t>
            </w:r>
            <w:r>
              <w:rPr>
                <w:rFonts w:hint="eastAsia" w:ascii="宋体" w:hAnsi="宋体" w:cs="宋体"/>
                <w:b/>
                <w:bCs/>
                <w:color w:val="000000"/>
                <w:sz w:val="22"/>
                <w:szCs w:val="22"/>
                <w:highlight w:val="none"/>
                <w:lang w:val="en-US" w:eastAsia="zh-CN" w:bidi="ar"/>
              </w:rPr>
            </w:r>
            <w:r/>
          </w:p>
        </w:tc>
      </w:tr>
      <w:tr>
        <w:trPr>
          <w:trHeight w:val="1426"/>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图形工作站</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高配工控服务器：CPU ：</w:t>
            </w:r>
            <w:r>
              <w:rPr>
                <w:rFonts w:hint="eastAsia" w:ascii="宋体" w:hAnsi="宋体" w:cs="宋体"/>
                <w:color w:val="000000"/>
                <w:sz w:val="22"/>
                <w:szCs w:val="22"/>
                <w:highlight w:val="none"/>
                <w:lang w:val="en-US" w:eastAsia="zh-CN" w:bidi="ar"/>
              </w:rPr>
              <w:t xml:space="preserve">主频≥3.6G，核心数量≥12，线程数量≥20</w:t>
            </w:r>
            <w:r>
              <w:rPr>
                <w:rFonts w:hint="eastAsia" w:ascii="宋体" w:hAnsi="宋体" w:cs="宋体"/>
                <w:color w:val="000000"/>
                <w:sz w:val="22"/>
                <w:szCs w:val="22"/>
                <w:highlight w:val="none"/>
                <w:lang w:bidi="ar"/>
              </w:rPr>
              <w:t xml:space="preserve">，主板 ：</w:t>
            </w:r>
            <w:r>
              <w:rPr>
                <w:rFonts w:ascii="Segoe UI" w:hAnsi="Segoe UI" w:eastAsia="Segoe UI" w:cs="Segoe UI"/>
                <w:i w:val="0"/>
                <w:caps w:val="0"/>
                <w:spacing w:val="0"/>
                <w:sz w:val="21"/>
                <w:szCs w:val="21"/>
                <w:highlight w:val="none"/>
                <w:shd w:val="clear" w:color="auto" w:fill="ffffff"/>
              </w:rPr>
              <w:t xml:space="preserve">主板需支持第12代或更新的Intel芯片组，或等效性能的其他品牌芯片组</w:t>
            </w:r>
            <w:r>
              <w:rPr>
                <w:rFonts w:hint="eastAsia" w:ascii="宋体" w:hAnsi="宋体" w:cs="宋体"/>
                <w:color w:val="000000"/>
                <w:sz w:val="22"/>
                <w:szCs w:val="22"/>
                <w:highlight w:val="none"/>
                <w:lang w:bidi="ar"/>
              </w:rPr>
              <w:t xml:space="preserve">，，内存：8G，硬盘：240Gm2,独立显卡：</w:t>
            </w:r>
            <w:r>
              <w:rPr>
                <w:rFonts w:hint="eastAsia" w:ascii="宋体" w:hAnsi="宋体" w:cs="宋体"/>
                <w:color w:val="000000"/>
                <w:sz w:val="22"/>
                <w:szCs w:val="22"/>
                <w:highlight w:val="none"/>
                <w:lang w:val="en-US" w:eastAsia="zh-CN" w:bidi="ar"/>
              </w:rPr>
              <w:t xml:space="preserve">显存≥16G</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输出接口≥4DP,</w:t>
            </w:r>
            <w:r>
              <w:rPr>
                <w:rFonts w:hint="eastAsia" w:ascii="宋体" w:hAnsi="宋体" w:eastAsia="宋体" w:cs="宋体"/>
                <w:i w:val="0"/>
                <w:caps w:val="0"/>
                <w:spacing w:val="0"/>
                <w:sz w:val="22"/>
                <w:szCs w:val="22"/>
                <w:highlight w:val="none"/>
                <w:shd w:val="clear" w:color="auto" w:fill="ffffff"/>
              </w:rPr>
              <w:t xml:space="preserve">显卡性能不低于NVIDIA A4000的水平</w:t>
            </w:r>
            <w:r>
              <w:rPr>
                <w:rFonts w:hint="eastAsia" w:ascii="宋体" w:hAnsi="宋体" w:eastAsia="宋体" w:cs="宋体"/>
                <w:i w:val="0"/>
                <w:caps w:val="0"/>
                <w:spacing w:val="0"/>
                <w:sz w:val="22"/>
                <w:szCs w:val="22"/>
                <w:highlight w:val="none"/>
                <w:shd w:val="clear" w:color="auto" w:fill="ffffff"/>
                <w:lang w:val="en-US" w:eastAsia="zh-CN"/>
              </w:rPr>
              <w:t xml:space="preserve">；</w:t>
            </w:r>
            <w:r>
              <w:rPr>
                <w:rFonts w:hint="eastAsia" w:ascii="宋体" w:hAnsi="宋体" w:cs="宋体"/>
                <w:color w:val="000000"/>
                <w:sz w:val="22"/>
                <w:szCs w:val="22"/>
                <w:highlight w:val="none"/>
                <w:lang w:bidi="ar"/>
              </w:rPr>
              <w:t xml:space="preserve">电源：800W电源；操作系统：WINdows10</w:t>
            </w:r>
            <w:r>
              <w:rPr>
                <w:rStyle w:val="1064"/>
                <w:color w:val="000000"/>
                <w:highlight w:val="none"/>
              </w:rPr>
              <w:t xml:space="preserve">或更高版本，或兼容的其他操作系统，满足系统稳定运行需求</w:t>
            </w:r>
            <w:r>
              <w:rPr>
                <w:rStyle w:val="1064"/>
                <w:rFonts w:hint="eastAsia" w:eastAsia="宋体"/>
                <w:color w:val="000000"/>
                <w:highlight w:val="none"/>
                <w:lang w:eastAsia="zh-CN"/>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7</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匠造教室</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LED屏（P2）</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1.显示尺寸为宽≥ 5.12m，高≥ 2.24m；屏幕分辨率：≥2560 *1120。</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▲2.像素点间距：≤2mm，像素构成：表贴三合一，像素密度：≥250000，模组尺寸(W×H）：320×160mm。需提供具有CMA标志的第三方检测机构出具的检验报告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3.材质：塑胶底壳，模块采用高强度塑胶+纤套件，产品轻巧安装精度高。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4.白平衡亮度（nits）≥800，对比度≥8500∶1，刷新率≥3840H。</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5.色温（K）：1000～30000可调，色度均匀性在±0.001Cx，Cy 之内。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6.水平视角 ≥170°，垂直视角≥170°。需提供具有CMA标志的第三方检测机构出具的检验报告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7.亮度均匀性≥98%，亮度鉴别等级C级。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8.亮度可调：支持通过配套软件 0-100%无级调节，256级手动/自动调节，屏幕亮度具有随环境照度的变化任意调整功能。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9.像素失控率≤0.00001，出厂时为0，无连续失控点。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10.驱动方式：带PWM功能的恒流驱动43S。</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11.像素中心距相对偏差、水平相对错位等级、垂直相对错位等级应符合SJ/T 11141-2017要求的等级C级。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12.最大功耗≤300W/㎡，平均功耗≤100W/㎡,支持动态节能，采用节能驱动技术设计，单模组纯功耗低于15W。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13.模组机械强度：模组机械强度≥30MPa；抗拉强度&gt;230Mpa；屈服强度&gt;170Mpa；单模块磁吸强度&gt;10kg，高强度磁吸能力能避免发生掉落事故。</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14.稳定性：平均使用寿命≥150000小时，平均失效间隔时间MTBF≥150000小时，设备在正常工作条件下，连续工作168h，不出现电、机械或操作系统的故障，支持7×24h连续工作。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15.IP防护等级：达到IP40或以上防护等级；PCB阻燃试验：塑料面板、PCB、塑胶件、内部线材应满足V-0阻燃等级要求。需提供具有CMA标志的第三方检测机构出具的检验报告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16.雾度：可见光投射比≥89.89%，因磨耗引起的雾度≤1.30%，抗磨性能符合标准中的技术要求。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防护功能：具备防尘、防水、防盐雾、防反光、防静电、耐高温高湿、耐黄变、散热均匀等功能特点具有防潮，完全防尘，防腐蚀，防虫，防静电、抗震动、防电磁干扰、防撞、防摔、抗UV、抗雷击、抗冲击、抗挤碰等功能，具有电源过压、过流、短路、过压、欠压保护、断电保护、分布上电措施，具有实时监控温度、故障报警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18.屏幕温升（运行状态）：显示屏在点亮5分钟后的温度升幅&lt;5℃，点亮15分钟后的温度升幅&lt;10℃，点亮30分钟以上温度&lt;15℃，最大亮度白色连续工作2小时，表面温升&lt;20℃，符合标准要求。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19.安全特性：符合SJ/T11141-2017发光二极管(LED)显示屏通用规范标准对安全的要求。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20.电路板采用多层PCB设计，一体化驱动控制,电路采用多层设计应符合国家标准CQC13-471301-2018的要求；PCB焊盘采用沉金工艺处理，无电感效应，不花屏，具备消隐、节能功能。</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21.所投LED显示屏通过168小时老化测试、跌落测试，振动试验，冷热冲击试验。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22.所投LED显示屏通过GB/T6587-2012规定的三级流通条件进行运输试验。</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23.观看舒适度：1级，基本无疲劳感,支持HDR显示效果。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24.光生物安全：符合GB/T 20145-2006标准要求,无危害类。</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25.EMF：符合EN62311标准降低电磁辐射对人体身体健康的影响。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26.安全特性：符合SJ/T 11141-2017 发光二极管（LED）显示屏通用规范标准对安全的要求。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为保证产品的绿色环保性能，对人体不产生危害，LED显示屏的设计生产活动中，所有电子元器件、组装件、相关物料和过程通过国际电工委员会质量评定体系(IECQ)标准要求，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28.▲所投LED显示屏型号具有CCC认证证书。提供证书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29.▲所投LED显示屏型号具有中国节能产品认证证书。提供证书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30.色彩品质：符合色彩品质A级的要求。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31.视觉健康：符合视觉健康认证技术规范认证规则的要求。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11.47</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LED视频处理器</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1.单台具备不少于10路千兆网口输出，带载能力可达690万像素、最宽4096像素、最高2160像素，网口带载没有矩形带载限制，支持自由走线，最大化提高网口带载利用率。</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2.二合一设计理念，集视频处理器和发送卡功能于一体，系统连线更少，稳定性和兼容性大大提升。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3.拥有完备的视频输入接口：1路HDMI2.0，1路DP1.2，（可根据实际需求选配）。</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 HDR 功能，支持主动式 3D。</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5.支持个性化的画质缩放：支持不少于三种画面缩放模式，包括点对点模式、全屏缩放、自定义缩放。搭载superview画质处理技术，画面可无极缩放。</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6.支持对LED显示屏输出画面的画质调节，包括但不限于：亮度、饱和度、对比度等。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7.支持多画面同时显示，不少于6画面的任意布局，至少包含2路4K画面+4路2K画面。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8.支持OSD字幕功能，字幕背景，内容可通过软件自定义编辑。</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9.支持高位深信号输入源输入，可支持8bit、10bit、12bit信号输入。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10.支持伴随音频和独立音频，支持音量大小调节。音频可随视频随路切换。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11.支持场景预设功能，可创建不低于10个用户场景作为模板保存，方便直接调用。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 HDMI、DP 输入分辨率自定义调节，最大可支持 4096*2160@60 信号输入，并向下兼容。</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13.支持选择 HDMI 输入源或 DP 输入源作为同步信号,达到输出的场级同步。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14.支持配合多功能卡，实现对屏体电源的手动控制，自动控制，以及软件控制，灵活简单。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15.▲所投视频控制器具有CCC认证证书。提供证书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16.为保证系统兼容性以及售后服务稳定性，视频控制器品牌与显示屏为同一品牌。</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开关电源</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1、额定输入电压：200VAC—240VAC</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2、输入频率：50Hz</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3、额定输出电压：4.5Vdc</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4、额定输出电流：40A</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5、稳压精度：±3%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6、负载调整率：±2%</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7、温度系数：±0.03%/℃</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8、电压过冲：&lt;5.0%</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9、纹波噪声：&lt;250mV</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10、短路保护：可长期短路，消除短路后自动恢复工作，过流保护。</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11、散热方式：自然对流散热。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12.为保证系统兼容性以及售后服务稳定性，电源品牌与显示屏为同一品牌。提供CQC认证证书</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38</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接收卡</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1.超大带载：自带12个HUB75接口，最大支持带载512×512，RGB并行数据组24组。</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2.支持1~64扫任意扫描方式，支持各种PWM芯片、双锁存芯片、通用芯片。</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3.支持多种主流色域、自定义色域一键调节。</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4.支持通过接收卡自带按钮进入测试模式(红、绿、蓝、白、斜扫、灰度渐变等模式)，用于模组显示测试。</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5.支持修改HUB接口数据组交换，并固化到接收卡中，支持本地、云配置文件/固件一键导入。</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6.灵活带载，单卡支持8组、16组、24组、32组数据输出模式。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7.集成网络变压器—全面解决hublayout难度大,产品一致性差，误码率等问题，让信号传输更稳定。</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8.支持逐点亮色度校正，可以对每个灯点的亮度和色度进行校正，有效消除色差，使整屏的亮度和色度达到高度均匀一致，提高显示屏的画质。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9.快速亮暗线调节在调试软件上进行快速亮暗线调节快速解决因箱体及模组拼接造成的显示屏亮暗线，调节过程中即时生效，简单易用。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10.配合支持3D功能的独立主控，在软件或独立主控的操作面板上开启3D功能，并设置3D参数，使画面显示3D效果。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11.支持画面90度倍数旋转，配合控制器可以实现任意角度旋转。</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12.支持智能模组，无需监控卡，可以实现温度/电压/排线/灯点检测制造日期/制造商信息检测(定制程序支持)。</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13.支持接收卡预存画面设置，可以将指定图片设置为显示屏的开机画面、网线断开或无视频源信号时的画面。</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14.支持灯板flash管理，校正系数双备份，更换灯板后，无需重新上传校正系数，屏体重新断上电即可使用对应灯板校正系数。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15.支持5pin液晶模块，用于显示接收卡的温度、电压、单次运行时间和总运行时间。</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16.接收卡电源接口与灯板电源接口一致(与灯板电源一致)，无需单独配线，安装方便。</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17.RGB独立Gamma调节技术增加调节维度，通过对“红Gamma”、“绿Gamma”、“蓝Gamma”分别进行调节有效控制显示屏低灰不均匀、白平衡漂移等问题，使画面更加真实，提高色彩调节的灵活性。</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18.支持Mapping功能，启用Mapping功能后，目标箱体上会显示接收卡编号和网口信息，可以清晰获取接收卡的位置和走线方式。</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19.支持监测自身的温度和电压，无需其他外设，在软件上可以查看接收卡的温度和电压。</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20.▲支持检测发送设备与接收卡间或接收卡与接收卡间的网络通讯质量，记录错误包数，协助排除网络通讯隐患。需提供具有CMA标志的第三方检测机构出具的检验报告</w:t>
            </w:r>
            <w:r>
              <w:rPr>
                <w:rFonts w:hint="eastAsia"/>
                <w:highlight w:val="none"/>
                <w:lang w:val="en-US" w:eastAsia="zh-CN"/>
              </w:rPr>
              <w:t xml:space="preserve">扫描件加盖投标人公章</w:t>
            </w:r>
            <w:r>
              <w:rPr>
                <w:rFonts w:hint="eastAsia" w:ascii="宋体" w:hAnsi="宋体" w:cs="宋体"/>
                <w:color w:val="000000"/>
                <w:sz w:val="22"/>
                <w:szCs w:val="22"/>
                <w:highlight w:val="none"/>
                <w:lang w:bidi="ar"/>
              </w:rPr>
              <w:t xml:space="preserve">。</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21.支持可以回读接收卡的固件程序、配置参数并保存到本地。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22.通过主备冗余机制增加接收卡间网线级联的可靠性。主备级联线路中，当其中一条线路出现故障时，另一条线路会即时工作，保证显示屏正常工作。</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23.接收卡出厂时保存了两份应用程序，以防程序更新过程异常导致的接收卡死锁问题，通过软件在接收卡上保存两份接收卡配置参数，其中一份作为备份参数。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24.可配合多功能卡，实现当温度高于设定值时，自动断电，或打开风扇空调降低温度，保证屏体安全。</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25.电源插头或电源引入端子与外壳裸露金属部件之间的绝缘电阻在正常大气条件下应≥100MΩ，湿热条件下应≥2MΩ。</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26.产品支持热插拔，接收卡维护无需断电。</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27.超宽电压输入，支持DC：3.3V~5.5V电压输入，额度功率≤2.5W</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28.工作极限环境：支持温度-20℃~70℃,环境工作湿度10%RH~90%RH环境。</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张</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32</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LED显示屏控制软件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1.可实现对LED显示屏、配电柜、拼接处理器等设备进行集中管理和控制,操作端在网络内可灵活部署。</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2.支持显示素材多样化，各种视频文件、图片、字幕、流媒体、IP桌面、超大分辨率图像等的任意开窗、叠加显示。</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3.系统支持PC端触控操作，支持在线、离线场景编辑，支持多权限、多用户同时操作、分区操作，数据库实时数据更新。</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4.C/S或B/S架构，操作平台和服务分离，控制便捷、执行效率高。</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5.支持LED显示屏等系统设备工作状态实时监控、故障智能诊断。</w:t>
            </w:r>
            <w:r>
              <w:rPr>
                <w:rFonts w:ascii="宋体" w:hAnsi="宋体" w:cs="宋体"/>
                <w:color w:val="000000"/>
                <w:sz w:val="22"/>
                <w:szCs w:val="22"/>
                <w:highlight w:val="none"/>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6.支持自动的场景、节目播放、开关控制，适应各时段、多类型显示需求。</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LED显示屏播放系统</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按照用户需求控制LED大屏幕显示系统，可以通过云端系统控制各个LED终端，与控制系统其他分项无缝兼容，完全满足控制系统性能需求。可实现同异步显示，超大带载，可实现多画面及远程上电功能，封装材料,辅助材料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LED钢架</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定制显示屏安装框架结构及装饰。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11.47</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图形工作站</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4" w:space="0"/>
              <w:right w:val="single" w:color="000000" w:sz="8"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高配工控服务器：CPU ：</w:t>
            </w:r>
            <w:r>
              <w:rPr>
                <w:rFonts w:hint="eastAsia" w:ascii="宋体" w:hAnsi="宋体" w:cs="宋体"/>
                <w:color w:val="000000"/>
                <w:sz w:val="22"/>
                <w:szCs w:val="22"/>
                <w:highlight w:val="none"/>
                <w:lang w:val="en-US" w:eastAsia="zh-CN" w:bidi="ar"/>
              </w:rPr>
              <w:t xml:space="preserve">主频≥3.6G，核心数量≥12，线程数量≥20</w:t>
            </w:r>
            <w:r>
              <w:rPr>
                <w:rFonts w:hint="eastAsia" w:ascii="宋体" w:hAnsi="宋体" w:cs="宋体"/>
                <w:color w:val="000000"/>
                <w:sz w:val="22"/>
                <w:szCs w:val="22"/>
                <w:highlight w:val="none"/>
                <w:lang w:bidi="ar"/>
              </w:rPr>
              <w:t xml:space="preserve">，主板 ：</w:t>
            </w:r>
            <w:r>
              <w:rPr>
                <w:rFonts w:ascii="Segoe UI" w:hAnsi="Segoe UI" w:eastAsia="Segoe UI" w:cs="Segoe UI"/>
                <w:i w:val="0"/>
                <w:caps w:val="0"/>
                <w:spacing w:val="0"/>
                <w:sz w:val="21"/>
                <w:szCs w:val="21"/>
                <w:highlight w:val="none"/>
                <w:shd w:val="clear" w:color="auto" w:fill="ffffff"/>
              </w:rPr>
              <w:t xml:space="preserve">主板需支持第12代或更新的Intel芯片组，或等效性能的其他品牌芯片组</w:t>
            </w:r>
            <w:r>
              <w:rPr>
                <w:rFonts w:hint="eastAsia" w:ascii="宋体" w:hAnsi="宋体" w:cs="宋体"/>
                <w:color w:val="000000"/>
                <w:sz w:val="22"/>
                <w:szCs w:val="22"/>
                <w:highlight w:val="none"/>
                <w:lang w:bidi="ar"/>
              </w:rPr>
              <w:t xml:space="preserve">，内存：8G，硬盘：240Gm2,独立显卡：</w:t>
            </w:r>
            <w:r>
              <w:rPr>
                <w:rFonts w:hint="eastAsia" w:ascii="宋体" w:hAnsi="宋体" w:cs="宋体"/>
                <w:color w:val="000000"/>
                <w:sz w:val="22"/>
                <w:szCs w:val="22"/>
                <w:highlight w:val="none"/>
                <w:lang w:val="en-US" w:eastAsia="zh-CN" w:bidi="ar"/>
              </w:rPr>
              <w:t xml:space="preserve">显存≥16G</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val="en-US" w:eastAsia="zh-CN" w:bidi="ar"/>
              </w:rPr>
              <w:t xml:space="preserve">输出接口≥4DP,</w:t>
            </w:r>
            <w:r>
              <w:rPr>
                <w:rFonts w:hint="eastAsia" w:ascii="宋体" w:hAnsi="宋体" w:eastAsia="宋体" w:cs="宋体"/>
                <w:i w:val="0"/>
                <w:caps w:val="0"/>
                <w:spacing w:val="0"/>
                <w:sz w:val="22"/>
                <w:szCs w:val="22"/>
                <w:highlight w:val="none"/>
                <w:shd w:val="clear" w:color="auto" w:fill="ffffff"/>
              </w:rPr>
              <w:t xml:space="preserve">显卡性能不低于NVIDIA A4000的水平</w:t>
            </w:r>
            <w:r>
              <w:rPr>
                <w:rFonts w:hint="eastAsia" w:ascii="宋体" w:hAnsi="宋体" w:eastAsia="宋体" w:cs="宋体"/>
                <w:i w:val="0"/>
                <w:caps w:val="0"/>
                <w:spacing w:val="0"/>
                <w:sz w:val="22"/>
                <w:szCs w:val="22"/>
                <w:highlight w:val="none"/>
                <w:shd w:val="clear" w:color="auto" w:fill="ffffff"/>
                <w:lang w:val="en-US" w:eastAsia="zh-CN"/>
              </w:rPr>
              <w:t xml:space="preserve">；</w:t>
            </w:r>
            <w:r>
              <w:rPr>
                <w:rFonts w:hint="eastAsia" w:ascii="宋体" w:hAnsi="宋体" w:cs="宋体"/>
                <w:color w:val="000000"/>
                <w:sz w:val="22"/>
                <w:szCs w:val="22"/>
                <w:highlight w:val="none"/>
                <w:lang w:bidi="ar"/>
              </w:rPr>
              <w:t xml:space="preserve">电源：800W电源；操作系统：WINdows10</w:t>
            </w:r>
            <w:r>
              <w:rPr>
                <w:rStyle w:val="1064"/>
                <w:color w:val="000000"/>
                <w:highlight w:val="none"/>
              </w:rPr>
              <w:t xml:space="preserve">或更高版本，或兼容的其他操作系统，满足系统稳定运行需求</w:t>
            </w:r>
            <w:r>
              <w:rPr>
                <w:rStyle w:val="1064"/>
                <w:rFonts w:hint="eastAsia" w:eastAsia="宋体"/>
                <w:color w:val="000000"/>
                <w:highlight w:val="none"/>
                <w:lang w:eastAsia="zh-CN"/>
              </w:rPr>
              <w:t xml:space="preserve">。</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8</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管理集成</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中控设备</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定制，机体结构为19寸1.5U标准工控机箱，提供8路RS232/RS485和8路电脑控制接口，采用RJ45接口；提供RJ45网络接口及DB9标准串口作为外部控制接口；提供红绿工控按键作为手动控制端。 每个RS232\RS485端口都是独立的，可以对完全不同命令和波特率的串口接口的设备进行分别控制；电脑控制接口可以控制电脑开关机并能读取电脑的状态，全局控制时开电脑操作不会让已经开启的电脑执行关操作。</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825"/>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灯光控制设备</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定制485总线控制，</w:t>
            </w:r>
            <w:r>
              <w:rPr>
                <w:rFonts w:ascii="宋体" w:hAnsi="宋体" w:cs="宋体"/>
                <w:color w:val="000000"/>
                <w:sz w:val="22"/>
                <w:szCs w:val="22"/>
                <w:highlight w:val="none"/>
                <w:lang w:bidi="ar"/>
              </w:rPr>
            </w:r>
            <w:r/>
          </w:p>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12路自保持超大电流开关，可单路单独控制，互不干扰。</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综合布线</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施工、辅材等。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项</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中控软件</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统一的操作界面，界面友好、直观，可通过总控服务器或无线平板对展厅内所有受控设备(投影 机、展项主机、强电、灯光等)进行一键开关操作；可针对各个展项单元进行开关控制；平板可以 控制指定展项的影片播放模式； 中控系统能实时显示各个受控设备的运行状态,开关机后每个设备的状态一览无余，无需跑到现场去实 地确认； 中控作为展厅设备集中管理的便捷手段，不影响对单个展项的手动控制及手动开关机，并能实时获 取手动操作后的设备状态。</w:t>
            </w:r>
            <w:r>
              <w:rPr>
                <w:rFonts w:ascii="宋体" w:hAnsi="宋体" w:cs="宋体"/>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16"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93" w:type="dxa"/>
            <w:vAlign w:val="center"/>
            <w:vMerge w:val="restart"/>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单设备开关机</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单设备开关机。</w:t>
            </w: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b/>
                <w:bCs/>
                <w:color w:val="000000"/>
                <w:sz w:val="22"/>
                <w:szCs w:val="22"/>
                <w:highlight w:val="none"/>
                <w:lang w:val="en-US" w:eastAsia="zh-CN" w:bidi="ar"/>
              </w:rPr>
            </w:pPr>
            <w:r>
              <w:rPr>
                <w:rFonts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单路灯光开关</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单路灯光开关。</w:t>
            </w: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16"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93" w:type="dxa"/>
            <w:vAlign w:val="center"/>
            <w:vMerge w:val="continue"/>
            <w:textDirection w:val="lrTb"/>
            <w:noWrap w:val="false"/>
          </w:tcPr>
          <w:p>
            <w:pPr>
              <w:pStyle w:val="1019"/>
              <w:jc w:val="center"/>
              <w:widowControl/>
              <w:rPr>
                <w:rFonts w:ascii="宋体" w:hAnsi="宋体" w:cs="宋体"/>
                <w:b/>
                <w:bCs/>
                <w:color w:val="000000"/>
                <w:sz w:val="22"/>
                <w:szCs w:val="22"/>
                <w:highlight w:val="none"/>
                <w:lang w:val="en-US" w:eastAsia="zh-CN" w:bidi="ar"/>
              </w:rPr>
            </w:pPr>
            <w:r>
              <w:rPr>
                <w:rFonts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设备状态检测</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设备状态检测。</w:t>
            </w: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16"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93" w:type="dxa"/>
            <w:vAlign w:val="center"/>
            <w:vMerge w:val="continue"/>
            <w:textDirection w:val="lrTb"/>
            <w:noWrap w:val="false"/>
          </w:tcPr>
          <w:p>
            <w:pPr>
              <w:pStyle w:val="1019"/>
              <w:jc w:val="center"/>
              <w:widowControl/>
              <w:rPr>
                <w:rFonts w:ascii="宋体" w:hAnsi="宋体" w:cs="宋体"/>
                <w:b/>
                <w:bCs/>
                <w:color w:val="000000"/>
                <w:sz w:val="22"/>
                <w:szCs w:val="22"/>
                <w:highlight w:val="none"/>
                <w:lang w:val="en-US" w:eastAsia="zh-CN" w:bidi="ar"/>
              </w:rPr>
            </w:pPr>
            <w:r>
              <w:rPr>
                <w:rFonts w:ascii="宋体" w:hAnsi="宋体" w:cs="宋体"/>
                <w:b/>
                <w:bCs/>
                <w:color w:val="000000"/>
                <w:sz w:val="22"/>
                <w:szCs w:val="22"/>
                <w:highlight w:val="none"/>
                <w:lang w:val="en-US" w:eastAsia="zh-CN" w:bidi="ar"/>
              </w:rPr>
            </w:r>
            <w:r/>
          </w:p>
        </w:tc>
      </w:tr>
      <w:tr>
        <w:trPr>
          <w:trHeight w:val="327"/>
        </w:trPr>
        <w:tc>
          <w:tcPr>
            <w:tcBorders>
              <w:top w:val="single" w:color="000000" w:sz="8" w:space="0"/>
              <w:left w:val="single" w:color="000000" w:sz="8" w:space="0"/>
              <w:bottom w:val="none" w:color="000000" w:sz="0" w:space="0"/>
              <w:right w:val="single" w:color="000000" w:sz="8" w:space="0"/>
            </w:tcBorders>
            <w:tcW w:w="591"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9</w:t>
            </w:r>
            <w:r>
              <w:rPr>
                <w:rFonts w:ascii="宋体" w:hAnsi="宋体" w:cs="宋体"/>
                <w:b/>
                <w:bCs/>
                <w:color w:val="000000"/>
                <w:sz w:val="22"/>
                <w:szCs w:val="22"/>
                <w:highlight w:val="none"/>
                <w:lang w:bidi="ar"/>
              </w:rPr>
            </w:r>
            <w:r/>
          </w:p>
        </w:tc>
        <w:tc>
          <w:tcPr>
            <w:tcBorders>
              <w:top w:val="single" w:color="000000" w:sz="8" w:space="0"/>
              <w:left w:val="none" w:color="000000" w:sz="4" w:space="0"/>
              <w:bottom w:val="none" w:color="000000" w:sz="0" w:space="0"/>
              <w:right w:val="single" w:color="000000" w:sz="8" w:space="0"/>
            </w:tcBorders>
            <w:tcW w:w="759" w:type="dxa"/>
            <w:vAlign w:val="center"/>
            <w:vMerge w:val="restart"/>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机房设备</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定制机柜（600*800*2000mm）</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600*800*2000mm、10A排插2个、散热风扇2组。</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4</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机柜配件（PDU）</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10A，8插位置。</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12</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无线键鼠</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光学分辨率： 1000dpi 2.4G无线。</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套</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后台监视器（21寸）</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21寸，1920x1080，HDMI。</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路由器</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PoE·AC一体化千兆VPN路由器。</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POE交换机</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16口POE交换机。</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3</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无线AP</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TL-AP1202C-PoE 1200双频无线吸顶式AP。</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10</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机柜配件（2U抽屉）</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机柜配件（2U抽屉）。</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1</w:t>
            </w:r>
            <w:r>
              <w:rPr>
                <w:rFonts w:hint="eastAsia" w:ascii="宋体" w:hAnsi="宋体" w:cs="宋体"/>
                <w:b/>
                <w:bCs/>
                <w:color w:val="000000"/>
                <w:sz w:val="22"/>
                <w:szCs w:val="22"/>
                <w:highlight w:val="none"/>
                <w:lang w:val="en-US" w:eastAsia="zh-CN" w:bidi="ar"/>
              </w:rPr>
            </w:r>
            <w:r/>
          </w:p>
        </w:tc>
      </w:tr>
      <w:tr>
        <w:trPr>
          <w:trHeight w:val="327"/>
        </w:trPr>
        <w:tc>
          <w:tcPr>
            <w:tcBorders>
              <w:top w:val="none" w:color="000000" w:sz="0" w:space="0"/>
              <w:left w:val="single" w:color="000000" w:sz="8" w:space="0"/>
              <w:bottom w:val="none" w:color="000000" w:sz="0"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none" w:color="000000" w:sz="0"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交换机（24口）</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SG1024T 24口千兆交换机。</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台</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2</w:t>
            </w:r>
            <w:r>
              <w:rPr>
                <w:rFonts w:hint="eastAsia" w:ascii="宋体" w:hAnsi="宋体" w:cs="宋体"/>
                <w:b/>
                <w:bCs/>
                <w:color w:val="000000"/>
                <w:sz w:val="22"/>
                <w:szCs w:val="22"/>
                <w:highlight w:val="none"/>
                <w:lang w:val="en-US" w:eastAsia="zh-CN" w:bidi="ar"/>
              </w:rPr>
            </w:r>
            <w:r/>
          </w:p>
        </w:tc>
      </w:tr>
      <w:tr>
        <w:trPr>
          <w:trHeight w:val="338"/>
        </w:trPr>
        <w:tc>
          <w:tcPr>
            <w:tcBorders>
              <w:top w:val="none" w:color="000000" w:sz="0" w:space="0"/>
              <w:left w:val="single" w:color="000000" w:sz="8" w:space="0"/>
              <w:bottom w:val="single" w:color="000000" w:sz="8" w:space="0"/>
              <w:right w:val="single" w:color="000000" w:sz="8" w:space="0"/>
            </w:tcBorders>
            <w:tcW w:w="591"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none" w:color="000000" w:sz="0" w:space="0"/>
              <w:left w:val="none" w:color="000000" w:sz="4" w:space="0"/>
              <w:bottom w:val="single" w:color="000000" w:sz="8" w:space="0"/>
              <w:right w:val="single" w:color="000000" w:sz="8" w:space="0"/>
            </w:tcBorders>
            <w:tcW w:w="759" w:type="dxa"/>
            <w:vAlign w:val="center"/>
            <w:vMerge w:val="continue"/>
            <w:textDirection w:val="lrTb"/>
            <w:noWrap w:val="false"/>
          </w:tcPr>
          <w:p>
            <w:pPr>
              <w:pStyle w:val="1019"/>
              <w:jc w:val="center"/>
              <w:widowControl/>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4" w:space="0"/>
            </w:tcBorders>
            <w:tcW w:w="1100"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机柜配件（层板）</w:t>
            </w:r>
            <w:r>
              <w:rPr>
                <w:rFonts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1019"/>
              <w:jc w:val="left"/>
              <w:widowControl/>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机柜配件（层板）。</w:t>
            </w:r>
            <w:r>
              <w:rPr>
                <w:rFonts w:ascii="宋体" w:hAnsi="宋体" w:cs="宋体"/>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pStyle w:val="1019"/>
              <w:jc w:val="center"/>
              <w:widowControl/>
              <w:rPr>
                <w:rFonts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个</w:t>
            </w:r>
            <w:r>
              <w:rPr>
                <w:rFonts w:ascii="宋体" w:hAnsi="宋体" w:cs="宋体"/>
                <w:b/>
                <w:bCs/>
                <w:color w:val="000000"/>
                <w:sz w:val="22"/>
                <w:szCs w:val="22"/>
                <w:highlight w:val="none"/>
                <w:lang w:bidi="ar"/>
              </w:rPr>
            </w:r>
            <w:r/>
          </w:p>
        </w:tc>
        <w:tc>
          <w:tcPr>
            <w:tcBorders>
              <w:top w:val="single" w:color="000000" w:sz="8" w:space="0"/>
              <w:left w:val="none" w:color="000000" w:sz="4" w:space="0"/>
              <w:bottom w:val="single" w:color="000000" w:sz="8" w:space="0"/>
              <w:right w:val="single" w:color="000000" w:sz="8" w:space="0"/>
            </w:tcBorders>
            <w:tcW w:w="793" w:type="dxa"/>
            <w:vAlign w:val="center"/>
            <w:textDirection w:val="lrTb"/>
            <w:noWrap w:val="false"/>
          </w:tcPr>
          <w:p>
            <w:pPr>
              <w:pStyle w:val="1019"/>
              <w:jc w:val="center"/>
              <w:widowControl/>
              <w:rPr>
                <w:rFonts w:hint="eastAsia" w:ascii="宋体" w:hAnsi="宋体" w:cs="宋体"/>
                <w:b/>
                <w:bCs/>
                <w:color w:val="000000"/>
                <w:sz w:val="22"/>
                <w:szCs w:val="22"/>
                <w:highlight w:val="none"/>
                <w:lang w:val="en-US" w:eastAsia="zh-CN" w:bidi="ar"/>
              </w:rPr>
            </w:pPr>
            <w:r>
              <w:rPr>
                <w:rFonts w:hint="eastAsia" w:ascii="宋体" w:hAnsi="宋体" w:cs="宋体"/>
                <w:color w:val="000000"/>
                <w:sz w:val="22"/>
                <w:szCs w:val="22"/>
                <w:highlight w:val="none"/>
                <w:lang w:bidi="ar"/>
              </w:rPr>
              <w:t xml:space="preserve">8</w:t>
            </w:r>
            <w:r>
              <w:rPr>
                <w:rFonts w:hint="eastAsia" w:ascii="宋体" w:hAnsi="宋体" w:cs="宋体"/>
                <w:b/>
                <w:bCs/>
                <w:color w:val="000000"/>
                <w:sz w:val="22"/>
                <w:szCs w:val="22"/>
                <w:highlight w:val="none"/>
                <w:lang w:val="en-US" w:eastAsia="zh-CN" w:bidi="ar"/>
              </w:rPr>
            </w:r>
            <w:r/>
          </w:p>
        </w:tc>
      </w:tr>
    </w:tbl>
    <w:p>
      <w:pPr>
        <w:pStyle w:val="1019"/>
        <w:rPr>
          <w:rFonts w:ascii="宋体" w:hAnsi="宋体" w:cs="宋体"/>
          <w:sz w:val="24"/>
        </w:rPr>
      </w:pPr>
      <w:r>
        <w:rPr>
          <w:rFonts w:hint="eastAsia" w:ascii="宋体" w:hAnsi="宋体" w:cs="宋体"/>
          <w:sz w:val="24"/>
        </w:rPr>
        <w:t xml:space="preserve">注：技术参数要求中加▲为关键参数，投标人按照清单数量、规格和参数性能要求供货，并提供相关证明材料，须在偏离表中分别标注偏离情况，否则视为负偏离。</w:t>
      </w:r>
      <w:r>
        <w:rPr>
          <w:rFonts w:ascii="宋体" w:hAnsi="宋体" w:cs="宋体"/>
          <w:sz w:val="24"/>
        </w:rPr>
      </w:r>
      <w:r/>
    </w:p>
    <w:p>
      <w:pPr>
        <w:pStyle w:val="1019"/>
        <w:ind w:firstLine="480"/>
        <w:widowControl/>
        <w:rPr>
          <w:sz w:val="24"/>
        </w:rPr>
      </w:pPr>
      <w:r>
        <w:rPr>
          <w:sz w:val="24"/>
        </w:rPr>
      </w:r>
      <w:r/>
    </w:p>
    <w:p>
      <w:pPr>
        <w:pStyle w:val="1019"/>
        <w:ind w:firstLine="480"/>
        <w:widowControl/>
        <w:rPr>
          <w:sz w:val="24"/>
          <w:highlight w:val="none"/>
        </w:rPr>
      </w:pPr>
      <w:r>
        <w:rPr>
          <w:sz w:val="24"/>
          <w:highlight w:val="none"/>
        </w:rPr>
        <w:t xml:space="preserve">2.3采购标的需满足的服务标准、期限、效率等要求；</w:t>
      </w:r>
      <w:r>
        <w:rPr>
          <w:sz w:val="24"/>
          <w:highlight w:val="none"/>
        </w:rPr>
      </w:r>
      <w:r/>
    </w:p>
    <w:p>
      <w:pPr>
        <w:pStyle w:val="1019"/>
        <w:ind w:firstLine="480"/>
        <w:widowControl/>
        <w:rPr>
          <w:rFonts w:ascii="宋体" w:hAnsi="宋体" w:cs="宋体"/>
          <w:sz w:val="24"/>
        </w:rPr>
      </w:pPr>
      <w:r>
        <w:rPr>
          <w:rFonts w:hint="eastAsia" w:ascii="宋体" w:hAnsi="宋体" w:cs="宋体"/>
          <w:sz w:val="24"/>
        </w:rPr>
        <w:t xml:space="preserve">（1）投标人应保证清单中提供的货物不侵犯任何第三方的专利、商标或版权。否则，投标人须承担对第三方的专利或版权的侵权责任并承担因此而发生的所有费用。</w:t>
      </w:r>
      <w:r>
        <w:rPr>
          <w:rFonts w:ascii="宋体" w:hAnsi="宋体" w:cs="宋体"/>
          <w:sz w:val="24"/>
        </w:rPr>
      </w:r>
      <w:r/>
    </w:p>
    <w:p>
      <w:pPr>
        <w:pStyle w:val="1019"/>
        <w:ind w:firstLine="480"/>
        <w:widowControl/>
        <w:rPr>
          <w:rFonts w:ascii="宋体" w:hAnsi="宋体" w:cs="宋体"/>
          <w:sz w:val="24"/>
        </w:rPr>
      </w:pPr>
      <w:r>
        <w:rPr>
          <w:rFonts w:hint="eastAsia" w:ascii="宋体" w:hAnsi="宋体" w:cs="宋体"/>
          <w:sz w:val="24"/>
        </w:rPr>
        <w:t xml:space="preserve">（2）项目实施过程中，中标人应对安全问题负责，涉及安全问题的必须用醒目的标志加以提醒，若发生安全事故由中标人承担所有责任。项目结束后按采购人要求将现场的垃圾、残余材料运送至指定位置，保证现场环境整洁。</w:t>
      </w:r>
      <w:r>
        <w:rPr>
          <w:rFonts w:ascii="宋体" w:hAnsi="宋体" w:cs="宋体"/>
          <w:sz w:val="24"/>
        </w:rPr>
      </w:r>
      <w:r/>
    </w:p>
    <w:p>
      <w:pPr>
        <w:pStyle w:val="1019"/>
        <w:ind w:firstLine="480"/>
        <w:widowControl/>
        <w:rPr>
          <w:rFonts w:ascii="宋体" w:hAnsi="宋体" w:cs="宋体"/>
          <w:sz w:val="24"/>
        </w:rPr>
      </w:pPr>
      <w:r>
        <w:rPr>
          <w:rFonts w:hint="eastAsia" w:ascii="宋体" w:hAnsi="宋体" w:cs="宋体"/>
          <w:sz w:val="24"/>
        </w:rPr>
        <w:t xml:space="preserve">（3）所投产品必须满足采购要求，如中标人的</w:t>
      </w:r>
      <w:r>
        <w:rPr>
          <w:rFonts w:hint="eastAsia" w:ascii="宋体" w:hAnsi="宋体" w:cs="宋体"/>
          <w:sz w:val="24"/>
          <w:lang w:val="en-US" w:eastAsia="zh-CN"/>
        </w:rPr>
        <w:t xml:space="preserve">提供的产品</w:t>
      </w:r>
      <w:r>
        <w:rPr>
          <w:rFonts w:hint="eastAsia" w:ascii="宋体" w:hAnsi="宋体" w:cs="宋体"/>
          <w:sz w:val="24"/>
        </w:rPr>
        <w:t xml:space="preserve">与投标文件承诺不符合，采购人有权拒绝与其签订合同，相关风险由中标人承担。</w:t>
      </w:r>
      <w:r>
        <w:rPr>
          <w:rFonts w:ascii="宋体" w:hAnsi="宋体" w:cs="宋体"/>
          <w:sz w:val="24"/>
        </w:rPr>
      </w:r>
      <w:r/>
    </w:p>
    <w:p>
      <w:pPr>
        <w:pStyle w:val="1019"/>
        <w:contextualSpacing/>
        <w:ind w:firstLine="480"/>
        <w:spacing w:line="360" w:lineRule="auto"/>
        <w:widowControl/>
        <w:rPr>
          <w:sz w:val="24"/>
          <w:highlight w:val="yellow"/>
        </w:rPr>
      </w:pPr>
      <w:r>
        <w:rPr>
          <w:sz w:val="24"/>
          <w:highlight w:val="yellow"/>
        </w:rPr>
      </w:r>
      <w:r/>
    </w:p>
    <w:p>
      <w:pPr>
        <w:pStyle w:val="1019"/>
        <w:contextualSpacing/>
        <w:ind w:firstLine="480"/>
        <w:spacing w:line="360" w:lineRule="auto"/>
        <w:widowControl/>
        <w:rPr>
          <w:sz w:val="24"/>
          <w:highlight w:val="none"/>
        </w:rPr>
      </w:pPr>
      <w:r>
        <w:rPr>
          <w:sz w:val="24"/>
          <w:highlight w:val="none"/>
        </w:rPr>
        <w:t xml:space="preserve">2.4采购标的的其他技术、服务等要求；</w:t>
      </w:r>
      <w:r>
        <w:rPr>
          <w:sz w:val="24"/>
          <w:highlight w:val="none"/>
        </w:rPr>
      </w:r>
      <w:r/>
    </w:p>
    <w:p>
      <w:pPr>
        <w:pStyle w:val="1019"/>
        <w:contextualSpacing/>
        <w:ind w:firstLine="480"/>
        <w:spacing w:line="360" w:lineRule="auto"/>
        <w:widowControl/>
        <w:rPr>
          <w:sz w:val="24"/>
          <w:highlight w:val="yellow"/>
        </w:rPr>
      </w:pPr>
      <w:r>
        <w:rPr>
          <w:rFonts w:hint="eastAsia" w:ascii="宋体" w:hAnsi="宋体" w:cs="宋体"/>
          <w:sz w:val="24"/>
        </w:rPr>
        <w:t xml:space="preserve">投标报价要求：</w:t>
      </w:r>
      <w:r>
        <w:rPr>
          <w:rFonts w:hint="eastAsia" w:ascii="宋体" w:hAnsi="宋体" w:cs="宋体"/>
          <w:sz w:val="24"/>
          <w:lang w:val="zh-CN"/>
        </w:rPr>
        <w:t xml:space="preserve">本项目采用</w:t>
      </w:r>
      <w:r>
        <w:rPr>
          <w:rFonts w:hint="eastAsia" w:ascii="宋体" w:hAnsi="宋体" w:cs="宋体"/>
          <w:b/>
          <w:bCs/>
          <w:sz w:val="24"/>
          <w:lang w:val="zh-CN"/>
        </w:rPr>
        <w:t xml:space="preserve">固定总价</w:t>
      </w:r>
      <w:r>
        <w:rPr>
          <w:rFonts w:hint="eastAsia" w:ascii="宋体" w:hAnsi="宋体" w:cs="宋体"/>
          <w:sz w:val="24"/>
          <w:lang w:val="zh-CN"/>
        </w:rPr>
        <w:t xml:space="preserve">，总价不得高于本项目最高限价，否则投标文件将作为无效投标处理。报价除包括所投货物本身的价格及保证其产品正常运行的辅助设备、备品备件的价格外，还应包括产品的安装费（含施工用水电费）、调试费、检测验收费、及到指定交货地点的运输费、保险费、税费、培训费、技术服务、售后服务及保修等一切费用。投标人可通过自行勘查在报价中一次性包定，后期中标人不得以任何形式向</w:t>
      </w:r>
      <w:r>
        <w:rPr>
          <w:rFonts w:hint="eastAsia" w:ascii="宋体" w:hAnsi="宋体" w:cs="宋体"/>
          <w:sz w:val="24"/>
          <w:lang w:val="en-US" w:eastAsia="zh-CN"/>
        </w:rPr>
        <w:t xml:space="preserve">招标</w:t>
      </w:r>
      <w:r>
        <w:rPr>
          <w:rFonts w:hint="eastAsia" w:ascii="宋体" w:hAnsi="宋体" w:cs="宋体"/>
          <w:sz w:val="24"/>
          <w:lang w:val="zh-CN"/>
        </w:rPr>
        <w:t xml:space="preserve">人收取关于本项目的其他任何费用。</w:t>
      </w:r>
      <w:r>
        <w:rPr>
          <w:sz w:val="24"/>
          <w:highlight w:val="yellow"/>
        </w:rPr>
      </w:r>
      <w:r/>
    </w:p>
    <w:p>
      <w:pPr>
        <w:pStyle w:val="1019"/>
        <w:ind w:firstLine="480"/>
        <w:widowControl/>
        <w:rPr>
          <w:sz w:val="24"/>
        </w:rPr>
      </w:pPr>
      <w:r>
        <w:rPr>
          <w:sz w:val="24"/>
        </w:rPr>
      </w:r>
      <w:r/>
    </w:p>
    <w:p>
      <w:pPr>
        <w:pStyle w:val="1019"/>
        <w:contextualSpacing/>
        <w:ind w:firstLine="480"/>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2.5投标人需要根据采购要求拟定项目总体技术方案、实施方案</w:t>
      </w:r>
      <w:r>
        <w:rPr>
          <w:rFonts w:hint="eastAsia" w:ascii="宋体" w:hAnsi="宋体" w:eastAsia="宋体" w:cs="宋体"/>
          <w:sz w:val="24"/>
          <w:highlight w:val="none"/>
          <w:lang w:val="zh-CN" w:eastAsia="zh-CN"/>
        </w:rPr>
        <w:t xml:space="preserve">、</w:t>
      </w:r>
      <w:r>
        <w:rPr>
          <w:rFonts w:hint="eastAsia" w:ascii="宋体" w:hAnsi="宋体" w:eastAsia="宋体" w:cs="宋体"/>
          <w:sz w:val="24"/>
          <w:highlight w:val="none"/>
          <w:lang w:val="zh-CN"/>
        </w:rPr>
        <w:t xml:space="preserve">培训方案</w:t>
      </w:r>
      <w:r>
        <w:rPr>
          <w:rFonts w:hint="eastAsia" w:ascii="宋体" w:hAnsi="宋体" w:eastAsia="宋体" w:cs="宋体"/>
          <w:sz w:val="24"/>
          <w:highlight w:val="none"/>
          <w:lang w:val="zh-CN" w:eastAsia="zh-CN"/>
        </w:rPr>
        <w:t xml:space="preserve">、</w:t>
      </w:r>
      <w:r>
        <w:rPr>
          <w:rFonts w:hint="eastAsia" w:ascii="宋体" w:hAnsi="宋体" w:eastAsia="宋体" w:cs="宋体"/>
          <w:sz w:val="24"/>
          <w:highlight w:val="none"/>
          <w:lang w:val="zh-CN"/>
        </w:rPr>
        <w:t xml:space="preserve">售后服务方案等详细方案。</w:t>
      </w:r>
      <w:r>
        <w:rPr>
          <w:rFonts w:hint="eastAsia" w:ascii="宋体" w:hAnsi="宋体" w:eastAsia="宋体" w:cs="宋体"/>
          <w:sz w:val="24"/>
          <w:highlight w:val="none"/>
          <w:lang w:val="zh-CN"/>
        </w:rPr>
      </w:r>
      <w:r/>
    </w:p>
    <w:p>
      <w:pPr>
        <w:pStyle w:val="1019"/>
        <w:contextualSpacing/>
        <w:ind w:firstLine="480"/>
        <w:spacing w:line="360" w:lineRule="auto"/>
        <w:widowControl/>
        <w:rPr>
          <w:sz w:val="24"/>
          <w:highlight w:val="none"/>
        </w:rPr>
      </w:pPr>
      <w:r>
        <w:rPr>
          <w:sz w:val="24"/>
          <w:highlight w:val="none"/>
        </w:rPr>
      </w:r>
      <w:r/>
    </w:p>
    <w:p>
      <w:pPr>
        <w:pStyle w:val="1019"/>
        <w:contextualSpacing/>
        <w:ind w:firstLine="480"/>
        <w:pageBreakBefore w:val="0"/>
        <w:spacing w:line="240" w:lineRule="auto"/>
        <w:widowControl/>
        <w:rPr>
          <w:rFonts w:ascii="Times New Roman" w:hAnsi="Times New Roman" w:eastAsia="宋体"/>
          <w:color w:val="ff0000"/>
          <w:sz w:val="24"/>
          <w:szCs w:val="24"/>
          <w:highlight w:val="none"/>
          <w:lang w:val="en-US" w:eastAsia="zh-CN"/>
        </w:rPr>
      </w:pPr>
      <w:r>
        <w:rPr>
          <w:rFonts w:hint="eastAsia"/>
          <w:sz w:val="24"/>
          <w:highlight w:val="none"/>
        </w:rPr>
        <w:t xml:space="preserve">2.</w:t>
      </w:r>
      <w:r>
        <w:rPr>
          <w:rFonts w:hint="eastAsia"/>
          <w:sz w:val="24"/>
          <w:highlight w:val="none"/>
          <w:lang w:val="en-US" w:eastAsia="zh-CN"/>
        </w:rPr>
        <w:t xml:space="preserve">6</w:t>
      </w:r>
      <w:r>
        <w:rPr>
          <w:rFonts w:hint="eastAsia" w:ascii="Times New Roman" w:hAnsi="Times New Roman"/>
          <w:color w:val="ff0000"/>
          <w:sz w:val="24"/>
          <w:szCs w:val="24"/>
          <w:highlight w:val="none"/>
          <w:lang w:val="en-US" w:eastAsia="zh-CN"/>
        </w:rPr>
        <w:t xml:space="preserve">核心产品：</w:t>
      </w:r>
      <w:r>
        <w:rPr>
          <w:rFonts w:hint="eastAsia" w:ascii="Times New Roman" w:hAnsi="Times New Roman"/>
          <w:color w:val="ff0000"/>
          <w:sz w:val="24"/>
          <w:szCs w:val="24"/>
          <w:highlight w:val="none"/>
          <w:lang w:val="en-US" w:eastAsia="zh-CN"/>
        </w:rPr>
        <w:t xml:space="preserve">LED屏（P2）</w:t>
      </w:r>
      <w:r>
        <w:rPr>
          <w:rFonts w:hint="eastAsia" w:ascii="Times New Roman" w:hAnsi="Times New Roman"/>
          <w:color w:val="ff0000"/>
          <w:sz w:val="24"/>
          <w:szCs w:val="24"/>
          <w:highlight w:val="none"/>
          <w:lang w:val="en-US" w:eastAsia="zh-CN"/>
        </w:rPr>
      </w:r>
      <w:r>
        <w:rPr>
          <w:rFonts w:ascii="Times New Roman" w:hAnsi="Times New Roman" w:eastAsia="宋体"/>
          <w:color w:val="ff0000"/>
          <w:sz w:val="24"/>
          <w:szCs w:val="24"/>
          <w:highlight w:val="none"/>
          <w:lang w:val="en-US" w:eastAsia="zh-CN"/>
        </w:rPr>
      </w:r>
      <w:r/>
    </w:p>
    <w:p>
      <w:pPr>
        <w:pStyle w:val="1019"/>
        <w:contextualSpacing/>
        <w:pageBreakBefore w:val="0"/>
        <w:spacing w:line="240" w:lineRule="auto"/>
        <w:rPr>
          <w:sz w:val="24"/>
          <w:highlight w:val="none"/>
        </w:rPr>
      </w:pPr>
      <w:r>
        <w:rPr>
          <w:sz w:val="24"/>
          <w:highlight w:val="none"/>
        </w:rPr>
      </w:r>
      <w:r/>
    </w:p>
    <w:p>
      <w:pPr>
        <w:pStyle w:val="1019"/>
        <w:contextualSpacing/>
        <w:pageBreakBefore w:val="0"/>
        <w:spacing w:line="240" w:lineRule="auto"/>
        <w:rPr>
          <w:i/>
          <w:iCs/>
          <w:sz w:val="24"/>
        </w:rPr>
      </w:pPr>
      <w:r>
        <w:rPr>
          <w:sz w:val="24"/>
        </w:rPr>
        <w:t xml:space="preserve">3. 验收标准</w:t>
      </w:r>
      <w:r>
        <w:rPr>
          <w:i/>
          <w:iCs/>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3.1货品到货后，投标人与招标人共同配合有关部门对所有货品进行开箱检查，出现损坏、数量不全或产品不对等问题时，由投标人负责解决。</w:t>
      </w:r>
      <w:r>
        <w:rPr>
          <w:rFonts w:ascii="宋体" w:hAnsi="宋体" w:cs="宋体"/>
          <w:color w:val="000000"/>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3.2货到招标人指定地点后，招标人须在15日内初验收，招标人对货物依据招标文件上的技术规格要求和国家有关质量标准进行现场初步验收，外观、说明书、包装符合招标文件技术要求的，给予签收，初步验收不合格的不予签收。</w:t>
      </w:r>
      <w:r>
        <w:rPr>
          <w:rFonts w:ascii="宋体" w:hAnsi="宋体" w:cs="宋体"/>
          <w:color w:val="000000"/>
          <w:sz w:val="24"/>
        </w:rPr>
      </w:r>
      <w:r/>
    </w:p>
    <w:p>
      <w:pPr>
        <w:pStyle w:val="1019"/>
        <w:ind w:firstLine="4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3.3中标人按照招标文件要求负责产品安装并与招标人使用人员交接使用事宜，使用一段时间（不少于一个月）后，招标人组织最终验收。</w:t>
      </w:r>
      <w:r>
        <w:rPr>
          <w:rFonts w:hint="eastAsia" w:ascii="宋体" w:hAnsi="宋体" w:eastAsia="宋体" w:cs="宋体"/>
          <w:color w:val="000000"/>
          <w:sz w:val="24"/>
        </w:rPr>
      </w:r>
      <w:r/>
    </w:p>
    <w:p>
      <w:pPr>
        <w:pStyle w:val="1019"/>
        <w:ind w:firstLine="4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如招标人需要，招标人可请国家认可的专业检测机构参与最终验收，并由其出具质量检测报告。验收时招标人和中标人均须在现场，验收完毕后作出验收结果报告；若聘请第三方中立机构验收，验收费用由招标人和中标人协商解决。</w:t>
      </w:r>
      <w:r>
        <w:rPr>
          <w:rFonts w:hint="eastAsia" w:ascii="宋体" w:hAnsi="宋体" w:eastAsia="宋体" w:cs="宋体"/>
          <w:color w:val="000000"/>
          <w:sz w:val="24"/>
        </w:rPr>
      </w:r>
      <w:r/>
    </w:p>
    <w:p>
      <w:pPr>
        <w:pStyle w:val="1019"/>
        <w:contextualSpacing/>
        <w:pageBreakBefore w:val="0"/>
        <w:spacing w:line="240" w:lineRule="auto"/>
        <w:rPr>
          <w:sz w:val="24"/>
        </w:rPr>
      </w:pPr>
      <w:r>
        <w:rPr>
          <w:sz w:val="24"/>
        </w:rPr>
      </w:r>
      <w:r/>
    </w:p>
    <w:p>
      <w:pPr>
        <w:pStyle w:val="1019"/>
        <w:contextualSpacing/>
        <w:pageBreakBefore w:val="0"/>
        <w:spacing w:line="240" w:lineRule="auto"/>
        <w:rPr>
          <w:rFonts w:ascii="Times New Roman" w:hAnsi="Times New Roman" w:eastAsia="宋体" w:cs="Times New Roman"/>
          <w:sz w:val="24"/>
        </w:rPr>
      </w:pP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4.实施要求</w:t>
      </w:r>
      <w:r>
        <w:rPr>
          <w:rFonts w:ascii="Times New Roman" w:hAnsi="Times New Roman" w:eastAsia="宋体" w:cs="Times New Roman"/>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4.1该项目报价中应包含所有教室及系统所需要的线材、配套设备，设备安装运输中产生的所有相关费用；</w:t>
      </w:r>
      <w:r>
        <w:rPr>
          <w:rFonts w:ascii="宋体" w:hAnsi="宋体" w:cs="宋体"/>
          <w:color w:val="000000"/>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4.2投标人应自行采购用于项目实施所需的万用表、绝缘表、测线仪、测序器、脚手架等设备和必要的工具和防护用品；</w:t>
      </w:r>
      <w:r>
        <w:rPr>
          <w:rFonts w:ascii="宋体" w:hAnsi="宋体" w:cs="宋体"/>
          <w:color w:val="000000"/>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4.3投标人应负责合同清单中所有设备的上架安装牢固，通过系统及整体系统测试工作后方可进行设备安装；</w:t>
      </w:r>
      <w:r>
        <w:rPr>
          <w:rFonts w:ascii="宋体" w:hAnsi="宋体" w:cs="宋体"/>
          <w:color w:val="000000"/>
          <w:sz w:val="24"/>
        </w:rPr>
      </w:r>
      <w:r/>
    </w:p>
    <w:p>
      <w:pPr>
        <w:pStyle w:val="1019"/>
        <w:ind w:firstLine="440"/>
        <w:jc w:val="left"/>
        <w:spacing w:line="360" w:lineRule="auto"/>
        <w:rPr>
          <w:rFonts w:hint="eastAsia" w:ascii="宋体" w:hAnsi="宋体" w:cs="宋体"/>
          <w:color w:val="000000"/>
          <w:sz w:val="24"/>
        </w:rPr>
      </w:pPr>
      <w:r>
        <w:rPr>
          <w:rFonts w:hint="eastAsia" w:ascii="宋体" w:hAnsi="宋体" w:cs="宋体"/>
          <w:color w:val="000000"/>
          <w:sz w:val="24"/>
        </w:rPr>
        <w:t xml:space="preserve">4.4投标人应派遣足够的相关施工人员队伍，以确保整体项目的安全顺利交付。</w:t>
      </w:r>
      <w:r>
        <w:rPr>
          <w:rFonts w:hint="eastAsia" w:ascii="宋体" w:hAnsi="宋体" w:cs="宋体"/>
          <w:color w:val="000000"/>
          <w:sz w:val="24"/>
        </w:rPr>
      </w:r>
      <w:r/>
    </w:p>
    <w:p>
      <w:pPr>
        <w:pStyle w:val="1080"/>
      </w:pPr>
      <w:r/>
      <w:r/>
    </w:p>
    <w:p>
      <w:pPr>
        <w:pStyle w:val="1019"/>
        <w:contextualSpacing/>
        <w:pageBreakBefore w:val="0"/>
        <w:spacing w:line="240" w:lineRule="auto"/>
        <w:rPr>
          <w:rFonts w:ascii="Times New Roman" w:hAnsi="Times New Roman" w:eastAsia="宋体" w:cs="Times New Roman"/>
          <w:sz w:val="24"/>
        </w:rPr>
      </w:pPr>
      <w:r>
        <w:rPr>
          <w:rFonts w:hint="eastAsia" w:ascii="Times New Roman" w:hAnsi="Times New Roman" w:eastAsia="宋体" w:cs="Times New Roman"/>
          <w:sz w:val="24"/>
        </w:rPr>
        <w:t xml:space="preserve">5.安全管理</w:t>
      </w:r>
      <w:r>
        <w:rPr>
          <w:rFonts w:ascii="Times New Roman" w:hAnsi="Times New Roman" w:eastAsia="宋体" w:cs="Times New Roman"/>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5.1项目实施期间，中标人工作人员须遵守招标人各项规章制度，进入项目现场的车辆、设备按指定的地点停放，不得妨碍其它施工和阻碍交通。项目结束后，及时清理现场，墙面、门窗如有损坏需恢复原状。</w:t>
      </w:r>
      <w:r>
        <w:rPr>
          <w:rFonts w:ascii="宋体" w:hAnsi="宋体" w:cs="宋体"/>
          <w:color w:val="000000"/>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5.2项目实施期间，如发生安全事故、人身伤害和其它财产安全事故，由中标人全权负责处理，并承担全部责任。</w:t>
      </w:r>
      <w:r>
        <w:rPr>
          <w:rFonts w:ascii="宋体" w:hAnsi="宋体" w:cs="宋体"/>
          <w:color w:val="000000"/>
          <w:sz w:val="24"/>
        </w:rPr>
      </w:r>
      <w:r/>
    </w:p>
    <w:p>
      <w:pPr>
        <w:pStyle w:val="1019"/>
        <w:ind w:firstLine="440"/>
        <w:jc w:val="left"/>
        <w:spacing w:line="360" w:lineRule="auto"/>
        <w:rPr>
          <w:rFonts w:ascii="宋体" w:hAnsi="宋体" w:cs="宋体"/>
          <w:color w:val="000000"/>
          <w:sz w:val="24"/>
        </w:rPr>
      </w:pPr>
      <w:r>
        <w:rPr>
          <w:rFonts w:hint="eastAsia" w:ascii="宋体" w:hAnsi="宋体" w:cs="宋体"/>
          <w:color w:val="000000"/>
          <w:sz w:val="24"/>
        </w:rPr>
        <w:t xml:space="preserve">5.3产品使用过程中，如因产品质量引发安全事故、人身伤害和其他财产安全，由中标人全权负责处理，并承担相应责任。</w:t>
      </w:r>
      <w:r>
        <w:rPr>
          <w:rFonts w:ascii="宋体" w:hAnsi="宋体" w:cs="宋体"/>
          <w:color w:val="000000"/>
          <w:sz w:val="24"/>
        </w:rPr>
      </w:r>
      <w:r/>
    </w:p>
    <w:p>
      <w:pPr>
        <w:pStyle w:val="1019"/>
        <w:contextualSpacing/>
        <w:pageBreakBefore w:val="0"/>
        <w:spacing w:line="24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pStyle w:val="1019"/>
        <w:contextualSpacing/>
        <w:pageBreakBefore w:val="0"/>
        <w:spacing w:line="24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6.质保要求</w:t>
      </w:r>
      <w:r>
        <w:rPr>
          <w:rFonts w:hint="eastAsia" w:ascii="Times New Roman" w:hAnsi="Times New Roman" w:eastAsia="宋体" w:cs="Times New Roman"/>
          <w:sz w:val="24"/>
        </w:rPr>
      </w:r>
      <w:r/>
    </w:p>
    <w:p>
      <w:pPr>
        <w:pStyle w:val="101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6.1免费保修期要求不低于三年（除了前述具体指标里已经要求年限的）。</w:t>
      </w:r>
      <w:r>
        <w:rPr>
          <w:rFonts w:ascii="宋体" w:hAnsi="宋体" w:cs="宋体"/>
          <w:color w:val="000000"/>
          <w:sz w:val="24"/>
          <w:highlight w:val="none"/>
        </w:rPr>
      </w:r>
      <w:r/>
    </w:p>
    <w:p>
      <w:pPr>
        <w:pStyle w:val="1019"/>
        <w:ind w:firstLine="480"/>
        <w:spacing w:line="360" w:lineRule="auto"/>
        <w:rPr>
          <w:rFonts w:ascii="宋体" w:hAnsi="宋体" w:cs="宋体"/>
          <w:color w:val="000000"/>
          <w:sz w:val="24"/>
        </w:rPr>
      </w:pPr>
      <w:r>
        <w:rPr>
          <w:rFonts w:hint="eastAsia" w:ascii="宋体" w:hAnsi="宋体" w:cs="宋体"/>
          <w:color w:val="000000"/>
          <w:sz w:val="24"/>
          <w:highlight w:val="none"/>
        </w:rPr>
        <w:t xml:space="preserve">6.2保修期内，任何由制造商选材和制造不当引起的质量问题，厂</w:t>
      </w:r>
      <w:r>
        <w:rPr>
          <w:rFonts w:hint="eastAsia" w:ascii="宋体" w:hAnsi="宋体" w:cs="宋体"/>
          <w:color w:val="000000"/>
          <w:sz w:val="24"/>
        </w:rPr>
        <w:t xml:space="preserve">家负责免费维修。</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6.3保修期自验收签字之日起计算。</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6.4保修期满前1个月内投标人应负责一次免费全面检查，如发现潜在问题，应负责排除。</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6.5维修响应时间：投标人应在24小时内对招标人的服务要求做出响应，一般问题在48小时内解决，重大问题或其它无法立刻解决的问题应在一周内解决或提出明确的解决方案，否则投标人应赔偿相应的损失。</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6.6投标人需提供迅速优质的售后服务和技术支持。提供至少三年的免费技术支持和培训服务；合同期外，需提供永久的保障性服务。</w:t>
      </w:r>
      <w:r>
        <w:rPr>
          <w:rFonts w:ascii="宋体" w:hAnsi="宋体" w:cs="宋体"/>
          <w:color w:val="000000"/>
          <w:sz w:val="24"/>
        </w:rPr>
      </w:r>
      <w:r/>
    </w:p>
    <w:p>
      <w:pPr>
        <w:pStyle w:val="1019"/>
        <w:ind w:firstLine="480"/>
        <w:spacing w:line="360" w:lineRule="auto"/>
        <w:rPr>
          <w:rFonts w:ascii="宋体" w:hAnsi="宋体" w:cs="宋体"/>
          <w:color w:val="000000"/>
          <w:sz w:val="24"/>
        </w:rPr>
      </w:pPr>
      <w:r>
        <w:rPr>
          <w:rFonts w:hint="eastAsia" w:ascii="宋体" w:hAnsi="宋体" w:cs="宋体"/>
          <w:color w:val="000000"/>
          <w:sz w:val="24"/>
        </w:rPr>
        <w:t xml:space="preserve">6.7在质保期后，须对所提供的货物定期进行检查和保养，并负责终身维护，对于损坏的零部件，应以不高于市场的价格提供。</w:t>
      </w:r>
      <w:r>
        <w:rPr>
          <w:rFonts w:ascii="宋体" w:hAnsi="宋体" w:cs="宋体"/>
          <w:color w:val="000000"/>
          <w:sz w:val="24"/>
        </w:rPr>
      </w:r>
      <w:r/>
    </w:p>
    <w:p>
      <w:pPr>
        <w:pStyle w:val="1019"/>
        <w:contextualSpacing/>
        <w:pageBreakBefore w:val="0"/>
        <w:spacing w:line="24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pStyle w:val="1019"/>
        <w:contextualSpacing/>
        <w:pageBreakBefore w:val="0"/>
        <w:spacing w:line="24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7.培训要求</w:t>
      </w:r>
      <w:r>
        <w:rPr>
          <w:rFonts w:hint="eastAsia" w:ascii="Times New Roman" w:hAnsi="Times New Roman" w:eastAsia="宋体" w:cs="Times New Roman"/>
          <w:sz w:val="24"/>
        </w:rPr>
      </w:r>
      <w:r/>
    </w:p>
    <w:p>
      <w:pPr>
        <w:pStyle w:val="101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7.1中标人应负责对招标人的相关人员进行专业培训，直至招标人能完全操作（投标人应在投标文件中列明具体培训计划方案），提供详细培训计划。</w:t>
      </w:r>
      <w:r>
        <w:rPr>
          <w:rFonts w:hint="eastAsia" w:ascii="宋体" w:hAnsi="宋体" w:eastAsia="宋体" w:cs="宋体"/>
          <w:color w:val="000000"/>
          <w:sz w:val="24"/>
        </w:rPr>
      </w:r>
      <w:r/>
    </w:p>
    <w:p>
      <w:pPr>
        <w:pStyle w:val="10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7.2免费提供技术培训、咨询、现场指导。</w:t>
      </w:r>
      <w:r>
        <w:rPr>
          <w:rFonts w:hint="eastAsia" w:ascii="宋体" w:hAnsi="宋体" w:eastAsia="宋体" w:cs="宋体"/>
          <w:color w:val="000000"/>
          <w:sz w:val="24"/>
          <w:highlight w:val="none"/>
        </w:rPr>
      </w:r>
      <w:r/>
    </w:p>
    <w:p>
      <w:pPr>
        <w:pStyle w:val="101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7.3负责培训1-2名能对设备正常使用和维护的操作人员，对于提供的所有培训，必须保证师资力量。</w:t>
      </w:r>
      <w:r>
        <w:rPr>
          <w:rFonts w:hint="eastAsia" w:ascii="宋体" w:hAnsi="宋体" w:eastAsia="宋体" w:cs="宋体"/>
          <w:color w:val="000000"/>
          <w:sz w:val="24"/>
          <w:highlight w:val="none"/>
        </w:rPr>
      </w:r>
      <w:r/>
    </w:p>
    <w:p>
      <w:pPr>
        <w:pStyle w:val="1080"/>
        <w:rPr>
          <w:highlight w:val="none"/>
        </w:rPr>
      </w:pPr>
      <w:r>
        <w:rPr>
          <w:highlight w:val="none"/>
        </w:rPr>
      </w:r>
      <w:r/>
    </w:p>
    <w:p>
      <w:pPr>
        <w:pStyle w:val="1019"/>
        <w:pageBreakBefore w:val="0"/>
        <w:spacing w:line="240" w:lineRule="auto"/>
        <w:rPr>
          <w:rFonts w:hint="eastAsia" w:ascii="宋体" w:hAnsi="宋体"/>
          <w:sz w:val="24"/>
        </w:rPr>
      </w:pPr>
      <w:r>
        <w:rPr>
          <w:rFonts w:hint="eastAsia"/>
          <w:sz w:val="24"/>
          <w:highlight w:val="none"/>
          <w:lang w:val="en-US" w:eastAsia="zh-CN"/>
        </w:rPr>
        <w:t xml:space="preserve">8</w:t>
      </w:r>
      <w:r>
        <w:rPr>
          <w:sz w:val="24"/>
          <w:highlight w:val="none"/>
        </w:rPr>
        <w:t xml:space="preserve">.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1019"/>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1019"/>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1019"/>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1019"/>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1019"/>
              <w:jc w:val="center"/>
              <w:pageBreakBefore w:val="0"/>
              <w:spacing w:line="240" w:lineRule="auto"/>
              <w:rPr>
                <w:rFonts w:ascii="宋体" w:hAnsi="宋体"/>
                <w:sz w:val="24"/>
              </w:rPr>
            </w:pPr>
            <w:r>
              <w:rPr>
                <w:rFonts w:hint="eastAsia" w:ascii="宋体" w:hAnsi="宋体" w:eastAsia="宋体" w:cs="Times New Roman"/>
                <w:sz w:val="24"/>
                <w:lang w:val="en-US" w:eastAsia="zh-CN"/>
              </w:rPr>
              <w:t xml:space="preserve">江苏省常州技师学院工业互联网实训站多媒体硬件采购与安装项目</w:t>
            </w:r>
            <w:r>
              <w:rPr>
                <w:rFonts w:ascii="宋体" w:hAnsi="宋体"/>
                <w:sz w:val="24"/>
              </w:rPr>
            </w:r>
            <w:r/>
          </w:p>
        </w:tc>
        <w:tc>
          <w:tcPr>
            <w:tcW w:w="2852" w:type="dxa"/>
            <w:vAlign w:val="top"/>
            <w:textDirection w:val="lrTb"/>
            <w:noWrap w:val="false"/>
          </w:tcPr>
          <w:p>
            <w:pPr>
              <w:pStyle w:val="1019"/>
              <w:jc w:val="center"/>
              <w:pageBreakBefore w:val="0"/>
              <w:spacing w:line="240" w:lineRule="auto"/>
              <w:rPr>
                <w:rFonts w:ascii="宋体" w:hAnsi="宋体"/>
                <w:sz w:val="24"/>
              </w:rPr>
            </w:pPr>
            <w:r>
              <w:rPr>
                <w:rFonts w:hint="eastAsia" w:ascii="宋体" w:hAnsi="宋体"/>
                <w:sz w:val="24"/>
              </w:rPr>
              <w:t xml:space="preserve">工业</w:t>
            </w:r>
            <w:r>
              <w:rPr>
                <w:rFonts w:ascii="宋体" w:hAnsi="宋体"/>
                <w:sz w:val="24"/>
              </w:rPr>
            </w:r>
            <w:r/>
          </w:p>
        </w:tc>
      </w:tr>
    </w:tbl>
    <w:p>
      <w:pPr>
        <w:pStyle w:val="1113"/>
        <w:contextualSpacing/>
        <w:ind w:firstLine="422"/>
        <w:jc w:val="left"/>
        <w:pageBreakBefore w:val="0"/>
        <w:spacing w:line="240" w:lineRule="auto"/>
        <w:rPr>
          <w:rFonts w:hint="eastAsia" w:ascii="Times New Roman" w:hAnsi="Times New Roman"/>
          <w:b/>
          <w:sz w:val="24"/>
          <w:szCs w:val="24"/>
        </w:rPr>
      </w:pPr>
      <w:r>
        <w:rPr>
          <w:rFonts w:hint="eastAsia" w:ascii="Times New Roman" w:hAnsi="Times New Roman"/>
          <w:b/>
          <w:sz w:val="24"/>
          <w:szCs w:val="24"/>
        </w:rPr>
      </w:r>
      <w:r/>
    </w:p>
    <w:p>
      <w:pPr>
        <w:pStyle w:val="1113"/>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113"/>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113"/>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113"/>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101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1020"/>
        <w:pageBreakBefore w:val="0"/>
        <w:spacing w:line="240" w:lineRule="auto"/>
        <w:rPr>
          <w:rFonts w:hint="eastAsia" w:ascii="黑体" w:eastAsia="黑体"/>
          <w:bCs/>
          <w:sz w:val="44"/>
        </w:rPr>
      </w:pPr>
      <w:r/>
      <w:bookmarkStart w:id="208" w:name="_Toc2093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8"/>
      <w:r>
        <w:rPr>
          <w:rFonts w:hint="eastAsia" w:ascii="黑体" w:eastAsia="黑体"/>
          <w:bCs/>
          <w:sz w:val="44"/>
        </w:rPr>
      </w:r>
      <w:r/>
    </w:p>
    <w:p>
      <w:pPr>
        <w:pStyle w:val="1019"/>
        <w:pageBreakBefore w:val="0"/>
        <w:spacing w:line="240" w:lineRule="auto"/>
        <w:rPr>
          <w:rFonts w:hint="eastAsia"/>
        </w:rPr>
      </w:pPr>
      <w:r>
        <w:rPr>
          <w:rFonts w:hint="eastAsia"/>
        </w:rPr>
      </w:r>
      <w:r/>
    </w:p>
    <w:p>
      <w:pPr>
        <w:pStyle w:val="1136"/>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136"/>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136"/>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136"/>
        <w:ind w:firstLine="360"/>
        <w:pageBreakBefore w:val="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136"/>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136"/>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136"/>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136"/>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136"/>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pageBreakBefore w:val="0"/>
        <w:spacing w:before="0" w:after="0" w:line="240" w:lineRule="auto"/>
        <w:rPr>
          <w:rFonts w:hint="eastAsia" w:ascii="宋体" w:hAnsi="宋体"/>
        </w:rPr>
      </w:pPr>
      <w:r>
        <w:rPr>
          <w:rFonts w:hint="eastAsia" w:ascii="宋体" w:hAnsi="宋体"/>
        </w:rPr>
      </w:r>
      <w:r/>
    </w:p>
    <w:p>
      <w:pPr>
        <w:pStyle w:val="1136"/>
        <w:ind w:firstLine="482"/>
        <w:jc w:val="center"/>
        <w:pageBreakBefore w:val="0"/>
        <w:spacing w:before="0" w:after="0" w:line="240" w:lineRule="auto"/>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pageBreakBefore w:val="0"/>
              <w:spacing w:line="240" w:lineRule="auto"/>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center"/>
              <w:pageBreakBefore w:val="0"/>
              <w:spacing w:line="240" w:lineRule="auto"/>
              <w:widowControl/>
              <w:rPr>
                <w:rFonts w:ascii="宋体" w:hAnsi="宋体" w:cs="宋体"/>
                <w:sz w:val="24"/>
                <w:highlight w:val="none"/>
              </w:rPr>
            </w:pPr>
            <w:r>
              <w:rPr>
                <w:rFonts w:hint="eastAsia" w:ascii="宋体" w:hAnsi="宋体"/>
                <w:b/>
                <w:szCs w:val="21"/>
                <w:highlight w:val="none"/>
              </w:rPr>
              <w:t xml:space="preserve">评分标准和评审材料</w:t>
            </w:r>
            <w:r>
              <w:rPr>
                <w:rFonts w:ascii="宋体" w:hAnsi="宋体" w:cs="宋体"/>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pageBreakBefore w:val="0"/>
              <w:spacing w:line="240" w:lineRule="auto"/>
              <w:rPr>
                <w:rFonts w:ascii="宋体" w:hAnsi="宋体"/>
                <w:b/>
                <w:szCs w:val="21"/>
                <w:highlight w:val="none"/>
              </w:rPr>
            </w:pPr>
            <w:r>
              <w:rPr>
                <w:rFonts w:hint="eastAsia" w:ascii="宋体" w:hAnsi="宋体"/>
                <w:b/>
                <w:szCs w:val="21"/>
                <w:highlight w:val="none"/>
              </w:rPr>
              <w:t xml:space="preserve">最低分值</w:t>
            </w:r>
            <w:r>
              <w:rPr>
                <w:rFonts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9"/>
              <w:jc w:val="center"/>
              <w:pageBreakBefore w:val="0"/>
              <w:spacing w:line="240" w:lineRule="auto"/>
              <w:rPr>
                <w:rFonts w:ascii="宋体" w:hAnsi="宋体"/>
                <w:b/>
                <w:szCs w:val="21"/>
                <w:highlight w:val="none"/>
              </w:rPr>
            </w:pPr>
            <w:r>
              <w:rPr>
                <w:rFonts w:hint="eastAsia" w:ascii="宋体" w:hAnsi="宋体"/>
                <w:b/>
                <w:szCs w:val="21"/>
                <w:highlight w:val="none"/>
              </w:rPr>
              <w:t xml:space="preserve">最高分值</w:t>
            </w:r>
            <w:r>
              <w:rPr>
                <w:rFonts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rPr>
                <w:rFonts w:hint="eastAsia" w:ascii="宋体" w:hAnsi="宋体"/>
                <w:b/>
                <w:szCs w:val="21"/>
                <w:highlight w:val="none"/>
              </w:rPr>
            </w:pPr>
            <w:r>
              <w:rPr>
                <w:rFonts w:hint="eastAsia"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rPr>
                <w:rFonts w:hint="eastAsia" w:ascii="宋体" w:hAnsi="宋体"/>
                <w:b/>
                <w:szCs w:val="21"/>
                <w:highlight w:val="none"/>
              </w:rPr>
            </w:pPr>
            <w:r>
              <w:rPr>
                <w:rFonts w:hint="eastAsia" w:ascii="宋体" w:hAnsi="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价格分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hint="eastAsia" w:ascii="宋体" w:hAnsi="宋体" w:cs="宋体"/>
                <w:b w:val="0"/>
                <w:bCs w:val="0"/>
                <w:sz w:val="20"/>
                <w:szCs w:val="20"/>
                <w:highlight w:val="none"/>
              </w:rPr>
            </w:pPr>
            <w:r>
              <w:rPr>
                <w:rFonts w:hint="eastAsia" w:ascii="宋体" w:hAnsi="宋体" w:cs="宋体"/>
                <w:b w:val="0"/>
                <w:bCs w:val="0"/>
                <w:highlight w:val="none"/>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val="0"/>
                <w:bCs w:val="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pageBreakBefore w:val="0"/>
              <w:spacing w:line="240" w:lineRule="auto"/>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center"/>
              <w:pageBreakBefore w:val="0"/>
              <w:spacing w:line="240" w:lineRule="auto"/>
              <w:widowControl/>
              <w:rPr>
                <w:rFonts w:ascii="宋体" w:hAnsi="宋体" w:cs="宋体"/>
                <w:sz w:val="24"/>
                <w:highlight w:val="none"/>
              </w:rPr>
            </w:pPr>
            <w:r>
              <w:rPr>
                <w:rFonts w:hint="eastAsia" w:ascii="宋体" w:hAnsi="宋体"/>
                <w:b/>
                <w:szCs w:val="21"/>
                <w:highlight w:val="none"/>
              </w:rPr>
              <w:t xml:space="preserve">评分标准和评审材料</w:t>
            </w:r>
            <w:r>
              <w:rPr>
                <w:rFonts w:ascii="宋体" w:hAnsi="宋体" w:cs="宋体"/>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pageBreakBefore w:val="0"/>
              <w:spacing w:line="240" w:lineRule="auto"/>
              <w:rPr>
                <w:rFonts w:ascii="宋体" w:hAnsi="宋体"/>
                <w:b/>
                <w:szCs w:val="21"/>
                <w:highlight w:val="none"/>
              </w:rPr>
            </w:pPr>
            <w:r>
              <w:rPr>
                <w:rFonts w:hint="eastAsia" w:ascii="宋体" w:hAnsi="宋体"/>
                <w:b/>
                <w:szCs w:val="21"/>
                <w:highlight w:val="none"/>
              </w:rPr>
              <w:t xml:space="preserve">最低分值</w:t>
            </w:r>
            <w:r>
              <w:rPr>
                <w:rFonts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9"/>
              <w:jc w:val="center"/>
              <w:pageBreakBefore w:val="0"/>
              <w:spacing w:line="240" w:lineRule="auto"/>
              <w:rPr>
                <w:rFonts w:ascii="宋体" w:hAnsi="宋体"/>
                <w:b/>
                <w:szCs w:val="21"/>
                <w:highlight w:val="none"/>
              </w:rPr>
            </w:pPr>
            <w:r>
              <w:rPr>
                <w:rFonts w:hint="eastAsia" w:ascii="宋体" w:hAnsi="宋体"/>
                <w:b/>
                <w:szCs w:val="21"/>
                <w:highlight w:val="none"/>
              </w:rPr>
              <w:t xml:space="preserve">最高分值</w:t>
            </w:r>
            <w:r>
              <w:rPr>
                <w:rFonts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rPr>
                <w:rFonts w:hint="eastAsia" w:ascii="宋体" w:hAnsi="宋体"/>
                <w:b/>
                <w:szCs w:val="21"/>
                <w:highlight w:val="none"/>
              </w:rPr>
            </w:pPr>
            <w:r>
              <w:rPr>
                <w:rFonts w:hint="eastAsia" w:ascii="宋体" w:hAnsi="宋体"/>
                <w:b/>
                <w:szCs w:val="21"/>
                <w:highlight w:val="none"/>
              </w:rPr>
              <w:t xml:space="preserve">是否暗标评审</w:t>
            </w:r>
            <w:r>
              <w:rPr>
                <w:rFonts w:hint="eastAsia" w:ascii="宋体" w:hAnsi="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9"/>
              <w:jc w:val="center"/>
              <w:pageBreakBefore w:val="0"/>
              <w:spacing w:line="240" w:lineRule="auto"/>
              <w:rPr>
                <w:rFonts w:hint="eastAsia" w:ascii="宋体" w:hAnsi="宋体"/>
                <w:b/>
                <w:szCs w:val="21"/>
                <w:highlight w:val="none"/>
              </w:rPr>
            </w:pPr>
            <w:r>
              <w:rPr>
                <w:rFonts w:hint="eastAsia" w:ascii="宋体" w:hAnsi="宋体"/>
                <w:b/>
                <w:szCs w:val="21"/>
                <w:highlight w:val="none"/>
              </w:rPr>
              <w:t xml:space="preserve">是否客观分</w:t>
            </w:r>
            <w:r>
              <w:rPr>
                <w:rFonts w:hint="eastAsia" w:ascii="宋体" w:hAnsi="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pageBreakBefore w:val="0"/>
              <w:spacing w:line="240" w:lineRule="auto"/>
              <w:widowControl/>
              <w:rPr>
                <w:rFonts w:hint="eastAsia" w:ascii="宋体" w:hAnsi="宋体" w:eastAsia="宋体" w:cs="宋体"/>
                <w:b/>
                <w:bCs/>
                <w:sz w:val="20"/>
                <w:szCs w:val="20"/>
                <w:highlight w:val="none"/>
                <w:lang w:val="en-US" w:eastAsia="zh-CN"/>
              </w:rPr>
            </w:pPr>
            <w:r>
              <w:rPr>
                <w:rFonts w:hint="eastAsia" w:ascii="宋体" w:hAnsi="宋体" w:cs="宋体"/>
                <w:b/>
                <w:bCs/>
                <w:sz w:val="20"/>
                <w:szCs w:val="20"/>
                <w:highlight w:val="none"/>
                <w:lang w:val="en-US" w:eastAsia="zh-CN"/>
              </w:rPr>
              <w:t xml:space="preserve">2</w:t>
            </w:r>
            <w:r>
              <w:rPr>
                <w:rFonts w:hint="eastAsia" w:ascii="宋体" w:hAnsi="宋体" w:eastAsia="宋体" w:cs="宋体"/>
                <w:b/>
                <w:bCs/>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技术分</w:t>
            </w:r>
            <w:r>
              <w:rPr>
                <w:rFonts w:hint="eastAsia" w:ascii="宋体" w:hAnsi="宋体" w:cs="宋体"/>
                <w:b/>
                <w:bCs/>
                <w:sz w:val="20"/>
                <w:szCs w:val="20"/>
                <w:highlight w:val="none"/>
              </w:rPr>
            </w:r>
            <w:r/>
          </w:p>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（主观分）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hint="eastAsia" w:ascii="宋体" w:hAnsi="宋体" w:cs="宋体"/>
                <w:b/>
                <w:bCs/>
                <w:sz w:val="20"/>
                <w:szCs w:val="20"/>
                <w:highlight w:val="none"/>
              </w:rPr>
            </w:pPr>
            <w:r>
              <w:rPr>
                <w:rFonts w:ascii="宋体" w:hAnsi="宋体" w:cs="宋体"/>
                <w:b/>
                <w:sz w:val="18"/>
                <w:szCs w:val="18"/>
                <w:highlight w:val="none"/>
              </w:rPr>
              <w:t xml:space="preserve">下列（2.1</w:t>
            </w:r>
            <w:r>
              <w:rPr>
                <w:rFonts w:hint="eastAsia" w:ascii="宋体" w:hAnsi="宋体" w:cs="宋体"/>
                <w:b/>
                <w:sz w:val="18"/>
                <w:szCs w:val="18"/>
                <w:highlight w:val="none"/>
              </w:rPr>
              <w:t xml:space="preserve">-</w:t>
            </w:r>
            <w:r>
              <w:rPr>
                <w:rFonts w:hint="eastAsia" w:ascii="宋体" w:hAnsi="宋体" w:cs="宋体"/>
                <w:b/>
                <w:sz w:val="18"/>
                <w:szCs w:val="18"/>
                <w:highlight w:val="none"/>
                <w:lang w:val="en-US" w:eastAsia="zh-CN"/>
              </w:rPr>
              <w:t xml:space="preserve">2.4</w:t>
            </w:r>
            <w:r>
              <w:rPr>
                <w:rFonts w:ascii="宋体" w:hAnsi="宋体" w:cs="宋体"/>
                <w:b/>
                <w:sz w:val="18"/>
                <w:szCs w:val="18"/>
                <w:highlight w:val="none"/>
              </w:rPr>
              <w:t xml:space="preserve">）评分项属于暗标评审项</w:t>
            </w:r>
            <w:r>
              <w:rPr>
                <w:rFonts w:hint="eastAsia" w:ascii="宋体" w:hAnsi="宋体" w:cs="宋体"/>
                <w:b/>
                <w:sz w:val="18"/>
                <w:szCs w:val="18"/>
                <w:highlight w:val="none"/>
              </w:rPr>
              <w:t xml:space="preserve">。</w:t>
            </w:r>
            <w:r>
              <w:rPr>
                <w:rFonts w:ascii="宋体" w:hAnsi="宋体" w:cs="宋体"/>
                <w:b/>
                <w:sz w:val="18"/>
                <w:szCs w:val="18"/>
                <w:highlight w:val="none"/>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sz w:val="20"/>
                <w:szCs w:val="20"/>
                <w:highlight w:val="none"/>
                <w:lang w:eastAsia="zh-CN"/>
              </w:rPr>
            </w:pPr>
            <w:r>
              <w:rPr>
                <w:rFonts w:hint="eastAsia" w:ascii="宋体" w:hAnsi="宋体" w:cs="宋体"/>
                <w:b/>
                <w:bCs/>
                <w:highlight w:val="none"/>
              </w:rPr>
              <w:t xml:space="preserve">2</w:t>
            </w:r>
            <w:r>
              <w:rPr>
                <w:rFonts w:hint="eastAsia" w:ascii="宋体" w:hAnsi="宋体" w:cs="宋体"/>
                <w:b/>
                <w:bCs/>
                <w:highlight w:val="none"/>
                <w:lang w:val="en-US" w:eastAsia="zh-CN"/>
              </w:rPr>
              <w:t xml:space="preserve">3</w:t>
            </w:r>
            <w:r>
              <w:rPr>
                <w:rFonts w:hint="eastAsia" w:ascii="宋体" w:hAnsi="宋体"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2.1</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color w:val="000000"/>
                <w:highlight w:val="none"/>
                <w:lang w:bidi="ar"/>
              </w:rPr>
              <w:t xml:space="preserve">总体技术方案</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ascii="宋体" w:hAnsi="宋体" w:cs="宋体"/>
                <w:color w:val="000000"/>
                <w:highlight w:val="none"/>
                <w:lang w:bidi="ar"/>
              </w:rPr>
            </w:pPr>
            <w:r>
              <w:rPr>
                <w:rFonts w:hint="eastAsia" w:ascii="宋体" w:hAnsi="宋体" w:cs="宋体"/>
                <w:color w:val="000000"/>
                <w:highlight w:val="none"/>
                <w:lang w:bidi="ar"/>
              </w:rPr>
              <w:t xml:space="preserve">投标人根据本项目实际特点提供详细的设计及技术方案，能详细阐述本项目系统的架构与布局、对接与实施等方案：</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方案切实可行、内容完整详实，提供完善的针对本项目的深化图纸（包括现场情况、布线图、示意图），图纸详细齐全，完全满足招标文件技术要求的,得8分；</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方案可行性较好、内容较完整详实，深化图纸较齐全，较满足招标文件技术要求的，得6分；</w:t>
            </w:r>
            <w:r>
              <w:rPr>
                <w:rFonts w:ascii="宋体" w:hAnsi="宋体" w:cs="宋体"/>
                <w:color w:val="000000"/>
                <w:highlight w:val="none"/>
                <w:lang w:bidi="ar"/>
              </w:rPr>
            </w:r>
            <w:r/>
          </w:p>
          <w:p>
            <w:pPr>
              <w:pStyle w:val="1019"/>
              <w:jc w:val="left"/>
              <w:widowControl/>
              <w:rPr>
                <w:rFonts w:hint="eastAsia" w:ascii="宋体" w:hAnsi="宋体" w:cs="宋体"/>
                <w:b/>
                <w:bCs/>
                <w:sz w:val="20"/>
                <w:szCs w:val="20"/>
                <w:highlight w:val="none"/>
              </w:rPr>
            </w:pPr>
            <w:r>
              <w:rPr>
                <w:rFonts w:hint="eastAsia" w:ascii="宋体" w:hAnsi="宋体" w:cs="宋体"/>
                <w:color w:val="000000"/>
                <w:highlight w:val="none"/>
                <w:lang w:bidi="ar"/>
              </w:rPr>
              <w:t xml:space="preserve">方案可行性一般、内容基本完整详实，深化图纸基本齐全，基本满足招标文件技术要求的，得4分；</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方案简单、内容完整性欠缺，深化图纸不齐全，得2分；</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未提供不得分。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8</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2.2</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color w:val="000000"/>
                <w:highlight w:val="none"/>
                <w:lang w:bidi="ar"/>
              </w:rPr>
              <w:t xml:space="preserve">实施方案</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hint="eastAsia" w:ascii="宋体" w:hAnsi="宋体" w:cs="宋体"/>
                <w:b/>
                <w:bCs/>
                <w:sz w:val="20"/>
                <w:szCs w:val="20"/>
                <w:highlight w:val="none"/>
              </w:rPr>
            </w:pPr>
            <w:r>
              <w:rPr>
                <w:rFonts w:hint="eastAsia" w:ascii="宋体" w:hAnsi="宋体" w:cs="宋体"/>
                <w:color w:val="000000"/>
                <w:highlight w:val="none"/>
                <w:lang w:bidi="ar"/>
              </w:rPr>
              <w:t xml:space="preserve">投标人针对本项目的特点，提出项目实施方案，实施方案能覆盖项目管理的全部内容，对项目管理的过程中的安装方案、进度管理、变更、风险等做出详细规划和实质说明的，得6分；项目管理方案的部分达到要求的，得4分；项目管理方案混乱的，得2分，不提供的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6</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2.3</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color w:val="000000"/>
                <w:highlight w:val="none"/>
                <w:lang w:bidi="ar"/>
              </w:rPr>
              <w:t xml:space="preserve">培训方案</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hint="eastAsia" w:ascii="宋体" w:hAnsi="宋体" w:cs="宋体"/>
                <w:b/>
                <w:bCs/>
                <w:sz w:val="20"/>
                <w:szCs w:val="20"/>
                <w:highlight w:val="none"/>
              </w:rPr>
            </w:pPr>
            <w:r>
              <w:rPr>
                <w:rFonts w:hint="eastAsia" w:ascii="宋体" w:hAnsi="宋体" w:cs="宋体"/>
                <w:color w:val="000000"/>
                <w:highlight w:val="none"/>
                <w:lang w:bidi="ar"/>
              </w:rPr>
              <w:t xml:space="preserve">根据各投标人在投标文件对本项目中涉及的产品培训方案的具体内容、培训方式、培训时间安排等。方案细致全面、合理，完全响应需求，技术可行性进行综合评定，方案描述完整、合理得</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bidi="ar"/>
              </w:rPr>
              <w:t xml:space="preserve">分，方案描述较完整合理得</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bidi="ar"/>
              </w:rPr>
              <w:t xml:space="preserve">分，方案描述一般得1分，未提供不得分。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sz w:val="20"/>
                <w:szCs w:val="20"/>
                <w:highlight w:val="none"/>
                <w:lang w:eastAsia="zh-CN"/>
              </w:rPr>
            </w:pPr>
            <w:r>
              <w:rPr>
                <w:rFonts w:hint="eastAsia" w:ascii="宋体" w:hAnsi="宋体" w:cs="宋体"/>
                <w:b/>
                <w:bCs/>
                <w:highlight w:val="none"/>
                <w:lang w:val="en-US" w:eastAsia="zh-CN"/>
              </w:rPr>
              <w:t xml:space="preserve">5</w:t>
            </w:r>
            <w:r>
              <w:rPr>
                <w:rFonts w:hint="eastAsia" w:ascii="宋体" w:hAnsi="宋体"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2.4</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color w:val="000000"/>
                <w:highlight w:val="none"/>
                <w:lang w:bidi="ar"/>
              </w:rPr>
              <w:t xml:space="preserve">售后服务方案</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Fonts w:hint="eastAsia" w:ascii="宋体" w:hAnsi="宋体" w:cs="宋体"/>
                <w:b/>
                <w:bCs/>
                <w:sz w:val="20"/>
                <w:szCs w:val="20"/>
                <w:highlight w:val="none"/>
              </w:rPr>
            </w:pPr>
            <w:r>
              <w:rPr>
                <w:rFonts w:hint="eastAsia" w:ascii="宋体" w:hAnsi="宋体" w:cs="宋体"/>
                <w:color w:val="000000"/>
                <w:highlight w:val="none"/>
                <w:lang w:bidi="ar"/>
              </w:rPr>
              <w:t xml:space="preserve">提供详细的售后服务方案包含但不限于售后服务机构介绍、售后服务体系制度、售后服务方式、明确的响应时间、售后服务平台（提供截图）、备品备件提供、质保期内外售后服务方案等，提供材料齐全，售后服务方案科学合理、有效、可靠，对本项目针对性强、具有实际可操作性得4分，提供材料齐全，售后服务方案较为科学合理，基本能满足本项目需求的得2分，提供材料齐全，售后服务方案一般的或提供材料不齐得1分；未提供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4</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lang w:val="en-US" w:eastAsia="zh-CN" w:bidi="ar-SA"/>
              </w:rPr>
            </w:pPr>
            <w:r>
              <w:rPr>
                <w:rFonts w:hint="eastAsia" w:ascii="宋体" w:hAnsi="宋体" w:cs="宋体"/>
                <w:b/>
                <w:bCs/>
                <w:highlight w:val="none"/>
              </w:rPr>
              <w:t xml:space="preserve">是</w:t>
            </w:r>
            <w:r>
              <w:rPr>
                <w:rFonts w:hint="eastAsia" w:ascii="宋体" w:hAnsi="宋体" w:cs="宋体"/>
                <w:b/>
                <w:bCs/>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lang w:val="en-US" w:eastAsia="zh-CN" w:bidi="ar-SA"/>
              </w:rPr>
            </w:pPr>
            <w:r>
              <w:rPr>
                <w:rFonts w:hint="eastAsia" w:ascii="宋体" w:hAnsi="宋体" w:cs="宋体"/>
                <w:b/>
                <w:bCs/>
                <w:highlight w:val="none"/>
              </w:rPr>
              <w:t xml:space="preserve">否</w:t>
            </w:r>
            <w:r>
              <w:rPr>
                <w:rFonts w:hint="eastAsia" w:ascii="宋体" w:hAnsi="宋体" w:cs="宋体"/>
                <w:b/>
                <w:bCs/>
                <w:sz w:val="20"/>
                <w:szCs w:val="20"/>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pageBreakBefore w:val="0"/>
              <w:spacing w:line="240" w:lineRule="auto"/>
              <w:widowControl/>
              <w:rPr>
                <w:rFonts w:hint="eastAsia" w:ascii="宋体" w:hAnsi="宋体" w:eastAsia="宋体" w:cs="宋体"/>
                <w:b/>
                <w:bCs/>
                <w:sz w:val="20"/>
                <w:szCs w:val="20"/>
                <w:highlight w:val="none"/>
                <w:lang w:val="en-US" w:eastAsia="zh-CN"/>
              </w:rPr>
            </w:pPr>
            <w:r>
              <w:rPr>
                <w:rFonts w:hint="eastAsia" w:ascii="宋体" w:hAnsi="宋体" w:cs="宋体"/>
                <w:b/>
                <w:bCs/>
                <w:sz w:val="20"/>
                <w:szCs w:val="20"/>
                <w:highlight w:val="none"/>
                <w:lang w:val="en-US" w:eastAsia="zh-CN"/>
              </w:rPr>
              <w:t xml:space="preserve">3</w:t>
            </w:r>
            <w:r>
              <w:rPr>
                <w:rFonts w:hint="eastAsia" w:ascii="宋体" w:hAnsi="宋体" w:eastAsia="宋体" w:cs="宋体"/>
                <w:b/>
                <w:bCs/>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商务分</w:t>
            </w:r>
            <w:r>
              <w:rPr>
                <w:rFonts w:hint="eastAsia" w:ascii="宋体" w:hAnsi="宋体" w:cs="宋体"/>
                <w:b/>
                <w:bCs/>
                <w:sz w:val="20"/>
                <w:szCs w:val="20"/>
                <w:highlight w:val="none"/>
              </w:rPr>
            </w:r>
            <w:r/>
          </w:p>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（客观分）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center"/>
              <w:pageBreakBefore w:val="0"/>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sz w:val="20"/>
                <w:szCs w:val="20"/>
                <w:highlight w:val="none"/>
                <w:lang w:eastAsia="zh-CN"/>
              </w:rPr>
            </w:pPr>
            <w:r>
              <w:rPr>
                <w:rFonts w:hint="eastAsia" w:ascii="宋体" w:hAnsi="宋体" w:cs="宋体"/>
                <w:b/>
                <w:bCs/>
                <w:highlight w:val="none"/>
              </w:rPr>
              <w:t xml:space="preserve">4</w:t>
            </w:r>
            <w:r>
              <w:rPr>
                <w:rFonts w:hint="eastAsia" w:ascii="宋体" w:hAnsi="宋体" w:cs="宋体"/>
                <w:b/>
                <w:bCs/>
                <w:highlight w:val="none"/>
                <w:lang w:val="en-US" w:eastAsia="zh-CN"/>
              </w:rPr>
              <w:t xml:space="preserve">7</w:t>
            </w:r>
            <w:r>
              <w:rPr>
                <w:rFonts w:hint="eastAsia" w:ascii="宋体" w:hAnsi="宋体"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3.1</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技术参数</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Fonts w:ascii="宋体" w:hAnsi="宋体" w:cs="宋体"/>
                <w:highlight w:val="none"/>
              </w:rPr>
            </w:pPr>
            <w:r>
              <w:rPr>
                <w:rFonts w:hint="eastAsia" w:ascii="宋体" w:hAnsi="宋体" w:cs="宋体"/>
                <w:highlight w:val="none"/>
              </w:rPr>
              <w:t xml:space="preserve">投标人所投产品具体技术参数性能要求的符合性，即对提供货物的技术参数、配置、性能是否符合招标文件要求进行综合评分，本项最高得25分。</w:t>
            </w:r>
            <w:r>
              <w:rPr>
                <w:rFonts w:ascii="宋体" w:hAnsi="宋体" w:cs="宋体"/>
                <w:highlight w:val="none"/>
              </w:rPr>
            </w:r>
            <w:r/>
          </w:p>
          <w:p>
            <w:pPr>
              <w:pStyle w:val="1019"/>
              <w:widowControl/>
              <w:rPr>
                <w:rFonts w:ascii="宋体" w:hAnsi="宋体" w:cs="宋体"/>
                <w:highlight w:val="none"/>
              </w:rPr>
            </w:pPr>
            <w:r>
              <w:rPr>
                <w:rFonts w:hint="eastAsia" w:ascii="宋体" w:hAnsi="宋体" w:cs="宋体"/>
                <w:highlight w:val="none"/>
              </w:rPr>
              <w:t xml:space="preserve">所投产品的技术要求全部完全满足或优于（正偏离）技术要求的，得25分。采购清单中带“▲”号的项为重要参数指标，如有负偏离、配置不详、技术参数不明确的，每有一项扣</w:t>
            </w:r>
            <w:r>
              <w:rPr>
                <w:rFonts w:hint="eastAsia" w:ascii="宋体" w:hAnsi="宋体" w:cs="宋体"/>
                <w:highlight w:val="none"/>
                <w:lang w:val="en-US" w:eastAsia="zh-CN"/>
              </w:rPr>
              <w:t xml:space="preserve">0.8</w:t>
            </w:r>
            <w:r>
              <w:rPr>
                <w:rFonts w:hint="eastAsia" w:ascii="宋体" w:hAnsi="宋体" w:cs="宋体"/>
                <w:highlight w:val="none"/>
              </w:rPr>
              <w:t xml:space="preserve">分，其余参数为一般技术参数指标，如有负偏离、配置不详、技术参数不明确的，每有一项扣0.5分，扣完为止。</w:t>
            </w:r>
            <w:r>
              <w:rPr>
                <w:rFonts w:ascii="宋体" w:hAnsi="宋体" w:cs="宋体"/>
                <w:highlight w:val="none"/>
              </w:rPr>
            </w:r>
            <w:r/>
          </w:p>
          <w:p>
            <w:pPr>
              <w:pStyle w:val="1019"/>
              <w:widowControl/>
              <w:rPr>
                <w:rFonts w:hint="eastAsia" w:ascii="宋体" w:hAnsi="宋体" w:cs="宋体"/>
                <w:b/>
                <w:bCs/>
                <w:sz w:val="20"/>
                <w:szCs w:val="20"/>
                <w:highlight w:val="none"/>
              </w:rPr>
            </w:pPr>
            <w:r>
              <w:rPr>
                <w:rStyle w:val="1044"/>
                <w:b/>
                <w:bCs/>
                <w:sz w:val="21"/>
                <w:szCs w:val="21"/>
                <w:highlight w:val="none"/>
                <w:lang w:bidi="ar"/>
              </w:rPr>
              <w:t xml:space="preserve">注</w:t>
            </w:r>
            <w:r>
              <w:rPr>
                <w:rStyle w:val="1067"/>
                <w:rFonts w:hint="eastAsia" w:ascii="宋体" w:hAnsi="宋体" w:cs="宋体"/>
                <w:b/>
                <w:bCs/>
                <w:sz w:val="21"/>
                <w:szCs w:val="21"/>
                <w:highlight w:val="none"/>
                <w:lang w:bidi="ar"/>
              </w:rPr>
              <w:t xml:space="preserve">：投标</w:t>
            </w:r>
            <w:r>
              <w:rPr>
                <w:rStyle w:val="1044"/>
                <w:b/>
                <w:bCs/>
                <w:sz w:val="21"/>
                <w:szCs w:val="21"/>
                <w:highlight w:val="none"/>
                <w:lang w:bidi="ar"/>
              </w:rPr>
              <w:t xml:space="preserve">文件中应提供技术参数的相关证明材料，并注明对应条款供评委评判，否则评委有权视相应技术参数为负偏离处理。如有提供虚假技术参数的，在评标过程中一经发现按无效标处理。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25</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3.2</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业绩</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Style w:val="1044"/>
                <w:sz w:val="21"/>
                <w:szCs w:val="21"/>
                <w:highlight w:val="none"/>
                <w:lang w:bidi="ar"/>
              </w:rPr>
            </w:pPr>
            <w:r>
              <w:rPr>
                <w:rStyle w:val="1044"/>
                <w:sz w:val="21"/>
                <w:szCs w:val="21"/>
                <w:highlight w:val="none"/>
                <w:lang w:bidi="ar"/>
              </w:rPr>
              <w:t xml:space="preserve">投标人提供自</w:t>
            </w:r>
            <w:r>
              <w:rPr>
                <w:rStyle w:val="1055"/>
                <w:rFonts w:hint="eastAsia" w:ascii="宋体" w:hAnsi="宋体" w:cs="宋体"/>
                <w:sz w:val="21"/>
                <w:szCs w:val="21"/>
                <w:highlight w:val="none"/>
                <w:lang w:bidi="ar"/>
              </w:rPr>
              <w:t xml:space="preserve">2022</w:t>
            </w:r>
            <w:r>
              <w:rPr>
                <w:rStyle w:val="1044"/>
                <w:sz w:val="21"/>
                <w:szCs w:val="21"/>
                <w:highlight w:val="none"/>
                <w:lang w:bidi="ar"/>
              </w:rPr>
              <w:t xml:space="preserve">年</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月</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日（以签订日期为准）以来签订的多媒体设备项目业绩，每提供一份得</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分，最高</w:t>
            </w:r>
            <w:r>
              <w:rPr>
                <w:rStyle w:val="1055"/>
                <w:rFonts w:hint="eastAsia" w:ascii="宋体" w:hAnsi="宋体" w:cs="宋体"/>
                <w:sz w:val="21"/>
                <w:szCs w:val="21"/>
                <w:highlight w:val="none"/>
                <w:lang w:bidi="ar"/>
              </w:rPr>
              <w:t xml:space="preserve">2</w:t>
            </w:r>
            <w:r>
              <w:rPr>
                <w:rStyle w:val="1044"/>
                <w:sz w:val="21"/>
                <w:szCs w:val="21"/>
                <w:highlight w:val="none"/>
                <w:lang w:bidi="ar"/>
              </w:rPr>
              <w:t xml:space="preserve">分。</w:t>
            </w:r>
            <w:r>
              <w:rPr>
                <w:rStyle w:val="1044"/>
                <w:sz w:val="21"/>
                <w:szCs w:val="21"/>
                <w:highlight w:val="none"/>
                <w:lang w:bidi="ar"/>
              </w:rPr>
            </w:r>
            <w:r/>
          </w:p>
          <w:p>
            <w:pPr>
              <w:pStyle w:val="1080"/>
              <w:rPr>
                <w:rFonts w:hint="eastAsia" w:ascii="宋体" w:hAnsi="宋体" w:cs="宋体"/>
                <w:b/>
                <w:bCs/>
                <w:sz w:val="20"/>
                <w:szCs w:val="20"/>
                <w:highlight w:val="none"/>
              </w:rPr>
            </w:pPr>
            <w:r>
              <w:rPr>
                <w:rFonts w:hint="eastAsia" w:ascii="宋体" w:hAnsi="宋体" w:cs="宋体"/>
                <w:b/>
                <w:bCs/>
                <w:color w:val="000000"/>
                <w:highlight w:val="none"/>
                <w:lang w:bidi="ar"/>
              </w:rPr>
              <w:t xml:space="preserve">注：投标文件中提供合同和验收报告</w:t>
            </w:r>
            <w:r>
              <w:rPr>
                <w:rFonts w:hint="eastAsia" w:ascii="宋体" w:hAnsi="宋体" w:cs="宋体"/>
                <w:b/>
                <w:bCs/>
                <w:color w:val="000000"/>
                <w:highlight w:val="none"/>
                <w:lang w:val="en-US" w:eastAsia="zh-CN" w:bidi="ar"/>
              </w:rPr>
              <w:t xml:space="preserve">扫描件</w:t>
            </w:r>
            <w:r>
              <w:rPr>
                <w:rFonts w:hint="eastAsia" w:ascii="宋体" w:hAnsi="宋体" w:cs="宋体"/>
                <w:b/>
                <w:bCs/>
                <w:color w:val="000000"/>
                <w:highlight w:val="none"/>
                <w:lang w:bidi="ar"/>
              </w:rPr>
              <w:t xml:space="preserve">并加盖投标人公章。同一委托单位不同年度合同不累计得分。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2</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3.3</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综合实力</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105"/>
              <w:tabs>
                <w:tab w:val="left" w:pos="567" w:leader="none"/>
              </w:tabs>
              <w:rPr>
                <w:rStyle w:val="1044"/>
                <w:sz w:val="21"/>
                <w:szCs w:val="21"/>
                <w:highlight w:val="none"/>
                <w:lang w:bidi="ar"/>
              </w:rPr>
            </w:pPr>
            <w:r>
              <w:rPr>
                <w:rStyle w:val="1044"/>
                <w:sz w:val="21"/>
                <w:szCs w:val="21"/>
                <w:highlight w:val="none"/>
                <w:lang w:bidi="ar"/>
              </w:rPr>
              <w:t xml:space="preserve">企业资质：</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1、ISO9001质量管理体系认证证书（认证范围包含网络工程系统集成）；</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2、ISO14001环境管理体系认证证书（认证范围包含网络工程系统集成）；</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3、ISO27001信息安全管理体系证书（认证范围包含计算机信息系统集成及运维）；</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4、ISO20000 IT服务管理体系认证证书（软硬件运维服务的服务管理体系）</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5、ISO27040数据存储安全管理体系认证（认证范围包含系统集成与运营维护）；</w:t>
            </w:r>
            <w:r>
              <w:rPr>
                <w:rStyle w:val="1044"/>
                <w:sz w:val="21"/>
                <w:szCs w:val="21"/>
                <w:highlight w:val="none"/>
                <w:lang w:bidi="ar"/>
              </w:rPr>
            </w:r>
            <w:r/>
          </w:p>
          <w:p>
            <w:pPr>
              <w:pStyle w:val="1105"/>
              <w:tabs>
                <w:tab w:val="left" w:pos="567" w:leader="none"/>
              </w:tabs>
              <w:rPr>
                <w:rStyle w:val="1044"/>
                <w:sz w:val="21"/>
                <w:szCs w:val="21"/>
                <w:highlight w:val="none"/>
                <w:lang w:bidi="ar"/>
              </w:rPr>
            </w:pPr>
            <w:r>
              <w:rPr>
                <w:rStyle w:val="1044"/>
                <w:sz w:val="21"/>
                <w:szCs w:val="21"/>
                <w:highlight w:val="none"/>
                <w:lang w:bidi="ar"/>
              </w:rPr>
              <w:t xml:space="preserve">每提供一种证书得1分，最高得5分。</w:t>
            </w:r>
            <w:r>
              <w:rPr>
                <w:rStyle w:val="1044"/>
                <w:sz w:val="21"/>
                <w:szCs w:val="21"/>
                <w:highlight w:val="none"/>
                <w:lang w:bidi="ar"/>
              </w:rPr>
            </w:r>
            <w:r/>
          </w:p>
          <w:p>
            <w:pPr>
              <w:pStyle w:val="1019"/>
              <w:widowControl/>
              <w:rPr>
                <w:rFonts w:hint="eastAsia" w:ascii="宋体" w:hAnsi="宋体" w:cs="宋体"/>
                <w:b/>
                <w:bCs/>
                <w:sz w:val="20"/>
                <w:szCs w:val="20"/>
                <w:highlight w:val="none"/>
              </w:rPr>
            </w:pPr>
            <w:r>
              <w:rPr>
                <w:rStyle w:val="1044"/>
                <w:b/>
                <w:bCs/>
                <w:sz w:val="21"/>
                <w:szCs w:val="21"/>
                <w:highlight w:val="none"/>
                <w:lang w:bidi="ar"/>
              </w:rPr>
              <w:t xml:space="preserve">注：投标文件中提供</w:t>
            </w:r>
            <w:r>
              <w:rPr>
                <w:rStyle w:val="1044"/>
                <w:rFonts w:hint="eastAsia" w:eastAsia="宋体"/>
                <w:b/>
                <w:bCs/>
                <w:sz w:val="21"/>
                <w:szCs w:val="21"/>
                <w:highlight w:val="none"/>
                <w:lang w:val="en-US" w:eastAsia="zh-CN" w:bidi="ar"/>
              </w:rPr>
              <w:t xml:space="preserve">有效</w:t>
            </w:r>
            <w:r>
              <w:rPr>
                <w:rStyle w:val="1044"/>
                <w:b/>
                <w:bCs/>
                <w:sz w:val="21"/>
                <w:szCs w:val="21"/>
                <w:highlight w:val="none"/>
                <w:lang w:bidi="ar"/>
              </w:rPr>
              <w:t xml:space="preserve">证书</w:t>
            </w:r>
            <w:r>
              <w:rPr>
                <w:rFonts w:hint="eastAsia" w:ascii="宋体" w:hAnsi="宋体" w:cs="宋体"/>
                <w:b/>
                <w:bCs/>
                <w:color w:val="000000"/>
                <w:highlight w:val="none"/>
                <w:lang w:val="en-US" w:eastAsia="zh-CN" w:bidi="ar"/>
              </w:rPr>
              <w:t xml:space="preserve">扫描件</w:t>
            </w:r>
            <w:r>
              <w:rPr>
                <w:rFonts w:hint="eastAsia" w:ascii="宋体" w:hAnsi="宋体" w:cs="宋体"/>
                <w:b/>
                <w:bCs/>
                <w:highlight w:val="none"/>
              </w:rPr>
              <w:t xml:space="preserve">加盖投标人公章</w:t>
            </w:r>
            <w:r>
              <w:rPr>
                <w:rStyle w:val="1044"/>
                <w:b/>
                <w:bCs/>
                <w:sz w:val="21"/>
                <w:szCs w:val="21"/>
                <w:highlight w:val="none"/>
                <w:lang w:bidi="ar"/>
              </w:rPr>
              <w:t xml:space="preserve">，未提供不得分。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5</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3.4</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项目经理</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Style w:val="1044"/>
                <w:sz w:val="21"/>
                <w:szCs w:val="21"/>
                <w:highlight w:val="none"/>
                <w:lang w:bidi="ar"/>
              </w:rPr>
            </w:pPr>
            <w:r>
              <w:rPr>
                <w:rStyle w:val="1044"/>
                <w:sz w:val="21"/>
                <w:szCs w:val="21"/>
                <w:highlight w:val="none"/>
                <w:lang w:bidi="ar"/>
              </w:rPr>
              <w:t xml:space="preserve">拟投入本项目的项目经理（</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名）具有高级弱电系统工程师、</w:t>
            </w:r>
            <w:r>
              <w:rPr>
                <w:rStyle w:val="1055"/>
                <w:rFonts w:hint="eastAsia" w:ascii="宋体" w:hAnsi="宋体" w:cs="宋体"/>
                <w:sz w:val="21"/>
                <w:szCs w:val="21"/>
                <w:highlight w:val="none"/>
                <w:lang w:bidi="ar"/>
              </w:rPr>
              <w:t xml:space="preserve">CISP</w:t>
            </w:r>
            <w:r>
              <w:rPr>
                <w:rStyle w:val="1044"/>
                <w:sz w:val="21"/>
                <w:szCs w:val="21"/>
                <w:highlight w:val="none"/>
                <w:lang w:bidi="ar"/>
              </w:rPr>
              <w:t xml:space="preserve">注册信息安全管理人员（</w:t>
            </w:r>
            <w:r>
              <w:rPr>
                <w:rStyle w:val="1055"/>
                <w:rFonts w:hint="eastAsia" w:ascii="宋体" w:hAnsi="宋体" w:cs="宋体"/>
                <w:sz w:val="21"/>
                <w:szCs w:val="21"/>
                <w:highlight w:val="none"/>
                <w:lang w:bidi="ar"/>
              </w:rPr>
              <w:t xml:space="preserve">CISO)</w:t>
            </w:r>
            <w:r>
              <w:rPr>
                <w:rStyle w:val="1044"/>
                <w:sz w:val="21"/>
                <w:szCs w:val="21"/>
                <w:highlight w:val="none"/>
                <w:lang w:bidi="ar"/>
              </w:rPr>
              <w:t xml:space="preserve">认证和IT服务项目经理（ITSS）的，有一份得1分，本项仅计1人得分，最多得</w:t>
            </w:r>
            <w:r>
              <w:rPr>
                <w:rStyle w:val="1044"/>
                <w:rFonts w:hint="eastAsia" w:eastAsia="宋体"/>
                <w:sz w:val="21"/>
                <w:szCs w:val="21"/>
                <w:highlight w:val="none"/>
                <w:lang w:val="en-US" w:eastAsia="zh-CN" w:bidi="ar"/>
              </w:rPr>
              <w:t xml:space="preserve">3</w:t>
            </w:r>
            <w:r>
              <w:rPr>
                <w:rStyle w:val="1044"/>
                <w:sz w:val="21"/>
                <w:szCs w:val="21"/>
                <w:highlight w:val="none"/>
                <w:lang w:bidi="ar"/>
              </w:rPr>
              <w:t xml:space="preserve">分。</w:t>
            </w:r>
            <w:r>
              <w:rPr>
                <w:rStyle w:val="1044"/>
                <w:sz w:val="21"/>
                <w:szCs w:val="21"/>
                <w:highlight w:val="none"/>
                <w:lang w:bidi="ar"/>
              </w:rPr>
            </w:r>
            <w:r/>
          </w:p>
          <w:p>
            <w:pPr>
              <w:pStyle w:val="1019"/>
              <w:rPr>
                <w:rFonts w:hint="eastAsia" w:ascii="宋体" w:hAnsi="宋体" w:cs="宋体"/>
                <w:b/>
                <w:bCs/>
                <w:sz w:val="20"/>
                <w:szCs w:val="20"/>
                <w:highlight w:val="none"/>
              </w:rPr>
            </w:pPr>
            <w:r>
              <w:rPr>
                <w:rFonts w:hint="eastAsia" w:ascii="宋体" w:hAnsi="宋体" w:cs="宋体"/>
                <w:b/>
                <w:bCs/>
                <w:highlight w:val="none"/>
              </w:rPr>
              <w:t xml:space="preserve">提供证书</w:t>
            </w:r>
            <w:r>
              <w:rPr>
                <w:rFonts w:hint="eastAsia" w:ascii="宋体" w:hAnsi="宋体" w:cs="宋体"/>
                <w:b/>
                <w:bCs/>
                <w:color w:val="000000"/>
                <w:highlight w:val="none"/>
                <w:lang w:val="en-US" w:eastAsia="zh-CN" w:bidi="ar"/>
              </w:rPr>
              <w:t xml:space="preserve">扫描件</w:t>
            </w:r>
            <w:r>
              <w:rPr>
                <w:rFonts w:hint="eastAsia" w:ascii="宋体" w:hAnsi="宋体" w:cs="宋体"/>
                <w:b/>
                <w:bCs/>
                <w:highlight w:val="none"/>
              </w:rPr>
              <w:t xml:space="preserve">以及投标人为以上人员缴纳的近三个月</w:t>
            </w:r>
            <w:r>
              <w:rPr>
                <w:rFonts w:hint="eastAsia" w:ascii="宋体" w:hAnsi="宋体" w:cs="宋体"/>
                <w:b/>
                <w:bCs/>
                <w:highlight w:val="none"/>
                <w:lang w:val="en-US" w:eastAsia="zh-CN"/>
              </w:rPr>
              <w:t xml:space="preserve">中任意一个月</w:t>
            </w:r>
            <w:r>
              <w:rPr>
                <w:rFonts w:hint="eastAsia" w:ascii="宋体" w:hAnsi="宋体" w:cs="宋体"/>
                <w:b/>
                <w:bCs/>
                <w:highlight w:val="none"/>
              </w:rPr>
              <w:t xml:space="preserve">（自投标截止之日往前推算）社保证明材料并加盖投标人公章，否则不得分。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sz w:val="20"/>
                <w:szCs w:val="20"/>
                <w:highlight w:val="none"/>
                <w:lang w:eastAsia="zh-CN"/>
              </w:rPr>
            </w:pPr>
            <w:r>
              <w:rPr>
                <w:rFonts w:hint="eastAsia" w:ascii="宋体" w:hAnsi="宋体" w:cs="宋体"/>
                <w:b/>
                <w:bCs/>
                <w:highlight w:val="none"/>
                <w:lang w:val="en-US" w:eastAsia="zh-CN"/>
              </w:rPr>
              <w:t xml:space="preserve">3</w:t>
            </w:r>
            <w:r>
              <w:rPr>
                <w:rFonts w:hint="eastAsia" w:ascii="宋体" w:hAnsi="宋体"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3.5</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技术负责人</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Style w:val="1044"/>
                <w:sz w:val="21"/>
                <w:szCs w:val="21"/>
                <w:highlight w:val="none"/>
                <w:lang w:bidi="ar"/>
              </w:rPr>
            </w:pPr>
            <w:r>
              <w:rPr>
                <w:rStyle w:val="1044"/>
                <w:sz w:val="21"/>
                <w:szCs w:val="21"/>
                <w:highlight w:val="none"/>
                <w:lang w:bidi="ar"/>
              </w:rPr>
              <w:t xml:space="preserve">拟投入本项目的技术负责人具有网络规划设计师、网络工程师证书、设备安装质量员证书、</w:t>
            </w:r>
            <w:r>
              <w:rPr>
                <w:rStyle w:val="1055"/>
                <w:rFonts w:hint="eastAsia" w:ascii="宋体" w:hAnsi="宋体" w:cs="宋体"/>
                <w:sz w:val="21"/>
                <w:szCs w:val="21"/>
                <w:highlight w:val="none"/>
                <w:lang w:bidi="ar"/>
              </w:rPr>
              <w:t xml:space="preserve">CISAW</w:t>
            </w:r>
            <w:r>
              <w:rPr>
                <w:rStyle w:val="1044"/>
                <w:sz w:val="21"/>
                <w:szCs w:val="21"/>
                <w:highlight w:val="none"/>
                <w:lang w:bidi="ar"/>
              </w:rPr>
              <w:t xml:space="preserve">信息安全保障人员认证证书（应急服务）的，有一份得</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分，本项仅计</w:t>
            </w:r>
            <w:r>
              <w:rPr>
                <w:rStyle w:val="1055"/>
                <w:rFonts w:hint="eastAsia" w:ascii="宋体" w:hAnsi="宋体" w:cs="宋体"/>
                <w:sz w:val="21"/>
                <w:szCs w:val="21"/>
                <w:highlight w:val="none"/>
                <w:lang w:bidi="ar"/>
              </w:rPr>
              <w:t xml:space="preserve">1</w:t>
            </w:r>
            <w:r>
              <w:rPr>
                <w:rStyle w:val="1044"/>
                <w:sz w:val="21"/>
                <w:szCs w:val="21"/>
                <w:highlight w:val="none"/>
                <w:lang w:bidi="ar"/>
              </w:rPr>
              <w:t xml:space="preserve">人得分，最多得</w:t>
            </w:r>
            <w:r>
              <w:rPr>
                <w:rStyle w:val="1055"/>
                <w:rFonts w:hint="eastAsia" w:ascii="宋体" w:hAnsi="宋体" w:cs="宋体"/>
                <w:sz w:val="21"/>
                <w:szCs w:val="21"/>
                <w:highlight w:val="none"/>
                <w:lang w:bidi="ar"/>
              </w:rPr>
              <w:t xml:space="preserve">4</w:t>
            </w:r>
            <w:r>
              <w:rPr>
                <w:rStyle w:val="1044"/>
                <w:sz w:val="21"/>
                <w:szCs w:val="21"/>
                <w:highlight w:val="none"/>
                <w:lang w:bidi="ar"/>
              </w:rPr>
              <w:t xml:space="preserve">分；</w:t>
            </w:r>
            <w:r>
              <w:rPr>
                <w:rStyle w:val="1044"/>
                <w:sz w:val="21"/>
                <w:szCs w:val="21"/>
                <w:highlight w:val="none"/>
                <w:lang w:bidi="ar"/>
              </w:rPr>
            </w:r>
            <w:r/>
          </w:p>
          <w:p>
            <w:pPr>
              <w:pStyle w:val="1080"/>
              <w:rPr>
                <w:rFonts w:hint="eastAsia" w:ascii="宋体" w:hAnsi="宋体" w:cs="宋体"/>
                <w:b/>
                <w:bCs/>
                <w:sz w:val="20"/>
                <w:szCs w:val="20"/>
                <w:highlight w:val="none"/>
              </w:rPr>
            </w:pPr>
            <w:r>
              <w:rPr>
                <w:rFonts w:hint="eastAsia" w:ascii="宋体" w:hAnsi="宋体" w:cs="宋体"/>
                <w:b/>
                <w:bCs/>
                <w:highlight w:val="none"/>
              </w:rPr>
              <w:t xml:space="preserve">提供证书</w:t>
            </w:r>
            <w:r>
              <w:rPr>
                <w:rFonts w:hint="eastAsia" w:ascii="宋体" w:hAnsi="宋体" w:cs="宋体"/>
                <w:b/>
                <w:bCs/>
                <w:color w:val="000000"/>
                <w:highlight w:val="none"/>
                <w:lang w:val="en-US" w:eastAsia="zh-CN" w:bidi="ar"/>
              </w:rPr>
              <w:t xml:space="preserve">扫描件</w:t>
            </w:r>
            <w:r>
              <w:rPr>
                <w:rFonts w:hint="eastAsia" w:ascii="宋体" w:hAnsi="宋体" w:cs="宋体"/>
                <w:b/>
                <w:bCs/>
                <w:highlight w:val="none"/>
              </w:rPr>
              <w:t xml:space="preserve">以及投标人为以上人员缴纳的近三个月</w:t>
            </w:r>
            <w:r>
              <w:rPr>
                <w:rFonts w:hint="eastAsia" w:ascii="宋体" w:hAnsi="宋体" w:cs="宋体"/>
                <w:b/>
                <w:bCs/>
                <w:highlight w:val="none"/>
                <w:lang w:val="en-US" w:eastAsia="zh-CN"/>
              </w:rPr>
              <w:t xml:space="preserve">中任意一个月</w:t>
            </w:r>
            <w:r>
              <w:rPr>
                <w:rFonts w:hint="eastAsia" w:ascii="宋体" w:hAnsi="宋体" w:cs="宋体"/>
                <w:b/>
                <w:bCs/>
                <w:highlight w:val="none"/>
              </w:rPr>
              <w:t xml:space="preserve">（自投标截止之日往前推算）社保证明材料并加盖投标人公章，否则不得分。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4</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3.6</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cs="宋体"/>
                <w:b/>
                <w:bCs/>
                <w:sz w:val="20"/>
                <w:szCs w:val="20"/>
                <w:highlight w:val="none"/>
              </w:rPr>
            </w:pPr>
            <w:r>
              <w:rPr>
                <w:rFonts w:hint="eastAsia" w:ascii="宋体" w:hAnsi="宋体" w:cs="宋体"/>
                <w:b/>
                <w:bCs/>
                <w:highlight w:val="none"/>
              </w:rPr>
              <w:t xml:space="preserve">实施负责人</w:t>
            </w:r>
            <w:r>
              <w:rPr>
                <w:rFonts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Style w:val="1044"/>
                <w:sz w:val="21"/>
                <w:szCs w:val="21"/>
                <w:highlight w:val="none"/>
                <w:lang w:bidi="ar"/>
              </w:rPr>
            </w:pPr>
            <w:r>
              <w:rPr>
                <w:rStyle w:val="1044"/>
                <w:sz w:val="21"/>
                <w:szCs w:val="21"/>
                <w:highlight w:val="none"/>
                <w:lang w:bidi="ar"/>
              </w:rPr>
              <w:t xml:space="preserve">拟投入本项目实施负责人（1名</w:t>
            </w:r>
            <w:r>
              <w:rPr>
                <w:rStyle w:val="1044"/>
                <w:color w:val="000000"/>
                <w:sz w:val="21"/>
                <w:szCs w:val="21"/>
                <w:highlight w:val="none"/>
                <w:lang w:bidi="ar"/>
              </w:rPr>
              <w:t xml:space="preserve">）具有系统架构设计师（高级）</w:t>
            </w:r>
            <w:r>
              <w:rPr>
                <w:rStyle w:val="1044"/>
                <w:sz w:val="21"/>
                <w:szCs w:val="21"/>
                <w:highlight w:val="none"/>
                <w:lang w:bidi="ar"/>
              </w:rPr>
              <w:t xml:space="preserve">、CISAW信息安全保障人员认证证书（安全运维）</w:t>
            </w:r>
            <w:r>
              <w:rPr>
                <w:rStyle w:val="1044"/>
                <w:rFonts w:hint="eastAsia" w:eastAsia="宋体"/>
                <w:sz w:val="21"/>
                <w:szCs w:val="21"/>
                <w:highlight w:val="none"/>
                <w:lang w:eastAsia="zh-CN" w:bidi="ar"/>
              </w:rPr>
              <w:t xml:space="preserve">，</w:t>
            </w:r>
            <w:r>
              <w:rPr>
                <w:rStyle w:val="1044"/>
                <w:sz w:val="21"/>
                <w:szCs w:val="21"/>
                <w:highlight w:val="none"/>
                <w:lang w:bidi="ar"/>
              </w:rPr>
              <w:t xml:space="preserve">有一份得1分，本项仅计1人得分，最多得</w:t>
            </w:r>
            <w:r>
              <w:rPr>
                <w:rStyle w:val="1044"/>
                <w:rFonts w:hint="eastAsia" w:eastAsia="宋体"/>
                <w:sz w:val="21"/>
                <w:szCs w:val="21"/>
                <w:highlight w:val="none"/>
                <w:lang w:val="en-US" w:eastAsia="zh-CN" w:bidi="ar"/>
              </w:rPr>
              <w:t xml:space="preserve">2</w:t>
            </w:r>
            <w:r>
              <w:rPr>
                <w:rStyle w:val="1044"/>
                <w:sz w:val="21"/>
                <w:szCs w:val="21"/>
                <w:highlight w:val="none"/>
                <w:lang w:bidi="ar"/>
              </w:rPr>
              <w:t xml:space="preserve">分。</w:t>
            </w:r>
            <w:r>
              <w:rPr>
                <w:rStyle w:val="1044"/>
                <w:sz w:val="21"/>
                <w:szCs w:val="21"/>
                <w:highlight w:val="none"/>
                <w:lang w:bidi="ar"/>
              </w:rPr>
            </w:r>
            <w:r/>
          </w:p>
          <w:p>
            <w:pPr>
              <w:pStyle w:val="1080"/>
              <w:rPr>
                <w:rFonts w:hint="eastAsia" w:ascii="宋体" w:hAnsi="宋体" w:cs="宋体"/>
                <w:b/>
                <w:bCs/>
                <w:sz w:val="20"/>
                <w:szCs w:val="20"/>
                <w:highlight w:val="none"/>
              </w:rPr>
            </w:pPr>
            <w:r>
              <w:rPr>
                <w:rFonts w:hint="eastAsia" w:ascii="宋体" w:hAnsi="宋体" w:cs="宋体"/>
                <w:b/>
                <w:bCs/>
                <w:highlight w:val="none"/>
              </w:rPr>
              <w:t xml:space="preserve">提供证书</w:t>
            </w:r>
            <w:r>
              <w:rPr>
                <w:rFonts w:hint="eastAsia" w:ascii="宋体" w:hAnsi="宋体" w:cs="宋体"/>
                <w:b/>
                <w:bCs/>
                <w:color w:val="000000"/>
                <w:highlight w:val="none"/>
                <w:lang w:val="en-US" w:eastAsia="zh-CN" w:bidi="ar"/>
              </w:rPr>
              <w:t xml:space="preserve">扫描件</w:t>
            </w:r>
            <w:r>
              <w:rPr>
                <w:rFonts w:hint="eastAsia" w:ascii="宋体" w:hAnsi="宋体" w:cs="宋体"/>
                <w:b/>
                <w:bCs/>
                <w:highlight w:val="none"/>
              </w:rPr>
              <w:t xml:space="preserve">以及投标人为以上人员缴纳的近三个月</w:t>
            </w:r>
            <w:r>
              <w:rPr>
                <w:rFonts w:hint="eastAsia" w:ascii="宋体" w:hAnsi="宋体" w:cs="宋体"/>
                <w:b/>
                <w:bCs/>
                <w:highlight w:val="none"/>
                <w:lang w:val="en-US" w:eastAsia="zh-CN"/>
              </w:rPr>
              <w:t xml:space="preserve">中任意一个月</w:t>
            </w:r>
            <w:r>
              <w:rPr>
                <w:rFonts w:hint="eastAsia" w:ascii="宋体" w:hAnsi="宋体" w:cs="宋体"/>
                <w:b/>
                <w:bCs/>
                <w:highlight w:val="none"/>
              </w:rPr>
              <w:t xml:space="preserve">（自投标截止之日往前推算）社保证明材料并加盖投标人公章，否则不得分。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sz w:val="20"/>
                <w:szCs w:val="20"/>
                <w:highlight w:val="none"/>
                <w:lang w:eastAsia="zh-CN"/>
              </w:rPr>
            </w:pPr>
            <w:r>
              <w:rPr>
                <w:rFonts w:hint="eastAsia" w:ascii="宋体" w:hAnsi="宋体" w:cs="宋体"/>
                <w:b/>
                <w:bCs/>
                <w:highlight w:val="none"/>
                <w:lang w:val="en-US" w:eastAsia="zh-CN"/>
              </w:rPr>
              <w:t xml:space="preserve">2</w:t>
            </w:r>
            <w:r>
              <w:rPr>
                <w:rFonts w:hint="eastAsia" w:ascii="宋体" w:hAnsi="宋体" w:eastAsia="宋体" w:cs="宋体"/>
                <w:b/>
                <w:bCs/>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3.7</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ascii="宋体" w:hAnsi="宋体" w:eastAsia="宋体" w:cs="宋体"/>
                <w:b/>
                <w:bCs/>
                <w:sz w:val="20"/>
                <w:szCs w:val="20"/>
                <w:highlight w:val="none"/>
                <w:lang w:val="en-US" w:eastAsia="zh-CN"/>
              </w:rPr>
            </w:pPr>
            <w:r>
              <w:rPr>
                <w:rFonts w:hint="eastAsia" w:ascii="宋体" w:hAnsi="宋体" w:cs="宋体"/>
                <w:b/>
                <w:bCs/>
                <w:highlight w:val="none"/>
                <w:lang w:val="en-US" w:eastAsia="zh-CN"/>
              </w:rPr>
              <w:t xml:space="preserve">项目组成员</w:t>
            </w:r>
            <w:r>
              <w:rPr>
                <w:rFonts w:ascii="宋体" w:hAnsi="宋体" w:eastAsia="宋体" w:cs="宋体"/>
                <w:b/>
                <w:bCs/>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jc w:val="left"/>
              <w:widowControl/>
              <w:rPr>
                <w:rStyle w:val="1044"/>
                <w:sz w:val="21"/>
                <w:szCs w:val="21"/>
                <w:highlight w:val="none"/>
                <w:lang w:bidi="ar"/>
              </w:rPr>
            </w:pPr>
            <w:r>
              <w:rPr>
                <w:rStyle w:val="1044"/>
                <w:sz w:val="21"/>
                <w:szCs w:val="21"/>
                <w:highlight w:val="none"/>
                <w:lang w:bidi="ar"/>
              </w:rPr>
              <w:t xml:space="preserve">拟投入</w:t>
            </w:r>
            <w:r>
              <w:rPr>
                <w:rStyle w:val="1044"/>
                <w:rFonts w:hint="eastAsia" w:eastAsia="宋体"/>
                <w:sz w:val="21"/>
                <w:szCs w:val="21"/>
                <w:highlight w:val="none"/>
                <w:lang w:val="en-US" w:eastAsia="zh-CN" w:bidi="ar"/>
              </w:rPr>
              <w:t xml:space="preserve">项目组成员中（除项目经理、技术负责人、实施负责人外），</w:t>
            </w:r>
            <w:r>
              <w:rPr>
                <w:rStyle w:val="1044"/>
                <w:sz w:val="21"/>
                <w:szCs w:val="21"/>
                <w:highlight w:val="none"/>
                <w:lang w:bidi="ar"/>
              </w:rPr>
              <w:t xml:space="preserve">具有高级IT运维工程师、售后服务管理师、通信电子与智能化工程安全员、低压电工证书的，</w:t>
            </w:r>
            <w:r>
              <w:rPr>
                <w:rStyle w:val="1044"/>
                <w:rFonts w:hint="eastAsia" w:eastAsia="宋体"/>
                <w:sz w:val="21"/>
                <w:szCs w:val="21"/>
                <w:highlight w:val="none"/>
                <w:lang w:val="en-US" w:eastAsia="zh-CN" w:bidi="ar"/>
              </w:rPr>
              <w:t xml:space="preserve">每有一项得1分</w:t>
            </w:r>
            <w:r>
              <w:rPr>
                <w:rStyle w:val="1044"/>
                <w:sz w:val="21"/>
                <w:szCs w:val="21"/>
                <w:highlight w:val="none"/>
                <w:lang w:bidi="ar"/>
              </w:rPr>
              <w:t xml:space="preserve">，</w:t>
            </w:r>
            <w:r>
              <w:rPr>
                <w:rStyle w:val="1044"/>
                <w:rFonts w:hint="eastAsia" w:eastAsia="宋体"/>
                <w:sz w:val="21"/>
                <w:szCs w:val="21"/>
                <w:highlight w:val="none"/>
                <w:lang w:val="en-US" w:eastAsia="zh-CN" w:bidi="ar"/>
              </w:rPr>
              <w:t xml:space="preserve">本项</w:t>
            </w:r>
            <w:r>
              <w:rPr>
                <w:rStyle w:val="1044"/>
                <w:sz w:val="21"/>
                <w:szCs w:val="21"/>
                <w:highlight w:val="none"/>
                <w:lang w:bidi="ar"/>
              </w:rPr>
              <w:t xml:space="preserve">最多得4分。</w:t>
            </w:r>
            <w:r>
              <w:rPr>
                <w:rStyle w:val="1044"/>
                <w:sz w:val="21"/>
                <w:szCs w:val="21"/>
                <w:highlight w:val="none"/>
                <w:lang w:bidi="ar"/>
              </w:rPr>
            </w:r>
            <w:r/>
          </w:p>
          <w:p>
            <w:pPr>
              <w:pStyle w:val="1080"/>
              <w:rPr>
                <w:rFonts w:hint="eastAsia" w:ascii="宋体" w:hAnsi="宋体" w:cs="宋体"/>
                <w:b/>
                <w:bCs/>
                <w:sz w:val="20"/>
                <w:szCs w:val="20"/>
                <w:highlight w:val="none"/>
              </w:rPr>
            </w:pPr>
            <w:r>
              <w:rPr>
                <w:rFonts w:hint="eastAsia" w:ascii="宋体" w:hAnsi="宋体" w:cs="宋体"/>
                <w:b/>
                <w:bCs/>
                <w:highlight w:val="none"/>
              </w:rPr>
              <w:t xml:space="preserve">提供证书</w:t>
            </w:r>
            <w:r>
              <w:rPr>
                <w:rFonts w:hint="eastAsia" w:ascii="宋体" w:hAnsi="宋体" w:cs="宋体"/>
                <w:b/>
                <w:bCs/>
                <w:color w:val="000000"/>
                <w:highlight w:val="none"/>
                <w:lang w:val="en-US" w:eastAsia="zh-CN" w:bidi="ar"/>
              </w:rPr>
              <w:t xml:space="preserve">扫描件</w:t>
            </w:r>
            <w:r>
              <w:rPr>
                <w:rFonts w:hint="eastAsia" w:ascii="宋体" w:hAnsi="宋体" w:cs="宋体"/>
                <w:b/>
                <w:bCs/>
                <w:highlight w:val="none"/>
              </w:rPr>
              <w:t xml:space="preserve">以及投标人为以上人员缴纳的近三个月</w:t>
            </w:r>
            <w:r>
              <w:rPr>
                <w:rFonts w:hint="eastAsia" w:ascii="宋体" w:hAnsi="宋体" w:cs="宋体"/>
                <w:b/>
                <w:bCs/>
                <w:highlight w:val="none"/>
                <w:lang w:val="en-US" w:eastAsia="zh-CN"/>
              </w:rPr>
              <w:t xml:space="preserve">中任意一个月</w:t>
            </w:r>
            <w:r>
              <w:rPr>
                <w:rFonts w:hint="eastAsia" w:ascii="宋体" w:hAnsi="宋体" w:cs="宋体"/>
                <w:b/>
                <w:bCs/>
                <w:highlight w:val="none"/>
              </w:rPr>
              <w:t xml:space="preserve">（自投标截止之日往前推算）社保证明材料并加盖投标人公章，否则不得分。</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0</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4</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否</w:t>
            </w: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sz w:val="20"/>
                <w:szCs w:val="20"/>
                <w:highlight w:val="none"/>
              </w:rPr>
            </w:pPr>
            <w:r>
              <w:rPr>
                <w:rFonts w:hint="eastAsia" w:ascii="宋体" w:hAnsi="宋体" w:cs="宋体"/>
                <w:b/>
                <w:bCs/>
                <w:highlight w:val="none"/>
              </w:rPr>
              <w:t xml:space="preserve">是</w:t>
            </w: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9"/>
              <w:jc w:val="center"/>
              <w:widowControl/>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3.8</w:t>
            </w:r>
            <w:r>
              <w:rPr>
                <w:rFonts w:ascii="宋体" w:hAnsi="宋体" w:eastAsia="宋体" w:cs="宋体"/>
                <w:b/>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9"/>
              <w:jc w:val="center"/>
              <w:widowControl/>
              <w:rPr>
                <w:rFonts w:hint="eastAsia" w:ascii="宋体" w:hAnsi="宋体" w:cs="宋体"/>
                <w:b/>
                <w:bCs/>
                <w:highlight w:val="none"/>
              </w:rPr>
            </w:pPr>
            <w:r>
              <w:rPr>
                <w:rFonts w:hint="eastAsia" w:ascii="宋体" w:hAnsi="宋体" w:eastAsia="宋体" w:cs="宋体"/>
                <w:b/>
                <w:bCs/>
                <w:highlight w:val="none"/>
              </w:rPr>
              <w:t xml:space="preserve">节能环保</w:t>
            </w: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9"/>
              <w:widowControl/>
              <w:rPr>
                <w:rStyle w:val="1044"/>
                <w:rFonts w:hint="eastAsia"/>
                <w:sz w:val="21"/>
                <w:szCs w:val="21"/>
                <w:highlight w:val="none"/>
                <w:lang w:bidi="ar"/>
              </w:rPr>
            </w:pPr>
            <w:r>
              <w:rPr>
                <w:rStyle w:val="1044"/>
                <w:rFonts w:hint="eastAsia"/>
                <w:sz w:val="21"/>
                <w:szCs w:val="21"/>
                <w:highlight w:val="none"/>
                <w:lang w:bidi="ar"/>
              </w:rPr>
              <w:t xml:space="preserve">1.投标产品属于财政部、国家发改委公布的“节能产品品目清单”范围内的，投标人提供国家确定的认证机构出具的、处于有效期之内的该节能产品认证证书</w:t>
            </w:r>
            <w:r>
              <w:rPr>
                <w:rStyle w:val="1044"/>
                <w:rFonts w:hint="eastAsia" w:eastAsia="宋体"/>
                <w:sz w:val="21"/>
                <w:szCs w:val="21"/>
                <w:highlight w:val="none"/>
                <w:lang w:val="en-US" w:eastAsia="zh-CN" w:bidi="ar"/>
              </w:rPr>
              <w:t xml:space="preserve">扫描件</w:t>
            </w:r>
            <w:r>
              <w:rPr>
                <w:rStyle w:val="1044"/>
                <w:rFonts w:hint="eastAsia"/>
                <w:sz w:val="21"/>
                <w:szCs w:val="21"/>
                <w:highlight w:val="none"/>
                <w:lang w:bidi="ar"/>
              </w:rPr>
              <w:t xml:space="preserve">的，有1个得</w:t>
            </w:r>
            <w:r>
              <w:rPr>
                <w:rStyle w:val="1044"/>
                <w:rFonts w:hint="eastAsia" w:eastAsia="宋体"/>
                <w:sz w:val="21"/>
                <w:szCs w:val="21"/>
                <w:highlight w:val="none"/>
                <w:lang w:val="en-US" w:eastAsia="zh-CN" w:bidi="ar"/>
              </w:rPr>
              <w:t xml:space="preserve">1</w:t>
            </w:r>
            <w:r>
              <w:rPr>
                <w:rStyle w:val="1044"/>
                <w:rFonts w:hint="eastAsia"/>
                <w:sz w:val="21"/>
                <w:szCs w:val="21"/>
                <w:highlight w:val="none"/>
                <w:lang w:bidi="ar"/>
              </w:rPr>
              <w:t xml:space="preserve">分，最多得</w:t>
            </w:r>
            <w:r>
              <w:rPr>
                <w:rStyle w:val="1044"/>
                <w:rFonts w:hint="eastAsia" w:eastAsia="宋体"/>
                <w:sz w:val="21"/>
                <w:szCs w:val="21"/>
                <w:highlight w:val="none"/>
                <w:lang w:val="en-US" w:eastAsia="zh-CN" w:bidi="ar"/>
              </w:rPr>
              <w:t xml:space="preserve">1</w:t>
            </w:r>
            <w:r>
              <w:rPr>
                <w:rStyle w:val="1044"/>
                <w:rFonts w:hint="eastAsia"/>
                <w:sz w:val="21"/>
                <w:szCs w:val="21"/>
                <w:highlight w:val="none"/>
                <w:lang w:bidi="ar"/>
              </w:rPr>
              <w:t xml:space="preserve">  分。如投标产品均属于政府强制采购节能产品品目清单范围内，本项不得分。</w:t>
            </w:r>
            <w:r>
              <w:rPr>
                <w:rStyle w:val="1044"/>
                <w:rFonts w:hint="eastAsia"/>
                <w:sz w:val="21"/>
                <w:szCs w:val="21"/>
                <w:highlight w:val="none"/>
                <w:lang w:bidi="ar"/>
              </w:rPr>
            </w:r>
            <w:r/>
          </w:p>
          <w:p>
            <w:pPr>
              <w:pStyle w:val="1019"/>
              <w:widowControl/>
              <w:rPr>
                <w:rFonts w:hint="eastAsia" w:ascii="宋体" w:hAnsi="宋体" w:cs="宋体"/>
                <w:b/>
                <w:bCs/>
                <w:highlight w:val="none"/>
              </w:rPr>
            </w:pPr>
            <w:r>
              <w:rPr>
                <w:rStyle w:val="1044"/>
                <w:rFonts w:hint="eastAsia"/>
                <w:sz w:val="21"/>
                <w:szCs w:val="21"/>
                <w:highlight w:val="none"/>
                <w:lang w:bidi="ar"/>
              </w:rPr>
              <w:t xml:space="preserve">2.投标产品属于财政部、生态环境部公布的“环境标志产品品目清单”范围内的，投标人提供国家确定的认证机构出具的、处于有效期内的该环境标志产品认证证书</w:t>
            </w:r>
            <w:r>
              <w:rPr>
                <w:rStyle w:val="1044"/>
                <w:rFonts w:hint="eastAsia" w:eastAsia="宋体"/>
                <w:sz w:val="21"/>
                <w:szCs w:val="21"/>
                <w:highlight w:val="none"/>
                <w:lang w:val="en-US" w:eastAsia="zh-CN" w:bidi="ar"/>
              </w:rPr>
              <w:t xml:space="preserve">扫描件</w:t>
            </w:r>
            <w:r>
              <w:rPr>
                <w:rStyle w:val="1044"/>
                <w:rFonts w:hint="eastAsia"/>
                <w:sz w:val="21"/>
                <w:szCs w:val="21"/>
                <w:highlight w:val="none"/>
                <w:lang w:bidi="ar"/>
              </w:rPr>
              <w:t xml:space="preserve">的，有1个得</w:t>
            </w:r>
            <w:r>
              <w:rPr>
                <w:rStyle w:val="1044"/>
                <w:rFonts w:hint="eastAsia" w:eastAsia="宋体"/>
                <w:sz w:val="21"/>
                <w:szCs w:val="21"/>
                <w:highlight w:val="none"/>
                <w:lang w:val="en-US" w:eastAsia="zh-CN" w:bidi="ar"/>
              </w:rPr>
              <w:t xml:space="preserve">1</w:t>
            </w:r>
            <w:r>
              <w:rPr>
                <w:rStyle w:val="1044"/>
                <w:rFonts w:hint="eastAsia"/>
                <w:sz w:val="21"/>
                <w:szCs w:val="21"/>
                <w:highlight w:val="none"/>
                <w:lang w:bidi="ar"/>
              </w:rPr>
              <w:t xml:space="preserve">分，最多得</w:t>
            </w:r>
            <w:r>
              <w:rPr>
                <w:rStyle w:val="1044"/>
                <w:rFonts w:hint="eastAsia" w:eastAsia="宋体"/>
                <w:sz w:val="21"/>
                <w:szCs w:val="21"/>
                <w:highlight w:val="none"/>
                <w:lang w:val="en-US" w:eastAsia="zh-CN" w:bidi="ar"/>
              </w:rPr>
              <w:t xml:space="preserve">1</w:t>
            </w:r>
            <w:r>
              <w:rPr>
                <w:rStyle w:val="1044"/>
                <w:rFonts w:hint="eastAsia"/>
                <w:sz w:val="21"/>
                <w:szCs w:val="21"/>
                <w:highlight w:val="none"/>
                <w:lang w:bidi="ar"/>
              </w:rPr>
              <w:t xml:space="preserve">分。</w:t>
            </w: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9"/>
              <w:jc w:val="center"/>
              <w:widowControl/>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0</w:t>
            </w:r>
            <w:r>
              <w:rPr>
                <w:rFonts w:hint="eastAsia" w:ascii="宋体" w:hAnsi="宋体" w:eastAsia="宋体" w:cs="宋体"/>
                <w:b/>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9"/>
              <w:jc w:val="center"/>
              <w:widowControl/>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2</w:t>
            </w:r>
            <w:r>
              <w:rPr>
                <w:rFonts w:hint="eastAsia" w:ascii="宋体" w:hAnsi="宋体" w:eastAsia="宋体" w:cs="宋体"/>
                <w:b/>
                <w:bCs/>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highlight w:val="none"/>
              </w:rPr>
            </w:pPr>
            <w:r>
              <w:rPr>
                <w:rFonts w:hint="eastAsia" w:ascii="宋体" w:hAnsi="宋体" w:cs="宋体"/>
                <w:b/>
                <w:bCs/>
                <w:highlight w:val="none"/>
              </w:rPr>
              <w:t xml:space="preserve">否</w:t>
            </w: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9"/>
              <w:jc w:val="center"/>
              <w:widowControl/>
              <w:rPr>
                <w:rFonts w:hint="eastAsia" w:ascii="宋体" w:hAnsi="宋体" w:cs="宋体"/>
                <w:b/>
                <w:bCs/>
                <w:highlight w:val="none"/>
              </w:rPr>
            </w:pPr>
            <w:r>
              <w:rPr>
                <w:rFonts w:hint="eastAsia" w:ascii="宋体" w:hAnsi="宋体" w:cs="宋体"/>
                <w:b/>
                <w:bCs/>
                <w:highlight w:val="none"/>
              </w:rPr>
              <w:t xml:space="preserve">是</w:t>
            </w:r>
            <w:r>
              <w:rPr>
                <w:rFonts w:hint="eastAsia" w:ascii="宋体" w:hAnsi="宋体" w:cs="宋体"/>
                <w:b/>
                <w:bCs/>
                <w:highlight w:val="none"/>
              </w:rPr>
            </w:r>
            <w:r/>
          </w:p>
        </w:tc>
      </w:tr>
    </w:tbl>
    <w:p>
      <w:pPr>
        <w:pStyle w:val="1136"/>
        <w:ind w:left="0" w:firstLine="0"/>
        <w:jc w:val="both"/>
        <w:pageBreakBefore w:val="0"/>
        <w:spacing w:before="0" w:after="0" w:line="240" w:lineRule="auto"/>
        <w:rPr>
          <w:rFonts w:hint="eastAsia" w:ascii="宋体" w:hAnsi="宋体"/>
          <w:b/>
        </w:rPr>
      </w:pPr>
      <w:r>
        <w:rPr>
          <w:rFonts w:hint="eastAsia" w:ascii="宋体" w:hAnsi="宋体"/>
          <w:b/>
        </w:rPr>
      </w:r>
      <w:r/>
    </w:p>
    <w:p>
      <w:pPr>
        <w:pStyle w:val="1136"/>
        <w:ind w:firstLine="482"/>
        <w:jc w:val="center"/>
        <w:pageBreakBefore w:val="0"/>
        <w:spacing w:before="0" w:after="0" w:line="240" w:lineRule="auto"/>
        <w:rPr>
          <w:rFonts w:hint="eastAsia" w:ascii="宋体" w:hAnsi="宋体"/>
          <w:b/>
        </w:rPr>
      </w:pPr>
      <w:r>
        <w:rPr>
          <w:rFonts w:hint="eastAsia" w:ascii="宋体" w:hAnsi="宋体"/>
          <w:b/>
        </w:rPr>
      </w:r>
      <w:r/>
    </w:p>
    <w:p>
      <w:pPr>
        <w:pStyle w:val="1136"/>
        <w:ind w:firstLine="482"/>
        <w:jc w:val="center"/>
        <w:pageBreakBefore w:val="0"/>
        <w:spacing w:before="0" w:after="0" w:line="240" w:lineRule="auto"/>
        <w:rPr>
          <w:rFonts w:hint="eastAsia" w:ascii="宋体" w:hAnsi="宋体"/>
          <w:b/>
        </w:rPr>
      </w:pPr>
      <w:r>
        <w:rPr>
          <w:rFonts w:hint="eastAsia" w:ascii="宋体" w:hAnsi="宋体"/>
          <w:b/>
        </w:rPr>
      </w:r>
      <w:r/>
    </w:p>
    <w:p>
      <w:pPr>
        <w:pStyle w:val="1136"/>
        <w:ind w:firstLine="482"/>
        <w:jc w:val="center"/>
        <w:pageBreakBefore w:val="0"/>
        <w:spacing w:before="0" w:after="0" w:line="240" w:lineRule="auto"/>
        <w:rPr>
          <w:rFonts w:hint="eastAsia" w:ascii="宋体" w:hAnsi="宋体"/>
          <w:b/>
        </w:rPr>
      </w:pPr>
      <w:r>
        <w:rPr>
          <w:rFonts w:hint="eastAsia" w:ascii="宋体" w:hAnsi="宋体"/>
          <w:b/>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19"/>
        <w:pageBreakBefore w:val="0"/>
        <w:spacing w:line="240" w:lineRule="auto"/>
        <w:rPr>
          <w:rFonts w:hint="eastAsia"/>
        </w:rPr>
      </w:pPr>
      <w:r>
        <w:rPr>
          <w:rFonts w:hint="eastAsia"/>
        </w:rPr>
      </w:r>
      <w:r/>
    </w:p>
    <w:p>
      <w:pPr>
        <w:pStyle w:val="1020"/>
        <w:pageBreakBefore w:val="0"/>
        <w:spacing w:line="240" w:lineRule="auto"/>
        <w:rPr>
          <w:rFonts w:hint="eastAsia" w:ascii="黑体" w:eastAsia="黑体"/>
          <w:bCs/>
          <w:sz w:val="44"/>
        </w:rPr>
      </w:pPr>
      <w:r/>
      <w:bookmarkStart w:id="209" w:name="_Toc29747_WPSOffice_Level1"/>
      <w:r>
        <w:rPr>
          <w:rFonts w:hint="eastAsia" w:ascii="黑体" w:eastAsia="黑体"/>
          <w:bCs/>
          <w:sz w:val="44"/>
        </w:rPr>
        <w:t xml:space="preserve">第六章  投标</w:t>
      </w:r>
      <w:bookmarkEnd w:id="204"/>
      <w:r/>
      <w:bookmarkEnd w:id="205"/>
      <w:r/>
      <w:bookmarkEnd w:id="206"/>
      <w:r>
        <w:rPr>
          <w:rFonts w:hint="eastAsia" w:ascii="黑体" w:eastAsia="黑体"/>
          <w:bCs/>
          <w:sz w:val="44"/>
        </w:rPr>
        <w:t xml:space="preserve">文件格式</w:t>
      </w:r>
      <w:bookmarkEnd w:id="209"/>
      <w:r>
        <w:rPr>
          <w:rFonts w:hint="eastAsia" w:ascii="黑体" w:eastAsia="黑体"/>
          <w:bCs/>
          <w:sz w:val="44"/>
        </w:rPr>
        <w:t xml:space="preserve"> </w:t>
      </w:r>
      <w:r>
        <w:rPr>
          <w:rFonts w:hint="eastAsia" w:ascii="黑体" w:eastAsia="黑体"/>
          <w:bCs/>
          <w:sz w:val="44"/>
        </w:rPr>
      </w:r>
      <w:r/>
    </w:p>
    <w:p>
      <w:pPr>
        <w:pStyle w:val="1019"/>
        <w:jc w:val="center"/>
        <w:pageBreakBefore w:val="0"/>
        <w:spacing w:line="240" w:lineRule="auto"/>
        <w:rPr>
          <w:rFonts w:hint="eastAsia" w:ascii="宋体" w:hAnsi="宋体"/>
          <w:b/>
          <w:sz w:val="72"/>
        </w:rPr>
      </w:pPr>
      <w:r/>
      <w:bookmarkStart w:id="210" w:name="_Hlt26955039"/>
      <w:r/>
      <w:bookmarkEnd w:id="210"/>
      <w:r/>
      <w:bookmarkStart w:id="211" w:name="_Hlt26671244"/>
      <w:r/>
      <w:bookmarkEnd w:id="211"/>
      <w:r/>
      <w:bookmarkStart w:id="212" w:name="_Toc120614282"/>
      <w:r/>
      <w:bookmarkStart w:id="213" w:name="_Toc49090576"/>
      <w:r/>
      <w:bookmarkStart w:id="214" w:name="_Toc26554094"/>
      <w:r>
        <w:rPr>
          <w:rFonts w:hint="eastAsia" w:ascii="宋体" w:hAnsi="宋体"/>
          <w:b/>
          <w:sz w:val="72"/>
        </w:rPr>
      </w:r>
      <w:r/>
    </w:p>
    <w:p>
      <w:pPr>
        <w:pStyle w:val="1019"/>
        <w:jc w:val="center"/>
        <w:pageBreakBefore w:val="0"/>
        <w:spacing w:line="240" w:lineRule="auto"/>
        <w:rPr>
          <w:rFonts w:hint="eastAsia" w:ascii="宋体" w:hAnsi="宋体"/>
          <w:b/>
          <w:sz w:val="72"/>
        </w:rPr>
      </w:pPr>
      <w:r/>
      <w:bookmarkStart w:id="215" w:name="_Toc11412_WPSOffice_Level1"/>
      <w:r>
        <w:rPr>
          <w:rFonts w:hint="eastAsia" w:ascii="宋体" w:hAnsi="宋体"/>
          <w:b/>
          <w:sz w:val="72"/>
        </w:rPr>
        <w:t xml:space="preserve">投  标  文  件</w:t>
      </w:r>
      <w:bookmarkEnd w:id="215"/>
      <w:r>
        <w:rPr>
          <w:rFonts w:hint="eastAsia" w:ascii="宋体" w:hAnsi="宋体"/>
          <w:b/>
          <w:sz w:val="72"/>
        </w:rPr>
      </w:r>
      <w:r/>
    </w:p>
    <w:p>
      <w:pPr>
        <w:pStyle w:val="1019"/>
        <w:jc w:val="center"/>
        <w:pageBreakBefore w:val="0"/>
        <w:spacing w:line="240" w:lineRule="auto"/>
        <w:rPr>
          <w:rFonts w:hint="eastAsia" w:ascii="宋体" w:hAnsi="宋体"/>
          <w:b/>
          <w:sz w:val="72"/>
        </w:rPr>
      </w:pPr>
      <w:r>
        <w:rPr>
          <w:rFonts w:hint="eastAsia" w:ascii="宋体" w:hAnsi="宋体"/>
          <w:b/>
          <w:sz w:val="72"/>
        </w:rPr>
      </w:r>
      <w:r/>
    </w:p>
    <w:p>
      <w:pPr>
        <w:pStyle w:val="1019"/>
        <w:jc w:val="center"/>
        <w:pageBreakBefore w:val="0"/>
        <w:spacing w:line="240" w:lineRule="auto"/>
        <w:rPr>
          <w:rFonts w:hint="eastAsia" w:ascii="宋体" w:hAnsi="宋体"/>
          <w:b/>
          <w:sz w:val="72"/>
        </w:rPr>
      </w:pPr>
      <w:r>
        <w:rPr>
          <w:rFonts w:hint="eastAsia" w:ascii="宋体" w:hAnsi="宋体"/>
          <w:b/>
          <w:sz w:val="72"/>
        </w:rPr>
      </w:r>
      <w:r/>
    </w:p>
    <w:p>
      <w:pPr>
        <w:pStyle w:val="1019"/>
        <w:jc w:val="center"/>
        <w:pageBreakBefore w:val="0"/>
        <w:spacing w:line="240" w:lineRule="auto"/>
        <w:rPr>
          <w:rFonts w:hint="eastAsia" w:ascii="宋体" w:hAnsi="宋体"/>
          <w:b/>
          <w:sz w:val="36"/>
        </w:rPr>
      </w:pPr>
      <w:r>
        <w:rPr>
          <w:rFonts w:hint="eastAsia" w:ascii="宋体" w:hAnsi="宋体"/>
          <w:b/>
          <w:sz w:val="36"/>
        </w:rPr>
      </w:r>
      <w:r/>
    </w:p>
    <w:p>
      <w:pPr>
        <w:pStyle w:val="1019"/>
        <w:jc w:val="center"/>
        <w:pageBreakBefore w:val="0"/>
        <w:spacing w:line="240" w:lineRule="auto"/>
        <w:rPr>
          <w:rFonts w:hint="eastAsia" w:ascii="宋体" w:hAnsi="宋体"/>
          <w:b/>
          <w:sz w:val="36"/>
        </w:rPr>
      </w:pPr>
      <w:r>
        <w:rPr>
          <w:rFonts w:hint="eastAsia" w:ascii="宋体" w:hAnsi="宋体"/>
          <w:b/>
          <w:sz w:val="36"/>
        </w:rPr>
      </w:r>
      <w:r/>
    </w:p>
    <w:p>
      <w:pPr>
        <w:pStyle w:val="1019"/>
        <w:jc w:val="center"/>
        <w:pageBreakBefore w:val="0"/>
        <w:spacing w:line="240" w:lineRule="auto"/>
        <w:rPr>
          <w:rFonts w:hint="eastAsia" w:ascii="宋体" w:hAnsi="宋体"/>
          <w:b/>
          <w:sz w:val="36"/>
        </w:rPr>
      </w:pPr>
      <w:r>
        <w:rPr>
          <w:rFonts w:hint="eastAsia" w:ascii="宋体" w:hAnsi="宋体"/>
          <w:b/>
          <w:sz w:val="36"/>
        </w:rPr>
      </w:r>
      <w:r/>
    </w:p>
    <w:p>
      <w:pPr>
        <w:pStyle w:val="1019"/>
        <w:ind w:firstLine="1084"/>
        <w:pageBreakBefore w:val="0"/>
        <w:spacing w:line="240" w:lineRule="auto"/>
        <w:rPr>
          <w:rFonts w:hint="eastAsia" w:ascii="宋体" w:hAnsi="宋体"/>
          <w:b/>
          <w:sz w:val="36"/>
        </w:rPr>
      </w:pPr>
      <w:r/>
      <w:bookmarkStart w:id="216" w:name="_Toc29714_WPSOffice_Level1"/>
      <w:r>
        <w:rPr>
          <w:rFonts w:hint="eastAsia" w:ascii="宋体" w:hAnsi="宋体"/>
          <w:b/>
          <w:sz w:val="36"/>
        </w:rPr>
        <w:t xml:space="preserve">项 目 名 称：</w:t>
      </w:r>
      <w:bookmarkEnd w:id="216"/>
      <w:r>
        <w:rPr>
          <w:rFonts w:hint="eastAsia" w:ascii="宋体" w:hAnsi="宋体"/>
          <w:b/>
          <w:sz w:val="36"/>
          <w:u w:val="single"/>
        </w:rPr>
        <w:t xml:space="preserve">               </w:t>
      </w:r>
      <w:r>
        <w:rPr>
          <w:rFonts w:hint="eastAsia" w:ascii="宋体" w:hAnsi="宋体"/>
          <w:b/>
          <w:sz w:val="36"/>
        </w:rPr>
      </w:r>
      <w:r/>
    </w:p>
    <w:p>
      <w:pPr>
        <w:pStyle w:val="1019"/>
        <w:ind w:firstLine="1084"/>
        <w:pageBreakBefore w:val="0"/>
        <w:spacing w:line="240" w:lineRule="auto"/>
        <w:rPr>
          <w:rFonts w:hint="eastAsia" w:ascii="宋体" w:hAnsi="宋体"/>
          <w:b/>
          <w:sz w:val="36"/>
          <w:u w:val="single"/>
        </w:rPr>
      </w:pPr>
      <w:r/>
      <w:bookmarkStart w:id="217" w:name="_Toc7336_WPSOffice_Level1"/>
      <w:r>
        <w:rPr>
          <w:rFonts w:hint="eastAsia" w:ascii="宋体" w:hAnsi="宋体"/>
          <w:b/>
          <w:sz w:val="36"/>
        </w:rPr>
        <w:t xml:space="preserve">项 目 编 号：</w:t>
      </w:r>
      <w:bookmarkEnd w:id="217"/>
      <w:r>
        <w:rPr>
          <w:rFonts w:hint="eastAsia" w:ascii="宋体" w:hAnsi="宋体"/>
          <w:b/>
          <w:sz w:val="36"/>
          <w:u w:val="single"/>
        </w:rPr>
        <w:t xml:space="preserve">               </w:t>
      </w:r>
      <w:r>
        <w:rPr>
          <w:rFonts w:hint="eastAsia" w:ascii="宋体" w:hAnsi="宋体"/>
          <w:b/>
          <w:sz w:val="36"/>
          <w:u w:val="single"/>
        </w:rPr>
      </w:r>
      <w:r/>
    </w:p>
    <w:p>
      <w:pPr>
        <w:pStyle w:val="1019"/>
        <w:pageBreakBefore w:val="0"/>
        <w:spacing w:line="240" w:lineRule="auto"/>
        <w:rPr>
          <w:rFonts w:hint="eastAsia" w:ascii="宋体" w:hAnsi="宋体"/>
          <w:b/>
          <w:sz w:val="36"/>
          <w:u w:val="single"/>
        </w:rPr>
      </w:pPr>
      <w:r>
        <w:rPr>
          <w:rFonts w:hint="eastAsia" w:ascii="宋体" w:hAnsi="宋体"/>
          <w:b/>
          <w:sz w:val="36"/>
        </w:rPr>
        <w:t xml:space="preserve">      </w:t>
      </w:r>
      <w:bookmarkStart w:id="218" w:name="_Toc29410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8"/>
      <w:r>
        <w:rPr>
          <w:rFonts w:hint="eastAsia" w:ascii="宋体" w:hAnsi="宋体"/>
          <w:b/>
          <w:sz w:val="36"/>
          <w:u w:val="single"/>
        </w:rPr>
      </w:r>
      <w:r/>
    </w:p>
    <w:p>
      <w:pPr>
        <w:pStyle w:val="1019"/>
        <w:pageBreakBefore w:val="0"/>
        <w:spacing w:line="240" w:lineRule="auto"/>
        <w:rPr>
          <w:rFonts w:hint="eastAsia" w:ascii="宋体" w:hAnsi="宋体"/>
          <w:b/>
          <w:sz w:val="36"/>
          <w:u w:val="single"/>
        </w:rPr>
      </w:pPr>
      <w:r>
        <w:rPr>
          <w:rFonts w:hint="eastAsia" w:ascii="宋体" w:hAnsi="宋体"/>
          <w:b/>
          <w:sz w:val="36"/>
        </w:rPr>
        <w:t xml:space="preserve">      </w:t>
      </w:r>
      <w:bookmarkStart w:id="219" w:name="_Toc22705_WPSOffice_Level1"/>
      <w:r>
        <w:rPr>
          <w:rFonts w:hint="eastAsia" w:ascii="宋体" w:hAnsi="宋体"/>
          <w:b/>
          <w:sz w:val="36"/>
        </w:rPr>
        <w:t xml:space="preserve">日      期 ：</w:t>
      </w:r>
      <w:bookmarkEnd w:id="219"/>
      <w:r>
        <w:rPr>
          <w:rFonts w:hint="eastAsia" w:ascii="宋体" w:hAnsi="宋体"/>
          <w:b/>
          <w:sz w:val="36"/>
          <w:u w:val="single"/>
        </w:rPr>
        <w:t xml:space="preserve">               </w:t>
      </w:r>
      <w:r>
        <w:rPr>
          <w:rFonts w:hint="eastAsia" w:ascii="宋体" w:hAnsi="宋体"/>
          <w:b/>
          <w:sz w:val="36"/>
          <w:u w:val="single"/>
        </w:rPr>
      </w:r>
      <w:r/>
    </w:p>
    <w:p>
      <w:pPr>
        <w:pStyle w:val="101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19"/>
        <w:pageBreakBefore w:val="0"/>
        <w:spacing w:line="240" w:lineRule="auto"/>
        <w:rPr>
          <w:rFonts w:ascii="宋体" w:hAnsi="宋体"/>
        </w:rPr>
      </w:pPr>
      <w:r>
        <w:rPr>
          <w:rFonts w:ascii="宋体" w:hAnsi="宋体"/>
        </w:rPr>
      </w:r>
      <w:r/>
    </w:p>
    <w:p>
      <w:pPr>
        <w:pStyle w:val="1019"/>
        <w:ind w:firstLine="1084"/>
        <w:pageBreakBefore w:val="0"/>
        <w:spacing w:line="240" w:lineRule="auto"/>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019"/>
        <w:jc w:val="center"/>
        <w:pageBreakBefore w:val="0"/>
        <w:spacing w:line="240" w:lineRule="auto"/>
        <w:rPr>
          <w:rFonts w:hint="eastAsia" w:ascii="宋体" w:hAnsi="宋体"/>
          <w:b/>
          <w:bCs/>
          <w:sz w:val="32"/>
          <w:szCs w:val="32"/>
        </w:rPr>
      </w:pPr>
      <w:r/>
      <w:bookmarkStart w:id="220" w:name="_Toc9339_WPSOffice_Level1"/>
      <w:r>
        <w:rPr>
          <w:rFonts w:hint="eastAsia" w:ascii="宋体" w:hAnsi="宋体"/>
          <w:b/>
          <w:bCs/>
          <w:sz w:val="32"/>
          <w:szCs w:val="32"/>
        </w:rPr>
        <w:t xml:space="preserve">投标文件主要格式目录</w:t>
      </w:r>
      <w:bookmarkEnd w:id="220"/>
      <w:r>
        <w:rPr>
          <w:rFonts w:hint="eastAsia" w:ascii="宋体" w:hAnsi="宋体"/>
          <w:b/>
          <w:bCs/>
          <w:sz w:val="32"/>
          <w:szCs w:val="32"/>
        </w:rPr>
      </w:r>
      <w:r/>
    </w:p>
    <w:p>
      <w:pPr>
        <w:pStyle w:val="101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1019"/>
        <w:ind w:firstLine="480"/>
        <w:pageBreakBefore w:val="0"/>
        <w:spacing w:line="240" w:lineRule="auto"/>
        <w:rPr>
          <w:rFonts w:hint="eastAsia" w:ascii="宋体" w:hAnsi="宋体"/>
          <w:i/>
          <w:sz w:val="24"/>
          <w:u w:val="single"/>
        </w:rPr>
      </w:pPr>
      <w:r/>
      <w:bookmarkStart w:id="221" w:name="_Toc25964_WPSOffice_Level1"/>
      <w:r>
        <w:rPr>
          <w:rFonts w:hint="eastAsia" w:ascii="宋体" w:hAnsi="宋体"/>
          <w:i/>
          <w:sz w:val="24"/>
          <w:u w:val="single"/>
        </w:rPr>
        <w:t xml:space="preserve">一、投标人资格声明函</w:t>
      </w:r>
      <w:bookmarkEnd w:id="221"/>
      <w:r>
        <w:rPr>
          <w:rFonts w:hint="eastAsia" w:ascii="宋体" w:hAnsi="宋体"/>
          <w:i/>
          <w:sz w:val="24"/>
          <w:u w:val="single"/>
        </w:rPr>
      </w:r>
      <w:r/>
    </w:p>
    <w:p>
      <w:pPr>
        <w:pStyle w:val="1019"/>
        <w:ind w:firstLine="480"/>
        <w:pageBreakBefore w:val="0"/>
        <w:spacing w:line="240" w:lineRule="auto"/>
        <w:rPr>
          <w:rFonts w:hint="eastAsia" w:ascii="宋体" w:hAnsi="宋体"/>
          <w:i/>
          <w:sz w:val="24"/>
          <w:u w:val="single"/>
        </w:rPr>
      </w:pPr>
      <w:r/>
      <w:bookmarkStart w:id="222" w:name="_Toc8671_WPSOffice_Level1"/>
      <w:r>
        <w:rPr>
          <w:rFonts w:hint="eastAsia" w:ascii="宋体" w:hAnsi="宋体"/>
          <w:i/>
          <w:sz w:val="24"/>
          <w:u w:val="single"/>
        </w:rPr>
        <w:t xml:space="preserve">二、特定资格要求的证明文件（如果本项目设置特定资格要求，则需要提供）</w:t>
      </w:r>
      <w:bookmarkEnd w:id="222"/>
      <w:r>
        <w:rPr>
          <w:rFonts w:hint="eastAsia" w:ascii="宋体" w:hAnsi="宋体"/>
          <w:i/>
          <w:sz w:val="24"/>
          <w:u w:val="single"/>
        </w:rPr>
      </w:r>
      <w:r/>
    </w:p>
    <w:p>
      <w:pPr>
        <w:pStyle w:val="1019"/>
        <w:ind w:firstLine="480"/>
        <w:pageBreakBefore w:val="0"/>
        <w:spacing w:line="240" w:lineRule="auto"/>
        <w:rPr>
          <w:rFonts w:hint="eastAsia" w:ascii="宋体" w:hAnsi="宋体"/>
          <w:i/>
          <w:sz w:val="24"/>
          <w:u w:val="single"/>
        </w:rPr>
      </w:pPr>
      <w:r/>
      <w:bookmarkStart w:id="223" w:name="_Toc27165_WPSOffice_Level1"/>
      <w:r>
        <w:rPr>
          <w:rFonts w:hint="eastAsia" w:ascii="宋体" w:hAnsi="宋体"/>
          <w:i/>
          <w:sz w:val="24"/>
          <w:u w:val="single"/>
        </w:rPr>
        <w:t xml:space="preserve">三、法人授权书</w:t>
      </w:r>
      <w:bookmarkEnd w:id="223"/>
      <w:r>
        <w:rPr>
          <w:rFonts w:hint="eastAsia" w:ascii="宋体" w:hAnsi="宋体"/>
          <w:i/>
          <w:sz w:val="24"/>
          <w:u w:val="single"/>
        </w:rPr>
      </w:r>
      <w:r/>
    </w:p>
    <w:p>
      <w:pPr>
        <w:pStyle w:val="1019"/>
        <w:ind w:firstLine="480"/>
        <w:pageBreakBefore w:val="0"/>
        <w:spacing w:line="240" w:lineRule="auto"/>
        <w:rPr>
          <w:rFonts w:hint="eastAsia" w:ascii="宋体" w:hAnsi="宋体"/>
          <w:i/>
          <w:sz w:val="24"/>
          <w:u w:val="single"/>
        </w:rPr>
      </w:pPr>
      <w:r/>
      <w:bookmarkStart w:id="224" w:name="_Toc26189_WPSOffice_Level1"/>
      <w:r>
        <w:rPr>
          <w:rFonts w:hint="eastAsia" w:ascii="宋体" w:hAnsi="宋体"/>
          <w:i/>
          <w:sz w:val="24"/>
          <w:u w:val="single"/>
        </w:rPr>
        <w:t xml:space="preserve">四、投标函</w:t>
      </w:r>
      <w:bookmarkEnd w:id="224"/>
      <w:r>
        <w:rPr>
          <w:rFonts w:hint="eastAsia" w:ascii="宋体" w:hAnsi="宋体"/>
          <w:i/>
          <w:sz w:val="24"/>
          <w:u w:val="single"/>
        </w:rPr>
      </w:r>
      <w:r/>
    </w:p>
    <w:p>
      <w:pPr>
        <w:pStyle w:val="1019"/>
        <w:ind w:firstLine="480"/>
        <w:pageBreakBefore w:val="0"/>
        <w:spacing w:line="240" w:lineRule="auto"/>
        <w:rPr>
          <w:rFonts w:hint="eastAsia" w:ascii="宋体" w:hAnsi="宋体"/>
          <w:sz w:val="24"/>
        </w:rPr>
      </w:pPr>
      <w:r/>
      <w:bookmarkStart w:id="225" w:name="_Toc18931_WPSOffice_Level1"/>
      <w:r>
        <w:rPr>
          <w:rFonts w:hint="eastAsia" w:ascii="宋体" w:hAnsi="宋体"/>
          <w:sz w:val="24"/>
        </w:rPr>
        <w:t xml:space="preserve">五、小微企业声明函</w:t>
      </w:r>
      <w:bookmarkEnd w:id="225"/>
      <w:r>
        <w:rPr>
          <w:rFonts w:hint="eastAsia" w:ascii="宋体" w:hAnsi="宋体"/>
          <w:sz w:val="24"/>
        </w:rPr>
      </w:r>
      <w:r/>
    </w:p>
    <w:p>
      <w:pPr>
        <w:pStyle w:val="1019"/>
        <w:ind w:firstLine="480"/>
        <w:pageBreakBefore w:val="0"/>
        <w:spacing w:line="240" w:lineRule="auto"/>
        <w:rPr>
          <w:rFonts w:hint="eastAsia" w:ascii="宋体" w:hAnsi="宋体"/>
          <w:sz w:val="24"/>
        </w:rPr>
      </w:pPr>
      <w:r/>
      <w:bookmarkStart w:id="226" w:name="_Toc20881_WPSOffice_Level1"/>
      <w:r>
        <w:rPr>
          <w:rFonts w:hint="eastAsia" w:ascii="宋体" w:hAnsi="宋体"/>
          <w:sz w:val="24"/>
        </w:rPr>
        <w:t xml:space="preserve">六、残疾人福利性单位声明函或监狱企业证明</w:t>
      </w:r>
      <w:bookmarkEnd w:id="226"/>
      <w:r>
        <w:rPr>
          <w:rFonts w:hint="eastAsia" w:ascii="宋体" w:hAnsi="宋体"/>
          <w:sz w:val="24"/>
        </w:rPr>
      </w:r>
      <w:r/>
    </w:p>
    <w:p>
      <w:pPr>
        <w:pStyle w:val="1019"/>
        <w:ind w:firstLine="480"/>
        <w:pageBreakBefore w:val="0"/>
        <w:spacing w:line="240" w:lineRule="auto"/>
        <w:rPr>
          <w:rFonts w:hint="eastAsia" w:ascii="宋体" w:hAnsi="宋体"/>
          <w:sz w:val="24"/>
        </w:rPr>
      </w:pPr>
      <w:r/>
      <w:bookmarkStart w:id="227" w:name="_Toc12661_WPSOffice_Level1"/>
      <w:r>
        <w:rPr>
          <w:rFonts w:hint="eastAsia" w:ascii="宋体" w:hAnsi="宋体"/>
          <w:sz w:val="24"/>
        </w:rPr>
        <w:t xml:space="preserve">七、联合体协议</w:t>
      </w:r>
      <w:bookmarkEnd w:id="227"/>
      <w:r>
        <w:rPr>
          <w:rFonts w:hint="eastAsia" w:ascii="宋体" w:hAnsi="宋体"/>
          <w:sz w:val="24"/>
        </w:rPr>
      </w:r>
      <w:r/>
    </w:p>
    <w:p>
      <w:pPr>
        <w:pStyle w:val="1019"/>
        <w:ind w:firstLine="480"/>
        <w:pageBreakBefore w:val="0"/>
        <w:spacing w:line="240" w:lineRule="auto"/>
        <w:rPr>
          <w:rFonts w:hint="eastAsia" w:ascii="宋体" w:hAnsi="宋体"/>
          <w:i/>
          <w:sz w:val="24"/>
          <w:u w:val="single"/>
        </w:rPr>
      </w:pPr>
      <w:r/>
      <w:bookmarkStart w:id="228" w:name="_Toc16961_WPSOffice_Level1"/>
      <w:r>
        <w:rPr>
          <w:rFonts w:hint="eastAsia" w:ascii="宋体" w:hAnsi="宋体"/>
          <w:i/>
          <w:sz w:val="24"/>
          <w:u w:val="single"/>
        </w:rPr>
        <w:t xml:space="preserve">八、投标分项报价表</w:t>
      </w:r>
      <w:bookmarkEnd w:id="228"/>
      <w:r>
        <w:rPr>
          <w:rFonts w:hint="eastAsia" w:ascii="宋体" w:hAnsi="宋体"/>
          <w:i/>
          <w:sz w:val="24"/>
          <w:u w:val="single"/>
        </w:rPr>
      </w:r>
      <w:r/>
    </w:p>
    <w:p>
      <w:pPr>
        <w:pStyle w:val="1019"/>
        <w:ind w:firstLine="480"/>
        <w:pageBreakBefore w:val="0"/>
        <w:spacing w:line="240" w:lineRule="auto"/>
        <w:rPr>
          <w:rFonts w:hint="eastAsia" w:ascii="宋体" w:hAnsi="宋体"/>
          <w:sz w:val="24"/>
        </w:rPr>
      </w:pPr>
      <w:r/>
      <w:bookmarkStart w:id="229" w:name="_Toc102_WPSOffice_Level1"/>
      <w:r>
        <w:rPr>
          <w:rFonts w:hint="eastAsia" w:ascii="宋体" w:hAnsi="宋体"/>
          <w:sz w:val="24"/>
        </w:rPr>
        <w:t xml:space="preserve">九、技术要求响应及偏离表</w:t>
      </w:r>
      <w:bookmarkEnd w:id="229"/>
      <w:r>
        <w:rPr>
          <w:rFonts w:hint="eastAsia" w:ascii="宋体" w:hAnsi="宋体"/>
          <w:sz w:val="24"/>
        </w:rPr>
      </w:r>
      <w:r/>
    </w:p>
    <w:p>
      <w:pPr>
        <w:pStyle w:val="1019"/>
        <w:ind w:firstLine="480"/>
        <w:pageBreakBefore w:val="0"/>
        <w:spacing w:line="240" w:lineRule="auto"/>
        <w:rPr>
          <w:rFonts w:ascii="宋体" w:hAnsi="宋体"/>
          <w:sz w:val="24"/>
        </w:rPr>
      </w:pPr>
      <w:r/>
      <w:bookmarkStart w:id="230" w:name="_Toc11917_WPSOffice_Level1"/>
      <w:r>
        <w:rPr>
          <w:rFonts w:hint="eastAsia" w:ascii="宋体" w:hAnsi="宋体"/>
          <w:sz w:val="24"/>
        </w:rPr>
        <w:t xml:space="preserve">十、商务要求响应及偏离表</w:t>
      </w:r>
      <w:bookmarkEnd w:id="230"/>
      <w:r>
        <w:rPr>
          <w:rFonts w:ascii="宋体" w:hAnsi="宋体"/>
          <w:sz w:val="24"/>
        </w:rPr>
      </w:r>
      <w:r/>
    </w:p>
    <w:p>
      <w:pPr>
        <w:pStyle w:val="1019"/>
        <w:ind w:firstLine="480"/>
        <w:pageBreakBefore w:val="0"/>
        <w:spacing w:line="240" w:lineRule="auto"/>
        <w:rPr>
          <w:rFonts w:ascii="宋体" w:hAnsi="宋体"/>
          <w:i/>
          <w:sz w:val="24"/>
          <w:u w:val="single"/>
        </w:rPr>
      </w:pPr>
      <w:r/>
      <w:bookmarkStart w:id="231" w:name="_Toc31685_WPSOffice_Level1"/>
      <w:r>
        <w:rPr>
          <w:rFonts w:hint="eastAsia" w:ascii="宋体" w:hAnsi="宋体"/>
          <w:i/>
          <w:sz w:val="24"/>
          <w:u w:val="single"/>
        </w:rPr>
        <w:t xml:space="preserve">十一、开标一览表</w:t>
      </w:r>
      <w:bookmarkEnd w:id="231"/>
      <w:r>
        <w:rPr>
          <w:rFonts w:ascii="宋体" w:hAnsi="宋体"/>
          <w:i/>
          <w:sz w:val="24"/>
          <w:u w:val="single"/>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87"/>
        <w:rPr>
          <w:rFonts w:hint="eastAsia" w:ascii="宋体" w:hAnsi="宋体"/>
          <w:sz w:val="24"/>
        </w:rPr>
      </w:pPr>
      <w:r>
        <w:rPr>
          <w:rFonts w:hint="eastAsia" w:ascii="宋体" w:hAnsi="宋体"/>
          <w:sz w:val="24"/>
        </w:rPr>
      </w:r>
      <w:r/>
    </w:p>
    <w:p>
      <w:pPr>
        <w:pStyle w:val="1019"/>
        <w:rPr>
          <w:rFonts w:hint="eastAsia" w:ascii="宋体" w:hAnsi="宋体"/>
          <w:sz w:val="24"/>
        </w:rPr>
      </w:pPr>
      <w:r>
        <w:rPr>
          <w:rFonts w:hint="eastAsia" w:ascii="宋体" w:hAnsi="宋体"/>
          <w:sz w:val="24"/>
        </w:rPr>
      </w:r>
      <w:r/>
    </w:p>
    <w:p>
      <w:pPr>
        <w:pStyle w:val="1087"/>
        <w:rPr>
          <w:rFonts w:hint="eastAsia" w:ascii="宋体" w:hAnsi="宋体"/>
          <w:sz w:val="24"/>
        </w:rPr>
      </w:pPr>
      <w:r>
        <w:rPr>
          <w:rFonts w:hint="eastAsia" w:ascii="宋体" w:hAnsi="宋体"/>
          <w:sz w:val="24"/>
        </w:rPr>
      </w:r>
      <w:r/>
    </w:p>
    <w:p>
      <w:pPr>
        <w:pStyle w:val="1019"/>
        <w:rPr>
          <w:rFonts w:hint="eastAsia" w:ascii="宋体" w:hAnsi="宋体"/>
          <w:sz w:val="24"/>
        </w:rPr>
      </w:pPr>
      <w:r>
        <w:rPr>
          <w:rFonts w:hint="eastAsia" w:ascii="宋体" w:hAnsi="宋体"/>
          <w:sz w:val="24"/>
        </w:rPr>
      </w:r>
      <w:r/>
    </w:p>
    <w:p>
      <w:pPr>
        <w:pStyle w:val="1087"/>
        <w:rPr>
          <w:rFonts w:hint="eastAsia" w:ascii="宋体" w:hAnsi="宋体"/>
          <w:sz w:val="24"/>
        </w:rPr>
      </w:pPr>
      <w:r>
        <w:rPr>
          <w:rFonts w:hint="eastAsia" w:ascii="宋体" w:hAnsi="宋体"/>
          <w:sz w:val="24"/>
        </w:rPr>
      </w:r>
      <w:r/>
    </w:p>
    <w:p>
      <w:pPr>
        <w:pStyle w:val="1019"/>
        <w:rPr>
          <w:rFonts w:hint="eastAsia" w:ascii="宋体" w:hAnsi="宋体"/>
          <w:sz w:val="24"/>
        </w:rPr>
      </w:pPr>
      <w:r>
        <w:rPr>
          <w:rFonts w:hint="eastAsia" w:ascii="宋体" w:hAnsi="宋体"/>
          <w:sz w:val="24"/>
        </w:rPr>
      </w:r>
      <w:r/>
    </w:p>
    <w:p>
      <w:pPr>
        <w:pStyle w:val="1087"/>
        <w:rPr>
          <w:rFonts w:hint="eastAsia" w:ascii="宋体" w:hAnsi="宋体"/>
          <w:sz w:val="24"/>
        </w:rPr>
      </w:pPr>
      <w:r>
        <w:rPr>
          <w:rFonts w:hint="eastAsia" w:ascii="宋体" w:hAnsi="宋体"/>
          <w:sz w:val="24"/>
        </w:rPr>
      </w:r>
      <w:r/>
    </w:p>
    <w:p>
      <w:pPr>
        <w:pStyle w:val="1019"/>
        <w:rPr>
          <w:rFonts w:hint="eastAsia" w:ascii="宋体" w:hAnsi="宋体"/>
          <w:sz w:val="24"/>
        </w:rPr>
      </w:pPr>
      <w:r>
        <w:rPr>
          <w:rFonts w:hint="eastAsia" w:ascii="宋体" w:hAnsi="宋体"/>
          <w:sz w:val="24"/>
        </w:rPr>
      </w:r>
      <w:r/>
    </w:p>
    <w:p>
      <w:pPr>
        <w:pStyle w:val="1087"/>
        <w:rPr>
          <w:rFonts w:hint="eastAsia"/>
        </w:rPr>
      </w:pPr>
      <w:r>
        <w:rPr>
          <w:rFonts w:hint="eastAsia"/>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ind w:firstLine="480"/>
        <w:pageBreakBefore w:val="0"/>
        <w:spacing w:line="240" w:lineRule="auto"/>
        <w:rPr>
          <w:rFonts w:ascii="宋体" w:hAnsi="宋体"/>
          <w:sz w:val="24"/>
        </w:rPr>
      </w:pPr>
      <w:r>
        <w:rPr>
          <w:rFonts w:ascii="宋体" w:hAnsi="宋体"/>
          <w:sz w:val="24"/>
        </w:rPr>
      </w:r>
      <w:r/>
    </w:p>
    <w:p>
      <w:pPr>
        <w:pStyle w:val="1019"/>
        <w:pageBreakBefore w:val="0"/>
        <w:spacing w:line="240" w:lineRule="auto"/>
        <w:rPr>
          <w:rFonts w:ascii="黑体" w:hAnsi="黑体" w:eastAsia="黑体"/>
          <w:i/>
          <w:sz w:val="32"/>
          <w:szCs w:val="32"/>
          <w:u w:val="single"/>
        </w:rPr>
      </w:pPr>
      <w:r/>
      <w:bookmarkEnd w:id="212"/>
      <w:r/>
      <w:bookmarkEnd w:id="213"/>
      <w:r/>
      <w:bookmarkEnd w:id="214"/>
      <w:r/>
      <w:bookmarkStart w:id="23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1019"/>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1019"/>
        <w:jc w:val="center"/>
        <w:pageBreakBefore w:val="0"/>
        <w:spacing w:line="240" w:lineRule="auto"/>
        <w:widowControl/>
        <w:rPr>
          <w:rFonts w:ascii="宋体" w:hAnsi="宋体" w:cs="宋体"/>
        </w:rPr>
      </w:pPr>
      <w:r/>
      <w:bookmarkStart w:id="233" w:name="_Toc6337_WPSOffice_Level1"/>
      <w:r>
        <w:rPr>
          <w:rFonts w:hint="eastAsia" w:ascii="宋体" w:hAnsi="宋体" w:cs="宋体"/>
          <w:b/>
          <w:sz w:val="28"/>
          <w:szCs w:val="28"/>
        </w:rPr>
        <w:t xml:space="preserve">投标人资格声明函</w:t>
      </w:r>
      <w:bookmarkEnd w:id="233"/>
      <w:r>
        <w:rPr>
          <w:rFonts w:ascii="宋体" w:hAnsi="宋体" w:cs="宋体"/>
        </w:rPr>
      </w:r>
      <w:r/>
    </w:p>
    <w:p>
      <w:pPr>
        <w:pStyle w:val="1088"/>
        <w:ind w:firstLine="480"/>
        <w:pageBreakBefore w:val="0"/>
        <w:spacing w:line="240" w:lineRule="auto"/>
      </w:pPr>
      <w:r/>
      <w:r/>
    </w:p>
    <w:p>
      <w:pPr>
        <w:pStyle w:val="1088"/>
        <w:ind w:firstLine="480"/>
        <w:pageBreakBefore w:val="0"/>
        <w:spacing w:line="240" w:lineRule="auto"/>
      </w:pPr>
      <w:r>
        <w:rPr>
          <w:rFonts w:hint="eastAsia"/>
        </w:rPr>
        <w:t xml:space="preserve">致：常州市政府采购中心</w:t>
      </w:r>
      <w:r/>
    </w:p>
    <w:p>
      <w:pPr>
        <w:pStyle w:val="1088"/>
        <w:ind w:firstLine="840"/>
        <w:pageBreakBefore w:val="0"/>
        <w:spacing w:line="240" w:lineRule="auto"/>
        <w:rPr>
          <w:u w:val="single"/>
        </w:rPr>
      </w:pPr>
      <w:r>
        <w:rPr>
          <w:rFonts w:hint="eastAsia"/>
          <w:u w:val="single"/>
        </w:rPr>
        <w:t xml:space="preserve">（采购人名称）</w:t>
      </w:r>
      <w:r>
        <w:rPr>
          <w:u w:val="single"/>
        </w:rPr>
      </w:r>
      <w:r/>
    </w:p>
    <w:p>
      <w:pPr>
        <w:pStyle w:val="1088"/>
        <w:ind w:firstLine="480"/>
        <w:pageBreakBefore w:val="0"/>
        <w:spacing w:line="240" w:lineRule="auto"/>
      </w:pPr>
      <w:r/>
      <w:r/>
    </w:p>
    <w:p>
      <w:pPr>
        <w:pStyle w:val="1088"/>
        <w:ind w:firstLine="480"/>
        <w:pageBreakBefore w:val="0"/>
        <w:spacing w:line="240" w:lineRule="auto"/>
      </w:pPr>
      <w:r>
        <w:rPr>
          <w:rFonts w:hint="eastAsia"/>
        </w:rPr>
        <w:t xml:space="preserve">按照《中华人民共和国政府采购法》第二十二条和招标文件的规定，我单位郑重声明如下：</w:t>
      </w:r>
      <w:r/>
    </w:p>
    <w:p>
      <w:pPr>
        <w:pStyle w:val="1088"/>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88"/>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1088"/>
        <w:ind w:firstLine="480"/>
        <w:pageBreakBefore w:val="0"/>
        <w:spacing w:line="240" w:lineRule="auto"/>
      </w:pPr>
      <w:r>
        <w:rPr>
          <w:rFonts w:hint="eastAsia"/>
        </w:rPr>
        <w:t xml:space="preserve">三、我单位依法进行纳税和社会保险申报并实际履行了义务。</w:t>
      </w:r>
      <w:r/>
    </w:p>
    <w:p>
      <w:pPr>
        <w:pStyle w:val="1088"/>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88"/>
        <w:ind w:firstLine="480"/>
        <w:pageBreakBefore w:val="0"/>
        <w:spacing w:line="240" w:lineRule="auto"/>
      </w:pPr>
      <w:r>
        <w:rPr>
          <w:rFonts w:hint="eastAsia"/>
        </w:rPr>
        <w:t xml:space="preserve">主要设备有：</w:t>
      </w:r>
      <w:r>
        <w:rPr>
          <w:u w:val="single"/>
        </w:rPr>
        <w:t xml:space="preserve">            </w:t>
      </w:r>
      <w:r/>
    </w:p>
    <w:p>
      <w:pPr>
        <w:pStyle w:val="1088"/>
        <w:ind w:firstLine="480"/>
        <w:pageBreakBefore w:val="0"/>
        <w:spacing w:line="240" w:lineRule="auto"/>
      </w:pPr>
      <w:r>
        <w:rPr>
          <w:rFonts w:hint="eastAsia"/>
        </w:rPr>
        <w:t xml:space="preserve">主要专业技术能力有</w:t>
      </w:r>
      <w:r>
        <w:rPr>
          <w:rFonts w:hint="eastAsia"/>
          <w:u w:val="single"/>
        </w:rPr>
        <w:t xml:space="preserve">                 </w:t>
      </w:r>
      <w:r/>
    </w:p>
    <w:p>
      <w:pPr>
        <w:pStyle w:val="1088"/>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8"/>
        <w:ind w:firstLine="480"/>
        <w:pageBreakBefore w:val="0"/>
        <w:spacing w:line="240" w:lineRule="auto"/>
      </w:pPr>
      <w:r>
        <w:rPr>
          <w:rFonts w:hint="eastAsia"/>
        </w:rPr>
        <w:t xml:space="preserve">六、我单位具备法律、行政法规规定的其他条件。</w:t>
      </w:r>
      <w:r/>
    </w:p>
    <w:p>
      <w:pPr>
        <w:pStyle w:val="1088"/>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88"/>
        <w:ind w:firstLine="480"/>
        <w:pageBreakBefore w:val="0"/>
        <w:spacing w:line="240" w:lineRule="auto"/>
      </w:pPr>
      <w:r/>
      <w:bookmarkStart w:id="234" w:name="_Toc20693_WPSOffice_Level1"/>
      <w:r>
        <w:rPr>
          <w:rFonts w:hint="eastAsia"/>
        </w:rPr>
        <w:t xml:space="preserve">1、与我单位的法定代表人（单位负责人）为同一人的其他单位如下：</w:t>
      </w:r>
      <w:bookmarkEnd w:id="234"/>
      <w:r>
        <w:rPr>
          <w:rFonts w:hint="eastAsia"/>
          <w:u w:val="single"/>
        </w:rPr>
        <w:t xml:space="preserve">     </w:t>
      </w:r>
      <w:r>
        <w:rPr>
          <w:rFonts w:hint="eastAsia"/>
        </w:rPr>
        <w:t xml:space="preserve">          </w:t>
      </w:r>
      <w:r/>
    </w:p>
    <w:p>
      <w:pPr>
        <w:pStyle w:val="1088"/>
        <w:ind w:firstLine="480"/>
        <w:pageBreakBefore w:val="0"/>
        <w:spacing w:line="240" w:lineRule="auto"/>
      </w:pPr>
      <w:r/>
      <w:bookmarkStart w:id="235" w:name="_Toc25775_WPSOffice_Level1"/>
      <w:r>
        <w:rPr>
          <w:rFonts w:hint="eastAsia"/>
        </w:rPr>
        <w:t xml:space="preserve">2、我单位直接控股的其他单位如下：</w:t>
      </w:r>
      <w:bookmarkEnd w:id="235"/>
      <w:r>
        <w:rPr>
          <w:rFonts w:hint="eastAsia"/>
          <w:u w:val="single"/>
        </w:rPr>
        <w:t xml:space="preserve">                    </w:t>
      </w:r>
      <w:r>
        <w:rPr>
          <w:rFonts w:hint="eastAsia"/>
        </w:rPr>
        <w:t xml:space="preserve"> </w:t>
      </w:r>
      <w:r/>
    </w:p>
    <w:p>
      <w:pPr>
        <w:pStyle w:val="1088"/>
        <w:ind w:firstLine="480"/>
        <w:pageBreakBefore w:val="0"/>
        <w:spacing w:line="240" w:lineRule="auto"/>
      </w:pPr>
      <w:r/>
      <w:bookmarkStart w:id="236" w:name="_Toc31053_WPSOffice_Level1"/>
      <w:r>
        <w:rPr>
          <w:rFonts w:hint="eastAsia"/>
        </w:rPr>
        <w:t xml:space="preserve">3、与我单位存在管理关系的其他单位如下：</w:t>
      </w:r>
      <w:bookmarkEnd w:id="236"/>
      <w:r>
        <w:rPr>
          <w:rFonts w:hint="eastAsia"/>
          <w:u w:val="single"/>
        </w:rPr>
        <w:t xml:space="preserve">              </w:t>
      </w:r>
      <w:r>
        <w:rPr>
          <w:rFonts w:hint="eastAsia"/>
        </w:rPr>
        <w:t xml:space="preserve"> </w:t>
      </w:r>
      <w:r/>
    </w:p>
    <w:p>
      <w:pPr>
        <w:pStyle w:val="1088"/>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88"/>
        <w:ind w:firstLine="480"/>
        <w:pageBreakBefore w:val="0"/>
        <w:spacing w:line="240" w:lineRule="auto"/>
      </w:pPr>
      <w:r>
        <w:rPr>
          <w:rFonts w:hint="eastAsia"/>
        </w:rPr>
        <w:t xml:space="preserve">九、</w:t>
      </w:r>
      <w:r>
        <w:t xml:space="preserve">我单位无以下不良信用记录情形：</w:t>
      </w:r>
      <w:r/>
    </w:p>
    <w:p>
      <w:pPr>
        <w:pStyle w:val="1088"/>
        <w:ind w:firstLine="480"/>
        <w:pageBreakBefore w:val="0"/>
        <w:spacing w:line="240" w:lineRule="auto"/>
      </w:pPr>
      <w:r/>
      <w:bookmarkStart w:id="237" w:name="_Toc32157_WPSOffice_Level1"/>
      <w:r>
        <w:t xml:space="preserve">1</w:t>
      </w:r>
      <w:r>
        <w:rPr>
          <w:rFonts w:hint="eastAsia"/>
        </w:rPr>
        <w:t xml:space="preserve">、在“信用中国”网站被列入失信被执行人和重大税收违法案件当事人名单；</w:t>
      </w:r>
      <w:bookmarkEnd w:id="237"/>
      <w:r/>
      <w:r/>
    </w:p>
    <w:p>
      <w:pPr>
        <w:pStyle w:val="1088"/>
        <w:ind w:firstLine="480"/>
        <w:pageBreakBefore w:val="0"/>
        <w:spacing w:line="240" w:lineRule="auto"/>
      </w:pPr>
      <w:r/>
      <w:bookmarkStart w:id="238" w:name="_Toc21025_WPSOffice_Level1"/>
      <w:r>
        <w:t xml:space="preserve">2</w:t>
      </w:r>
      <w:r>
        <w:rPr>
          <w:rFonts w:hint="eastAsia"/>
        </w:rPr>
        <w:t xml:space="preserve">、在“中国政府采购网”网站被列入政府采购严重违法失信行为记录名单；</w:t>
      </w:r>
      <w:bookmarkEnd w:id="238"/>
      <w:r/>
      <w:r/>
    </w:p>
    <w:p>
      <w:pPr>
        <w:pStyle w:val="1088"/>
        <w:ind w:firstLine="480"/>
        <w:pageBreakBefore w:val="0"/>
        <w:spacing w:line="240" w:lineRule="auto"/>
      </w:pPr>
      <w:r/>
      <w:bookmarkStart w:id="239" w:name="_Toc30826_WPSOffice_Level1"/>
      <w:r>
        <w:t xml:space="preserve">3</w:t>
      </w:r>
      <w:r>
        <w:rPr>
          <w:rFonts w:hint="eastAsia"/>
        </w:rPr>
        <w:t xml:space="preserve">、</w:t>
      </w:r>
      <w:r>
        <w:t xml:space="preserve">不符合《政府采购法》第二十二条规定的条件。</w:t>
      </w:r>
      <w:bookmarkEnd w:id="239"/>
      <w:r/>
      <w:r/>
    </w:p>
    <w:p>
      <w:pPr>
        <w:pStyle w:val="1088"/>
        <w:ind w:firstLine="480"/>
        <w:pageBreakBefore w:val="0"/>
        <w:spacing w:line="240" w:lineRule="auto"/>
      </w:pPr>
      <w:r/>
      <w:r/>
    </w:p>
    <w:p>
      <w:pPr>
        <w:pStyle w:val="1088"/>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88"/>
        <w:ind w:firstLine="480"/>
        <w:pageBreakBefore w:val="0"/>
        <w:spacing w:line="240" w:lineRule="auto"/>
      </w:pPr>
      <w:r/>
      <w:r/>
    </w:p>
    <w:p>
      <w:pPr>
        <w:pStyle w:val="1088"/>
        <w:ind w:firstLine="480"/>
        <w:pageBreakBefore w:val="0"/>
        <w:spacing w:line="240" w:lineRule="auto"/>
      </w:pPr>
      <w:r/>
      <w:r/>
    </w:p>
    <w:p>
      <w:pPr>
        <w:pStyle w:val="1088"/>
        <w:ind w:firstLine="480"/>
        <w:pageBreakBefore w:val="0"/>
        <w:spacing w:line="240" w:lineRule="auto"/>
      </w:pPr>
      <w:r>
        <w:rPr>
          <w:rFonts w:hint="eastAsia"/>
        </w:rPr>
        <w:t xml:space="preserve">                                            投标人：（加盖公章）</w:t>
      </w:r>
      <w:r/>
    </w:p>
    <w:p>
      <w:pPr>
        <w:pStyle w:val="1088"/>
        <w:ind w:firstLine="480"/>
        <w:pageBreakBefore w:val="0"/>
        <w:spacing w:line="240" w:lineRule="auto"/>
      </w:pPr>
      <w:r>
        <w:rPr>
          <w:rFonts w:hint="eastAsia"/>
        </w:rPr>
        <w:t xml:space="preserve">                                           法定代表人（或单位负责人）签字或盖章：</w:t>
      </w:r>
      <w:r/>
    </w:p>
    <w:p>
      <w:pPr>
        <w:pStyle w:val="1088"/>
        <w:ind w:firstLine="4305"/>
        <w:pageBreakBefore w:val="0"/>
        <w:spacing w:line="240" w:lineRule="auto"/>
        <w:rPr>
          <w:rFonts w:hint="eastAsia"/>
        </w:rPr>
      </w:pPr>
      <w:r>
        <w:rPr>
          <w:rFonts w:hint="eastAsia"/>
        </w:rPr>
        <w:t xml:space="preserve">日期：    年    月    日</w:t>
      </w:r>
      <w:r>
        <w:rPr>
          <w:rFonts w:hint="eastAsia"/>
        </w:rPr>
      </w:r>
      <w:r/>
    </w:p>
    <w:p>
      <w:pPr>
        <w:pStyle w:val="1019"/>
        <w:pageBreakBefore w:val="0"/>
        <w:spacing w:line="240" w:lineRule="auto"/>
        <w:rPr>
          <w:rFonts w:hint="eastAsia"/>
          <w:sz w:val="24"/>
        </w:rPr>
      </w:pPr>
      <w:r>
        <w:rPr>
          <w:rFonts w:hint="eastAsia"/>
          <w:sz w:val="24"/>
        </w:rPr>
      </w:r>
      <w:r/>
    </w:p>
    <w:p>
      <w:pPr>
        <w:pStyle w:val="1019"/>
        <w:pageBreakBefore w:val="0"/>
        <w:spacing w:line="240" w:lineRule="auto"/>
        <w:rPr>
          <w:rFonts w:hint="eastAsia"/>
          <w:sz w:val="24"/>
        </w:rPr>
      </w:pPr>
      <w:r>
        <w:rPr>
          <w:rFonts w:hint="eastAsia"/>
          <w:sz w:val="24"/>
        </w:rPr>
      </w:r>
      <w:r/>
    </w:p>
    <w:p>
      <w:pPr>
        <w:pStyle w:val="1019"/>
        <w:pageBreakBefore w:val="0"/>
        <w:spacing w:line="240" w:lineRule="auto"/>
        <w:rPr>
          <w:rFonts w:hint="eastAsia"/>
          <w:sz w:val="24"/>
        </w:rPr>
      </w:pPr>
      <w:r>
        <w:rPr>
          <w:rFonts w:hint="eastAsia"/>
          <w:sz w:val="24"/>
        </w:rPr>
      </w:r>
      <w:r/>
    </w:p>
    <w:p>
      <w:pPr>
        <w:pStyle w:val="1019"/>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1019"/>
        <w:pageBreakBefore w:val="0"/>
        <w:spacing w:line="24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1019"/>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1019"/>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1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1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101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10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10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103"/>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103"/>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103"/>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40" w:name="_格式3__银行出具的资信证明"/>
      <w:r/>
      <w:bookmarkEnd w:id="240"/>
      <w:r/>
      <w:bookmarkStart w:id="241" w:name="_Hlt26955070"/>
      <w:r/>
      <w:bookmarkEnd w:id="241"/>
      <w:r/>
      <w:bookmarkStart w:id="242" w:name="_Hlt26671380"/>
      <w:r/>
      <w:bookmarkEnd w:id="242"/>
      <w:r>
        <w:rPr>
          <w:rFonts w:hint="eastAsia"/>
          <w:sz w:val="24"/>
          <w:szCs w:val="24"/>
          <w:u w:val="single"/>
        </w:rPr>
        <w:t xml:space="preserve">                                         </w:t>
      </w:r>
      <w:r>
        <w:rPr>
          <w:rFonts w:hint="eastAsia"/>
          <w:sz w:val="24"/>
          <w:szCs w:val="24"/>
        </w:rPr>
      </w:r>
      <w:r/>
    </w:p>
    <w:p>
      <w:pPr>
        <w:pStyle w:val="1088"/>
        <w:pageBreakBefore w:val="0"/>
        <w:spacing w:line="240" w:lineRule="auto"/>
        <w:rPr>
          <w:rFonts w:hint="eastAsia"/>
          <w:i/>
          <w:sz w:val="24"/>
          <w:szCs w:val="24"/>
          <w:u w:val="single"/>
        </w:rPr>
      </w:pPr>
      <w:r>
        <w:rPr>
          <w:rFonts w:hint="eastAsia"/>
          <w:i/>
          <w:sz w:val="24"/>
          <w:szCs w:val="24"/>
          <w:u w:val="single"/>
        </w:rPr>
      </w:r>
      <w:r/>
    </w:p>
    <w:p>
      <w:pPr>
        <w:pStyle w:val="1088"/>
        <w:ind w:firstLine="0"/>
        <w:pageBreakBefore w:val="0"/>
        <w:spacing w:line="240" w:lineRule="auto"/>
        <w:rPr>
          <w:rFonts w:hint="eastAsia"/>
        </w:rPr>
      </w:pPr>
      <w:r>
        <w:rPr>
          <w:rFonts w:hint="eastAsia"/>
        </w:rPr>
      </w:r>
      <w:r/>
    </w:p>
    <w:p>
      <w:pPr>
        <w:pStyle w:val="1019"/>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22"/>
        <w:pageBreakBefore w:val="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136"/>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136"/>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136"/>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136"/>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136"/>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136"/>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019"/>
        <w:ind w:firstLine="240"/>
        <w:jc w:val="center"/>
        <w:pageBreakBefore w:val="0"/>
        <w:spacing w:line="240" w:lineRule="auto"/>
        <w:rPr>
          <w:rFonts w:hint="eastAsia" w:ascii="宋体" w:hAnsi="宋体"/>
          <w:bCs/>
          <w:sz w:val="24"/>
        </w:rPr>
      </w:pPr>
      <w:r>
        <w:rPr>
          <w:rFonts w:hint="eastAsia" w:ascii="宋体" w:hAnsi="宋体"/>
          <w:bCs/>
          <w:sz w:val="24"/>
        </w:rPr>
      </w:r>
      <w:r/>
    </w:p>
    <w:p>
      <w:pPr>
        <w:pStyle w:val="1019"/>
        <w:ind w:firstLine="321"/>
        <w:jc w:val="center"/>
        <w:pageBreakBefore w:val="0"/>
        <w:spacing w:line="240" w:lineRule="auto"/>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1019"/>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1019"/>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1019"/>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1019"/>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19"/>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19"/>
        <w:ind w:right="720"/>
        <w:pageBreakBefore w:val="0"/>
        <w:spacing w:line="240" w:lineRule="auto"/>
        <w:rPr>
          <w:rFonts w:hint="eastAsia" w:ascii="宋体" w:hAnsi="宋体"/>
          <w:sz w:val="24"/>
          <w:szCs w:val="24"/>
        </w:rPr>
      </w:pPr>
      <w:r>
        <w:rPr>
          <w:rFonts w:hint="eastAsia" w:ascii="宋体" w:hAnsi="宋体"/>
          <w:sz w:val="24"/>
          <w:szCs w:val="24"/>
        </w:rPr>
      </w:r>
      <w:r/>
    </w:p>
    <w:p>
      <w:pPr>
        <w:pStyle w:val="1019"/>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19"/>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19"/>
        <w:ind w:firstLine="240"/>
        <w:pageBreakBefore w:val="0"/>
        <w:spacing w:line="240" w:lineRule="auto"/>
        <w:rPr>
          <w:rFonts w:hint="eastAsia" w:ascii="宋体" w:hAnsi="宋体"/>
          <w:sz w:val="24"/>
          <w:szCs w:val="24"/>
        </w:rPr>
      </w:pP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19"/>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1019"/>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1019"/>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1019"/>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019"/>
        <w:ind w:firstLine="480"/>
        <w:pageBreakBefore w:val="0"/>
        <w:spacing w:line="240" w:lineRule="auto"/>
        <w:rPr>
          <w:rFonts w:hint="eastAsia" w:ascii="宋体" w:hAnsi="宋体"/>
          <w:sz w:val="24"/>
        </w:rPr>
      </w:pPr>
      <w:r>
        <w:rPr>
          <w:rFonts w:hint="eastAsia" w:ascii="宋体" w:hAnsi="宋体"/>
          <w:sz w:val="24"/>
        </w:rPr>
      </w:r>
      <w:r/>
    </w:p>
    <w:p>
      <w:pPr>
        <w:pStyle w:val="1019"/>
        <w:ind w:firstLine="480"/>
        <w:pageBreakBefore w:val="0"/>
        <w:spacing w:line="240" w:lineRule="auto"/>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1019"/>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1019"/>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3" w:name="_Toc389_WPSOffice_Level1"/>
      <w:r>
        <w:rPr>
          <w:rFonts w:hint="eastAsia" w:ascii="宋体" w:hAnsi="宋体"/>
          <w:sz w:val="24"/>
        </w:rPr>
        <w:t xml:space="preserve">供应商全称（加盖CA电子公章）：</w:t>
      </w:r>
      <w:bookmarkEnd w:id="243"/>
      <w:r>
        <w:rPr>
          <w:rFonts w:ascii="宋体" w:hAnsi="宋体"/>
          <w:sz w:val="24"/>
        </w:rPr>
      </w:r>
      <w:r/>
    </w:p>
    <w:p>
      <w:pPr>
        <w:pStyle w:val="1019"/>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4" w:name="_Toc31745_WPSOffice_Level1"/>
      <w:r>
        <w:rPr>
          <w:rFonts w:hint="eastAsia" w:ascii="宋体" w:hAnsi="宋体"/>
          <w:sz w:val="24"/>
        </w:rPr>
        <w:t xml:space="preserve">日  期：</w:t>
      </w:r>
      <w:bookmarkEnd w:id="244"/>
      <w:r>
        <w:rPr>
          <w:rFonts w:ascii="宋体" w:hAnsi="宋体"/>
          <w:sz w:val="24"/>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1019"/>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1019"/>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1019"/>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1019"/>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1019"/>
        <w:ind w:firstLine="645"/>
        <w:pageBreakBefore w:val="0"/>
        <w:spacing w:line="240" w:lineRule="auto"/>
        <w:rPr>
          <w:rFonts w:hint="eastAsia" w:ascii="宋体" w:hAnsi="宋体"/>
          <w:sz w:val="24"/>
        </w:rPr>
      </w:pPr>
      <w:r>
        <w:rPr>
          <w:rFonts w:hint="eastAsia" w:ascii="宋体" w:hAnsi="宋体"/>
          <w:sz w:val="24"/>
        </w:rPr>
      </w:r>
      <w:r/>
    </w:p>
    <w:p>
      <w:pPr>
        <w:pStyle w:val="1019"/>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019"/>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1019"/>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5" w:name="_Toc28185_WPSOffice_Level1"/>
      <w:r>
        <w:rPr>
          <w:rFonts w:hint="eastAsia" w:ascii="宋体" w:hAnsi="宋体"/>
          <w:sz w:val="24"/>
        </w:rPr>
        <w:t xml:space="preserve">联合体中各供应商全称（公章）：</w:t>
      </w:r>
      <w:bookmarkEnd w:id="245"/>
      <w:r>
        <w:rPr>
          <w:rFonts w:ascii="宋体" w:hAnsi="宋体"/>
          <w:sz w:val="24"/>
        </w:rPr>
        <w:t xml:space="preserve">     </w:t>
      </w:r>
      <w:r>
        <w:rPr>
          <w:rFonts w:ascii="宋体" w:hAnsi="宋体"/>
          <w:sz w:val="24"/>
        </w:rPr>
      </w:r>
      <w:r/>
    </w:p>
    <w:p>
      <w:pPr>
        <w:pStyle w:val="1019"/>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019"/>
        <w:ind w:firstLine="645"/>
        <w:pageBreakBefore w:val="0"/>
        <w:spacing w:line="240" w:lineRule="auto"/>
        <w:rPr>
          <w:rFonts w:hint="eastAsia" w:ascii="宋体" w:hAnsi="宋体"/>
          <w:sz w:val="24"/>
        </w:rPr>
      </w:pPr>
      <w:r>
        <w:rPr>
          <w:rFonts w:hint="eastAsia" w:ascii="宋体" w:hAnsi="宋体"/>
          <w:sz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19"/>
        <w:pageBreakBefore w:val="0"/>
        <w:spacing w:line="240" w:lineRule="auto"/>
        <w:rPr>
          <w:rFonts w:hint="eastAsia" w:ascii="宋体" w:hAnsi="宋体"/>
          <w:bCs/>
          <w:sz w:val="24"/>
        </w:rPr>
      </w:pPr>
      <w:r>
        <w:rPr>
          <w:rFonts w:hint="eastAsia" w:ascii="宋体" w:hAnsi="宋体"/>
          <w:bCs/>
          <w:sz w:val="24"/>
        </w:rPr>
      </w:r>
      <w:r/>
    </w:p>
    <w:p>
      <w:pPr>
        <w:pStyle w:val="1019"/>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1019"/>
              <w:jc w:val="center"/>
              <w:pageBreakBefore w:val="0"/>
              <w:spacing w:line="240" w:lineRule="auto"/>
              <w:rPr>
                <w:rFonts w:ascii="宋体" w:hAnsi="宋体"/>
                <w:color w:val="000000"/>
                <w:sz w:val="24"/>
                <w:szCs w:val="24"/>
              </w:rPr>
            </w:pPr>
            <w:r>
              <w:rPr>
                <w:rFonts w:ascii="宋体" w:hAnsi="宋体"/>
                <w:color w:val="000000"/>
                <w:sz w:val="24"/>
                <w:szCs w:val="24"/>
              </w:rPr>
            </w:r>
            <w:r/>
          </w:p>
        </w:tc>
      </w:tr>
    </w:tbl>
    <w:p>
      <w:pPr>
        <w:pStyle w:val="1019"/>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1019"/>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19"/>
        <w:pageBreakBefore w:val="0"/>
        <w:spacing w:line="240" w:lineRule="auto"/>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1019"/>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9"/>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101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1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1019"/>
        <w:pageBreakBefore w:val="0"/>
        <w:spacing w:line="240" w:lineRule="auto"/>
        <w:rPr>
          <w:rFonts w:hint="eastAsia" w:ascii="黑体" w:hAnsi="Arial" w:eastAsia="黑体"/>
          <w:sz w:val="32"/>
        </w:rPr>
      </w:pPr>
      <w:r>
        <w:rPr>
          <w:rFonts w:hint="eastAsia" w:ascii="黑体" w:hAnsi="Arial" w:eastAsia="黑体"/>
          <w:sz w:val="32"/>
        </w:rPr>
      </w:r>
      <w:r/>
    </w:p>
    <w:p>
      <w:pPr>
        <w:pStyle w:val="1019"/>
        <w:pageBreakBefore w:val="0"/>
        <w:spacing w:line="240" w:lineRule="auto"/>
        <w:rPr>
          <w:rFonts w:hint="eastAsia" w:ascii="黑体" w:hAnsi="Arial" w:eastAsia="黑体"/>
          <w:sz w:val="32"/>
        </w:rPr>
      </w:pPr>
      <w:r>
        <w:rPr>
          <w:rFonts w:hint="eastAsia" w:ascii="黑体" w:hAnsi="Arial" w:eastAsia="黑体"/>
          <w:sz w:val="32"/>
        </w:rPr>
      </w:r>
      <w:r/>
    </w:p>
    <w:p>
      <w:pPr>
        <w:pStyle w:val="1019"/>
        <w:pageBreakBefore w:val="0"/>
        <w:spacing w:line="240" w:lineRule="auto"/>
        <w:rPr>
          <w:rFonts w:hint="eastAsia" w:ascii="黑体" w:hAnsi="Arial" w:eastAsia="黑体"/>
          <w:sz w:val="32"/>
        </w:rPr>
      </w:pPr>
      <w:r>
        <w:rPr>
          <w:rFonts w:hint="eastAsia" w:ascii="黑体" w:hAnsi="Arial" w:eastAsia="黑体"/>
          <w:sz w:val="32"/>
        </w:rPr>
      </w:r>
      <w:r/>
    </w:p>
    <w:p>
      <w:pPr>
        <w:pStyle w:val="1019"/>
        <w:pageBreakBefore w:val="0"/>
        <w:spacing w:line="240" w:lineRule="auto"/>
        <w:rPr>
          <w:rFonts w:hint="eastAsia" w:ascii="黑体" w:hAnsi="Arial" w:eastAsia="黑体"/>
          <w:sz w:val="32"/>
        </w:rPr>
      </w:pPr>
      <w:r>
        <w:rPr>
          <w:rFonts w:hint="eastAsia" w:ascii="黑体" w:hAnsi="Arial" w:eastAsia="黑体"/>
          <w:sz w:val="32"/>
        </w:rPr>
      </w:r>
      <w:r/>
    </w:p>
    <w:p>
      <w:pPr>
        <w:pStyle w:val="1019"/>
        <w:pageBreakBefore w:val="0"/>
        <w:spacing w:line="240" w:lineRule="auto"/>
        <w:rPr>
          <w:rFonts w:hint="eastAsia" w:ascii="黑体" w:hAnsi="Arial" w:eastAsia="黑体"/>
          <w:sz w:val="32"/>
        </w:rPr>
      </w:pPr>
      <w:r>
        <w:rPr>
          <w:rFonts w:hint="eastAsia" w:ascii="黑体" w:hAnsi="Arial" w:eastAsia="黑体"/>
          <w:sz w:val="32"/>
        </w:rPr>
      </w:r>
      <w:r/>
    </w:p>
    <w:p>
      <w:pPr>
        <w:pStyle w:val="1019"/>
        <w:jc w:val="center"/>
        <w:pageBreakBefore w:val="0"/>
        <w:spacing w:line="240" w:lineRule="auto"/>
        <w:rPr>
          <w:rFonts w:hint="eastAsia" w:ascii="黑体" w:hAnsi="黑体" w:eastAsia="黑体"/>
          <w:b/>
          <w:sz w:val="32"/>
          <w:szCs w:val="32"/>
        </w:rPr>
      </w:pPr>
      <w:r/>
      <w:bookmarkEnd w:id="232"/>
      <w:r/>
      <w:bookmarkStart w:id="246" w:name="_Hlt26955054"/>
      <w:r/>
      <w:bookmarkEnd w:id="246"/>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9"/>
              <w:jc w:val="left"/>
              <w:pageBreakBefore w:val="0"/>
              <w:spacing w:line="240" w:lineRule="auto"/>
              <w:rPr>
                <w:b/>
                <w:color w:val="000000"/>
                <w:sz w:val="24"/>
              </w:rPr>
            </w:pPr>
            <w:r/>
            <w:bookmarkStart w:id="247" w:name="_Hlt26609391"/>
            <w:r/>
            <w:bookmarkEnd w:id="247"/>
            <w:r/>
            <w:bookmarkStart w:id="248" w:name="_Hlt26955056"/>
            <w:r/>
            <w:bookmarkEnd w:id="248"/>
            <w:r/>
            <w:bookmarkStart w:id="249" w:name="_Hlt26580838"/>
            <w:r/>
            <w:bookmarkEnd w:id="249"/>
            <w:r/>
            <w:bookmarkStart w:id="250" w:name="_Hlt26782999"/>
            <w:r/>
            <w:bookmarkEnd w:id="250"/>
            <w:r/>
            <w:bookmarkStart w:id="251" w:name="_Hlt26671343"/>
            <w:r/>
            <w:bookmarkEnd w:id="251"/>
            <w:r/>
            <w:bookmarkStart w:id="252" w:name="_Hlt26955064"/>
            <w:r/>
            <w:bookmarkEnd w:id="252"/>
            <w:r/>
            <w:bookmarkStart w:id="253" w:name="_Hlt24879081"/>
            <w:r/>
            <w:bookmarkEnd w:id="253"/>
            <w:r/>
            <w:bookmarkStart w:id="254" w:name="_Hlt26671372"/>
            <w:r/>
            <w:bookmarkEnd w:id="254"/>
            <w:r>
              <w:rPr>
                <w:rFonts w:hint="eastAsia"/>
                <w:b/>
                <w:color w:val="000000"/>
                <w:sz w:val="24"/>
              </w:rPr>
              <w:t xml:space="preserve">对本项目商务要求条款的偏离情况（请进行勾选）：</w:t>
            </w:r>
            <w:r>
              <w:rPr>
                <w:b/>
                <w:color w:val="000000"/>
                <w:sz w:val="24"/>
              </w:rPr>
            </w:r>
            <w:r/>
          </w:p>
          <w:p>
            <w:pPr>
              <w:pStyle w:val="101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101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9"/>
        <w:pageBreakBefore w:val="0"/>
        <w:spacing w:line="240" w:lineRule="auto"/>
        <w:rPr>
          <w:rFonts w:hint="eastAsia" w:ascii="宋体" w:hAnsi="宋体"/>
          <w:sz w:val="24"/>
        </w:rPr>
      </w:pPr>
      <w:r>
        <w:rPr>
          <w:rFonts w:hint="eastAsia" w:ascii="宋体" w:hAnsi="宋体"/>
          <w:sz w:val="24"/>
        </w:rPr>
      </w:r>
      <w:r/>
    </w:p>
    <w:p>
      <w:pPr>
        <w:pStyle w:val="1019"/>
        <w:pageBreakBefore w:val="0"/>
        <w:spacing w:line="240" w:lineRule="auto"/>
        <w:rPr>
          <w:rFonts w:hint="eastAsia" w:ascii="仿宋_GB2312" w:hAnsi="Arial"/>
          <w:sz w:val="30"/>
        </w:rPr>
      </w:pPr>
      <w:r>
        <w:rPr>
          <w:rFonts w:hint="eastAsia" w:ascii="仿宋_GB2312" w:hAnsi="Arial"/>
          <w:sz w:val="30"/>
        </w:rPr>
      </w:r>
      <w:r/>
    </w:p>
    <w:p>
      <w:pPr>
        <w:pStyle w:val="1088"/>
        <w:ind w:firstLine="0"/>
        <w:pageBreakBefore w:val="0"/>
        <w:spacing w:line="240" w:lineRule="auto"/>
        <w:rPr>
          <w:rFonts w:hint="eastAsia" w:ascii="宋体" w:hAnsi="宋体"/>
          <w:sz w:val="24"/>
        </w:rPr>
      </w:pPr>
      <w:r/>
      <w:bookmarkStart w:id="255" w:name="_Hlt26955066"/>
      <w:r/>
      <w:bookmarkEnd w:id="255"/>
      <w:r/>
      <w:bookmarkStart w:id="256" w:name="_Hlt26671374"/>
      <w:r/>
      <w:bookmarkEnd w:id="256"/>
      <w:r/>
      <w:bookmarkStart w:id="257" w:name="_Hlt26609389"/>
      <w:r/>
      <w:bookmarkEnd w:id="257"/>
      <w:r/>
      <w:bookmarkStart w:id="258" w:name="_Toc462564146"/>
      <w:r>
        <w:rPr>
          <w:rFonts w:hint="eastAsia" w:ascii="宋体" w:hAnsi="宋体"/>
          <w:sz w:val="24"/>
        </w:rPr>
      </w:r>
      <w:r/>
    </w:p>
    <w:p>
      <w:pPr>
        <w:pStyle w:val="1019"/>
        <w:jc w:val="center"/>
        <w:pageBreakBefore w:val="0"/>
        <w:spacing w:line="240" w:lineRule="auto"/>
        <w:rPr>
          <w:rFonts w:hint="eastAsia" w:ascii="黑体" w:hAnsi="黑体" w:eastAsia="黑体"/>
          <w:b/>
          <w:sz w:val="32"/>
          <w:szCs w:val="32"/>
        </w:rPr>
      </w:pPr>
      <w:r/>
      <w:bookmarkEnd w:id="203"/>
      <w:r/>
      <w:bookmarkEnd w:id="207"/>
      <w:r/>
      <w:bookmarkEnd w:id="258"/>
      <w:r/>
      <w:bookmarkStart w:id="259" w:name="_格式2__法定代表人授权书"/>
      <w:r/>
      <w:bookmarkEnd w:id="259"/>
      <w:r>
        <w:rPr>
          <w:rFonts w:hint="eastAsia" w:ascii="黑体" w:hAnsi="黑体" w:eastAsia="黑体"/>
          <w:b/>
          <w:sz w:val="32"/>
          <w:szCs w:val="32"/>
        </w:rPr>
      </w:r>
      <w:r/>
    </w:p>
    <w:p>
      <w:pPr>
        <w:pStyle w:val="101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87"/>
        <w:rPr>
          <w:rFonts w:hint="eastAsia"/>
        </w:rPr>
      </w:pPr>
      <w:r>
        <w:rPr>
          <w:rFonts w:hint="eastAsia"/>
        </w:rPr>
      </w:r>
      <w:r/>
    </w:p>
    <w:p>
      <w:pPr>
        <w:pStyle w:val="101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1019"/>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1019"/>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019"/>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101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1019"/>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1019"/>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1019"/>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1019"/>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1019"/>
        <w:pageBreakBefore w:val="0"/>
        <w:spacing w:line="240" w:lineRule="auto"/>
        <w:rPr>
          <w:rFonts w:ascii="宋体" w:hAnsi="宋体"/>
          <w:color w:val="000000"/>
          <w:sz w:val="24"/>
          <w:szCs w:val="24"/>
        </w:rPr>
      </w:pPr>
      <w:r>
        <w:rPr>
          <w:rFonts w:ascii="宋体" w:hAnsi="宋体"/>
          <w:color w:val="000000"/>
          <w:sz w:val="24"/>
          <w:szCs w:val="24"/>
        </w:rPr>
      </w:r>
      <w:r/>
    </w:p>
    <w:p>
      <w:pPr>
        <w:pStyle w:val="101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1019"/>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ascii="黑体" w:hAnsi="黑体" w:eastAsia="黑体"/>
          <w:b/>
          <w:color w:val="000000"/>
          <w:sz w:val="32"/>
          <w:szCs w:val="32"/>
        </w:rPr>
      </w:pPr>
      <w:r>
        <w:rPr>
          <w:rFonts w:hint="eastAsia" w:ascii="黑体" w:hAnsi="黑体" w:eastAsia="黑体"/>
          <w:b/>
          <w:color w:val="000000"/>
          <w:sz w:val="32"/>
          <w:szCs w:val="32"/>
        </w:rPr>
      </w:r>
      <w:r/>
    </w:p>
    <w:p>
      <w:pPr>
        <w:pStyle w:val="1019"/>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ascii="黑体" w:hAnsi="黑体" w:eastAsia="黑体"/>
          <w:b/>
          <w:color w:val="000000"/>
          <w:sz w:val="32"/>
          <w:szCs w:val="32"/>
        </w:rPr>
      </w:pPr>
      <w:r>
        <w:rPr>
          <w:rFonts w:hint="eastAsia" w:ascii="黑体" w:hAnsi="黑体" w:eastAsia="黑体"/>
          <w:b/>
          <w:color w:val="000000"/>
          <w:sz w:val="32"/>
          <w:szCs w:val="32"/>
        </w:rPr>
      </w:r>
      <w:r/>
    </w:p>
    <w:p>
      <w:pPr>
        <w:pStyle w:val="1019"/>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ascii="黑体" w:hAnsi="黑体" w:eastAsia="黑体"/>
          <w:b/>
          <w:color w:val="000000"/>
          <w:sz w:val="32"/>
          <w:szCs w:val="32"/>
        </w:rPr>
      </w:pPr>
      <w:r>
        <w:rPr>
          <w:rFonts w:hint="eastAsia" w:ascii="黑体" w:hAnsi="黑体" w:eastAsia="黑体"/>
          <w:b/>
          <w:color w:val="000000"/>
          <w:sz w:val="32"/>
          <w:szCs w:val="32"/>
        </w:rPr>
      </w:r>
      <w:r/>
    </w:p>
    <w:p>
      <w:pPr>
        <w:pStyle w:val="1019"/>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ascii="黑体" w:hAnsi="黑体" w:eastAsia="黑体"/>
          <w:b/>
          <w:color w:val="000000"/>
          <w:sz w:val="32"/>
          <w:szCs w:val="32"/>
        </w:rPr>
      </w:pPr>
      <w:r>
        <w:rPr>
          <w:rFonts w:hint="eastAsia" w:ascii="黑体" w:hAnsi="黑体" w:eastAsia="黑体"/>
          <w:b/>
          <w:color w:val="000000"/>
          <w:sz w:val="32"/>
          <w:szCs w:val="32"/>
        </w:rPr>
      </w:r>
      <w:r/>
    </w:p>
    <w:p>
      <w:pPr>
        <w:pStyle w:val="1019"/>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ascii="黑体" w:hAnsi="黑体" w:eastAsia="黑体"/>
          <w:b/>
          <w:color w:val="000000"/>
          <w:sz w:val="32"/>
          <w:szCs w:val="32"/>
        </w:rPr>
      </w:pPr>
      <w:r>
        <w:rPr>
          <w:rFonts w:hint="eastAsia" w:ascii="黑体" w:hAnsi="黑体" w:eastAsia="黑体"/>
          <w:b/>
          <w:color w:val="000000"/>
          <w:sz w:val="32"/>
          <w:szCs w:val="32"/>
        </w:rPr>
      </w:r>
      <w:r/>
    </w:p>
    <w:p>
      <w:pPr>
        <w:pStyle w:val="1019"/>
        <w:rPr>
          <w:rFonts w:hint="eastAsia" w:ascii="黑体" w:hAnsi="黑体" w:eastAsia="黑体"/>
          <w:b/>
          <w:color w:val="000000"/>
          <w:sz w:val="32"/>
          <w:szCs w:val="32"/>
        </w:rPr>
      </w:pPr>
      <w:r>
        <w:rPr>
          <w:rFonts w:hint="eastAsia" w:ascii="黑体" w:hAnsi="黑体" w:eastAsia="黑体"/>
          <w:b/>
          <w:color w:val="000000"/>
          <w:sz w:val="32"/>
          <w:szCs w:val="32"/>
        </w:rPr>
      </w:r>
      <w:r/>
    </w:p>
    <w:p>
      <w:pPr>
        <w:pStyle w:val="1087"/>
        <w:rPr>
          <w:rFonts w:hint="eastAsia"/>
        </w:rPr>
      </w:pPr>
      <w:r>
        <w:rPr>
          <w:rFonts w:hint="eastAsia"/>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1019"/>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1019"/>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1019"/>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1019"/>
        <w:jc w:val="center"/>
        <w:pageBreakBefore w:val="0"/>
        <w:spacing w:line="240" w:lineRule="auto"/>
        <w:rPr>
          <w:rFonts w:ascii="宋体" w:hAnsi="宋体" w:cs="仿宋"/>
          <w:b/>
          <w:bCs/>
          <w:sz w:val="32"/>
          <w:szCs w:val="32"/>
        </w:rPr>
      </w:pPr>
      <w:r/>
      <w:bookmarkStart w:id="260" w:name="_Toc19036_WPSOffice_Level1"/>
      <w:r>
        <w:rPr>
          <w:rFonts w:hint="eastAsia" w:ascii="宋体" w:hAnsi="宋体" w:cs="仿宋"/>
          <w:b/>
          <w:bCs/>
          <w:sz w:val="32"/>
          <w:szCs w:val="32"/>
        </w:rPr>
        <w:t xml:space="preserve">质疑函范本</w:t>
      </w:r>
      <w:bookmarkEnd w:id="260"/>
      <w:r>
        <w:rPr>
          <w:rFonts w:ascii="宋体" w:hAnsi="宋体" w:cs="仿宋"/>
          <w:b/>
          <w:bCs/>
          <w:sz w:val="32"/>
          <w:szCs w:val="32"/>
        </w:rPr>
      </w:r>
      <w:r/>
    </w:p>
    <w:p>
      <w:pPr>
        <w:pStyle w:val="1019"/>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19"/>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19"/>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19"/>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19"/>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19"/>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19"/>
        <w:pageBreakBefore w:val="0"/>
        <w:spacing w:line="240" w:lineRule="auto"/>
        <w:rPr>
          <w:rFonts w:hint="eastAsia" w:ascii="宋体" w:hAnsi="宋体"/>
          <w:b/>
          <w:sz w:val="24"/>
          <w:szCs w:val="24"/>
        </w:rPr>
      </w:pPr>
      <w:r>
        <w:rPr>
          <w:rFonts w:hint="eastAsia" w:ascii="宋体" w:hAnsi="宋体"/>
          <w:b/>
          <w:sz w:val="24"/>
          <w:szCs w:val="24"/>
        </w:rPr>
      </w:r>
      <w:r/>
    </w:p>
    <w:p>
      <w:pPr>
        <w:pStyle w:val="1019"/>
        <w:pageBreakBefore w:val="0"/>
        <w:spacing w:line="240" w:lineRule="auto"/>
        <w:rPr>
          <w:rFonts w:hint="eastAsia" w:ascii="宋体" w:hAnsi="宋体"/>
          <w:b/>
          <w:sz w:val="24"/>
          <w:szCs w:val="24"/>
        </w:rPr>
      </w:pPr>
      <w:r>
        <w:rPr>
          <w:rFonts w:hint="eastAsia" w:ascii="宋体" w:hAnsi="宋体"/>
          <w:b/>
          <w:sz w:val="24"/>
          <w:szCs w:val="24"/>
        </w:rPr>
      </w:r>
      <w:r/>
    </w:p>
    <w:p>
      <w:pPr>
        <w:pStyle w:val="1019"/>
        <w:pageBreakBefore w:val="0"/>
        <w:spacing w:line="240" w:lineRule="auto"/>
        <w:rPr>
          <w:rFonts w:hint="eastAsia" w:ascii="宋体" w:hAnsi="宋体"/>
          <w:b/>
          <w:sz w:val="24"/>
          <w:szCs w:val="24"/>
        </w:rPr>
      </w:pPr>
      <w:r>
        <w:rPr>
          <w:rFonts w:hint="eastAsia" w:ascii="宋体" w:hAnsi="宋体"/>
          <w:b/>
          <w:sz w:val="24"/>
          <w:szCs w:val="24"/>
        </w:rPr>
      </w:r>
      <w:r/>
    </w:p>
    <w:p>
      <w:pPr>
        <w:pStyle w:val="1087"/>
        <w:rPr>
          <w:rFonts w:hint="eastAsia" w:ascii="宋体" w:hAnsi="宋体"/>
          <w:b/>
          <w:sz w:val="24"/>
          <w:szCs w:val="24"/>
        </w:rPr>
      </w:pPr>
      <w:r>
        <w:rPr>
          <w:rFonts w:hint="eastAsia" w:ascii="宋体" w:hAnsi="宋体"/>
          <w:b/>
          <w:sz w:val="24"/>
          <w:szCs w:val="24"/>
        </w:rPr>
      </w:r>
      <w:r/>
    </w:p>
    <w:p>
      <w:pPr>
        <w:pStyle w:val="1019"/>
        <w:rPr>
          <w:rFonts w:hint="eastAsia" w:ascii="宋体" w:hAnsi="宋体"/>
          <w:b/>
          <w:sz w:val="24"/>
          <w:szCs w:val="24"/>
        </w:rPr>
      </w:pPr>
      <w:r>
        <w:rPr>
          <w:rFonts w:hint="eastAsia" w:ascii="宋体" w:hAnsi="宋体"/>
          <w:b/>
          <w:sz w:val="24"/>
          <w:szCs w:val="24"/>
        </w:rPr>
      </w:r>
      <w:r/>
    </w:p>
    <w:p>
      <w:pPr>
        <w:pStyle w:val="1087"/>
        <w:rPr>
          <w:rFonts w:hint="eastAsia" w:ascii="宋体" w:hAnsi="宋体"/>
          <w:b/>
          <w:sz w:val="24"/>
          <w:szCs w:val="24"/>
        </w:rPr>
      </w:pPr>
      <w:r>
        <w:rPr>
          <w:rFonts w:hint="eastAsia" w:ascii="宋体" w:hAnsi="宋体"/>
          <w:b/>
          <w:sz w:val="24"/>
          <w:szCs w:val="24"/>
        </w:rPr>
      </w:r>
      <w:r/>
    </w:p>
    <w:p>
      <w:pPr>
        <w:pStyle w:val="1019"/>
        <w:rPr>
          <w:rFonts w:hint="eastAsia" w:ascii="宋体" w:hAnsi="宋体"/>
          <w:b/>
          <w:sz w:val="24"/>
          <w:szCs w:val="24"/>
        </w:rPr>
      </w:pPr>
      <w:r>
        <w:rPr>
          <w:rFonts w:hint="eastAsia" w:ascii="宋体" w:hAnsi="宋体"/>
          <w:b/>
          <w:sz w:val="24"/>
          <w:szCs w:val="24"/>
        </w:rPr>
      </w:r>
      <w:r/>
    </w:p>
    <w:p>
      <w:pPr>
        <w:pStyle w:val="1087"/>
        <w:rPr>
          <w:rFonts w:hint="eastAsia"/>
        </w:rPr>
      </w:pPr>
      <w:r>
        <w:rPr>
          <w:rFonts w:hint="eastAsia"/>
        </w:rPr>
      </w:r>
      <w:r/>
    </w:p>
    <w:p>
      <w:pPr>
        <w:pStyle w:val="1019"/>
        <w:pageBreakBefore w:val="0"/>
        <w:spacing w:line="240" w:lineRule="auto"/>
        <w:rPr>
          <w:rFonts w:hint="eastAsia" w:ascii="宋体" w:hAnsi="宋体"/>
          <w:b/>
          <w:sz w:val="24"/>
          <w:szCs w:val="24"/>
        </w:rPr>
      </w:pPr>
      <w:r>
        <w:rPr>
          <w:rFonts w:hint="eastAsia" w:ascii="宋体" w:hAnsi="宋体"/>
          <w:b/>
          <w:sz w:val="24"/>
          <w:szCs w:val="24"/>
        </w:rPr>
      </w:r>
      <w:r/>
    </w:p>
    <w:p>
      <w:pPr>
        <w:pStyle w:val="1019"/>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19"/>
        <w:ind w:firstLine="480"/>
        <w:jc w:val="left"/>
        <w:pageBreakBefore w:val="0"/>
        <w:spacing w:line="24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88"/>
        <w:pageBreakBefore w:val="0"/>
        <w:spacing w:line="240" w:lineRule="auto"/>
        <w:rPr>
          <w:rFonts w:hint="eastAsia"/>
          <w:sz w:val="24"/>
          <w:szCs w:val="24"/>
        </w:rPr>
      </w:pPr>
      <w:r>
        <w:rPr>
          <w:rFonts w:hint="eastAsia"/>
          <w:sz w:val="24"/>
          <w:szCs w:val="24"/>
        </w:rPr>
      </w:r>
      <w:r/>
    </w:p>
    <w:p>
      <w:pPr>
        <w:pStyle w:val="1088"/>
        <w:pageBreakBefore w:val="0"/>
        <w:spacing w:line="240" w:lineRule="auto"/>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汉仪书宋二S">
    <w:panose1 w:val="020B0503020202020204"/>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Tahoma">
    <w:panose1 w:val="020B060403050404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28 -</w:t>
                          </w:r>
                          <w:r>
                            <w:fldChar w:fldCharType="end"/>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28 -</w:t>
                    </w:r>
                    <w:r>
                      <w:fldChar w:fldCharType="end"/>
                    </w:r>
                    <w:r/>
                  </w:p>
                  <w:p>
                    <w:pPr>
                      <w:pStyle w:val="1019"/>
                    </w:pPr>
                    <w:r/>
                    <w:r/>
                  </w:p>
                </w:txbxContent>
              </v:textbox>
            </v:shape>
          </w:pict>
        </mc:Fallback>
      </mc:AlternateContent>
    </w:r>
    <w:r/>
  </w:p>
  <w:p>
    <w:pPr>
      <w:pStyle w:val="1090"/>
      <w:tabs>
        <w:tab w:val="center" w:pos="4153" w:leader="none"/>
        <w:tab w:val="right" w:pos="8306" w:leader="none"/>
      </w:tabs>
    </w:pPr>
    <w:r/>
    <w:r/>
  </w:p>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90"/>
      <w:tabs>
        <w:tab w:val="center" w:pos="4153" w:leader="none"/>
        <w:tab w:val="right" w:pos="8306" w:leader="none"/>
      </w:tabs>
    </w:pPr>
    <w:r/>
    <w:r/>
  </w:p>
  <w:p>
    <w:pPr>
      <w:pStyle w:val="10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1019"/>
                    </w:pPr>
                    <w:r/>
                    <w:r/>
                  </w:p>
                </w:txbxContent>
              </v:textbox>
            </v:shape>
          </w:pict>
        </mc:Fallback>
      </mc:AlternateContent>
    </w:r>
    <w:r/>
  </w:p>
  <w:p>
    <w:pPr>
      <w:pStyle w:val="1090"/>
      <w:jc w:val="center"/>
      <w:tabs>
        <w:tab w:val="center" w:pos="4153" w:leader="none"/>
        <w:tab w:val="right" w:pos="8306" w:leader="none"/>
      </w:tabs>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rPr>
        <w:rStyle w:val="1048"/>
      </w:rPr>
    </w:r>
    <w:r/>
  </w:p>
  <w:p>
    <w:pPr>
      <w:pStyle w:val="10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19"/>
        <w:ind w:left="900" w:hanging="900"/>
        <w:tabs>
          <w:tab w:val="num" w:pos="900" w:leader="none"/>
        </w:tabs>
      </w:pPr>
      <w:rPr>
        <w:rFonts w:hint="eastAsia"/>
      </w:rPr>
    </w:lvl>
    <w:lvl w:ilvl="1">
      <w:start w:val="1"/>
      <w:numFmt w:val="decimal"/>
      <w:isLgl w:val="false"/>
      <w:suff w:val="tab"/>
      <w:lvlText w:val="%1.%2"/>
      <w:lvlJc w:val="left"/>
      <w:pPr>
        <w:pStyle w:val="10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9"/>
        <w:ind w:left="1980" w:hanging="900"/>
        <w:tabs>
          <w:tab w:val="num" w:pos="1980" w:leader="none"/>
        </w:tabs>
      </w:pPr>
      <w:rPr>
        <w:rFonts w:hint="eastAsia"/>
      </w:rPr>
    </w:lvl>
    <w:lvl w:ilvl="3">
      <w:start w:val="1"/>
      <w:numFmt w:val="decimal"/>
      <w:isLgl w:val="false"/>
      <w:suff w:val="tab"/>
      <w:lvlText w:val="%1.%2.%3.%4"/>
      <w:lvlJc w:val="left"/>
      <w:pPr>
        <w:pStyle w:val="1019"/>
        <w:ind w:left="900" w:hanging="900"/>
        <w:tabs>
          <w:tab w:val="num" w:pos="900" w:leader="none"/>
        </w:tabs>
      </w:pPr>
      <w:rPr>
        <w:rFonts w:hint="eastAsia"/>
      </w:rPr>
    </w:lvl>
    <w:lvl w:ilvl="4">
      <w:start w:val="1"/>
      <w:numFmt w:val="decimal"/>
      <w:isLgl w:val="false"/>
      <w:suff w:val="tab"/>
      <w:lvlText w:val="%1.%2.%3.%4.%5"/>
      <w:lvlJc w:val="left"/>
      <w:pPr>
        <w:pStyle w:val="1019"/>
        <w:ind w:left="900" w:hanging="900"/>
        <w:tabs>
          <w:tab w:val="num" w:pos="900" w:leader="none"/>
        </w:tabs>
      </w:pPr>
      <w:rPr>
        <w:rFonts w:hint="eastAsia"/>
      </w:rPr>
    </w:lvl>
    <w:lvl w:ilvl="5">
      <w:start w:val="1"/>
      <w:numFmt w:val="decimal"/>
      <w:isLgl w:val="false"/>
      <w:suff w:val="tab"/>
      <w:lvlText w:val="%1.%2.%3.%4.%5.%6"/>
      <w:lvlJc w:val="left"/>
      <w:pPr>
        <w:pStyle w:val="1019"/>
        <w:ind w:left="900" w:hanging="900"/>
        <w:tabs>
          <w:tab w:val="num" w:pos="900" w:leader="none"/>
        </w:tabs>
      </w:pPr>
      <w:rPr>
        <w:rFonts w:hint="eastAsia"/>
      </w:rPr>
    </w:lvl>
    <w:lvl w:ilvl="6">
      <w:start w:val="1"/>
      <w:numFmt w:val="decimal"/>
      <w:isLgl w:val="false"/>
      <w:suff w:val="tab"/>
      <w:lvlText w:val="%1.%2.%3.%4.%5.%6.%7"/>
      <w:lvlJc w:val="left"/>
      <w:pPr>
        <w:pStyle w:val="1019"/>
        <w:ind w:left="900" w:hanging="900"/>
        <w:tabs>
          <w:tab w:val="num" w:pos="900" w:leader="none"/>
        </w:tabs>
      </w:pPr>
      <w:rPr>
        <w:rFonts w:hint="eastAsia"/>
      </w:rPr>
    </w:lvl>
    <w:lvl w:ilvl="7">
      <w:start w:val="1"/>
      <w:numFmt w:val="decimal"/>
      <w:isLgl w:val="false"/>
      <w:suff w:val="tab"/>
      <w:lvlText w:val="%1.%2.%3.%4.%5.%6.%7.%8"/>
      <w:lvlJc w:val="left"/>
      <w:pPr>
        <w:pStyle w:val="1019"/>
        <w:ind w:left="900" w:hanging="900"/>
        <w:tabs>
          <w:tab w:val="num" w:pos="900" w:leader="none"/>
        </w:tabs>
      </w:pPr>
      <w:rPr>
        <w:rFonts w:hint="eastAsia"/>
      </w:rPr>
    </w:lvl>
    <w:lvl w:ilvl="8">
      <w:start w:val="1"/>
      <w:numFmt w:val="decimal"/>
      <w:isLgl w:val="false"/>
      <w:suff w:val="tab"/>
      <w:lvlText w:val="%1.%2.%3.%4.%5.%6.%7.%8.%9"/>
      <w:lvlJc w:val="left"/>
      <w:pPr>
        <w:pStyle w:val="1019"/>
        <w:ind w:left="900" w:hanging="900"/>
        <w:tabs>
          <w:tab w:val="num" w:pos="900" w:leader="none"/>
        </w:tabs>
      </w:pPr>
      <w:rPr>
        <w:rFonts w:hint="eastAsia"/>
      </w:rPr>
    </w:lvl>
  </w:abstractNum>
  <w:abstractNum w:abstractNumId="8">
    <w:multiLevelType w:val="hybridMultilevel"/>
    <w:lvl w:ilvl="0">
      <w:start w:val="1"/>
      <w:numFmt w:val="upperLetter"/>
      <w:pStyle w:val="1115"/>
      <w:isLgl w:val="false"/>
      <w:suff w:val="tab"/>
      <w:lvlText w:val="附录%1."/>
      <w:lvlJc w:val="left"/>
      <w:pPr>
        <w:pStyle w:val="10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19"/>
        <w:ind w:left="500" w:hanging="500"/>
      </w:pPr>
    </w:lvl>
    <w:lvl w:ilvl="1">
      <w:start w:val="1"/>
      <w:numFmt w:val="lowerLetter"/>
      <w:isLgl w:val="false"/>
      <w:suff w:val="tab"/>
      <w:lvlText w:val="%2)"/>
      <w:lvlJc w:val="left"/>
      <w:pPr>
        <w:pStyle w:val="1019"/>
        <w:ind w:left="840" w:hanging="420"/>
      </w:pPr>
    </w:lvl>
    <w:lvl w:ilvl="2">
      <w:start w:val="1"/>
      <w:numFmt w:val="lowerRoman"/>
      <w:isLgl w:val="false"/>
      <w:suff w:val="tab"/>
      <w:lvlText w:val="%3."/>
      <w:lvlJc w:val="right"/>
      <w:pPr>
        <w:pStyle w:val="1019"/>
        <w:ind w:left="1260" w:hanging="420"/>
      </w:pPr>
    </w:lvl>
    <w:lvl w:ilvl="3">
      <w:start w:val="1"/>
      <w:numFmt w:val="decimal"/>
      <w:isLgl w:val="false"/>
      <w:suff w:val="tab"/>
      <w:lvlText w:val="%4."/>
      <w:lvlJc w:val="left"/>
      <w:pPr>
        <w:pStyle w:val="1019"/>
        <w:ind w:left="1680" w:hanging="420"/>
      </w:pPr>
    </w:lvl>
    <w:lvl w:ilvl="4">
      <w:start w:val="1"/>
      <w:numFmt w:val="lowerLetter"/>
      <w:isLgl w:val="false"/>
      <w:suff w:val="tab"/>
      <w:lvlText w:val="%5)"/>
      <w:lvlJc w:val="left"/>
      <w:pPr>
        <w:pStyle w:val="1019"/>
        <w:ind w:left="2100" w:hanging="420"/>
      </w:pPr>
    </w:lvl>
    <w:lvl w:ilvl="5">
      <w:start w:val="1"/>
      <w:numFmt w:val="lowerRoman"/>
      <w:isLgl w:val="false"/>
      <w:suff w:val="tab"/>
      <w:lvlText w:val="%6."/>
      <w:lvlJc w:val="right"/>
      <w:pPr>
        <w:pStyle w:val="1019"/>
        <w:ind w:left="2520" w:hanging="420"/>
      </w:pPr>
    </w:lvl>
    <w:lvl w:ilvl="6">
      <w:start w:val="1"/>
      <w:numFmt w:val="decimal"/>
      <w:isLgl w:val="false"/>
      <w:suff w:val="tab"/>
      <w:lvlText w:val="%7."/>
      <w:lvlJc w:val="left"/>
      <w:pPr>
        <w:pStyle w:val="1019"/>
        <w:ind w:left="2940" w:hanging="420"/>
      </w:pPr>
    </w:lvl>
    <w:lvl w:ilvl="7">
      <w:start w:val="1"/>
      <w:numFmt w:val="lowerLetter"/>
      <w:isLgl w:val="false"/>
      <w:suff w:val="tab"/>
      <w:lvlText w:val="%8)"/>
      <w:lvlJc w:val="left"/>
      <w:pPr>
        <w:pStyle w:val="1019"/>
        <w:ind w:left="3360" w:hanging="420"/>
      </w:pPr>
    </w:lvl>
    <w:lvl w:ilvl="8">
      <w:start w:val="1"/>
      <w:numFmt w:val="lowerRoman"/>
      <w:isLgl w:val="false"/>
      <w:suff w:val="tab"/>
      <w:lvlText w:val="%9."/>
      <w:lvlJc w:val="right"/>
      <w:pPr>
        <w:pStyle w:val="1019"/>
        <w:ind w:left="3780" w:hanging="420"/>
      </w:pPr>
    </w:lvl>
  </w:abstractNum>
  <w:abstractNum w:abstractNumId="10">
    <w:multiLevelType w:val="hybridMultilevel"/>
    <w:lvl w:ilvl="0">
      <w:start w:val="1"/>
      <w:numFmt w:val="decimal"/>
      <w:pStyle w:val="1134"/>
      <w:isLgl w:val="false"/>
      <w:suff w:val="tab"/>
      <w:lvlText w:val="%1."/>
      <w:lvlJc w:val="left"/>
      <w:pPr>
        <w:pStyle w:val="1019"/>
        <w:ind w:left="709" w:hanging="709"/>
        <w:tabs>
          <w:tab w:val="num" w:pos="709" w:leader="none"/>
        </w:tabs>
      </w:pPr>
      <w:rPr>
        <w:rFonts w:hint="eastAsia"/>
      </w:rPr>
    </w:lvl>
    <w:lvl w:ilvl="1">
      <w:start w:val="1"/>
      <w:numFmt w:val="decimal"/>
      <w:isLgl w:val="false"/>
      <w:suff w:val="tab"/>
      <w:lvlText w:val="%1.%2"/>
      <w:lvlJc w:val="left"/>
      <w:pPr>
        <w:pStyle w:val="1019"/>
        <w:ind w:left="709" w:hanging="709"/>
        <w:tabs>
          <w:tab w:val="num" w:pos="709" w:leader="none"/>
        </w:tabs>
      </w:pPr>
      <w:rPr>
        <w:rFonts w:hint="eastAsia"/>
      </w:rPr>
    </w:lvl>
    <w:lvl w:ilvl="2">
      <w:start w:val="1"/>
      <w:numFmt w:val="decimal"/>
      <w:isLgl w:val="false"/>
      <w:suff w:val="tab"/>
      <w:lvlText w:val="%1.%2.%3."/>
      <w:lvlJc w:val="left"/>
      <w:pPr>
        <w:pStyle w:val="1019"/>
        <w:ind w:left="425" w:hanging="425"/>
        <w:tabs>
          <w:tab w:val="num" w:pos="425" w:leader="none"/>
        </w:tabs>
      </w:pPr>
      <w:rPr>
        <w:rFonts w:hint="eastAsia"/>
      </w:rPr>
    </w:lvl>
    <w:lvl w:ilvl="3">
      <w:start w:val="1"/>
      <w:numFmt w:val="decimal"/>
      <w:isLgl w:val="false"/>
      <w:suff w:val="tab"/>
      <w:lvlText w:val="%1.%2.%3.%4."/>
      <w:lvlJc w:val="left"/>
      <w:pPr>
        <w:pStyle w:val="1019"/>
        <w:ind w:left="851" w:hanging="851"/>
        <w:tabs>
          <w:tab w:val="num" w:pos="851" w:leader="none"/>
        </w:tabs>
      </w:pPr>
      <w:rPr>
        <w:rFonts w:hint="eastAsia"/>
      </w:rPr>
    </w:lvl>
    <w:lvl w:ilvl="4">
      <w:start w:val="1"/>
      <w:numFmt w:val="decimal"/>
      <w:isLgl w:val="false"/>
      <w:suff w:val="tab"/>
      <w:lvlText w:val="%1.%2.%3.%4.%5."/>
      <w:lvlJc w:val="left"/>
      <w:pPr>
        <w:pStyle w:val="1019"/>
        <w:ind w:left="992" w:hanging="992"/>
        <w:tabs>
          <w:tab w:val="num" w:pos="992" w:leader="none"/>
        </w:tabs>
      </w:pPr>
      <w:rPr>
        <w:rFonts w:hint="eastAsia"/>
      </w:rPr>
    </w:lvl>
    <w:lvl w:ilvl="5">
      <w:start w:val="1"/>
      <w:numFmt w:val="decimal"/>
      <w:isLgl w:val="false"/>
      <w:suff w:val="tab"/>
      <w:lvlText w:val="%1.%2.%3.%4.%5.%6."/>
      <w:lvlJc w:val="left"/>
      <w:pPr>
        <w:pStyle w:val="1019"/>
        <w:ind w:left="1134" w:hanging="1134"/>
        <w:tabs>
          <w:tab w:val="num" w:pos="1134" w:leader="none"/>
        </w:tabs>
      </w:pPr>
      <w:rPr>
        <w:rFonts w:hint="eastAsia"/>
      </w:rPr>
    </w:lvl>
    <w:lvl w:ilvl="6">
      <w:start w:val="1"/>
      <w:numFmt w:val="decimal"/>
      <w:isLgl w:val="false"/>
      <w:suff w:val="tab"/>
      <w:lvlText w:val="%1.%2.%3.%4.%5.%6.%7."/>
      <w:lvlJc w:val="left"/>
      <w:pPr>
        <w:pStyle w:val="1019"/>
        <w:ind w:left="1276" w:hanging="1276"/>
        <w:tabs>
          <w:tab w:val="num" w:pos="1276" w:leader="none"/>
        </w:tabs>
      </w:pPr>
      <w:rPr>
        <w:rFonts w:hint="eastAsia"/>
      </w:rPr>
    </w:lvl>
    <w:lvl w:ilvl="7">
      <w:start w:val="1"/>
      <w:numFmt w:val="decimal"/>
      <w:isLgl w:val="false"/>
      <w:suff w:val="tab"/>
      <w:lvlText w:val="%1.%2.%3.%4.%5.%6.%7.%8."/>
      <w:lvlJc w:val="left"/>
      <w:pPr>
        <w:pStyle w:val="1019"/>
        <w:ind w:left="1418" w:hanging="1418"/>
        <w:tabs>
          <w:tab w:val="num" w:pos="1418" w:leader="none"/>
        </w:tabs>
      </w:pPr>
      <w:rPr>
        <w:rFonts w:hint="eastAsia"/>
      </w:rPr>
    </w:lvl>
    <w:lvl w:ilvl="8">
      <w:start w:val="1"/>
      <w:numFmt w:val="decimal"/>
      <w:isLgl w:val="false"/>
      <w:suff w:val="tab"/>
      <w:lvlText w:val="%1.%2.%3.%4.%5.%6.%7.%8.%9."/>
      <w:lvlJc w:val="left"/>
      <w:pPr>
        <w:pStyle w:val="101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1019"/>
        <w:ind w:left="0" w:firstLine="0"/>
      </w:pPr>
      <w:rPr>
        <w:rFonts w:hint="eastAsia"/>
      </w:rPr>
    </w:lvl>
    <w:lvl w:ilvl="1">
      <w:start w:val="1"/>
      <w:numFmt w:val="decimal"/>
      <w:isLgl w:val="false"/>
      <w:suff w:val="nothing"/>
      <w:lvlText w:val="%2、"/>
      <w:lvlJc w:val="left"/>
      <w:pPr>
        <w:pStyle w:val="1019"/>
        <w:ind w:left="0" w:firstLine="0"/>
      </w:pPr>
      <w:rPr>
        <w:rFonts w:hint="eastAsia"/>
      </w:rPr>
    </w:lvl>
    <w:lvl w:ilvl="2">
      <w:start w:val="1"/>
      <w:numFmt w:val="decimal"/>
      <w:isLgl w:val="false"/>
      <w:suff w:val="nothing"/>
      <w:lvlText w:val="%2.%3 "/>
      <w:lvlJc w:val="left"/>
      <w:pPr>
        <w:pStyle w:val="1019"/>
        <w:ind w:left="0" w:firstLine="0"/>
      </w:pPr>
      <w:rPr>
        <w:rFonts w:hint="eastAsia"/>
      </w:rPr>
    </w:lvl>
    <w:lvl w:ilvl="3">
      <w:start w:val="1"/>
      <w:numFmt w:val="decimal"/>
      <w:isLgl w:val="false"/>
      <w:suff w:val="nothing"/>
      <w:lvlText w:val="%2.%3.%4 "/>
      <w:lvlJc w:val="left"/>
      <w:pPr>
        <w:pStyle w:val="1019"/>
        <w:ind w:left="0" w:firstLine="0"/>
      </w:pPr>
      <w:rPr>
        <w:rFonts w:hint="eastAsia"/>
      </w:rPr>
    </w:lvl>
    <w:lvl w:ilvl="4">
      <w:start w:val="1"/>
      <w:numFmt w:val="decimal"/>
      <w:isLgl w:val="false"/>
      <w:suff w:val="nothing"/>
      <w:lvlText w:val="%2.%3.%4.%5 "/>
      <w:lvlJc w:val="left"/>
      <w:pPr>
        <w:pStyle w:val="1019"/>
        <w:ind w:left="0" w:firstLine="0"/>
      </w:pPr>
      <w:rPr>
        <w:rFonts w:hint="eastAsia"/>
      </w:rPr>
    </w:lvl>
    <w:lvl w:ilvl="5">
      <w:start w:val="1"/>
      <w:numFmt w:val="decimal"/>
      <w:pStyle w:val="1025"/>
      <w:isLgl w:val="false"/>
      <w:suff w:val="nothing"/>
      <w:lvlText w:val=""/>
      <w:lvlJc w:val="left"/>
      <w:pPr>
        <w:pStyle w:val="1019"/>
        <w:ind w:left="0" w:firstLine="0"/>
      </w:pPr>
      <w:rPr>
        <w:rFonts w:hint="eastAsia"/>
      </w:rPr>
    </w:lvl>
    <w:lvl w:ilvl="6">
      <w:start w:val="1"/>
      <w:numFmt w:val="decimal"/>
      <w:pStyle w:val="1026"/>
      <w:isLgl w:val="false"/>
      <w:suff w:val="nothing"/>
      <w:lvlText w:val=""/>
      <w:lvlJc w:val="left"/>
      <w:pPr>
        <w:pStyle w:val="1019"/>
        <w:ind w:left="0" w:firstLine="0"/>
      </w:pPr>
      <w:rPr>
        <w:rFonts w:hint="eastAsia"/>
      </w:rPr>
    </w:lvl>
    <w:lvl w:ilvl="7">
      <w:start w:val="1"/>
      <w:numFmt w:val="decimal"/>
      <w:pStyle w:val="1027"/>
      <w:isLgl w:val="false"/>
      <w:suff w:val="nothing"/>
      <w:lvlText w:val=""/>
      <w:lvlJc w:val="left"/>
      <w:pPr>
        <w:pStyle w:val="1019"/>
        <w:ind w:left="0" w:firstLine="0"/>
      </w:pPr>
      <w:rPr>
        <w:rFonts w:hint="eastAsia"/>
      </w:rPr>
    </w:lvl>
    <w:lvl w:ilvl="8">
      <w:start w:val="1"/>
      <w:numFmt w:val="decimal"/>
      <w:pStyle w:val="1028"/>
      <w:isLgl w:val="false"/>
      <w:suff w:val="nothing"/>
      <w:lvlText w:val=""/>
      <w:lvlJc w:val="left"/>
      <w:pPr>
        <w:pStyle w:val="1019"/>
        <w:ind w:left="0" w:firstLine="0"/>
      </w:pPr>
      <w:rPr>
        <w:rFonts w:hint="eastAsia"/>
      </w:rPr>
    </w:lvl>
  </w:abstractNum>
  <w:abstractNum w:abstractNumId="12">
    <w:multiLevelType w:val="hybridMultilevel"/>
    <w:lvl w:ilvl="0">
      <w:start w:val="1"/>
      <w:numFmt w:val="decimal"/>
      <w:isLgl w:val="false"/>
      <w:suff w:val="space"/>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7"/>
  </w:num>
  <w:num w:numId="5">
    <w:abstractNumId w:val="12"/>
  </w:num>
  <w:num w:numId="6">
    <w:abstractNumId w:val="2"/>
  </w:num>
  <w:num w:numId="7">
    <w:abstractNumId w:val="6"/>
  </w:num>
  <w:num w:numId="8">
    <w:abstractNumId w:val="4"/>
  </w:num>
  <w:num w:numId="9">
    <w:abstractNumId w:val="3"/>
  </w:num>
  <w:num w:numId="10">
    <w:abstractNumId w:val="1"/>
  </w:num>
  <w:num w:numId="11">
    <w:abstractNumId w:val="5"/>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9"/>
    <w:next w:val="1019"/>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9"/>
    <w:next w:val="1019"/>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9"/>
    <w:next w:val="1019"/>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87"/>
    <w:link w:val="1019"/>
    <w:qFormat/>
    <w:pPr>
      <w:jc w:val="both"/>
      <w:widowControl w:val="off"/>
    </w:pPr>
    <w:rPr>
      <w:rFonts w:ascii="Times New Roman" w:hAnsi="Times New Roman"/>
      <w:sz w:val="21"/>
      <w:szCs w:val="21"/>
      <w:lang w:val="en-US" w:eastAsia="zh-CN" w:bidi="ar-SA"/>
    </w:rPr>
  </w:style>
  <w:style w:type="paragraph" w:styleId="1020">
    <w:name w:val="标题 1"/>
    <w:basedOn w:val="1019"/>
    <w:next w:val="1019"/>
    <w:link w:val="1060"/>
    <w:qFormat/>
    <w:pPr>
      <w:jc w:val="center"/>
      <w:keepNext/>
      <w:outlineLvl w:val="0"/>
    </w:pPr>
    <w:rPr>
      <w:rFonts w:ascii="楷体_GB2312" w:eastAsia="楷体_GB2312"/>
      <w:sz w:val="28"/>
      <w:szCs w:val="28"/>
    </w:rPr>
  </w:style>
  <w:style w:type="paragraph" w:styleId="1021">
    <w:name w:val="标题 2"/>
    <w:basedOn w:val="1019"/>
    <w:next w:val="1088"/>
    <w:link w:val="1043"/>
    <w:qFormat/>
    <w:pPr>
      <w:jc w:val="center"/>
      <w:keepLines/>
      <w:keepNext/>
      <w:spacing w:before="260" w:after="260" w:line="416" w:lineRule="auto"/>
      <w:outlineLvl w:val="1"/>
    </w:pPr>
    <w:rPr>
      <w:rFonts w:ascii="Arial" w:hAnsi="Arial" w:eastAsia="幼圆" w:cs="Arial"/>
      <w:b/>
      <w:bCs/>
      <w:sz w:val="44"/>
      <w:szCs w:val="44"/>
    </w:rPr>
  </w:style>
  <w:style w:type="paragraph" w:styleId="1022">
    <w:name w:val="标题 3"/>
    <w:basedOn w:val="1019"/>
    <w:next w:val="1088"/>
    <w:link w:val="1046"/>
    <w:qFormat/>
    <w:pPr>
      <w:keepLines/>
      <w:keepNext/>
      <w:spacing w:before="260" w:after="260" w:line="416" w:lineRule="auto"/>
      <w:outlineLvl w:val="2"/>
    </w:pPr>
    <w:rPr>
      <w:b/>
      <w:bCs/>
      <w:sz w:val="32"/>
      <w:szCs w:val="32"/>
    </w:rPr>
  </w:style>
  <w:style w:type="paragraph" w:styleId="1023">
    <w:name w:val="标题 4"/>
    <w:basedOn w:val="1019"/>
    <w:next w:val="1088"/>
    <w:link w:val="1033"/>
    <w:qFormat/>
    <w:pPr>
      <w:keepLines/>
      <w:keepNext/>
      <w:spacing w:before="280" w:after="290" w:line="376" w:lineRule="auto"/>
      <w:outlineLvl w:val="3"/>
    </w:pPr>
    <w:rPr>
      <w:rFonts w:ascii="Arial" w:hAnsi="Arial" w:eastAsia="黑体" w:cs="Arial"/>
      <w:b/>
      <w:bCs/>
      <w:sz w:val="28"/>
      <w:szCs w:val="28"/>
    </w:rPr>
  </w:style>
  <w:style w:type="paragraph" w:styleId="1024">
    <w:name w:val="标题 5"/>
    <w:basedOn w:val="1019"/>
    <w:next w:val="1088"/>
    <w:link w:val="1068"/>
    <w:qFormat/>
    <w:pPr>
      <w:keepNext/>
      <w:outlineLvl w:val="4"/>
    </w:pPr>
    <w:rPr>
      <w:rFonts w:ascii="宋体"/>
      <w:color w:val="000000"/>
      <w:sz w:val="28"/>
      <w:szCs w:val="28"/>
    </w:rPr>
  </w:style>
  <w:style w:type="paragraph" w:styleId="1025">
    <w:name w:val="标题 6"/>
    <w:basedOn w:val="1019"/>
    <w:next w:val="1019"/>
    <w:link w:val="104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6">
    <w:name w:val="标题 7"/>
    <w:basedOn w:val="1019"/>
    <w:next w:val="1019"/>
    <w:link w:val="1034"/>
    <w:qFormat/>
    <w:pPr>
      <w:numPr>
        <w:ilvl w:val="6"/>
        <w:numId w:val="1"/>
      </w:numPr>
      <w:keepLines/>
      <w:keepNext/>
      <w:spacing w:before="240" w:after="64" w:line="320" w:lineRule="auto"/>
      <w:outlineLvl w:val="6"/>
    </w:pPr>
    <w:rPr>
      <w:b/>
      <w:bCs/>
      <w:sz w:val="24"/>
      <w:szCs w:val="24"/>
    </w:rPr>
  </w:style>
  <w:style w:type="paragraph" w:styleId="1027">
    <w:name w:val="标题 8"/>
    <w:basedOn w:val="1019"/>
    <w:next w:val="1019"/>
    <w:link w:val="1031"/>
    <w:qFormat/>
    <w:pPr>
      <w:numPr>
        <w:ilvl w:val="7"/>
        <w:numId w:val="1"/>
      </w:numPr>
      <w:keepLines/>
      <w:keepNext/>
      <w:spacing w:before="240" w:after="64" w:line="320" w:lineRule="auto"/>
      <w:outlineLvl w:val="7"/>
    </w:pPr>
    <w:rPr>
      <w:rFonts w:ascii="Arial" w:hAnsi="Arial" w:eastAsia="黑体"/>
      <w:sz w:val="24"/>
      <w:szCs w:val="24"/>
    </w:rPr>
  </w:style>
  <w:style w:type="paragraph" w:styleId="1028">
    <w:name w:val="标题 9"/>
    <w:basedOn w:val="1019"/>
    <w:next w:val="1019"/>
    <w:link w:val="1050"/>
    <w:qFormat/>
    <w:pPr>
      <w:numPr>
        <w:ilvl w:val="8"/>
        <w:numId w:val="1"/>
      </w:numPr>
      <w:keepLines/>
      <w:keepNext/>
      <w:spacing w:before="240" w:after="64" w:line="320" w:lineRule="auto"/>
      <w:outlineLvl w:val="8"/>
    </w:pPr>
    <w:rPr>
      <w:rFonts w:ascii="Arial" w:hAnsi="Arial" w:eastAsia="黑体"/>
    </w:rPr>
  </w:style>
  <w:style w:type="character" w:styleId="1029">
    <w:name w:val="默认段落字体"/>
    <w:next w:val="1029"/>
    <w:link w:val="1019"/>
    <w:uiPriority w:val="1"/>
    <w:unhideWhenUsed/>
  </w:style>
  <w:style w:type="table" w:styleId="1030">
    <w:name w:val="普通表格"/>
    <w:next w:val="1030"/>
    <w:link w:val="1019"/>
    <w:uiPriority w:val="99"/>
    <w:unhideWhenUsed/>
    <w:tblPr/>
  </w:style>
  <w:style w:type="character" w:styleId="1031">
    <w:name w:val="标题 8 Char"/>
    <w:next w:val="1031"/>
    <w:link w:val="1027"/>
    <w:rPr>
      <w:rFonts w:ascii="Arial" w:hAnsi="Arial" w:eastAsia="黑体" w:cs="Times New Roman"/>
      <w:sz w:val="24"/>
      <w:szCs w:val="24"/>
    </w:rPr>
  </w:style>
  <w:style w:type="character" w:styleId="1032">
    <w:name w:val="超链接"/>
    <w:next w:val="1032"/>
    <w:link w:val="1019"/>
    <w:rPr>
      <w:color w:val="0000ff"/>
      <w:u w:val="single"/>
    </w:rPr>
  </w:style>
  <w:style w:type="character" w:styleId="1033">
    <w:name w:val="标题 4 Char"/>
    <w:next w:val="1033"/>
    <w:link w:val="1023"/>
    <w:rPr>
      <w:rFonts w:ascii="Arial" w:hAnsi="Arial" w:eastAsia="黑体" w:cs="Arial"/>
      <w:b/>
      <w:bCs/>
      <w:sz w:val="28"/>
      <w:szCs w:val="28"/>
    </w:rPr>
  </w:style>
  <w:style w:type="character" w:styleId="1034">
    <w:name w:val="标题 7 Char"/>
    <w:next w:val="1034"/>
    <w:link w:val="1026"/>
    <w:rPr>
      <w:rFonts w:ascii="Times New Roman" w:hAnsi="Times New Roman" w:eastAsia="宋体" w:cs="Times New Roman"/>
      <w:b/>
      <w:bCs/>
      <w:sz w:val="24"/>
      <w:szCs w:val="24"/>
    </w:rPr>
  </w:style>
  <w:style w:type="character" w:styleId="1035">
    <w:name w:val="批注文字 Char"/>
    <w:next w:val="1035"/>
    <w:link w:val="1086"/>
    <w:rPr>
      <w:rFonts w:ascii="Times New Roman" w:hAnsi="Times New Roman" w:eastAsia="宋体" w:cs="Times New Roman"/>
      <w:szCs w:val="21"/>
    </w:rPr>
  </w:style>
  <w:style w:type="character" w:styleId="1036">
    <w:name w:val="批注引用"/>
    <w:next w:val="1036"/>
    <w:link w:val="1019"/>
    <w:qFormat/>
    <w:rPr>
      <w:sz w:val="21"/>
      <w:szCs w:val="21"/>
    </w:rPr>
  </w:style>
  <w:style w:type="character" w:styleId="1037">
    <w:name w:val="批注框文本 Char"/>
    <w:next w:val="1037"/>
    <w:link w:val="1079"/>
    <w:semiHidden/>
    <w:rPr>
      <w:rFonts w:ascii="Times New Roman" w:hAnsi="Times New Roman" w:eastAsia="宋体" w:cs="Times New Roman"/>
      <w:sz w:val="18"/>
      <w:szCs w:val="18"/>
    </w:rPr>
  </w:style>
  <w:style w:type="character" w:styleId="1038">
    <w:name w:val="要点"/>
    <w:next w:val="1038"/>
    <w:link w:val="1019"/>
    <w:qFormat/>
    <w:rPr>
      <w:b/>
      <w:bCs/>
    </w:rPr>
  </w:style>
  <w:style w:type="character" w:styleId="1039">
    <w:name w:val="正文文本缩进 Char"/>
    <w:next w:val="1039"/>
    <w:link w:val="1089"/>
    <w:rPr>
      <w:rFonts w:ascii="楷体_GB2312" w:hAnsi="Times New Roman" w:eastAsia="楷体_GB2312" w:cs="Times New Roman"/>
      <w:sz w:val="32"/>
      <w:szCs w:val="32"/>
    </w:rPr>
  </w:style>
  <w:style w:type="character" w:styleId="1040">
    <w:name w:val="日期 Char"/>
    <w:next w:val="1040"/>
    <w:link w:val="1071"/>
    <w:rPr>
      <w:rFonts w:ascii="Times New Roman" w:hAnsi="Times New Roman" w:eastAsia="宋体" w:cs="Times New Roman"/>
      <w:sz w:val="24"/>
      <w:szCs w:val="24"/>
    </w:rPr>
  </w:style>
  <w:style w:type="character" w:styleId="1041">
    <w:name w:val="正文文本 Char"/>
    <w:next w:val="1041"/>
    <w:link w:val="1087"/>
    <w:rPr>
      <w:rFonts w:ascii="楷体_GB2312" w:hAnsi="Arial" w:eastAsia="楷体_GB2312" w:cs="Times New Roman"/>
      <w:sz w:val="28"/>
      <w:szCs w:val="28"/>
    </w:rPr>
  </w:style>
  <w:style w:type="character" w:styleId="1042">
    <w:name w:val="正文文本缩进 2 Char"/>
    <w:next w:val="1042"/>
    <w:link w:val="1091"/>
    <w:rPr>
      <w:rFonts w:ascii="Arial" w:hAnsi="Arial" w:eastAsia="仿宋_GB2312" w:cs="Arial"/>
      <w:sz w:val="32"/>
      <w:szCs w:val="32"/>
    </w:rPr>
  </w:style>
  <w:style w:type="character" w:styleId="1043">
    <w:name w:val="标题 2 Char"/>
    <w:next w:val="1043"/>
    <w:link w:val="1021"/>
    <w:rPr>
      <w:rFonts w:ascii="Arial" w:hAnsi="Arial" w:eastAsia="幼圆" w:cs="Arial"/>
      <w:b/>
      <w:bCs/>
      <w:sz w:val="44"/>
      <w:szCs w:val="44"/>
    </w:rPr>
  </w:style>
  <w:style w:type="character" w:styleId="1044">
    <w:name w:val="font21"/>
    <w:basedOn w:val="1029"/>
    <w:next w:val="1044"/>
    <w:link w:val="1019"/>
    <w:qFormat/>
    <w:rPr>
      <w:rFonts w:hint="eastAsia" w:ascii="宋体" w:hAnsi="宋体" w:eastAsia="宋体" w:cs="宋体"/>
      <w:color w:val="000000"/>
      <w:sz w:val="18"/>
      <w:szCs w:val="18"/>
      <w:u w:val="none"/>
    </w:rPr>
  </w:style>
  <w:style w:type="character" w:styleId="1045">
    <w:name w:val="font5 Char"/>
    <w:next w:val="1045"/>
    <w:link w:val="1019"/>
    <w:rPr>
      <w:rFonts w:ascii="宋体" w:hAnsi="宋体" w:eastAsia="宋体"/>
      <w:sz w:val="28"/>
      <w:szCs w:val="28"/>
      <w:lang w:val="en-US" w:eastAsia="zh-CN" w:bidi="ar-SA"/>
    </w:rPr>
  </w:style>
  <w:style w:type="character" w:styleId="1046">
    <w:name w:val="标题 3 Char"/>
    <w:next w:val="1046"/>
    <w:link w:val="1022"/>
    <w:rPr>
      <w:rFonts w:ascii="Times New Roman" w:hAnsi="Times New Roman" w:eastAsia="宋体" w:cs="Times New Roman"/>
      <w:b/>
      <w:bCs/>
      <w:sz w:val="32"/>
      <w:szCs w:val="32"/>
    </w:rPr>
  </w:style>
  <w:style w:type="character" w:styleId="1047">
    <w:name w:val="页眉 Char"/>
    <w:next w:val="1047"/>
    <w:link w:val="1094"/>
    <w:rPr>
      <w:rFonts w:ascii="Times New Roman" w:hAnsi="Times New Roman" w:eastAsia="宋体" w:cs="Times New Roman"/>
      <w:sz w:val="18"/>
      <w:szCs w:val="18"/>
    </w:rPr>
  </w:style>
  <w:style w:type="character" w:styleId="1048">
    <w:name w:val="页码"/>
    <w:next w:val="1048"/>
    <w:link w:val="1019"/>
  </w:style>
  <w:style w:type="character" w:styleId="1049">
    <w:name w:val="标题 6 Char"/>
    <w:next w:val="1049"/>
    <w:link w:val="1025"/>
    <w:rPr>
      <w:rFonts w:ascii="Arial" w:hAnsi="Arial" w:eastAsia="黑体" w:cs="Times New Roman"/>
      <w:b/>
      <w:bCs/>
      <w:sz w:val="24"/>
      <w:szCs w:val="24"/>
    </w:rPr>
  </w:style>
  <w:style w:type="character" w:styleId="1050">
    <w:name w:val="标题 9 Char"/>
    <w:next w:val="1050"/>
    <w:link w:val="1028"/>
    <w:rPr>
      <w:rFonts w:ascii="Arial" w:hAnsi="Arial" w:eastAsia="黑体" w:cs="Times New Roman"/>
      <w:szCs w:val="21"/>
    </w:rPr>
  </w:style>
  <w:style w:type="character" w:styleId="1051">
    <w:name w:val="已访问的超链接"/>
    <w:next w:val="1051"/>
    <w:link w:val="1019"/>
    <w:rPr>
      <w:color w:val="800080"/>
      <w:u w:val="single"/>
    </w:rPr>
  </w:style>
  <w:style w:type="character" w:styleId="1052">
    <w:name w:val="正文文本缩进 3 Char"/>
    <w:next w:val="1052"/>
    <w:link w:val="1075"/>
    <w:rPr>
      <w:rFonts w:ascii="Arial" w:hAnsi="Arial" w:eastAsia="仿宋_GB2312" w:cs="Arial"/>
      <w:color w:val="ffff00"/>
      <w:sz w:val="32"/>
      <w:szCs w:val="32"/>
    </w:rPr>
  </w:style>
  <w:style w:type="character" w:styleId="1053">
    <w:name w:val="正文文本 2 Char"/>
    <w:next w:val="1053"/>
    <w:link w:val="1121"/>
    <w:rPr>
      <w:rFonts w:ascii="楷体_GB2312" w:hAnsi="Times New Roman" w:eastAsia="楷体_GB2312" w:cs="Times New Roman"/>
      <w:sz w:val="28"/>
      <w:szCs w:val="28"/>
    </w:rPr>
  </w:style>
  <w:style w:type="character" w:styleId="1054">
    <w:name w:val="正文文本 3 Char"/>
    <w:next w:val="1054"/>
    <w:link w:val="1073"/>
    <w:rPr>
      <w:rFonts w:ascii="仿宋_GB2312" w:hAnsi="Arial" w:eastAsia="仿宋_GB2312" w:cs="Times New Roman"/>
      <w:sz w:val="32"/>
      <w:szCs w:val="32"/>
    </w:rPr>
  </w:style>
  <w:style w:type="character" w:styleId="1055">
    <w:name w:val="font31"/>
    <w:basedOn w:val="1029"/>
    <w:next w:val="1055"/>
    <w:link w:val="1019"/>
    <w:qFormat/>
    <w:rPr>
      <w:rFonts w:ascii="Times New Roman" w:hAnsi="Times New Roman" w:cs="Times New Roman"/>
      <w:color w:val="000000"/>
      <w:sz w:val="18"/>
      <w:szCs w:val="18"/>
      <w:u w:val="none"/>
    </w:rPr>
  </w:style>
  <w:style w:type="character" w:styleId="1056">
    <w:name w:val="页脚 Char"/>
    <w:next w:val="1056"/>
    <w:link w:val="1090"/>
    <w:uiPriority w:val="99"/>
    <w:rPr>
      <w:rFonts w:ascii="Times New Roman" w:hAnsi="Times New Roman" w:eastAsia="宋体" w:cs="Times New Roman"/>
      <w:sz w:val="18"/>
      <w:szCs w:val="18"/>
    </w:rPr>
  </w:style>
  <w:style w:type="character" w:styleId="1057">
    <w:name w:val="纯文本 Char"/>
    <w:next w:val="1057"/>
    <w:link w:val="1084"/>
    <w:rPr>
      <w:rFonts w:ascii="宋体" w:hAnsi="Courier New" w:eastAsia="宋体" w:cs="Courier New"/>
      <w:szCs w:val="21"/>
    </w:rPr>
  </w:style>
  <w:style w:type="character" w:styleId="1058">
    <w:name w:val="正文首行缩进 Char"/>
    <w:next w:val="1058"/>
    <w:link w:val="1092"/>
    <w:rPr>
      <w:rFonts w:ascii="仿宋_GB2312" w:hAnsi="Times New Roman" w:eastAsia="仿宋_GB2312" w:cs="Times New Roman"/>
      <w:sz w:val="30"/>
      <w:szCs w:val="30"/>
    </w:rPr>
  </w:style>
  <w:style w:type="character" w:styleId="1059">
    <w:name w:val="列出段落 Char1"/>
    <w:next w:val="1059"/>
    <w:link w:val="1113"/>
    <w:uiPriority w:val="34"/>
    <w:qFormat/>
    <w:rPr>
      <w:sz w:val="24"/>
      <w:szCs w:val="24"/>
      <w:lang w:eastAsia="en-US" w:bidi="en-US"/>
    </w:rPr>
  </w:style>
  <w:style w:type="character" w:styleId="1060">
    <w:name w:val="标题 1 Char"/>
    <w:next w:val="1060"/>
    <w:link w:val="1020"/>
    <w:rPr>
      <w:rFonts w:ascii="楷体_GB2312" w:hAnsi="Times New Roman" w:eastAsia="楷体_GB2312" w:cs="Times New Roman"/>
      <w:sz w:val="28"/>
      <w:szCs w:val="28"/>
    </w:rPr>
  </w:style>
  <w:style w:type="character" w:styleId="1061">
    <w:name w:val="文档结构图 Char"/>
    <w:next w:val="1061"/>
    <w:link w:val="1076"/>
    <w:semiHidden/>
    <w:rPr>
      <w:rFonts w:ascii="Times New Roman" w:hAnsi="Times New Roman" w:eastAsia="宋体" w:cs="Times New Roman"/>
      <w:szCs w:val="21"/>
      <w:shd w:val="clear" w:color="auto" w:fill="000080"/>
    </w:rPr>
  </w:style>
  <w:style w:type="character" w:styleId="1062">
    <w:name w:val="批注主题 Char"/>
    <w:next w:val="1062"/>
    <w:link w:val="1083"/>
    <w:semiHidden/>
    <w:rPr>
      <w:rFonts w:ascii="Times New Roman" w:hAnsi="Times New Roman" w:eastAsia="宋体" w:cs="Times New Roman"/>
      <w:b/>
      <w:bCs/>
      <w:szCs w:val="21"/>
    </w:rPr>
  </w:style>
  <w:style w:type="character" w:styleId="1063">
    <w:name w:val="正文缩进 Char"/>
    <w:next w:val="1063"/>
    <w:link w:val="1088"/>
    <w:qFormat/>
    <w:rPr>
      <w:rFonts w:ascii="Times New Roman" w:hAnsi="Times New Roman" w:eastAsia="宋体" w:cs="Times New Roman"/>
      <w:szCs w:val="21"/>
    </w:rPr>
  </w:style>
  <w:style w:type="character" w:styleId="1064">
    <w:name w:val="Song"/>
    <w:next w:val="1064"/>
    <w:link w:val="1019"/>
    <w:rPr>
      <w:rFonts w:ascii="宋体" w:hAnsi="宋体" w:eastAsia="宋体"/>
    </w:rPr>
  </w:style>
  <w:style w:type="character" w:styleId="1065">
    <w:name w:val="二级目录 Char"/>
    <w:next w:val="1065"/>
    <w:link w:val="1115"/>
    <w:rPr>
      <w:b/>
      <w:sz w:val="30"/>
      <w:szCs w:val="28"/>
    </w:rPr>
  </w:style>
  <w:style w:type="character" w:styleId="1066">
    <w:name w:val="正文首行缩进 2 Char"/>
    <w:next w:val="1066"/>
    <w:link w:val="1070"/>
    <w:rPr>
      <w:rFonts w:ascii="宋体" w:hAnsi="宋体" w:eastAsia="宋体" w:cs="Times New Roman"/>
      <w:sz w:val="32"/>
      <w:szCs w:val="20"/>
    </w:rPr>
  </w:style>
  <w:style w:type="character" w:styleId="1067">
    <w:name w:val="font61"/>
    <w:basedOn w:val="1029"/>
    <w:next w:val="1067"/>
    <w:link w:val="1019"/>
    <w:qFormat/>
    <w:rPr>
      <w:rFonts w:ascii="Calibri" w:hAnsi="Calibri" w:cs="Calibri"/>
      <w:color w:val="000000"/>
      <w:sz w:val="18"/>
      <w:szCs w:val="18"/>
      <w:u w:val="none"/>
    </w:rPr>
  </w:style>
  <w:style w:type="character" w:styleId="1068">
    <w:name w:val="标题 5 Char"/>
    <w:next w:val="1068"/>
    <w:link w:val="1024"/>
    <w:rPr>
      <w:rFonts w:ascii="宋体" w:hAnsi="Times New Roman" w:eastAsia="宋体" w:cs="Times New Roman"/>
      <w:color w:val="000000"/>
      <w:sz w:val="28"/>
      <w:szCs w:val="28"/>
    </w:rPr>
  </w:style>
  <w:style w:type="character" w:styleId="1069">
    <w:name w:val="列出段落 Char,Bullet List Char,numbered Char,FooterText Char,List Paragraph1 Char,Paragraphe de liste1 Char"/>
    <w:next w:val="1069"/>
    <w:link w:val="1125"/>
    <w:rPr>
      <w:rFonts w:ascii="Calibri" w:hAnsi="Calibri"/>
      <w:sz w:val="24"/>
      <w:szCs w:val="24"/>
      <w:lang w:eastAsia="en-US" w:bidi="en-US"/>
    </w:rPr>
  </w:style>
  <w:style w:type="paragraph" w:styleId="1070">
    <w:name w:val="正文首行缩进 2"/>
    <w:basedOn w:val="1089"/>
    <w:next w:val="1070"/>
    <w:link w:val="1066"/>
    <w:pPr>
      <w:ind w:firstLine="420"/>
      <w:spacing w:line="360" w:lineRule="auto"/>
    </w:pPr>
    <w:rPr>
      <w:rFonts w:ascii="宋体" w:hAnsi="宋体" w:eastAsia="宋体"/>
      <w:sz w:val="21"/>
      <w:szCs w:val="20"/>
    </w:rPr>
  </w:style>
  <w:style w:type="paragraph" w:styleId="1071">
    <w:name w:val="日期"/>
    <w:basedOn w:val="1019"/>
    <w:next w:val="1019"/>
    <w:link w:val="1040"/>
    <w:rPr>
      <w:sz w:val="24"/>
      <w:szCs w:val="24"/>
    </w:rPr>
  </w:style>
  <w:style w:type="paragraph" w:styleId="1072">
    <w:name w:val="目录 8"/>
    <w:basedOn w:val="1019"/>
    <w:next w:val="1019"/>
    <w:link w:val="1019"/>
    <w:semiHidden/>
    <w:pPr>
      <w:ind w:left="1470"/>
      <w:jc w:val="left"/>
    </w:pPr>
  </w:style>
  <w:style w:type="paragraph" w:styleId="1073">
    <w:name w:val="正文文本 3"/>
    <w:basedOn w:val="1019"/>
    <w:next w:val="1073"/>
    <w:link w:val="1054"/>
    <w:rPr>
      <w:rFonts w:ascii="仿宋_GB2312" w:hAnsi="Arial" w:eastAsia="仿宋_GB2312"/>
      <w:sz w:val="32"/>
      <w:szCs w:val="32"/>
    </w:rPr>
  </w:style>
  <w:style w:type="paragraph" w:styleId="1074">
    <w:name w:val="目录 3"/>
    <w:basedOn w:val="1019"/>
    <w:next w:val="1019"/>
    <w:link w:val="1019"/>
    <w:semiHidden/>
    <w:pPr>
      <w:ind w:left="420"/>
      <w:jc w:val="left"/>
    </w:pPr>
    <w:rPr>
      <w:i/>
      <w:iCs/>
      <w:szCs w:val="24"/>
    </w:rPr>
  </w:style>
  <w:style w:type="paragraph" w:styleId="1075">
    <w:name w:val="正文文本缩进 3"/>
    <w:basedOn w:val="1019"/>
    <w:next w:val="1075"/>
    <w:link w:val="1052"/>
    <w:pPr>
      <w:ind w:left="645" w:firstLine="645"/>
    </w:pPr>
    <w:rPr>
      <w:rFonts w:ascii="Arial" w:hAnsi="Arial" w:eastAsia="仿宋_GB2312" w:cs="Arial"/>
      <w:color w:val="ffff00"/>
      <w:sz w:val="32"/>
      <w:szCs w:val="32"/>
    </w:rPr>
  </w:style>
  <w:style w:type="paragraph" w:styleId="1076">
    <w:name w:val="文档结构图"/>
    <w:basedOn w:val="1019"/>
    <w:next w:val="1076"/>
    <w:link w:val="1061"/>
    <w:semiHidden/>
    <w:pPr>
      <w:shd w:val="clear" w:color="auto" w:fill="000080"/>
    </w:pPr>
  </w:style>
  <w:style w:type="paragraph" w:styleId="1077">
    <w:name w:val="列表 3"/>
    <w:basedOn w:val="1019"/>
    <w:next w:val="1077"/>
    <w:link w:val="1019"/>
    <w:pPr>
      <w:ind w:left="100" w:hanging="200"/>
    </w:pPr>
  </w:style>
  <w:style w:type="paragraph" w:styleId="1078">
    <w:name w:val="目录 4"/>
    <w:basedOn w:val="1019"/>
    <w:next w:val="1019"/>
    <w:link w:val="1019"/>
    <w:semiHidden/>
    <w:pPr>
      <w:ind w:left="630"/>
      <w:jc w:val="left"/>
    </w:pPr>
  </w:style>
  <w:style w:type="paragraph" w:styleId="1079">
    <w:name w:val="批注框文本"/>
    <w:basedOn w:val="1019"/>
    <w:next w:val="1079"/>
    <w:link w:val="1037"/>
    <w:semiHidden/>
    <w:rPr>
      <w:sz w:val="18"/>
      <w:szCs w:val="18"/>
    </w:rPr>
  </w:style>
  <w:style w:type="paragraph" w:styleId="1080">
    <w:name w:val="引文目录标题"/>
    <w:basedOn w:val="1019"/>
    <w:next w:val="1019"/>
    <w:link w:val="1019"/>
    <w:uiPriority w:val="99"/>
    <w:unhideWhenUsed/>
    <w:qFormat/>
    <w:pPr>
      <w:spacing w:before="120"/>
    </w:pPr>
    <w:rPr>
      <w:rFonts w:ascii="Cambria" w:hAnsi="Cambria"/>
    </w:rPr>
  </w:style>
  <w:style w:type="paragraph" w:styleId="1081">
    <w:name w:val="列表"/>
    <w:basedOn w:val="1019"/>
    <w:next w:val="1081"/>
    <w:link w:val="1019"/>
    <w:pPr>
      <w:ind w:left="200" w:hanging="200"/>
    </w:pPr>
  </w:style>
  <w:style w:type="paragraph" w:styleId="1082">
    <w:name w:val="目录 5"/>
    <w:basedOn w:val="1019"/>
    <w:next w:val="1019"/>
    <w:link w:val="1019"/>
    <w:semiHidden/>
    <w:pPr>
      <w:ind w:left="840"/>
      <w:jc w:val="left"/>
    </w:pPr>
  </w:style>
  <w:style w:type="paragraph" w:styleId="1083">
    <w:name w:val="批注主题"/>
    <w:basedOn w:val="1086"/>
    <w:next w:val="1086"/>
    <w:link w:val="1062"/>
    <w:semiHidden/>
    <w:rPr>
      <w:b/>
      <w:bCs/>
    </w:rPr>
  </w:style>
  <w:style w:type="paragraph" w:styleId="1084">
    <w:name w:val="纯文本"/>
    <w:basedOn w:val="1019"/>
    <w:next w:val="1084"/>
    <w:link w:val="1057"/>
    <w:qFormat/>
    <w:rPr>
      <w:rFonts w:ascii="宋体" w:hAnsi="Courier New" w:cs="Courier New"/>
    </w:rPr>
  </w:style>
  <w:style w:type="paragraph" w:styleId="1085">
    <w:name w:val="列表 2"/>
    <w:basedOn w:val="1019"/>
    <w:next w:val="1085"/>
    <w:link w:val="1019"/>
    <w:pPr>
      <w:ind w:left="100" w:hanging="200"/>
    </w:pPr>
  </w:style>
  <w:style w:type="paragraph" w:styleId="1086">
    <w:name w:val="批注文字"/>
    <w:basedOn w:val="1019"/>
    <w:next w:val="1086"/>
    <w:link w:val="1035"/>
    <w:qFormat/>
    <w:pPr>
      <w:jc w:val="left"/>
    </w:pPr>
  </w:style>
  <w:style w:type="paragraph" w:styleId="1087">
    <w:name w:val="正文文本"/>
    <w:basedOn w:val="1019"/>
    <w:next w:val="1019"/>
    <w:link w:val="1041"/>
    <w:rPr>
      <w:rFonts w:ascii="楷体_GB2312" w:hAnsi="Arial" w:eastAsia="楷体_GB2312"/>
      <w:sz w:val="28"/>
      <w:szCs w:val="28"/>
    </w:rPr>
  </w:style>
  <w:style w:type="paragraph" w:styleId="1088">
    <w:name w:val="正文缩进"/>
    <w:basedOn w:val="1019"/>
    <w:next w:val="1088"/>
    <w:link w:val="1063"/>
    <w:uiPriority w:val="99"/>
    <w:pPr>
      <w:ind w:firstLine="420"/>
    </w:pPr>
  </w:style>
  <w:style w:type="paragraph" w:styleId="1089">
    <w:name w:val="正文文本缩进"/>
    <w:basedOn w:val="1019"/>
    <w:next w:val="1089"/>
    <w:link w:val="1039"/>
    <w:pPr>
      <w:ind w:firstLine="645"/>
    </w:pPr>
    <w:rPr>
      <w:rFonts w:ascii="楷体_GB2312" w:eastAsia="楷体_GB2312"/>
      <w:sz w:val="32"/>
      <w:szCs w:val="32"/>
    </w:rPr>
  </w:style>
  <w:style w:type="paragraph" w:styleId="1090">
    <w:name w:val="页脚"/>
    <w:basedOn w:val="1019"/>
    <w:next w:val="1090"/>
    <w:link w:val="1056"/>
    <w:uiPriority w:val="99"/>
    <w:pPr>
      <w:jc w:val="left"/>
      <w:tabs>
        <w:tab w:val="center" w:pos="4153" w:leader="none"/>
        <w:tab w:val="right" w:pos="8306" w:leader="none"/>
      </w:tabs>
    </w:pPr>
    <w:rPr>
      <w:sz w:val="18"/>
      <w:szCs w:val="18"/>
    </w:rPr>
  </w:style>
  <w:style w:type="paragraph" w:styleId="1091">
    <w:name w:val="正文文本缩进 2"/>
    <w:basedOn w:val="1019"/>
    <w:next w:val="1091"/>
    <w:link w:val="1042"/>
    <w:pPr>
      <w:ind w:left="630" w:firstLine="645"/>
    </w:pPr>
    <w:rPr>
      <w:rFonts w:ascii="Arial" w:hAnsi="Arial" w:eastAsia="仿宋_GB2312" w:cs="Arial"/>
      <w:sz w:val="32"/>
      <w:szCs w:val="32"/>
    </w:rPr>
  </w:style>
  <w:style w:type="paragraph" w:styleId="1092">
    <w:name w:val="正文首行缩进"/>
    <w:basedOn w:val="1019"/>
    <w:next w:val="1092"/>
    <w:link w:val="1058"/>
    <w:pPr>
      <w:ind w:firstLine="200"/>
      <w:spacing w:line="360" w:lineRule="auto"/>
    </w:pPr>
    <w:rPr>
      <w:rFonts w:ascii="仿宋_GB2312" w:eastAsia="仿宋_GB2312"/>
      <w:sz w:val="30"/>
      <w:szCs w:val="30"/>
    </w:rPr>
  </w:style>
  <w:style w:type="paragraph" w:styleId="1093">
    <w:name w:val="目录 1"/>
    <w:basedOn w:val="1019"/>
    <w:next w:val="1019"/>
    <w:link w:val="1019"/>
    <w:semiHidden/>
    <w:pPr>
      <w:jc w:val="left"/>
      <w:spacing w:before="120" w:after="120" w:line="400" w:lineRule="exact"/>
      <w:tabs>
        <w:tab w:val="right" w:pos="8720" w:leader="dot"/>
      </w:tabs>
    </w:pPr>
    <w:rPr>
      <w:rFonts w:ascii="宋体" w:hAnsi="宋体"/>
      <w:caps/>
      <w:sz w:val="24"/>
      <w:szCs w:val="24"/>
    </w:rPr>
  </w:style>
  <w:style w:type="paragraph" w:styleId="1094">
    <w:name w:val="页眉"/>
    <w:basedOn w:val="1019"/>
    <w:next w:val="1094"/>
    <w:link w:val="1047"/>
    <w:pPr>
      <w:jc w:val="center"/>
      <w:tabs>
        <w:tab w:val="center" w:pos="4153" w:leader="none"/>
        <w:tab w:val="right" w:pos="8306" w:leader="none"/>
      </w:tabs>
      <w:pBdr>
        <w:bottom w:val="single" w:color="000000" w:sz="6" w:space="1"/>
      </w:pBdr>
    </w:pPr>
    <w:rPr>
      <w:sz w:val="18"/>
      <w:szCs w:val="18"/>
    </w:rPr>
  </w:style>
  <w:style w:type="paragraph" w:styleId="1095">
    <w:name w:val="目录 7"/>
    <w:basedOn w:val="1019"/>
    <w:next w:val="1019"/>
    <w:link w:val="1019"/>
    <w:semiHidden/>
    <w:pPr>
      <w:ind w:left="1260"/>
      <w:jc w:val="left"/>
    </w:pPr>
  </w:style>
  <w:style w:type="paragraph" w:styleId="1096">
    <w:name w:val="table_lines"/>
    <w:basedOn w:val="1019"/>
    <w:next w:val="1096"/>
    <w:link w:val="1019"/>
    <w:pPr>
      <w:jc w:val="left"/>
      <w:widowControl/>
    </w:pPr>
    <w:rPr>
      <w:sz w:val="20"/>
      <w:szCs w:val="20"/>
      <w:lang w:val="de-DE" w:eastAsia="de-DE"/>
    </w:rPr>
  </w:style>
  <w:style w:type="paragraph" w:styleId="1097">
    <w:name w:val="xl24"/>
    <w:basedOn w:val="1019"/>
    <w:next w:val="1097"/>
    <w:link w:val="10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name w:val="标题3"/>
    <w:basedOn w:val="1019"/>
    <w:next w:val="1019"/>
    <w:link w:val="1019"/>
    <w:pPr>
      <w:ind w:firstLine="624"/>
      <w:spacing w:line="590" w:lineRule="atLeast"/>
    </w:pPr>
    <w:rPr>
      <w:rFonts w:ascii="方正黑体_GBK" w:eastAsia="方正黑体_GBK"/>
      <w:sz w:val="32"/>
      <w:szCs w:val="32"/>
    </w:rPr>
  </w:style>
  <w:style w:type="paragraph" w:styleId="1099">
    <w:name w:val="图标"/>
    <w:basedOn w:val="1019"/>
    <w:next w:val="1019"/>
    <w:link w:val="10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普通 (Web)"/>
    <w:basedOn w:val="1019"/>
    <w:next w:val="1100"/>
    <w:link w:val="1019"/>
    <w:pPr>
      <w:jc w:val="left"/>
      <w:spacing w:before="100" w:beforeAutospacing="1" w:after="100" w:afterAutospacing="1"/>
      <w:widowControl/>
    </w:pPr>
    <w:rPr>
      <w:rFonts w:ascii="宋体" w:hAnsi="宋体"/>
      <w:sz w:val="24"/>
      <w:szCs w:val="24"/>
    </w:rPr>
  </w:style>
  <w:style w:type="paragraph" w:styleId="1101">
    <w:name w:val=" Char"/>
    <w:basedOn w:val="1076"/>
    <w:next w:val="1101"/>
    <w:link w:val="1019"/>
    <w:rPr>
      <w:rFonts w:ascii="Tahoma" w:hAnsi="Tahoma"/>
      <w:sz w:val="24"/>
      <w:szCs w:val="24"/>
    </w:rPr>
  </w:style>
  <w:style w:type="paragraph" w:styleId="1102">
    <w:name w:val="目录 6"/>
    <w:basedOn w:val="1019"/>
    <w:next w:val="1019"/>
    <w:link w:val="1019"/>
    <w:semiHidden/>
    <w:pPr>
      <w:ind w:left="1050"/>
      <w:jc w:val="left"/>
    </w:pPr>
  </w:style>
  <w:style w:type="paragraph" w:styleId="1103">
    <w:name w:val="Char"/>
    <w:basedOn w:val="1019"/>
    <w:next w:val="1103"/>
    <w:link w:val="1019"/>
    <w:pPr>
      <w:ind w:firstLine="200"/>
      <w:tabs>
        <w:tab w:val="left" w:pos="360" w:leader="none"/>
      </w:tabs>
    </w:pPr>
    <w:rPr>
      <w:sz w:val="28"/>
      <w:szCs w:val="30"/>
    </w:rPr>
  </w:style>
  <w:style w:type="paragraph" w:styleId="1104">
    <w:name w:val="图表目录"/>
    <w:basedOn w:val="1019"/>
    <w:next w:val="1019"/>
    <w:link w:val="1019"/>
    <w:semiHidden/>
    <w:pPr>
      <w:ind w:left="840" w:hanging="420"/>
    </w:pPr>
  </w:style>
  <w:style w:type="paragraph" w:styleId="1105">
    <w:name w:val="正文文本1"/>
    <w:basedOn w:val="1019"/>
    <w:next w:val="1019"/>
    <w:link w:val="1019"/>
    <w:qFormat/>
    <w:pPr>
      <w:spacing w:before="120" w:line="22" w:lineRule="atLeast"/>
      <w:tabs>
        <w:tab w:val="left" w:pos="567" w:leader="none"/>
      </w:tabs>
    </w:pPr>
    <w:rPr>
      <w:rFonts w:ascii="宋体" w:hAnsi="宋体"/>
      <w:sz w:val="24"/>
    </w:rPr>
  </w:style>
  <w:style w:type="paragraph" w:styleId="1106">
    <w:name w:val=" Char Char Char Char Char Char Char Char Char Char"/>
    <w:basedOn w:val="1019"/>
    <w:next w:val="1106"/>
    <w:link w:val="1019"/>
    <w:pPr>
      <w:spacing w:line="360" w:lineRule="auto"/>
    </w:pPr>
    <w:rPr>
      <w:sz w:val="24"/>
      <w:szCs w:val="20"/>
    </w:rPr>
  </w:style>
  <w:style w:type="paragraph" w:styleId="1107">
    <w:name w:val="4"/>
    <w:basedOn w:val="1019"/>
    <w:next w:val="1075"/>
    <w:link w:val="1019"/>
    <w:pPr>
      <w:ind w:firstLine="420"/>
      <w:spacing w:line="360" w:lineRule="auto"/>
    </w:pPr>
    <w:rPr>
      <w:color w:val="ff0000"/>
      <w:sz w:val="24"/>
      <w:szCs w:val="24"/>
    </w:rPr>
  </w:style>
  <w:style w:type="paragraph" w:styleId="1108">
    <w:name w:val="xl28"/>
    <w:basedOn w:val="1019"/>
    <w:next w:val="1108"/>
    <w:link w:val="10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name w:val="目录 2"/>
    <w:basedOn w:val="1019"/>
    <w:next w:val="1019"/>
    <w:link w:val="1019"/>
    <w:semiHidden/>
    <w:pPr>
      <w:ind w:left="210"/>
      <w:jc w:val="left"/>
    </w:pPr>
    <w:rPr>
      <w:smallCaps/>
      <w:szCs w:val="24"/>
    </w:rPr>
  </w:style>
  <w:style w:type="paragraph" w:styleId="1110">
    <w:name w:val="xl27"/>
    <w:basedOn w:val="1019"/>
    <w:next w:val="1110"/>
    <w:link w:val="10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name w:val="AONormal"/>
    <w:next w:val="1111"/>
    <w:link w:val="1019"/>
    <w:qFormat/>
    <w:pPr>
      <w:ind w:firstLine="440"/>
      <w:spacing w:line="400" w:lineRule="exact"/>
    </w:pPr>
    <w:rPr>
      <w:rFonts w:ascii="华文楷体" w:hAnsi="华文楷体" w:eastAsia="华文楷体" w:cs="华文楷体"/>
      <w:sz w:val="22"/>
      <w:szCs w:val="21"/>
      <w:lang w:val="en-US" w:eastAsia="zh-CN" w:bidi="ar-SA"/>
    </w:rPr>
  </w:style>
  <w:style w:type="paragraph" w:styleId="1112">
    <w:name w:val="索引 1"/>
    <w:basedOn w:val="1019"/>
    <w:next w:val="1019"/>
    <w:link w:val="1019"/>
    <w:semiHidden/>
    <w:pPr>
      <w:spacing w:line="240" w:lineRule="atLeast"/>
    </w:pPr>
    <w:rPr>
      <w:b/>
      <w:bCs/>
    </w:rPr>
  </w:style>
  <w:style w:type="paragraph" w:styleId="1113">
    <w:name w:val="列出段落"/>
    <w:basedOn w:val="1019"/>
    <w:next w:val="1113"/>
    <w:link w:val="1059"/>
    <w:uiPriority w:val="34"/>
    <w:qFormat/>
    <w:pPr>
      <w:contextualSpacing/>
      <w:ind w:left="720"/>
      <w:jc w:val="left"/>
      <w:widowControl/>
    </w:pPr>
    <w:rPr>
      <w:rFonts w:ascii="Calibri" w:hAnsi="Calibri"/>
      <w:sz w:val="24"/>
      <w:szCs w:val="24"/>
      <w:lang w:eastAsia="en-US" w:bidi="en-US"/>
    </w:rPr>
  </w:style>
  <w:style w:type="paragraph" w:styleId="1114">
    <w:name w:val="font5"/>
    <w:basedOn w:val="1019"/>
    <w:next w:val="1114"/>
    <w:link w:val="1019"/>
    <w:pPr>
      <w:jc w:val="left"/>
      <w:spacing w:before="100" w:beforeAutospacing="1" w:after="100" w:afterAutospacing="1"/>
      <w:widowControl/>
    </w:pPr>
    <w:rPr>
      <w:rFonts w:hint="eastAsia" w:ascii="宋体" w:hAnsi="宋体"/>
      <w:sz w:val="28"/>
      <w:szCs w:val="28"/>
    </w:rPr>
  </w:style>
  <w:style w:type="paragraph" w:styleId="1115">
    <w:name w:val="二级目录"/>
    <w:next w:val="1019"/>
    <w:link w:val="1065"/>
    <w:pPr>
      <w:numPr>
        <w:ilvl w:val="0"/>
        <w:numId w:val="2"/>
      </w:numPr>
      <w:tabs>
        <w:tab w:val="left" w:pos="907" w:leader="none"/>
        <w:tab w:val="left" w:pos="1145" w:leader="none"/>
      </w:tabs>
      <w:outlineLvl w:val="1"/>
    </w:pPr>
    <w:rPr>
      <w:b/>
      <w:sz w:val="30"/>
      <w:szCs w:val="28"/>
      <w:lang w:val="en-US" w:eastAsia="zh-CN" w:bidi="ar-SA"/>
    </w:rPr>
  </w:style>
  <w:style w:type="paragraph" w:styleId="1116">
    <w:name w:val="目录 9"/>
    <w:basedOn w:val="1019"/>
    <w:next w:val="1019"/>
    <w:link w:val="1019"/>
    <w:semiHidden/>
    <w:pPr>
      <w:ind w:left="1680"/>
      <w:jc w:val="left"/>
    </w:pPr>
  </w:style>
  <w:style w:type="paragraph" w:styleId="1117">
    <w:name w:val="xl30"/>
    <w:basedOn w:val="1019"/>
    <w:next w:val="1117"/>
    <w:link w:val="1019"/>
    <w:pPr>
      <w:jc w:val="center"/>
      <w:spacing w:before="100" w:beforeAutospacing="1" w:after="100" w:afterAutospacing="1"/>
      <w:widowControl/>
    </w:pPr>
    <w:rPr>
      <w:rFonts w:ascii="宋体" w:hAnsi="宋体"/>
      <w:b/>
      <w:bCs/>
      <w:sz w:val="36"/>
      <w:szCs w:val="36"/>
    </w:rPr>
  </w:style>
  <w:style w:type="paragraph" w:styleId="1118">
    <w:name w:val=" Char Char Char Char Char Char Char Char"/>
    <w:basedOn w:val="1019"/>
    <w:next w:val="1118"/>
    <w:link w:val="1019"/>
    <w:pPr>
      <w:jc w:val="left"/>
      <w:spacing w:after="160" w:line="240" w:lineRule="exact"/>
      <w:widowControl/>
    </w:pPr>
    <w:rPr>
      <w:rFonts w:ascii="Verdana" w:hAnsi="Verdana"/>
      <w:sz w:val="20"/>
      <w:szCs w:val="20"/>
      <w:lang w:eastAsia="en-US"/>
    </w:rPr>
  </w:style>
  <w:style w:type="paragraph" w:styleId="1119">
    <w:name w:val="font7"/>
    <w:basedOn w:val="1019"/>
    <w:next w:val="1119"/>
    <w:link w:val="1019"/>
    <w:pPr>
      <w:jc w:val="left"/>
      <w:spacing w:before="100" w:beforeAutospacing="1" w:after="100" w:afterAutospacing="1"/>
      <w:widowControl/>
    </w:pPr>
    <w:rPr>
      <w:rFonts w:hint="eastAsia" w:ascii="宋体" w:hAnsi="宋体"/>
      <w:sz w:val="18"/>
      <w:szCs w:val="18"/>
    </w:rPr>
  </w:style>
  <w:style w:type="paragraph" w:styleId="1120">
    <w:name w:val="附录1"/>
    <w:next w:val="1120"/>
    <w:link w:val="101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21">
    <w:name w:val="正文文本 2"/>
    <w:basedOn w:val="1019"/>
    <w:next w:val="1121"/>
    <w:link w:val="1053"/>
    <w:pPr>
      <w:jc w:val="center"/>
      <w:widowControl/>
    </w:pPr>
    <w:rPr>
      <w:rFonts w:ascii="楷体_GB2312" w:eastAsia="楷体_GB2312"/>
      <w:sz w:val="28"/>
      <w:szCs w:val="28"/>
    </w:rPr>
  </w:style>
  <w:style w:type="paragraph" w:styleId="1122">
    <w:name w:val="Char Char Char Char Char Char Char Char"/>
    <w:basedOn w:val="1019"/>
    <w:next w:val="1122"/>
    <w:link w:val="1019"/>
    <w:pPr>
      <w:jc w:val="left"/>
      <w:spacing w:after="160" w:line="240" w:lineRule="exact"/>
      <w:widowControl/>
    </w:pPr>
    <w:rPr>
      <w:rFonts w:ascii="Verdana" w:hAnsi="Verdana"/>
      <w:sz w:val="20"/>
      <w:szCs w:val="20"/>
      <w:lang w:eastAsia="en-US"/>
    </w:rPr>
  </w:style>
  <w:style w:type="paragraph" w:styleId="1123">
    <w:name w:val="普通(网站)"/>
    <w:basedOn w:val="1019"/>
    <w:next w:val="1123"/>
    <w:link w:val="1019"/>
    <w:uiPriority w:val="99"/>
    <w:pPr>
      <w:jc w:val="left"/>
      <w:spacing w:before="100" w:beforeAutospacing="1" w:after="100" w:afterAutospacing="1"/>
      <w:widowControl/>
    </w:pPr>
    <w:rPr>
      <w:rFonts w:ascii="宋体" w:hAnsi="宋体" w:cs="宋体"/>
      <w:sz w:val="24"/>
      <w:szCs w:val="24"/>
    </w:rPr>
  </w:style>
  <w:style w:type="paragraph" w:styleId="1124">
    <w:name w:val="font6"/>
    <w:basedOn w:val="1019"/>
    <w:next w:val="1124"/>
    <w:link w:val="1019"/>
    <w:pPr>
      <w:jc w:val="left"/>
      <w:spacing w:before="100" w:beforeAutospacing="1" w:after="100" w:afterAutospacing="1"/>
      <w:widowControl/>
    </w:pPr>
    <w:rPr>
      <w:rFonts w:hint="eastAsia" w:ascii="宋体" w:hAnsi="宋体"/>
      <w:sz w:val="28"/>
      <w:szCs w:val="28"/>
      <w:u w:val="single"/>
    </w:rPr>
  </w:style>
  <w:style w:type="paragraph" w:styleId="1125">
    <w:name w:val="列出段落1"/>
    <w:basedOn w:val="1019"/>
    <w:next w:val="1125"/>
    <w:link w:val="1069"/>
    <w:qFormat/>
    <w:pPr>
      <w:contextualSpacing/>
      <w:ind w:left="720"/>
      <w:jc w:val="left"/>
      <w:widowControl/>
    </w:pPr>
    <w:rPr>
      <w:rFonts w:ascii="Calibri" w:hAnsi="Calibri" w:eastAsia="宋体" w:cs="Times New Roman"/>
      <w:sz w:val="24"/>
      <w:szCs w:val="24"/>
      <w:lang w:eastAsia="en-US" w:bidi="en-US"/>
    </w:rPr>
  </w:style>
  <w:style w:type="paragraph" w:styleId="1126">
    <w:name w:val=" Char Char Char Char"/>
    <w:basedOn w:val="1076"/>
    <w:next w:val="1126"/>
    <w:link w:val="1019"/>
    <w:pPr>
      <w:spacing w:line="360" w:lineRule="auto"/>
    </w:pPr>
    <w:rPr>
      <w:rFonts w:ascii="Tahoma" w:hAnsi="Tahoma"/>
      <w:sz w:val="24"/>
      <w:szCs w:val="24"/>
    </w:rPr>
  </w:style>
  <w:style w:type="paragraph" w:styleId="1127">
    <w:name w:val="Body Text(ch)"/>
    <w:basedOn w:val="1019"/>
    <w:next w:val="1087"/>
    <w:link w:val="1019"/>
    <w:pPr>
      <w:spacing w:after="120"/>
    </w:pPr>
    <w:rPr>
      <w:rFonts w:ascii="宋体" w:hAnsi="Arial"/>
      <w:bCs/>
      <w:iCs/>
      <w:szCs w:val="24"/>
    </w:rPr>
  </w:style>
  <w:style w:type="paragraph" w:styleId="1128">
    <w:name w:val="无间隔"/>
    <w:next w:val="1128"/>
    <w:link w:val="1019"/>
    <w:uiPriority w:val="99"/>
    <w:qFormat/>
    <w:pPr>
      <w:jc w:val="both"/>
      <w:widowControl w:val="off"/>
    </w:pPr>
    <w:rPr>
      <w:rFonts w:ascii="Times New Roman" w:hAnsi="Times New Roman"/>
      <w:sz w:val="21"/>
      <w:szCs w:val="21"/>
      <w:lang w:val="en-US" w:eastAsia="zh-CN" w:bidi="ar-SA"/>
    </w:rPr>
  </w:style>
  <w:style w:type="paragraph" w:styleId="1129">
    <w:name w:val="修订"/>
    <w:next w:val="1129"/>
    <w:link w:val="1019"/>
    <w:uiPriority w:val="99"/>
    <w:semiHidden/>
    <w:rPr>
      <w:rFonts w:ascii="Times New Roman" w:hAnsi="Times New Roman"/>
      <w:sz w:val="21"/>
      <w:szCs w:val="21"/>
      <w:lang w:val="en-US" w:eastAsia="zh-CN" w:bidi="ar-SA"/>
    </w:rPr>
  </w:style>
  <w:style w:type="paragraph" w:styleId="1130">
    <w:name w:val="xl29"/>
    <w:basedOn w:val="1019"/>
    <w:next w:val="1130"/>
    <w:link w:val="10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1">
    <w:name w:val="xl26"/>
    <w:basedOn w:val="1019"/>
    <w:next w:val="1131"/>
    <w:link w:val="10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2">
    <w:name w:val="Char Char Char Char"/>
    <w:basedOn w:val="1076"/>
    <w:next w:val="1132"/>
    <w:link w:val="1019"/>
    <w:pPr>
      <w:spacing w:line="360" w:lineRule="auto"/>
    </w:pPr>
    <w:rPr>
      <w:rFonts w:ascii="Tahoma" w:hAnsi="Tahoma"/>
      <w:sz w:val="24"/>
      <w:szCs w:val="24"/>
    </w:rPr>
  </w:style>
  <w:style w:type="paragraph" w:styleId="1133">
    <w:name w:val="xl25"/>
    <w:basedOn w:val="1019"/>
    <w:next w:val="1133"/>
    <w:link w:val="10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4">
    <w:name w:val="样式1"/>
    <w:basedOn w:val="1019"/>
    <w:next w:val="1134"/>
    <w:link w:val="1019"/>
    <w:pPr>
      <w:numPr>
        <w:ilvl w:val="0"/>
        <w:numId w:val="3"/>
      </w:numPr>
      <w:tabs>
        <w:tab w:val="left" w:pos="709" w:leader="none"/>
      </w:tabs>
    </w:pPr>
    <w:rPr>
      <w:rFonts w:ascii="宋体" w:hAnsi="宋体"/>
    </w:rPr>
  </w:style>
  <w:style w:type="paragraph" w:styleId="1135">
    <w:name w:val="table_1stline"/>
    <w:basedOn w:val="1019"/>
    <w:next w:val="1135"/>
    <w:link w:val="1019"/>
    <w:pPr>
      <w:jc w:val="left"/>
      <w:spacing w:before="120"/>
      <w:widowControl/>
    </w:pPr>
    <w:rPr>
      <w:bCs/>
      <w:sz w:val="20"/>
      <w:szCs w:val="20"/>
      <w:lang w:val="de-DE" w:eastAsia="de-DE"/>
    </w:rPr>
  </w:style>
  <w:style w:type="paragraph" w:styleId="1136">
    <w:name w:val="普通正文"/>
    <w:basedOn w:val="1019"/>
    <w:next w:val="1136"/>
    <w:link w:val="1019"/>
    <w:pPr>
      <w:ind w:firstLine="480"/>
      <w:jc w:val="left"/>
      <w:spacing w:before="120" w:after="120" w:line="360" w:lineRule="auto"/>
    </w:pPr>
    <w:rPr>
      <w:rFonts w:ascii="Arial" w:hAnsi="Arial"/>
      <w:sz w:val="24"/>
      <w:szCs w:val="24"/>
    </w:rPr>
  </w:style>
  <w:style w:type="paragraph" w:styleId="1137">
    <w:name w:val="标题1"/>
    <w:basedOn w:val="1019"/>
    <w:next w:val="1019"/>
    <w:link w:val="10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8">
    <w:name w:val="WPSOffice手动目录 1"/>
    <w:next w:val="1138"/>
    <w:link w:val="1019"/>
    <w:rPr>
      <w:sz w:val="20"/>
      <w:szCs w:val="20"/>
    </w:rPr>
  </w:style>
  <w:style w:type="table" w:styleId="1139">
    <w:name w:val="网格型"/>
    <w:basedOn w:val="1030"/>
    <w:next w:val="1139"/>
    <w:link w:val="1019"/>
    <w:pPr>
      <w:jc w:val="both"/>
      <w:widowControl w:val="off"/>
    </w:pPr>
    <w:rPr>
      <w:rFonts w:ascii="Times New Roman" w:hAnsi="Times New Roman" w:eastAsia="宋体" w:cs="Times New Roman"/>
      <w:sz w:val="20"/>
      <w:szCs w:val="20"/>
    </w:rPr>
    <w:tblPr/>
  </w:style>
  <w:style w:type="character" w:styleId="1140" w:default="1">
    <w:name w:val="Default Paragraph Font"/>
    <w:uiPriority w:val="1"/>
    <w:semiHidden/>
    <w:unhideWhenUsed/>
  </w:style>
  <w:style w:type="numbering" w:styleId="1141" w:default="1">
    <w:name w:val="No List"/>
    <w:uiPriority w:val="99"/>
    <w:semiHidden/>
    <w:unhideWhenUsed/>
  </w:style>
  <w:style w:type="table" w:styleId="11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10</cp:revision>
  <dcterms:created xsi:type="dcterms:W3CDTF">2024-07-17T06:18:00Z</dcterms:created>
  <dcterms:modified xsi:type="dcterms:W3CDTF">2025-09-26T03:05:42Z</dcterms:modified>
</cp:coreProperties>
</file>